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A044B" w14:textId="60B19BA0" w:rsidR="003B25A2" w:rsidRPr="004B7C1B" w:rsidRDefault="0000064D" w:rsidP="004B7C1B">
      <w:pPr>
        <w:pStyle w:val="Heading1"/>
        <w:rPr>
          <w:color w:val="FFFFFF" w:themeColor="background1"/>
          <w:sz w:val="16"/>
          <w:szCs w:val="16"/>
        </w:rPr>
      </w:pPr>
      <w:bookmarkStart w:id="0" w:name="ChapterTitle"/>
      <w:r w:rsidRPr="004B7C1B">
        <w:rPr>
          <w:noProof/>
          <w:color w:val="FFFFFF" w:themeColor="background1"/>
          <w:sz w:val="16"/>
          <w:szCs w:val="16"/>
        </w:rPr>
        <w:drawing>
          <wp:anchor distT="0" distB="0" distL="114300" distR="114300" simplePos="0" relativeHeight="251658240" behindDoc="0" locked="0" layoutInCell="1" allowOverlap="1" wp14:anchorId="174C2F73" wp14:editId="44EEA456">
            <wp:simplePos x="0" y="0"/>
            <wp:positionH relativeFrom="page">
              <wp:align>center</wp:align>
            </wp:positionH>
            <wp:positionV relativeFrom="page">
              <wp:align>center</wp:align>
            </wp:positionV>
            <wp:extent cx="7563485" cy="10698480"/>
            <wp:effectExtent l="0" t="0" r="0" b="7620"/>
            <wp:wrapNone/>
            <wp:docPr id="8" name="Picture 8" descr="Cover for: Modelling immigrants’ fiscal impacts - Part 1 - Technical Supplement D - Migrant Intake into Australia Inquiry Report, April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cal-supplement-D-cover.png"/>
                    <pic:cNvPicPr/>
                  </pic:nvPicPr>
                  <pic:blipFill>
                    <a:blip r:embed="rId14">
                      <a:extLst>
                        <a:ext uri="{28A0092B-C50C-407E-A947-70E740481C1C}">
                          <a14:useLocalDpi xmlns:a14="http://schemas.microsoft.com/office/drawing/2010/main" val="0"/>
                        </a:ext>
                      </a:extLst>
                    </a:blip>
                    <a:stretch>
                      <a:fillRect/>
                    </a:stretch>
                  </pic:blipFill>
                  <pic:spPr>
                    <a:xfrm>
                      <a:off x="0" y="0"/>
                      <a:ext cx="7563600" cy="10698834"/>
                    </a:xfrm>
                    <a:prstGeom prst="rect">
                      <a:avLst/>
                    </a:prstGeom>
                  </pic:spPr>
                </pic:pic>
              </a:graphicData>
            </a:graphic>
            <wp14:sizeRelH relativeFrom="margin">
              <wp14:pctWidth>0</wp14:pctWidth>
            </wp14:sizeRelH>
            <wp14:sizeRelV relativeFrom="margin">
              <wp14:pctHeight>0</wp14:pctHeight>
            </wp14:sizeRelV>
          </wp:anchor>
        </w:drawing>
      </w:r>
      <w:r w:rsidR="004B7C1B" w:rsidRPr="004B7C1B">
        <w:rPr>
          <w:color w:val="FFFFFF" w:themeColor="background1"/>
          <w:sz w:val="16"/>
          <w:szCs w:val="16"/>
        </w:rPr>
        <w:t>Modelling immigrants’ fiscal impacts</w:t>
      </w:r>
      <w:r w:rsidR="004B7C1B" w:rsidRPr="004B7C1B">
        <w:rPr>
          <w:noProof/>
          <w:color w:val="FFFFFF" w:themeColor="background1"/>
          <w:sz w:val="16"/>
          <w:szCs w:val="16"/>
        </w:rPr>
        <w:t xml:space="preserve">  — Part 1</w:t>
      </w:r>
    </w:p>
    <w:p w14:paraId="4577E65A" w14:textId="77777777" w:rsidR="0000064D" w:rsidRDefault="0000064D">
      <w:pPr>
        <w:rPr>
          <w:rFonts w:ascii="Arial" w:hAnsi="Arial"/>
          <w:b/>
          <w:sz w:val="22"/>
          <w:szCs w:val="26"/>
          <w:lang w:eastAsia="en-US"/>
        </w:rPr>
      </w:pPr>
      <w:r>
        <w:br w:type="page"/>
      </w:r>
    </w:p>
    <w:p w14:paraId="38236D31" w14:textId="71B4F069" w:rsidR="003B25A2" w:rsidRDefault="003B25A2" w:rsidP="003B25A2">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2016</w:t>
      </w:r>
    </w:p>
    <w:p w14:paraId="4220B044" w14:textId="77777777" w:rsidR="003B25A2" w:rsidRDefault="003B25A2" w:rsidP="003B25A2">
      <w:pPr>
        <w:pStyle w:val="BodyText"/>
        <w:spacing w:after="120"/>
      </w:pPr>
      <w:bookmarkStart w:id="1" w:name="ISSN"/>
      <w:bookmarkEnd w:id="1"/>
      <w:r w:rsidRPr="00862D8F">
        <w:rPr>
          <w:noProof/>
          <w:sz w:val="22"/>
          <w:szCs w:val="22"/>
        </w:rPr>
        <w:drawing>
          <wp:inline distT="0" distB="0" distL="0" distR="0" wp14:anchorId="7FCB5D76" wp14:editId="37CD7AEB">
            <wp:extent cx="843280" cy="295043"/>
            <wp:effectExtent l="0" t="0" r="0" b="0"/>
            <wp:docPr id="9" name="Picture 9"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7B16F4C5" w14:textId="77777777" w:rsidR="003B25A2" w:rsidRPr="008A3857" w:rsidRDefault="003B25A2" w:rsidP="003B25A2">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3AB92220" w14:textId="77777777" w:rsidR="003B25A2" w:rsidRPr="008A3857" w:rsidRDefault="003B25A2" w:rsidP="003B25A2">
      <w:pPr>
        <w:pStyle w:val="Copyrightsubtitle"/>
      </w:pPr>
      <w:r w:rsidRPr="008A3857">
        <w:t>Use of the Commonwealth Coat of Arms</w:t>
      </w:r>
    </w:p>
    <w:p w14:paraId="6B5F0981" w14:textId="77777777" w:rsidR="003B25A2" w:rsidRPr="008A3857" w:rsidRDefault="003B25A2" w:rsidP="003B25A2">
      <w:pPr>
        <w:pStyle w:val="Copyrightbodytext"/>
      </w:pPr>
      <w:r w:rsidRPr="008A3857">
        <w:t>For terms of use of the Coat of Arms visit the ‘</w:t>
      </w:r>
      <w:hyperlink r:id="rId18" w:history="1">
        <w:r w:rsidRPr="00805FD7">
          <w:t>It’s an Honour</w:t>
        </w:r>
      </w:hyperlink>
      <w:r w:rsidRPr="008A3857">
        <w:t>’ website</w:t>
      </w:r>
      <w:r w:rsidRPr="00BA0B81">
        <w:t xml:space="preserve">: </w:t>
      </w:r>
      <w:hyperlink r:id="rId19" w:history="1">
        <w:r w:rsidRPr="00805FD7">
          <w:t>http://</w:t>
        </w:r>
        <w:proofErr w:type="spellStart"/>
        <w:r w:rsidRPr="00805FD7">
          <w:t>www.itsanhonour.gov.au</w:t>
        </w:r>
        <w:proofErr w:type="spellEnd"/>
      </w:hyperlink>
    </w:p>
    <w:p w14:paraId="37FC7893" w14:textId="77777777" w:rsidR="003B25A2" w:rsidRPr="008A3857" w:rsidRDefault="003B25A2" w:rsidP="003B25A2">
      <w:pPr>
        <w:pStyle w:val="Copyrightsubtitle"/>
      </w:pPr>
      <w:r w:rsidRPr="008A3857">
        <w:t>Third party copyright</w:t>
      </w:r>
    </w:p>
    <w:p w14:paraId="6BAA69A7" w14:textId="77777777" w:rsidR="003B25A2" w:rsidRPr="008A3857" w:rsidRDefault="003B25A2" w:rsidP="003B25A2">
      <w:pPr>
        <w:pStyle w:val="Copyrightbodytext"/>
      </w:pPr>
      <w:r w:rsidRPr="008A3857">
        <w:t>Wherever a third party holds copyright in this material, the copyright remains with that party. Their permission may be required to use the material, please contact them directly.</w:t>
      </w:r>
    </w:p>
    <w:p w14:paraId="515A3F90" w14:textId="77777777" w:rsidR="003B25A2" w:rsidRPr="008A3857" w:rsidRDefault="003B25A2" w:rsidP="003B25A2">
      <w:pPr>
        <w:pStyle w:val="Copyrightsubtitle"/>
      </w:pPr>
      <w:r w:rsidRPr="008A3857">
        <w:t xml:space="preserve">An appropriate </w:t>
      </w:r>
      <w:r>
        <w:t>reference</w:t>
      </w:r>
      <w:r w:rsidRPr="008A3857">
        <w:t xml:space="preserve"> for this publication is:</w:t>
      </w:r>
    </w:p>
    <w:p w14:paraId="0E455EDE" w14:textId="3790417D" w:rsidR="003B25A2" w:rsidRPr="008A3857" w:rsidRDefault="003B25A2" w:rsidP="003B25A2">
      <w:pPr>
        <w:pStyle w:val="Copyrightbodytext"/>
      </w:pPr>
      <w:r>
        <w:t xml:space="preserve">Productivity Commission </w:t>
      </w:r>
      <w:r w:rsidRPr="003B25A2">
        <w:t>201</w:t>
      </w:r>
      <w:r>
        <w:t>6</w:t>
      </w:r>
      <w:r w:rsidRPr="003B25A2">
        <w:t>, ‘</w:t>
      </w:r>
      <w:r w:rsidRPr="003B25A2">
        <w:rPr>
          <w:i/>
        </w:rPr>
        <w:t>Modelling immigrants’ fiscal impacts</w:t>
      </w:r>
      <w:r w:rsidR="004B7C1B">
        <w:rPr>
          <w:i/>
        </w:rPr>
        <w:t xml:space="preserve"> — Part 1</w:t>
      </w:r>
      <w:r w:rsidRPr="003B25A2">
        <w:t xml:space="preserve">’, </w:t>
      </w:r>
      <w:r w:rsidR="006A403D">
        <w:t xml:space="preserve">Migrant Intake </w:t>
      </w:r>
      <w:r>
        <w:t xml:space="preserve">into Australia </w:t>
      </w:r>
      <w:r w:rsidRPr="003B25A2">
        <w:t>—Technical Supplement</w:t>
      </w:r>
      <w:r w:rsidR="004B7C1B">
        <w:t xml:space="preserve"> D</w:t>
      </w:r>
      <w:r w:rsidRPr="003B25A2">
        <w:t>, Canberra.</w:t>
      </w:r>
    </w:p>
    <w:p w14:paraId="5A99C17C" w14:textId="77777777" w:rsidR="003B25A2" w:rsidRPr="008A3857" w:rsidRDefault="003B25A2" w:rsidP="003B25A2">
      <w:pPr>
        <w:pStyle w:val="Copyrightsubtitle"/>
      </w:pPr>
      <w:bookmarkStart w:id="2" w:name="JEL"/>
      <w:bookmarkEnd w:id="2"/>
      <w:r w:rsidRPr="008A3857">
        <w:t>Publications enquiries</w:t>
      </w:r>
    </w:p>
    <w:p w14:paraId="57A09E78" w14:textId="77777777" w:rsidR="003B25A2" w:rsidRDefault="003B25A2" w:rsidP="003B25A2">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14:paraId="47EC3510" w14:textId="77777777" w:rsidR="003B25A2" w:rsidRDefault="003B25A2" w:rsidP="003B25A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3B25A2" w14:paraId="1BA00153" w14:textId="77777777" w:rsidTr="00862EA5">
        <w:tc>
          <w:tcPr>
            <w:tcW w:w="8771" w:type="dxa"/>
            <w:tcBorders>
              <w:top w:val="single" w:sz="6" w:space="0" w:color="78A22F"/>
              <w:left w:val="nil"/>
              <w:bottom w:val="nil"/>
              <w:right w:val="nil"/>
            </w:tcBorders>
            <w:shd w:val="clear" w:color="auto" w:fill="F2F2F2" w:themeFill="background1" w:themeFillShade="F2"/>
          </w:tcPr>
          <w:p w14:paraId="4BBC8DFD" w14:textId="77777777" w:rsidR="003B25A2" w:rsidRPr="008A3857" w:rsidRDefault="003B25A2" w:rsidP="00862EA5">
            <w:pPr>
              <w:pStyle w:val="BoxTitle"/>
              <w:rPr>
                <w:sz w:val="22"/>
                <w:szCs w:val="22"/>
              </w:rPr>
            </w:pPr>
            <w:r w:rsidRPr="008A3857">
              <w:rPr>
                <w:sz w:val="22"/>
                <w:szCs w:val="22"/>
              </w:rPr>
              <w:t>The Productivity Commission</w:t>
            </w:r>
          </w:p>
        </w:tc>
      </w:tr>
      <w:tr w:rsidR="003B25A2" w14:paraId="18F638F6" w14:textId="77777777" w:rsidTr="00862EA5">
        <w:tc>
          <w:tcPr>
            <w:tcW w:w="8771" w:type="dxa"/>
            <w:tcBorders>
              <w:top w:val="nil"/>
              <w:left w:val="nil"/>
              <w:bottom w:val="nil"/>
              <w:right w:val="nil"/>
            </w:tcBorders>
            <w:shd w:val="clear" w:color="auto" w:fill="F2F2F2" w:themeFill="background1" w:themeFillShade="F2"/>
          </w:tcPr>
          <w:p w14:paraId="645F7B88" w14:textId="77777777" w:rsidR="003B25A2" w:rsidRDefault="003B25A2" w:rsidP="00862EA5">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E12FAF4" w14:textId="77777777" w:rsidR="003B25A2" w:rsidRDefault="003B25A2" w:rsidP="00862EA5">
            <w:pPr>
              <w:pStyle w:val="Box"/>
            </w:pPr>
            <w:r w:rsidRPr="00BB5DCF">
              <w:t>The Commission’s independence is underpinned by an Act of Parliament. Its processes and outputs are open to public scrutiny and are driven by concern for the wellbeing of the community as a whole.</w:t>
            </w:r>
          </w:p>
          <w:p w14:paraId="793247B7" w14:textId="77777777" w:rsidR="003B25A2" w:rsidRDefault="003B25A2" w:rsidP="00862EA5">
            <w:pPr>
              <w:pStyle w:val="Box"/>
            </w:pPr>
            <w:r w:rsidRPr="00BB5DCF">
              <w:rPr>
                <w:szCs w:val="24"/>
              </w:rPr>
              <w:t>Further information on the Productivity Commission can be obtained from the Commission’s website (</w:t>
            </w:r>
            <w:proofErr w:type="spellStart"/>
            <w:r w:rsidR="00862EA5">
              <w:fldChar w:fldCharType="begin"/>
            </w:r>
            <w:r w:rsidR="00862EA5">
              <w:instrText xml:space="preserve"> HYPERLINK "http://www.pc.gov.au/" </w:instrText>
            </w:r>
            <w:r w:rsidR="00862EA5">
              <w:fldChar w:fldCharType="separate"/>
            </w:r>
            <w:r w:rsidRPr="00805FD7">
              <w:t>www.pc.gov.au</w:t>
            </w:r>
            <w:proofErr w:type="spellEnd"/>
            <w:r w:rsidR="00862EA5">
              <w:fldChar w:fldCharType="end"/>
            </w:r>
            <w:r w:rsidRPr="00BB5DCF">
              <w:rPr>
                <w:szCs w:val="24"/>
              </w:rPr>
              <w:t>)</w:t>
            </w:r>
            <w:r>
              <w:rPr>
                <w:szCs w:val="24"/>
              </w:rPr>
              <w:t>.</w:t>
            </w:r>
          </w:p>
        </w:tc>
      </w:tr>
      <w:tr w:rsidR="003B25A2" w14:paraId="7F80806A" w14:textId="77777777" w:rsidTr="00862EA5">
        <w:tc>
          <w:tcPr>
            <w:tcW w:w="8771" w:type="dxa"/>
            <w:tcBorders>
              <w:top w:val="nil"/>
              <w:left w:val="nil"/>
              <w:bottom w:val="single" w:sz="6" w:space="0" w:color="78A22F"/>
              <w:right w:val="nil"/>
            </w:tcBorders>
            <w:shd w:val="clear" w:color="auto" w:fill="F2F2F2" w:themeFill="background1" w:themeFillShade="F2"/>
          </w:tcPr>
          <w:p w14:paraId="38F3E40C" w14:textId="77777777" w:rsidR="003B25A2" w:rsidRDefault="003B25A2" w:rsidP="00862EA5">
            <w:pPr>
              <w:pStyle w:val="Box"/>
              <w:spacing w:before="0" w:line="120" w:lineRule="exact"/>
            </w:pPr>
          </w:p>
        </w:tc>
      </w:tr>
    </w:tbl>
    <w:p w14:paraId="646912FA" w14:textId="6041001D" w:rsidR="00362C2E" w:rsidRDefault="00362C2E" w:rsidP="003557AB">
      <w:pPr>
        <w:pStyle w:val="Chapter"/>
        <w:ind w:left="907" w:hanging="907"/>
        <w:sectPr w:rsidR="00362C2E" w:rsidSect="00F0289A">
          <w:headerReference w:type="default" r:id="rId20"/>
          <w:footerReference w:type="default" r:id="rId21"/>
          <w:pgSz w:w="11907" w:h="16840" w:code="9"/>
          <w:pgMar w:top="1984" w:right="1304" w:bottom="1247" w:left="1814" w:header="1701" w:footer="397" w:gutter="0"/>
          <w:pgNumType w:start="1" w:chapSep="period"/>
          <w:cols w:space="720"/>
          <w:docGrid w:linePitch="326"/>
        </w:sectPr>
      </w:pPr>
    </w:p>
    <w:p w14:paraId="4C6A40DB" w14:textId="75D782E3" w:rsidR="00A33DFF" w:rsidRDefault="00D10860" w:rsidP="00943A80">
      <w:pPr>
        <w:pStyle w:val="Chapter"/>
      </w:pPr>
      <w:r>
        <w:lastRenderedPageBreak/>
        <w:t>Modelling immigrants’ fiscal impacts</w:t>
      </w:r>
      <w:bookmarkEnd w:id="0"/>
      <w:r w:rsidR="004B7C1B">
        <w:t xml:space="preserve"> </w:t>
      </w:r>
      <w:r w:rsidR="00943A80">
        <w:br/>
      </w:r>
      <w:r w:rsidR="004B7C1B">
        <w:t>— Part 1</w:t>
      </w:r>
    </w:p>
    <w:p w14:paraId="4C6A40DC" w14:textId="2AD2FB61" w:rsidR="00666E02" w:rsidRDefault="005F4AA2" w:rsidP="00120072">
      <w:pPr>
        <w:pStyle w:val="BodyText"/>
      </w:pPr>
      <w:bookmarkStart w:id="3" w:name="begin"/>
      <w:bookmarkEnd w:id="3"/>
      <w:r>
        <w:t>Chapter</w:t>
      </w:r>
      <w:r w:rsidR="00AA305E">
        <w:t> </w:t>
      </w:r>
      <w:r w:rsidR="000717C7">
        <w:t>9</w:t>
      </w:r>
      <w:r>
        <w:t xml:space="preserve"> of the </w:t>
      </w:r>
      <w:r w:rsidR="00AA305E">
        <w:t>Productivity Commission’s</w:t>
      </w:r>
      <w:r>
        <w:t xml:space="preserve"> </w:t>
      </w:r>
      <w:r w:rsidR="001A1F09">
        <w:t>final inquiry r</w:t>
      </w:r>
      <w:r>
        <w:t xml:space="preserve">eport </w:t>
      </w:r>
      <w:r w:rsidR="00AA305E">
        <w:t>on</w:t>
      </w:r>
      <w:r w:rsidR="00C91F41">
        <w:t xml:space="preserve"> </w:t>
      </w:r>
      <w:r w:rsidR="00C91F41" w:rsidRPr="007D2A1B">
        <w:rPr>
          <w:i/>
        </w:rPr>
        <w:t>Migrant Intake into Australia</w:t>
      </w:r>
      <w:r w:rsidR="00C91F41">
        <w:t xml:space="preserve"> </w:t>
      </w:r>
      <w:r w:rsidR="000717C7">
        <w:t>presents</w:t>
      </w:r>
      <w:r w:rsidR="000962FC">
        <w:t xml:space="preserve"> data on the</w:t>
      </w:r>
      <w:r>
        <w:t xml:space="preserve"> net fiscal impacts </w:t>
      </w:r>
      <w:r w:rsidR="00C91F41">
        <w:t>of</w:t>
      </w:r>
      <w:r>
        <w:t xml:space="preserve"> different types of </w:t>
      </w:r>
      <w:r w:rsidR="00884287">
        <w:t>im</w:t>
      </w:r>
      <w:r>
        <w:t xml:space="preserve">migrants </w:t>
      </w:r>
      <w:r w:rsidR="000717C7">
        <w:t>(</w:t>
      </w:r>
      <w:r w:rsidR="00884287">
        <w:t>section</w:t>
      </w:r>
      <w:r w:rsidR="00C97F4F">
        <w:t> </w:t>
      </w:r>
      <w:r w:rsidR="005D4BF5">
        <w:t>9.4</w:t>
      </w:r>
      <w:r>
        <w:t xml:space="preserve">). These estimates are </w:t>
      </w:r>
      <w:r w:rsidR="000962FC">
        <w:t>derived using</w:t>
      </w:r>
      <w:r w:rsidR="004A5389">
        <w:t xml:space="preserve"> a model</w:t>
      </w:r>
      <w:r w:rsidR="000962FC">
        <w:t>,</w:t>
      </w:r>
      <w:r w:rsidR="00F921D1">
        <w:t xml:space="preserve"> developed by the Commission </w:t>
      </w:r>
      <w:r w:rsidR="000962FC">
        <w:t>for the inquiry, which</w:t>
      </w:r>
      <w:r w:rsidR="00F921D1">
        <w:t xml:space="preserve"> </w:t>
      </w:r>
      <w:r>
        <w:t>project</w:t>
      </w:r>
      <w:r w:rsidR="000962FC">
        <w:t>s</w:t>
      </w:r>
      <w:r>
        <w:t xml:space="preserve"> fiscal impacts </w:t>
      </w:r>
      <w:r w:rsidR="00F921D1">
        <w:t>(</w:t>
      </w:r>
      <w:r w:rsidR="00C63AC9">
        <w:t xml:space="preserve">government </w:t>
      </w:r>
      <w:r w:rsidR="00F921D1">
        <w:t xml:space="preserve">revenues </w:t>
      </w:r>
      <w:r w:rsidR="00D26E59">
        <w:t>net of</w:t>
      </w:r>
      <w:r w:rsidR="00F921D1">
        <w:t xml:space="preserve"> expenditures) </w:t>
      </w:r>
      <w:r w:rsidR="005D4BF5">
        <w:t>for</w:t>
      </w:r>
      <w:r>
        <w:t xml:space="preserve"> </w:t>
      </w:r>
      <w:r w:rsidR="00C91F41">
        <w:t xml:space="preserve">broad </w:t>
      </w:r>
      <w:r w:rsidR="00F921D1">
        <w:t xml:space="preserve">types of </w:t>
      </w:r>
      <w:r w:rsidR="00884287">
        <w:t>im</w:t>
      </w:r>
      <w:r>
        <w:t>migra</w:t>
      </w:r>
      <w:r w:rsidR="00F921D1">
        <w:t>nts</w:t>
      </w:r>
      <w:r w:rsidR="00C91F41">
        <w:t xml:space="preserve">, based on the average characteristics of each </w:t>
      </w:r>
      <w:r w:rsidR="00B73B49">
        <w:t>type</w:t>
      </w:r>
      <w:r w:rsidR="001A1F09">
        <w:t xml:space="preserve"> of immigrant</w:t>
      </w:r>
      <w:r w:rsidR="000962FC">
        <w:t xml:space="preserve">. </w:t>
      </w:r>
      <w:r w:rsidR="00345553">
        <w:t xml:space="preserve">This technical supplement provides details of the modelling undertaken to </w:t>
      </w:r>
      <w:r w:rsidR="00B73B49">
        <w:t>obtain</w:t>
      </w:r>
      <w:r w:rsidR="00345553">
        <w:t xml:space="preserve"> the fiscal impacts </w:t>
      </w:r>
      <w:r w:rsidR="00B73B49">
        <w:t xml:space="preserve">presented </w:t>
      </w:r>
      <w:r w:rsidR="007D2A1B">
        <w:t>in the inquiry report</w:t>
      </w:r>
      <w:r w:rsidR="00345553">
        <w:t>.</w:t>
      </w:r>
    </w:p>
    <w:p w14:paraId="4C6A40DD" w14:textId="77777777" w:rsidR="005D4BF5" w:rsidRDefault="004A5389" w:rsidP="00120072">
      <w:pPr>
        <w:pStyle w:val="BodyText"/>
      </w:pPr>
      <w:r>
        <w:t xml:space="preserve">The results in </w:t>
      </w:r>
      <w:r w:rsidR="00884287">
        <w:t>chapter</w:t>
      </w:r>
      <w:r w:rsidR="00AA305E">
        <w:t> </w:t>
      </w:r>
      <w:r w:rsidR="000962FC">
        <w:t>9</w:t>
      </w:r>
      <w:r w:rsidR="005D4BF5">
        <w:t xml:space="preserve"> are estimated lifetime fiscal impacts, based on</w:t>
      </w:r>
      <w:r w:rsidR="00C91F41">
        <w:t xml:space="preserve"> a</w:t>
      </w:r>
      <w:r w:rsidR="00884287">
        <w:t xml:space="preserve"> single</w:t>
      </w:r>
      <w:r w:rsidR="007D2A1B">
        <w:t xml:space="preserve"> </w:t>
      </w:r>
      <w:r w:rsidR="00884287">
        <w:t>(</w:t>
      </w:r>
      <w:r w:rsidR="00D26E59">
        <w:t>one</w:t>
      </w:r>
      <w:r w:rsidR="00C91F41">
        <w:t xml:space="preserve"> year</w:t>
      </w:r>
      <w:r w:rsidR="00884287">
        <w:t>’s)</w:t>
      </w:r>
      <w:r w:rsidR="00C91F41">
        <w:t xml:space="preserve"> ‘</w:t>
      </w:r>
      <w:r w:rsidR="00C91F41" w:rsidRPr="007D2A1B">
        <w:rPr>
          <w:i/>
        </w:rPr>
        <w:t>representative</w:t>
      </w:r>
      <w:r w:rsidR="00D26E59" w:rsidRPr="007D2A1B">
        <w:rPr>
          <w:i/>
        </w:rPr>
        <w:t xml:space="preserve"> intake</w:t>
      </w:r>
      <w:r w:rsidR="00C91F41">
        <w:t>’</w:t>
      </w:r>
      <w:r w:rsidR="007D2A1B">
        <w:t xml:space="preserve"> of immigrants</w:t>
      </w:r>
      <w:r w:rsidR="00884287">
        <w:t xml:space="preserve">. </w:t>
      </w:r>
      <w:r w:rsidR="001E76A0">
        <w:t>Those results do</w:t>
      </w:r>
      <w:r w:rsidR="00884287">
        <w:t xml:space="preserve"> </w:t>
      </w:r>
      <w:r w:rsidR="00453029">
        <w:t>not include the impact</w:t>
      </w:r>
      <w:r w:rsidR="00EF0E4B">
        <w:t xml:space="preserve"> of</w:t>
      </w:r>
      <w:r w:rsidR="003C7185">
        <w:t xml:space="preserve"> subsequent </w:t>
      </w:r>
      <w:r w:rsidR="00C91F41">
        <w:t>intakes</w:t>
      </w:r>
      <w:r w:rsidR="003C7185">
        <w:t xml:space="preserve">, </w:t>
      </w:r>
      <w:r w:rsidR="0070210A">
        <w:t>n</w:t>
      </w:r>
      <w:r w:rsidR="003C7185">
        <w:t>or</w:t>
      </w:r>
      <w:r w:rsidR="005D4BF5">
        <w:t xml:space="preserve"> of</w:t>
      </w:r>
      <w:r w:rsidR="00EF0E4B">
        <w:t xml:space="preserve"> </w:t>
      </w:r>
      <w:r w:rsidR="0070210A">
        <w:t>immigrants’ descendants</w:t>
      </w:r>
      <w:r w:rsidR="00D26E59">
        <w:t xml:space="preserve">. </w:t>
      </w:r>
      <w:r w:rsidR="00C91F41">
        <w:t>The intake is characterised as net overseas migration (NOM) and the lifetime impacts are presented in the form of net present values (</w:t>
      </w:r>
      <w:proofErr w:type="spellStart"/>
      <w:r w:rsidR="00C91F41">
        <w:t>NPVs</w:t>
      </w:r>
      <w:proofErr w:type="spellEnd"/>
      <w:r w:rsidR="00C91F41">
        <w:t xml:space="preserve">). </w:t>
      </w:r>
      <w:r w:rsidR="007D2A1B">
        <w:t xml:space="preserve">This supplement details </w:t>
      </w:r>
      <w:proofErr w:type="spellStart"/>
      <w:r w:rsidR="008603F1">
        <w:t>NPV</w:t>
      </w:r>
      <w:proofErr w:type="spellEnd"/>
      <w:r w:rsidR="008603F1">
        <w:t xml:space="preserve"> </w:t>
      </w:r>
      <w:r w:rsidR="007D2A1B">
        <w:t xml:space="preserve">results for </w:t>
      </w:r>
      <w:r w:rsidR="005D4BF5">
        <w:t>three separate specification</w:t>
      </w:r>
      <w:r w:rsidR="00884287">
        <w:t>s</w:t>
      </w:r>
      <w:r w:rsidR="005D4BF5">
        <w:t xml:space="preserve"> of the model (each </w:t>
      </w:r>
      <w:r w:rsidR="00AA305E">
        <w:t>with</w:t>
      </w:r>
      <w:r w:rsidR="005D4BF5">
        <w:t xml:space="preserve"> a different </w:t>
      </w:r>
      <w:r w:rsidR="00AA305E">
        <w:t>specification</w:t>
      </w:r>
      <w:r w:rsidR="005D4BF5">
        <w:t xml:space="preserve"> of government expenditures and revenues)</w:t>
      </w:r>
      <w:r w:rsidR="00C91F41">
        <w:t>.</w:t>
      </w:r>
      <w:r w:rsidR="005D4BF5">
        <w:t xml:space="preserve"> </w:t>
      </w:r>
      <w:r w:rsidR="00C91F41">
        <w:t xml:space="preserve">In addition, </w:t>
      </w:r>
      <w:r w:rsidR="009A7F70">
        <w:t>the model can derive</w:t>
      </w:r>
      <w:r w:rsidR="00C91F41">
        <w:t xml:space="preserve"> </w:t>
      </w:r>
      <w:r w:rsidR="005D4BF5">
        <w:t>results</w:t>
      </w:r>
      <w:r w:rsidR="008603F1">
        <w:t xml:space="preserve"> for the rep</w:t>
      </w:r>
      <w:r w:rsidR="00AA305E">
        <w:t>resentative intake in aggregate</w:t>
      </w:r>
      <w:r w:rsidR="008603F1">
        <w:t xml:space="preserve"> and</w:t>
      </w:r>
      <w:r w:rsidR="005D4BF5">
        <w:t xml:space="preserve"> </w:t>
      </w:r>
      <w:r w:rsidR="0070210A">
        <w:t>for</w:t>
      </w:r>
      <w:r w:rsidR="005D4BF5">
        <w:t xml:space="preserve"> the cumulative </w:t>
      </w:r>
      <w:r w:rsidR="00740D60">
        <w:t xml:space="preserve">fiscal impacts </w:t>
      </w:r>
      <w:r w:rsidR="00EF0E4B">
        <w:t xml:space="preserve">of </w:t>
      </w:r>
      <w:r w:rsidR="005D4BF5">
        <w:t xml:space="preserve">subsequent </w:t>
      </w:r>
      <w:r w:rsidR="00E110B6">
        <w:t>NOM intakes over time</w:t>
      </w:r>
      <w:r w:rsidR="00740D60">
        <w:t xml:space="preserve"> </w:t>
      </w:r>
      <w:r w:rsidR="00646F70">
        <w:t>(</w:t>
      </w:r>
      <w:r w:rsidR="00740D60">
        <w:t xml:space="preserve">including the impact of </w:t>
      </w:r>
      <w:r w:rsidR="0070210A">
        <w:t>immigrants’ descendants</w:t>
      </w:r>
      <w:r w:rsidR="00646F70">
        <w:t>)</w:t>
      </w:r>
      <w:r w:rsidR="00740D60">
        <w:t>.</w:t>
      </w:r>
      <w:r w:rsidR="00EF0E4B">
        <w:t xml:space="preserve"> </w:t>
      </w:r>
      <w:r w:rsidR="008603F1">
        <w:t>Results for these projections are detailed in a separate document accompanying the release of the model itself.</w:t>
      </w:r>
    </w:p>
    <w:p w14:paraId="4C6A40DE" w14:textId="213788CA" w:rsidR="00666E02" w:rsidRDefault="00740D60" w:rsidP="00120072">
      <w:pPr>
        <w:pStyle w:val="BodyText"/>
      </w:pPr>
      <w:r>
        <w:t xml:space="preserve">These </w:t>
      </w:r>
      <w:r w:rsidR="005D4BF5">
        <w:t xml:space="preserve">additional </w:t>
      </w:r>
      <w:r>
        <w:t xml:space="preserve">projections </w:t>
      </w:r>
      <w:r w:rsidR="00C91F41">
        <w:t>use some inputs from</w:t>
      </w:r>
      <w:r w:rsidR="00EF0E4B">
        <w:t xml:space="preserve"> the </w:t>
      </w:r>
      <w:r w:rsidR="00CD77A7">
        <w:t>business</w:t>
      </w:r>
      <w:r w:rsidR="00CD77A7">
        <w:noBreakHyphen/>
        <w:t>as</w:t>
      </w:r>
      <w:r w:rsidR="00CD77A7">
        <w:noBreakHyphen/>
        <w:t>usual</w:t>
      </w:r>
      <w:r w:rsidR="004A5389">
        <w:t xml:space="preserve"> </w:t>
      </w:r>
      <w:r w:rsidR="00C63AC9">
        <w:t xml:space="preserve">scenario </w:t>
      </w:r>
      <w:r w:rsidR="00C91F41">
        <w:t xml:space="preserve">as summarised </w:t>
      </w:r>
      <w:r w:rsidR="004A5389">
        <w:t xml:space="preserve">in </w:t>
      </w:r>
      <w:r w:rsidR="001A1F09">
        <w:t>technical supplement</w:t>
      </w:r>
      <w:r w:rsidR="004A5389">
        <w:t xml:space="preserve"> </w:t>
      </w:r>
      <w:r w:rsidR="00CD77A7">
        <w:t xml:space="preserve">B </w:t>
      </w:r>
      <w:r w:rsidR="004A5389">
        <w:t xml:space="preserve">on the </w:t>
      </w:r>
      <w:proofErr w:type="spellStart"/>
      <w:r w:rsidR="004A5389">
        <w:t>economywide</w:t>
      </w:r>
      <w:proofErr w:type="spellEnd"/>
      <w:r w:rsidR="004A5389">
        <w:t xml:space="preserve"> </w:t>
      </w:r>
      <w:r w:rsidR="00C63AC9">
        <w:t xml:space="preserve">impacts of </w:t>
      </w:r>
      <w:r w:rsidR="00CD77A7">
        <w:t>migration</w:t>
      </w:r>
      <w:r w:rsidR="00C63AC9">
        <w:t xml:space="preserve">. This scenario is </w:t>
      </w:r>
      <w:r w:rsidR="00D26E59">
        <w:t>illustrative of</w:t>
      </w:r>
      <w:r w:rsidR="00C63AC9">
        <w:t xml:space="preserve"> the implications of </w:t>
      </w:r>
      <w:r w:rsidR="00C63AC9" w:rsidRPr="00C63AC9">
        <w:t xml:space="preserve">NOM </w:t>
      </w:r>
      <w:r w:rsidR="00B73B49">
        <w:t>assuming it</w:t>
      </w:r>
      <w:r w:rsidR="00C63AC9" w:rsidRPr="00C63AC9">
        <w:t xml:space="preserve"> converge</w:t>
      </w:r>
      <w:r w:rsidR="00B73B49">
        <w:t>s</w:t>
      </w:r>
      <w:r w:rsidR="00C63AC9" w:rsidRPr="00C63AC9">
        <w:t xml:space="preserve"> </w:t>
      </w:r>
      <w:r w:rsidR="00C91F41">
        <w:t>over a ten year</w:t>
      </w:r>
      <w:r w:rsidR="00CD77A7">
        <w:t xml:space="preserve"> period </w:t>
      </w:r>
      <w:r w:rsidR="00C63AC9" w:rsidRPr="00C63AC9">
        <w:t xml:space="preserve">to </w:t>
      </w:r>
      <w:r w:rsidR="00B73B49">
        <w:t>an</w:t>
      </w:r>
      <w:r w:rsidR="00CD77A7" w:rsidRPr="00C63AC9">
        <w:t xml:space="preserve"> </w:t>
      </w:r>
      <w:r w:rsidR="00C63AC9" w:rsidRPr="00C63AC9">
        <w:t>historical average of the ratio of net migration to popula</w:t>
      </w:r>
      <w:r w:rsidR="00D26E59">
        <w:t>tion (0.6</w:t>
      </w:r>
      <w:r w:rsidR="00CD77A7">
        <w:t> </w:t>
      </w:r>
      <w:r w:rsidR="00D26E59">
        <w:t>per</w:t>
      </w:r>
      <w:r w:rsidR="00CD77A7">
        <w:t> </w:t>
      </w:r>
      <w:r w:rsidR="00AA305E">
        <w:t>cent)</w:t>
      </w:r>
      <w:r w:rsidR="00D26E59">
        <w:t xml:space="preserve"> and remain</w:t>
      </w:r>
      <w:r w:rsidR="00B73B49">
        <w:t>s</w:t>
      </w:r>
      <w:r w:rsidR="00EF0E4B">
        <w:t xml:space="preserve"> at that proportion </w:t>
      </w:r>
      <w:r w:rsidR="00284DB1">
        <w:t>over the projection period.</w:t>
      </w:r>
      <w:r w:rsidR="008603F1">
        <w:t xml:space="preserve"> </w:t>
      </w:r>
    </w:p>
    <w:p w14:paraId="1987367A" w14:textId="332F6C0E" w:rsidR="00325B31" w:rsidRDefault="00325B31" w:rsidP="00120072">
      <w:pPr>
        <w:pStyle w:val="BodyText"/>
      </w:pPr>
      <w:r>
        <w:t xml:space="preserve">The technical supplement begins by outlining the objectives of the model (section </w:t>
      </w:r>
      <w:proofErr w:type="spellStart"/>
      <w:r>
        <w:t>D.1</w:t>
      </w:r>
      <w:proofErr w:type="spellEnd"/>
      <w:r>
        <w:t xml:space="preserve">). An overview of the model is provided in section </w:t>
      </w:r>
      <w:proofErr w:type="spellStart"/>
      <w:r>
        <w:t>D.2</w:t>
      </w:r>
      <w:proofErr w:type="spellEnd"/>
      <w:r>
        <w:t xml:space="preserve"> followed by a description of the data sources (section </w:t>
      </w:r>
      <w:proofErr w:type="spellStart"/>
      <w:r>
        <w:t>D.3</w:t>
      </w:r>
      <w:proofErr w:type="spellEnd"/>
      <w:r>
        <w:t xml:space="preserve">). The model’s framework, assumptions and limitations are discussed in section </w:t>
      </w:r>
      <w:proofErr w:type="spellStart"/>
      <w:r>
        <w:t>D.4</w:t>
      </w:r>
      <w:proofErr w:type="spellEnd"/>
      <w:r>
        <w:t xml:space="preserve">. Section </w:t>
      </w:r>
      <w:proofErr w:type="spellStart"/>
      <w:r>
        <w:t>D.5</w:t>
      </w:r>
      <w:proofErr w:type="spellEnd"/>
      <w:r>
        <w:t xml:space="preserve"> concludes with a discussion of the results for three specifications of the model.</w:t>
      </w:r>
    </w:p>
    <w:p w14:paraId="4C6A40DF" w14:textId="2516748F" w:rsidR="00646F70" w:rsidRDefault="00FD401E" w:rsidP="00646F70">
      <w:pPr>
        <w:pStyle w:val="Heading2"/>
      </w:pPr>
      <w:proofErr w:type="spellStart"/>
      <w:r>
        <w:t>D</w:t>
      </w:r>
      <w:r w:rsidR="00D10860">
        <w:t>.</w:t>
      </w:r>
      <w:r w:rsidR="00D10860">
        <w:rPr>
          <w:noProof/>
        </w:rPr>
        <w:t>1</w:t>
      </w:r>
      <w:proofErr w:type="spellEnd"/>
      <w:r w:rsidR="00646F70">
        <w:tab/>
        <w:t>Objectives of the model</w:t>
      </w:r>
    </w:p>
    <w:p w14:paraId="4C6A40E0" w14:textId="77777777" w:rsidR="00864A4E" w:rsidRDefault="00864A4E" w:rsidP="00864A4E">
      <w:pPr>
        <w:pStyle w:val="BodyText"/>
      </w:pPr>
      <w:r>
        <w:t xml:space="preserve">The model was </w:t>
      </w:r>
      <w:r w:rsidR="00345553">
        <w:t xml:space="preserve">developed </w:t>
      </w:r>
      <w:r>
        <w:t xml:space="preserve">to enhance the evidence base for </w:t>
      </w:r>
      <w:r w:rsidR="00CD77A7">
        <w:t xml:space="preserve">migration </w:t>
      </w:r>
      <w:r>
        <w:t>policy</w:t>
      </w:r>
      <w:r w:rsidR="00884287">
        <w:t>. It</w:t>
      </w:r>
      <w:r>
        <w:t xml:space="preserve"> has been designed </w:t>
      </w:r>
      <w:r w:rsidR="00884287">
        <w:t xml:space="preserve">to highlight </w:t>
      </w:r>
      <w:r>
        <w:t xml:space="preserve">the fiscal impacts of differences in </w:t>
      </w:r>
      <w:r w:rsidR="00884287">
        <w:t>im</w:t>
      </w:r>
      <w:r>
        <w:t>migrants’ characteristics (such a</w:t>
      </w:r>
      <w:r w:rsidR="00AA305E">
        <w:t>s visa category, age on arrival</w:t>
      </w:r>
      <w:r>
        <w:t xml:space="preserve"> and labour force characteristics). </w:t>
      </w:r>
      <w:r w:rsidR="005D4BF5">
        <w:t xml:space="preserve">As noted in the overview, </w:t>
      </w:r>
      <w:r w:rsidR="005D4BF5">
        <w:lastRenderedPageBreak/>
        <w:t>a</w:t>
      </w:r>
      <w:r>
        <w:t xml:space="preserve">lthough fiscal outcomes </w:t>
      </w:r>
      <w:r w:rsidR="00B73B49">
        <w:t>are</w:t>
      </w:r>
      <w:r w:rsidR="007D2A9D">
        <w:t xml:space="preserve"> not the only driver</w:t>
      </w:r>
      <w:r>
        <w:t xml:space="preserve"> of </w:t>
      </w:r>
      <w:r w:rsidR="00884287">
        <w:t>im</w:t>
      </w:r>
      <w:r>
        <w:t xml:space="preserve">migration policy, </w:t>
      </w:r>
      <w:r w:rsidR="00402EF1">
        <w:t xml:space="preserve">it is important to recognise that </w:t>
      </w:r>
      <w:r>
        <w:t xml:space="preserve">any additional fiscal outlays </w:t>
      </w:r>
      <w:r w:rsidR="00402EF1">
        <w:t>that immigration</w:t>
      </w:r>
      <w:r>
        <w:t xml:space="preserve"> induces </w:t>
      </w:r>
      <w:r w:rsidRPr="00583747">
        <w:t>require</w:t>
      </w:r>
      <w:r w:rsidR="00402EF1">
        <w:t>s</w:t>
      </w:r>
      <w:r>
        <w:t xml:space="preserve"> either </w:t>
      </w:r>
      <w:r w:rsidR="00CD77A7">
        <w:t xml:space="preserve">raising </w:t>
      </w:r>
      <w:r>
        <w:t xml:space="preserve">additional taxes or </w:t>
      </w:r>
      <w:r w:rsidR="00402EF1">
        <w:t>forgoing</w:t>
      </w:r>
      <w:r w:rsidRPr="00583747">
        <w:t xml:space="preserve"> government expenditure in other areas</w:t>
      </w:r>
      <w:r>
        <w:t xml:space="preserve">. </w:t>
      </w:r>
    </w:p>
    <w:p w14:paraId="4C6A40E1" w14:textId="77777777" w:rsidR="00864A4E" w:rsidRDefault="00864A4E" w:rsidP="00864A4E">
      <w:pPr>
        <w:pStyle w:val="BodyText"/>
      </w:pPr>
      <w:r>
        <w:t xml:space="preserve">Furthermore, </w:t>
      </w:r>
      <w:r w:rsidR="007D2A9D">
        <w:t>characteristics</w:t>
      </w:r>
      <w:r w:rsidR="00660CF6">
        <w:t xml:space="preserve"> of the migrant intake</w:t>
      </w:r>
      <w:r w:rsidR="007D2A9D">
        <w:t xml:space="preserve"> </w:t>
      </w:r>
      <w:r>
        <w:t xml:space="preserve">are ultimately either directly controlled or indirectly influenced by policy. </w:t>
      </w:r>
      <w:r w:rsidR="003E457D">
        <w:t>O</w:t>
      </w:r>
      <w:r>
        <w:t xml:space="preserve">ver the long term, choices regarding the composition and size of NOM are </w:t>
      </w:r>
      <w:r w:rsidR="006A3963">
        <w:t xml:space="preserve">therefore </w:t>
      </w:r>
      <w:r>
        <w:t>likely to have material implications for the consumption possibilities of both the Australian community (</w:t>
      </w:r>
      <w:r w:rsidRPr="00690981">
        <w:t>existing Australian citizens and permanent residents</w:t>
      </w:r>
      <w:r>
        <w:t xml:space="preserve">) and immigrants themselves. Estimates of the lifetime fiscal impacts of different </w:t>
      </w:r>
      <w:r w:rsidR="0070210A">
        <w:t>im</w:t>
      </w:r>
      <w:r>
        <w:t xml:space="preserve">migrants </w:t>
      </w:r>
      <w:r w:rsidR="00402EF1">
        <w:t xml:space="preserve">are an important input </w:t>
      </w:r>
      <w:r>
        <w:t>in</w:t>
      </w:r>
      <w:r w:rsidR="00402EF1">
        <w:t>to</w:t>
      </w:r>
      <w:r>
        <w:t xml:space="preserve"> weighing the merits of different </w:t>
      </w:r>
      <w:r w:rsidR="00884287">
        <w:t>im</w:t>
      </w:r>
      <w:r>
        <w:t>migration policies against other priorities</w:t>
      </w:r>
      <w:r w:rsidR="00402EF1">
        <w:t xml:space="preserve">, in addition to accounting for any </w:t>
      </w:r>
      <w:r>
        <w:t xml:space="preserve">broader </w:t>
      </w:r>
      <w:r w:rsidR="007D2A9D">
        <w:t>economic</w:t>
      </w:r>
      <w:r>
        <w:t xml:space="preserve">, social and </w:t>
      </w:r>
      <w:r w:rsidR="007D2A9D">
        <w:t xml:space="preserve">environmental </w:t>
      </w:r>
      <w:r w:rsidR="00402EF1">
        <w:t>effects</w:t>
      </w:r>
      <w:r>
        <w:t>.</w:t>
      </w:r>
    </w:p>
    <w:p w14:paraId="4C6A40E2" w14:textId="77777777" w:rsidR="00057012" w:rsidRDefault="00057012" w:rsidP="00057012">
      <w:pPr>
        <w:pStyle w:val="BodyText"/>
      </w:pPr>
      <w:r>
        <w:t xml:space="preserve">The model was </w:t>
      </w:r>
      <w:r w:rsidR="00864A4E">
        <w:t xml:space="preserve">also </w:t>
      </w:r>
      <w:r>
        <w:t xml:space="preserve">built to analyse the fiscal impacts </w:t>
      </w:r>
      <w:r w:rsidR="007D2A9D">
        <w:t>of</w:t>
      </w:r>
      <w:r>
        <w:t xml:space="preserve"> </w:t>
      </w:r>
      <w:r w:rsidR="0070210A">
        <w:t>im</w:t>
      </w:r>
      <w:r>
        <w:t xml:space="preserve">migrants in more detail than </w:t>
      </w:r>
      <w:r w:rsidR="00402EF1">
        <w:t xml:space="preserve">could be </w:t>
      </w:r>
      <w:r w:rsidR="007D2A9D">
        <w:t>specified in</w:t>
      </w:r>
      <w:r w:rsidR="006A3963">
        <w:t xml:space="preserve"> the two other modelling frameworks</w:t>
      </w:r>
      <w:r>
        <w:t xml:space="preserve"> </w:t>
      </w:r>
      <w:r w:rsidR="006A3963">
        <w:t>used</w:t>
      </w:r>
      <w:r>
        <w:t xml:space="preserve"> for the inquiry</w:t>
      </w:r>
      <w:r w:rsidR="00660CF6">
        <w:t xml:space="preserve"> </w:t>
      </w:r>
      <w:r w:rsidR="00402EF1">
        <w:t xml:space="preserve">— </w:t>
      </w:r>
      <w:r>
        <w:t xml:space="preserve">the </w:t>
      </w:r>
      <w:proofErr w:type="spellStart"/>
      <w:r>
        <w:t>economywide</w:t>
      </w:r>
      <w:proofErr w:type="spellEnd"/>
      <w:r>
        <w:t xml:space="preserve"> modelling and the partial equilibrium (PE) modelling </w:t>
      </w:r>
      <w:r w:rsidRPr="00695BDF">
        <w:t>of the impacts of</w:t>
      </w:r>
      <w:r>
        <w:t xml:space="preserve"> different </w:t>
      </w:r>
      <w:r w:rsidR="007D2A9D">
        <w:t xml:space="preserve">visa </w:t>
      </w:r>
      <w:r>
        <w:t>charging scenarios.</w:t>
      </w:r>
      <w:r w:rsidR="002007EA">
        <w:t xml:space="preserve"> </w:t>
      </w:r>
      <w:r>
        <w:t xml:space="preserve">While </w:t>
      </w:r>
      <w:r w:rsidR="0070210A">
        <w:t>both frameworks</w:t>
      </w:r>
      <w:r>
        <w:t xml:space="preserve"> allow for the analysis of the fiscal impacts of </w:t>
      </w:r>
      <w:r w:rsidR="00884287">
        <w:t>im</w:t>
      </w:r>
      <w:r>
        <w:t xml:space="preserve">migration </w:t>
      </w:r>
      <w:r w:rsidR="00345553">
        <w:t>under different frameworks and assumptions</w:t>
      </w:r>
      <w:r>
        <w:t xml:space="preserve">, they are limited in their ability to provide detailed information </w:t>
      </w:r>
      <w:r w:rsidR="004A02A4">
        <w:t>about the direct impacts of different</w:t>
      </w:r>
      <w:r w:rsidR="007D2A9D">
        <w:t xml:space="preserve"> categories of</w:t>
      </w:r>
      <w:r w:rsidR="004A02A4">
        <w:t xml:space="preserve"> immigrants</w:t>
      </w:r>
      <w:r>
        <w:t>.</w:t>
      </w:r>
      <w:r w:rsidR="004A02A4">
        <w:t xml:space="preserve"> </w:t>
      </w:r>
    </w:p>
    <w:p w14:paraId="4C6A40E3" w14:textId="1A5DD597" w:rsidR="00057012" w:rsidRDefault="006C6E00" w:rsidP="00057012">
      <w:pPr>
        <w:pStyle w:val="ListBullet"/>
      </w:pPr>
      <w:r>
        <w:t xml:space="preserve">The </w:t>
      </w:r>
      <w:proofErr w:type="spellStart"/>
      <w:r>
        <w:t>economy</w:t>
      </w:r>
      <w:r w:rsidR="00057012">
        <w:t>wide</w:t>
      </w:r>
      <w:proofErr w:type="spellEnd"/>
      <w:r w:rsidR="00057012">
        <w:t xml:space="preserve"> </w:t>
      </w:r>
      <w:r w:rsidR="00345553">
        <w:t xml:space="preserve">impacts of migration </w:t>
      </w:r>
      <w:r w:rsidR="00057012">
        <w:t xml:space="preserve">are analysed with a </w:t>
      </w:r>
      <w:r w:rsidR="0070210A">
        <w:t>computable general equilibrium</w:t>
      </w:r>
      <w:r w:rsidR="00345553">
        <w:t xml:space="preserve"> (</w:t>
      </w:r>
      <w:proofErr w:type="spellStart"/>
      <w:r w:rsidR="00345553">
        <w:t>CGE</w:t>
      </w:r>
      <w:proofErr w:type="spellEnd"/>
      <w:r w:rsidR="00345553">
        <w:t>)</w:t>
      </w:r>
      <w:r w:rsidR="0070210A">
        <w:t xml:space="preserve"> </w:t>
      </w:r>
      <w:r w:rsidR="00057012">
        <w:t>model</w:t>
      </w:r>
      <w:r w:rsidR="008D3F1C">
        <w:t xml:space="preserve"> (</w:t>
      </w:r>
      <w:r w:rsidR="001A1F09">
        <w:t xml:space="preserve">technical supplement </w:t>
      </w:r>
      <w:r w:rsidR="00884287">
        <w:t>B</w:t>
      </w:r>
      <w:r w:rsidR="008D3F1C">
        <w:t>)</w:t>
      </w:r>
      <w:r w:rsidR="00057012">
        <w:t xml:space="preserve">. While this allows for certain assumptions to be made about the </w:t>
      </w:r>
      <w:r w:rsidR="00345553">
        <w:t xml:space="preserve">average </w:t>
      </w:r>
      <w:r w:rsidR="00057012">
        <w:t xml:space="preserve">characteristics of </w:t>
      </w:r>
      <w:r w:rsidR="00884287">
        <w:t>im</w:t>
      </w:r>
      <w:r w:rsidR="00057012">
        <w:t xml:space="preserve">migrants in aggregate, it does not shed light on the different impacts (fiscal or otherwise) of different types of </w:t>
      </w:r>
      <w:r w:rsidR="00884287">
        <w:t>im</w:t>
      </w:r>
      <w:r w:rsidR="00057012">
        <w:t>migrants (e.g. skill vs. family</w:t>
      </w:r>
      <w:r w:rsidR="005E09AE">
        <w:t xml:space="preserve"> stream</w:t>
      </w:r>
      <w:r w:rsidR="00057012">
        <w:t xml:space="preserve"> </w:t>
      </w:r>
      <w:r w:rsidR="00884287">
        <w:t>im</w:t>
      </w:r>
      <w:r w:rsidR="00057012">
        <w:t>migrants).</w:t>
      </w:r>
    </w:p>
    <w:p w14:paraId="4C6A40E4" w14:textId="2ECA97D4" w:rsidR="00057012" w:rsidRDefault="00057012" w:rsidP="00057012">
      <w:pPr>
        <w:pStyle w:val="ListBullet"/>
      </w:pPr>
      <w:r>
        <w:t xml:space="preserve">The PE framework was designed to analyse the impacts of hypothetical </w:t>
      </w:r>
      <w:r w:rsidR="007D2A9D">
        <w:t xml:space="preserve">visa </w:t>
      </w:r>
      <w:r>
        <w:t>charging scenarios on</w:t>
      </w:r>
      <w:r w:rsidR="00402EF1">
        <w:t xml:space="preserve"> the</w:t>
      </w:r>
      <w:r>
        <w:t xml:space="preserve"> </w:t>
      </w:r>
      <w:r w:rsidR="00884287">
        <w:t>im</w:t>
      </w:r>
      <w:r>
        <w:t>migration decision</w:t>
      </w:r>
      <w:r w:rsidR="007D2A9D">
        <w:t>s</w:t>
      </w:r>
      <w:r w:rsidR="008D3F1C">
        <w:t xml:space="preserve"> </w:t>
      </w:r>
      <w:r w:rsidR="00402EF1">
        <w:t>of a single</w:t>
      </w:r>
      <w:r w:rsidR="004354FF">
        <w:noBreakHyphen/>
      </w:r>
      <w:r w:rsidR="00402EF1">
        <w:t xml:space="preserve">year intake of </w:t>
      </w:r>
      <w:r w:rsidR="00402EF1" w:rsidRPr="00402EF1">
        <w:rPr>
          <w:i/>
        </w:rPr>
        <w:t>permanent</w:t>
      </w:r>
      <w:r w:rsidR="00402EF1">
        <w:t xml:space="preserve"> immigrants </w:t>
      </w:r>
      <w:r w:rsidR="008D3F1C">
        <w:t>(</w:t>
      </w:r>
      <w:r w:rsidR="001A1F09">
        <w:t>technical supplement </w:t>
      </w:r>
      <w:r w:rsidR="00884287">
        <w:t>C</w:t>
      </w:r>
      <w:r w:rsidR="008D3F1C">
        <w:t>)</w:t>
      </w:r>
      <w:r>
        <w:t xml:space="preserve">. </w:t>
      </w:r>
      <w:r w:rsidR="00402EF1">
        <w:t>F</w:t>
      </w:r>
      <w:r>
        <w:t xml:space="preserve">iscal impacts are </w:t>
      </w:r>
      <w:r w:rsidR="00402EF1">
        <w:t>calculated</w:t>
      </w:r>
      <w:r>
        <w:t xml:space="preserve"> post</w:t>
      </w:r>
      <w:r w:rsidR="00305D8D">
        <w:noBreakHyphen/>
      </w:r>
      <w:r>
        <w:t xml:space="preserve">simulation, </w:t>
      </w:r>
      <w:r w:rsidR="00402EF1">
        <w:t>based on</w:t>
      </w:r>
      <w:r>
        <w:t xml:space="preserve"> aggregated estimate</w:t>
      </w:r>
      <w:r w:rsidR="004A02A4">
        <w:t>s of relevant fiscal variables</w:t>
      </w:r>
      <w:r>
        <w:t>.</w:t>
      </w:r>
    </w:p>
    <w:p w14:paraId="4C6A40E5" w14:textId="497C8262" w:rsidR="00D21BF5" w:rsidRDefault="00775880" w:rsidP="00D21BF5">
      <w:pPr>
        <w:pStyle w:val="BodyText"/>
      </w:pPr>
      <w:r>
        <w:t>T</w:t>
      </w:r>
      <w:r w:rsidR="00D21BF5">
        <w:t xml:space="preserve">he parametrisation of the model and its assumptions are </w:t>
      </w:r>
      <w:r>
        <w:t xml:space="preserve">largely </w:t>
      </w:r>
      <w:r w:rsidR="00D21BF5">
        <w:t xml:space="preserve">consistent with the economic and demographic assumptions </w:t>
      </w:r>
      <w:r w:rsidR="0034254E">
        <w:t>included in th</w:t>
      </w:r>
      <w:r w:rsidR="001A1F09">
        <w:t xml:space="preserve">e </w:t>
      </w:r>
      <w:proofErr w:type="spellStart"/>
      <w:r w:rsidR="001A1F09">
        <w:t>economywide</w:t>
      </w:r>
      <w:proofErr w:type="spellEnd"/>
      <w:r w:rsidR="001A1F09">
        <w:t xml:space="preserve"> and PE </w:t>
      </w:r>
      <w:r>
        <w:t xml:space="preserve">frameworks. Differences in the models’ assumptions are detailed in </w:t>
      </w:r>
      <w:r w:rsidR="001A1F09">
        <w:t>attachment</w:t>
      </w:r>
      <w:r w:rsidR="00325B31">
        <w:t xml:space="preserve"> </w:t>
      </w:r>
      <w:r w:rsidR="001A1F09">
        <w:t>4 of this technical supplement</w:t>
      </w:r>
      <w:r>
        <w:t xml:space="preserve">. </w:t>
      </w:r>
    </w:p>
    <w:p w14:paraId="4C6A40E6" w14:textId="4D4D6C05" w:rsidR="00F841F4" w:rsidRDefault="002007EA" w:rsidP="00A469DC">
      <w:pPr>
        <w:pStyle w:val="BodyText"/>
      </w:pPr>
      <w:r>
        <w:t>The model</w:t>
      </w:r>
      <w:r w:rsidR="00057012">
        <w:t xml:space="preserve"> has been </w:t>
      </w:r>
      <w:r>
        <w:t>designed</w:t>
      </w:r>
      <w:r w:rsidR="00057012">
        <w:t xml:space="preserve"> to</w:t>
      </w:r>
      <w:r>
        <w:t xml:space="preserve"> </w:t>
      </w:r>
      <w:r w:rsidR="00884287">
        <w:t xml:space="preserve">estimate </w:t>
      </w:r>
      <w:r w:rsidR="00345553">
        <w:t xml:space="preserve">different immigrants’ </w:t>
      </w:r>
      <w:r w:rsidR="00884287">
        <w:t xml:space="preserve">fiscal impacts from a lifetime perspective. This differs from existing Australian studies, such as </w:t>
      </w:r>
      <w:r w:rsidR="007D2A9D">
        <w:t xml:space="preserve">the </w:t>
      </w:r>
      <w:r w:rsidRPr="00B65E0F">
        <w:rPr>
          <w:i/>
        </w:rPr>
        <w:t>‘Migrants’ Fiscal Impact Model’</w:t>
      </w:r>
      <w:r w:rsidR="007D2A9D">
        <w:t xml:space="preserve"> developed by Deloitte Access Economics</w:t>
      </w:r>
      <w:r w:rsidR="00402EF1">
        <w:t xml:space="preserve"> </w:t>
      </w:r>
      <w:r w:rsidR="00402EF1" w:rsidRPr="004765FD">
        <w:rPr>
          <w:szCs w:val="24"/>
        </w:rPr>
        <w:t>(forthcoming)</w:t>
      </w:r>
      <w:r w:rsidR="00884287">
        <w:t>, which considers the impact of immigration on the Australian Government budget over a 50 year timeframe</w:t>
      </w:r>
      <w:r>
        <w:t xml:space="preserve">. </w:t>
      </w:r>
      <w:r w:rsidR="00884287">
        <w:t>T</w:t>
      </w:r>
      <w:r w:rsidRPr="002007EA">
        <w:t xml:space="preserve">he Commission’s modelling is based on a </w:t>
      </w:r>
      <w:r w:rsidR="00CE270F">
        <w:t>longer</w:t>
      </w:r>
      <w:r w:rsidRPr="002007EA">
        <w:t xml:space="preserve"> projection </w:t>
      </w:r>
      <w:r w:rsidR="00CE270F">
        <w:t>period</w:t>
      </w:r>
      <w:r w:rsidR="001A1F09">
        <w:t xml:space="preserve"> of 100 </w:t>
      </w:r>
      <w:r w:rsidR="00AA305E">
        <w:t>years</w:t>
      </w:r>
      <w:r w:rsidRPr="002007EA">
        <w:t>. It therefore captures a period</w:t>
      </w:r>
      <w:r w:rsidR="00402EF1">
        <w:t xml:space="preserve"> later</w:t>
      </w:r>
      <w:r w:rsidRPr="002007EA">
        <w:t xml:space="preserve"> in immigrants’ lives when they are not working and tend to incur large health and social security expenses.</w:t>
      </w:r>
    </w:p>
    <w:p w14:paraId="4C6A40E7" w14:textId="77777777" w:rsidR="00B8119A" w:rsidRDefault="00B8119A" w:rsidP="00A469DC">
      <w:pPr>
        <w:pStyle w:val="BodyText"/>
      </w:pPr>
      <w:r>
        <w:t xml:space="preserve">The fiscal model </w:t>
      </w:r>
      <w:r w:rsidR="00402EF1">
        <w:t>can also account for</w:t>
      </w:r>
      <w:r>
        <w:t xml:space="preserve"> the fiscal impacts of changes to </w:t>
      </w:r>
      <w:r w:rsidR="00305D8D">
        <w:t>im</w:t>
      </w:r>
      <w:r>
        <w:t xml:space="preserve">migration policy settings, including changes in policies regarding eligibility for and waiting periods to </w:t>
      </w:r>
      <w:r>
        <w:lastRenderedPageBreak/>
        <w:t>access</w:t>
      </w:r>
      <w:r w:rsidR="00402EF1">
        <w:t>,</w:t>
      </w:r>
      <w:r>
        <w:t xml:space="preserve"> government</w:t>
      </w:r>
      <w:r>
        <w:noBreakHyphen/>
        <w:t>funded services and benefits</w:t>
      </w:r>
      <w:r w:rsidR="00402EF1">
        <w:t xml:space="preserve">. It can also be used to model the effects of changing the </w:t>
      </w:r>
      <w:r>
        <w:t>composition of the migrant intake.</w:t>
      </w:r>
    </w:p>
    <w:p w14:paraId="4C6A40E8" w14:textId="11F460A5" w:rsidR="00A469DC" w:rsidRDefault="00FD401E" w:rsidP="00A469DC">
      <w:pPr>
        <w:pStyle w:val="Heading2"/>
      </w:pPr>
      <w:proofErr w:type="spellStart"/>
      <w:r>
        <w:t>D</w:t>
      </w:r>
      <w:r w:rsidR="00D10860">
        <w:t>.</w:t>
      </w:r>
      <w:r w:rsidR="00D10860">
        <w:rPr>
          <w:noProof/>
        </w:rPr>
        <w:t>2</w:t>
      </w:r>
      <w:proofErr w:type="spellEnd"/>
      <w:r w:rsidR="00A469DC">
        <w:tab/>
        <w:t>Model overview</w:t>
      </w:r>
    </w:p>
    <w:p w14:paraId="4C6A40E9" w14:textId="3467A17C" w:rsidR="00B66AB9" w:rsidRDefault="00B66AB9" w:rsidP="006A3963">
      <w:pPr>
        <w:pStyle w:val="BodyText"/>
      </w:pPr>
      <w:r>
        <w:t xml:space="preserve">The model was initially designed to estimate the net fiscal impacts of NOM </w:t>
      </w:r>
      <w:r w:rsidRPr="00313032">
        <w:rPr>
          <w:i/>
        </w:rPr>
        <w:t>in aggregate</w:t>
      </w:r>
      <w:r>
        <w:t xml:space="preserve">, including </w:t>
      </w:r>
      <w:r w:rsidR="00230976">
        <w:t>all</w:t>
      </w:r>
      <w:r>
        <w:t xml:space="preserve"> subsequent NOM over the projection period. For the inquiry, the model has been adapted to estimate </w:t>
      </w:r>
      <w:r w:rsidRPr="00313032">
        <w:rPr>
          <w:i/>
        </w:rPr>
        <w:t>average per person</w:t>
      </w:r>
      <w:r>
        <w:t xml:space="preserve"> net fiscal impacts </w:t>
      </w:r>
      <w:r w:rsidR="00313032">
        <w:t xml:space="preserve">(in </w:t>
      </w:r>
      <w:proofErr w:type="spellStart"/>
      <w:r w:rsidR="00313032">
        <w:t>NPVs</w:t>
      </w:r>
      <w:proofErr w:type="spellEnd"/>
      <w:r w:rsidR="00313032">
        <w:t xml:space="preserve">) </w:t>
      </w:r>
      <w:r>
        <w:t xml:space="preserve">for different types of </w:t>
      </w:r>
      <w:r w:rsidR="00313032">
        <w:t xml:space="preserve">permanent </w:t>
      </w:r>
      <w:r>
        <w:t>immigrants. Although the model</w:t>
      </w:r>
      <w:r w:rsidR="00313032">
        <w:t xml:space="preserve"> therefore</w:t>
      </w:r>
      <w:r>
        <w:t xml:space="preserve"> </w:t>
      </w:r>
      <w:r w:rsidR="00313032">
        <w:t>includes features to estimate the aggregate fiscal impacts of NOM (which are described below), the pres</w:t>
      </w:r>
      <w:r w:rsidR="00325B31">
        <w:t>entation of results in section </w:t>
      </w:r>
      <w:proofErr w:type="spellStart"/>
      <w:r w:rsidR="00325B31">
        <w:t>D</w:t>
      </w:r>
      <w:r w:rsidR="00313032">
        <w:t>.5</w:t>
      </w:r>
      <w:proofErr w:type="spellEnd"/>
      <w:r w:rsidR="00313032">
        <w:t xml:space="preserve"> is concentrated on the </w:t>
      </w:r>
      <w:proofErr w:type="spellStart"/>
      <w:r w:rsidR="00313032">
        <w:t>NPV</w:t>
      </w:r>
      <w:proofErr w:type="spellEnd"/>
      <w:r w:rsidR="00313032">
        <w:t xml:space="preserve"> estimates.</w:t>
      </w:r>
    </w:p>
    <w:p w14:paraId="4C6A40EA" w14:textId="2846BB07" w:rsidR="009615FA" w:rsidRDefault="00230976" w:rsidP="006A3963">
      <w:pPr>
        <w:pStyle w:val="BodyText"/>
      </w:pPr>
      <w:r>
        <w:t>Broadly, t</w:t>
      </w:r>
      <w:r w:rsidR="009A7F70">
        <w:t xml:space="preserve">he model </w:t>
      </w:r>
      <w:r w:rsidR="00B66AB9">
        <w:t>estimates</w:t>
      </w:r>
      <w:r w:rsidR="009A7F70">
        <w:t xml:space="preserve"> </w:t>
      </w:r>
      <w:r w:rsidR="009615FA">
        <w:t xml:space="preserve">the </w:t>
      </w:r>
      <w:r w:rsidR="00F5559B">
        <w:t>annual revenues and expenditures attributable to immigrants</w:t>
      </w:r>
      <w:r w:rsidR="009615FA">
        <w:t>, accounting for differences in their demographic and labour market characteristics (age, gender, visa type, labour force participation and unemployment). T</w:t>
      </w:r>
      <w:r w:rsidR="00F5559B">
        <w:t xml:space="preserve">he difference between </w:t>
      </w:r>
      <w:r w:rsidR="009615FA">
        <w:t xml:space="preserve">annual revenues and expenditures for each type of immigrant yields annual </w:t>
      </w:r>
      <w:r w:rsidR="00F5559B">
        <w:t>es</w:t>
      </w:r>
      <w:r w:rsidR="009615FA">
        <w:t>timate</w:t>
      </w:r>
      <w:r w:rsidR="00AA305E">
        <w:t>s</w:t>
      </w:r>
      <w:r w:rsidR="009615FA">
        <w:t xml:space="preserve"> of</w:t>
      </w:r>
      <w:r w:rsidR="00F5559B">
        <w:t xml:space="preserve"> </w:t>
      </w:r>
      <w:r w:rsidR="009A7F70">
        <w:t xml:space="preserve">net fiscal impacts for a </w:t>
      </w:r>
      <w:r w:rsidR="002B420C">
        <w:t xml:space="preserve">single cohort of </w:t>
      </w:r>
      <w:r w:rsidR="00B8119A">
        <w:t>im</w:t>
      </w:r>
      <w:r w:rsidR="002B420C">
        <w:t>migrants (</w:t>
      </w:r>
      <w:r w:rsidR="009615FA">
        <w:t xml:space="preserve">referred to as </w:t>
      </w:r>
      <w:r w:rsidR="002B420C">
        <w:t>the ‘representative intake’ which is characterised as NOM)</w:t>
      </w:r>
      <w:r w:rsidR="009615FA">
        <w:t>.</w:t>
      </w:r>
      <w:r w:rsidR="002B420C">
        <w:t xml:space="preserve"> </w:t>
      </w:r>
      <w:r w:rsidR="001A1F09">
        <w:t>The model projects over a 100 </w:t>
      </w:r>
      <w:r w:rsidR="00304189">
        <w:t>year period (20</w:t>
      </w:r>
      <w:r w:rsidR="006A3963">
        <w:t>1</w:t>
      </w:r>
      <w:r w:rsidR="00304189">
        <w:t>5 to 21</w:t>
      </w:r>
      <w:r w:rsidR="006A3963">
        <w:t>1</w:t>
      </w:r>
      <w:r w:rsidR="00304189">
        <w:t>4</w:t>
      </w:r>
      <w:r w:rsidR="001A1F09">
        <w:t>).</w:t>
      </w:r>
      <w:r w:rsidR="00345553">
        <w:rPr>
          <w:rStyle w:val="FootnoteReference"/>
        </w:rPr>
        <w:footnoteReference w:id="1"/>
      </w:r>
      <w:r w:rsidR="00304189">
        <w:t xml:space="preserve"> </w:t>
      </w:r>
      <w:r w:rsidR="00305F5E">
        <w:t>P</w:t>
      </w:r>
      <w:r w:rsidR="00D21BF5">
        <w:t xml:space="preserve">rojections </w:t>
      </w:r>
      <w:r w:rsidR="009615FA">
        <w:t xml:space="preserve">for the representative intake </w:t>
      </w:r>
      <w:r w:rsidR="004710FB">
        <w:t xml:space="preserve">can be </w:t>
      </w:r>
      <w:r w:rsidR="00D21BF5">
        <w:t>used to</w:t>
      </w:r>
      <w:r w:rsidR="009615FA">
        <w:t>:</w:t>
      </w:r>
    </w:p>
    <w:p w14:paraId="4C6A40EB" w14:textId="77777777" w:rsidR="009615FA" w:rsidRDefault="009615FA" w:rsidP="005E09AE">
      <w:pPr>
        <w:pStyle w:val="ListBullet"/>
      </w:pPr>
      <w:r>
        <w:t>estimate</w:t>
      </w:r>
      <w:r w:rsidR="00461FD9">
        <w:t xml:space="preserve"> </w:t>
      </w:r>
      <w:r>
        <w:t>immigrants’</w:t>
      </w:r>
      <w:r w:rsidR="002B420C">
        <w:t xml:space="preserve"> </w:t>
      </w:r>
      <w:r w:rsidR="00386C15">
        <w:t xml:space="preserve">average </w:t>
      </w:r>
      <w:r w:rsidR="002B420C">
        <w:t>lifetime net fiscal impacts (</w:t>
      </w:r>
      <w:r>
        <w:t>presented in chapter </w:t>
      </w:r>
      <w:r w:rsidR="002B420C">
        <w:t>9)</w:t>
      </w:r>
    </w:p>
    <w:p w14:paraId="4C6A40EC" w14:textId="77777777" w:rsidR="00461FD9" w:rsidRDefault="00461FD9" w:rsidP="005E09AE">
      <w:pPr>
        <w:pStyle w:val="ListBullet"/>
      </w:pPr>
      <w:r>
        <w:t>estimate the revenues, expenditures and net fiscal impacts of all future cohorts of NOM o</w:t>
      </w:r>
      <w:r w:rsidR="00AA305E">
        <w:t>ver the projection</w:t>
      </w:r>
      <w:r>
        <w:t xml:space="preserve"> and their descendants (referred to the ‘cumulative intake’), by assuming that the per </w:t>
      </w:r>
      <w:r w:rsidR="00A15A2E">
        <w:t>person</w:t>
      </w:r>
      <w:r>
        <w:t xml:space="preserve"> revenues and expenditures generated by the representative intake apply to </w:t>
      </w:r>
      <w:r w:rsidR="001E76A0">
        <w:t xml:space="preserve">all </w:t>
      </w:r>
      <w:r>
        <w:t>future intakes.</w:t>
      </w:r>
    </w:p>
    <w:p w14:paraId="4C6A40ED" w14:textId="77777777" w:rsidR="00286AF1" w:rsidRDefault="00345553" w:rsidP="006A3963">
      <w:pPr>
        <w:pStyle w:val="BodyText"/>
      </w:pPr>
      <w:r>
        <w:t>I</w:t>
      </w:r>
      <w:r w:rsidR="003577B5">
        <w:t xml:space="preserve">nputs to the model include </w:t>
      </w:r>
      <w:r w:rsidR="007D2A9D">
        <w:t xml:space="preserve">population </w:t>
      </w:r>
      <w:r w:rsidR="003577B5">
        <w:t xml:space="preserve">projections </w:t>
      </w:r>
      <w:r w:rsidR="002B420C">
        <w:t xml:space="preserve">for the purpose of </w:t>
      </w:r>
      <w:r w:rsidR="00E54B19">
        <w:t>projecting NOM</w:t>
      </w:r>
      <w:r w:rsidR="002B420C">
        <w:t xml:space="preserve">, </w:t>
      </w:r>
      <w:r w:rsidR="00E54B19">
        <w:t xml:space="preserve">as well as </w:t>
      </w:r>
      <w:r w:rsidR="002B420C">
        <w:t>mortality and fertility rates</w:t>
      </w:r>
      <w:r w:rsidR="003577B5">
        <w:t xml:space="preserve"> (with rates of growth held constant out to 2114). </w:t>
      </w:r>
    </w:p>
    <w:p w14:paraId="4C6A40EE" w14:textId="77777777" w:rsidR="00B2230E" w:rsidRPr="005E09AE" w:rsidRDefault="007D2A9D" w:rsidP="00AA305E">
      <w:pPr>
        <w:pStyle w:val="Heading3"/>
      </w:pPr>
      <w:r>
        <w:t>The scope of government e</w:t>
      </w:r>
      <w:r w:rsidR="00B2230E" w:rsidRPr="005E09AE">
        <w:t xml:space="preserve">xpenditures and revenues </w:t>
      </w:r>
    </w:p>
    <w:p w14:paraId="4C6A40EF" w14:textId="77777777" w:rsidR="00A95042" w:rsidRDefault="00304189" w:rsidP="006A3963">
      <w:pPr>
        <w:pStyle w:val="BodyText"/>
      </w:pPr>
      <w:r>
        <w:t>The model can</w:t>
      </w:r>
      <w:r w:rsidR="002B420C">
        <w:t xml:space="preserve"> </w:t>
      </w:r>
      <w:r>
        <w:t xml:space="preserve">be </w:t>
      </w:r>
      <w:r w:rsidR="0070210A">
        <w:t>calibrated</w:t>
      </w:r>
      <w:r>
        <w:t xml:space="preserve"> according to three different model specifications, each looking at a different scope of government expenditures and revenues.</w:t>
      </w:r>
      <w:r w:rsidR="006A3963">
        <w:t xml:space="preserve"> </w:t>
      </w:r>
    </w:p>
    <w:p w14:paraId="4C6A40F0" w14:textId="77777777" w:rsidR="00A95042" w:rsidRDefault="00B2230E" w:rsidP="00A95042">
      <w:pPr>
        <w:pStyle w:val="ListBullet"/>
      </w:pPr>
      <w:r>
        <w:t>S</w:t>
      </w:r>
      <w:r w:rsidR="00304189">
        <w:t>pecification</w:t>
      </w:r>
      <w:r w:rsidR="00305D8D">
        <w:t> </w:t>
      </w:r>
      <w:r>
        <w:t xml:space="preserve">1: </w:t>
      </w:r>
      <w:r w:rsidR="00304189">
        <w:t xml:space="preserve">includes </w:t>
      </w:r>
      <w:r w:rsidR="007D2A9D">
        <w:t xml:space="preserve">key </w:t>
      </w:r>
      <w:r w:rsidR="00304189">
        <w:t xml:space="preserve">revenues and expenditures attributable to </w:t>
      </w:r>
      <w:r w:rsidR="0070210A">
        <w:t>im</w:t>
      </w:r>
      <w:r w:rsidR="00304189">
        <w:t xml:space="preserve">migrants at the level of the </w:t>
      </w:r>
      <w:r w:rsidR="003E457D">
        <w:t xml:space="preserve">Australian </w:t>
      </w:r>
      <w:r w:rsidR="00345553">
        <w:t xml:space="preserve">Government </w:t>
      </w:r>
      <w:r w:rsidR="00304189">
        <w:t xml:space="preserve">only. </w:t>
      </w:r>
    </w:p>
    <w:p w14:paraId="4C6A40F1" w14:textId="77777777" w:rsidR="00A95042" w:rsidRDefault="00B2230E" w:rsidP="00A95042">
      <w:pPr>
        <w:pStyle w:val="ListBullet"/>
      </w:pPr>
      <w:r>
        <w:t>S</w:t>
      </w:r>
      <w:r w:rsidR="00304189">
        <w:t>pecification</w:t>
      </w:r>
      <w:r w:rsidR="00305D8D">
        <w:t> </w:t>
      </w:r>
      <w:r>
        <w:t xml:space="preserve">2: </w:t>
      </w:r>
      <w:r w:rsidR="00304189">
        <w:t xml:space="preserve">includes </w:t>
      </w:r>
      <w:r w:rsidR="007D2A9D">
        <w:t xml:space="preserve">key </w:t>
      </w:r>
      <w:r w:rsidR="00304189">
        <w:t xml:space="preserve">revenues and expenditures attributable to immigrants at both the </w:t>
      </w:r>
      <w:r w:rsidR="003E457D">
        <w:t xml:space="preserve">Australian </w:t>
      </w:r>
      <w:r w:rsidR="00C82682">
        <w:t xml:space="preserve">Government </w:t>
      </w:r>
      <w:r w:rsidR="00304189">
        <w:t xml:space="preserve">and </w:t>
      </w:r>
      <w:r w:rsidR="00C82682">
        <w:t>s</w:t>
      </w:r>
      <w:r w:rsidR="003E457D">
        <w:t xml:space="preserve">tate </w:t>
      </w:r>
      <w:r w:rsidR="00304189">
        <w:t xml:space="preserve">and </w:t>
      </w:r>
      <w:r w:rsidR="00C82682">
        <w:t>t</w:t>
      </w:r>
      <w:r w:rsidR="003E457D">
        <w:t xml:space="preserve">erritory </w:t>
      </w:r>
      <w:r w:rsidR="00C82682">
        <w:t>g</w:t>
      </w:r>
      <w:r w:rsidR="003E457D">
        <w:t xml:space="preserve">overnment </w:t>
      </w:r>
      <w:r w:rsidR="00304189">
        <w:t xml:space="preserve">levels. This specification underpins the results presented in </w:t>
      </w:r>
      <w:r w:rsidR="00AD2376">
        <w:t>chapter </w:t>
      </w:r>
      <w:r w:rsidR="00304189">
        <w:t xml:space="preserve">9. </w:t>
      </w:r>
    </w:p>
    <w:p w14:paraId="4C6A40F2" w14:textId="77777777" w:rsidR="00304189" w:rsidRDefault="00B2230E" w:rsidP="00A95042">
      <w:pPr>
        <w:pStyle w:val="ListBullet"/>
      </w:pPr>
      <w:r>
        <w:t>S</w:t>
      </w:r>
      <w:r w:rsidR="00304189">
        <w:t>pecification</w:t>
      </w:r>
      <w:r w:rsidR="00305D8D">
        <w:t> </w:t>
      </w:r>
      <w:r>
        <w:t xml:space="preserve">3: </w:t>
      </w:r>
      <w:r w:rsidR="00304189">
        <w:t xml:space="preserve">includes all revenues and expenditures </w:t>
      </w:r>
      <w:r w:rsidR="0070210A">
        <w:t xml:space="preserve">related to immigrants </w:t>
      </w:r>
      <w:r w:rsidR="00304189">
        <w:t>at all levels of government</w:t>
      </w:r>
      <w:r w:rsidR="007D2A9D">
        <w:t>, including local government</w:t>
      </w:r>
      <w:r w:rsidR="00304189">
        <w:t xml:space="preserve">. </w:t>
      </w:r>
    </w:p>
    <w:p w14:paraId="4C6A40F3" w14:textId="10C9D025" w:rsidR="0063205D" w:rsidRDefault="0063205D" w:rsidP="0063205D">
      <w:pPr>
        <w:pStyle w:val="BodyText"/>
      </w:pPr>
      <w:r>
        <w:lastRenderedPageBreak/>
        <w:t xml:space="preserve">Per person expenditures for the first and second specifications of the model </w:t>
      </w:r>
      <w:r w:rsidR="007D2A9D">
        <w:t xml:space="preserve">are </w:t>
      </w:r>
      <w:r>
        <w:t xml:space="preserve">defined in </w:t>
      </w:r>
      <w:r w:rsidR="00AA305E">
        <w:t>PC</w:t>
      </w:r>
      <w:r w:rsidR="00D97929">
        <w:t> </w:t>
      </w:r>
      <w:r w:rsidR="00574CAE" w:rsidRPr="00574CAE">
        <w:rPr>
          <w:szCs w:val="24"/>
        </w:rPr>
        <w:t>(2013)</w:t>
      </w:r>
      <w:r w:rsidR="00574CAE">
        <w:t xml:space="preserve"> </w:t>
      </w:r>
      <w:r>
        <w:t>(updated to 2014</w:t>
      </w:r>
      <w:r w:rsidR="000C45B3">
        <w:t xml:space="preserve"> dollars</w:t>
      </w:r>
      <w:r w:rsidR="00AA305E">
        <w:t>)</w:t>
      </w:r>
      <w:r>
        <w:t xml:space="preserve"> and include the following expenditure </w:t>
      </w:r>
      <w:r w:rsidR="00814E51">
        <w:t>types</w:t>
      </w:r>
      <w:r>
        <w:t>:</w:t>
      </w:r>
    </w:p>
    <w:p w14:paraId="4C6A40F4" w14:textId="77777777" w:rsidR="0063205D" w:rsidRDefault="00305D8D" w:rsidP="0063205D">
      <w:pPr>
        <w:pStyle w:val="ListBullet"/>
      </w:pPr>
      <w:r>
        <w:t>h</w:t>
      </w:r>
      <w:r w:rsidR="0063205D">
        <w:t>ealth (Pharmaceutical Benefits Scheme (</w:t>
      </w:r>
      <w:proofErr w:type="spellStart"/>
      <w:r w:rsidR="0063205D">
        <w:t>PBS</w:t>
      </w:r>
      <w:proofErr w:type="spellEnd"/>
      <w:r w:rsidR="001E76A0">
        <w:t>)</w:t>
      </w:r>
      <w:r w:rsidR="0063205D">
        <w:t xml:space="preserve">, </w:t>
      </w:r>
      <w:proofErr w:type="spellStart"/>
      <w:r w:rsidR="0063205D">
        <w:t>s85</w:t>
      </w:r>
      <w:proofErr w:type="spellEnd"/>
      <w:r w:rsidR="0063205D">
        <w:t xml:space="preserve"> only), Medicare, </w:t>
      </w:r>
      <w:r>
        <w:t>h</w:t>
      </w:r>
      <w:r w:rsidR="0063205D">
        <w:t>ospitals, the Privat</w:t>
      </w:r>
      <w:r w:rsidR="00AA305E">
        <w:t>e Health Insurance (PHI) rebate</w:t>
      </w:r>
      <w:r w:rsidR="0063205D">
        <w:t xml:space="preserve"> and </w:t>
      </w:r>
      <w:r>
        <w:t>o</w:t>
      </w:r>
      <w:r w:rsidR="0063205D">
        <w:t>ther health expenditures)</w:t>
      </w:r>
    </w:p>
    <w:p w14:paraId="4C6A40F5" w14:textId="0284EE4D" w:rsidR="0063205D" w:rsidRDefault="00305D8D" w:rsidP="0063205D">
      <w:pPr>
        <w:pStyle w:val="ListBullet"/>
      </w:pPr>
      <w:r>
        <w:t>e</w:t>
      </w:r>
      <w:r w:rsidR="0063205D">
        <w:t>ducation (</w:t>
      </w:r>
      <w:r>
        <w:t>p</w:t>
      </w:r>
      <w:r w:rsidR="0063205D">
        <w:t>re</w:t>
      </w:r>
      <w:r w:rsidR="004354FF">
        <w:noBreakHyphen/>
      </w:r>
      <w:r w:rsidR="0063205D">
        <w:t xml:space="preserve">school, </w:t>
      </w:r>
      <w:r>
        <w:t>p</w:t>
      </w:r>
      <w:r w:rsidR="0063205D">
        <w:t xml:space="preserve">rimary and secondary schooling, </w:t>
      </w:r>
      <w:r>
        <w:t>u</w:t>
      </w:r>
      <w:r w:rsidR="0063205D">
        <w:t xml:space="preserve">niversity, </w:t>
      </w:r>
      <w:r>
        <w:t>tertiary and further education (</w:t>
      </w:r>
      <w:r w:rsidR="0063205D">
        <w:t>TAFE</w:t>
      </w:r>
      <w:r>
        <w:t>)</w:t>
      </w:r>
      <w:r w:rsidR="0063205D">
        <w:t xml:space="preserve"> and </w:t>
      </w:r>
      <w:r>
        <w:t>o</w:t>
      </w:r>
      <w:r w:rsidR="0063205D">
        <w:t>ther education expenditures)</w:t>
      </w:r>
    </w:p>
    <w:p w14:paraId="4C6A40F6" w14:textId="77777777" w:rsidR="0063205D" w:rsidRDefault="00305D8D" w:rsidP="0063205D">
      <w:pPr>
        <w:pStyle w:val="ListBullet"/>
      </w:pPr>
      <w:r>
        <w:t>t</w:t>
      </w:r>
      <w:r w:rsidR="0063205D">
        <w:t>ransfers (</w:t>
      </w:r>
      <w:r>
        <w:t>a</w:t>
      </w:r>
      <w:r w:rsidR="0063205D">
        <w:t xml:space="preserve">ged care, </w:t>
      </w:r>
      <w:r>
        <w:t>Disability Support Pension (</w:t>
      </w:r>
      <w:proofErr w:type="spellStart"/>
      <w:r w:rsidR="0063205D">
        <w:t>DSP</w:t>
      </w:r>
      <w:proofErr w:type="spellEnd"/>
      <w:r>
        <w:t>)</w:t>
      </w:r>
      <w:r w:rsidR="0063205D">
        <w:t>, Age Pension, Family Tax Be</w:t>
      </w:r>
      <w:r w:rsidR="00D97929">
        <w:t>nefit parts A and B (</w:t>
      </w:r>
      <w:proofErr w:type="spellStart"/>
      <w:r w:rsidR="00D97929">
        <w:t>FTB</w:t>
      </w:r>
      <w:proofErr w:type="spellEnd"/>
      <w:r w:rsidR="00D97929">
        <w:t xml:space="preserve"> (</w:t>
      </w:r>
      <w:proofErr w:type="spellStart"/>
      <w:r w:rsidR="00D97929">
        <w:t>A+B</w:t>
      </w:r>
      <w:proofErr w:type="spellEnd"/>
      <w:r w:rsidR="00D97929">
        <w:t>))</w:t>
      </w:r>
      <w:r w:rsidR="0063205D">
        <w:t xml:space="preserve"> and unemployment benefits).</w:t>
      </w:r>
    </w:p>
    <w:p w14:paraId="4C6A40F7" w14:textId="77777777" w:rsidR="00951FA3" w:rsidRDefault="00951FA3" w:rsidP="00951FA3">
      <w:pPr>
        <w:pStyle w:val="BodyText"/>
      </w:pPr>
      <w:r>
        <w:t xml:space="preserve">The expenditure and revenue items modelled in each specification are in </w:t>
      </w:r>
      <w:r w:rsidR="00305D8D">
        <w:t>t</w:t>
      </w:r>
      <w:r>
        <w:t>able</w:t>
      </w:r>
      <w:r w:rsidR="00305D8D">
        <w:t> </w:t>
      </w:r>
      <w:proofErr w:type="spellStart"/>
      <w:r w:rsidR="005041BF">
        <w:t>D</w:t>
      </w:r>
      <w:r>
        <w:t>.</w:t>
      </w:r>
      <w:r w:rsidR="005041BF">
        <w:t>1</w:t>
      </w:r>
      <w:proofErr w:type="spellEnd"/>
      <w:r w:rsidR="005041BF">
        <w:t xml:space="preserve"> </w:t>
      </w:r>
      <w:r>
        <w:t xml:space="preserve">below. </w:t>
      </w:r>
    </w:p>
    <w:p w14:paraId="4C6A40F8" w14:textId="53A1B672" w:rsidR="00951FA3" w:rsidRDefault="00951FA3" w:rsidP="00951FA3">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71"/>
      </w:tblGrid>
      <w:tr w:rsidR="00951FA3" w14:paraId="4C6A40FB" w14:textId="77777777" w:rsidTr="0014100C">
        <w:trPr>
          <w:tblHeader/>
        </w:trPr>
        <w:tc>
          <w:tcPr>
            <w:tcW w:w="8771" w:type="dxa"/>
            <w:tcBorders>
              <w:top w:val="single" w:sz="6" w:space="0" w:color="78A22F"/>
              <w:left w:val="nil"/>
              <w:bottom w:val="nil"/>
              <w:right w:val="nil"/>
            </w:tcBorders>
            <w:shd w:val="clear" w:color="auto" w:fill="auto"/>
          </w:tcPr>
          <w:p w14:paraId="4C6A40FA" w14:textId="18816AC3" w:rsidR="00951FA3" w:rsidRPr="00784A05" w:rsidRDefault="00951FA3" w:rsidP="00F0289A">
            <w:pPr>
              <w:pStyle w:val="TableTitle"/>
            </w:pPr>
            <w:r>
              <w:rPr>
                <w:b w:val="0"/>
              </w:rPr>
              <w:t xml:space="preserve">Table </w:t>
            </w:r>
            <w:proofErr w:type="spellStart"/>
            <w:r w:rsidR="00AD4F27">
              <w:rPr>
                <w:b w:val="0"/>
              </w:rPr>
              <w:t>D.1</w:t>
            </w:r>
            <w:proofErr w:type="spellEnd"/>
            <w:r>
              <w:tab/>
              <w:t xml:space="preserve">Expenditure and revenue items in each </w:t>
            </w:r>
            <w:proofErr w:type="spellStart"/>
            <w:r w:rsidR="000C45B3">
              <w:t>specification</w:t>
            </w:r>
            <w:r w:rsidR="000C45B3" w:rsidRPr="00F0289A">
              <w:rPr>
                <w:rFonts w:ascii="Arial Bold" w:hAnsi="Arial Bold"/>
                <w:vertAlign w:val="superscript"/>
              </w:rPr>
              <w:t>a</w:t>
            </w:r>
            <w:proofErr w:type="spellEnd"/>
          </w:p>
        </w:tc>
      </w:tr>
      <w:tr w:rsidR="00951FA3" w14:paraId="4C6A4116" w14:textId="77777777" w:rsidTr="0043718B">
        <w:tc>
          <w:tcPr>
            <w:tcW w:w="8771" w:type="dxa"/>
            <w:tcBorders>
              <w:top w:val="nil"/>
              <w:left w:val="nil"/>
              <w:bottom w:val="nil"/>
              <w:right w:val="nil"/>
            </w:tcBorders>
            <w:shd w:val="clear" w:color="auto" w:fill="auto"/>
          </w:tcPr>
          <w:tbl>
            <w:tblPr>
              <w:tblW w:w="8370" w:type="dxa"/>
              <w:tblCellMar>
                <w:top w:w="28" w:type="dxa"/>
                <w:left w:w="0" w:type="dxa"/>
                <w:right w:w="0" w:type="dxa"/>
              </w:tblCellMar>
              <w:tblLook w:val="0000" w:firstRow="0" w:lastRow="0" w:firstColumn="0" w:lastColumn="0" w:noHBand="0" w:noVBand="0"/>
            </w:tblPr>
            <w:tblGrid>
              <w:gridCol w:w="1260"/>
              <w:gridCol w:w="2433"/>
              <w:gridCol w:w="2434"/>
              <w:gridCol w:w="2243"/>
            </w:tblGrid>
            <w:tr w:rsidR="00951FA3" w14:paraId="4C6A4100" w14:textId="77777777" w:rsidTr="00E95333">
              <w:trPr>
                <w:tblHeader/>
              </w:trPr>
              <w:tc>
                <w:tcPr>
                  <w:tcW w:w="749" w:type="pct"/>
                  <w:tcBorders>
                    <w:top w:val="single" w:sz="6" w:space="0" w:color="BFBFBF"/>
                    <w:bottom w:val="single" w:sz="6" w:space="0" w:color="BFBFBF"/>
                  </w:tcBorders>
                  <w:shd w:val="clear" w:color="auto" w:fill="auto"/>
                  <w:tcMar>
                    <w:top w:w="28" w:type="dxa"/>
                  </w:tcMar>
                </w:tcPr>
                <w:p w14:paraId="4C6A40FC" w14:textId="77777777" w:rsidR="00951FA3" w:rsidRDefault="00951FA3" w:rsidP="002928EB">
                  <w:pPr>
                    <w:pStyle w:val="TableColumnHeading"/>
                    <w:jc w:val="left"/>
                  </w:pPr>
                </w:p>
              </w:tc>
              <w:tc>
                <w:tcPr>
                  <w:tcW w:w="1455" w:type="pct"/>
                  <w:tcBorders>
                    <w:top w:val="single" w:sz="6" w:space="0" w:color="BFBFBF"/>
                    <w:bottom w:val="single" w:sz="6" w:space="0" w:color="BFBFBF"/>
                  </w:tcBorders>
                  <w:shd w:val="clear" w:color="auto" w:fill="auto"/>
                  <w:tcMar>
                    <w:top w:w="28" w:type="dxa"/>
                  </w:tcMar>
                </w:tcPr>
                <w:p w14:paraId="4C6A40FD" w14:textId="77777777" w:rsidR="00951FA3" w:rsidRDefault="00951FA3" w:rsidP="00305D8D">
                  <w:pPr>
                    <w:pStyle w:val="TableColumnHeading"/>
                    <w:jc w:val="left"/>
                  </w:pPr>
                  <w:r>
                    <w:t>Specification</w:t>
                  </w:r>
                  <w:r w:rsidR="00305D8D">
                    <w:t> </w:t>
                  </w:r>
                  <w:r w:rsidR="00A53CA2">
                    <w:t>1</w:t>
                  </w:r>
                  <w:r w:rsidR="00A53CA2">
                    <w:br/>
                  </w:r>
                  <w:r>
                    <w:t>(</w:t>
                  </w:r>
                  <w:r w:rsidR="00814E51">
                    <w:t xml:space="preserve">Partial, </w:t>
                  </w:r>
                  <w:r w:rsidR="00A473C9">
                    <w:t xml:space="preserve">Australian Government </w:t>
                  </w:r>
                  <w:r>
                    <w:t>only)</w:t>
                  </w:r>
                </w:p>
              </w:tc>
              <w:tc>
                <w:tcPr>
                  <w:tcW w:w="1455" w:type="pct"/>
                  <w:tcBorders>
                    <w:top w:val="single" w:sz="6" w:space="0" w:color="BFBFBF"/>
                    <w:bottom w:val="single" w:sz="6" w:space="0" w:color="BFBFBF"/>
                  </w:tcBorders>
                  <w:shd w:val="clear" w:color="auto" w:fill="auto"/>
                  <w:tcMar>
                    <w:top w:w="28" w:type="dxa"/>
                  </w:tcMar>
                </w:tcPr>
                <w:p w14:paraId="4C6A40FE" w14:textId="0F9F36C1" w:rsidR="00951FA3" w:rsidRDefault="00951FA3" w:rsidP="00C82682">
                  <w:pPr>
                    <w:pStyle w:val="TableColumnHeading"/>
                    <w:ind w:right="28"/>
                    <w:jc w:val="left"/>
                  </w:pPr>
                  <w:r>
                    <w:t>Specification</w:t>
                  </w:r>
                  <w:r w:rsidR="00305D8D">
                    <w:t> </w:t>
                  </w:r>
                  <w:r w:rsidR="00A53CA2">
                    <w:t>2</w:t>
                  </w:r>
                  <w:r w:rsidR="00A53CA2">
                    <w:br/>
                  </w:r>
                  <w:r>
                    <w:t>(</w:t>
                  </w:r>
                  <w:r w:rsidR="00814E51">
                    <w:t xml:space="preserve">Partial, </w:t>
                  </w:r>
                  <w:r w:rsidR="00A473C9">
                    <w:t xml:space="preserve">Australian and </w:t>
                  </w:r>
                  <w:r w:rsidR="00C82682">
                    <w:t>s</w:t>
                  </w:r>
                  <w:r w:rsidR="00A473C9">
                    <w:t xml:space="preserve">tate </w:t>
                  </w:r>
                  <w:r>
                    <w:t>and</w:t>
                  </w:r>
                  <w:r w:rsidR="00A473C9">
                    <w:t xml:space="preserve"> </w:t>
                  </w:r>
                  <w:r w:rsidR="00C82682">
                    <w:t>t</w:t>
                  </w:r>
                  <w:r w:rsidR="001A1F09">
                    <w:t>erritory g</w:t>
                  </w:r>
                  <w:r w:rsidR="00A473C9">
                    <w:t>overnments</w:t>
                  </w:r>
                  <w:r>
                    <w:t>)</w:t>
                  </w:r>
                </w:p>
              </w:tc>
              <w:tc>
                <w:tcPr>
                  <w:tcW w:w="1455" w:type="pct"/>
                  <w:tcBorders>
                    <w:top w:val="single" w:sz="6" w:space="0" w:color="BFBFBF"/>
                    <w:bottom w:val="single" w:sz="6" w:space="0" w:color="BFBFBF"/>
                  </w:tcBorders>
                </w:tcPr>
                <w:p w14:paraId="4C6A40FF" w14:textId="16107CFA" w:rsidR="00951FA3" w:rsidRDefault="00951FA3" w:rsidP="001A1F09">
                  <w:pPr>
                    <w:pStyle w:val="TableColumnHeading"/>
                    <w:ind w:right="28"/>
                    <w:jc w:val="left"/>
                  </w:pPr>
                  <w:r>
                    <w:t>Specification</w:t>
                  </w:r>
                  <w:r w:rsidR="00305D8D">
                    <w:t> </w:t>
                  </w:r>
                  <w:r>
                    <w:t>3</w:t>
                  </w:r>
                  <w:r w:rsidR="00A53CA2">
                    <w:br/>
                  </w:r>
                  <w:r>
                    <w:t>(</w:t>
                  </w:r>
                  <w:r w:rsidR="00814E51">
                    <w:t xml:space="preserve">Comprehensive, </w:t>
                  </w:r>
                  <w:r w:rsidR="001A1F09">
                    <w:t>w</w:t>
                  </w:r>
                  <w:r>
                    <w:t>hole</w:t>
                  </w:r>
                  <w:r w:rsidR="00305D8D">
                    <w:noBreakHyphen/>
                  </w:r>
                  <w:r>
                    <w:t>of</w:t>
                  </w:r>
                  <w:r w:rsidR="00305D8D">
                    <w:noBreakHyphen/>
                  </w:r>
                  <w:r>
                    <w:t>government)</w:t>
                  </w:r>
                </w:p>
              </w:tc>
            </w:tr>
            <w:tr w:rsidR="00951FA3" w14:paraId="4C6A410C" w14:textId="77777777" w:rsidTr="0043718B">
              <w:trPr>
                <w:trHeight w:val="3224"/>
              </w:trPr>
              <w:tc>
                <w:tcPr>
                  <w:tcW w:w="749" w:type="pct"/>
                  <w:tcBorders>
                    <w:top w:val="single" w:sz="6" w:space="0" w:color="BFBFBF"/>
                  </w:tcBorders>
                </w:tcPr>
                <w:p w14:paraId="4C6A4102" w14:textId="22E03DEE" w:rsidR="00951FA3" w:rsidRPr="0014100C" w:rsidRDefault="0014100C" w:rsidP="0014100C">
                  <w:pPr>
                    <w:pStyle w:val="TableBodyText"/>
                    <w:spacing w:before="60"/>
                    <w:jc w:val="left"/>
                    <w:rPr>
                      <w:b/>
                    </w:rPr>
                  </w:pPr>
                  <w:r>
                    <w:rPr>
                      <w:b/>
                    </w:rPr>
                    <w:t>Expenditures</w:t>
                  </w:r>
                </w:p>
              </w:tc>
              <w:tc>
                <w:tcPr>
                  <w:tcW w:w="1455" w:type="pct"/>
                  <w:tcBorders>
                    <w:top w:val="single" w:sz="6" w:space="0" w:color="BFBFBF"/>
                  </w:tcBorders>
                </w:tcPr>
                <w:p w14:paraId="4C6A4103" w14:textId="77777777" w:rsidR="00951FA3" w:rsidRDefault="00951FA3" w:rsidP="00F0289A">
                  <w:pPr>
                    <w:pStyle w:val="TableBodyText"/>
                    <w:spacing w:before="60"/>
                    <w:jc w:val="left"/>
                  </w:pPr>
                  <w:r w:rsidRPr="00B47CEB">
                    <w:t xml:space="preserve">Health (Pharmaceutical Benefits Scheme, Medicare, </w:t>
                  </w:r>
                  <w:r w:rsidR="00305D8D">
                    <w:t>PHI</w:t>
                  </w:r>
                  <w:r w:rsidRPr="00B47CEB">
                    <w:t xml:space="preserve"> </w:t>
                  </w:r>
                  <w:r w:rsidR="00305D8D">
                    <w:t>r</w:t>
                  </w:r>
                  <w:r w:rsidRPr="00B47CEB">
                    <w:t xml:space="preserve">ebate, </w:t>
                  </w:r>
                  <w:r w:rsidR="00305D8D">
                    <w:t>h</w:t>
                  </w:r>
                  <w:r w:rsidRPr="00B47CEB">
                    <w:t xml:space="preserve">ospitals, </w:t>
                  </w:r>
                  <w:r w:rsidR="00305D8D">
                    <w:t>o</w:t>
                  </w:r>
                  <w:r w:rsidRPr="00B47CEB">
                    <w:t xml:space="preserve">ther), </w:t>
                  </w:r>
                </w:p>
                <w:p w14:paraId="4C6A4104" w14:textId="063CCB82" w:rsidR="00951FA3" w:rsidRDefault="001A1F09" w:rsidP="00F0289A">
                  <w:pPr>
                    <w:pStyle w:val="TableBodyText"/>
                    <w:jc w:val="left"/>
                  </w:pPr>
                  <w:r>
                    <w:t>E</w:t>
                  </w:r>
                  <w:r w:rsidRPr="00B47CEB">
                    <w:t xml:space="preserve">ducation </w:t>
                  </w:r>
                  <w:r w:rsidR="00951FA3" w:rsidRPr="00B47CEB">
                    <w:t>(</w:t>
                  </w:r>
                  <w:r w:rsidR="00305D8D">
                    <w:t>p</w:t>
                  </w:r>
                  <w:r w:rsidR="00951FA3" w:rsidRPr="00B47CEB">
                    <w:t>re</w:t>
                  </w:r>
                  <w:r w:rsidR="004354FF">
                    <w:noBreakHyphen/>
                  </w:r>
                  <w:r w:rsidR="00951FA3" w:rsidRPr="00B47CEB">
                    <w:t xml:space="preserve">school, </w:t>
                  </w:r>
                  <w:r w:rsidR="00305D8D">
                    <w:t>p</w:t>
                  </w:r>
                  <w:r w:rsidR="00951FA3" w:rsidRPr="00B47CEB">
                    <w:t xml:space="preserve">rimary and Secondary, </w:t>
                  </w:r>
                  <w:r w:rsidR="00305D8D">
                    <w:t>u</w:t>
                  </w:r>
                  <w:r w:rsidR="00951FA3" w:rsidRPr="00B47CEB">
                    <w:t xml:space="preserve">niversity, TAFE, </w:t>
                  </w:r>
                  <w:r w:rsidR="00305D8D">
                    <w:t>o</w:t>
                  </w:r>
                  <w:r w:rsidR="00D97929">
                    <w:t>ther)</w:t>
                  </w:r>
                  <w:r w:rsidR="00951FA3" w:rsidRPr="00B47CEB">
                    <w:t xml:space="preserve"> and </w:t>
                  </w:r>
                </w:p>
                <w:p w14:paraId="4C6A4105" w14:textId="517FF0E9" w:rsidR="00951FA3" w:rsidRDefault="001A1F09" w:rsidP="00F0289A">
                  <w:pPr>
                    <w:pStyle w:val="TableBodyText"/>
                    <w:jc w:val="left"/>
                  </w:pPr>
                  <w:r>
                    <w:t>T</w:t>
                  </w:r>
                  <w:r w:rsidRPr="00B47CEB">
                    <w:t xml:space="preserve">ransfers </w:t>
                  </w:r>
                  <w:r w:rsidR="00951FA3" w:rsidRPr="00B47CEB">
                    <w:t>(</w:t>
                  </w:r>
                  <w:proofErr w:type="spellStart"/>
                  <w:r w:rsidR="00951FA3" w:rsidRPr="00B47CEB">
                    <w:t>FTB</w:t>
                  </w:r>
                  <w:proofErr w:type="spellEnd"/>
                  <w:r w:rsidR="00951FA3" w:rsidRPr="00B47CEB">
                    <w:t xml:space="preserve"> (</w:t>
                  </w:r>
                  <w:proofErr w:type="spellStart"/>
                  <w:r w:rsidR="00951FA3" w:rsidRPr="00B47CEB">
                    <w:t>A+B</w:t>
                  </w:r>
                  <w:proofErr w:type="spellEnd"/>
                  <w:r w:rsidR="00951FA3" w:rsidRPr="00B47CEB">
                    <w:t xml:space="preserve">), </w:t>
                  </w:r>
                  <w:r w:rsidR="00260CB4">
                    <w:t>u</w:t>
                  </w:r>
                  <w:r w:rsidR="00951FA3" w:rsidRPr="00B47CEB">
                    <w:t xml:space="preserve">nemployment benefits, </w:t>
                  </w:r>
                  <w:proofErr w:type="spellStart"/>
                  <w:r w:rsidR="00305D8D">
                    <w:t>DSP</w:t>
                  </w:r>
                  <w:proofErr w:type="spellEnd"/>
                  <w:r w:rsidR="00951FA3" w:rsidRPr="00B47CEB">
                    <w:t xml:space="preserve">, </w:t>
                  </w:r>
                  <w:r w:rsidR="00305D8D">
                    <w:t>a</w:t>
                  </w:r>
                  <w:r w:rsidR="00951FA3" w:rsidRPr="00B47CEB">
                    <w:t>ged care, Age Pension</w:t>
                  </w:r>
                  <w:r w:rsidR="00E95333">
                    <w:t>)</w:t>
                  </w:r>
                  <w:r w:rsidR="00260CB4">
                    <w:t>.</w:t>
                  </w:r>
                </w:p>
              </w:tc>
              <w:tc>
                <w:tcPr>
                  <w:tcW w:w="1455" w:type="pct"/>
                  <w:tcBorders>
                    <w:top w:val="single" w:sz="6" w:space="0" w:color="BFBFBF"/>
                  </w:tcBorders>
                </w:tcPr>
                <w:p w14:paraId="4C6A4106" w14:textId="77777777" w:rsidR="00951FA3" w:rsidRDefault="00951FA3" w:rsidP="00F0289A">
                  <w:pPr>
                    <w:pStyle w:val="TableBodyText"/>
                    <w:spacing w:before="60"/>
                    <w:jc w:val="left"/>
                  </w:pPr>
                  <w:r>
                    <w:t xml:space="preserve">State </w:t>
                  </w:r>
                  <w:r w:rsidR="00260CB4">
                    <w:t xml:space="preserve">and </w:t>
                  </w:r>
                  <w:r w:rsidR="00C82682">
                    <w:t>t</w:t>
                  </w:r>
                  <w:r w:rsidR="00260CB4">
                    <w:t xml:space="preserve">erritory </w:t>
                  </w:r>
                  <w:r>
                    <w:t xml:space="preserve">health (hospitals and </w:t>
                  </w:r>
                  <w:r w:rsidRPr="00CF5D70">
                    <w:t>other</w:t>
                  </w:r>
                  <w:r>
                    <w:t>)</w:t>
                  </w:r>
                </w:p>
                <w:p w14:paraId="4C6A4107" w14:textId="7F1BDAE1" w:rsidR="00951FA3" w:rsidRDefault="00951FA3" w:rsidP="00F0289A">
                  <w:pPr>
                    <w:pStyle w:val="TableBodyText"/>
                    <w:jc w:val="left"/>
                  </w:pPr>
                  <w:r w:rsidRPr="00CF5D70">
                    <w:t xml:space="preserve">State </w:t>
                  </w:r>
                  <w:r w:rsidR="00260CB4">
                    <w:t xml:space="preserve">and </w:t>
                  </w:r>
                  <w:r w:rsidR="00C82682">
                    <w:t>t</w:t>
                  </w:r>
                  <w:r w:rsidR="00260CB4">
                    <w:t xml:space="preserve">erritory </w:t>
                  </w:r>
                  <w:r w:rsidRPr="00CF5D70">
                    <w:t>education (</w:t>
                  </w:r>
                  <w:r w:rsidR="00260CB4">
                    <w:t>p</w:t>
                  </w:r>
                  <w:r w:rsidRPr="00CF5D70">
                    <w:t>re</w:t>
                  </w:r>
                  <w:r w:rsidR="004354FF">
                    <w:noBreakHyphen/>
                  </w:r>
                  <w:r w:rsidRPr="00CF5D70">
                    <w:t xml:space="preserve">school, </w:t>
                  </w:r>
                  <w:r w:rsidR="00260CB4">
                    <w:t>p</w:t>
                  </w:r>
                  <w:r w:rsidRPr="00CF5D70">
                    <w:t xml:space="preserve">rimary and </w:t>
                  </w:r>
                  <w:r w:rsidR="00260CB4">
                    <w:t>s</w:t>
                  </w:r>
                  <w:r w:rsidRPr="00CF5D70">
                    <w:t xml:space="preserve">econdary, </w:t>
                  </w:r>
                  <w:r w:rsidR="00260CB4">
                    <w:t>u</w:t>
                  </w:r>
                  <w:r w:rsidRPr="00CF5D70">
                    <w:t xml:space="preserve">niversity, TAFE, </w:t>
                  </w:r>
                  <w:r w:rsidR="00260CB4">
                    <w:t>o</w:t>
                  </w:r>
                  <w:r w:rsidRPr="00CF5D70">
                    <w:t>ther).</w:t>
                  </w:r>
                </w:p>
              </w:tc>
              <w:tc>
                <w:tcPr>
                  <w:tcW w:w="1455" w:type="pct"/>
                  <w:tcBorders>
                    <w:top w:val="single" w:sz="6" w:space="0" w:color="BFBFBF"/>
                  </w:tcBorders>
                </w:tcPr>
                <w:p w14:paraId="4C6A4108" w14:textId="77777777" w:rsidR="00951FA3" w:rsidRDefault="00A473C9" w:rsidP="00F0289A">
                  <w:pPr>
                    <w:pStyle w:val="TableBodyText"/>
                    <w:spacing w:before="60"/>
                    <w:jc w:val="left"/>
                  </w:pPr>
                  <w:r>
                    <w:rPr>
                      <w:i/>
                    </w:rPr>
                    <w:t>Australian Government</w:t>
                  </w:r>
                  <w:r w:rsidR="00951FA3">
                    <w:t xml:space="preserve">: </w:t>
                  </w:r>
                </w:p>
                <w:p w14:paraId="4C6A4109" w14:textId="77777777" w:rsidR="00951FA3" w:rsidRDefault="00951FA3" w:rsidP="00F0289A">
                  <w:pPr>
                    <w:pStyle w:val="TableBodyText"/>
                    <w:jc w:val="left"/>
                  </w:pPr>
                  <w:r>
                    <w:t xml:space="preserve">Defence, </w:t>
                  </w:r>
                  <w:r w:rsidR="00260CB4">
                    <w:t>g</w:t>
                  </w:r>
                  <w:r>
                    <w:t>overnment administration, debt servicing, other welfare (</w:t>
                  </w:r>
                  <w:r w:rsidR="00260CB4">
                    <w:t>p</w:t>
                  </w:r>
                  <w:r>
                    <w:t xml:space="preserve">arenting </w:t>
                  </w:r>
                  <w:r w:rsidR="00260CB4">
                    <w:t>p</w:t>
                  </w:r>
                  <w:r>
                    <w:t xml:space="preserve">ayments, </w:t>
                  </w:r>
                  <w:r w:rsidR="00260CB4">
                    <w:t>c</w:t>
                  </w:r>
                  <w:r>
                    <w:t xml:space="preserve">hild care). </w:t>
                  </w:r>
                </w:p>
                <w:p w14:paraId="4C6A410A" w14:textId="77777777" w:rsidR="00951FA3" w:rsidRDefault="00951FA3" w:rsidP="00F0289A">
                  <w:pPr>
                    <w:pStyle w:val="TableBodyText"/>
                    <w:jc w:val="left"/>
                  </w:pPr>
                  <w:r w:rsidRPr="00CF5D70">
                    <w:rPr>
                      <w:i/>
                    </w:rPr>
                    <w:t xml:space="preserve">State, </w:t>
                  </w:r>
                  <w:r w:rsidR="00C82682">
                    <w:rPr>
                      <w:i/>
                    </w:rPr>
                    <w:t>t</w:t>
                  </w:r>
                  <w:r w:rsidRPr="00CF5D70">
                    <w:rPr>
                      <w:i/>
                    </w:rPr>
                    <w:t>erritory and</w:t>
                  </w:r>
                  <w:r w:rsidR="00A473C9">
                    <w:rPr>
                      <w:i/>
                    </w:rPr>
                    <w:t xml:space="preserve"> </w:t>
                  </w:r>
                  <w:r w:rsidR="00C82682">
                    <w:rPr>
                      <w:i/>
                    </w:rPr>
                    <w:t>l</w:t>
                  </w:r>
                  <w:r w:rsidRPr="00CF5D70">
                    <w:rPr>
                      <w:i/>
                    </w:rPr>
                    <w:t>ocal</w:t>
                  </w:r>
                  <w:r w:rsidR="00A473C9">
                    <w:rPr>
                      <w:i/>
                    </w:rPr>
                    <w:t xml:space="preserve"> </w:t>
                  </w:r>
                  <w:r w:rsidR="00C82682">
                    <w:rPr>
                      <w:i/>
                    </w:rPr>
                    <w:t>g</w:t>
                  </w:r>
                  <w:r w:rsidR="00A473C9">
                    <w:rPr>
                      <w:i/>
                    </w:rPr>
                    <w:t>overnments</w:t>
                  </w:r>
                  <w:r>
                    <w:t xml:space="preserve">: </w:t>
                  </w:r>
                </w:p>
                <w:p w14:paraId="4C6A410B" w14:textId="77777777" w:rsidR="00951FA3" w:rsidRDefault="00951FA3" w:rsidP="00F0289A">
                  <w:pPr>
                    <w:pStyle w:val="TableBodyText"/>
                    <w:jc w:val="left"/>
                  </w:pPr>
                  <w:r>
                    <w:t>Government administration, debt servicing, public order and safety, housing services, welfare, transport and communication.</w:t>
                  </w:r>
                </w:p>
              </w:tc>
            </w:tr>
            <w:tr w:rsidR="00951FA3" w14:paraId="4C6A4114" w14:textId="77777777" w:rsidTr="0043718B">
              <w:tc>
                <w:tcPr>
                  <w:tcW w:w="749" w:type="pct"/>
                  <w:tcBorders>
                    <w:bottom w:val="single" w:sz="4" w:space="0" w:color="BFBFBF" w:themeColor="background2"/>
                  </w:tcBorders>
                </w:tcPr>
                <w:p w14:paraId="4C6A410D" w14:textId="77777777" w:rsidR="00951FA3" w:rsidRPr="00260CB4" w:rsidRDefault="00951FA3" w:rsidP="002928EB">
                  <w:pPr>
                    <w:pStyle w:val="TableBodyText"/>
                    <w:jc w:val="left"/>
                    <w:rPr>
                      <w:b/>
                    </w:rPr>
                  </w:pPr>
                  <w:r w:rsidRPr="00260CB4">
                    <w:rPr>
                      <w:b/>
                    </w:rPr>
                    <w:t>Revenues</w:t>
                  </w:r>
                </w:p>
              </w:tc>
              <w:tc>
                <w:tcPr>
                  <w:tcW w:w="1455" w:type="pct"/>
                  <w:tcBorders>
                    <w:bottom w:val="single" w:sz="4" w:space="0" w:color="BFBFBF" w:themeColor="background2"/>
                  </w:tcBorders>
                </w:tcPr>
                <w:p w14:paraId="4C6A410E" w14:textId="77777777" w:rsidR="00951FA3" w:rsidRDefault="00951FA3" w:rsidP="00D97929">
                  <w:pPr>
                    <w:pStyle w:val="TableBodyText"/>
                    <w:jc w:val="left"/>
                  </w:pPr>
                  <w:r w:rsidRPr="00B47CEB">
                    <w:t>Labour income tax, company tax and excises and levies (not GST</w:t>
                  </w:r>
                  <w:r>
                    <w:t xml:space="preserve"> revenue as this is redistributed to the states and territo</w:t>
                  </w:r>
                  <w:bookmarkStart w:id="4" w:name="_GoBack"/>
                  <w:bookmarkEnd w:id="4"/>
                  <w:r>
                    <w:t>ries</w:t>
                  </w:r>
                  <w:r w:rsidRPr="00B47CEB">
                    <w:t>)</w:t>
                  </w:r>
                  <w:r>
                    <w:t>.</w:t>
                  </w:r>
                </w:p>
              </w:tc>
              <w:tc>
                <w:tcPr>
                  <w:tcW w:w="1455" w:type="pct"/>
                  <w:tcBorders>
                    <w:bottom w:val="single" w:sz="4" w:space="0" w:color="BFBFBF" w:themeColor="background2"/>
                  </w:tcBorders>
                </w:tcPr>
                <w:p w14:paraId="4C6A410F" w14:textId="77777777" w:rsidR="00951FA3" w:rsidRDefault="00951FA3" w:rsidP="00D86853">
                  <w:pPr>
                    <w:pStyle w:val="TableBodyText"/>
                    <w:ind w:right="28"/>
                    <w:jc w:val="left"/>
                  </w:pPr>
                  <w:r>
                    <w:t>GST revenue.</w:t>
                  </w:r>
                </w:p>
              </w:tc>
              <w:tc>
                <w:tcPr>
                  <w:tcW w:w="1455" w:type="pct"/>
                  <w:tcBorders>
                    <w:bottom w:val="single" w:sz="4" w:space="0" w:color="BFBFBF" w:themeColor="background2"/>
                  </w:tcBorders>
                </w:tcPr>
                <w:p w14:paraId="4C6A4110" w14:textId="77777777" w:rsidR="00951FA3" w:rsidRDefault="00A473C9" w:rsidP="00D86853">
                  <w:pPr>
                    <w:pStyle w:val="TableBodyText"/>
                    <w:ind w:right="28"/>
                    <w:jc w:val="left"/>
                  </w:pPr>
                  <w:r>
                    <w:rPr>
                      <w:i/>
                    </w:rPr>
                    <w:t>Australian Government</w:t>
                  </w:r>
                  <w:r w:rsidR="00951FA3">
                    <w:t xml:space="preserve">: </w:t>
                  </w:r>
                </w:p>
                <w:p w14:paraId="4C6A4111" w14:textId="77777777" w:rsidR="00951FA3" w:rsidRDefault="00951FA3" w:rsidP="00D86853">
                  <w:pPr>
                    <w:pStyle w:val="TableBodyText"/>
                    <w:ind w:right="28"/>
                    <w:jc w:val="left"/>
                  </w:pPr>
                  <w:r>
                    <w:t>Taxes on non</w:t>
                  </w:r>
                  <w:r w:rsidR="00E95333">
                    <w:noBreakHyphen/>
                  </w:r>
                  <w:r>
                    <w:t>resident</w:t>
                  </w:r>
                  <w:r w:rsidR="00C82682">
                    <w:t>s, superannuation guarantee levi</w:t>
                  </w:r>
                  <w:r>
                    <w:t xml:space="preserve">es and taxes on international trade. </w:t>
                  </w:r>
                </w:p>
                <w:p w14:paraId="4C6A4112" w14:textId="77777777" w:rsidR="00951FA3" w:rsidRDefault="00951FA3" w:rsidP="00D86853">
                  <w:pPr>
                    <w:pStyle w:val="TableBodyText"/>
                    <w:ind w:right="28"/>
                    <w:jc w:val="left"/>
                  </w:pPr>
                  <w:r w:rsidRPr="00CF5D70">
                    <w:rPr>
                      <w:i/>
                    </w:rPr>
                    <w:t xml:space="preserve">State, </w:t>
                  </w:r>
                  <w:r w:rsidR="00C82682">
                    <w:rPr>
                      <w:i/>
                    </w:rPr>
                    <w:t>t</w:t>
                  </w:r>
                  <w:r w:rsidRPr="00CF5D70">
                    <w:rPr>
                      <w:i/>
                    </w:rPr>
                    <w:t xml:space="preserve">erritory and </w:t>
                  </w:r>
                  <w:r w:rsidR="00C82682">
                    <w:rPr>
                      <w:i/>
                    </w:rPr>
                    <w:t>l</w:t>
                  </w:r>
                  <w:r w:rsidRPr="00CF5D70">
                    <w:rPr>
                      <w:i/>
                    </w:rPr>
                    <w:t>ocal</w:t>
                  </w:r>
                  <w:r w:rsidR="00A473C9">
                    <w:rPr>
                      <w:i/>
                    </w:rPr>
                    <w:t xml:space="preserve"> </w:t>
                  </w:r>
                  <w:r w:rsidR="00C82682">
                    <w:rPr>
                      <w:i/>
                    </w:rPr>
                    <w:t>g</w:t>
                  </w:r>
                  <w:r w:rsidR="00A473C9">
                    <w:rPr>
                      <w:i/>
                    </w:rPr>
                    <w:t>overnments</w:t>
                  </w:r>
                  <w:r>
                    <w:t xml:space="preserve">: </w:t>
                  </w:r>
                </w:p>
                <w:p w14:paraId="4C6A4113" w14:textId="77777777" w:rsidR="00951FA3" w:rsidRDefault="00951FA3" w:rsidP="00D86853">
                  <w:pPr>
                    <w:pStyle w:val="TableBodyText"/>
                    <w:ind w:right="28"/>
                    <w:jc w:val="left"/>
                  </w:pPr>
                  <w:r>
                    <w:t>Payroll, property taxes (land tax, municipal rates, stamp duties on conveyancing), other indirect taxes (</w:t>
                  </w:r>
                  <w:r w:rsidR="00D86853">
                    <w:t>e.g.</w:t>
                  </w:r>
                  <w:r>
                    <w:t xml:space="preserve"> gambling</w:t>
                  </w:r>
                  <w:r w:rsidR="00D86853">
                    <w:t xml:space="preserve"> and</w:t>
                  </w:r>
                  <w:r>
                    <w:t xml:space="preserve"> vehicle taxes).</w:t>
                  </w:r>
                </w:p>
              </w:tc>
            </w:tr>
          </w:tbl>
          <w:p w14:paraId="4C6A4115" w14:textId="77777777" w:rsidR="00951FA3" w:rsidRDefault="00951FA3" w:rsidP="002928EB">
            <w:pPr>
              <w:pStyle w:val="Box"/>
            </w:pPr>
          </w:p>
        </w:tc>
      </w:tr>
      <w:tr w:rsidR="00951FA3" w14:paraId="4C6A4118" w14:textId="77777777" w:rsidTr="0043718B">
        <w:tc>
          <w:tcPr>
            <w:tcW w:w="8771" w:type="dxa"/>
            <w:tcBorders>
              <w:top w:val="nil"/>
              <w:left w:val="nil"/>
              <w:bottom w:val="nil"/>
              <w:right w:val="nil"/>
            </w:tcBorders>
            <w:shd w:val="clear" w:color="auto" w:fill="auto"/>
          </w:tcPr>
          <w:p w14:paraId="4C6A4117" w14:textId="77777777" w:rsidR="00951FA3" w:rsidRDefault="001839B9" w:rsidP="00E95333">
            <w:pPr>
              <w:pStyle w:val="Source"/>
            </w:pPr>
            <w:r w:rsidRPr="008E77FE">
              <w:rPr>
                <w:rStyle w:val="NoteLabel"/>
              </w:rPr>
              <w:t>a</w:t>
            </w:r>
            <w:r w:rsidR="00E95333">
              <w:t> </w:t>
            </w:r>
            <w:r w:rsidR="00DA0FA4" w:rsidRPr="00DA0FA4">
              <w:t xml:space="preserve">Cells represent additional inclusions. Exclusions from each specification are therefore </w:t>
            </w:r>
            <w:r w:rsidR="00E95333">
              <w:t>all</w:t>
            </w:r>
            <w:r w:rsidR="00DA0FA4" w:rsidRPr="00DA0FA4">
              <w:t xml:space="preserve"> items to the right of that specification. </w:t>
            </w:r>
            <w:r w:rsidR="00951FA3">
              <w:t xml:space="preserve">Items listed in Specification 3 are the main items only. </w:t>
            </w:r>
          </w:p>
        </w:tc>
      </w:tr>
      <w:tr w:rsidR="00951FA3" w14:paraId="4C6A411A" w14:textId="77777777" w:rsidTr="002928EB">
        <w:tc>
          <w:tcPr>
            <w:tcW w:w="8771" w:type="dxa"/>
            <w:tcBorders>
              <w:top w:val="nil"/>
              <w:left w:val="nil"/>
              <w:bottom w:val="single" w:sz="6" w:space="0" w:color="78A22F"/>
              <w:right w:val="nil"/>
            </w:tcBorders>
            <w:shd w:val="clear" w:color="auto" w:fill="auto"/>
          </w:tcPr>
          <w:p w14:paraId="4C6A4119" w14:textId="77777777" w:rsidR="00951FA3" w:rsidRDefault="00951FA3" w:rsidP="002928EB">
            <w:pPr>
              <w:pStyle w:val="Box"/>
              <w:spacing w:before="0" w:line="120" w:lineRule="exact"/>
            </w:pPr>
          </w:p>
        </w:tc>
      </w:tr>
      <w:tr w:rsidR="00951FA3" w:rsidRPr="000863A5" w14:paraId="4C6A411C" w14:textId="77777777" w:rsidTr="002928EB">
        <w:tc>
          <w:tcPr>
            <w:tcW w:w="8771" w:type="dxa"/>
            <w:tcBorders>
              <w:top w:val="single" w:sz="6" w:space="0" w:color="78A22F"/>
              <w:left w:val="nil"/>
              <w:bottom w:val="nil"/>
              <w:right w:val="nil"/>
            </w:tcBorders>
          </w:tcPr>
          <w:p w14:paraId="4C6A411B" w14:textId="14826F99" w:rsidR="00951FA3" w:rsidRPr="00626D32" w:rsidRDefault="00951FA3" w:rsidP="002928EB">
            <w:pPr>
              <w:pStyle w:val="BoxSpaceBelow"/>
            </w:pPr>
          </w:p>
        </w:tc>
      </w:tr>
    </w:tbl>
    <w:p w14:paraId="4C6A411D" w14:textId="342DA144" w:rsidR="00A95042" w:rsidRDefault="00D12C57" w:rsidP="00A95042">
      <w:pPr>
        <w:pStyle w:val="BodyText"/>
      </w:pPr>
      <w:r>
        <w:t>S</w:t>
      </w:r>
      <w:r w:rsidR="00A95042">
        <w:t>pecifications</w:t>
      </w:r>
      <w:r>
        <w:t> 1 and 2</w:t>
      </w:r>
      <w:r w:rsidR="00A95042">
        <w:t xml:space="preserve"> attribute per person revenues and expenditures </w:t>
      </w:r>
      <w:r w:rsidR="001E76A0">
        <w:t xml:space="preserve">to immigrants </w:t>
      </w:r>
      <w:r w:rsidR="00814E51">
        <w:t>that are deemed to</w:t>
      </w:r>
      <w:r w:rsidR="00A95042">
        <w:t xml:space="preserve"> vary by age and/or gender (as well as some </w:t>
      </w:r>
      <w:r w:rsidR="00E54B19">
        <w:t>that are assumed</w:t>
      </w:r>
      <w:r w:rsidR="00A95042">
        <w:t xml:space="preserve"> not </w:t>
      </w:r>
      <w:r w:rsidR="00E54B19">
        <w:t xml:space="preserve">to depend on age or gender, </w:t>
      </w:r>
      <w:r w:rsidR="00345553">
        <w:t>such as</w:t>
      </w:r>
      <w:r w:rsidR="00A95042">
        <w:t xml:space="preserve"> unemployment benefits). </w:t>
      </w:r>
      <w:r w:rsidR="00814E51">
        <w:t>I</w:t>
      </w:r>
      <w:r w:rsidR="00A95042">
        <w:t xml:space="preserve">n the third specification, the additional </w:t>
      </w:r>
      <w:r w:rsidR="00A95042">
        <w:lastRenderedPageBreak/>
        <w:t xml:space="preserve">revenues and expenditures are attributed to </w:t>
      </w:r>
      <w:r w:rsidR="0070210A">
        <w:t xml:space="preserve">immigrants on a per </w:t>
      </w:r>
      <w:r w:rsidR="00A15A2E">
        <w:t>person</w:t>
      </w:r>
      <w:r w:rsidR="0070210A">
        <w:t xml:space="preserve"> basis</w:t>
      </w:r>
      <w:r w:rsidR="0070210A" w:rsidRPr="0070210A">
        <w:t xml:space="preserve"> </w:t>
      </w:r>
      <w:r w:rsidR="0070210A">
        <w:t xml:space="preserve">(discussed further in </w:t>
      </w:r>
      <w:r w:rsidR="00AD2376">
        <w:t>section</w:t>
      </w:r>
      <w:r w:rsidR="00053BCA">
        <w:t> </w:t>
      </w:r>
      <w:proofErr w:type="spellStart"/>
      <w:r w:rsidR="00325B31">
        <w:t>D</w:t>
      </w:r>
      <w:r w:rsidR="0070210A">
        <w:t>.5</w:t>
      </w:r>
      <w:proofErr w:type="spellEnd"/>
      <w:r w:rsidR="0070210A">
        <w:t>).</w:t>
      </w:r>
    </w:p>
    <w:p w14:paraId="4C6A411E" w14:textId="24515166" w:rsidR="00304189" w:rsidRDefault="00D12C57" w:rsidP="00A95042">
      <w:pPr>
        <w:pStyle w:val="BodyText"/>
      </w:pPr>
      <w:r>
        <w:t>S</w:t>
      </w:r>
      <w:r w:rsidR="006A3963">
        <w:t>pecification</w:t>
      </w:r>
      <w:r>
        <w:t> 2</w:t>
      </w:r>
      <w:r w:rsidR="006A3963">
        <w:t xml:space="preserve"> include</w:t>
      </w:r>
      <w:r w:rsidR="00E54B19">
        <w:t>s state and territory</w:t>
      </w:r>
      <w:r w:rsidR="006A3963">
        <w:t xml:space="preserve"> component</w:t>
      </w:r>
      <w:r w:rsidR="00E54B19">
        <w:t>s</w:t>
      </w:r>
      <w:r w:rsidR="006A3963">
        <w:t xml:space="preserve"> of hospital expenditure</w:t>
      </w:r>
      <w:r w:rsidR="00814E51">
        <w:t>s, other</w:t>
      </w:r>
      <w:r w:rsidR="00D97929">
        <w:t xml:space="preserve"> health expenditures</w:t>
      </w:r>
      <w:r w:rsidR="006A3963">
        <w:t xml:space="preserve"> and education expenditures. </w:t>
      </w:r>
      <w:r w:rsidR="006F3601">
        <w:t xml:space="preserve">Additional costs included in </w:t>
      </w:r>
      <w:r w:rsidR="0070210A">
        <w:t>specification</w:t>
      </w:r>
      <w:r>
        <w:t xml:space="preserve"> 3 </w:t>
      </w:r>
      <w:r w:rsidR="006F3601">
        <w:t xml:space="preserve">are </w:t>
      </w:r>
      <w:r w:rsidR="0070210A">
        <w:t>derived by m</w:t>
      </w:r>
      <w:r w:rsidR="00FA4B00">
        <w:t>apping the cost coverage in</w:t>
      </w:r>
      <w:r w:rsidR="00D97929">
        <w:t xml:space="preserve"> PC </w:t>
      </w:r>
      <w:r w:rsidR="00FA4B00" w:rsidRPr="00FA4B00">
        <w:rPr>
          <w:szCs w:val="24"/>
        </w:rPr>
        <w:t>(2013)</w:t>
      </w:r>
      <w:r w:rsidR="00FA4B00">
        <w:t xml:space="preserve"> </w:t>
      </w:r>
      <w:r w:rsidR="0070210A">
        <w:t>to</w:t>
      </w:r>
      <w:r w:rsidR="006F3601">
        <w:t xml:space="preserve"> the </w:t>
      </w:r>
      <w:r w:rsidR="00260CB4">
        <w:t xml:space="preserve">Australian Bureau of Statistics’ </w:t>
      </w:r>
      <w:r w:rsidR="00E95333">
        <w:t xml:space="preserve">(ABS) </w:t>
      </w:r>
      <w:r w:rsidR="0070210A">
        <w:t xml:space="preserve">Government </w:t>
      </w:r>
      <w:r w:rsidR="00E54B19">
        <w:t>F</w:t>
      </w:r>
      <w:r w:rsidR="0070210A">
        <w:t xml:space="preserve">inance </w:t>
      </w:r>
      <w:r w:rsidR="00E54B19">
        <w:t>S</w:t>
      </w:r>
      <w:r w:rsidR="0070210A">
        <w:t>tatistics</w:t>
      </w:r>
      <w:r w:rsidR="00053BCA">
        <w:t xml:space="preserve"> </w:t>
      </w:r>
      <w:r w:rsidR="002D40C4" w:rsidRPr="002D40C4">
        <w:rPr>
          <w:szCs w:val="24"/>
        </w:rPr>
        <w:t>(</w:t>
      </w:r>
      <w:proofErr w:type="spellStart"/>
      <w:r w:rsidR="002D40C4" w:rsidRPr="002D40C4">
        <w:rPr>
          <w:szCs w:val="24"/>
        </w:rPr>
        <w:t>2015b</w:t>
      </w:r>
      <w:proofErr w:type="spellEnd"/>
      <w:r w:rsidR="002D40C4" w:rsidRPr="002D40C4">
        <w:rPr>
          <w:szCs w:val="24"/>
        </w:rPr>
        <w:t>)</w:t>
      </w:r>
      <w:r w:rsidR="006F3601">
        <w:t xml:space="preserve">. </w:t>
      </w:r>
      <w:r w:rsidR="0093145D">
        <w:t>Australian Go</w:t>
      </w:r>
      <w:r w:rsidR="00F3129E">
        <w:t>v</w:t>
      </w:r>
      <w:r w:rsidR="0093145D">
        <w:t xml:space="preserve">ernment </w:t>
      </w:r>
      <w:r w:rsidR="00304189">
        <w:t>taxes included in the model are labour income tax, com</w:t>
      </w:r>
      <w:r w:rsidR="006A3963">
        <w:t>pany tax and excises and levies</w:t>
      </w:r>
      <w:r w:rsidR="00260CB4">
        <w:t xml:space="preserve">. State and </w:t>
      </w:r>
      <w:r w:rsidR="00C82682">
        <w:t>t</w:t>
      </w:r>
      <w:r w:rsidR="006A3963">
        <w:t xml:space="preserve">erritory taxes are limited to the </w:t>
      </w:r>
      <w:r w:rsidR="00AD2376">
        <w:t xml:space="preserve">goods </w:t>
      </w:r>
      <w:r w:rsidR="006A3963">
        <w:t xml:space="preserve">and </w:t>
      </w:r>
      <w:r w:rsidR="00AD2376">
        <w:t xml:space="preserve">services tax </w:t>
      </w:r>
      <w:r w:rsidR="006A3963">
        <w:t>(GST).</w:t>
      </w:r>
      <w:r w:rsidR="00345553">
        <w:rPr>
          <w:rStyle w:val="FootnoteReference"/>
        </w:rPr>
        <w:footnoteReference w:id="2"/>
      </w:r>
      <w:r w:rsidR="006A3963">
        <w:t xml:space="preserve"> </w:t>
      </w:r>
    </w:p>
    <w:p w14:paraId="4C6A411F" w14:textId="77777777" w:rsidR="002E45CF" w:rsidRDefault="006A3963" w:rsidP="00646F70">
      <w:pPr>
        <w:pStyle w:val="BodyText"/>
      </w:pPr>
      <w:r>
        <w:t xml:space="preserve">The model projects expenditures and revenues associated with </w:t>
      </w:r>
      <w:r w:rsidRPr="0070210A">
        <w:t>NOM</w:t>
      </w:r>
      <w:r>
        <w:t xml:space="preserve"> </w:t>
      </w:r>
      <w:r w:rsidR="00A95042">
        <w:t xml:space="preserve">for the remainder of </w:t>
      </w:r>
      <w:r w:rsidR="002E45CF">
        <w:t>immigrants’</w:t>
      </w:r>
      <w:r w:rsidR="00A95042">
        <w:t xml:space="preserve"> assumed stay in the country</w:t>
      </w:r>
      <w:r>
        <w:t>.</w:t>
      </w:r>
      <w:r w:rsidR="0070210A">
        <w:rPr>
          <w:rStyle w:val="FootnoteReference"/>
        </w:rPr>
        <w:footnoteReference w:id="3"/>
      </w:r>
      <w:r>
        <w:t xml:space="preserve"> </w:t>
      </w:r>
      <w:r w:rsidR="002E45CF">
        <w:t xml:space="preserve">The model is </w:t>
      </w:r>
      <w:r w:rsidR="002641C6" w:rsidRPr="002641C6">
        <w:t xml:space="preserve">limited to projecting new </w:t>
      </w:r>
      <w:r w:rsidR="0070210A">
        <w:t>im</w:t>
      </w:r>
      <w:r w:rsidR="002641C6" w:rsidRPr="002641C6">
        <w:t xml:space="preserve">migrants’ </w:t>
      </w:r>
      <w:r w:rsidR="002641C6" w:rsidRPr="005E09AE">
        <w:rPr>
          <w:i/>
        </w:rPr>
        <w:t>net</w:t>
      </w:r>
      <w:r w:rsidR="002641C6" w:rsidRPr="002641C6">
        <w:t xml:space="preserve"> </w:t>
      </w:r>
      <w:r w:rsidR="002641C6" w:rsidRPr="002E45CF">
        <w:rPr>
          <w:i/>
        </w:rPr>
        <w:t>contributions</w:t>
      </w:r>
      <w:r w:rsidR="002641C6" w:rsidRPr="002641C6">
        <w:t xml:space="preserve"> to the fiscal position</w:t>
      </w:r>
      <w:r w:rsidR="002E45CF">
        <w:t>, rather than what the fiscal position itself would look like under different NOM settings</w:t>
      </w:r>
      <w:r w:rsidR="002641C6" w:rsidRPr="002641C6">
        <w:t xml:space="preserve">. </w:t>
      </w:r>
      <w:r w:rsidR="00345553">
        <w:t>T</w:t>
      </w:r>
      <w:r w:rsidR="002E45CF">
        <w:t>he model</w:t>
      </w:r>
      <w:r w:rsidR="002641C6" w:rsidRPr="002641C6">
        <w:t xml:space="preserve"> does not account for the costs and revenues </w:t>
      </w:r>
      <w:r w:rsidR="00D12C57">
        <w:t>for</w:t>
      </w:r>
      <w:r w:rsidR="002641C6" w:rsidRPr="002641C6">
        <w:t xml:space="preserve"> the existing population</w:t>
      </w:r>
      <w:r w:rsidR="0070210A">
        <w:t xml:space="preserve"> or</w:t>
      </w:r>
      <w:r w:rsidR="00260CB4">
        <w:t xml:space="preserve"> the</w:t>
      </w:r>
      <w:r w:rsidR="0070210A">
        <w:t xml:space="preserve"> existing </w:t>
      </w:r>
      <w:r w:rsidR="00814E51">
        <w:t>population</w:t>
      </w:r>
      <w:r w:rsidR="0070210A">
        <w:t xml:space="preserve"> of immigrants</w:t>
      </w:r>
      <w:r w:rsidR="002641C6" w:rsidRPr="002641C6">
        <w:t>.</w:t>
      </w:r>
      <w:r w:rsidR="002641C6">
        <w:t xml:space="preserve"> </w:t>
      </w:r>
    </w:p>
    <w:p w14:paraId="4C6A4120" w14:textId="77777777" w:rsidR="00E54B19" w:rsidRPr="005E09AE" w:rsidRDefault="00E54B19" w:rsidP="00AA305E">
      <w:pPr>
        <w:pStyle w:val="Heading3"/>
      </w:pPr>
      <w:r w:rsidRPr="005E09AE">
        <w:t>Types of migrants covered</w:t>
      </w:r>
    </w:p>
    <w:p w14:paraId="4C6A4121" w14:textId="6E6B40A6" w:rsidR="00E110B6" w:rsidRDefault="00B82B44" w:rsidP="00646F70">
      <w:pPr>
        <w:pStyle w:val="BodyText"/>
      </w:pPr>
      <w:r>
        <w:t>As the model is based on NOM, t</w:t>
      </w:r>
      <w:r w:rsidR="002E45CF">
        <w:t>he model</w:t>
      </w:r>
      <w:r w:rsidR="00182F30">
        <w:t xml:space="preserve"> </w:t>
      </w:r>
      <w:r w:rsidR="00814E51">
        <w:t>accounts for</w:t>
      </w:r>
      <w:r w:rsidR="00E110B6">
        <w:t xml:space="preserve"> </w:t>
      </w:r>
      <w:r>
        <w:t xml:space="preserve">all types of migrant flows, including </w:t>
      </w:r>
      <w:r w:rsidR="00260CB4">
        <w:t xml:space="preserve">permanent </w:t>
      </w:r>
      <w:r w:rsidR="0070210A">
        <w:t>im</w:t>
      </w:r>
      <w:r w:rsidR="00E110B6">
        <w:t xml:space="preserve">migrants in Australia’s Migration </w:t>
      </w:r>
      <w:proofErr w:type="spellStart"/>
      <w:r w:rsidR="00E110B6">
        <w:t>Programme</w:t>
      </w:r>
      <w:proofErr w:type="spellEnd"/>
      <w:r w:rsidR="00E110B6">
        <w:t xml:space="preserve"> (skill and family stream</w:t>
      </w:r>
      <w:r w:rsidR="00260CB4">
        <w:t>s</w:t>
      </w:r>
      <w:r w:rsidR="00E110B6">
        <w:t xml:space="preserve">), permanent humanitarian </w:t>
      </w:r>
      <w:r w:rsidR="00AD2376">
        <w:t>im</w:t>
      </w:r>
      <w:r w:rsidR="00E110B6">
        <w:t xml:space="preserve">migrants, temporary </w:t>
      </w:r>
      <w:r w:rsidR="00AD2376">
        <w:t>im</w:t>
      </w:r>
      <w:r w:rsidR="00E110B6">
        <w:t>migrants (skilled, s</w:t>
      </w:r>
      <w:r w:rsidR="00D97929">
        <w:t>tudents, working holiday makers</w:t>
      </w:r>
      <w:r w:rsidR="00E110B6">
        <w:t xml:space="preserve"> and </w:t>
      </w:r>
      <w:r w:rsidR="00D97929">
        <w:t>visitors), New Zealand citizens</w:t>
      </w:r>
      <w:r w:rsidR="00E110B6">
        <w:t xml:space="preserve"> and Australian citizen flows.</w:t>
      </w:r>
      <w:r w:rsidR="00E110B6">
        <w:rPr>
          <w:rStyle w:val="FootnoteReference"/>
        </w:rPr>
        <w:footnoteReference w:id="4"/>
      </w:r>
      <w:r w:rsidR="00E110B6">
        <w:t xml:space="preserve"> </w:t>
      </w:r>
      <w:r w:rsidR="00B37751">
        <w:t xml:space="preserve">Furthermore, </w:t>
      </w:r>
      <w:r w:rsidR="0070210A">
        <w:t>im</w:t>
      </w:r>
      <w:r w:rsidR="0070210A" w:rsidRPr="00B37751">
        <w:t xml:space="preserve">migrants </w:t>
      </w:r>
      <w:r w:rsidR="0070210A">
        <w:t>in the p</w:t>
      </w:r>
      <w:r w:rsidR="0070210A" w:rsidRPr="00B37751">
        <w:t xml:space="preserve">ermanent </w:t>
      </w:r>
      <w:r w:rsidR="0070210A">
        <w:t xml:space="preserve">skill stream </w:t>
      </w:r>
      <w:r w:rsidR="00B37751" w:rsidRPr="00B37751">
        <w:t xml:space="preserve">are broken down into primary and secondary </w:t>
      </w:r>
      <w:r w:rsidR="002E45CF">
        <w:t>applicants</w:t>
      </w:r>
      <w:r w:rsidR="00B37751" w:rsidRPr="00B37751">
        <w:t xml:space="preserve">. </w:t>
      </w:r>
      <w:r w:rsidR="00260CB4">
        <w:t>T</w:t>
      </w:r>
      <w:r w:rsidR="00FC20FE">
        <w:t xml:space="preserve">he </w:t>
      </w:r>
      <w:r w:rsidR="00AD2376">
        <w:t>im</w:t>
      </w:r>
      <w:r w:rsidR="00FC20FE">
        <w:t xml:space="preserve">migrant categories </w:t>
      </w:r>
      <w:r w:rsidR="00260CB4">
        <w:t xml:space="preserve">used </w:t>
      </w:r>
      <w:r w:rsidR="00FC20FE">
        <w:t>in the model</w:t>
      </w:r>
      <w:r w:rsidR="00260CB4">
        <w:t xml:space="preserve"> are detailed in </w:t>
      </w:r>
      <w:r w:rsidR="001A1F09">
        <w:t>attachment</w:t>
      </w:r>
      <w:r w:rsidR="004354FF">
        <w:t> </w:t>
      </w:r>
      <w:r w:rsidR="001A1F09">
        <w:t xml:space="preserve">1 </w:t>
      </w:r>
      <w:r w:rsidR="00325B31">
        <w:t>to</w:t>
      </w:r>
      <w:r w:rsidR="001A1F09">
        <w:t xml:space="preserve"> this technical supplement</w:t>
      </w:r>
      <w:r w:rsidR="00FC20FE">
        <w:t xml:space="preserve">. </w:t>
      </w:r>
    </w:p>
    <w:p w14:paraId="4C6A4122" w14:textId="77777777" w:rsidR="004125E3" w:rsidRDefault="007E7D19" w:rsidP="00646F70">
      <w:pPr>
        <w:pStyle w:val="BodyText"/>
      </w:pPr>
      <w:r>
        <w:t>T</w:t>
      </w:r>
      <w:r w:rsidR="004125E3" w:rsidRPr="004125E3">
        <w:t>his</w:t>
      </w:r>
      <w:r w:rsidR="00B37751">
        <w:t xml:space="preserve"> approach </w:t>
      </w:r>
      <w:r w:rsidR="004125E3" w:rsidRPr="004125E3">
        <w:t xml:space="preserve">is distinct from projections based on visa grants, or the </w:t>
      </w:r>
      <w:r w:rsidR="0070210A" w:rsidRPr="004125E3">
        <w:t>pre</w:t>
      </w:r>
      <w:r w:rsidR="00260CB4">
        <w:noBreakHyphen/>
      </w:r>
      <w:r w:rsidR="0070210A" w:rsidRPr="004125E3">
        <w:t xml:space="preserve">existing </w:t>
      </w:r>
      <w:r w:rsidR="00A326E6">
        <w:t>number</w:t>
      </w:r>
      <w:r w:rsidR="00A326E6" w:rsidRPr="004125E3">
        <w:t xml:space="preserve"> </w:t>
      </w:r>
      <w:r w:rsidR="004125E3" w:rsidRPr="004125E3">
        <w:t>of immigrants</w:t>
      </w:r>
      <w:r w:rsidR="00C76D17">
        <w:t xml:space="preserve"> in the country</w:t>
      </w:r>
      <w:r w:rsidR="00C0259B">
        <w:t>, and will produce different results to those alternative approaches</w:t>
      </w:r>
      <w:r w:rsidR="004125E3" w:rsidRPr="004125E3">
        <w:t xml:space="preserve">. </w:t>
      </w:r>
      <w:r w:rsidR="00C0259B">
        <w:t>Among those who are granted</w:t>
      </w:r>
      <w:r w:rsidR="00C0259B" w:rsidRPr="004125E3">
        <w:t xml:space="preserve"> </w:t>
      </w:r>
      <w:r w:rsidR="004125E3" w:rsidRPr="004125E3">
        <w:t xml:space="preserve">permanent visas offshore, for example, </w:t>
      </w:r>
      <w:r w:rsidR="00C0259B">
        <w:t xml:space="preserve">many </w:t>
      </w:r>
      <w:r w:rsidR="004125E3" w:rsidRPr="004125E3">
        <w:t xml:space="preserve">choose not to come to Australia, or may delay their entry. </w:t>
      </w:r>
      <w:r w:rsidR="00C27165">
        <w:t>Accounting for</w:t>
      </w:r>
      <w:r w:rsidR="00C0259B">
        <w:t xml:space="preserve"> pre</w:t>
      </w:r>
      <w:r w:rsidR="00260CB4">
        <w:noBreakHyphen/>
      </w:r>
      <w:r w:rsidR="00C0259B">
        <w:t xml:space="preserve">existing </w:t>
      </w:r>
      <w:r w:rsidR="00C27165">
        <w:t>im</w:t>
      </w:r>
      <w:r w:rsidR="00C0259B">
        <w:t>migrants is complicated by the fact that many immigrants become citizens. T</w:t>
      </w:r>
      <w:r w:rsidR="00C76D17">
        <w:t xml:space="preserve">he focus on future NOM </w:t>
      </w:r>
      <w:r w:rsidR="00C0259B">
        <w:t xml:space="preserve">relates to the </w:t>
      </w:r>
      <w:r w:rsidR="00C27165">
        <w:t>necessity</w:t>
      </w:r>
      <w:r w:rsidR="00C0259B">
        <w:t xml:space="preserve"> to analyse </w:t>
      </w:r>
      <w:r w:rsidR="004125E3" w:rsidRPr="004125E3">
        <w:t xml:space="preserve">the fiscal implications of future </w:t>
      </w:r>
      <w:r w:rsidR="00AD2376">
        <w:t>im</w:t>
      </w:r>
      <w:r w:rsidR="002641C6">
        <w:t xml:space="preserve">migration </w:t>
      </w:r>
      <w:r w:rsidR="004125E3" w:rsidRPr="004125E3">
        <w:t>policy settings, rather than retrospective policy change</w:t>
      </w:r>
      <w:r w:rsidR="00C0259B">
        <w:t>s</w:t>
      </w:r>
      <w:r w:rsidR="004125E3" w:rsidRPr="004125E3">
        <w:t xml:space="preserve"> </w:t>
      </w:r>
      <w:r w:rsidR="00AD2376">
        <w:t>a</w:t>
      </w:r>
      <w:r w:rsidR="00AD2376" w:rsidRPr="004125E3">
        <w:t xml:space="preserve">ffecting </w:t>
      </w:r>
      <w:r w:rsidR="004125E3" w:rsidRPr="004125E3">
        <w:t>existing vis</w:t>
      </w:r>
      <w:r w:rsidR="00D86853">
        <w:t>a holders</w:t>
      </w:r>
      <w:r w:rsidR="004125E3" w:rsidRPr="004125E3">
        <w:t>.</w:t>
      </w:r>
    </w:p>
    <w:p w14:paraId="4C6A4123" w14:textId="77777777" w:rsidR="004A02A4" w:rsidRDefault="00A95042" w:rsidP="00A95042">
      <w:pPr>
        <w:pStyle w:val="BodyText"/>
      </w:pPr>
      <w:r>
        <w:t>The model can be calibrated assuming NOM is set at a fixed level, or one where it is set at a ratio of the population. Age</w:t>
      </w:r>
      <w:r w:rsidR="00260CB4">
        <w:noBreakHyphen/>
      </w:r>
      <w:r>
        <w:t xml:space="preserve"> and gender</w:t>
      </w:r>
      <w:r w:rsidR="00260CB4">
        <w:noBreakHyphen/>
      </w:r>
      <w:r>
        <w:t>specific participation and unemployment rates form the basis o</w:t>
      </w:r>
      <w:r w:rsidR="00716987">
        <w:t xml:space="preserve">f the revenue side of the model, and of claims </w:t>
      </w:r>
      <w:r w:rsidR="00214697">
        <w:t>for</w:t>
      </w:r>
      <w:r>
        <w:t xml:space="preserve"> unemployment benefits. </w:t>
      </w:r>
    </w:p>
    <w:p w14:paraId="4C6A4124" w14:textId="78C5C2CE" w:rsidR="00A469DC" w:rsidRDefault="00FD401E" w:rsidP="00A469DC">
      <w:pPr>
        <w:pStyle w:val="Heading2"/>
      </w:pPr>
      <w:proofErr w:type="spellStart"/>
      <w:r>
        <w:lastRenderedPageBreak/>
        <w:t>D</w:t>
      </w:r>
      <w:r w:rsidR="00D10860">
        <w:t>.</w:t>
      </w:r>
      <w:r w:rsidR="00D10860">
        <w:rPr>
          <w:noProof/>
        </w:rPr>
        <w:t>3</w:t>
      </w:r>
      <w:proofErr w:type="spellEnd"/>
      <w:r w:rsidR="00A469DC">
        <w:tab/>
        <w:t>Data sources</w:t>
      </w:r>
    </w:p>
    <w:p w14:paraId="4C6A4125" w14:textId="77777777" w:rsidR="00A469DC" w:rsidRDefault="00667E45" w:rsidP="00A469DC">
      <w:pPr>
        <w:pStyle w:val="BodyText"/>
      </w:pPr>
      <w:r>
        <w:t xml:space="preserve">The primary data sources used in the model are summarised in </w:t>
      </w:r>
      <w:r w:rsidR="00D12C57">
        <w:t>t</w:t>
      </w:r>
      <w:r>
        <w:t>able</w:t>
      </w:r>
      <w:r w:rsidR="00D12C57">
        <w:t> </w:t>
      </w:r>
      <w:proofErr w:type="spellStart"/>
      <w:r w:rsidR="00F233D6">
        <w:t>D</w:t>
      </w:r>
      <w:r>
        <w:t>.2</w:t>
      </w:r>
      <w:proofErr w:type="spellEnd"/>
      <w:r>
        <w:t xml:space="preserve"> below. </w:t>
      </w:r>
    </w:p>
    <w:p w14:paraId="4C6A4126" w14:textId="7AD95F1E" w:rsidR="00667E45" w:rsidRDefault="00667E45" w:rsidP="006F4EF3">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71"/>
      </w:tblGrid>
      <w:tr w:rsidR="00667E45" w14:paraId="4C6A4129" w14:textId="77777777" w:rsidTr="006F4EF3">
        <w:trPr>
          <w:tblHeader/>
        </w:trPr>
        <w:tc>
          <w:tcPr>
            <w:tcW w:w="8771" w:type="dxa"/>
            <w:tcBorders>
              <w:top w:val="single" w:sz="6" w:space="0" w:color="78A22F"/>
              <w:left w:val="nil"/>
              <w:bottom w:val="nil"/>
              <w:right w:val="nil"/>
            </w:tcBorders>
            <w:shd w:val="clear" w:color="auto" w:fill="auto"/>
          </w:tcPr>
          <w:p w14:paraId="4C6A4128" w14:textId="3B02B222" w:rsidR="00667E45" w:rsidRPr="00784A05" w:rsidRDefault="00667E45" w:rsidP="00F0289A">
            <w:pPr>
              <w:pStyle w:val="TableTitle"/>
            </w:pPr>
            <w:r>
              <w:rPr>
                <w:b w:val="0"/>
              </w:rPr>
              <w:t xml:space="preserve">Table </w:t>
            </w:r>
            <w:proofErr w:type="spellStart"/>
            <w:r w:rsidR="00AD4F27">
              <w:rPr>
                <w:b w:val="0"/>
              </w:rPr>
              <w:t>D.2</w:t>
            </w:r>
            <w:proofErr w:type="spellEnd"/>
            <w:r>
              <w:tab/>
              <w:t xml:space="preserve">Primary data </w:t>
            </w:r>
            <w:proofErr w:type="spellStart"/>
            <w:r>
              <w:t>sources</w:t>
            </w:r>
            <w:r w:rsidR="001839B9" w:rsidRPr="00F67620">
              <w:rPr>
                <w:rFonts w:ascii="Arial Bold" w:hAnsi="Arial Bold"/>
                <w:vertAlign w:val="superscript"/>
              </w:rPr>
              <w:t>a</w:t>
            </w:r>
            <w:proofErr w:type="spellEnd"/>
          </w:p>
        </w:tc>
      </w:tr>
      <w:tr w:rsidR="00667E45" w14:paraId="4C6A414B" w14:textId="77777777" w:rsidTr="006F4EF3">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667E45" w:rsidRPr="00495B0E" w14:paraId="4C6A412D" w14:textId="77777777" w:rsidTr="006F4EF3">
              <w:trPr>
                <w:tblHeader/>
              </w:trPr>
              <w:tc>
                <w:tcPr>
                  <w:tcW w:w="1667" w:type="pct"/>
                  <w:tcBorders>
                    <w:top w:val="single" w:sz="6" w:space="0" w:color="BFBFBF"/>
                    <w:bottom w:val="single" w:sz="6" w:space="0" w:color="BFBFBF"/>
                  </w:tcBorders>
                  <w:shd w:val="clear" w:color="auto" w:fill="auto"/>
                  <w:tcMar>
                    <w:top w:w="28" w:type="dxa"/>
                  </w:tcMar>
                </w:tcPr>
                <w:p w14:paraId="4C6A412A" w14:textId="77777777" w:rsidR="00667E45" w:rsidRPr="00495B0E" w:rsidRDefault="00667E45" w:rsidP="006F4EF3">
                  <w:pPr>
                    <w:pStyle w:val="TableColumnHeading"/>
                    <w:jc w:val="left"/>
                    <w:rPr>
                      <w:szCs w:val="18"/>
                    </w:rPr>
                  </w:pPr>
                  <w:r w:rsidRPr="00495B0E">
                    <w:rPr>
                      <w:szCs w:val="18"/>
                    </w:rPr>
                    <w:t>Variable</w:t>
                  </w:r>
                </w:p>
              </w:tc>
              <w:tc>
                <w:tcPr>
                  <w:tcW w:w="1667" w:type="pct"/>
                  <w:tcBorders>
                    <w:top w:val="single" w:sz="6" w:space="0" w:color="BFBFBF"/>
                    <w:bottom w:val="single" w:sz="6" w:space="0" w:color="BFBFBF"/>
                  </w:tcBorders>
                  <w:shd w:val="clear" w:color="auto" w:fill="auto"/>
                  <w:tcMar>
                    <w:top w:w="28" w:type="dxa"/>
                  </w:tcMar>
                </w:tcPr>
                <w:p w14:paraId="4C6A412B" w14:textId="77777777" w:rsidR="00667E45" w:rsidRPr="00495B0E" w:rsidRDefault="00667E45" w:rsidP="00D86853">
                  <w:pPr>
                    <w:pStyle w:val="TableColumnHeading"/>
                    <w:jc w:val="left"/>
                    <w:rPr>
                      <w:szCs w:val="18"/>
                    </w:rPr>
                  </w:pPr>
                  <w:r w:rsidRPr="00495B0E">
                    <w:rPr>
                      <w:szCs w:val="18"/>
                    </w:rPr>
                    <w:t>Source</w:t>
                  </w:r>
                </w:p>
              </w:tc>
              <w:tc>
                <w:tcPr>
                  <w:tcW w:w="1666" w:type="pct"/>
                  <w:tcBorders>
                    <w:top w:val="single" w:sz="6" w:space="0" w:color="BFBFBF"/>
                    <w:bottom w:val="single" w:sz="6" w:space="0" w:color="BFBFBF"/>
                  </w:tcBorders>
                  <w:shd w:val="clear" w:color="auto" w:fill="auto"/>
                  <w:tcMar>
                    <w:top w:w="28" w:type="dxa"/>
                  </w:tcMar>
                </w:tcPr>
                <w:p w14:paraId="4C6A412C" w14:textId="77777777" w:rsidR="00667E45" w:rsidRPr="00495B0E" w:rsidRDefault="00667E45" w:rsidP="00D86853">
                  <w:pPr>
                    <w:pStyle w:val="TableColumnHeading"/>
                    <w:ind w:right="28"/>
                    <w:jc w:val="left"/>
                    <w:rPr>
                      <w:szCs w:val="18"/>
                    </w:rPr>
                  </w:pPr>
                  <w:r w:rsidRPr="00495B0E">
                    <w:rPr>
                      <w:szCs w:val="18"/>
                    </w:rPr>
                    <w:t>Notes</w:t>
                  </w:r>
                </w:p>
              </w:tc>
            </w:tr>
            <w:tr w:rsidR="00667E45" w:rsidRPr="00495B0E" w14:paraId="4C6A4131" w14:textId="77777777" w:rsidTr="00F0289A">
              <w:tc>
                <w:tcPr>
                  <w:tcW w:w="1667" w:type="pct"/>
                  <w:tcBorders>
                    <w:top w:val="single" w:sz="6" w:space="0" w:color="BFBFBF"/>
                  </w:tcBorders>
                  <w:shd w:val="clear" w:color="auto" w:fill="D9D9D9" w:themeFill="background1" w:themeFillShade="D9"/>
                </w:tcPr>
                <w:p w14:paraId="4C6A412E" w14:textId="77777777" w:rsidR="00667E45" w:rsidRPr="00495B0E" w:rsidRDefault="00667E45" w:rsidP="00F0289A">
                  <w:pPr>
                    <w:pStyle w:val="TableUnitsRow"/>
                    <w:spacing w:before="60"/>
                    <w:jc w:val="left"/>
                    <w:rPr>
                      <w:i/>
                      <w:szCs w:val="18"/>
                    </w:rPr>
                  </w:pPr>
                  <w:r w:rsidRPr="00495B0E">
                    <w:rPr>
                      <w:i/>
                      <w:szCs w:val="18"/>
                    </w:rPr>
                    <w:t>NOM flow data by visa category</w:t>
                  </w:r>
                </w:p>
              </w:tc>
              <w:tc>
                <w:tcPr>
                  <w:tcW w:w="1667" w:type="pct"/>
                  <w:tcBorders>
                    <w:top w:val="single" w:sz="6" w:space="0" w:color="BFBFBF"/>
                  </w:tcBorders>
                  <w:shd w:val="clear" w:color="auto" w:fill="D9D9D9" w:themeFill="background1" w:themeFillShade="D9"/>
                </w:tcPr>
                <w:p w14:paraId="4C6A412F" w14:textId="67746605" w:rsidR="00667E45" w:rsidRPr="00495B0E" w:rsidRDefault="00260CB4" w:rsidP="00F0289A">
                  <w:pPr>
                    <w:pStyle w:val="TableUnitsRow"/>
                    <w:spacing w:before="60"/>
                    <w:jc w:val="left"/>
                    <w:rPr>
                      <w:szCs w:val="18"/>
                    </w:rPr>
                  </w:pPr>
                  <w:r>
                    <w:rPr>
                      <w:szCs w:val="18"/>
                    </w:rPr>
                    <w:t>ABS (Migration, Cat. no. 3</w:t>
                  </w:r>
                  <w:r w:rsidR="004354FF">
                    <w:rPr>
                      <w:szCs w:val="18"/>
                    </w:rPr>
                    <w:t> </w:t>
                  </w:r>
                  <w:r>
                    <w:rPr>
                      <w:szCs w:val="18"/>
                    </w:rPr>
                    <w:t>412.0)</w:t>
                  </w:r>
                  <w:r w:rsidR="00971C01" w:rsidRPr="00495B0E">
                    <w:rPr>
                      <w:szCs w:val="18"/>
                    </w:rPr>
                    <w:t xml:space="preserve">. Inquiry concordances for permanent </w:t>
                  </w:r>
                  <w:r w:rsidR="00AD2376">
                    <w:rPr>
                      <w:szCs w:val="18"/>
                    </w:rPr>
                    <w:t>im</w:t>
                  </w:r>
                  <w:r w:rsidR="00971C01" w:rsidRPr="00495B0E">
                    <w:rPr>
                      <w:szCs w:val="18"/>
                    </w:rPr>
                    <w:t>migrants.</w:t>
                  </w:r>
                </w:p>
              </w:tc>
              <w:tc>
                <w:tcPr>
                  <w:tcW w:w="1666" w:type="pct"/>
                  <w:tcBorders>
                    <w:top w:val="single" w:sz="6" w:space="0" w:color="BFBFBF"/>
                  </w:tcBorders>
                  <w:shd w:val="clear" w:color="auto" w:fill="D9D9D9" w:themeFill="background1" w:themeFillShade="D9"/>
                </w:tcPr>
                <w:p w14:paraId="4C6A4130" w14:textId="32FDCCCC" w:rsidR="00667E45" w:rsidRPr="00495B0E" w:rsidRDefault="00C86EB8" w:rsidP="001A1F09">
                  <w:pPr>
                    <w:pStyle w:val="TableUnitsRow"/>
                    <w:spacing w:before="60"/>
                    <w:ind w:right="28"/>
                    <w:jc w:val="left"/>
                    <w:rPr>
                      <w:szCs w:val="18"/>
                    </w:rPr>
                  </w:pPr>
                  <w:r>
                    <w:rPr>
                      <w:szCs w:val="18"/>
                    </w:rPr>
                    <w:t>Da</w:t>
                  </w:r>
                  <w:r w:rsidR="007E7D19">
                    <w:rPr>
                      <w:szCs w:val="18"/>
                    </w:rPr>
                    <w:t>ta are four year averages (2010 to 20</w:t>
                  </w:r>
                  <w:r>
                    <w:rPr>
                      <w:szCs w:val="18"/>
                    </w:rPr>
                    <w:t>14</w:t>
                  </w:r>
                  <w:r w:rsidR="001A1F09">
                    <w:rPr>
                      <w:szCs w:val="18"/>
                    </w:rPr>
                    <w:t>)</w:t>
                  </w:r>
                  <w:r w:rsidR="00325B31">
                    <w:rPr>
                      <w:szCs w:val="18"/>
                    </w:rPr>
                    <w:t>.</w:t>
                  </w:r>
                  <w:r w:rsidR="001A1F09">
                    <w:rPr>
                      <w:szCs w:val="18"/>
                    </w:rPr>
                    <w:t xml:space="preserve"> </w:t>
                  </w:r>
                  <w:r w:rsidR="00971C01" w:rsidRPr="00495B0E">
                    <w:rPr>
                      <w:szCs w:val="18"/>
                    </w:rPr>
                    <w:t>NOM flows</w:t>
                  </w:r>
                  <w:r w:rsidR="005D03B9">
                    <w:rPr>
                      <w:szCs w:val="18"/>
                    </w:rPr>
                    <w:t xml:space="preserve"> are </w:t>
                  </w:r>
                  <w:r w:rsidR="00DA0FA4">
                    <w:rPr>
                      <w:szCs w:val="18"/>
                    </w:rPr>
                    <w:t>disaggregated</w:t>
                  </w:r>
                  <w:r w:rsidR="00971C01" w:rsidRPr="00495B0E">
                    <w:rPr>
                      <w:szCs w:val="18"/>
                    </w:rPr>
                    <w:t xml:space="preserve"> by both permanent and temporary visa groupings.</w:t>
                  </w:r>
                </w:p>
              </w:tc>
            </w:tr>
            <w:tr w:rsidR="00667E45" w:rsidRPr="00495B0E" w14:paraId="4C6A4135" w14:textId="77777777" w:rsidTr="006F4EF3">
              <w:tc>
                <w:tcPr>
                  <w:tcW w:w="1667" w:type="pct"/>
                </w:tcPr>
                <w:p w14:paraId="4C6A4132" w14:textId="77777777" w:rsidR="00667E45" w:rsidRPr="00495B0E" w:rsidRDefault="00971C01" w:rsidP="00F0289A">
                  <w:pPr>
                    <w:pStyle w:val="TableBodyText"/>
                    <w:spacing w:before="60"/>
                    <w:jc w:val="left"/>
                    <w:rPr>
                      <w:i/>
                      <w:szCs w:val="18"/>
                    </w:rPr>
                  </w:pPr>
                  <w:r w:rsidRPr="00495B0E">
                    <w:rPr>
                      <w:i/>
                      <w:szCs w:val="18"/>
                    </w:rPr>
                    <w:t xml:space="preserve">Demographic and labour market characteristics of </w:t>
                  </w:r>
                  <w:r w:rsidR="00AD2376">
                    <w:rPr>
                      <w:i/>
                      <w:szCs w:val="18"/>
                    </w:rPr>
                    <w:t>p</w:t>
                  </w:r>
                  <w:r w:rsidRPr="00495B0E">
                    <w:rPr>
                      <w:i/>
                      <w:szCs w:val="18"/>
                    </w:rPr>
                    <w:t xml:space="preserve">ermanent </w:t>
                  </w:r>
                  <w:r w:rsidR="00AD2376">
                    <w:rPr>
                      <w:i/>
                      <w:szCs w:val="18"/>
                    </w:rPr>
                    <w:t>im</w:t>
                  </w:r>
                  <w:r w:rsidRPr="00495B0E">
                    <w:rPr>
                      <w:i/>
                      <w:szCs w:val="18"/>
                    </w:rPr>
                    <w:t>migrants</w:t>
                  </w:r>
                </w:p>
              </w:tc>
              <w:tc>
                <w:tcPr>
                  <w:tcW w:w="1667" w:type="pct"/>
                </w:tcPr>
                <w:p w14:paraId="4C6A4133" w14:textId="0D92A3CF" w:rsidR="00667E45" w:rsidRPr="00495B0E" w:rsidRDefault="00971C01" w:rsidP="00F0289A">
                  <w:pPr>
                    <w:pStyle w:val="TableBodyText"/>
                    <w:spacing w:before="60"/>
                    <w:jc w:val="left"/>
                    <w:rPr>
                      <w:szCs w:val="18"/>
                    </w:rPr>
                  </w:pPr>
                  <w:r w:rsidRPr="00495B0E">
                    <w:rPr>
                      <w:szCs w:val="18"/>
                    </w:rPr>
                    <w:t>ABS</w:t>
                  </w:r>
                  <w:r w:rsidR="00260CB4">
                    <w:rPr>
                      <w:szCs w:val="18"/>
                    </w:rPr>
                    <w:t xml:space="preserve"> (</w:t>
                  </w:r>
                  <w:r w:rsidR="00260CB4" w:rsidRPr="00495B0E">
                    <w:rPr>
                      <w:szCs w:val="18"/>
                    </w:rPr>
                    <w:t>Australian Census and Migrants Integrated Dataset (</w:t>
                  </w:r>
                  <w:proofErr w:type="spellStart"/>
                  <w:r w:rsidR="00260CB4" w:rsidRPr="00495B0E">
                    <w:rPr>
                      <w:szCs w:val="18"/>
                    </w:rPr>
                    <w:t>ACMID</w:t>
                  </w:r>
                  <w:proofErr w:type="spellEnd"/>
                  <w:r w:rsidR="00260CB4" w:rsidRPr="00495B0E">
                    <w:rPr>
                      <w:szCs w:val="18"/>
                    </w:rPr>
                    <w:t>)</w:t>
                  </w:r>
                  <w:r w:rsidR="00260CB4">
                    <w:rPr>
                      <w:szCs w:val="18"/>
                    </w:rPr>
                    <w:t>,</w:t>
                  </w:r>
                  <w:r w:rsidRPr="00495B0E">
                    <w:rPr>
                      <w:szCs w:val="18"/>
                    </w:rPr>
                    <w:t xml:space="preserve"> Cat.</w:t>
                  </w:r>
                  <w:r w:rsidR="00260CB4">
                    <w:rPr>
                      <w:szCs w:val="18"/>
                    </w:rPr>
                    <w:t> no. 3</w:t>
                  </w:r>
                  <w:r w:rsidR="004354FF">
                    <w:rPr>
                      <w:szCs w:val="18"/>
                    </w:rPr>
                    <w:t> </w:t>
                  </w:r>
                  <w:r w:rsidR="00260CB4">
                    <w:rPr>
                      <w:szCs w:val="18"/>
                    </w:rPr>
                    <w:t>417.0).</w:t>
                  </w:r>
                </w:p>
              </w:tc>
              <w:tc>
                <w:tcPr>
                  <w:tcW w:w="1666" w:type="pct"/>
                </w:tcPr>
                <w:p w14:paraId="4C6A4134" w14:textId="1B07FE80" w:rsidR="00667E45" w:rsidRPr="00495B0E" w:rsidRDefault="00C86EB8" w:rsidP="00F0289A">
                  <w:pPr>
                    <w:pStyle w:val="TableBodyText"/>
                    <w:spacing w:before="60"/>
                    <w:ind w:right="28"/>
                    <w:jc w:val="left"/>
                    <w:rPr>
                      <w:szCs w:val="18"/>
                    </w:rPr>
                  </w:pPr>
                  <w:r>
                    <w:rPr>
                      <w:szCs w:val="18"/>
                    </w:rPr>
                    <w:t xml:space="preserve">Data relate to recent migrants within the scope of </w:t>
                  </w:r>
                  <w:proofErr w:type="spellStart"/>
                  <w:r>
                    <w:rPr>
                      <w:szCs w:val="18"/>
                    </w:rPr>
                    <w:t>ACMID</w:t>
                  </w:r>
                  <w:proofErr w:type="spellEnd"/>
                  <w:r>
                    <w:rPr>
                      <w:szCs w:val="18"/>
                    </w:rPr>
                    <w:t xml:space="preserve"> (generally </w:t>
                  </w:r>
                  <w:r w:rsidR="007E7D19">
                    <w:rPr>
                      <w:szCs w:val="18"/>
                    </w:rPr>
                    <w:t xml:space="preserve">calendar years </w:t>
                  </w:r>
                  <w:r>
                    <w:rPr>
                      <w:szCs w:val="18"/>
                    </w:rPr>
                    <w:t>2</w:t>
                  </w:r>
                  <w:r w:rsidR="004354FF">
                    <w:rPr>
                      <w:szCs w:val="18"/>
                    </w:rPr>
                    <w:t> </w:t>
                  </w:r>
                  <w:r>
                    <w:rPr>
                      <w:szCs w:val="18"/>
                    </w:rPr>
                    <w:t>010 to 2</w:t>
                  </w:r>
                  <w:r w:rsidR="004354FF">
                    <w:rPr>
                      <w:szCs w:val="18"/>
                    </w:rPr>
                    <w:t> </w:t>
                  </w:r>
                  <w:r>
                    <w:rPr>
                      <w:szCs w:val="18"/>
                    </w:rPr>
                    <w:t>011). Covers a</w:t>
                  </w:r>
                  <w:r w:rsidR="00971C01" w:rsidRPr="00495B0E">
                    <w:rPr>
                      <w:szCs w:val="18"/>
                    </w:rPr>
                    <w:t>ge and gender distributions, labour force participation and unemployment.</w:t>
                  </w:r>
                </w:p>
              </w:tc>
            </w:tr>
            <w:tr w:rsidR="00CE69AD" w:rsidRPr="00495B0E" w14:paraId="4C6A4139" w14:textId="77777777" w:rsidTr="00F0289A">
              <w:tc>
                <w:tcPr>
                  <w:tcW w:w="1667" w:type="pct"/>
                  <w:shd w:val="clear" w:color="auto" w:fill="D9D9D9" w:themeFill="background1" w:themeFillShade="D9"/>
                </w:tcPr>
                <w:p w14:paraId="4C6A4136" w14:textId="77777777" w:rsidR="00CE69AD" w:rsidRPr="00495B0E" w:rsidRDefault="00CE69AD" w:rsidP="00F0289A">
                  <w:pPr>
                    <w:pStyle w:val="TableBodyText"/>
                    <w:spacing w:before="60"/>
                    <w:jc w:val="left"/>
                    <w:rPr>
                      <w:i/>
                      <w:szCs w:val="18"/>
                    </w:rPr>
                  </w:pPr>
                  <w:r w:rsidRPr="00495B0E">
                    <w:rPr>
                      <w:i/>
                      <w:szCs w:val="18"/>
                    </w:rPr>
                    <w:t xml:space="preserve">Demographic and labour market characteristics of </w:t>
                  </w:r>
                  <w:r>
                    <w:rPr>
                      <w:i/>
                      <w:szCs w:val="18"/>
                    </w:rPr>
                    <w:t>t</w:t>
                  </w:r>
                  <w:r w:rsidRPr="00495B0E">
                    <w:rPr>
                      <w:i/>
                      <w:szCs w:val="18"/>
                    </w:rPr>
                    <w:t xml:space="preserve">emporary </w:t>
                  </w:r>
                  <w:r>
                    <w:rPr>
                      <w:i/>
                      <w:szCs w:val="18"/>
                    </w:rPr>
                    <w:t>im</w:t>
                  </w:r>
                  <w:r w:rsidRPr="00495B0E">
                    <w:rPr>
                      <w:i/>
                      <w:szCs w:val="18"/>
                    </w:rPr>
                    <w:t>migrants</w:t>
                  </w:r>
                </w:p>
              </w:tc>
              <w:tc>
                <w:tcPr>
                  <w:tcW w:w="1667" w:type="pct"/>
                  <w:shd w:val="clear" w:color="auto" w:fill="D9D9D9" w:themeFill="background1" w:themeFillShade="D9"/>
                </w:tcPr>
                <w:p w14:paraId="4C6A4137" w14:textId="6C3A8D0C" w:rsidR="00CE69AD" w:rsidRPr="00495B0E" w:rsidRDefault="00CE69AD" w:rsidP="00F0289A">
                  <w:pPr>
                    <w:pStyle w:val="TableBodyText"/>
                    <w:spacing w:before="60"/>
                    <w:jc w:val="left"/>
                    <w:rPr>
                      <w:szCs w:val="18"/>
                    </w:rPr>
                  </w:pPr>
                  <w:r w:rsidRPr="00495B0E">
                    <w:rPr>
                      <w:szCs w:val="18"/>
                    </w:rPr>
                    <w:t>ABS</w:t>
                  </w:r>
                  <w:r w:rsidR="00260CB4">
                    <w:rPr>
                      <w:szCs w:val="18"/>
                    </w:rPr>
                    <w:t xml:space="preserve"> (</w:t>
                  </w:r>
                  <w:r w:rsidR="00260CB4" w:rsidRPr="00495B0E">
                    <w:rPr>
                      <w:szCs w:val="18"/>
                    </w:rPr>
                    <w:t>Characteristics of Recent Migrants (CORM)</w:t>
                  </w:r>
                  <w:r w:rsidR="00260CB4">
                    <w:rPr>
                      <w:szCs w:val="18"/>
                    </w:rPr>
                    <w:t>,</w:t>
                  </w:r>
                  <w:r w:rsidR="00D92B39">
                    <w:rPr>
                      <w:szCs w:val="18"/>
                    </w:rPr>
                    <w:t xml:space="preserve"> Cat. </w:t>
                  </w:r>
                  <w:r w:rsidR="00260CB4">
                    <w:rPr>
                      <w:szCs w:val="18"/>
                    </w:rPr>
                    <w:t>n</w:t>
                  </w:r>
                  <w:r w:rsidR="00D92B39">
                    <w:rPr>
                      <w:szCs w:val="18"/>
                    </w:rPr>
                    <w:t>o. </w:t>
                  </w:r>
                  <w:r w:rsidRPr="00495B0E">
                    <w:rPr>
                      <w:szCs w:val="18"/>
                    </w:rPr>
                    <w:t>6</w:t>
                  </w:r>
                  <w:r w:rsidR="004354FF">
                    <w:rPr>
                      <w:szCs w:val="18"/>
                    </w:rPr>
                    <w:t> </w:t>
                  </w:r>
                  <w:r w:rsidRPr="00495B0E">
                    <w:rPr>
                      <w:szCs w:val="18"/>
                    </w:rPr>
                    <w:t>250.0</w:t>
                  </w:r>
                  <w:r w:rsidR="00260CB4">
                    <w:rPr>
                      <w:szCs w:val="18"/>
                    </w:rPr>
                    <w:t>)</w:t>
                  </w:r>
                  <w:r w:rsidRPr="00495B0E">
                    <w:rPr>
                      <w:szCs w:val="18"/>
                    </w:rPr>
                    <w:t xml:space="preserve">, Census of Population and Housing, </w:t>
                  </w:r>
                  <w:r>
                    <w:rPr>
                      <w:szCs w:val="18"/>
                    </w:rPr>
                    <w:t xml:space="preserve">and administrative data from </w:t>
                  </w:r>
                  <w:proofErr w:type="spellStart"/>
                  <w:r>
                    <w:rPr>
                      <w:szCs w:val="18"/>
                    </w:rPr>
                    <w:t>DIBP</w:t>
                  </w:r>
                  <w:proofErr w:type="spellEnd"/>
                  <w:r w:rsidRPr="00495B0E">
                    <w:rPr>
                      <w:szCs w:val="18"/>
                    </w:rPr>
                    <w:t>.</w:t>
                  </w:r>
                </w:p>
              </w:tc>
              <w:tc>
                <w:tcPr>
                  <w:tcW w:w="1666" w:type="pct"/>
                  <w:shd w:val="clear" w:color="auto" w:fill="D9D9D9" w:themeFill="background1" w:themeFillShade="D9"/>
                </w:tcPr>
                <w:p w14:paraId="4C6A4138" w14:textId="5547AAD3" w:rsidR="00CE69AD" w:rsidRPr="00495B0E" w:rsidRDefault="00CE69AD" w:rsidP="00F0289A">
                  <w:pPr>
                    <w:pStyle w:val="TableBodyText"/>
                    <w:spacing w:before="60"/>
                    <w:jc w:val="left"/>
                    <w:rPr>
                      <w:szCs w:val="18"/>
                    </w:rPr>
                  </w:pPr>
                  <w:r>
                    <w:rPr>
                      <w:szCs w:val="18"/>
                    </w:rPr>
                    <w:t>CORM data are for cale</w:t>
                  </w:r>
                  <w:r w:rsidR="00D97929">
                    <w:rPr>
                      <w:szCs w:val="18"/>
                    </w:rPr>
                    <w:t>ndar year 2</w:t>
                  </w:r>
                  <w:r w:rsidR="004354FF">
                    <w:rPr>
                      <w:szCs w:val="18"/>
                    </w:rPr>
                    <w:t> </w:t>
                  </w:r>
                  <w:r w:rsidR="00D97929">
                    <w:rPr>
                      <w:szCs w:val="18"/>
                    </w:rPr>
                    <w:t>013, Census for 2</w:t>
                  </w:r>
                  <w:r w:rsidR="004354FF">
                    <w:rPr>
                      <w:szCs w:val="18"/>
                    </w:rPr>
                    <w:t> </w:t>
                  </w:r>
                  <w:r w:rsidR="00D97929">
                    <w:rPr>
                      <w:szCs w:val="18"/>
                    </w:rPr>
                    <w:t>011</w:t>
                  </w:r>
                  <w:r>
                    <w:rPr>
                      <w:szCs w:val="18"/>
                    </w:rPr>
                    <w:t xml:space="preserve"> and </w:t>
                  </w:r>
                  <w:proofErr w:type="spellStart"/>
                  <w:r>
                    <w:rPr>
                      <w:szCs w:val="18"/>
                    </w:rPr>
                    <w:t>DIBP</w:t>
                  </w:r>
                  <w:proofErr w:type="spellEnd"/>
                  <w:r>
                    <w:rPr>
                      <w:szCs w:val="18"/>
                    </w:rPr>
                    <w:t xml:space="preserve"> data are averaged across recent years to 2</w:t>
                  </w:r>
                  <w:r w:rsidR="004354FF">
                    <w:rPr>
                      <w:szCs w:val="18"/>
                    </w:rPr>
                    <w:t> </w:t>
                  </w:r>
                  <w:r>
                    <w:rPr>
                      <w:szCs w:val="18"/>
                    </w:rPr>
                    <w:t xml:space="preserve">013. </w:t>
                  </w:r>
                  <w:r w:rsidR="00900331">
                    <w:rPr>
                      <w:szCs w:val="18"/>
                    </w:rPr>
                    <w:t>Covers a</w:t>
                  </w:r>
                  <w:r w:rsidRPr="00495B0E">
                    <w:rPr>
                      <w:szCs w:val="18"/>
                    </w:rPr>
                    <w:t xml:space="preserve">ge and gender distributions, labour force participation and unemployment. </w:t>
                  </w:r>
                </w:p>
              </w:tc>
            </w:tr>
            <w:tr w:rsidR="00CE69AD" w:rsidRPr="00495B0E" w14:paraId="4C6A413D" w14:textId="77777777" w:rsidTr="006F4EF3">
              <w:tc>
                <w:tcPr>
                  <w:tcW w:w="1667" w:type="pct"/>
                </w:tcPr>
                <w:p w14:paraId="4C6A413A" w14:textId="77777777" w:rsidR="00CE69AD" w:rsidRPr="00495B0E" w:rsidRDefault="00CE69AD" w:rsidP="00F0289A">
                  <w:pPr>
                    <w:pStyle w:val="TableBodyText"/>
                    <w:spacing w:before="60"/>
                    <w:jc w:val="left"/>
                    <w:rPr>
                      <w:i/>
                      <w:szCs w:val="18"/>
                    </w:rPr>
                  </w:pPr>
                  <w:r w:rsidRPr="00495B0E">
                    <w:rPr>
                      <w:rFonts w:cs="Arial"/>
                      <w:i/>
                      <w:iCs/>
                      <w:color w:val="000000"/>
                      <w:szCs w:val="18"/>
                    </w:rPr>
                    <w:t xml:space="preserve">Per person costs for </w:t>
                  </w:r>
                  <w:r w:rsidR="003B0C19">
                    <w:rPr>
                      <w:rFonts w:cs="Arial"/>
                      <w:i/>
                      <w:iCs/>
                      <w:color w:val="000000"/>
                      <w:szCs w:val="18"/>
                    </w:rPr>
                    <w:t>Australian</w:t>
                  </w:r>
                  <w:r w:rsidRPr="00495B0E">
                    <w:rPr>
                      <w:rFonts w:cs="Arial"/>
                      <w:i/>
                      <w:iCs/>
                      <w:color w:val="000000"/>
                      <w:szCs w:val="18"/>
                    </w:rPr>
                    <w:t xml:space="preserve">, </w:t>
                  </w:r>
                  <w:r w:rsidR="00080BFE">
                    <w:rPr>
                      <w:rFonts w:cs="Arial"/>
                      <w:i/>
                      <w:iCs/>
                      <w:color w:val="000000"/>
                      <w:szCs w:val="18"/>
                    </w:rPr>
                    <w:t>s</w:t>
                  </w:r>
                  <w:r w:rsidR="003B0C19" w:rsidRPr="00495B0E">
                    <w:rPr>
                      <w:rFonts w:cs="Arial"/>
                      <w:i/>
                      <w:iCs/>
                      <w:color w:val="000000"/>
                      <w:szCs w:val="18"/>
                    </w:rPr>
                    <w:t xml:space="preserve">tate </w:t>
                  </w:r>
                  <w:r w:rsidRPr="00495B0E">
                    <w:rPr>
                      <w:rFonts w:cs="Arial"/>
                      <w:i/>
                      <w:iCs/>
                      <w:color w:val="000000"/>
                      <w:szCs w:val="18"/>
                    </w:rPr>
                    <w:t xml:space="preserve">and </w:t>
                  </w:r>
                  <w:r w:rsidR="00900331">
                    <w:rPr>
                      <w:rFonts w:cs="Arial"/>
                      <w:i/>
                      <w:iCs/>
                      <w:color w:val="000000"/>
                      <w:szCs w:val="18"/>
                    </w:rPr>
                    <w:t>t</w:t>
                  </w:r>
                  <w:r w:rsidRPr="00495B0E">
                    <w:rPr>
                      <w:rFonts w:cs="Arial"/>
                      <w:i/>
                      <w:iCs/>
                      <w:color w:val="000000"/>
                      <w:szCs w:val="18"/>
                    </w:rPr>
                    <w:t>erritory</w:t>
                  </w:r>
                  <w:r w:rsidR="003B0C19">
                    <w:rPr>
                      <w:rFonts w:cs="Arial"/>
                      <w:i/>
                      <w:iCs/>
                      <w:color w:val="000000"/>
                      <w:szCs w:val="18"/>
                    </w:rPr>
                    <w:t xml:space="preserve"> </w:t>
                  </w:r>
                  <w:r w:rsidR="00900331">
                    <w:rPr>
                      <w:rFonts w:cs="Arial"/>
                      <w:i/>
                      <w:iCs/>
                      <w:color w:val="000000"/>
                      <w:szCs w:val="18"/>
                    </w:rPr>
                    <w:t>g</w:t>
                  </w:r>
                  <w:r w:rsidR="003B0C19">
                    <w:rPr>
                      <w:rFonts w:cs="Arial"/>
                      <w:i/>
                      <w:iCs/>
                      <w:color w:val="000000"/>
                      <w:szCs w:val="18"/>
                    </w:rPr>
                    <w:t>overnment</w:t>
                  </w:r>
                  <w:r w:rsidR="00900331">
                    <w:rPr>
                      <w:rFonts w:cs="Arial"/>
                      <w:i/>
                      <w:iCs/>
                      <w:color w:val="000000"/>
                      <w:szCs w:val="18"/>
                    </w:rPr>
                    <w:t>s</w:t>
                  </w:r>
                  <w:r w:rsidRPr="00495B0E">
                    <w:rPr>
                      <w:rFonts w:cs="Arial"/>
                      <w:i/>
                      <w:iCs/>
                      <w:color w:val="000000"/>
                      <w:szCs w:val="18"/>
                    </w:rPr>
                    <w:t xml:space="preserve"> </w:t>
                  </w:r>
                </w:p>
              </w:tc>
              <w:tc>
                <w:tcPr>
                  <w:tcW w:w="1667" w:type="pct"/>
                </w:tcPr>
                <w:p w14:paraId="4C6A413B" w14:textId="0E2C83A1" w:rsidR="00CE69AD" w:rsidRPr="00495B0E" w:rsidRDefault="00CE69AD" w:rsidP="00F0289A">
                  <w:pPr>
                    <w:pStyle w:val="TableBodyText"/>
                    <w:spacing w:before="60"/>
                    <w:jc w:val="left"/>
                    <w:rPr>
                      <w:szCs w:val="18"/>
                    </w:rPr>
                  </w:pPr>
                  <w:r w:rsidRPr="00495B0E">
                    <w:rPr>
                      <w:rFonts w:cs="Arial"/>
                      <w:color w:val="000000"/>
                      <w:szCs w:val="18"/>
                    </w:rPr>
                    <w:t>PC (2</w:t>
                  </w:r>
                  <w:r w:rsidR="004354FF">
                    <w:rPr>
                      <w:rFonts w:cs="Arial"/>
                      <w:color w:val="000000"/>
                      <w:szCs w:val="18"/>
                    </w:rPr>
                    <w:t> </w:t>
                  </w:r>
                  <w:r w:rsidRPr="00495B0E">
                    <w:rPr>
                      <w:rFonts w:cs="Arial"/>
                      <w:color w:val="000000"/>
                      <w:szCs w:val="18"/>
                    </w:rPr>
                    <w:t xml:space="preserve">013): </w:t>
                  </w:r>
                  <w:r w:rsidRPr="005E09AE">
                    <w:rPr>
                      <w:rFonts w:cs="Arial"/>
                      <w:i/>
                      <w:color w:val="000000"/>
                      <w:szCs w:val="18"/>
                    </w:rPr>
                    <w:t>An Ageing Australia</w:t>
                  </w:r>
                  <w:r w:rsidRPr="00495B0E">
                    <w:rPr>
                      <w:rFonts w:cs="Arial"/>
                      <w:color w:val="000000"/>
                      <w:szCs w:val="18"/>
                    </w:rPr>
                    <w:t>: Preparing for the Future.</w:t>
                  </w:r>
                </w:p>
              </w:tc>
              <w:tc>
                <w:tcPr>
                  <w:tcW w:w="1666" w:type="pct"/>
                </w:tcPr>
                <w:p w14:paraId="4C6A413C" w14:textId="7DA9000C" w:rsidR="00CE69AD" w:rsidRPr="00495B0E" w:rsidRDefault="00900331" w:rsidP="00F0289A">
                  <w:pPr>
                    <w:pStyle w:val="TableBodyText"/>
                    <w:spacing w:before="60"/>
                    <w:jc w:val="left"/>
                    <w:rPr>
                      <w:szCs w:val="18"/>
                    </w:rPr>
                  </w:pPr>
                  <w:r>
                    <w:rPr>
                      <w:rFonts w:cs="Arial"/>
                      <w:color w:val="000000"/>
                      <w:szCs w:val="18"/>
                    </w:rPr>
                    <w:t>Data are for 2</w:t>
                  </w:r>
                  <w:r w:rsidR="004354FF">
                    <w:rPr>
                      <w:rFonts w:cs="Arial"/>
                      <w:color w:val="000000"/>
                      <w:szCs w:val="18"/>
                    </w:rPr>
                    <w:t> </w:t>
                  </w:r>
                  <w:r>
                    <w:rPr>
                      <w:rFonts w:cs="Arial"/>
                      <w:color w:val="000000"/>
                      <w:szCs w:val="18"/>
                    </w:rPr>
                    <w:t xml:space="preserve">012, </w:t>
                  </w:r>
                  <w:r w:rsidR="00CE69AD">
                    <w:rPr>
                      <w:rFonts w:cs="Arial"/>
                      <w:color w:val="000000"/>
                      <w:szCs w:val="18"/>
                    </w:rPr>
                    <w:t xml:space="preserve">and are </w:t>
                  </w:r>
                  <w:r>
                    <w:rPr>
                      <w:rFonts w:cs="Arial"/>
                      <w:color w:val="000000"/>
                      <w:szCs w:val="18"/>
                    </w:rPr>
                    <w:t>indexed</w:t>
                  </w:r>
                  <w:r w:rsidR="00CE69AD">
                    <w:rPr>
                      <w:rFonts w:cs="Arial"/>
                      <w:color w:val="000000"/>
                      <w:szCs w:val="18"/>
                    </w:rPr>
                    <w:t xml:space="preserve"> to 2</w:t>
                  </w:r>
                  <w:r w:rsidR="004354FF">
                    <w:rPr>
                      <w:rFonts w:cs="Arial"/>
                      <w:color w:val="000000"/>
                      <w:szCs w:val="18"/>
                    </w:rPr>
                    <w:t> </w:t>
                  </w:r>
                  <w:r w:rsidR="00CE69AD">
                    <w:rPr>
                      <w:rFonts w:cs="Arial"/>
                      <w:color w:val="000000"/>
                      <w:szCs w:val="18"/>
                    </w:rPr>
                    <w:t>0</w:t>
                  </w:r>
                  <w:r w:rsidR="00CE69AD" w:rsidRPr="00495B0E">
                    <w:rPr>
                      <w:rFonts w:cs="Arial"/>
                      <w:color w:val="000000"/>
                      <w:szCs w:val="18"/>
                    </w:rPr>
                    <w:t>14</w:t>
                  </w:r>
                  <w:r w:rsidR="00CE69AD">
                    <w:rPr>
                      <w:rFonts w:cs="Arial"/>
                      <w:color w:val="000000"/>
                      <w:szCs w:val="18"/>
                    </w:rPr>
                    <w:t xml:space="preserve"> dollars</w:t>
                  </w:r>
                  <w:r>
                    <w:rPr>
                      <w:rFonts w:cs="Arial"/>
                      <w:color w:val="000000"/>
                      <w:szCs w:val="18"/>
                    </w:rPr>
                    <w:t xml:space="preserve"> for the purposes of this supplement.</w:t>
                  </w:r>
                </w:p>
              </w:tc>
            </w:tr>
            <w:tr w:rsidR="00CE69AD" w:rsidRPr="00495B0E" w14:paraId="4C6A4141" w14:textId="77777777" w:rsidTr="00F0289A">
              <w:tc>
                <w:tcPr>
                  <w:tcW w:w="1667" w:type="pct"/>
                  <w:shd w:val="clear" w:color="auto" w:fill="D9D9D9" w:themeFill="background1" w:themeFillShade="D9"/>
                </w:tcPr>
                <w:p w14:paraId="4C6A413E" w14:textId="77777777" w:rsidR="00CE69AD" w:rsidRPr="00495B0E" w:rsidRDefault="00CE69AD" w:rsidP="00F0289A">
                  <w:pPr>
                    <w:spacing w:before="60"/>
                    <w:rPr>
                      <w:rFonts w:ascii="Arial" w:hAnsi="Arial" w:cs="Arial"/>
                      <w:i/>
                      <w:iCs/>
                      <w:color w:val="000000"/>
                      <w:sz w:val="18"/>
                      <w:szCs w:val="18"/>
                    </w:rPr>
                  </w:pPr>
                  <w:r w:rsidRPr="00495B0E">
                    <w:rPr>
                      <w:rFonts w:ascii="Arial" w:hAnsi="Arial" w:cs="Arial"/>
                      <w:i/>
                      <w:iCs/>
                      <w:color w:val="000000"/>
                      <w:sz w:val="18"/>
                      <w:szCs w:val="18"/>
                    </w:rPr>
                    <w:t>Median income tax revenues</w:t>
                  </w:r>
                </w:p>
              </w:tc>
              <w:tc>
                <w:tcPr>
                  <w:tcW w:w="1667" w:type="pct"/>
                  <w:shd w:val="clear" w:color="auto" w:fill="D9D9D9" w:themeFill="background1" w:themeFillShade="D9"/>
                </w:tcPr>
                <w:p w14:paraId="4C6A413F" w14:textId="1D4FAA26" w:rsidR="00CE69AD" w:rsidRPr="00495B0E" w:rsidRDefault="00CE69AD" w:rsidP="001A1F09">
                  <w:pPr>
                    <w:pStyle w:val="TableBodyText"/>
                    <w:spacing w:before="60"/>
                    <w:jc w:val="left"/>
                    <w:rPr>
                      <w:szCs w:val="18"/>
                    </w:rPr>
                  </w:pPr>
                  <w:r w:rsidRPr="00495B0E">
                    <w:rPr>
                      <w:rFonts w:cs="Arial"/>
                      <w:color w:val="000000"/>
                      <w:szCs w:val="18"/>
                    </w:rPr>
                    <w:t>Personal Income Tax and Migrants Integrated Dataset (</w:t>
                  </w:r>
                  <w:proofErr w:type="spellStart"/>
                  <w:r w:rsidRPr="00495B0E">
                    <w:rPr>
                      <w:rFonts w:cs="Arial"/>
                      <w:color w:val="000000"/>
                      <w:szCs w:val="18"/>
                    </w:rPr>
                    <w:t>PITMID</w:t>
                  </w:r>
                  <w:proofErr w:type="spellEnd"/>
                  <w:r w:rsidRPr="00495B0E">
                    <w:rPr>
                      <w:rFonts w:cs="Arial"/>
                      <w:color w:val="000000"/>
                      <w:szCs w:val="18"/>
                    </w:rPr>
                    <w:t>) a</w:t>
                  </w:r>
                  <w:r w:rsidR="00260CB4">
                    <w:rPr>
                      <w:rFonts w:cs="Arial"/>
                      <w:color w:val="000000"/>
                      <w:szCs w:val="18"/>
                    </w:rPr>
                    <w:t xml:space="preserve">nd the </w:t>
                  </w:r>
                  <w:r w:rsidR="001A1F09">
                    <w:rPr>
                      <w:rFonts w:cs="Arial"/>
                      <w:color w:val="000000"/>
                      <w:szCs w:val="18"/>
                    </w:rPr>
                    <w:t>Australian Taxation Office (</w:t>
                  </w:r>
                  <w:proofErr w:type="spellStart"/>
                  <w:r w:rsidR="001A1F09">
                    <w:rPr>
                      <w:rFonts w:cs="Arial"/>
                      <w:color w:val="000000"/>
                      <w:szCs w:val="18"/>
                    </w:rPr>
                    <w:t>ATO</w:t>
                  </w:r>
                  <w:proofErr w:type="spellEnd"/>
                  <w:r w:rsidR="001A1F09">
                    <w:rPr>
                      <w:rFonts w:cs="Arial"/>
                      <w:color w:val="000000"/>
                      <w:szCs w:val="18"/>
                    </w:rPr>
                    <w:t>)</w:t>
                  </w:r>
                  <w:r w:rsidR="00260CB4">
                    <w:rPr>
                      <w:rFonts w:cs="Arial"/>
                      <w:color w:val="000000"/>
                      <w:szCs w:val="18"/>
                    </w:rPr>
                    <w:t xml:space="preserve"> one per </w:t>
                  </w:r>
                  <w:r>
                    <w:rPr>
                      <w:rFonts w:cs="Arial"/>
                      <w:color w:val="000000"/>
                      <w:szCs w:val="18"/>
                    </w:rPr>
                    <w:t>cent sample</w:t>
                  </w:r>
                  <w:r w:rsidRPr="00495B0E">
                    <w:rPr>
                      <w:rFonts w:cs="Arial"/>
                      <w:color w:val="000000"/>
                      <w:szCs w:val="18"/>
                    </w:rPr>
                    <w:t>.</w:t>
                  </w:r>
                </w:p>
              </w:tc>
              <w:tc>
                <w:tcPr>
                  <w:tcW w:w="1666" w:type="pct"/>
                  <w:shd w:val="clear" w:color="auto" w:fill="D9D9D9" w:themeFill="background1" w:themeFillShade="D9"/>
                </w:tcPr>
                <w:p w14:paraId="4C6A4140" w14:textId="58805237" w:rsidR="00CE69AD" w:rsidRPr="00495B0E" w:rsidRDefault="00CE69AD" w:rsidP="00F0289A">
                  <w:pPr>
                    <w:pStyle w:val="TableBodyText"/>
                    <w:spacing w:before="60"/>
                    <w:jc w:val="left"/>
                    <w:rPr>
                      <w:szCs w:val="18"/>
                    </w:rPr>
                  </w:pPr>
                  <w:proofErr w:type="spellStart"/>
                  <w:r>
                    <w:rPr>
                      <w:rFonts w:cs="Arial"/>
                      <w:color w:val="000000"/>
                      <w:szCs w:val="18"/>
                    </w:rPr>
                    <w:t>PIT</w:t>
                  </w:r>
                  <w:r w:rsidR="00D97929">
                    <w:rPr>
                      <w:rFonts w:cs="Arial"/>
                      <w:color w:val="000000"/>
                      <w:szCs w:val="18"/>
                    </w:rPr>
                    <w:t>MID</w:t>
                  </w:r>
                  <w:proofErr w:type="spellEnd"/>
                  <w:r w:rsidR="00D97929">
                    <w:rPr>
                      <w:rFonts w:cs="Arial"/>
                      <w:color w:val="000000"/>
                      <w:szCs w:val="18"/>
                    </w:rPr>
                    <w:t xml:space="preserve"> data relate to 2</w:t>
                  </w:r>
                  <w:r w:rsidR="004354FF">
                    <w:rPr>
                      <w:rFonts w:cs="Arial"/>
                      <w:color w:val="000000"/>
                      <w:szCs w:val="18"/>
                    </w:rPr>
                    <w:t> </w:t>
                  </w:r>
                  <w:r w:rsidR="00D97929">
                    <w:rPr>
                      <w:rFonts w:cs="Arial"/>
                      <w:color w:val="000000"/>
                      <w:szCs w:val="18"/>
                    </w:rPr>
                    <w:t>011</w:t>
                  </w:r>
                  <w:r>
                    <w:rPr>
                      <w:rFonts w:cs="Arial"/>
                      <w:color w:val="000000"/>
                      <w:szCs w:val="18"/>
                    </w:rPr>
                    <w:t xml:space="preserve"> and </w:t>
                  </w:r>
                  <w:proofErr w:type="spellStart"/>
                  <w:r w:rsidRPr="00495B0E">
                    <w:rPr>
                      <w:rFonts w:cs="Arial"/>
                      <w:color w:val="000000"/>
                      <w:szCs w:val="18"/>
                    </w:rPr>
                    <w:t>ATO</w:t>
                  </w:r>
                  <w:proofErr w:type="spellEnd"/>
                  <w:r w:rsidRPr="00495B0E">
                    <w:rPr>
                      <w:rFonts w:cs="Arial"/>
                      <w:color w:val="000000"/>
                      <w:szCs w:val="18"/>
                    </w:rPr>
                    <w:t xml:space="preserve"> </w:t>
                  </w:r>
                  <w:r>
                    <w:rPr>
                      <w:rFonts w:cs="Arial"/>
                      <w:color w:val="000000"/>
                      <w:szCs w:val="18"/>
                    </w:rPr>
                    <w:t>data</w:t>
                  </w:r>
                  <w:r w:rsidRPr="00495B0E">
                    <w:rPr>
                      <w:rFonts w:cs="Arial"/>
                      <w:color w:val="000000"/>
                      <w:szCs w:val="18"/>
                    </w:rPr>
                    <w:t xml:space="preserve"> are for the general population</w:t>
                  </w:r>
                  <w:r>
                    <w:rPr>
                      <w:rFonts w:cs="Arial"/>
                      <w:color w:val="000000"/>
                      <w:szCs w:val="18"/>
                    </w:rPr>
                    <w:t xml:space="preserve"> at 2</w:t>
                  </w:r>
                  <w:r w:rsidR="004354FF">
                    <w:rPr>
                      <w:rFonts w:cs="Arial"/>
                      <w:color w:val="000000"/>
                      <w:szCs w:val="18"/>
                    </w:rPr>
                    <w:t> </w:t>
                  </w:r>
                  <w:r>
                    <w:rPr>
                      <w:rFonts w:cs="Arial"/>
                      <w:color w:val="000000"/>
                      <w:szCs w:val="18"/>
                    </w:rPr>
                    <w:t>010</w:t>
                  </w:r>
                  <w:r w:rsidRPr="00495B0E">
                    <w:rPr>
                      <w:rFonts w:cs="Arial"/>
                      <w:color w:val="000000"/>
                      <w:szCs w:val="18"/>
                    </w:rPr>
                    <w:t>.</w:t>
                  </w:r>
                </w:p>
              </w:tc>
            </w:tr>
            <w:tr w:rsidR="00CE69AD" w:rsidRPr="00495B0E" w14:paraId="4C6A4145" w14:textId="77777777" w:rsidTr="006F4EF3">
              <w:tc>
                <w:tcPr>
                  <w:tcW w:w="1667" w:type="pct"/>
                </w:tcPr>
                <w:p w14:paraId="4C6A4142" w14:textId="77777777" w:rsidR="00CE69AD" w:rsidRPr="00495B0E" w:rsidRDefault="00CE69AD" w:rsidP="00F0289A">
                  <w:pPr>
                    <w:pStyle w:val="TableBodyText"/>
                    <w:spacing w:before="60"/>
                    <w:jc w:val="left"/>
                    <w:rPr>
                      <w:i/>
                      <w:szCs w:val="18"/>
                    </w:rPr>
                  </w:pPr>
                  <w:r>
                    <w:rPr>
                      <w:i/>
                      <w:szCs w:val="18"/>
                    </w:rPr>
                    <w:t>Other expenditure items</w:t>
                  </w:r>
                </w:p>
              </w:tc>
              <w:tc>
                <w:tcPr>
                  <w:tcW w:w="1667" w:type="pct"/>
                </w:tcPr>
                <w:p w14:paraId="4C6A4143" w14:textId="5177B19B" w:rsidR="00CE69AD" w:rsidRPr="00495B0E" w:rsidRDefault="00CE69AD" w:rsidP="00F0289A">
                  <w:pPr>
                    <w:pStyle w:val="TableBodyText"/>
                    <w:spacing w:before="60"/>
                    <w:jc w:val="left"/>
                    <w:rPr>
                      <w:szCs w:val="18"/>
                    </w:rPr>
                  </w:pPr>
                  <w:r>
                    <w:rPr>
                      <w:szCs w:val="18"/>
                    </w:rPr>
                    <w:t xml:space="preserve">ABS </w:t>
                  </w:r>
                  <w:r w:rsidR="00260CB4">
                    <w:rPr>
                      <w:szCs w:val="18"/>
                    </w:rPr>
                    <w:t>(</w:t>
                  </w:r>
                  <w:r w:rsidR="00260CB4" w:rsidRPr="00495B0E">
                    <w:rPr>
                      <w:szCs w:val="18"/>
                    </w:rPr>
                    <w:t>Government Finance Statistics</w:t>
                  </w:r>
                  <w:r w:rsidR="00260CB4">
                    <w:rPr>
                      <w:szCs w:val="18"/>
                    </w:rPr>
                    <w:t xml:space="preserve">, </w:t>
                  </w:r>
                  <w:r>
                    <w:rPr>
                      <w:szCs w:val="18"/>
                    </w:rPr>
                    <w:t>Cat.</w:t>
                  </w:r>
                  <w:r w:rsidR="00260CB4">
                    <w:rPr>
                      <w:szCs w:val="18"/>
                    </w:rPr>
                    <w:t> n</w:t>
                  </w:r>
                  <w:r>
                    <w:rPr>
                      <w:szCs w:val="18"/>
                    </w:rPr>
                    <w:t>o.</w:t>
                  </w:r>
                  <w:r w:rsidR="00260CB4">
                    <w:rPr>
                      <w:szCs w:val="18"/>
                    </w:rPr>
                    <w:t> 5</w:t>
                  </w:r>
                  <w:r w:rsidR="004354FF">
                    <w:rPr>
                      <w:szCs w:val="18"/>
                    </w:rPr>
                    <w:t> </w:t>
                  </w:r>
                  <w:r w:rsidR="00260CB4">
                    <w:rPr>
                      <w:szCs w:val="18"/>
                    </w:rPr>
                    <w:t>512.0)</w:t>
                  </w:r>
                  <w:r>
                    <w:rPr>
                      <w:szCs w:val="18"/>
                    </w:rPr>
                    <w:t>.</w:t>
                  </w:r>
                </w:p>
              </w:tc>
              <w:tc>
                <w:tcPr>
                  <w:tcW w:w="1666" w:type="pct"/>
                </w:tcPr>
                <w:p w14:paraId="4C6A4144" w14:textId="47C9345E" w:rsidR="00CE69AD" w:rsidRPr="00495B0E" w:rsidRDefault="00CE69AD" w:rsidP="00F0289A">
                  <w:pPr>
                    <w:pStyle w:val="TableBodyText"/>
                    <w:spacing w:before="60"/>
                    <w:jc w:val="left"/>
                    <w:rPr>
                      <w:szCs w:val="18"/>
                    </w:rPr>
                  </w:pPr>
                  <w:r>
                    <w:rPr>
                      <w:szCs w:val="18"/>
                    </w:rPr>
                    <w:t>Data are for 2</w:t>
                  </w:r>
                  <w:r w:rsidR="004354FF">
                    <w:rPr>
                      <w:szCs w:val="18"/>
                    </w:rPr>
                    <w:t> </w:t>
                  </w:r>
                  <w:r>
                    <w:rPr>
                      <w:szCs w:val="18"/>
                    </w:rPr>
                    <w:t xml:space="preserve">014. Per </w:t>
                  </w:r>
                  <w:r w:rsidR="00A15A2E">
                    <w:rPr>
                      <w:szCs w:val="18"/>
                    </w:rPr>
                    <w:t>person</w:t>
                  </w:r>
                  <w:r>
                    <w:rPr>
                      <w:szCs w:val="18"/>
                    </w:rPr>
                    <w:t xml:space="preserve"> estimates only.</w:t>
                  </w:r>
                </w:p>
              </w:tc>
            </w:tr>
            <w:tr w:rsidR="00CE69AD" w:rsidRPr="00495B0E" w14:paraId="4C6A4149" w14:textId="77777777" w:rsidTr="00F0289A">
              <w:tc>
                <w:tcPr>
                  <w:tcW w:w="1667" w:type="pct"/>
                  <w:tcBorders>
                    <w:bottom w:val="single" w:sz="6" w:space="0" w:color="BFBFBF"/>
                  </w:tcBorders>
                  <w:shd w:val="clear" w:color="auto" w:fill="D9D9D9" w:themeFill="background1" w:themeFillShade="D9"/>
                </w:tcPr>
                <w:p w14:paraId="4C6A4146" w14:textId="77777777" w:rsidR="00CE69AD" w:rsidRPr="00495B0E" w:rsidRDefault="00CE69AD" w:rsidP="00F0289A">
                  <w:pPr>
                    <w:pStyle w:val="TableBodyText"/>
                    <w:spacing w:before="60"/>
                    <w:jc w:val="left"/>
                    <w:rPr>
                      <w:i/>
                      <w:szCs w:val="18"/>
                    </w:rPr>
                  </w:pPr>
                  <w:r w:rsidRPr="00495B0E">
                    <w:rPr>
                      <w:rFonts w:cs="Arial"/>
                      <w:i/>
                      <w:iCs/>
                      <w:color w:val="000000"/>
                      <w:szCs w:val="18"/>
                    </w:rPr>
                    <w:t>Other revenue items</w:t>
                  </w:r>
                </w:p>
              </w:tc>
              <w:tc>
                <w:tcPr>
                  <w:tcW w:w="1667" w:type="pct"/>
                  <w:tcBorders>
                    <w:bottom w:val="single" w:sz="6" w:space="0" w:color="BFBFBF"/>
                  </w:tcBorders>
                  <w:shd w:val="clear" w:color="auto" w:fill="D9D9D9" w:themeFill="background1" w:themeFillShade="D9"/>
                </w:tcPr>
                <w:p w14:paraId="4C6A4147" w14:textId="6181F732" w:rsidR="00CE69AD" w:rsidRPr="00495B0E" w:rsidRDefault="00CE69AD" w:rsidP="00F0289A">
                  <w:pPr>
                    <w:pStyle w:val="TableBodyText"/>
                    <w:spacing w:before="60"/>
                    <w:jc w:val="left"/>
                    <w:rPr>
                      <w:szCs w:val="18"/>
                    </w:rPr>
                  </w:pPr>
                  <w:r w:rsidRPr="00495B0E">
                    <w:rPr>
                      <w:szCs w:val="18"/>
                    </w:rPr>
                    <w:t xml:space="preserve">ABS </w:t>
                  </w:r>
                  <w:r w:rsidR="00260CB4">
                    <w:rPr>
                      <w:szCs w:val="18"/>
                    </w:rPr>
                    <w:t>(</w:t>
                  </w:r>
                  <w:r w:rsidR="00260CB4" w:rsidRPr="00495B0E">
                    <w:rPr>
                      <w:szCs w:val="18"/>
                    </w:rPr>
                    <w:t>Taxation Revenue</w:t>
                  </w:r>
                  <w:r w:rsidR="00260CB4">
                    <w:rPr>
                      <w:szCs w:val="18"/>
                    </w:rPr>
                    <w:t xml:space="preserve">, </w:t>
                  </w:r>
                  <w:r w:rsidRPr="00495B0E">
                    <w:rPr>
                      <w:szCs w:val="18"/>
                    </w:rPr>
                    <w:t>Cat.</w:t>
                  </w:r>
                  <w:r w:rsidR="00260CB4">
                    <w:rPr>
                      <w:szCs w:val="18"/>
                    </w:rPr>
                    <w:t> n</w:t>
                  </w:r>
                  <w:r w:rsidRPr="00495B0E">
                    <w:rPr>
                      <w:szCs w:val="18"/>
                    </w:rPr>
                    <w:t>o.</w:t>
                  </w:r>
                  <w:r w:rsidR="00260CB4">
                    <w:rPr>
                      <w:szCs w:val="18"/>
                    </w:rPr>
                    <w:t> 5</w:t>
                  </w:r>
                  <w:r w:rsidR="004354FF">
                    <w:rPr>
                      <w:szCs w:val="18"/>
                    </w:rPr>
                    <w:t> </w:t>
                  </w:r>
                  <w:r w:rsidR="00260CB4">
                    <w:rPr>
                      <w:szCs w:val="18"/>
                    </w:rPr>
                    <w:t>506.0)</w:t>
                  </w:r>
                  <w:r>
                    <w:rPr>
                      <w:szCs w:val="18"/>
                    </w:rPr>
                    <w:t>.</w:t>
                  </w:r>
                </w:p>
              </w:tc>
              <w:tc>
                <w:tcPr>
                  <w:tcW w:w="1666" w:type="pct"/>
                  <w:tcBorders>
                    <w:bottom w:val="single" w:sz="6" w:space="0" w:color="BFBFBF"/>
                  </w:tcBorders>
                  <w:shd w:val="clear" w:color="auto" w:fill="D9D9D9" w:themeFill="background1" w:themeFillShade="D9"/>
                </w:tcPr>
                <w:p w14:paraId="4C6A4148" w14:textId="25BA3EF9" w:rsidR="00CE69AD" w:rsidRPr="00495B0E" w:rsidRDefault="00CE69AD" w:rsidP="00F0289A">
                  <w:pPr>
                    <w:pStyle w:val="TableBodyText"/>
                    <w:spacing w:before="60"/>
                    <w:jc w:val="left"/>
                    <w:rPr>
                      <w:szCs w:val="18"/>
                    </w:rPr>
                  </w:pPr>
                  <w:r>
                    <w:rPr>
                      <w:szCs w:val="18"/>
                    </w:rPr>
                    <w:t>Data are for 2</w:t>
                  </w:r>
                  <w:r w:rsidR="004354FF">
                    <w:rPr>
                      <w:szCs w:val="18"/>
                    </w:rPr>
                    <w:t> </w:t>
                  </w:r>
                  <w:r>
                    <w:rPr>
                      <w:szCs w:val="18"/>
                    </w:rPr>
                    <w:t xml:space="preserve">014. Per </w:t>
                  </w:r>
                  <w:r w:rsidR="00A15A2E">
                    <w:rPr>
                      <w:szCs w:val="18"/>
                    </w:rPr>
                    <w:t>person</w:t>
                  </w:r>
                  <w:r>
                    <w:rPr>
                      <w:szCs w:val="18"/>
                    </w:rPr>
                    <w:t xml:space="preserve"> estimates only.</w:t>
                  </w:r>
                </w:p>
              </w:tc>
            </w:tr>
          </w:tbl>
          <w:p w14:paraId="4C6A414A" w14:textId="77777777" w:rsidR="00667E45" w:rsidRDefault="00667E45" w:rsidP="006F4EF3">
            <w:pPr>
              <w:pStyle w:val="Box"/>
            </w:pPr>
          </w:p>
        </w:tc>
      </w:tr>
      <w:tr w:rsidR="00667E45" w14:paraId="4C6A414D" w14:textId="77777777" w:rsidTr="006F4EF3">
        <w:tc>
          <w:tcPr>
            <w:tcW w:w="8771" w:type="dxa"/>
            <w:tcBorders>
              <w:top w:val="nil"/>
              <w:left w:val="nil"/>
              <w:bottom w:val="nil"/>
              <w:right w:val="nil"/>
            </w:tcBorders>
            <w:shd w:val="clear" w:color="auto" w:fill="auto"/>
          </w:tcPr>
          <w:p w14:paraId="4C6A414C" w14:textId="77777777" w:rsidR="00667E45" w:rsidRDefault="00667E45" w:rsidP="00900331">
            <w:pPr>
              <w:pStyle w:val="Note"/>
              <w:rPr>
                <w:i/>
              </w:rPr>
            </w:pPr>
            <w:proofErr w:type="spellStart"/>
            <w:r w:rsidRPr="008E77FE">
              <w:rPr>
                <w:rStyle w:val="NoteLabel"/>
              </w:rPr>
              <w:t>a</w:t>
            </w:r>
            <w:proofErr w:type="spellEnd"/>
            <w:r>
              <w:t xml:space="preserve"> </w:t>
            </w:r>
            <w:r w:rsidR="00900331">
              <w:t>There are a number of additional data sources used to calculate immigrants’ uptake rates for government</w:t>
            </w:r>
            <w:r w:rsidR="00900331">
              <w:noBreakHyphen/>
              <w:t>funded services and benefits (appendix </w:t>
            </w:r>
            <w:r w:rsidRPr="00C600D8">
              <w:t>B</w:t>
            </w:r>
            <w:r w:rsidR="00900331">
              <w:t>)</w:t>
            </w:r>
            <w:r w:rsidRPr="00C600D8">
              <w:t>.</w:t>
            </w:r>
          </w:p>
        </w:tc>
      </w:tr>
      <w:tr w:rsidR="00FA4B00" w14:paraId="4C6A414F" w14:textId="77777777" w:rsidTr="00CD77A7">
        <w:trPr>
          <w:cantSplit/>
        </w:trPr>
        <w:tc>
          <w:tcPr>
            <w:tcW w:w="8771" w:type="dxa"/>
            <w:tcBorders>
              <w:top w:val="nil"/>
              <w:left w:val="nil"/>
              <w:bottom w:val="nil"/>
              <w:right w:val="nil"/>
            </w:tcBorders>
            <w:shd w:val="clear" w:color="auto" w:fill="auto"/>
          </w:tcPr>
          <w:p w14:paraId="4C6A414E" w14:textId="1CD91CD4" w:rsidR="00FA4B00" w:rsidRDefault="00B75576" w:rsidP="00600CA1">
            <w:pPr>
              <w:pStyle w:val="Source"/>
            </w:pPr>
            <w:r>
              <w:rPr>
                <w:i/>
              </w:rPr>
              <w:t>Source</w:t>
            </w:r>
            <w:r w:rsidR="00C97F4F">
              <w:rPr>
                <w:i/>
              </w:rPr>
              <w:t>s</w:t>
            </w:r>
            <w:r w:rsidR="00FA4B00" w:rsidRPr="00167F06">
              <w:t xml:space="preserve">: </w:t>
            </w:r>
            <w:r w:rsidR="00600CA1" w:rsidRPr="00600CA1">
              <w:rPr>
                <w:rFonts w:cs="Arial"/>
                <w:szCs w:val="24"/>
              </w:rPr>
              <w:t>(ABS </w:t>
            </w:r>
            <w:proofErr w:type="spellStart"/>
            <w:r w:rsidR="00600CA1" w:rsidRPr="00600CA1">
              <w:rPr>
                <w:rFonts w:cs="Arial"/>
                <w:szCs w:val="24"/>
              </w:rPr>
              <w:t>2013a</w:t>
            </w:r>
            <w:proofErr w:type="spellEnd"/>
            <w:r w:rsidR="00600CA1" w:rsidRPr="00600CA1">
              <w:rPr>
                <w:rFonts w:cs="Arial"/>
                <w:szCs w:val="24"/>
              </w:rPr>
              <w:t xml:space="preserve">, </w:t>
            </w:r>
            <w:proofErr w:type="spellStart"/>
            <w:r w:rsidR="00600CA1" w:rsidRPr="00600CA1">
              <w:rPr>
                <w:rFonts w:cs="Arial"/>
                <w:szCs w:val="24"/>
              </w:rPr>
              <w:t>2014b</w:t>
            </w:r>
            <w:proofErr w:type="spellEnd"/>
            <w:r w:rsidR="00600CA1" w:rsidRPr="00600CA1">
              <w:rPr>
                <w:rFonts w:cs="Arial"/>
                <w:szCs w:val="24"/>
              </w:rPr>
              <w:t xml:space="preserve">, </w:t>
            </w:r>
            <w:proofErr w:type="spellStart"/>
            <w:r w:rsidR="00600CA1" w:rsidRPr="00600CA1">
              <w:rPr>
                <w:rFonts w:cs="Arial"/>
                <w:szCs w:val="24"/>
              </w:rPr>
              <w:t>2014c</w:t>
            </w:r>
            <w:proofErr w:type="spellEnd"/>
            <w:r w:rsidR="00600CA1" w:rsidRPr="00600CA1">
              <w:rPr>
                <w:rFonts w:cs="Arial"/>
                <w:szCs w:val="24"/>
              </w:rPr>
              <w:t xml:space="preserve">, </w:t>
            </w:r>
            <w:proofErr w:type="spellStart"/>
            <w:r w:rsidR="00600CA1" w:rsidRPr="00600CA1">
              <w:rPr>
                <w:rFonts w:cs="Arial"/>
                <w:szCs w:val="24"/>
              </w:rPr>
              <w:t>2015b</w:t>
            </w:r>
            <w:proofErr w:type="spellEnd"/>
            <w:r w:rsidR="00600CA1" w:rsidRPr="00600CA1">
              <w:rPr>
                <w:rFonts w:cs="Arial"/>
                <w:szCs w:val="24"/>
              </w:rPr>
              <w:t xml:space="preserve">, </w:t>
            </w:r>
            <w:proofErr w:type="spellStart"/>
            <w:r w:rsidR="00600CA1" w:rsidRPr="00600CA1">
              <w:rPr>
                <w:rFonts w:cs="Arial"/>
                <w:szCs w:val="24"/>
              </w:rPr>
              <w:t>2015c</w:t>
            </w:r>
            <w:proofErr w:type="spellEnd"/>
            <w:r w:rsidR="00600CA1" w:rsidRPr="00600CA1">
              <w:rPr>
                <w:rFonts w:cs="Arial"/>
                <w:szCs w:val="24"/>
              </w:rPr>
              <w:t xml:space="preserve">, </w:t>
            </w:r>
            <w:proofErr w:type="spellStart"/>
            <w:r w:rsidR="00600CA1" w:rsidRPr="00600CA1">
              <w:rPr>
                <w:rFonts w:cs="Arial"/>
                <w:szCs w:val="24"/>
              </w:rPr>
              <w:t>2015d</w:t>
            </w:r>
            <w:proofErr w:type="spellEnd"/>
            <w:r w:rsidR="00600CA1" w:rsidRPr="00600CA1">
              <w:rPr>
                <w:rFonts w:cs="Arial"/>
                <w:szCs w:val="24"/>
              </w:rPr>
              <w:t xml:space="preserve">, </w:t>
            </w:r>
            <w:proofErr w:type="spellStart"/>
            <w:r w:rsidR="00600CA1" w:rsidRPr="00600CA1">
              <w:rPr>
                <w:rFonts w:cs="Arial"/>
                <w:szCs w:val="24"/>
              </w:rPr>
              <w:t>2015e</w:t>
            </w:r>
            <w:proofErr w:type="spellEnd"/>
            <w:r w:rsidR="00600CA1" w:rsidRPr="00600CA1">
              <w:rPr>
                <w:rFonts w:cs="Arial"/>
                <w:szCs w:val="24"/>
              </w:rPr>
              <w:t>)</w:t>
            </w:r>
            <w:r w:rsidR="001A1F09">
              <w:rPr>
                <w:rFonts w:cs="Arial"/>
                <w:szCs w:val="24"/>
              </w:rPr>
              <w:t>;</w:t>
            </w:r>
            <w:r w:rsidR="002075CD">
              <w:t xml:space="preserve"> </w:t>
            </w:r>
            <w:r w:rsidR="002075CD" w:rsidRPr="002075CD">
              <w:rPr>
                <w:rFonts w:cs="Arial"/>
                <w:szCs w:val="24"/>
              </w:rPr>
              <w:t>(PC 2013)</w:t>
            </w:r>
            <w:r w:rsidR="001A1F09">
              <w:rPr>
                <w:rFonts w:cs="Arial"/>
                <w:szCs w:val="24"/>
              </w:rPr>
              <w:t>;</w:t>
            </w:r>
            <w:r w:rsidR="002075CD">
              <w:t xml:space="preserve"> </w:t>
            </w:r>
            <w:r w:rsidR="002075CD" w:rsidRPr="002075CD">
              <w:rPr>
                <w:rFonts w:cs="Arial"/>
                <w:szCs w:val="24"/>
              </w:rPr>
              <w:t>(</w:t>
            </w:r>
            <w:proofErr w:type="spellStart"/>
            <w:r w:rsidR="002075CD" w:rsidRPr="002075CD">
              <w:rPr>
                <w:rFonts w:cs="Arial"/>
                <w:szCs w:val="24"/>
              </w:rPr>
              <w:t>ATO</w:t>
            </w:r>
            <w:proofErr w:type="spellEnd"/>
            <w:r w:rsidR="002075CD" w:rsidRPr="002075CD">
              <w:rPr>
                <w:rFonts w:cs="Arial"/>
                <w:szCs w:val="24"/>
              </w:rPr>
              <w:t> 2015)</w:t>
            </w:r>
            <w:r w:rsidR="002075CD">
              <w:t>.</w:t>
            </w:r>
          </w:p>
        </w:tc>
      </w:tr>
      <w:tr w:rsidR="00667E45" w14:paraId="4C6A4151" w14:textId="77777777" w:rsidTr="006F4EF3">
        <w:tc>
          <w:tcPr>
            <w:tcW w:w="8771" w:type="dxa"/>
            <w:tcBorders>
              <w:top w:val="nil"/>
              <w:left w:val="nil"/>
              <w:bottom w:val="single" w:sz="6" w:space="0" w:color="78A22F"/>
              <w:right w:val="nil"/>
            </w:tcBorders>
            <w:shd w:val="clear" w:color="auto" w:fill="auto"/>
          </w:tcPr>
          <w:p w14:paraId="4C6A4150" w14:textId="77777777" w:rsidR="00667E45" w:rsidRDefault="00667E45" w:rsidP="006F4EF3">
            <w:pPr>
              <w:pStyle w:val="Box"/>
              <w:spacing w:before="0" w:line="120" w:lineRule="exact"/>
            </w:pPr>
          </w:p>
        </w:tc>
      </w:tr>
      <w:tr w:rsidR="00667E45" w:rsidRPr="000863A5" w14:paraId="4C6A4153" w14:textId="77777777" w:rsidTr="006F4EF3">
        <w:tc>
          <w:tcPr>
            <w:tcW w:w="8771" w:type="dxa"/>
            <w:tcBorders>
              <w:top w:val="single" w:sz="6" w:space="0" w:color="78A22F"/>
              <w:left w:val="nil"/>
              <w:bottom w:val="nil"/>
              <w:right w:val="nil"/>
            </w:tcBorders>
          </w:tcPr>
          <w:p w14:paraId="4C6A4152" w14:textId="7512DEC7" w:rsidR="00667E45" w:rsidRPr="00626D32" w:rsidRDefault="00667E45" w:rsidP="006F4EF3">
            <w:pPr>
              <w:pStyle w:val="BoxSpaceBelow"/>
            </w:pPr>
          </w:p>
        </w:tc>
      </w:tr>
    </w:tbl>
    <w:p w14:paraId="4C6A4154" w14:textId="70DA6800" w:rsidR="00A469DC" w:rsidRDefault="00FD401E" w:rsidP="00A469DC">
      <w:pPr>
        <w:pStyle w:val="Heading2"/>
      </w:pPr>
      <w:proofErr w:type="spellStart"/>
      <w:r>
        <w:t>D</w:t>
      </w:r>
      <w:r w:rsidR="00D10860">
        <w:t>.</w:t>
      </w:r>
      <w:r w:rsidR="00D10860">
        <w:rPr>
          <w:noProof/>
        </w:rPr>
        <w:t>4</w:t>
      </w:r>
      <w:proofErr w:type="spellEnd"/>
      <w:r w:rsidR="00A469DC">
        <w:tab/>
        <w:t>Model framework, assumptions and limitations</w:t>
      </w:r>
    </w:p>
    <w:p w14:paraId="4C6A4155" w14:textId="77777777" w:rsidR="00A90B00" w:rsidRDefault="00A90B00" w:rsidP="0014100C">
      <w:pPr>
        <w:pStyle w:val="Heading3"/>
        <w:spacing w:before="280"/>
      </w:pPr>
      <w:r>
        <w:t>Model framework</w:t>
      </w:r>
    </w:p>
    <w:p w14:paraId="4C6A4156" w14:textId="77777777" w:rsidR="00A90B00" w:rsidRPr="00A90B00" w:rsidRDefault="00A90B00" w:rsidP="00487D84">
      <w:pPr>
        <w:pStyle w:val="BodyText"/>
      </w:pPr>
      <w:r>
        <w:t xml:space="preserve">This section describes the framework underlying the model in terms of its four primary </w:t>
      </w:r>
      <w:r w:rsidR="00CC6108">
        <w:t>components</w:t>
      </w:r>
      <w:r>
        <w:t>: a</w:t>
      </w:r>
      <w:r w:rsidR="00AD2376">
        <w:t>n</w:t>
      </w:r>
      <w:r>
        <w:t xml:space="preserve"> </w:t>
      </w:r>
      <w:r w:rsidR="00AD2376">
        <w:t>im</w:t>
      </w:r>
      <w:r>
        <w:t>migran</w:t>
      </w:r>
      <w:r w:rsidR="00D92B39">
        <w:t>t flows and demographics module</w:t>
      </w:r>
      <w:r w:rsidR="00487D84">
        <w:t xml:space="preserve">, </w:t>
      </w:r>
      <w:r w:rsidR="00D92B39">
        <w:t>an expenditure module</w:t>
      </w:r>
      <w:r w:rsidR="00487D84">
        <w:t xml:space="preserve">, </w:t>
      </w:r>
      <w:r w:rsidR="00D92B39">
        <w:t>a labour market module</w:t>
      </w:r>
      <w:r w:rsidR="00487D84">
        <w:t xml:space="preserve">, and </w:t>
      </w:r>
      <w:r>
        <w:t xml:space="preserve">a module to derive the </w:t>
      </w:r>
      <w:proofErr w:type="spellStart"/>
      <w:r w:rsidR="0073189B">
        <w:t>NPVs</w:t>
      </w:r>
      <w:proofErr w:type="spellEnd"/>
      <w:r>
        <w:t xml:space="preserve"> of </w:t>
      </w:r>
      <w:r w:rsidR="00AD2376">
        <w:t>im</w:t>
      </w:r>
      <w:r>
        <w:t>migrants</w:t>
      </w:r>
      <w:r w:rsidR="00900331">
        <w:t>’</w:t>
      </w:r>
      <w:r>
        <w:t xml:space="preserve"> lifetime net fiscal impacts. </w:t>
      </w:r>
    </w:p>
    <w:p w14:paraId="4C6A4157" w14:textId="77777777" w:rsidR="00A469DC" w:rsidRDefault="00F841F4" w:rsidP="00F012C2">
      <w:pPr>
        <w:pStyle w:val="Heading4"/>
      </w:pPr>
      <w:r>
        <w:lastRenderedPageBreak/>
        <w:t>Module</w:t>
      </w:r>
      <w:r w:rsidR="00D92B39">
        <w:t> </w:t>
      </w:r>
      <w:r w:rsidR="00127C47">
        <w:t xml:space="preserve">1: </w:t>
      </w:r>
      <w:r w:rsidR="00AD2376">
        <w:t xml:space="preserve">Immigrant </w:t>
      </w:r>
      <w:r w:rsidR="007C4B48">
        <w:t>flows</w:t>
      </w:r>
      <w:r w:rsidR="00BF54BA">
        <w:t xml:space="preserve"> and d</w:t>
      </w:r>
      <w:r w:rsidR="004155B7">
        <w:t>emographics</w:t>
      </w:r>
    </w:p>
    <w:p w14:paraId="4C6A4158" w14:textId="77777777" w:rsidR="00A469DC" w:rsidRDefault="009F0CBB" w:rsidP="00A469DC">
      <w:pPr>
        <w:pStyle w:val="BodyText"/>
      </w:pPr>
      <w:r>
        <w:t>Module</w:t>
      </w:r>
      <w:r w:rsidR="00D92B39">
        <w:t> </w:t>
      </w:r>
      <w:r>
        <w:t>1 covers the inward and outward flow</w:t>
      </w:r>
      <w:r w:rsidR="00214697">
        <w:t>s</w:t>
      </w:r>
      <w:r>
        <w:t xml:space="preserve"> of </w:t>
      </w:r>
      <w:r w:rsidR="00CC6108">
        <w:t>im</w:t>
      </w:r>
      <w:r>
        <w:t>migrants,</w:t>
      </w:r>
      <w:r w:rsidR="00BF54BA">
        <w:t xml:space="preserve"> demographic assumptions,</w:t>
      </w:r>
      <w:r>
        <w:t xml:space="preserve"> and how the model</w:t>
      </w:r>
      <w:r w:rsidR="00FC20FE">
        <w:t xml:space="preserve"> derives the projection of NOM under different policy scenarios</w:t>
      </w:r>
      <w:r w:rsidR="00AD2376">
        <w:t xml:space="preserve"> (f</w:t>
      </w:r>
      <w:r w:rsidR="001A551C">
        <w:t>igure </w:t>
      </w:r>
      <w:proofErr w:type="spellStart"/>
      <w:r w:rsidR="00F233D6">
        <w:t>D.1</w:t>
      </w:r>
      <w:proofErr w:type="spellEnd"/>
      <w:r w:rsidR="00AD2376">
        <w:t>)</w:t>
      </w:r>
      <w:r w:rsidR="004125E3">
        <w:t xml:space="preserve">. </w:t>
      </w:r>
    </w:p>
    <w:p w14:paraId="3C05EB0A" w14:textId="5AE5C4A6" w:rsidR="00D55A3F" w:rsidRDefault="00D55A3F" w:rsidP="00D55A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55A3F" w14:paraId="5347BFE7" w14:textId="77777777" w:rsidTr="00D55A3F">
        <w:tc>
          <w:tcPr>
            <w:tcW w:w="8771" w:type="dxa"/>
            <w:tcBorders>
              <w:top w:val="single" w:sz="6" w:space="0" w:color="78A22F"/>
              <w:left w:val="nil"/>
              <w:bottom w:val="nil"/>
              <w:right w:val="nil"/>
            </w:tcBorders>
            <w:shd w:val="clear" w:color="auto" w:fill="auto"/>
          </w:tcPr>
          <w:p w14:paraId="206032AC" w14:textId="617F4893" w:rsidR="00D55A3F" w:rsidRDefault="00D55A3F" w:rsidP="00D55A3F">
            <w:pPr>
              <w:pStyle w:val="FigureTitle"/>
            </w:pPr>
            <w:r w:rsidRPr="00784A05">
              <w:rPr>
                <w:b w:val="0"/>
              </w:rPr>
              <w:t xml:space="preserve">Figure </w:t>
            </w:r>
            <w:proofErr w:type="spellStart"/>
            <w:r>
              <w:rPr>
                <w:b w:val="0"/>
              </w:rPr>
              <w:t>D.</w:t>
            </w:r>
            <w:r>
              <w:rPr>
                <w:b w:val="0"/>
                <w:noProof/>
              </w:rPr>
              <w:t>1</w:t>
            </w:r>
            <w:proofErr w:type="spellEnd"/>
            <w:r>
              <w:tab/>
              <w:t>Immigrant flows and demographics</w:t>
            </w:r>
          </w:p>
          <w:p w14:paraId="62BBA221" w14:textId="2584BB1D" w:rsidR="00D55A3F" w:rsidRPr="00176D3F" w:rsidRDefault="00D55A3F" w:rsidP="00D55A3F">
            <w:pPr>
              <w:pStyle w:val="Subtitle"/>
            </w:pPr>
            <w:r>
              <w:t>Derivation of the representative and cumulative intake of immigrants</w:t>
            </w:r>
          </w:p>
        </w:tc>
      </w:tr>
      <w:tr w:rsidR="00D55A3F" w14:paraId="78AFD830" w14:textId="77777777" w:rsidTr="00D55A3F">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55A3F" w14:paraId="63673647" w14:textId="77777777" w:rsidTr="00D55A3F">
              <w:trPr>
                <w:jc w:val="center"/>
              </w:trPr>
              <w:tc>
                <w:tcPr>
                  <w:tcW w:w="5000" w:type="pct"/>
                  <w:tcBorders>
                    <w:top w:val="nil"/>
                    <w:bottom w:val="nil"/>
                  </w:tcBorders>
                </w:tcPr>
                <w:p w14:paraId="0299DAB0" w14:textId="06BBE8E3" w:rsidR="00D55A3F" w:rsidRDefault="00C94042" w:rsidP="00D55A3F">
                  <w:pPr>
                    <w:pStyle w:val="Figure"/>
                    <w:spacing w:before="60" w:after="60"/>
                  </w:pPr>
                  <w:r>
                    <w:rPr>
                      <w:noProof/>
                    </w:rPr>
                    <mc:AlternateContent>
                      <mc:Choice Requires="wps">
                        <w:drawing>
                          <wp:anchor distT="0" distB="0" distL="114300" distR="114300" simplePos="0" relativeHeight="251662336" behindDoc="0" locked="0" layoutInCell="1" allowOverlap="1" wp14:anchorId="2AC50624" wp14:editId="037E30BF">
                            <wp:simplePos x="0" y="0"/>
                            <wp:positionH relativeFrom="column">
                              <wp:posOffset>4246880</wp:posOffset>
                            </wp:positionH>
                            <wp:positionV relativeFrom="paragraph">
                              <wp:posOffset>1823720</wp:posOffset>
                            </wp:positionV>
                            <wp:extent cx="280670" cy="76200"/>
                            <wp:effectExtent l="0" t="0" r="5080" b="0"/>
                            <wp:wrapNone/>
                            <wp:docPr id="14" name="Rectangle 14" descr="background image"/>
                            <wp:cNvGraphicFramePr/>
                            <a:graphic xmlns:a="http://schemas.openxmlformats.org/drawingml/2006/main">
                              <a:graphicData uri="http://schemas.microsoft.com/office/word/2010/wordprocessingShape">
                                <wps:wsp>
                                  <wps:cNvSpPr/>
                                  <wps:spPr>
                                    <a:xfrm>
                                      <a:off x="0" y="0"/>
                                      <a:ext cx="280670" cy="7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26" alt="background image" style="position:absolute;margin-left:334.4pt;margin-top:143.6pt;width:22.1pt;height: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" fillcolor="white [3212]" stroked="f" strokeweight="2pt"/>
                        </w:pict>
                      </mc:Fallback>
                    </mc:AlternateContent>
                  </w:r>
                  <w:r>
                    <w:rPr>
                      <w:noProof/>
                    </w:rPr>
                    <mc:AlternateContent>
                      <mc:Choice Requires="wps">
                        <w:drawing>
                          <wp:anchor distT="0" distB="0" distL="114300" distR="114300" simplePos="0" relativeHeight="251663360" behindDoc="0" locked="0" layoutInCell="1" allowOverlap="1" wp14:anchorId="3D5BD766" wp14:editId="71E1EE41">
                            <wp:simplePos x="0" y="0"/>
                            <wp:positionH relativeFrom="column">
                              <wp:posOffset>3822065</wp:posOffset>
                            </wp:positionH>
                            <wp:positionV relativeFrom="paragraph">
                              <wp:posOffset>1846580</wp:posOffset>
                            </wp:positionV>
                            <wp:extent cx="1158875" cy="0"/>
                            <wp:effectExtent l="0" t="0" r="22225" b="19050"/>
                            <wp:wrapNone/>
                            <wp:docPr id="15" name="Straight Connector 15" descr="arrow"/>
                            <wp:cNvGraphicFramePr/>
                            <a:graphic xmlns:a="http://schemas.openxmlformats.org/drawingml/2006/main">
                              <a:graphicData uri="http://schemas.microsoft.com/office/word/2010/wordprocessingShape">
                                <wps:wsp>
                                  <wps:cNvCnPr/>
                                  <wps:spPr>
                                    <a:xfrm>
                                      <a:off x="0" y="0"/>
                                      <a:ext cx="11588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alt="arrow"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0.95pt,145.4pt" to="392.2pt,1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" strokecolor="white [3212]"/>
                        </w:pict>
                      </mc:Fallback>
                    </mc:AlternateContent>
                  </w:r>
                  <w:r w:rsidR="001532F9">
                    <w:rPr>
                      <w:noProof/>
                    </w:rPr>
                    <mc:AlternateContent>
                      <mc:Choice Requires="wps">
                        <w:drawing>
                          <wp:anchor distT="0" distB="0" distL="114300" distR="114300" simplePos="0" relativeHeight="251664384" behindDoc="0" locked="0" layoutInCell="1" allowOverlap="1" wp14:anchorId="20723482" wp14:editId="15E876F2">
                            <wp:simplePos x="0" y="0"/>
                            <wp:positionH relativeFrom="column">
                              <wp:posOffset>4398010</wp:posOffset>
                            </wp:positionH>
                            <wp:positionV relativeFrom="paragraph">
                              <wp:posOffset>1966595</wp:posOffset>
                            </wp:positionV>
                            <wp:extent cx="0" cy="199390"/>
                            <wp:effectExtent l="38100" t="0" r="76200" b="48260"/>
                            <wp:wrapNone/>
                            <wp:docPr id="16" name="Straight Arrow Connector 16" descr="arrow&#10;"/>
                            <wp:cNvGraphicFramePr/>
                            <a:graphic xmlns:a="http://schemas.openxmlformats.org/drawingml/2006/main">
                              <a:graphicData uri="http://schemas.microsoft.com/office/word/2010/wordprocessingShape">
                                <wps:wsp>
                                  <wps:cNvCnPr/>
                                  <wps:spPr>
                                    <a:xfrm>
                                      <a:off x="0" y="0"/>
                                      <a:ext cx="0" cy="199390"/>
                                    </a:xfrm>
                                    <a:prstGeom prst="straightConnector1">
                                      <a:avLst/>
                                    </a:prstGeom>
                                    <a:ln w="10160">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alt="arrow&#10;" style="position:absolute;margin-left:346.3pt;margin-top:154.85pt;width:0;height:15.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" strokecolor="#71992c [3044]" strokeweight=".8pt">
                            <v:stroke endarrow="block" endarrowwidth="narrow" endarrowlength="short"/>
                          </v:shape>
                        </w:pict>
                      </mc:Fallback>
                    </mc:AlternateContent>
                  </w:r>
                  <w:r w:rsidR="001532F9">
                    <w:rPr>
                      <w:noProof/>
                    </w:rPr>
                    <mc:AlternateContent>
                      <mc:Choice Requires="wps">
                        <w:drawing>
                          <wp:anchor distT="0" distB="0" distL="114300" distR="114300" simplePos="0" relativeHeight="251662847" behindDoc="0" locked="0" layoutInCell="1" allowOverlap="1" wp14:anchorId="629D5B29" wp14:editId="6102F120">
                            <wp:simplePos x="0" y="0"/>
                            <wp:positionH relativeFrom="column">
                              <wp:posOffset>4274185</wp:posOffset>
                            </wp:positionH>
                            <wp:positionV relativeFrom="paragraph">
                              <wp:posOffset>1977844</wp:posOffset>
                            </wp:positionV>
                            <wp:extent cx="253365" cy="174625"/>
                            <wp:effectExtent l="0" t="0" r="0" b="0"/>
                            <wp:wrapNone/>
                            <wp:docPr id="21" name="Rectangle 21" descr="background image&#10;"/>
                            <wp:cNvGraphicFramePr/>
                            <a:graphic xmlns:a="http://schemas.openxmlformats.org/drawingml/2006/main">
                              <a:graphicData uri="http://schemas.microsoft.com/office/word/2010/wordprocessingShape">
                                <wps:wsp>
                                  <wps:cNvSpPr/>
                                  <wps:spPr>
                                    <a:xfrm>
                                      <a:off x="0" y="0"/>
                                      <a:ext cx="253365" cy="174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26" alt="background image&#10;" style="position:absolute;margin-left:336.55pt;margin-top:155.75pt;width:19.95pt;height:13.75pt;z-index:2516628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" fillcolor="white [3212]" stroked="f" strokeweight="2pt"/>
                        </w:pict>
                      </mc:Fallback>
                    </mc:AlternateContent>
                  </w:r>
                  <w:r w:rsidR="001532F9">
                    <w:rPr>
                      <w:noProof/>
                    </w:rPr>
                    <mc:AlternateContent>
                      <mc:Choice Requires="wps">
                        <w:drawing>
                          <wp:anchor distT="0" distB="0" distL="114300" distR="114300" simplePos="0" relativeHeight="251670528" behindDoc="0" locked="0" layoutInCell="1" allowOverlap="1" wp14:anchorId="6872FFAA" wp14:editId="0936C9CD">
                            <wp:simplePos x="0" y="0"/>
                            <wp:positionH relativeFrom="column">
                              <wp:posOffset>3178175</wp:posOffset>
                            </wp:positionH>
                            <wp:positionV relativeFrom="paragraph">
                              <wp:posOffset>2317750</wp:posOffset>
                            </wp:positionV>
                            <wp:extent cx="248400" cy="0"/>
                            <wp:effectExtent l="0" t="57150" r="37465" b="76200"/>
                            <wp:wrapNone/>
                            <wp:docPr id="20" name="Straight Arrow Connector 20" descr="arrow&#10;"/>
                            <wp:cNvGraphicFramePr/>
                            <a:graphic xmlns:a="http://schemas.openxmlformats.org/drawingml/2006/main">
                              <a:graphicData uri="http://schemas.microsoft.com/office/word/2010/wordprocessingShape">
                                <wps:wsp>
                                  <wps:cNvCnPr/>
                                  <wps:spPr>
                                    <a:xfrm>
                                      <a:off x="0" y="0"/>
                                      <a:ext cx="248400" cy="0"/>
                                    </a:xfrm>
                                    <a:prstGeom prst="straightConnector1">
                                      <a:avLst/>
                                    </a:prstGeom>
                                    <a:ln w="10160">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alt="arrow&#10;" style="position:absolute;margin-left:250.25pt;margin-top:182.5pt;width:19.5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" strokecolor="#71992c [3044]" strokeweight=".8pt">
                            <v:stroke endarrow="block" endarrowwidth="narrow" endarrowlength="short"/>
                          </v:shape>
                        </w:pict>
                      </mc:Fallback>
                    </mc:AlternateContent>
                  </w:r>
                  <w:r w:rsidR="0008712A">
                    <w:rPr>
                      <w:noProof/>
                    </w:rPr>
                    <mc:AlternateContent>
                      <mc:Choice Requires="wps">
                        <w:drawing>
                          <wp:anchor distT="0" distB="0" distL="114300" distR="114300" simplePos="0" relativeHeight="251668480" behindDoc="0" locked="0" layoutInCell="1" allowOverlap="1" wp14:anchorId="177A1858" wp14:editId="3616E3D8">
                            <wp:simplePos x="0" y="0"/>
                            <wp:positionH relativeFrom="column">
                              <wp:posOffset>4962434</wp:posOffset>
                            </wp:positionH>
                            <wp:positionV relativeFrom="paragraph">
                              <wp:posOffset>1819275</wp:posOffset>
                            </wp:positionV>
                            <wp:extent cx="0" cy="146231"/>
                            <wp:effectExtent l="0" t="0" r="19050" b="25400"/>
                            <wp:wrapNone/>
                            <wp:docPr id="19" name="Straight Connector 19" descr="arrow&#10;"/>
                            <wp:cNvGraphicFramePr/>
                            <a:graphic xmlns:a="http://schemas.openxmlformats.org/drawingml/2006/main">
                              <a:graphicData uri="http://schemas.microsoft.com/office/word/2010/wordprocessingShape">
                                <wps:wsp>
                                  <wps:cNvCnPr/>
                                  <wps:spPr>
                                    <a:xfrm>
                                      <a:off x="0" y="0"/>
                                      <a:ext cx="0" cy="1462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9" o:spid="_x0000_s1026" alt="arrow&#10;"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0.75pt,143.25pt" to="390.75pt,1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" strokecolor="#71992c [3044]"/>
                        </w:pict>
                      </mc:Fallback>
                    </mc:AlternateContent>
                  </w:r>
                  <w:r w:rsidR="0008712A">
                    <w:rPr>
                      <w:noProof/>
                    </w:rPr>
                    <mc:AlternateContent>
                      <mc:Choice Requires="wps">
                        <w:drawing>
                          <wp:anchor distT="0" distB="0" distL="114300" distR="114300" simplePos="0" relativeHeight="251666432" behindDoc="0" locked="0" layoutInCell="1" allowOverlap="1" wp14:anchorId="638EE823" wp14:editId="272FB082">
                            <wp:simplePos x="0" y="0"/>
                            <wp:positionH relativeFrom="column">
                              <wp:posOffset>3819434</wp:posOffset>
                            </wp:positionH>
                            <wp:positionV relativeFrom="paragraph">
                              <wp:posOffset>1824990</wp:posOffset>
                            </wp:positionV>
                            <wp:extent cx="0" cy="146231"/>
                            <wp:effectExtent l="0" t="0" r="19050" b="25400"/>
                            <wp:wrapNone/>
                            <wp:docPr id="18" name="Straight Connector 18" descr="arrow&#10;"/>
                            <wp:cNvGraphicFramePr/>
                            <a:graphic xmlns:a="http://schemas.openxmlformats.org/drawingml/2006/main">
                              <a:graphicData uri="http://schemas.microsoft.com/office/word/2010/wordprocessingShape">
                                <wps:wsp>
                                  <wps:cNvCnPr/>
                                  <wps:spPr>
                                    <a:xfrm>
                                      <a:off x="0" y="0"/>
                                      <a:ext cx="0" cy="1462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8" o:spid="_x0000_s1026" alt="arrow&#10;"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0.75pt,143.7pt" to="300.75pt,1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" strokecolor="#71992c [3044]"/>
                        </w:pict>
                      </mc:Fallback>
                    </mc:AlternateContent>
                  </w:r>
                  <w:r w:rsidR="0008712A">
                    <w:rPr>
                      <w:noProof/>
                    </w:rPr>
                    <mc:AlternateContent>
                      <mc:Choice Requires="wps">
                        <w:drawing>
                          <wp:anchor distT="0" distB="0" distL="114300" distR="114300" simplePos="0" relativeHeight="251665408" behindDoc="0" locked="0" layoutInCell="1" allowOverlap="1" wp14:anchorId="4DE16B90" wp14:editId="38D82074">
                            <wp:simplePos x="0" y="0"/>
                            <wp:positionH relativeFrom="column">
                              <wp:posOffset>3822065</wp:posOffset>
                            </wp:positionH>
                            <wp:positionV relativeFrom="paragraph">
                              <wp:posOffset>1966595</wp:posOffset>
                            </wp:positionV>
                            <wp:extent cx="1143000" cy="0"/>
                            <wp:effectExtent l="0" t="0" r="19050" b="19050"/>
                            <wp:wrapNone/>
                            <wp:docPr id="17" name="Straight Connector 17" descr="arrow&#10;"/>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7" o:spid="_x0000_s1026" alt="arrow&#10;"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95pt,154.85pt" to="390.95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" strokecolor="#71992c [3044]"/>
                        </w:pict>
                      </mc:Fallback>
                    </mc:AlternateContent>
                  </w:r>
                  <w:r w:rsidR="008555C0">
                    <w:rPr>
                      <w:noProof/>
                    </w:rPr>
                    <w:drawing>
                      <wp:inline distT="0" distB="0" distL="0" distR="0" wp14:anchorId="16DFE379" wp14:editId="1B517FDC">
                        <wp:extent cx="5408930" cy="2493010"/>
                        <wp:effectExtent l="0" t="0" r="1270" b="2540"/>
                        <wp:docPr id="1" name="Picture 1" descr="This figure depicts the conceptual framework for the model’s demographic module. It illustrates how the model projects flows of migrants by visa type for a single representative intake of NOM, and subsequent cumulative intakes, taking into account emigration, mortality and fertility of immi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8930" cy="2493010"/>
                                </a:xfrm>
                                <a:prstGeom prst="rect">
                                  <a:avLst/>
                                </a:prstGeom>
                                <a:noFill/>
                                <a:ln>
                                  <a:noFill/>
                                </a:ln>
                              </pic:spPr>
                            </pic:pic>
                          </a:graphicData>
                        </a:graphic>
                      </wp:inline>
                    </w:drawing>
                  </w:r>
                </w:p>
              </w:tc>
            </w:tr>
          </w:tbl>
          <w:p w14:paraId="099A1F4F" w14:textId="77777777" w:rsidR="00D55A3F" w:rsidRDefault="00D55A3F" w:rsidP="00D55A3F">
            <w:pPr>
              <w:pStyle w:val="Figure"/>
            </w:pPr>
          </w:p>
        </w:tc>
      </w:tr>
      <w:tr w:rsidR="00D55A3F" w14:paraId="739ECFB6" w14:textId="77777777" w:rsidTr="00D55A3F">
        <w:tc>
          <w:tcPr>
            <w:tcW w:w="8771" w:type="dxa"/>
            <w:tcBorders>
              <w:top w:val="nil"/>
              <w:left w:val="nil"/>
              <w:bottom w:val="single" w:sz="6" w:space="0" w:color="78A22F"/>
              <w:right w:val="nil"/>
            </w:tcBorders>
            <w:shd w:val="clear" w:color="auto" w:fill="auto"/>
          </w:tcPr>
          <w:p w14:paraId="2A64AF1E" w14:textId="77777777" w:rsidR="00D55A3F" w:rsidRDefault="00D55A3F" w:rsidP="00D55A3F">
            <w:pPr>
              <w:pStyle w:val="Figurespace"/>
            </w:pPr>
          </w:p>
        </w:tc>
      </w:tr>
      <w:tr w:rsidR="00D55A3F" w:rsidRPr="000863A5" w14:paraId="69CA7A28" w14:textId="77777777" w:rsidTr="00D55A3F">
        <w:tc>
          <w:tcPr>
            <w:tcW w:w="8771" w:type="dxa"/>
            <w:tcBorders>
              <w:top w:val="single" w:sz="6" w:space="0" w:color="78A22F"/>
              <w:left w:val="nil"/>
              <w:bottom w:val="nil"/>
              <w:right w:val="nil"/>
            </w:tcBorders>
          </w:tcPr>
          <w:p w14:paraId="2E9373B4" w14:textId="2C00489E" w:rsidR="00D55A3F" w:rsidRPr="00626D32" w:rsidRDefault="00D55A3F" w:rsidP="00D55A3F">
            <w:pPr>
              <w:pStyle w:val="BoxSpaceBelow"/>
            </w:pPr>
          </w:p>
        </w:tc>
      </w:tr>
    </w:tbl>
    <w:p w14:paraId="4C6A4168" w14:textId="773EC3D7" w:rsidR="00C76D17" w:rsidRDefault="00C76D17" w:rsidP="00C76D17">
      <w:pPr>
        <w:pStyle w:val="BodyText"/>
      </w:pPr>
      <w:r>
        <w:t xml:space="preserve">NOM flow data by visa category represent net additions (or subtractions) to the population for both temporary and permanent </w:t>
      </w:r>
      <w:r w:rsidR="00AD2376">
        <w:t>im</w:t>
      </w:r>
      <w:r>
        <w:t xml:space="preserve">migrants. These visa categories are consistent with the </w:t>
      </w:r>
      <w:r w:rsidR="00214697">
        <w:t xml:space="preserve">inquiry’s </w:t>
      </w:r>
      <w:r>
        <w:t>visa group</w:t>
      </w:r>
      <w:r w:rsidR="00D97929">
        <w:t>ings for permanent visa holders</w:t>
      </w:r>
      <w:r>
        <w:t xml:space="preserve"> and have been mapped to ABS migration flow data to provide a detailed decomposition of NOM (</w:t>
      </w:r>
      <w:r w:rsidR="00A50858">
        <w:t>attachment 1 in this technical supplement</w:t>
      </w:r>
      <w:r>
        <w:t>).</w:t>
      </w:r>
      <w:r w:rsidR="00210F91">
        <w:t xml:space="preserve"> </w:t>
      </w:r>
    </w:p>
    <w:p w14:paraId="4C6A4169" w14:textId="77777777" w:rsidR="0095772C" w:rsidRDefault="0095772C" w:rsidP="0095772C">
      <w:pPr>
        <w:pStyle w:val="BodyText"/>
      </w:pPr>
      <w:r>
        <w:t>Age and gender distributions are applied to each visa category</w:t>
      </w:r>
      <w:r w:rsidR="007A3694">
        <w:t xml:space="preserve"> based on observed data</w:t>
      </w:r>
      <w:r>
        <w:t xml:space="preserve">. </w:t>
      </w:r>
      <w:r w:rsidR="007A3694">
        <w:t xml:space="preserve">For permanent </w:t>
      </w:r>
      <w:r w:rsidR="00CC6108">
        <w:t>im</w:t>
      </w:r>
      <w:r w:rsidR="007A3694">
        <w:t xml:space="preserve">migrants, it is assumed that </w:t>
      </w:r>
      <w:r>
        <w:t xml:space="preserve">the </w:t>
      </w:r>
      <w:r w:rsidR="007A3694">
        <w:t xml:space="preserve">age and gender distributions </w:t>
      </w:r>
      <w:r>
        <w:t xml:space="preserve">of </w:t>
      </w:r>
      <w:r w:rsidR="007A3694" w:rsidRPr="007A3694">
        <w:rPr>
          <w:i/>
        </w:rPr>
        <w:t>recent</w:t>
      </w:r>
      <w:r w:rsidR="007A3694">
        <w:t xml:space="preserve"> </w:t>
      </w:r>
      <w:r w:rsidR="00CC6108">
        <w:t>im</w:t>
      </w:r>
      <w:r>
        <w:t>migr</w:t>
      </w:r>
      <w:r w:rsidR="007A3694">
        <w:t xml:space="preserve">ants within the scope of the </w:t>
      </w:r>
      <w:proofErr w:type="spellStart"/>
      <w:r w:rsidR="007A3694" w:rsidRPr="007A3694">
        <w:t>ACMID</w:t>
      </w:r>
      <w:proofErr w:type="spellEnd"/>
      <w:r w:rsidR="007A3694">
        <w:t xml:space="preserve"> </w:t>
      </w:r>
      <w:r>
        <w:t xml:space="preserve">are representative of those in a given NOM intake. Age and gender distributions for temporary </w:t>
      </w:r>
      <w:r w:rsidR="00CC6108">
        <w:t>im</w:t>
      </w:r>
      <w:r>
        <w:t xml:space="preserve">migrants are based on administrative data sourced from </w:t>
      </w:r>
      <w:r w:rsidR="00214697">
        <w:t xml:space="preserve">the </w:t>
      </w:r>
      <w:r w:rsidR="00CC6108">
        <w:t>D</w:t>
      </w:r>
      <w:r w:rsidR="00214697">
        <w:t xml:space="preserve">epartment of </w:t>
      </w:r>
      <w:r w:rsidR="00CC6108">
        <w:t>I</w:t>
      </w:r>
      <w:r w:rsidR="00214697">
        <w:t xml:space="preserve">mmigration and </w:t>
      </w:r>
      <w:r w:rsidR="00CC6108">
        <w:t>B</w:t>
      </w:r>
      <w:r w:rsidR="00214697">
        <w:t xml:space="preserve">order </w:t>
      </w:r>
      <w:r w:rsidR="00CC6108">
        <w:t>P</w:t>
      </w:r>
      <w:r w:rsidR="00214697">
        <w:t>rotection (</w:t>
      </w:r>
      <w:proofErr w:type="spellStart"/>
      <w:r w:rsidR="00214697">
        <w:t>DIBP</w:t>
      </w:r>
      <w:proofErr w:type="spellEnd"/>
      <w:r w:rsidR="00214697">
        <w:t>)</w:t>
      </w:r>
      <w:r>
        <w:t>.</w:t>
      </w:r>
      <w:r w:rsidR="007A3694" w:rsidRPr="007A3694">
        <w:t xml:space="preserve"> </w:t>
      </w:r>
      <w:r w:rsidR="007A3694">
        <w:t xml:space="preserve">The composition of NOM itself is </w:t>
      </w:r>
      <w:r w:rsidR="00AD2376">
        <w:t xml:space="preserve">calibrated </w:t>
      </w:r>
      <w:r w:rsidR="007A3694">
        <w:t>on an average of NOM flows</w:t>
      </w:r>
      <w:r w:rsidR="00214697">
        <w:t xml:space="preserve"> over recent years</w:t>
      </w:r>
      <w:r w:rsidR="007A3694">
        <w:t>.</w:t>
      </w:r>
    </w:p>
    <w:p w14:paraId="4C6A416A" w14:textId="1F4158FB" w:rsidR="0095772C" w:rsidRDefault="00214697" w:rsidP="0095772C">
      <w:pPr>
        <w:pStyle w:val="BodyText"/>
      </w:pPr>
      <w:r>
        <w:t>Immigration p</w:t>
      </w:r>
      <w:r w:rsidR="0095772C">
        <w:t xml:space="preserve">olicy </w:t>
      </w:r>
      <w:r w:rsidR="0095772C" w:rsidRPr="00C869A4">
        <w:rPr>
          <w:i/>
        </w:rPr>
        <w:t>directly</w:t>
      </w:r>
      <w:r w:rsidR="0095772C">
        <w:t xml:space="preserve"> controls the number of permanent visa grants</w:t>
      </w:r>
      <w:r>
        <w:t xml:space="preserve"> through the Migration </w:t>
      </w:r>
      <w:proofErr w:type="spellStart"/>
      <w:r>
        <w:t>Programme</w:t>
      </w:r>
      <w:proofErr w:type="spellEnd"/>
      <w:r w:rsidR="00C07F68">
        <w:t>, but does not directly control temporary migration</w:t>
      </w:r>
      <w:r w:rsidR="0095772C">
        <w:t xml:space="preserve">. </w:t>
      </w:r>
      <w:r w:rsidR="00210F91">
        <w:t>Therefore</w:t>
      </w:r>
      <w:r w:rsidR="0095772C">
        <w:t xml:space="preserve">, incorporating temporary migrants in </w:t>
      </w:r>
      <w:r w:rsidR="00CC6108">
        <w:t>a</w:t>
      </w:r>
      <w:r w:rsidR="0095772C">
        <w:t xml:space="preserve"> model</w:t>
      </w:r>
      <w:r w:rsidR="00CC6108">
        <w:t xml:space="preserve"> based on NOM</w:t>
      </w:r>
      <w:r w:rsidR="0095772C">
        <w:t xml:space="preserve"> requires assumptions about the relationship between the policy concept of the NOM (visa g</w:t>
      </w:r>
      <w:r w:rsidR="00D97929">
        <w:t>rants in the permanent streams)</w:t>
      </w:r>
      <w:r w:rsidR="0095772C">
        <w:t xml:space="preserve"> and the accounting concept of NOM (overseas arrivals less departures </w:t>
      </w:r>
      <w:r w:rsidR="00210F91">
        <w:t xml:space="preserve">capturing only those who have stayed for at least 12 months over a 16 month period </w:t>
      </w:r>
      <w:r w:rsidR="00D92B39">
        <w:t>—</w:t>
      </w:r>
      <w:r w:rsidR="00210F91">
        <w:t xml:space="preserve"> the </w:t>
      </w:r>
      <w:r w:rsidR="0095772C">
        <w:lastRenderedPageBreak/>
        <w:t>12/16</w:t>
      </w:r>
      <w:r w:rsidR="0014100C">
        <w:t> </w:t>
      </w:r>
      <w:r w:rsidR="0095772C">
        <w:t>month rule).</w:t>
      </w:r>
      <w:r w:rsidR="007A3694">
        <w:rPr>
          <w:rStyle w:val="FootnoteReference"/>
        </w:rPr>
        <w:footnoteReference w:id="5"/>
      </w:r>
      <w:r w:rsidR="0095772C">
        <w:t xml:space="preserve"> </w:t>
      </w:r>
      <w:r w:rsidR="00210F91">
        <w:t>Note that this will not capture temporary migrants not identified by this rule, i.e. short</w:t>
      </w:r>
      <w:r w:rsidR="00D92B39">
        <w:noBreakHyphen/>
      </w:r>
      <w:r w:rsidR="00210F91">
        <w:t xml:space="preserve">term </w:t>
      </w:r>
      <w:r w:rsidR="002D40C4">
        <w:t>im</w:t>
      </w:r>
      <w:r w:rsidR="00210F91">
        <w:t>mig</w:t>
      </w:r>
      <w:r w:rsidR="001A551C">
        <w:t>rants who stay for less than 12 </w:t>
      </w:r>
      <w:r w:rsidR="00210F91">
        <w:t>months over a 16 month period.</w:t>
      </w:r>
    </w:p>
    <w:p w14:paraId="4C6A416B" w14:textId="77777777" w:rsidR="004125E3" w:rsidRDefault="0095772C" w:rsidP="004125E3">
      <w:pPr>
        <w:pStyle w:val="BodyText"/>
      </w:pPr>
      <w:r>
        <w:t xml:space="preserve">Historically, there has been a close relationship </w:t>
      </w:r>
      <w:r w:rsidR="004125E3">
        <w:t xml:space="preserve">between the </w:t>
      </w:r>
      <w:r>
        <w:t xml:space="preserve">Migration </w:t>
      </w:r>
      <w:proofErr w:type="spellStart"/>
      <w:r>
        <w:t>Programme</w:t>
      </w:r>
      <w:proofErr w:type="spellEnd"/>
      <w:r>
        <w:t xml:space="preserve"> and observed NOM</w:t>
      </w:r>
      <w:r w:rsidR="00210F91">
        <w:t xml:space="preserve"> (</w:t>
      </w:r>
      <w:r w:rsidR="00F440C9">
        <w:t>f</w:t>
      </w:r>
      <w:r w:rsidR="00210F91">
        <w:t>igure</w:t>
      </w:r>
      <w:r w:rsidR="00D92B39">
        <w:t> </w:t>
      </w:r>
      <w:proofErr w:type="spellStart"/>
      <w:r w:rsidR="00F233D6">
        <w:t>D.2</w:t>
      </w:r>
      <w:proofErr w:type="spellEnd"/>
      <w:r w:rsidR="00210F91">
        <w:t>)</w:t>
      </w:r>
      <w:r>
        <w:t xml:space="preserve">. </w:t>
      </w:r>
      <w:r w:rsidR="00C27165">
        <w:t>T</w:t>
      </w:r>
      <w:r>
        <w:t xml:space="preserve">he model </w:t>
      </w:r>
      <w:r w:rsidR="00C27165">
        <w:t xml:space="preserve">therefore </w:t>
      </w:r>
      <w:r>
        <w:t xml:space="preserve">assumes NOM flows across </w:t>
      </w:r>
      <w:r w:rsidRPr="00AA5192">
        <w:rPr>
          <w:i/>
        </w:rPr>
        <w:t>all</w:t>
      </w:r>
      <w:r>
        <w:t xml:space="preserve"> visa cate</w:t>
      </w:r>
      <w:r w:rsidR="00C27165">
        <w:t xml:space="preserve">gories are </w:t>
      </w:r>
      <w:r>
        <w:t>a function of policy decision</w:t>
      </w:r>
      <w:r w:rsidR="00C27165">
        <w:t>s</w:t>
      </w:r>
      <w:r>
        <w:t xml:space="preserve"> </w:t>
      </w:r>
      <w:r w:rsidR="00214697">
        <w:t xml:space="preserve">on the Migration </w:t>
      </w:r>
      <w:proofErr w:type="spellStart"/>
      <w:r w:rsidR="00214697">
        <w:t>Programme</w:t>
      </w:r>
      <w:proofErr w:type="spellEnd"/>
      <w:r>
        <w:t xml:space="preserve">. </w:t>
      </w:r>
      <w:r w:rsidR="004125E3">
        <w:t xml:space="preserve">NOM flows in each visa category are projected according to the aggregate NOM growth rate implied by the policy scenarios. </w:t>
      </w:r>
    </w:p>
    <w:p w14:paraId="4C6A416C" w14:textId="067E9A76" w:rsidR="00210F91" w:rsidRDefault="00210F91" w:rsidP="00487D8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10F91" w14:paraId="4C6A416F" w14:textId="77777777" w:rsidTr="00F54107">
        <w:trPr>
          <w:tblHeader/>
        </w:trPr>
        <w:tc>
          <w:tcPr>
            <w:tcW w:w="8771" w:type="dxa"/>
            <w:tcBorders>
              <w:top w:val="single" w:sz="6" w:space="0" w:color="78A22F"/>
              <w:left w:val="nil"/>
              <w:bottom w:val="nil"/>
              <w:right w:val="nil"/>
            </w:tcBorders>
            <w:shd w:val="clear" w:color="auto" w:fill="auto"/>
          </w:tcPr>
          <w:p w14:paraId="4C6A416D" w14:textId="7552A931" w:rsidR="00210F91" w:rsidRDefault="00210F91" w:rsidP="00F54107">
            <w:pPr>
              <w:pStyle w:val="FigureTitle"/>
            </w:pPr>
            <w:r w:rsidRPr="00784A05">
              <w:rPr>
                <w:b w:val="0"/>
              </w:rPr>
              <w:t xml:space="preserve">Figure </w:t>
            </w:r>
            <w:proofErr w:type="spellStart"/>
            <w:r w:rsidR="00AD4F27">
              <w:rPr>
                <w:b w:val="0"/>
              </w:rPr>
              <w:t>D</w:t>
            </w:r>
            <w:r w:rsidR="00D10860">
              <w:rPr>
                <w:b w:val="0"/>
              </w:rPr>
              <w:t>.</w:t>
            </w:r>
            <w:r w:rsidR="00D10860">
              <w:rPr>
                <w:b w:val="0"/>
                <w:noProof/>
              </w:rPr>
              <w:t>2</w:t>
            </w:r>
            <w:proofErr w:type="spellEnd"/>
            <w:r>
              <w:tab/>
              <w:t xml:space="preserve">Historical NOM flows and the Migration </w:t>
            </w:r>
            <w:proofErr w:type="spellStart"/>
            <w:r>
              <w:t>Programme</w:t>
            </w:r>
            <w:r w:rsidR="001839B9" w:rsidRPr="001A799C">
              <w:rPr>
                <w:rFonts w:ascii="Arial Bold" w:hAnsi="Arial Bold"/>
                <w:vertAlign w:val="superscript"/>
              </w:rPr>
              <w:t>a</w:t>
            </w:r>
            <w:proofErr w:type="spellEnd"/>
          </w:p>
          <w:p w14:paraId="4C6A416E" w14:textId="77777777" w:rsidR="00210F91" w:rsidRPr="00176D3F" w:rsidRDefault="0016131A" w:rsidP="00F54107">
            <w:pPr>
              <w:pStyle w:val="Subtitle"/>
            </w:pPr>
            <w:r>
              <w:t>Financial year estimates</w:t>
            </w:r>
          </w:p>
        </w:tc>
      </w:tr>
      <w:tr w:rsidR="00210F91" w14:paraId="4C6A4173" w14:textId="77777777" w:rsidTr="00F5410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210F91" w14:paraId="4C6A4171" w14:textId="77777777" w:rsidTr="00F54107">
              <w:trPr>
                <w:tblHeader/>
                <w:jc w:val="center"/>
              </w:trPr>
              <w:tc>
                <w:tcPr>
                  <w:tcW w:w="5000" w:type="pct"/>
                  <w:tcBorders>
                    <w:top w:val="nil"/>
                    <w:bottom w:val="nil"/>
                  </w:tcBorders>
                </w:tcPr>
                <w:p w14:paraId="4C6A4170" w14:textId="1283E74B" w:rsidR="00210F91" w:rsidRDefault="008555C0" w:rsidP="00B134AE">
                  <w:pPr>
                    <w:pStyle w:val="Figure"/>
                    <w:spacing w:before="60" w:after="60"/>
                  </w:pPr>
                  <w:r>
                    <w:rPr>
                      <w:noProof/>
                    </w:rPr>
                    <w:drawing>
                      <wp:inline distT="0" distB="0" distL="0" distR="0" wp14:anchorId="44318705" wp14:editId="65EF639D">
                        <wp:extent cx="5313680" cy="2803525"/>
                        <wp:effectExtent l="0" t="0" r="1270" b="0"/>
                        <wp:docPr id="2" name="Picture 2" descr="This figure shows historical flows of NOM and immigrants in the Migration Programme from 1954 to 2014.. It indicates that there has historically been a close relationship between visas granted in the Migration Programme and observed N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3680" cy="2803525"/>
                                </a:xfrm>
                                <a:prstGeom prst="rect">
                                  <a:avLst/>
                                </a:prstGeom>
                                <a:noFill/>
                                <a:ln>
                                  <a:noFill/>
                                </a:ln>
                              </pic:spPr>
                            </pic:pic>
                          </a:graphicData>
                        </a:graphic>
                      </wp:inline>
                    </w:drawing>
                  </w:r>
                </w:p>
              </w:tc>
            </w:tr>
          </w:tbl>
          <w:p w14:paraId="4C6A4172" w14:textId="77777777" w:rsidR="00210F91" w:rsidRDefault="00210F91" w:rsidP="00F54107">
            <w:pPr>
              <w:pStyle w:val="Figure"/>
            </w:pPr>
          </w:p>
        </w:tc>
      </w:tr>
      <w:tr w:rsidR="00210F91" w:rsidRPr="00176D3F" w14:paraId="4C6A4175" w14:textId="77777777" w:rsidTr="00F54107">
        <w:tc>
          <w:tcPr>
            <w:tcW w:w="8771" w:type="dxa"/>
            <w:tcBorders>
              <w:top w:val="nil"/>
              <w:left w:val="nil"/>
              <w:bottom w:val="nil"/>
              <w:right w:val="nil"/>
            </w:tcBorders>
            <w:shd w:val="clear" w:color="auto" w:fill="auto"/>
          </w:tcPr>
          <w:p w14:paraId="4C6A4174" w14:textId="77777777" w:rsidR="00210F91" w:rsidRPr="00176D3F" w:rsidRDefault="00210F91" w:rsidP="00D92B39">
            <w:pPr>
              <w:pStyle w:val="Note"/>
            </w:pPr>
            <w:proofErr w:type="spellStart"/>
            <w:r>
              <w:rPr>
                <w:rStyle w:val="NoteLabel"/>
              </w:rPr>
              <w:t>a</w:t>
            </w:r>
            <w:proofErr w:type="spellEnd"/>
            <w:r w:rsidR="0016131A">
              <w:t xml:space="preserve"> There is a break in the NOM series </w:t>
            </w:r>
            <w:r w:rsidR="00D92B39">
              <w:t>—</w:t>
            </w:r>
            <w:r w:rsidR="0016131A">
              <w:t xml:space="preserve"> prior to 1982 they </w:t>
            </w:r>
            <w:r w:rsidR="00D97929">
              <w:t>are based on historical figures</w:t>
            </w:r>
            <w:r w:rsidR="0016131A">
              <w:t xml:space="preserve"> and from 1982 they are b</w:t>
            </w:r>
            <w:r w:rsidR="00D92B39">
              <w:t>ased on demographic statistics</w:t>
            </w:r>
            <w:r w:rsidR="0016131A">
              <w:t xml:space="preserve">. </w:t>
            </w:r>
          </w:p>
        </w:tc>
      </w:tr>
      <w:tr w:rsidR="00210F91" w:rsidRPr="00176D3F" w14:paraId="4C6A4177" w14:textId="77777777" w:rsidTr="00F54107">
        <w:tc>
          <w:tcPr>
            <w:tcW w:w="8771" w:type="dxa"/>
            <w:tcBorders>
              <w:top w:val="nil"/>
              <w:left w:val="nil"/>
              <w:bottom w:val="nil"/>
              <w:right w:val="nil"/>
            </w:tcBorders>
            <w:shd w:val="clear" w:color="auto" w:fill="auto"/>
          </w:tcPr>
          <w:p w14:paraId="4C6A4176" w14:textId="13838BD7" w:rsidR="00210F91" w:rsidRPr="00176D3F" w:rsidRDefault="001839B9" w:rsidP="002D40C4">
            <w:pPr>
              <w:pStyle w:val="Source"/>
            </w:pPr>
            <w:r>
              <w:rPr>
                <w:i/>
              </w:rPr>
              <w:t>S</w:t>
            </w:r>
            <w:r w:rsidR="00210F91" w:rsidRPr="00784A05">
              <w:rPr>
                <w:i/>
              </w:rPr>
              <w:t>ource</w:t>
            </w:r>
            <w:r w:rsidR="00D92B39">
              <w:rPr>
                <w:i/>
              </w:rPr>
              <w:t>s</w:t>
            </w:r>
            <w:r w:rsidR="00210F91" w:rsidRPr="00176D3F">
              <w:t xml:space="preserve">: </w:t>
            </w:r>
            <w:proofErr w:type="spellStart"/>
            <w:r w:rsidR="0016131A">
              <w:t>DIBP</w:t>
            </w:r>
            <w:proofErr w:type="spellEnd"/>
            <w:r w:rsidR="0016131A">
              <w:t xml:space="preserve"> Historical Migration Statistics (1953</w:t>
            </w:r>
            <w:r w:rsidR="00C97F4F">
              <w:noBreakHyphen/>
            </w:r>
            <w:r w:rsidR="0016131A">
              <w:t>54 to 2013</w:t>
            </w:r>
            <w:r w:rsidR="00C97F4F">
              <w:noBreakHyphen/>
            </w:r>
            <w:r w:rsidR="0016131A">
              <w:t xml:space="preserve">14) for data on the Migration </w:t>
            </w:r>
            <w:proofErr w:type="spellStart"/>
            <w:r w:rsidR="0016131A">
              <w:t>Programme</w:t>
            </w:r>
            <w:proofErr w:type="spellEnd"/>
            <w:r w:rsidR="002D40C4">
              <w:t xml:space="preserve"> </w:t>
            </w:r>
            <w:r w:rsidR="00DE1BE2" w:rsidRPr="00DE1BE2">
              <w:rPr>
                <w:rFonts w:cs="Arial"/>
                <w:szCs w:val="24"/>
              </w:rPr>
              <w:t>(</w:t>
            </w:r>
            <w:proofErr w:type="spellStart"/>
            <w:r w:rsidR="00DE1BE2" w:rsidRPr="00DE1BE2">
              <w:rPr>
                <w:rFonts w:cs="Arial"/>
                <w:szCs w:val="24"/>
              </w:rPr>
              <w:t>DIBP</w:t>
            </w:r>
            <w:proofErr w:type="spellEnd"/>
            <w:r w:rsidR="00DE1BE2" w:rsidRPr="00DE1BE2">
              <w:rPr>
                <w:rFonts w:cs="Arial"/>
                <w:szCs w:val="24"/>
              </w:rPr>
              <w:t> </w:t>
            </w:r>
            <w:proofErr w:type="spellStart"/>
            <w:r w:rsidR="00DE1BE2" w:rsidRPr="00DE1BE2">
              <w:rPr>
                <w:rFonts w:cs="Arial"/>
                <w:szCs w:val="24"/>
              </w:rPr>
              <w:t>2015a</w:t>
            </w:r>
            <w:proofErr w:type="spellEnd"/>
            <w:r w:rsidR="00DE1BE2" w:rsidRPr="00DE1BE2">
              <w:rPr>
                <w:rFonts w:cs="Arial"/>
                <w:szCs w:val="24"/>
              </w:rPr>
              <w:t>)</w:t>
            </w:r>
            <w:r w:rsidR="0016131A">
              <w:t>; ABS Australian Hi</w:t>
            </w:r>
            <w:r w:rsidR="002D40C4">
              <w:t xml:space="preserve">storical Population Statistics </w:t>
            </w:r>
            <w:r w:rsidR="0016131A">
              <w:t>for historical NOM data</w:t>
            </w:r>
            <w:r w:rsidR="002D40C4">
              <w:t xml:space="preserve"> </w:t>
            </w:r>
            <w:r w:rsidR="002D40C4" w:rsidRPr="002D40C4">
              <w:rPr>
                <w:rFonts w:cs="Arial"/>
                <w:szCs w:val="24"/>
              </w:rPr>
              <w:t>(ABS </w:t>
            </w:r>
            <w:proofErr w:type="spellStart"/>
            <w:r w:rsidR="002D40C4" w:rsidRPr="002D40C4">
              <w:rPr>
                <w:rFonts w:cs="Arial"/>
                <w:szCs w:val="24"/>
              </w:rPr>
              <w:t>2014a</w:t>
            </w:r>
            <w:proofErr w:type="spellEnd"/>
            <w:r w:rsidR="002D40C4" w:rsidRPr="002D40C4">
              <w:rPr>
                <w:rFonts w:cs="Arial"/>
                <w:szCs w:val="24"/>
              </w:rPr>
              <w:t>)</w:t>
            </w:r>
            <w:r w:rsidR="0016131A">
              <w:t>; and ABS Aus</w:t>
            </w:r>
            <w:r w:rsidR="002D40C4">
              <w:t xml:space="preserve">tralian Demographic Statistics </w:t>
            </w:r>
            <w:r w:rsidR="0016131A">
              <w:t>for recent NOM</w:t>
            </w:r>
            <w:r w:rsidR="002D40C4">
              <w:t xml:space="preserve"> </w:t>
            </w:r>
            <w:r w:rsidR="002D40C4" w:rsidRPr="002D40C4">
              <w:rPr>
                <w:rFonts w:cs="Arial"/>
                <w:szCs w:val="24"/>
              </w:rPr>
              <w:t>(ABS </w:t>
            </w:r>
            <w:proofErr w:type="spellStart"/>
            <w:r w:rsidR="002D40C4" w:rsidRPr="002D40C4">
              <w:rPr>
                <w:rFonts w:cs="Arial"/>
                <w:szCs w:val="24"/>
              </w:rPr>
              <w:t>2015a</w:t>
            </w:r>
            <w:proofErr w:type="spellEnd"/>
            <w:r w:rsidR="002D40C4" w:rsidRPr="002D40C4">
              <w:rPr>
                <w:rFonts w:cs="Arial"/>
                <w:szCs w:val="24"/>
              </w:rPr>
              <w:t>)</w:t>
            </w:r>
            <w:r w:rsidR="0016131A">
              <w:t>.</w:t>
            </w:r>
          </w:p>
        </w:tc>
      </w:tr>
      <w:tr w:rsidR="00210F91" w14:paraId="4C6A4179" w14:textId="77777777" w:rsidTr="00F54107">
        <w:tc>
          <w:tcPr>
            <w:tcW w:w="8771" w:type="dxa"/>
            <w:tcBorders>
              <w:top w:val="nil"/>
              <w:left w:val="nil"/>
              <w:bottom w:val="single" w:sz="6" w:space="0" w:color="78A22F"/>
              <w:right w:val="nil"/>
            </w:tcBorders>
            <w:shd w:val="clear" w:color="auto" w:fill="auto"/>
          </w:tcPr>
          <w:p w14:paraId="4C6A4178" w14:textId="77777777" w:rsidR="00210F91" w:rsidRDefault="00210F91" w:rsidP="00F54107">
            <w:pPr>
              <w:pStyle w:val="Figurespace"/>
            </w:pPr>
          </w:p>
        </w:tc>
      </w:tr>
      <w:tr w:rsidR="00210F91" w:rsidRPr="000863A5" w14:paraId="4C6A417B" w14:textId="77777777" w:rsidTr="00F54107">
        <w:tc>
          <w:tcPr>
            <w:tcW w:w="8771" w:type="dxa"/>
            <w:tcBorders>
              <w:top w:val="single" w:sz="6" w:space="0" w:color="78A22F"/>
              <w:left w:val="nil"/>
              <w:bottom w:val="nil"/>
              <w:right w:val="nil"/>
            </w:tcBorders>
          </w:tcPr>
          <w:p w14:paraId="4C6A417A" w14:textId="5F0C8752" w:rsidR="00210F91" w:rsidRPr="00626D32" w:rsidRDefault="00210F91" w:rsidP="00F54107">
            <w:pPr>
              <w:pStyle w:val="BoxSpaceBelow"/>
            </w:pPr>
          </w:p>
        </w:tc>
      </w:tr>
    </w:tbl>
    <w:p w14:paraId="4C6A417C" w14:textId="70F11D36" w:rsidR="0095772C" w:rsidRDefault="0095772C" w:rsidP="0095772C">
      <w:pPr>
        <w:pStyle w:val="BodyText"/>
      </w:pPr>
      <w:r>
        <w:t>NOM flows within the visa c</w:t>
      </w:r>
      <w:r w:rsidR="000313C7">
        <w:t xml:space="preserve">ategories that are part of the </w:t>
      </w:r>
      <w:r>
        <w:t xml:space="preserve">Migration </w:t>
      </w:r>
      <w:proofErr w:type="spellStart"/>
      <w:r>
        <w:t>Programme</w:t>
      </w:r>
      <w:proofErr w:type="spellEnd"/>
      <w:r>
        <w:t xml:space="preserve"> are </w:t>
      </w:r>
      <w:r w:rsidRPr="009F36BA">
        <w:rPr>
          <w:i/>
        </w:rPr>
        <w:t>indicative</w:t>
      </w:r>
      <w:r>
        <w:t xml:space="preserve"> of the successful offshore applicants within the program. </w:t>
      </w:r>
      <w:r w:rsidR="00214697">
        <w:t>On this basis,</w:t>
      </w:r>
      <w:r>
        <w:t xml:space="preserve"> </w:t>
      </w:r>
      <w:r w:rsidR="00CC6108">
        <w:t>a significant number</w:t>
      </w:r>
      <w:r>
        <w:t xml:space="preserve"> of visa grants in the Migration </w:t>
      </w:r>
      <w:proofErr w:type="spellStart"/>
      <w:r>
        <w:t>Program</w:t>
      </w:r>
      <w:r w:rsidR="00214697">
        <w:t>me</w:t>
      </w:r>
      <w:proofErr w:type="spellEnd"/>
      <w:r>
        <w:t xml:space="preserve"> are </w:t>
      </w:r>
      <w:r w:rsidR="00214697">
        <w:t xml:space="preserve">to </w:t>
      </w:r>
      <w:r>
        <w:t xml:space="preserve">onshore applicants. </w:t>
      </w:r>
      <w:r w:rsidR="00214697">
        <w:t>However,</w:t>
      </w:r>
      <w:r w:rsidR="004F4C71">
        <w:t xml:space="preserve"> the model does not explicitly define how </w:t>
      </w:r>
      <w:r w:rsidR="00214697">
        <w:t xml:space="preserve">onshore </w:t>
      </w:r>
      <w:r w:rsidR="004F4C71">
        <w:t xml:space="preserve">temporary immigrants transition to the permanent </w:t>
      </w:r>
      <w:r w:rsidR="001A1F09">
        <w:t xml:space="preserve">Migration </w:t>
      </w:r>
      <w:proofErr w:type="spellStart"/>
      <w:r w:rsidR="00214697">
        <w:t>Programme</w:t>
      </w:r>
      <w:proofErr w:type="spellEnd"/>
      <w:r w:rsidR="004F4C71">
        <w:t xml:space="preserve"> and so these onshore applicants are not modelled (in any case, this would be inconsistent with modelling the fiscal impacts of NOM, as opposed to visa grants). </w:t>
      </w:r>
    </w:p>
    <w:p w14:paraId="4C6A417D" w14:textId="43F9FCC9" w:rsidR="000313C7" w:rsidRDefault="000313C7" w:rsidP="000313C7">
      <w:pPr>
        <w:pStyle w:val="BodyText"/>
      </w:pPr>
      <w:r>
        <w:lastRenderedPageBreak/>
        <w:t xml:space="preserve">Outward migrant flows </w:t>
      </w:r>
      <w:r w:rsidR="004F4C71">
        <w:t>occur through</w:t>
      </w:r>
      <w:r w:rsidR="008F5F8D">
        <w:t xml:space="preserve"> either</w:t>
      </w:r>
      <w:r>
        <w:t xml:space="preserve"> emigration or mortality. </w:t>
      </w:r>
      <w:r w:rsidR="004F4C71">
        <w:t>T</w:t>
      </w:r>
      <w:r>
        <w:t xml:space="preserve">he model assumes separate emigration profiles for each visa category </w:t>
      </w:r>
      <w:r w:rsidR="004F4C71">
        <w:t>(</w:t>
      </w:r>
      <w:r w:rsidR="001A1F09">
        <w:t>attachment</w:t>
      </w:r>
      <w:r w:rsidR="004354FF">
        <w:t> </w:t>
      </w:r>
      <w:r w:rsidR="001A1F09">
        <w:t>2 in this technical supplement</w:t>
      </w:r>
      <w:r w:rsidR="004F4C71">
        <w:t>)</w:t>
      </w:r>
      <w:r w:rsidR="00160184">
        <w:t>.</w:t>
      </w:r>
      <w:r w:rsidR="00FD38BF">
        <w:t xml:space="preserve"> </w:t>
      </w:r>
      <w:r>
        <w:t>Emigration</w:t>
      </w:r>
      <w:r w:rsidR="00B932BA">
        <w:t xml:space="preserve"> rates are</w:t>
      </w:r>
      <w:r>
        <w:t xml:space="preserve"> imposed </w:t>
      </w:r>
      <w:r w:rsidR="004125E3">
        <w:t>at the level of the visa category</w:t>
      </w:r>
      <w:r>
        <w:t xml:space="preserve"> and so the model makes no assumptions about the age or gender of emigrants.</w:t>
      </w:r>
      <w:r w:rsidR="008F5F8D">
        <w:rPr>
          <w:rStyle w:val="FootnoteReference"/>
        </w:rPr>
        <w:footnoteReference w:id="6"/>
      </w:r>
      <w:r>
        <w:t xml:space="preserve"> Of those </w:t>
      </w:r>
      <w:r w:rsidR="00214697">
        <w:t xml:space="preserve">who </w:t>
      </w:r>
      <w:r>
        <w:t>remain in the country, age</w:t>
      </w:r>
      <w:r w:rsidR="00D92B39">
        <w:noBreakHyphen/>
      </w:r>
      <w:r>
        <w:t xml:space="preserve"> and gender</w:t>
      </w:r>
      <w:r w:rsidR="00D92B39">
        <w:noBreakHyphen/>
      </w:r>
      <w:r>
        <w:t xml:space="preserve">specific mortality rates are applied to the intake (with the exception of temporary </w:t>
      </w:r>
      <w:r w:rsidR="00264249">
        <w:t>im</w:t>
      </w:r>
      <w:r>
        <w:t xml:space="preserve">migrants who depart through emigration only). </w:t>
      </w:r>
    </w:p>
    <w:p w14:paraId="4C6A417E" w14:textId="77777777" w:rsidR="00992D8A" w:rsidRDefault="00992D8A" w:rsidP="00992D8A">
      <w:pPr>
        <w:pStyle w:val="BodyText"/>
      </w:pPr>
      <w:r>
        <w:t xml:space="preserve">Accounting for </w:t>
      </w:r>
      <w:r w:rsidR="00CC6108">
        <w:t>im</w:t>
      </w:r>
      <w:r w:rsidR="00D97929">
        <w:t>migrants’ ageing, mortality</w:t>
      </w:r>
      <w:r>
        <w:t xml:space="preserve"> and emigration rates </w:t>
      </w:r>
      <w:r w:rsidR="008855CD">
        <w:t>leaves</w:t>
      </w:r>
      <w:r>
        <w:t xml:space="preserve"> a ‘</w:t>
      </w:r>
      <w:r w:rsidRPr="00CC6108">
        <w:rPr>
          <w:i/>
        </w:rPr>
        <w:t>representative intake</w:t>
      </w:r>
      <w:r>
        <w:t xml:space="preserve">’ for a given year’s NOM </w:t>
      </w:r>
      <w:r w:rsidR="008855CD">
        <w:t>which</w:t>
      </w:r>
      <w:r>
        <w:t xml:space="preserve"> tells us how many </w:t>
      </w:r>
      <w:r w:rsidR="00CC6108">
        <w:t>im</w:t>
      </w:r>
      <w:r>
        <w:t>migra</w:t>
      </w:r>
      <w:r w:rsidR="008855CD">
        <w:t xml:space="preserve">nts </w:t>
      </w:r>
      <w:r w:rsidR="00B932BA">
        <w:t>reside</w:t>
      </w:r>
      <w:r w:rsidR="008855CD">
        <w:t xml:space="preserve"> in the country, </w:t>
      </w:r>
      <w:r>
        <w:t>over what period</w:t>
      </w:r>
      <w:r w:rsidR="008855CD">
        <w:t xml:space="preserve">, </w:t>
      </w:r>
      <w:r w:rsidR="00F440C9">
        <w:t>by</w:t>
      </w:r>
      <w:r w:rsidR="008855CD">
        <w:t xml:space="preserve"> age and gender</w:t>
      </w:r>
      <w:r>
        <w:t>. This representative intake shrinks in size over the projection period</w:t>
      </w:r>
      <w:r w:rsidR="00C07F68">
        <w:t xml:space="preserve"> due to emigration or mortality</w:t>
      </w:r>
      <w:r>
        <w:t xml:space="preserve">. </w:t>
      </w:r>
      <w:r w:rsidR="00F440C9">
        <w:t>A</w:t>
      </w:r>
      <w:r>
        <w:t>nnual growth in the representative intake for each visa category is then applied to each successive NOM i</w:t>
      </w:r>
      <w:r w:rsidR="004125E3">
        <w:t xml:space="preserve">ntake in the projection period to derive estimates of the </w:t>
      </w:r>
      <w:r w:rsidR="00CC6108">
        <w:t>‘</w:t>
      </w:r>
      <w:r w:rsidR="004125E3" w:rsidRPr="00CC6108">
        <w:rPr>
          <w:i/>
        </w:rPr>
        <w:t>cumulative intake</w:t>
      </w:r>
      <w:r w:rsidR="00CC6108">
        <w:t>’</w:t>
      </w:r>
      <w:r w:rsidR="004125E3">
        <w:t xml:space="preserve"> of </w:t>
      </w:r>
      <w:r w:rsidR="00264249">
        <w:t>im</w:t>
      </w:r>
      <w:r w:rsidR="004125E3">
        <w:t xml:space="preserve">migrants over the projection period. </w:t>
      </w:r>
    </w:p>
    <w:p w14:paraId="4C6A417F" w14:textId="79C6C5CA" w:rsidR="00992D8A" w:rsidRDefault="00992D8A" w:rsidP="00992D8A">
      <w:pPr>
        <w:pStyle w:val="BodyText"/>
      </w:pPr>
      <w:r>
        <w:t xml:space="preserve">The model also </w:t>
      </w:r>
      <w:r w:rsidR="00B932BA">
        <w:t>uses</w:t>
      </w:r>
      <w:r w:rsidR="00214697">
        <w:t xml:space="preserve"> </w:t>
      </w:r>
      <w:r>
        <w:t>projected fertility rates (</w:t>
      </w:r>
      <w:r w:rsidR="00CC6108">
        <w:t>females aged</w:t>
      </w:r>
      <w:r w:rsidR="001A1F09">
        <w:t xml:space="preserve"> 15–</w:t>
      </w:r>
      <w:r>
        <w:t>49)</w:t>
      </w:r>
      <w:r w:rsidR="00F440C9">
        <w:t xml:space="preserve"> from the </w:t>
      </w:r>
      <w:proofErr w:type="spellStart"/>
      <w:r w:rsidR="00F440C9">
        <w:t>economywide</w:t>
      </w:r>
      <w:proofErr w:type="spellEnd"/>
      <w:r w:rsidR="00F440C9">
        <w:t xml:space="preserve"> modelling</w:t>
      </w:r>
      <w:r>
        <w:t xml:space="preserve"> to derive descendants of permanent </w:t>
      </w:r>
      <w:r w:rsidR="00264249">
        <w:t>im</w:t>
      </w:r>
      <w:r>
        <w:t xml:space="preserve">migrants </w:t>
      </w:r>
      <w:r w:rsidR="004125E3">
        <w:t xml:space="preserve">and New Zealand citizens </w:t>
      </w:r>
      <w:r>
        <w:t>(</w:t>
      </w:r>
      <w:r w:rsidR="00264249">
        <w:t xml:space="preserve">but </w:t>
      </w:r>
      <w:r>
        <w:t xml:space="preserve">not temporary </w:t>
      </w:r>
      <w:r w:rsidR="004125E3">
        <w:t>im</w:t>
      </w:r>
      <w:r>
        <w:t xml:space="preserve">migrants). </w:t>
      </w:r>
      <w:r w:rsidR="00B932BA">
        <w:t>B</w:t>
      </w:r>
      <w:r>
        <w:t>irth</w:t>
      </w:r>
      <w:r w:rsidR="00D92B39">
        <w:noBreakHyphen/>
      </w:r>
      <w:r>
        <w:t>to</w:t>
      </w:r>
      <w:r w:rsidR="00D92B39">
        <w:noBreakHyphen/>
      </w:r>
      <w:r>
        <w:t xml:space="preserve">NOM ratios across the projection period for the representative intake are then used to calculate births for </w:t>
      </w:r>
      <w:r w:rsidR="004125E3">
        <w:t xml:space="preserve">the cumulative </w:t>
      </w:r>
      <w:r>
        <w:t xml:space="preserve">intake. This method of calculating ratios to the representative intake </w:t>
      </w:r>
      <w:r w:rsidR="00214697">
        <w:t xml:space="preserve">is </w:t>
      </w:r>
      <w:r>
        <w:t xml:space="preserve">mirrored in expenditure and revenue calculations. </w:t>
      </w:r>
    </w:p>
    <w:p w14:paraId="4C6A4180" w14:textId="77777777" w:rsidR="00F841F4" w:rsidRDefault="00F841F4" w:rsidP="00F012C2">
      <w:pPr>
        <w:pStyle w:val="Heading4"/>
      </w:pPr>
      <w:r>
        <w:t>Module</w:t>
      </w:r>
      <w:r w:rsidR="00D92B39">
        <w:t> </w:t>
      </w:r>
      <w:r>
        <w:t>2: Expenditure</w:t>
      </w:r>
    </w:p>
    <w:p w14:paraId="4C6A4181" w14:textId="77777777" w:rsidR="007C4B48" w:rsidRDefault="007C4B48" w:rsidP="007C4B48">
      <w:pPr>
        <w:pStyle w:val="BodyText"/>
      </w:pPr>
      <w:r>
        <w:t>Module</w:t>
      </w:r>
      <w:r w:rsidR="00D92B39">
        <w:t> </w:t>
      </w:r>
      <w:r>
        <w:t xml:space="preserve">2 covers the calculation of government expenditures for the representative and cumulative intakes </w:t>
      </w:r>
      <w:r w:rsidR="00264249">
        <w:t>(f</w:t>
      </w:r>
      <w:r>
        <w:t>igure</w:t>
      </w:r>
      <w:r w:rsidR="00D92B39">
        <w:t> </w:t>
      </w:r>
      <w:proofErr w:type="spellStart"/>
      <w:r w:rsidR="00F233D6">
        <w:t>D</w:t>
      </w:r>
      <w:r>
        <w:t>.</w:t>
      </w:r>
      <w:r w:rsidR="00F233D6">
        <w:t>3</w:t>
      </w:r>
      <w:proofErr w:type="spellEnd"/>
      <w:r w:rsidR="00264249">
        <w:t>)</w:t>
      </w:r>
      <w:r>
        <w:t xml:space="preserve">. </w:t>
      </w:r>
      <w:r w:rsidR="00EF3F53" w:rsidRPr="00EF3F53">
        <w:t xml:space="preserve">Expenditures are calculated on a per person basis and </w:t>
      </w:r>
      <w:r w:rsidR="00C07F68">
        <w:t xml:space="preserve">are </w:t>
      </w:r>
      <w:r w:rsidR="00EF3F53" w:rsidRPr="00EF3F53">
        <w:t>aggregated to form expenditures allocated to particular visa types.</w:t>
      </w:r>
    </w:p>
    <w:p w14:paraId="4C6A4182" w14:textId="42246562" w:rsidR="00487D84" w:rsidRDefault="00487D84" w:rsidP="00487D84">
      <w:pPr>
        <w:pStyle w:val="BodyText"/>
      </w:pPr>
      <w:r>
        <w:t>The model derives the number of individuals within each visa category, by age and gender, who are eligible to consume government</w:t>
      </w:r>
      <w:r w:rsidR="004354FF">
        <w:noBreakHyphen/>
      </w:r>
      <w:r>
        <w:t xml:space="preserve">funded services or benefits. This is </w:t>
      </w:r>
      <w:r w:rsidRPr="001269FA">
        <w:t>a function of</w:t>
      </w:r>
      <w:r>
        <w:t xml:space="preserve">: </w:t>
      </w:r>
    </w:p>
    <w:p w14:paraId="4C6A4183" w14:textId="77777777" w:rsidR="00487D84" w:rsidRDefault="00487D84" w:rsidP="00487D84">
      <w:pPr>
        <w:pStyle w:val="ListBullet"/>
      </w:pPr>
      <w:r w:rsidRPr="001269FA">
        <w:t xml:space="preserve">policy </w:t>
      </w:r>
      <w:r>
        <w:t>parameters</w:t>
      </w:r>
      <w:r w:rsidRPr="001269FA">
        <w:t xml:space="preserve"> </w:t>
      </w:r>
      <w:r>
        <w:t>(</w:t>
      </w:r>
      <w:r w:rsidRPr="001269FA">
        <w:t>eligibility</w:t>
      </w:r>
      <w:r>
        <w:t xml:space="preserve"> </w:t>
      </w:r>
      <w:r w:rsidRPr="001269FA">
        <w:t xml:space="preserve">and waiting periods </w:t>
      </w:r>
      <w:r>
        <w:t>for government</w:t>
      </w:r>
      <w:r>
        <w:noBreakHyphen/>
        <w:t>funded services and benefits)</w:t>
      </w:r>
    </w:p>
    <w:p w14:paraId="4C6A4184" w14:textId="2B5BE7BC" w:rsidR="00487D84" w:rsidRDefault="00487D84" w:rsidP="00487D84">
      <w:pPr>
        <w:pStyle w:val="ListBullet"/>
      </w:pPr>
      <w:r>
        <w:t>visa</w:t>
      </w:r>
      <w:r>
        <w:noBreakHyphen/>
        <w:t>specific uptake rates for those services and benefits (</w:t>
      </w:r>
      <w:r w:rsidR="001A1F09">
        <w:t>attachment</w:t>
      </w:r>
      <w:r w:rsidR="004354FF">
        <w:t> </w:t>
      </w:r>
      <w:r w:rsidR="001A1F09">
        <w:t>3 in this technical supplement</w:t>
      </w:r>
      <w:r>
        <w:t>)</w:t>
      </w:r>
    </w:p>
    <w:p w14:paraId="4C6A4185" w14:textId="77777777" w:rsidR="00487D84" w:rsidRDefault="00487D84" w:rsidP="007C4B48">
      <w:pPr>
        <w:pStyle w:val="ListBullet"/>
      </w:pPr>
      <w:r>
        <w:t>an assumption about how long it takes for im</w:t>
      </w:r>
      <w:r w:rsidRPr="00E0584C">
        <w:t>migrants to ‘converge’ to the average Australian uptake</w:t>
      </w:r>
      <w:r>
        <w:t xml:space="preserve"> rates (the model assumes this is uniformly 10 years across all expenditure items and visa categories).</w:t>
      </w:r>
      <w:r w:rsidRPr="007304A7">
        <w:t xml:space="preserve"> </w:t>
      </w:r>
    </w:p>
    <w:p w14:paraId="4C6A4186" w14:textId="6B4E6808" w:rsidR="0088111C" w:rsidRDefault="0088111C" w:rsidP="0088111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8111C" w14:paraId="4C6A4189" w14:textId="77777777" w:rsidTr="00A7053B">
        <w:tc>
          <w:tcPr>
            <w:tcW w:w="8771" w:type="dxa"/>
            <w:tcBorders>
              <w:top w:val="single" w:sz="6" w:space="0" w:color="78A22F"/>
              <w:left w:val="nil"/>
              <w:bottom w:val="nil"/>
              <w:right w:val="nil"/>
            </w:tcBorders>
            <w:shd w:val="clear" w:color="auto" w:fill="auto"/>
          </w:tcPr>
          <w:p w14:paraId="4C6A4187" w14:textId="6B100A5D" w:rsidR="0088111C" w:rsidRDefault="0088111C" w:rsidP="00A7053B">
            <w:pPr>
              <w:pStyle w:val="FigureTitle"/>
            </w:pPr>
            <w:r w:rsidRPr="00784A05">
              <w:rPr>
                <w:b w:val="0"/>
              </w:rPr>
              <w:t xml:space="preserve">Figure </w:t>
            </w:r>
            <w:proofErr w:type="spellStart"/>
            <w:r w:rsidR="00AD4F27">
              <w:rPr>
                <w:b w:val="0"/>
              </w:rPr>
              <w:t>D</w:t>
            </w:r>
            <w:r w:rsidR="00D10860">
              <w:rPr>
                <w:b w:val="0"/>
              </w:rPr>
              <w:t>.</w:t>
            </w:r>
            <w:r w:rsidR="00D10860">
              <w:rPr>
                <w:b w:val="0"/>
                <w:noProof/>
              </w:rPr>
              <w:t>3</w:t>
            </w:r>
            <w:proofErr w:type="spellEnd"/>
            <w:r>
              <w:tab/>
            </w:r>
            <w:r w:rsidR="00264249">
              <w:t>Expenditure</w:t>
            </w:r>
          </w:p>
          <w:p w14:paraId="4C6A4188" w14:textId="090FF6B4" w:rsidR="0088111C" w:rsidRPr="00176D3F" w:rsidRDefault="0088111C" w:rsidP="00A7053B">
            <w:pPr>
              <w:pStyle w:val="Subtitle"/>
            </w:pPr>
            <w:r>
              <w:t xml:space="preserve">Derives expenditures for </w:t>
            </w:r>
            <w:r w:rsidR="00264249">
              <w:t>im</w:t>
            </w:r>
            <w:r w:rsidR="00D97929">
              <w:t>migrants by visa, age</w:t>
            </w:r>
            <w:r>
              <w:t xml:space="preserve"> and gender.</w:t>
            </w:r>
            <w:r w:rsidR="0070244E">
              <w:rPr>
                <w:noProof/>
              </w:rPr>
              <w:t xml:space="preserve"> </w:t>
            </w:r>
          </w:p>
        </w:tc>
      </w:tr>
      <w:tr w:rsidR="0088111C" w14:paraId="4C6A418D" w14:textId="77777777" w:rsidTr="00A7053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8111C" w14:paraId="4C6A418B" w14:textId="77777777" w:rsidTr="00A7053B">
              <w:trPr>
                <w:jc w:val="center"/>
              </w:trPr>
              <w:tc>
                <w:tcPr>
                  <w:tcW w:w="5000" w:type="pct"/>
                  <w:tcBorders>
                    <w:top w:val="nil"/>
                    <w:bottom w:val="nil"/>
                  </w:tcBorders>
                </w:tcPr>
                <w:p w14:paraId="4C6A418A" w14:textId="4477FC08" w:rsidR="0088111C" w:rsidRDefault="0070244E" w:rsidP="00A7053B">
                  <w:pPr>
                    <w:pStyle w:val="Figure"/>
                    <w:spacing w:before="60" w:after="60"/>
                  </w:pPr>
                  <w:r>
                    <w:rPr>
                      <w:noProof/>
                    </w:rPr>
                    <mc:AlternateContent>
                      <mc:Choice Requires="wps">
                        <w:drawing>
                          <wp:anchor distT="0" distB="0" distL="114300" distR="114300" simplePos="0" relativeHeight="251661312" behindDoc="0" locked="0" layoutInCell="1" allowOverlap="1" wp14:anchorId="0CCC76D3" wp14:editId="03B0B917">
                            <wp:simplePos x="0" y="0"/>
                            <wp:positionH relativeFrom="column">
                              <wp:posOffset>1085215</wp:posOffset>
                            </wp:positionH>
                            <wp:positionV relativeFrom="paragraph">
                              <wp:posOffset>1353820</wp:posOffset>
                            </wp:positionV>
                            <wp:extent cx="1112520" cy="0"/>
                            <wp:effectExtent l="19050" t="57150" r="0" b="76200"/>
                            <wp:wrapNone/>
                            <wp:docPr id="13" name="Straight Arrow Connector 13" descr="arrow"/>
                            <wp:cNvGraphicFramePr/>
                            <a:graphic xmlns:a="http://schemas.openxmlformats.org/drawingml/2006/main">
                              <a:graphicData uri="http://schemas.microsoft.com/office/word/2010/wordprocessingShape">
                                <wps:wsp>
                                  <wps:cNvCnPr/>
                                  <wps:spPr>
                                    <a:xfrm flipH="1">
                                      <a:off x="0" y="0"/>
                                      <a:ext cx="1112520" cy="0"/>
                                    </a:xfrm>
                                    <a:prstGeom prst="straightConnector1">
                                      <a:avLst/>
                                    </a:prstGeom>
                                    <a:ln w="9525">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3" o:spid="_x0000_s1026" type="#_x0000_t32" alt="arrow" style="position:absolute;margin-left:85.45pt;margin-top:106.6pt;width:87.6pt;height:0;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" strokecolor="black [3213]">
                            <v:stroke endarrow="block" endarrowwidth="narrow" endarrowlength="short"/>
                          </v:shape>
                        </w:pict>
                      </mc:Fallback>
                    </mc:AlternateContent>
                  </w:r>
                  <w:r>
                    <w:rPr>
                      <w:noProof/>
                    </w:rPr>
                    <mc:AlternateContent>
                      <mc:Choice Requires="wps">
                        <w:drawing>
                          <wp:anchor distT="0" distB="0" distL="114300" distR="114300" simplePos="0" relativeHeight="251659264" behindDoc="0" locked="0" layoutInCell="1" allowOverlap="1" wp14:anchorId="096C4735" wp14:editId="17FDF316">
                            <wp:simplePos x="0" y="0"/>
                            <wp:positionH relativeFrom="column">
                              <wp:posOffset>1092835</wp:posOffset>
                            </wp:positionH>
                            <wp:positionV relativeFrom="paragraph">
                              <wp:posOffset>378460</wp:posOffset>
                            </wp:positionV>
                            <wp:extent cx="297180" cy="0"/>
                            <wp:effectExtent l="0" t="57150" r="45720" b="76200"/>
                            <wp:wrapNone/>
                            <wp:docPr id="12" name="Straight Arrow Connector 12" descr="arrow"/>
                            <wp:cNvGraphicFramePr/>
                            <a:graphic xmlns:a="http://schemas.openxmlformats.org/drawingml/2006/main">
                              <a:graphicData uri="http://schemas.microsoft.com/office/word/2010/wordprocessingShape">
                                <wps:wsp>
                                  <wps:cNvCnPr/>
                                  <wps:spPr>
                                    <a:xfrm>
                                      <a:off x="0" y="0"/>
                                      <a:ext cx="297180" cy="0"/>
                                    </a:xfrm>
                                    <a:prstGeom prst="straightConnector1">
                                      <a:avLst/>
                                    </a:prstGeom>
                                    <a:ln w="9525">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alt="arrow" style="position:absolute;margin-left:86.05pt;margin-top:29.8pt;width:23.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" strokecolor="black [3213]">
                            <v:stroke endarrow="block" endarrowwidth="narrow" endarrowlength="short"/>
                          </v:shape>
                        </w:pict>
                      </mc:Fallback>
                    </mc:AlternateContent>
                  </w:r>
                  <w:r w:rsidR="008555C0">
                    <w:rPr>
                      <w:noProof/>
                    </w:rPr>
                    <w:drawing>
                      <wp:inline distT="0" distB="0" distL="0" distR="0" wp14:anchorId="3EDA83F8" wp14:editId="481813C1">
                        <wp:extent cx="5391785" cy="3122930"/>
                        <wp:effectExtent l="0" t="0" r="0" b="1270"/>
                        <wp:docPr id="3" name="Picture 3" descr="This figure depicts the conceptual framework for the model’s expenditure module. It illustrates how the model projects government expenditure attributable to immigrants by visa type, age and gender taking into account eligibility and waiting periods, uptake rates, and per person costs of government funded services and benef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1785" cy="3122930"/>
                                </a:xfrm>
                                <a:prstGeom prst="rect">
                                  <a:avLst/>
                                </a:prstGeom>
                                <a:noFill/>
                                <a:ln>
                                  <a:noFill/>
                                </a:ln>
                              </pic:spPr>
                            </pic:pic>
                          </a:graphicData>
                        </a:graphic>
                      </wp:inline>
                    </w:drawing>
                  </w:r>
                </w:p>
              </w:tc>
            </w:tr>
          </w:tbl>
          <w:p w14:paraId="4C6A418C" w14:textId="77777777" w:rsidR="0088111C" w:rsidRDefault="0088111C" w:rsidP="00A7053B">
            <w:pPr>
              <w:pStyle w:val="Figure"/>
            </w:pPr>
          </w:p>
        </w:tc>
      </w:tr>
      <w:tr w:rsidR="0088111C" w14:paraId="4C6A4191" w14:textId="77777777" w:rsidTr="00A7053B">
        <w:tc>
          <w:tcPr>
            <w:tcW w:w="8771" w:type="dxa"/>
            <w:tcBorders>
              <w:top w:val="nil"/>
              <w:left w:val="nil"/>
              <w:bottom w:val="single" w:sz="6" w:space="0" w:color="78A22F"/>
              <w:right w:val="nil"/>
            </w:tcBorders>
            <w:shd w:val="clear" w:color="auto" w:fill="auto"/>
          </w:tcPr>
          <w:p w14:paraId="4C6A4190" w14:textId="77777777" w:rsidR="0088111C" w:rsidRDefault="0088111C" w:rsidP="00A7053B">
            <w:pPr>
              <w:pStyle w:val="Figurespace"/>
            </w:pPr>
          </w:p>
        </w:tc>
      </w:tr>
      <w:tr w:rsidR="0088111C" w:rsidRPr="000863A5" w14:paraId="4C6A4193" w14:textId="77777777" w:rsidTr="00A7053B">
        <w:tc>
          <w:tcPr>
            <w:tcW w:w="8771" w:type="dxa"/>
            <w:tcBorders>
              <w:top w:val="single" w:sz="6" w:space="0" w:color="78A22F"/>
              <w:left w:val="nil"/>
              <w:bottom w:val="nil"/>
              <w:right w:val="nil"/>
            </w:tcBorders>
          </w:tcPr>
          <w:p w14:paraId="4C6A4192" w14:textId="14BF2D8E" w:rsidR="0088111C" w:rsidRPr="00626D32" w:rsidRDefault="0088111C" w:rsidP="00A7053B">
            <w:pPr>
              <w:pStyle w:val="BoxSpaceBelow"/>
            </w:pPr>
          </w:p>
        </w:tc>
      </w:tr>
    </w:tbl>
    <w:p w14:paraId="4C6A4194" w14:textId="43A9F141" w:rsidR="007304A7" w:rsidRDefault="007304A7" w:rsidP="007C4B48">
      <w:pPr>
        <w:pStyle w:val="BodyText"/>
      </w:pPr>
      <w:r>
        <w:t xml:space="preserve">In addition to uptake rates, different </w:t>
      </w:r>
      <w:r w:rsidR="004E5E2A">
        <w:t xml:space="preserve">propensities </w:t>
      </w:r>
      <w:r>
        <w:t>to consume services or</w:t>
      </w:r>
      <w:r w:rsidR="004E5E2A">
        <w:t xml:space="preserve"> receive</w:t>
      </w:r>
      <w:r>
        <w:t xml:space="preserve"> benefits are reflected in the per person cost, which applies to certai</w:t>
      </w:r>
      <w:r w:rsidR="00D97929">
        <w:t>n age categories</w:t>
      </w:r>
      <w:r>
        <w:t xml:space="preserve"> and is zero otherwise (</w:t>
      </w:r>
      <w:r w:rsidR="001A1F09">
        <w:t>for example,</w:t>
      </w:r>
      <w:r w:rsidR="00A50858">
        <w:t xml:space="preserve"> the Family Tax B</w:t>
      </w:r>
      <w:r>
        <w:t xml:space="preserve">enefit is </w:t>
      </w:r>
      <w:r w:rsidR="00B932BA">
        <w:t>associated with</w:t>
      </w:r>
      <w:r w:rsidR="00D97929">
        <w:t xml:space="preserve"> children only</w:t>
      </w:r>
      <w:r>
        <w:t>), or changes with age (</w:t>
      </w:r>
      <w:r w:rsidR="001A1F09">
        <w:t>for example,</w:t>
      </w:r>
      <w:r>
        <w:t xml:space="preserve"> higher education costs), or both.</w:t>
      </w:r>
    </w:p>
    <w:p w14:paraId="4C6A4195" w14:textId="77777777" w:rsidR="00F440C9" w:rsidRDefault="00F440C9" w:rsidP="00314B41">
      <w:pPr>
        <w:pStyle w:val="Heading5"/>
      </w:pPr>
      <w:r>
        <w:t>Policy parameters</w:t>
      </w:r>
    </w:p>
    <w:p w14:paraId="4C6A4196" w14:textId="328FC83A" w:rsidR="0088111C" w:rsidRDefault="00F440C9" w:rsidP="0088111C">
      <w:pPr>
        <w:pStyle w:val="BodyText"/>
      </w:pPr>
      <w:r>
        <w:t>T</w:t>
      </w:r>
      <w:r w:rsidR="007C4B48">
        <w:t xml:space="preserve">he model is calibrated according to current policy settings. </w:t>
      </w:r>
      <w:r>
        <w:t>T</w:t>
      </w:r>
      <w:r w:rsidR="007C4B48">
        <w:t xml:space="preserve">his means all permanent </w:t>
      </w:r>
      <w:r w:rsidR="00CC6108">
        <w:t>im</w:t>
      </w:r>
      <w:r w:rsidR="007C4B48">
        <w:t xml:space="preserve">migrants and New Zealand </w:t>
      </w:r>
      <w:r w:rsidR="003E7757">
        <w:t xml:space="preserve">Special Category visa holders </w:t>
      </w:r>
      <w:r w:rsidR="00B932BA">
        <w:t>have access to government</w:t>
      </w:r>
      <w:r w:rsidR="00B932BA">
        <w:noBreakHyphen/>
        <w:t xml:space="preserve">funded </w:t>
      </w:r>
      <w:r w:rsidR="007C4B48">
        <w:t>health, education and transfer expenditures</w:t>
      </w:r>
      <w:r>
        <w:t xml:space="preserve"> conditional on </w:t>
      </w:r>
      <w:r w:rsidR="00B932BA">
        <w:t>relevant</w:t>
      </w:r>
      <w:r>
        <w:t xml:space="preserve"> waiting periods</w:t>
      </w:r>
      <w:r w:rsidR="007C4B48">
        <w:t>.</w:t>
      </w:r>
      <w:r>
        <w:t xml:space="preserve"> A</w:t>
      </w:r>
      <w:r w:rsidR="007C4B48">
        <w:t>ll non</w:t>
      </w:r>
      <w:r w:rsidR="00160184">
        <w:noBreakHyphen/>
      </w:r>
      <w:r w:rsidR="007C4B48">
        <w:t xml:space="preserve">humanitarian permanent </w:t>
      </w:r>
      <w:r>
        <w:t>im</w:t>
      </w:r>
      <w:r w:rsidR="007C4B48">
        <w:t xml:space="preserve">migrants </w:t>
      </w:r>
      <w:r w:rsidR="00EF3F53">
        <w:t xml:space="preserve">and New Zealand citizens </w:t>
      </w:r>
      <w:r w:rsidR="007C4B48">
        <w:t>are subject to a 10</w:t>
      </w:r>
      <w:r w:rsidR="00B932BA">
        <w:t xml:space="preserve"> </w:t>
      </w:r>
      <w:r w:rsidR="007C4B48">
        <w:t>year waiting period to access the Disability Support Pension and the Age Pension</w:t>
      </w:r>
      <w:r w:rsidR="003E7757">
        <w:t>.</w:t>
      </w:r>
      <w:r w:rsidR="007C4B48">
        <w:t xml:space="preserve"> </w:t>
      </w:r>
      <w:r w:rsidR="003E7757">
        <w:t>To access unemployment benefits, all non</w:t>
      </w:r>
      <w:r w:rsidR="00D92B39">
        <w:noBreakHyphen/>
      </w:r>
      <w:r w:rsidR="003E7757">
        <w:t xml:space="preserve">humanitarian permanent immigrants are subject to </w:t>
      </w:r>
      <w:r w:rsidR="007C4B48">
        <w:t>a two year waiting period</w:t>
      </w:r>
      <w:r w:rsidR="003E7757">
        <w:t>, whereas New Zealand Special Category visa holders are subject to a 10 year waiting period</w:t>
      </w:r>
      <w:r w:rsidR="007C4B48">
        <w:t xml:space="preserve">. </w:t>
      </w:r>
      <w:r w:rsidR="0088111C">
        <w:t xml:space="preserve">By contrast, all </w:t>
      </w:r>
      <w:r w:rsidR="00A332D2">
        <w:t xml:space="preserve">other </w:t>
      </w:r>
      <w:r w:rsidR="0088111C">
        <w:t xml:space="preserve">temporary </w:t>
      </w:r>
      <w:r w:rsidR="00CC6108">
        <w:t>im</w:t>
      </w:r>
      <w:r w:rsidR="0088111C">
        <w:t xml:space="preserve">migrants are assumed </w:t>
      </w:r>
      <w:r w:rsidR="00B932BA">
        <w:t xml:space="preserve">to be </w:t>
      </w:r>
      <w:r w:rsidR="0088111C">
        <w:t xml:space="preserve">ineligible for </w:t>
      </w:r>
      <w:r w:rsidR="00A332D2">
        <w:t>any</w:t>
      </w:r>
      <w:r w:rsidR="0088111C">
        <w:t xml:space="preserve"> form of </w:t>
      </w:r>
      <w:r w:rsidR="00264249">
        <w:t xml:space="preserve">direct </w:t>
      </w:r>
      <w:r w:rsidR="0088111C">
        <w:t>expenditure</w:t>
      </w:r>
      <w:r w:rsidR="001A1F09">
        <w:t>. This reflects several factors.</w:t>
      </w:r>
    </w:p>
    <w:p w14:paraId="4C6A4197" w14:textId="1177659A" w:rsidR="0088111C" w:rsidRDefault="0088111C" w:rsidP="0088111C">
      <w:pPr>
        <w:pStyle w:val="ListBullet"/>
      </w:pPr>
      <w:r w:rsidRPr="00C8428A">
        <w:rPr>
          <w:i/>
        </w:rPr>
        <w:t>Health</w:t>
      </w:r>
      <w:r>
        <w:t xml:space="preserve">: </w:t>
      </w:r>
      <w:r w:rsidR="00F440C9">
        <w:t>t</w:t>
      </w:r>
      <w:r w:rsidR="00BC411D">
        <w:t>emporary immigrants are generally ineligible for go</w:t>
      </w:r>
      <w:r w:rsidR="00D97929">
        <w:t>vernment</w:t>
      </w:r>
      <w:r w:rsidR="00D97929">
        <w:noBreakHyphen/>
        <w:t>funded health services</w:t>
      </w:r>
      <w:r w:rsidR="00BC411D">
        <w:t xml:space="preserve"> and are either required to hold private health insurance (</w:t>
      </w:r>
      <w:r w:rsidR="001A1F09">
        <w:t>for example,</w:t>
      </w:r>
      <w:r w:rsidR="007D438B">
        <w:t xml:space="preserve"> </w:t>
      </w:r>
      <w:r w:rsidR="00BC411D">
        <w:t xml:space="preserve">students), or pay in full </w:t>
      </w:r>
      <w:r w:rsidR="00C8428A">
        <w:t xml:space="preserve">if not covered by a private health insurance policy </w:t>
      </w:r>
      <w:r w:rsidR="00BC411D">
        <w:t>(</w:t>
      </w:r>
      <w:r w:rsidR="001A1F09">
        <w:t>for example,</w:t>
      </w:r>
      <w:r w:rsidR="00BC411D">
        <w:t xml:space="preserve"> visitors). </w:t>
      </w:r>
      <w:r w:rsidR="00E446F8">
        <w:t xml:space="preserve">Expenses associated with </w:t>
      </w:r>
      <w:r>
        <w:t xml:space="preserve">reciprocal health care agreements are </w:t>
      </w:r>
      <w:r w:rsidR="00A332D2">
        <w:t>not accounted for</w:t>
      </w:r>
      <w:r>
        <w:t xml:space="preserve">. </w:t>
      </w:r>
    </w:p>
    <w:p w14:paraId="4C6A4198" w14:textId="5236BDE2" w:rsidR="0088111C" w:rsidRDefault="0088111C" w:rsidP="0088111C">
      <w:pPr>
        <w:pStyle w:val="ListBullet"/>
      </w:pPr>
      <w:r w:rsidRPr="0088111C">
        <w:rPr>
          <w:i/>
        </w:rPr>
        <w:lastRenderedPageBreak/>
        <w:t>Education</w:t>
      </w:r>
      <w:r>
        <w:t xml:space="preserve">: </w:t>
      </w:r>
      <w:r w:rsidR="00F440C9">
        <w:t xml:space="preserve">while </w:t>
      </w:r>
      <w:r>
        <w:t xml:space="preserve">children on some temporary visas do have access to public schooling (namely </w:t>
      </w:r>
      <w:r w:rsidR="00C8428A">
        <w:t xml:space="preserve">secondary </w:t>
      </w:r>
      <w:r w:rsidR="003E7757">
        <w:t>applicants in the skill stream</w:t>
      </w:r>
      <w:r>
        <w:t xml:space="preserve">) they are assumed not to </w:t>
      </w:r>
      <w:r w:rsidR="003E7757">
        <w:t xml:space="preserve">impose </w:t>
      </w:r>
      <w:r>
        <w:t xml:space="preserve">a </w:t>
      </w:r>
      <w:r w:rsidR="003E7757">
        <w:t xml:space="preserve">cost on </w:t>
      </w:r>
      <w:r w:rsidR="00CC6108">
        <w:t>government</w:t>
      </w:r>
      <w:r>
        <w:t xml:space="preserve">. </w:t>
      </w:r>
      <w:r w:rsidR="003E7757">
        <w:t>Most t</w:t>
      </w:r>
      <w:r>
        <w:t xml:space="preserve">emporary </w:t>
      </w:r>
      <w:r w:rsidR="00CC6108">
        <w:t>im</w:t>
      </w:r>
      <w:r>
        <w:t xml:space="preserve">migrants are ineligible for both Commonwealth Supported Places and </w:t>
      </w:r>
      <w:r w:rsidR="00264249">
        <w:t xml:space="preserve">government student </w:t>
      </w:r>
      <w:r>
        <w:t xml:space="preserve">loans for university and/or TAFE </w:t>
      </w:r>
      <w:r w:rsidR="00D92B39">
        <w:t>—</w:t>
      </w:r>
      <w:r>
        <w:t xml:space="preserve"> in other words, they are </w:t>
      </w:r>
      <w:r w:rsidR="00A332D2">
        <w:t xml:space="preserve">included as </w:t>
      </w:r>
      <w:r>
        <w:t>full fee</w:t>
      </w:r>
      <w:r w:rsidR="00D92B39">
        <w:noBreakHyphen/>
      </w:r>
      <w:r>
        <w:t xml:space="preserve">paying students. </w:t>
      </w:r>
    </w:p>
    <w:p w14:paraId="4C6A4199" w14:textId="77777777" w:rsidR="0088111C" w:rsidRDefault="0088111C" w:rsidP="0088111C">
      <w:pPr>
        <w:pStyle w:val="ListBullet"/>
      </w:pPr>
      <w:r w:rsidRPr="0088111C">
        <w:rPr>
          <w:i/>
        </w:rPr>
        <w:t>Transfers</w:t>
      </w:r>
      <w:r>
        <w:t xml:space="preserve">: </w:t>
      </w:r>
      <w:r w:rsidR="00F440C9">
        <w:t xml:space="preserve">visa </w:t>
      </w:r>
      <w:r>
        <w:t xml:space="preserve">conditions mean that temporary </w:t>
      </w:r>
      <w:r w:rsidR="00264249">
        <w:t>im</w:t>
      </w:r>
      <w:r>
        <w:t xml:space="preserve">migrants are ineligible for </w:t>
      </w:r>
      <w:r w:rsidR="00A332D2">
        <w:t>transfers</w:t>
      </w:r>
      <w:r>
        <w:t xml:space="preserve">. </w:t>
      </w:r>
    </w:p>
    <w:p w14:paraId="4C6A419A" w14:textId="77777777" w:rsidR="00487D84" w:rsidRDefault="007304A7" w:rsidP="0088111C">
      <w:pPr>
        <w:pStyle w:val="BodyText"/>
      </w:pPr>
      <w:r>
        <w:t>Total costs for the representative intake are derived by multiplying the number of individuals consuming each government</w:t>
      </w:r>
      <w:r w:rsidR="00D92B39">
        <w:noBreakHyphen/>
      </w:r>
      <w:r w:rsidR="00264249">
        <w:t>funded</w:t>
      </w:r>
      <w:r>
        <w:t xml:space="preserve"> service or benefit by the applicable per person cost. </w:t>
      </w:r>
      <w:r w:rsidR="00815785">
        <w:t xml:space="preserve">Total costs are then expressed </w:t>
      </w:r>
      <w:r w:rsidR="00D97929">
        <w:t xml:space="preserve">as </w:t>
      </w:r>
      <w:r w:rsidR="00A332D2">
        <w:t>p</w:t>
      </w:r>
      <w:r w:rsidR="00D97929">
        <w:t>er person averages</w:t>
      </w:r>
      <w:r w:rsidR="00A332D2">
        <w:t xml:space="preserve"> and</w:t>
      </w:r>
      <w:r w:rsidR="00815785">
        <w:t xml:space="preserve"> applied to subsequent intakes of NOM over the projection period (the cumulative intake). </w:t>
      </w:r>
    </w:p>
    <w:p w14:paraId="4C6A419B" w14:textId="77777777" w:rsidR="0088111C" w:rsidRDefault="00815785" w:rsidP="0088111C">
      <w:pPr>
        <w:pStyle w:val="BodyText"/>
      </w:pPr>
      <w:r>
        <w:t xml:space="preserve">An equivalent process is undertaken for </w:t>
      </w:r>
      <w:r w:rsidR="00CC6108">
        <w:t>im</w:t>
      </w:r>
      <w:r>
        <w:t>migrants’ descendants, who are assumed to have unrestricted access</w:t>
      </w:r>
      <w:r w:rsidR="00A332D2">
        <w:t xml:space="preserve"> to government</w:t>
      </w:r>
      <w:r w:rsidR="00A332D2">
        <w:noBreakHyphen/>
        <w:t>funded services and benefits</w:t>
      </w:r>
      <w:r>
        <w:t xml:space="preserve"> and </w:t>
      </w:r>
      <w:r w:rsidR="00A332D2">
        <w:t xml:space="preserve">are </w:t>
      </w:r>
      <w:r>
        <w:t xml:space="preserve">therefore </w:t>
      </w:r>
      <w:r w:rsidR="00A332D2">
        <w:t xml:space="preserve">allocated </w:t>
      </w:r>
      <w:r>
        <w:t>the same eligibility and uptake rates as Australian citizens. All c</w:t>
      </w:r>
      <w:r w:rsidR="0088111C">
        <w:t>osts undergo indexation across the projection period</w:t>
      </w:r>
      <w:r w:rsidR="00C8428A">
        <w:t>, pr</w:t>
      </w:r>
      <w:r w:rsidR="00594E0A">
        <w:t>oducing values in terms of 20</w:t>
      </w:r>
      <w:r w:rsidR="00C8428A">
        <w:t>14 dollars</w:t>
      </w:r>
      <w:r w:rsidR="0088111C">
        <w:t xml:space="preserve">. </w:t>
      </w:r>
    </w:p>
    <w:p w14:paraId="4C6A419C" w14:textId="77777777" w:rsidR="00F841F4" w:rsidRDefault="00F841F4" w:rsidP="00F012C2">
      <w:pPr>
        <w:pStyle w:val="Heading4"/>
      </w:pPr>
      <w:r>
        <w:t>Module</w:t>
      </w:r>
      <w:r w:rsidR="00D92B39">
        <w:t> </w:t>
      </w:r>
      <w:r>
        <w:t xml:space="preserve">3: </w:t>
      </w:r>
      <w:r w:rsidR="00A90B00">
        <w:t>Labour market</w:t>
      </w:r>
    </w:p>
    <w:p w14:paraId="4C6A419D" w14:textId="10A63569" w:rsidR="00487D84" w:rsidRDefault="00C03302" w:rsidP="00C03302">
      <w:pPr>
        <w:pStyle w:val="BodyText"/>
      </w:pPr>
      <w:r>
        <w:t>Module</w:t>
      </w:r>
      <w:r w:rsidR="00D92B39">
        <w:t> </w:t>
      </w:r>
      <w:r>
        <w:t xml:space="preserve">3 covers the </w:t>
      </w:r>
      <w:r w:rsidR="008775B4">
        <w:t>labour market</w:t>
      </w:r>
      <w:r w:rsidR="006C5D09">
        <w:t>,</w:t>
      </w:r>
      <w:r w:rsidR="00445E63">
        <w:t xml:space="preserve"> the revenues and costs which depend on immigrants’ labour market characteristics</w:t>
      </w:r>
      <w:r w:rsidR="006C5D09">
        <w:t xml:space="preserve"> and other revenues</w:t>
      </w:r>
      <w:r w:rsidR="008775B4">
        <w:t xml:space="preserve"> </w:t>
      </w:r>
      <w:r w:rsidR="00264249">
        <w:t>(f</w:t>
      </w:r>
      <w:r>
        <w:t>igure</w:t>
      </w:r>
      <w:r w:rsidR="00D92B39">
        <w:t> </w:t>
      </w:r>
      <w:proofErr w:type="spellStart"/>
      <w:r w:rsidR="00F233D6">
        <w:t>D</w:t>
      </w:r>
      <w:r>
        <w:t>.</w:t>
      </w:r>
      <w:r w:rsidR="00F233D6">
        <w:t>4</w:t>
      </w:r>
      <w:proofErr w:type="spellEnd"/>
      <w:r w:rsidR="00264249">
        <w:t>)</w:t>
      </w:r>
      <w:r>
        <w:t xml:space="preserve">. </w:t>
      </w:r>
    </w:p>
    <w:p w14:paraId="4C6A419E" w14:textId="77777777" w:rsidR="00C03302" w:rsidRDefault="008775B4" w:rsidP="00C03302">
      <w:pPr>
        <w:pStyle w:val="BodyText"/>
      </w:pPr>
      <w:r>
        <w:t xml:space="preserve">Immigrants’ labour market characteristics (labour force participation </w:t>
      </w:r>
      <w:r w:rsidR="00E446F8">
        <w:t xml:space="preserve">and unemployment </w:t>
      </w:r>
      <w:r w:rsidR="00B11D7F">
        <w:t>rates</w:t>
      </w:r>
      <w:r>
        <w:t xml:space="preserve"> by age, gender and visa category) are used to derive employment and unemployment estimates (persons), which are used to calculate </w:t>
      </w:r>
      <w:r w:rsidR="00D97929">
        <w:t>income tax revenue</w:t>
      </w:r>
      <w:r>
        <w:t xml:space="preserve"> and unemployment benefits, respectively. </w:t>
      </w:r>
    </w:p>
    <w:p w14:paraId="4C6A419F" w14:textId="77777777" w:rsidR="00C03302" w:rsidRDefault="00C03302" w:rsidP="00C03302">
      <w:pPr>
        <w:pStyle w:val="BodyText"/>
      </w:pPr>
      <w:r>
        <w:t>The model specifies labour force participation rates and unemployment rates by single age year (</w:t>
      </w:r>
      <w:r w:rsidR="00F5559B">
        <w:t xml:space="preserve">based on </w:t>
      </w:r>
      <w:proofErr w:type="spellStart"/>
      <w:r w:rsidR="00F5559B">
        <w:t>ACMID</w:t>
      </w:r>
      <w:proofErr w:type="spellEnd"/>
      <w:r w:rsidR="00F5559B">
        <w:t xml:space="preserve"> and Census </w:t>
      </w:r>
      <w:r>
        <w:t xml:space="preserve">for permanent </w:t>
      </w:r>
      <w:r w:rsidR="002E03BD">
        <w:t>im</w:t>
      </w:r>
      <w:r w:rsidR="00D97929">
        <w:t>migrants</w:t>
      </w:r>
      <w:r>
        <w:t xml:space="preserve"> and </w:t>
      </w:r>
      <w:r w:rsidR="00F5559B">
        <w:t xml:space="preserve">CORM </w:t>
      </w:r>
      <w:r>
        <w:t xml:space="preserve">for temporary </w:t>
      </w:r>
      <w:r w:rsidR="00264249">
        <w:t>im</w:t>
      </w:r>
      <w:r>
        <w:t xml:space="preserve">migrants). Labour force characteristics for permanent </w:t>
      </w:r>
      <w:r w:rsidR="002E03BD">
        <w:t>im</w:t>
      </w:r>
      <w:r>
        <w:t xml:space="preserve">migrants and New Zealand citizens </w:t>
      </w:r>
      <w:r w:rsidR="00F5559B">
        <w:t xml:space="preserve">are assumed to </w:t>
      </w:r>
      <w:r>
        <w:t>converge</w:t>
      </w:r>
      <w:r w:rsidR="006726CD">
        <w:t xml:space="preserve"> linearly</w:t>
      </w:r>
      <w:r>
        <w:t xml:space="preserve"> to the Australian averages by age</w:t>
      </w:r>
      <w:r w:rsidR="006726CD">
        <w:t xml:space="preserve"> group</w:t>
      </w:r>
      <w:r w:rsidR="00F5559B">
        <w:t>.</w:t>
      </w:r>
      <w:r w:rsidR="00F5559B">
        <w:rPr>
          <w:rStyle w:val="FootnoteReference"/>
        </w:rPr>
        <w:footnoteReference w:id="7"/>
      </w:r>
      <w:r w:rsidR="006726CD">
        <w:t xml:space="preserve"> For temporary </w:t>
      </w:r>
      <w:r w:rsidR="00264249">
        <w:t>im</w:t>
      </w:r>
      <w:r w:rsidR="006726CD">
        <w:t>migrants, p</w:t>
      </w:r>
      <w:r>
        <w:t>articipation and unemployment rates</w:t>
      </w:r>
      <w:r w:rsidR="00D75536">
        <w:t xml:space="preserve"> are assumed to</w:t>
      </w:r>
      <w:r>
        <w:t xml:space="preserve"> remain constant </w:t>
      </w:r>
      <w:r w:rsidR="00A332D2">
        <w:t>for the duration of their stay</w:t>
      </w:r>
      <w:r>
        <w:t xml:space="preserve">. </w:t>
      </w:r>
    </w:p>
    <w:p w14:paraId="4C6A41A1" w14:textId="715A92E9" w:rsidR="00487D84" w:rsidRDefault="00487D84" w:rsidP="00487D8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C03302" w14:paraId="4C6A41A4" w14:textId="77777777" w:rsidTr="00A7053B">
        <w:trPr>
          <w:tblHeader/>
        </w:trPr>
        <w:tc>
          <w:tcPr>
            <w:tcW w:w="8771" w:type="dxa"/>
            <w:tcBorders>
              <w:top w:val="single" w:sz="6" w:space="0" w:color="78A22F"/>
              <w:left w:val="nil"/>
              <w:bottom w:val="nil"/>
              <w:right w:val="nil"/>
            </w:tcBorders>
            <w:shd w:val="clear" w:color="auto" w:fill="auto"/>
          </w:tcPr>
          <w:p w14:paraId="4C6A41A2" w14:textId="616A7F41" w:rsidR="00C03302" w:rsidRDefault="00C03302" w:rsidP="00A7053B">
            <w:pPr>
              <w:pStyle w:val="FigureTitle"/>
            </w:pPr>
            <w:r w:rsidRPr="00784A05">
              <w:rPr>
                <w:b w:val="0"/>
              </w:rPr>
              <w:t xml:space="preserve">Figure </w:t>
            </w:r>
            <w:proofErr w:type="spellStart"/>
            <w:r w:rsidR="00AD4F27">
              <w:rPr>
                <w:b w:val="0"/>
              </w:rPr>
              <w:t>D</w:t>
            </w:r>
            <w:r w:rsidR="00D10860">
              <w:rPr>
                <w:b w:val="0"/>
              </w:rPr>
              <w:t>.</w:t>
            </w:r>
            <w:r w:rsidR="00D10860">
              <w:rPr>
                <w:b w:val="0"/>
                <w:noProof/>
              </w:rPr>
              <w:t>4</w:t>
            </w:r>
            <w:proofErr w:type="spellEnd"/>
            <w:r>
              <w:tab/>
            </w:r>
            <w:r w:rsidR="00264249">
              <w:t>Labour market</w:t>
            </w:r>
          </w:p>
          <w:p w14:paraId="4C6A41A3" w14:textId="77777777" w:rsidR="00C03302" w:rsidRPr="00176D3F" w:rsidRDefault="002E03BD" w:rsidP="002E03BD">
            <w:pPr>
              <w:pStyle w:val="Subtitle"/>
            </w:pPr>
            <w:r>
              <w:t>Imm</w:t>
            </w:r>
            <w:r w:rsidR="00C03302">
              <w:t>igrants’ labour force characteristi</w:t>
            </w:r>
            <w:r w:rsidR="00D97929">
              <w:t>cs, employment and unemployment</w:t>
            </w:r>
            <w:r w:rsidR="00C03302">
              <w:t xml:space="preserve"> and </w:t>
            </w:r>
            <w:r w:rsidR="00F5559B">
              <w:t xml:space="preserve">labour </w:t>
            </w:r>
            <w:r w:rsidR="00C03302">
              <w:t>income tax revenues</w:t>
            </w:r>
            <w:r w:rsidR="00F5559B">
              <w:t xml:space="preserve"> and unemployment costs</w:t>
            </w:r>
          </w:p>
        </w:tc>
      </w:tr>
      <w:tr w:rsidR="00C03302" w14:paraId="4C6A41A8" w14:textId="77777777" w:rsidTr="00A7053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C03302" w14:paraId="4C6A41A6" w14:textId="77777777" w:rsidTr="00A7053B">
              <w:trPr>
                <w:tblHeader/>
                <w:jc w:val="center"/>
              </w:trPr>
              <w:tc>
                <w:tcPr>
                  <w:tcW w:w="5000" w:type="pct"/>
                  <w:tcBorders>
                    <w:top w:val="nil"/>
                    <w:bottom w:val="nil"/>
                  </w:tcBorders>
                </w:tcPr>
                <w:p w14:paraId="4C6A41A5" w14:textId="26FC4292" w:rsidR="00C03302" w:rsidRDefault="00F05808" w:rsidP="00F05808">
                  <w:pPr>
                    <w:pStyle w:val="Figure"/>
                    <w:spacing w:before="60" w:after="60"/>
                  </w:pPr>
                  <w:r>
                    <w:rPr>
                      <w:noProof/>
                    </w:rPr>
                    <w:drawing>
                      <wp:inline distT="0" distB="0" distL="0" distR="0" wp14:anchorId="00EF55BC" wp14:editId="3692A6CB">
                        <wp:extent cx="5398770" cy="3005455"/>
                        <wp:effectExtent l="0" t="0" r="0" b="4445"/>
                        <wp:docPr id="5" name="Picture 5" descr="This figure depicts the conceptual framework for the model’s labour market module. It illustrates how the model projects tax revenues and unemployment benefits attributable to immigrants by visa type, age and gender, taking in to account labour force participation rates and unemployment rates of immigr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8770" cy="3005455"/>
                                </a:xfrm>
                                <a:prstGeom prst="rect">
                                  <a:avLst/>
                                </a:prstGeom>
                                <a:noFill/>
                                <a:ln>
                                  <a:noFill/>
                                </a:ln>
                              </pic:spPr>
                            </pic:pic>
                          </a:graphicData>
                        </a:graphic>
                      </wp:inline>
                    </w:drawing>
                  </w:r>
                </w:p>
              </w:tc>
            </w:tr>
          </w:tbl>
          <w:p w14:paraId="4C6A41A7" w14:textId="77777777" w:rsidR="00C03302" w:rsidRDefault="00C03302" w:rsidP="00A7053B">
            <w:pPr>
              <w:pStyle w:val="Figure"/>
            </w:pPr>
          </w:p>
        </w:tc>
      </w:tr>
      <w:tr w:rsidR="00C03302" w14:paraId="4C6A41AC" w14:textId="77777777" w:rsidTr="00A7053B">
        <w:tc>
          <w:tcPr>
            <w:tcW w:w="8771" w:type="dxa"/>
            <w:tcBorders>
              <w:top w:val="nil"/>
              <w:left w:val="nil"/>
              <w:bottom w:val="single" w:sz="6" w:space="0" w:color="78A22F"/>
              <w:right w:val="nil"/>
            </w:tcBorders>
            <w:shd w:val="clear" w:color="auto" w:fill="auto"/>
          </w:tcPr>
          <w:p w14:paraId="4C6A41AB" w14:textId="77777777" w:rsidR="00C03302" w:rsidRDefault="00C03302" w:rsidP="00A7053B">
            <w:pPr>
              <w:pStyle w:val="Figurespace"/>
            </w:pPr>
          </w:p>
        </w:tc>
      </w:tr>
      <w:tr w:rsidR="00C03302" w:rsidRPr="000863A5" w14:paraId="4C6A41AE" w14:textId="77777777" w:rsidTr="00A7053B">
        <w:tc>
          <w:tcPr>
            <w:tcW w:w="8771" w:type="dxa"/>
            <w:tcBorders>
              <w:top w:val="single" w:sz="6" w:space="0" w:color="78A22F"/>
              <w:left w:val="nil"/>
              <w:bottom w:val="nil"/>
              <w:right w:val="nil"/>
            </w:tcBorders>
          </w:tcPr>
          <w:p w14:paraId="4C6A41AD" w14:textId="23965E8C" w:rsidR="00C03302" w:rsidRPr="00626D32" w:rsidRDefault="00C03302" w:rsidP="00A7053B">
            <w:pPr>
              <w:pStyle w:val="BoxSpaceBelow"/>
            </w:pPr>
          </w:p>
        </w:tc>
      </w:tr>
    </w:tbl>
    <w:p w14:paraId="4C6A41AF" w14:textId="77777777" w:rsidR="00C03302" w:rsidRDefault="00767DA9" w:rsidP="00C03302">
      <w:pPr>
        <w:pStyle w:val="BodyText"/>
      </w:pPr>
      <w:r>
        <w:t xml:space="preserve">This </w:t>
      </w:r>
      <w:r w:rsidR="006C5D09">
        <w:t>framework</w:t>
      </w:r>
      <w:r>
        <w:t xml:space="preserve"> implies that uptake rate</w:t>
      </w:r>
      <w:r w:rsidR="00445E63">
        <w:t>s</w:t>
      </w:r>
      <w:r>
        <w:t xml:space="preserve"> for unemployment benefits</w:t>
      </w:r>
      <w:r w:rsidR="00445E63">
        <w:t xml:space="preserve"> vary according to age, gender and visa category. Th</w:t>
      </w:r>
      <w:r w:rsidR="00A332D2">
        <w:t>e</w:t>
      </w:r>
      <w:r w:rsidR="00445E63">
        <w:t xml:space="preserve"> treatment of uptake rates for unemployment benefits is consistent with the treatment in </w:t>
      </w:r>
      <w:r>
        <w:t xml:space="preserve">other </w:t>
      </w:r>
      <w:r w:rsidR="005C7B65">
        <w:t>cohort</w:t>
      </w:r>
      <w:r w:rsidR="004C0503">
        <w:noBreakHyphen/>
      </w:r>
      <w:r>
        <w:t>based projection</w:t>
      </w:r>
      <w:r w:rsidR="004C0503">
        <w:t>s</w:t>
      </w:r>
      <w:r>
        <w:t xml:space="preserve"> (</w:t>
      </w:r>
      <w:r w:rsidR="00264249">
        <w:t>such as</w:t>
      </w:r>
      <w:r w:rsidR="002E03BD">
        <w:t xml:space="preserve"> those used </w:t>
      </w:r>
      <w:r>
        <w:t xml:space="preserve">in the </w:t>
      </w:r>
      <w:r w:rsidR="005C7B65">
        <w:t>Intergenerational Report</w:t>
      </w:r>
      <w:r>
        <w:t xml:space="preserve"> and </w:t>
      </w:r>
      <w:r w:rsidR="005C7B65">
        <w:t xml:space="preserve">in </w:t>
      </w:r>
      <w:r>
        <w:t xml:space="preserve">other </w:t>
      </w:r>
      <w:r w:rsidR="005C7B65">
        <w:t>Commission</w:t>
      </w:r>
      <w:r>
        <w:t xml:space="preserve"> modelling).</w:t>
      </w:r>
      <w:r w:rsidR="002D2524" w:rsidRPr="002D2524">
        <w:t xml:space="preserve"> </w:t>
      </w:r>
      <w:r w:rsidR="002D2524">
        <w:t>In contrast, uptake rates for the other government</w:t>
      </w:r>
      <w:r w:rsidR="002D2524">
        <w:noBreakHyphen/>
        <w:t>funded services and benefits in the model are assumed to be constant across age and gender.</w:t>
      </w:r>
    </w:p>
    <w:p w14:paraId="4C6A41B0" w14:textId="77777777" w:rsidR="00C03302" w:rsidRDefault="00C03302" w:rsidP="00C03302">
      <w:pPr>
        <w:pStyle w:val="BodyText"/>
      </w:pPr>
      <w:r>
        <w:t xml:space="preserve">A consequence of </w:t>
      </w:r>
      <w:r w:rsidR="003E7757">
        <w:t xml:space="preserve">this </w:t>
      </w:r>
      <w:r>
        <w:t xml:space="preserve">approach is that the </w:t>
      </w:r>
      <w:r w:rsidR="003E7757">
        <w:t xml:space="preserve">definition of </w:t>
      </w:r>
      <w:r>
        <w:t xml:space="preserve">uptake of unemployment benefits for </w:t>
      </w:r>
      <w:r w:rsidR="002E03BD">
        <w:t>im</w:t>
      </w:r>
      <w:r>
        <w:t xml:space="preserve">migrants is different </w:t>
      </w:r>
      <w:r w:rsidR="004C0503">
        <w:t xml:space="preserve">from that applied in the case of </w:t>
      </w:r>
      <w:r>
        <w:t>other forms of expenditure (which apply to the population</w:t>
      </w:r>
      <w:r w:rsidR="00A332D2">
        <w:t>,</w:t>
      </w:r>
      <w:r>
        <w:t xml:space="preserve"> rather than the labour force). However, eligibil</w:t>
      </w:r>
      <w:r w:rsidR="00D97929">
        <w:t>ity parameters, waiting periods</w:t>
      </w:r>
      <w:r>
        <w:t xml:space="preserve"> and the number of years for </w:t>
      </w:r>
      <w:r w:rsidR="002E03BD">
        <w:t>im</w:t>
      </w:r>
      <w:r>
        <w:t>migrants</w:t>
      </w:r>
      <w:r w:rsidR="003E7757">
        <w:t>’</w:t>
      </w:r>
      <w:r>
        <w:t xml:space="preserve"> converge</w:t>
      </w:r>
      <w:r w:rsidR="003E7757">
        <w:t>nce</w:t>
      </w:r>
      <w:r>
        <w:t xml:space="preserve"> to the Australian average</w:t>
      </w:r>
      <w:r w:rsidR="003E7757">
        <w:t xml:space="preserve"> can still be altered</w:t>
      </w:r>
      <w:r>
        <w:t xml:space="preserve">. To calculate </w:t>
      </w:r>
      <w:r w:rsidR="004C0503">
        <w:t xml:space="preserve">total </w:t>
      </w:r>
      <w:r>
        <w:t xml:space="preserve">unemployment expenditures, </w:t>
      </w:r>
      <w:r w:rsidR="002D2524">
        <w:t>estimates of unemployed persons</w:t>
      </w:r>
      <w:r>
        <w:t xml:space="preserve"> are multiplied by average unemployment benefits.</w:t>
      </w:r>
    </w:p>
    <w:p w14:paraId="4C6A41B1" w14:textId="149E24C4" w:rsidR="00767DA9" w:rsidRDefault="00C03302" w:rsidP="00767DA9">
      <w:pPr>
        <w:pStyle w:val="BodyText"/>
      </w:pPr>
      <w:r>
        <w:t>Aggregate income tax revenue projections are derived by multiplying visa</w:t>
      </w:r>
      <w:r w:rsidR="00A332D2">
        <w:noBreakHyphen/>
      </w:r>
      <w:r>
        <w:t>, age</w:t>
      </w:r>
      <w:r w:rsidR="00D92B39">
        <w:noBreakHyphen/>
      </w:r>
      <w:r>
        <w:t xml:space="preserve"> and gender</w:t>
      </w:r>
      <w:r w:rsidR="00D92B39">
        <w:noBreakHyphen/>
      </w:r>
      <w:r>
        <w:t xml:space="preserve">specific employment estimates </w:t>
      </w:r>
      <w:r w:rsidR="002D2524">
        <w:t>by</w:t>
      </w:r>
      <w:r>
        <w:t xml:space="preserve"> median income tax revenues </w:t>
      </w:r>
      <w:r w:rsidR="004C0503">
        <w:t xml:space="preserve">obtained from </w:t>
      </w:r>
      <w:proofErr w:type="spellStart"/>
      <w:r>
        <w:t>PITMID</w:t>
      </w:r>
      <w:proofErr w:type="spellEnd"/>
      <w:r>
        <w:t xml:space="preserve"> </w:t>
      </w:r>
      <w:r w:rsidR="00767DA9">
        <w:t xml:space="preserve">and the </w:t>
      </w:r>
      <w:proofErr w:type="spellStart"/>
      <w:r w:rsidR="001A1F09">
        <w:t>ATO’s</w:t>
      </w:r>
      <w:proofErr w:type="spellEnd"/>
      <w:r w:rsidR="00767DA9">
        <w:t xml:space="preserve"> one per</w:t>
      </w:r>
      <w:r w:rsidR="00D92B39">
        <w:t> </w:t>
      </w:r>
      <w:r w:rsidR="00767DA9">
        <w:t xml:space="preserve">cent sample </w:t>
      </w:r>
      <w:r>
        <w:t>(adjusted to 201</w:t>
      </w:r>
      <w:r w:rsidR="00767DA9">
        <w:t>4</w:t>
      </w:r>
      <w:r>
        <w:t xml:space="preserve"> dollars). M</w:t>
      </w:r>
      <w:r w:rsidRPr="002E0565">
        <w:t xml:space="preserve">edian income tax revenues are projected by holding their </w:t>
      </w:r>
      <w:r w:rsidR="004C0503">
        <w:t>ratio to</w:t>
      </w:r>
      <w:r w:rsidRPr="002E0565">
        <w:t xml:space="preserve"> </w:t>
      </w:r>
      <w:r w:rsidR="00A332D2">
        <w:t xml:space="preserve">projected </w:t>
      </w:r>
      <w:r w:rsidR="00D92B39">
        <w:t>gross domestic product (</w:t>
      </w:r>
      <w:r w:rsidRPr="002E0565">
        <w:t>GDP</w:t>
      </w:r>
      <w:r w:rsidR="00D92B39">
        <w:t>)</w:t>
      </w:r>
      <w:r w:rsidRPr="002E0565">
        <w:t xml:space="preserve"> constant.</w:t>
      </w:r>
      <w:r w:rsidR="004C0503">
        <w:rPr>
          <w:rStyle w:val="FootnoteReference"/>
        </w:rPr>
        <w:footnoteReference w:id="8"/>
      </w:r>
      <w:r>
        <w:t xml:space="preserve"> </w:t>
      </w:r>
      <w:r w:rsidR="00767DA9">
        <w:t>As earni</w:t>
      </w:r>
      <w:r w:rsidR="002E03BD">
        <w:t>ngs are not explicitly modelled</w:t>
      </w:r>
      <w:r w:rsidR="00767DA9">
        <w:t xml:space="preserve"> in this module, a limitation of the model </w:t>
      </w:r>
      <w:r w:rsidR="00767DA9">
        <w:lastRenderedPageBreak/>
        <w:t xml:space="preserve">is that </w:t>
      </w:r>
      <w:r w:rsidR="00264249">
        <w:t xml:space="preserve">median income tax revenue for </w:t>
      </w:r>
      <w:r>
        <w:t xml:space="preserve">temporary </w:t>
      </w:r>
      <w:r w:rsidR="002E03BD">
        <w:t>im</w:t>
      </w:r>
      <w:r>
        <w:t>migrants, N</w:t>
      </w:r>
      <w:r w:rsidR="00D92B39">
        <w:t xml:space="preserve">ew </w:t>
      </w:r>
      <w:r>
        <w:t>Z</w:t>
      </w:r>
      <w:r w:rsidR="00D92B39">
        <w:t>ealand</w:t>
      </w:r>
      <w:r>
        <w:t xml:space="preserve"> </w:t>
      </w:r>
      <w:r w:rsidR="002E03BD">
        <w:t>im</w:t>
      </w:r>
      <w:r>
        <w:t xml:space="preserve">migrants, </w:t>
      </w:r>
      <w:r w:rsidRPr="002E0565">
        <w:t xml:space="preserve">and </w:t>
      </w:r>
      <w:r w:rsidR="002E03BD">
        <w:t>im</w:t>
      </w:r>
      <w:r>
        <w:t>migrant</w:t>
      </w:r>
      <w:r w:rsidR="002E03BD">
        <w:t>s’</w:t>
      </w:r>
      <w:r>
        <w:t xml:space="preserve"> descendants</w:t>
      </w:r>
      <w:r w:rsidRPr="002E0565">
        <w:t xml:space="preserve"> </w:t>
      </w:r>
      <w:r>
        <w:t xml:space="preserve">is </w:t>
      </w:r>
      <w:r w:rsidR="003E7757">
        <w:t xml:space="preserve">assumed to be </w:t>
      </w:r>
      <w:r>
        <w:t xml:space="preserve">the same as </w:t>
      </w:r>
      <w:r w:rsidR="00767DA9">
        <w:t xml:space="preserve">that for </w:t>
      </w:r>
      <w:r>
        <w:t>the</w:t>
      </w:r>
      <w:r w:rsidR="00767DA9">
        <w:t xml:space="preserve"> average Australian</w:t>
      </w:r>
      <w:r>
        <w:t>.</w:t>
      </w:r>
      <w:r w:rsidR="00767DA9">
        <w:t xml:space="preserve"> Other revenue items are applied on a per </w:t>
      </w:r>
      <w:r w:rsidR="00A15A2E">
        <w:t>person</w:t>
      </w:r>
      <w:r w:rsidR="003577B5">
        <w:t xml:space="preserve"> basis, and are assumed to grow at the </w:t>
      </w:r>
      <w:r w:rsidR="004C0503">
        <w:t xml:space="preserve">same </w:t>
      </w:r>
      <w:r w:rsidR="003577B5">
        <w:t xml:space="preserve">rate </w:t>
      </w:r>
      <w:r w:rsidR="004C0503">
        <w:t>as</w:t>
      </w:r>
      <w:r w:rsidR="003577B5">
        <w:t xml:space="preserve"> GDP.</w:t>
      </w:r>
    </w:p>
    <w:p w14:paraId="4C6A41B2" w14:textId="77777777" w:rsidR="00C03302" w:rsidRDefault="00C03302" w:rsidP="00C03302">
      <w:pPr>
        <w:pStyle w:val="BodyText"/>
      </w:pPr>
      <w:r>
        <w:t xml:space="preserve">Note that growth in </w:t>
      </w:r>
      <w:r w:rsidR="00413EC0">
        <w:t xml:space="preserve">labour </w:t>
      </w:r>
      <w:r>
        <w:t xml:space="preserve">income tax revenue </w:t>
      </w:r>
      <w:r w:rsidR="00AE41B4">
        <w:t xml:space="preserve">arising </w:t>
      </w:r>
      <w:r>
        <w:t xml:space="preserve">from </w:t>
      </w:r>
      <w:r w:rsidR="00160184">
        <w:t xml:space="preserve">growth in </w:t>
      </w:r>
      <w:r w:rsidR="002E03BD">
        <w:t>im</w:t>
      </w:r>
      <w:r>
        <w:t>migrants</w:t>
      </w:r>
      <w:r w:rsidR="00160184">
        <w:t>’</w:t>
      </w:r>
      <w:r>
        <w:t xml:space="preserve"> </w:t>
      </w:r>
      <w:r w:rsidR="00413EC0">
        <w:t xml:space="preserve">incomes </w:t>
      </w:r>
      <w:r>
        <w:t xml:space="preserve">is not modelled explicitly, but </w:t>
      </w:r>
      <w:r w:rsidR="00413EC0">
        <w:t>is</w:t>
      </w:r>
      <w:r>
        <w:t xml:space="preserve"> captured </w:t>
      </w:r>
      <w:r w:rsidR="002928EB">
        <w:t xml:space="preserve">as </w:t>
      </w:r>
      <w:r w:rsidR="002E03BD">
        <w:t>im</w:t>
      </w:r>
      <w:r>
        <w:t>migrants</w:t>
      </w:r>
      <w:r w:rsidR="00160184">
        <w:t>’</w:t>
      </w:r>
      <w:r>
        <w:t xml:space="preserve"> </w:t>
      </w:r>
      <w:r w:rsidR="002928EB">
        <w:t xml:space="preserve">age, </w:t>
      </w:r>
      <w:r w:rsidR="00817A7D">
        <w:t>with immigrants</w:t>
      </w:r>
      <w:r w:rsidR="002928EB">
        <w:t xml:space="preserve"> assumed to experience rising (and subsequently decreasing) </w:t>
      </w:r>
      <w:r w:rsidR="00160184">
        <w:t>income</w:t>
      </w:r>
      <w:r w:rsidR="002928EB">
        <w:t>s</w:t>
      </w:r>
      <w:r w:rsidR="00160184">
        <w:t xml:space="preserve"> </w:t>
      </w:r>
      <w:r w:rsidR="002928EB">
        <w:t xml:space="preserve">as they shift </w:t>
      </w:r>
      <w:r>
        <w:t>into (</w:t>
      </w:r>
      <w:r w:rsidR="00413EC0">
        <w:t xml:space="preserve">and </w:t>
      </w:r>
      <w:r>
        <w:t>subsequently out of) the productive working age of their lives.</w:t>
      </w:r>
      <w:r w:rsidR="00160184" w:rsidRPr="00160184">
        <w:t xml:space="preserve"> </w:t>
      </w:r>
    </w:p>
    <w:p w14:paraId="4C6A41B3" w14:textId="77777777" w:rsidR="003577B5" w:rsidRDefault="005D0F8D" w:rsidP="00C03302">
      <w:pPr>
        <w:pStyle w:val="BodyText"/>
      </w:pPr>
      <w:r>
        <w:t xml:space="preserve">Reflecting the approach taken in the expenditure module, </w:t>
      </w:r>
      <w:r w:rsidR="00815785">
        <w:t>total revenues are then expressed as a ratio to the population of N</w:t>
      </w:r>
      <w:r w:rsidR="00244B2E">
        <w:t>OM in the representative intake</w:t>
      </w:r>
      <w:r w:rsidR="00815785">
        <w:t xml:space="preserve"> and these revenues </w:t>
      </w:r>
      <w:r w:rsidR="00A60593">
        <w:t xml:space="preserve">are </w:t>
      </w:r>
      <w:r w:rsidR="00815785">
        <w:t xml:space="preserve">applied to </w:t>
      </w:r>
      <w:r w:rsidR="002D2524">
        <w:t xml:space="preserve">all </w:t>
      </w:r>
      <w:r w:rsidR="00815785">
        <w:t>subsequent intake</w:t>
      </w:r>
      <w:r w:rsidR="00506A8B">
        <w:t>s</w:t>
      </w:r>
      <w:r w:rsidR="00815785">
        <w:t xml:space="preserve"> of NOM over the projection period (the cumulative intake). An equivalent process is undertaken for </w:t>
      </w:r>
      <w:r w:rsidR="002E03BD">
        <w:t>im</w:t>
      </w:r>
      <w:r w:rsidR="00815785">
        <w:t xml:space="preserve">migrants’ descendants, who are assumed to have the same labour market characteristics as </w:t>
      </w:r>
      <w:r w:rsidR="008707F3">
        <w:t xml:space="preserve">the </w:t>
      </w:r>
      <w:r w:rsidR="00506A8B">
        <w:t xml:space="preserve">average </w:t>
      </w:r>
      <w:r w:rsidR="00815785">
        <w:t>Australian.</w:t>
      </w:r>
      <w:r w:rsidR="005C7B65">
        <w:t xml:space="preserve"> </w:t>
      </w:r>
    </w:p>
    <w:p w14:paraId="4C6A41B4" w14:textId="77777777" w:rsidR="00F841F4" w:rsidRDefault="00F841F4" w:rsidP="00F012C2">
      <w:pPr>
        <w:pStyle w:val="Heading4"/>
      </w:pPr>
      <w:r>
        <w:t>Module</w:t>
      </w:r>
      <w:r w:rsidR="00A60593">
        <w:t> </w:t>
      </w:r>
      <w:r>
        <w:t xml:space="preserve">4: Net </w:t>
      </w:r>
      <w:r w:rsidR="00B27E2A">
        <w:t>present values</w:t>
      </w:r>
    </w:p>
    <w:p w14:paraId="4C6A41B5" w14:textId="77777777" w:rsidR="00F841F4" w:rsidRDefault="003577B5" w:rsidP="00A469DC">
      <w:pPr>
        <w:pStyle w:val="BodyText"/>
      </w:pPr>
      <w:r>
        <w:t>Module</w:t>
      </w:r>
      <w:r w:rsidR="00A60593">
        <w:t> </w:t>
      </w:r>
      <w:r>
        <w:t xml:space="preserve">4 </w:t>
      </w:r>
      <w:r w:rsidR="006F0F32">
        <w:t xml:space="preserve">calculates the </w:t>
      </w:r>
      <w:proofErr w:type="spellStart"/>
      <w:r w:rsidR="006F0F32">
        <w:t>NPV</w:t>
      </w:r>
      <w:proofErr w:type="spellEnd"/>
      <w:r w:rsidR="006F0F32">
        <w:t xml:space="preserve"> of </w:t>
      </w:r>
      <w:r w:rsidR="002E03BD">
        <w:t>im</w:t>
      </w:r>
      <w:r w:rsidR="006F0F32">
        <w:t xml:space="preserve">migrants’ net fiscal </w:t>
      </w:r>
      <w:r w:rsidR="00594E0A">
        <w:t>impact</w:t>
      </w:r>
      <w:r w:rsidR="00F233D6">
        <w:t>s</w:t>
      </w:r>
      <w:r w:rsidR="00947B60">
        <w:t>,</w:t>
      </w:r>
      <w:r w:rsidR="00506A8B">
        <w:t xml:space="preserve"> by age on arrival</w:t>
      </w:r>
      <w:r w:rsidR="00947B60">
        <w:t>, for the representative intake only</w:t>
      </w:r>
      <w:r w:rsidR="00594E0A">
        <w:t xml:space="preserve">. This </w:t>
      </w:r>
      <w:proofErr w:type="spellStart"/>
      <w:r w:rsidR="00594E0A">
        <w:t>NPV</w:t>
      </w:r>
      <w:proofErr w:type="spellEnd"/>
      <w:r w:rsidR="00594E0A">
        <w:t xml:space="preserve"> </w:t>
      </w:r>
      <w:r w:rsidR="006F0F32">
        <w:t xml:space="preserve">is the </w:t>
      </w:r>
      <w:r w:rsidR="00506A8B">
        <w:t xml:space="preserve">discounted sum </w:t>
      </w:r>
      <w:r w:rsidR="00F8702F">
        <w:t xml:space="preserve">of </w:t>
      </w:r>
      <w:r w:rsidR="00506A8B">
        <w:t>annual</w:t>
      </w:r>
      <w:r w:rsidR="006F0F32">
        <w:t xml:space="preserve"> revenues less costs </w:t>
      </w:r>
      <w:r w:rsidR="00506A8B">
        <w:t xml:space="preserve">for an average immigrant </w:t>
      </w:r>
      <w:r w:rsidR="006F0F32">
        <w:t>(as modelled in modules</w:t>
      </w:r>
      <w:r w:rsidR="00A60593">
        <w:t> </w:t>
      </w:r>
      <w:r w:rsidR="006F0F32">
        <w:t>2 and 3)</w:t>
      </w:r>
      <w:r w:rsidR="009C03E1">
        <w:t xml:space="preserve"> (figure </w:t>
      </w:r>
      <w:proofErr w:type="spellStart"/>
      <w:r w:rsidR="009C03E1">
        <w:t>D.5</w:t>
      </w:r>
      <w:proofErr w:type="spellEnd"/>
      <w:r w:rsidR="009C03E1">
        <w:t>)</w:t>
      </w:r>
      <w:r w:rsidR="006F0F32">
        <w:t>.</w:t>
      </w:r>
      <w:r w:rsidR="00506A8B">
        <w:rPr>
          <w:rStyle w:val="FootnoteReference"/>
        </w:rPr>
        <w:footnoteReference w:id="9"/>
      </w:r>
      <w:r w:rsidR="00506A8B">
        <w:t xml:space="preserve"> </w:t>
      </w:r>
      <w:r w:rsidR="00413EC0">
        <w:t xml:space="preserve">Values are discounted with a </w:t>
      </w:r>
      <w:r w:rsidR="006F0F32">
        <w:t xml:space="preserve">real social discount rate </w:t>
      </w:r>
      <w:r w:rsidR="000E72F2">
        <w:t xml:space="preserve">of </w:t>
      </w:r>
      <w:r w:rsidR="00634AD4">
        <w:t>3 </w:t>
      </w:r>
      <w:r w:rsidR="000E72F2">
        <w:t>per</w:t>
      </w:r>
      <w:r w:rsidR="00634AD4">
        <w:t> </w:t>
      </w:r>
      <w:r w:rsidR="000E72F2">
        <w:t>cent</w:t>
      </w:r>
      <w:r w:rsidR="00413EC0">
        <w:t>, consistent with</w:t>
      </w:r>
      <w:r w:rsidR="006F0F32">
        <w:t xml:space="preserve"> the PE modelling. </w:t>
      </w:r>
    </w:p>
    <w:p w14:paraId="4C6A41B6" w14:textId="50A10CD7" w:rsidR="00A7053B" w:rsidRDefault="00A7053B" w:rsidP="00487D8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A7053B" w14:paraId="4C6A41B9" w14:textId="77777777" w:rsidTr="00A7053B">
        <w:trPr>
          <w:tblHeader/>
        </w:trPr>
        <w:tc>
          <w:tcPr>
            <w:tcW w:w="8771" w:type="dxa"/>
            <w:tcBorders>
              <w:top w:val="single" w:sz="6" w:space="0" w:color="78A22F"/>
              <w:left w:val="nil"/>
              <w:bottom w:val="nil"/>
              <w:right w:val="nil"/>
            </w:tcBorders>
            <w:shd w:val="clear" w:color="auto" w:fill="auto"/>
          </w:tcPr>
          <w:p w14:paraId="4C6A41B7" w14:textId="4DA0C8FD" w:rsidR="00A7053B" w:rsidRDefault="00A7053B" w:rsidP="00A7053B">
            <w:pPr>
              <w:pStyle w:val="FigureTitle"/>
            </w:pPr>
            <w:r w:rsidRPr="00784A05">
              <w:rPr>
                <w:b w:val="0"/>
              </w:rPr>
              <w:t xml:space="preserve">Figure </w:t>
            </w:r>
            <w:proofErr w:type="spellStart"/>
            <w:r w:rsidR="00AD4F27">
              <w:rPr>
                <w:b w:val="0"/>
              </w:rPr>
              <w:t>D</w:t>
            </w:r>
            <w:r w:rsidR="00D10860">
              <w:rPr>
                <w:b w:val="0"/>
              </w:rPr>
              <w:t>.</w:t>
            </w:r>
            <w:r w:rsidR="00D10860">
              <w:rPr>
                <w:b w:val="0"/>
                <w:noProof/>
              </w:rPr>
              <w:t>5</w:t>
            </w:r>
            <w:proofErr w:type="spellEnd"/>
            <w:r>
              <w:tab/>
            </w:r>
            <w:r w:rsidR="000E72F2">
              <w:t>Net present values</w:t>
            </w:r>
          </w:p>
          <w:p w14:paraId="4C6A41B8" w14:textId="77777777" w:rsidR="00A7053B" w:rsidRPr="00176D3F" w:rsidRDefault="00A7053B" w:rsidP="00A7053B">
            <w:pPr>
              <w:pStyle w:val="Subtitle"/>
            </w:pPr>
            <w:r>
              <w:t xml:space="preserve">Calculation of the </w:t>
            </w:r>
            <w:proofErr w:type="spellStart"/>
            <w:r>
              <w:t>NPV</w:t>
            </w:r>
            <w:proofErr w:type="spellEnd"/>
            <w:r>
              <w:t xml:space="preserve"> of </w:t>
            </w:r>
            <w:r w:rsidR="000E72F2">
              <w:t>im</w:t>
            </w:r>
            <w:r>
              <w:t>migrants’ net fiscal impacts by age on arrival.</w:t>
            </w:r>
          </w:p>
        </w:tc>
      </w:tr>
      <w:tr w:rsidR="00A7053B" w14:paraId="4C6A41BD" w14:textId="77777777" w:rsidTr="00A7053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A7053B" w14:paraId="4C6A41BB" w14:textId="77777777" w:rsidTr="00A7053B">
              <w:trPr>
                <w:tblHeader/>
                <w:jc w:val="center"/>
              </w:trPr>
              <w:tc>
                <w:tcPr>
                  <w:tcW w:w="5000" w:type="pct"/>
                  <w:tcBorders>
                    <w:top w:val="nil"/>
                    <w:bottom w:val="nil"/>
                  </w:tcBorders>
                </w:tcPr>
                <w:p w14:paraId="4C6A41BA" w14:textId="515C5DD1" w:rsidR="00A7053B" w:rsidRDefault="00F05808" w:rsidP="00A7053B">
                  <w:pPr>
                    <w:pStyle w:val="Figure"/>
                    <w:spacing w:before="60" w:after="60"/>
                  </w:pPr>
                  <w:r>
                    <w:rPr>
                      <w:noProof/>
                    </w:rPr>
                    <w:drawing>
                      <wp:inline distT="0" distB="0" distL="0" distR="0" wp14:anchorId="7B625804" wp14:editId="2CB69405">
                        <wp:extent cx="5407025" cy="1621790"/>
                        <wp:effectExtent l="0" t="0" r="3175" b="0"/>
                        <wp:docPr id="6" name="Picture 6" descr="This figure depicts the conceptual framework for the model’s net present value module, which is derived as the net of annual per person revenues and expenditures attributable to immigrants by visa type and age on arrival, summed and discounted across immigrants’ lifeti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7025" cy="1621790"/>
                                </a:xfrm>
                                <a:prstGeom prst="rect">
                                  <a:avLst/>
                                </a:prstGeom>
                                <a:noFill/>
                                <a:ln>
                                  <a:noFill/>
                                </a:ln>
                              </pic:spPr>
                            </pic:pic>
                          </a:graphicData>
                        </a:graphic>
                      </wp:inline>
                    </w:drawing>
                  </w:r>
                </w:p>
              </w:tc>
            </w:tr>
          </w:tbl>
          <w:p w14:paraId="4C6A41BC" w14:textId="77777777" w:rsidR="00A7053B" w:rsidRDefault="00A7053B" w:rsidP="00A7053B">
            <w:pPr>
              <w:pStyle w:val="Figure"/>
            </w:pPr>
          </w:p>
        </w:tc>
      </w:tr>
      <w:tr w:rsidR="00A7053B" w14:paraId="4C6A41C1" w14:textId="77777777" w:rsidTr="00A7053B">
        <w:tc>
          <w:tcPr>
            <w:tcW w:w="8771" w:type="dxa"/>
            <w:tcBorders>
              <w:top w:val="nil"/>
              <w:left w:val="nil"/>
              <w:bottom w:val="single" w:sz="6" w:space="0" w:color="78A22F"/>
              <w:right w:val="nil"/>
            </w:tcBorders>
            <w:shd w:val="clear" w:color="auto" w:fill="auto"/>
          </w:tcPr>
          <w:p w14:paraId="4C6A41C0" w14:textId="77777777" w:rsidR="00A7053B" w:rsidRDefault="00A7053B" w:rsidP="00A7053B">
            <w:pPr>
              <w:pStyle w:val="Figurespace"/>
            </w:pPr>
          </w:p>
        </w:tc>
      </w:tr>
      <w:tr w:rsidR="00A7053B" w:rsidRPr="000863A5" w14:paraId="4C6A41C3" w14:textId="77777777" w:rsidTr="00A7053B">
        <w:tc>
          <w:tcPr>
            <w:tcW w:w="8771" w:type="dxa"/>
            <w:tcBorders>
              <w:top w:val="single" w:sz="6" w:space="0" w:color="78A22F"/>
              <w:left w:val="nil"/>
              <w:bottom w:val="nil"/>
              <w:right w:val="nil"/>
            </w:tcBorders>
          </w:tcPr>
          <w:p w14:paraId="4C6A41C2" w14:textId="199D1906" w:rsidR="00A7053B" w:rsidRPr="00626D32" w:rsidRDefault="00A7053B" w:rsidP="00A7053B">
            <w:pPr>
              <w:pStyle w:val="BoxSpaceBelow"/>
            </w:pPr>
          </w:p>
        </w:tc>
      </w:tr>
    </w:tbl>
    <w:p w14:paraId="4C6A41C4" w14:textId="1E98331A" w:rsidR="006F0F32" w:rsidRDefault="001F1EC2" w:rsidP="00A469DC">
      <w:pPr>
        <w:pStyle w:val="BodyText"/>
      </w:pPr>
      <w:r>
        <w:t xml:space="preserve">An </w:t>
      </w:r>
      <w:proofErr w:type="spellStart"/>
      <w:r w:rsidR="00F8702F">
        <w:t>NPV</w:t>
      </w:r>
      <w:proofErr w:type="spellEnd"/>
      <w:r w:rsidR="00F8702F">
        <w:t xml:space="preserve"> framework is useful </w:t>
      </w:r>
      <w:r w:rsidR="00817A7D">
        <w:t xml:space="preserve">for comparing </w:t>
      </w:r>
      <w:r w:rsidR="00F8702F">
        <w:t xml:space="preserve">the </w:t>
      </w:r>
      <w:r>
        <w:t xml:space="preserve">fiscal impacts of different types of </w:t>
      </w:r>
      <w:r w:rsidR="00F8702F" w:rsidRPr="00460B50">
        <w:rPr>
          <w:i/>
        </w:rPr>
        <w:t>permanent</w:t>
      </w:r>
      <w:r w:rsidR="00F8702F">
        <w:t xml:space="preserve"> </w:t>
      </w:r>
      <w:r w:rsidR="00460B50">
        <w:t>im</w:t>
      </w:r>
      <w:r w:rsidR="00F8702F">
        <w:t xml:space="preserve">migrants, who are likely to spend the rest of their lives in Australia. </w:t>
      </w:r>
      <w:r>
        <w:t xml:space="preserve">An </w:t>
      </w:r>
      <w:proofErr w:type="spellStart"/>
      <w:r>
        <w:t>NPV</w:t>
      </w:r>
      <w:proofErr w:type="spellEnd"/>
      <w:r>
        <w:t xml:space="preserve"> framework is less useful for comparing the fiscal impacts of t</w:t>
      </w:r>
      <w:r w:rsidR="00A7053B">
        <w:t xml:space="preserve">emporary </w:t>
      </w:r>
      <w:r w:rsidR="000E72F2">
        <w:t>im</w:t>
      </w:r>
      <w:r w:rsidR="00A7053B">
        <w:t>migrants</w:t>
      </w:r>
      <w:r w:rsidR="00D42F07">
        <w:t xml:space="preserve">, since </w:t>
      </w:r>
      <w:r w:rsidR="00D42F07">
        <w:lastRenderedPageBreak/>
        <w:t>they only spend a short time in Australia</w:t>
      </w:r>
      <w:r w:rsidR="00A7053B">
        <w:t xml:space="preserve">. </w:t>
      </w:r>
      <w:r w:rsidR="00D42F07">
        <w:t>In addition, on</w:t>
      </w:r>
      <w:r w:rsidR="00A7053B">
        <w:t xml:space="preserve"> average</w:t>
      </w:r>
      <w:r w:rsidR="00D42F07">
        <w:t>,</w:t>
      </w:r>
      <w:r w:rsidR="00A7053B">
        <w:t xml:space="preserve"> temporary </w:t>
      </w:r>
      <w:r w:rsidR="000E72F2">
        <w:t>im</w:t>
      </w:r>
      <w:r w:rsidR="00A7053B">
        <w:t>migrant</w:t>
      </w:r>
      <w:r>
        <w:t>s</w:t>
      </w:r>
      <w:r w:rsidR="00A7053B">
        <w:t xml:space="preserve"> generate a positive</w:t>
      </w:r>
      <w:r w:rsidR="00817A7D">
        <w:t xml:space="preserve"> net</w:t>
      </w:r>
      <w:r w:rsidR="00A7053B">
        <w:t xml:space="preserve"> fiscal impact</w:t>
      </w:r>
      <w:r w:rsidR="00A7053B" w:rsidRPr="00A7053B">
        <w:t xml:space="preserve">, reflecting that they </w:t>
      </w:r>
      <w:r w:rsidR="00817A7D">
        <w:t xml:space="preserve">typically </w:t>
      </w:r>
      <w:r w:rsidR="00A7053B" w:rsidRPr="00A7053B">
        <w:t xml:space="preserve">do not </w:t>
      </w:r>
      <w:r w:rsidR="000E72F2">
        <w:t xml:space="preserve">directly </w:t>
      </w:r>
      <w:r w:rsidR="00A7053B" w:rsidRPr="00A7053B">
        <w:t xml:space="preserve">draw </w:t>
      </w:r>
      <w:r w:rsidR="00817A7D">
        <w:t>on most</w:t>
      </w:r>
      <w:r w:rsidR="00A7053B" w:rsidRPr="00A7053B">
        <w:t xml:space="preserve"> government</w:t>
      </w:r>
      <w:r w:rsidR="000E72F2">
        <w:noBreakHyphen/>
        <w:t>funded</w:t>
      </w:r>
      <w:r w:rsidR="00A7053B" w:rsidRPr="00A7053B">
        <w:t xml:space="preserve"> services and benefits</w:t>
      </w:r>
      <w:r w:rsidR="00A7053B">
        <w:t>. As such</w:t>
      </w:r>
      <w:r w:rsidR="00A60593">
        <w:t>,</w:t>
      </w:r>
      <w:r w:rsidR="00A7053B">
        <w:t xml:space="preserve"> </w:t>
      </w:r>
      <w:r w:rsidR="00594E0A">
        <w:t xml:space="preserve">temporary immigrants’ </w:t>
      </w:r>
      <w:proofErr w:type="spellStart"/>
      <w:r w:rsidR="00A7053B">
        <w:t>NPV</w:t>
      </w:r>
      <w:proofErr w:type="spellEnd"/>
      <w:r w:rsidR="00A7053B">
        <w:t xml:space="preserve"> results are not presented in </w:t>
      </w:r>
      <w:r w:rsidR="000E72F2">
        <w:t>section</w:t>
      </w:r>
      <w:r w:rsidR="00C678F6">
        <w:t> </w:t>
      </w:r>
      <w:proofErr w:type="spellStart"/>
      <w:r w:rsidR="00A50858">
        <w:t>D</w:t>
      </w:r>
      <w:r w:rsidR="00A7053B">
        <w:t>.5</w:t>
      </w:r>
      <w:proofErr w:type="spellEnd"/>
      <w:r w:rsidR="00A7053B">
        <w:t>.</w:t>
      </w:r>
    </w:p>
    <w:p w14:paraId="4C6A41C5" w14:textId="77777777" w:rsidR="00F841F4" w:rsidRDefault="00F841F4" w:rsidP="00F841F4">
      <w:pPr>
        <w:pStyle w:val="Heading3"/>
      </w:pPr>
      <w:r>
        <w:t>Assumptions and limitations</w:t>
      </w:r>
    </w:p>
    <w:p w14:paraId="4C6A41C6" w14:textId="77777777" w:rsidR="00F841F4" w:rsidRDefault="00122005" w:rsidP="00F841F4">
      <w:pPr>
        <w:pStyle w:val="BodyText"/>
      </w:pPr>
      <w:r>
        <w:t xml:space="preserve">This section summarises the main assumptions and limitations </w:t>
      </w:r>
      <w:r w:rsidR="00817A7D">
        <w:t xml:space="preserve">of </w:t>
      </w:r>
      <w:r>
        <w:t>the model.</w:t>
      </w:r>
    </w:p>
    <w:p w14:paraId="4C6A41C7" w14:textId="4A9E175F" w:rsidR="00755CA0" w:rsidRPr="00122005" w:rsidRDefault="001F1EC2" w:rsidP="00F841F4">
      <w:pPr>
        <w:pStyle w:val="BodyText"/>
        <w:rPr>
          <w:i/>
        </w:rPr>
      </w:pPr>
      <w:r>
        <w:t>The main a</w:t>
      </w:r>
      <w:r w:rsidR="00755CA0" w:rsidRPr="001F1EC2">
        <w:t>ssumptions</w:t>
      </w:r>
      <w:r>
        <w:t xml:space="preserve"> </w:t>
      </w:r>
      <w:r w:rsidR="00F50555">
        <w:t>include the following.</w:t>
      </w:r>
    </w:p>
    <w:p w14:paraId="4C6A41C8" w14:textId="77777777" w:rsidR="00755CA0" w:rsidRDefault="00917E2C" w:rsidP="00122005">
      <w:pPr>
        <w:pStyle w:val="ListBullet"/>
      </w:pPr>
      <w:r>
        <w:t>T</w:t>
      </w:r>
      <w:r w:rsidR="00755CA0">
        <w:t xml:space="preserve">he fiscal calculations and the </w:t>
      </w:r>
      <w:proofErr w:type="spellStart"/>
      <w:r w:rsidR="00755CA0">
        <w:t>NPV</w:t>
      </w:r>
      <w:proofErr w:type="spellEnd"/>
      <w:r w:rsidR="00755CA0">
        <w:t xml:space="preserve"> calculations </w:t>
      </w:r>
      <w:r w:rsidR="00122005">
        <w:t xml:space="preserve">of lifetime </w:t>
      </w:r>
      <w:r w:rsidR="00460B50">
        <w:t>net</w:t>
      </w:r>
      <w:r w:rsidR="00D42F07">
        <w:t xml:space="preserve"> </w:t>
      </w:r>
      <w:r w:rsidR="00122005">
        <w:t>fiscal impacts assume</w:t>
      </w:r>
      <w:r w:rsidR="00755CA0">
        <w:t xml:space="preserve"> </w:t>
      </w:r>
      <w:r>
        <w:t>th</w:t>
      </w:r>
      <w:r w:rsidR="00D42F07">
        <w:t>at</w:t>
      </w:r>
      <w:r>
        <w:t xml:space="preserve"> current</w:t>
      </w:r>
      <w:r w:rsidR="00755CA0">
        <w:t xml:space="preserve"> fiscal policy settings</w:t>
      </w:r>
      <w:r w:rsidR="00122005">
        <w:t xml:space="preserve"> </w:t>
      </w:r>
      <w:r w:rsidR="00D42F07">
        <w:t xml:space="preserve">are maintained </w:t>
      </w:r>
      <w:r w:rsidR="00122005">
        <w:t>over the projection period</w:t>
      </w:r>
      <w:r w:rsidR="00755CA0">
        <w:t xml:space="preserve">. </w:t>
      </w:r>
      <w:r w:rsidR="00D42F07">
        <w:t>R</w:t>
      </w:r>
      <w:r>
        <w:t>esults are</w:t>
      </w:r>
      <w:r w:rsidR="00755CA0">
        <w:t xml:space="preserve"> best used to illustrate the relative patterns of lifetime fiscal impacts </w:t>
      </w:r>
      <w:r w:rsidR="00D42F07">
        <w:t xml:space="preserve">across </w:t>
      </w:r>
      <w:r w:rsidR="00755CA0">
        <w:t xml:space="preserve">immigrant groups. </w:t>
      </w:r>
      <w:r w:rsidR="00947B60">
        <w:t>C</w:t>
      </w:r>
      <w:r w:rsidR="00755CA0">
        <w:t>hanges to the tax system or to the provision of government</w:t>
      </w:r>
      <w:r w:rsidR="00947B60">
        <w:noBreakHyphen/>
      </w:r>
      <w:r w:rsidR="00755CA0">
        <w:t xml:space="preserve">funded services </w:t>
      </w:r>
      <w:r w:rsidR="00947B60">
        <w:t xml:space="preserve">or benefits </w:t>
      </w:r>
      <w:r w:rsidR="00755CA0">
        <w:t xml:space="preserve">are unlikely to change these </w:t>
      </w:r>
      <w:r w:rsidR="00817A7D">
        <w:t xml:space="preserve">relative </w:t>
      </w:r>
      <w:r w:rsidR="00755CA0">
        <w:t xml:space="preserve">patterns (unless government policies </w:t>
      </w:r>
      <w:r w:rsidR="00D42F07">
        <w:t>were</w:t>
      </w:r>
      <w:r w:rsidR="00264931">
        <w:t xml:space="preserve"> changed</w:t>
      </w:r>
      <w:r w:rsidR="00D42F07">
        <w:t xml:space="preserve"> to </w:t>
      </w:r>
      <w:r w:rsidR="00755CA0">
        <w:t>target specific visa types).</w:t>
      </w:r>
    </w:p>
    <w:p w14:paraId="4C6A41C9" w14:textId="77777777" w:rsidR="00122005" w:rsidRDefault="00122005" w:rsidP="00122005">
      <w:pPr>
        <w:pStyle w:val="ListBullet"/>
      </w:pPr>
      <w:r>
        <w:t xml:space="preserve">Demographic and labour market characteristics of permanent immigrants are based on </w:t>
      </w:r>
      <w:proofErr w:type="spellStart"/>
      <w:r>
        <w:t>ACMID</w:t>
      </w:r>
      <w:proofErr w:type="spellEnd"/>
      <w:r>
        <w:t xml:space="preserve">. For temporary immigrants, these </w:t>
      </w:r>
      <w:r w:rsidR="00D42F07">
        <w:t xml:space="preserve">characteristics </w:t>
      </w:r>
      <w:r>
        <w:t xml:space="preserve">are based on </w:t>
      </w:r>
      <w:r w:rsidR="002928EB">
        <w:t>CORM</w:t>
      </w:r>
      <w:r w:rsidR="00917E2C">
        <w:t xml:space="preserve">, </w:t>
      </w:r>
      <w:r>
        <w:t>the Census</w:t>
      </w:r>
      <w:r w:rsidR="00917E2C">
        <w:t>, and departmental administrative data</w:t>
      </w:r>
      <w:r>
        <w:t xml:space="preserve">. Median income tax revenues are based on </w:t>
      </w:r>
      <w:proofErr w:type="spellStart"/>
      <w:r w:rsidR="000E72F2">
        <w:t>PITMID</w:t>
      </w:r>
      <w:proofErr w:type="spellEnd"/>
      <w:r>
        <w:t xml:space="preserve"> and </w:t>
      </w:r>
      <w:proofErr w:type="spellStart"/>
      <w:r w:rsidR="00FD1E4B">
        <w:t>ATO</w:t>
      </w:r>
      <w:proofErr w:type="spellEnd"/>
      <w:r>
        <w:t xml:space="preserve"> data.</w:t>
      </w:r>
    </w:p>
    <w:p w14:paraId="4C6A41CA" w14:textId="77777777" w:rsidR="00122005" w:rsidRDefault="00122005" w:rsidP="00122005">
      <w:pPr>
        <w:pStyle w:val="ListBullet"/>
      </w:pPr>
      <w:r>
        <w:t xml:space="preserve">Tax revenues are held constant as a share of GDP (consistent with the Intergenerational Report). </w:t>
      </w:r>
      <w:r w:rsidR="00917E2C">
        <w:t xml:space="preserve">All </w:t>
      </w:r>
      <w:r w:rsidR="00947B60">
        <w:t xml:space="preserve">sources of revenue that are not associated with </w:t>
      </w:r>
      <w:r w:rsidR="00917E2C">
        <w:t xml:space="preserve">labour income </w:t>
      </w:r>
      <w:r>
        <w:t xml:space="preserve">are applied on a per </w:t>
      </w:r>
      <w:r w:rsidR="00947B60">
        <w:t>person</w:t>
      </w:r>
      <w:r>
        <w:t xml:space="preserve"> basis.</w:t>
      </w:r>
    </w:p>
    <w:p w14:paraId="4C6A41CB" w14:textId="77777777" w:rsidR="00122005" w:rsidRDefault="00460B50" w:rsidP="00122005">
      <w:pPr>
        <w:pStyle w:val="ListBullet"/>
      </w:pPr>
      <w:r>
        <w:t>Per person</w:t>
      </w:r>
      <w:r w:rsidR="00122005">
        <w:t xml:space="preserve"> government expenditures are based on </w:t>
      </w:r>
      <w:r w:rsidR="00C678F6">
        <w:t>PC</w:t>
      </w:r>
      <w:r w:rsidR="00A60593">
        <w:t> </w:t>
      </w:r>
      <w:r w:rsidR="00D42F07">
        <w:t>(2013)</w:t>
      </w:r>
      <w:r w:rsidR="00122005">
        <w:t xml:space="preserve">. Immigrants’ </w:t>
      </w:r>
      <w:r w:rsidR="00A60593">
        <w:t>up</w:t>
      </w:r>
      <w:r w:rsidR="00122005">
        <w:t xml:space="preserve">take of health, education and social security services differ by visa category. Temporary immigrants are assumed not to </w:t>
      </w:r>
      <w:r w:rsidR="00817A7D">
        <w:t xml:space="preserve">impose </w:t>
      </w:r>
      <w:r w:rsidR="00947B60">
        <w:t xml:space="preserve">any </w:t>
      </w:r>
      <w:r w:rsidR="00817A7D">
        <w:t xml:space="preserve">costs on </w:t>
      </w:r>
      <w:r>
        <w:t xml:space="preserve">government </w:t>
      </w:r>
      <w:r w:rsidR="00817A7D">
        <w:t>budgets</w:t>
      </w:r>
      <w:r w:rsidR="00122005">
        <w:t>.</w:t>
      </w:r>
    </w:p>
    <w:p w14:paraId="4C6A41CC" w14:textId="4990DD24" w:rsidR="00122005" w:rsidRDefault="00122005" w:rsidP="00122005">
      <w:pPr>
        <w:pStyle w:val="ListBullet"/>
      </w:pPr>
      <w:r>
        <w:t xml:space="preserve">Immigrants’ </w:t>
      </w:r>
      <w:r w:rsidR="00A60593">
        <w:t>up</w:t>
      </w:r>
      <w:r>
        <w:t>take of government</w:t>
      </w:r>
      <w:r w:rsidR="000E72F2">
        <w:noBreakHyphen/>
      </w:r>
      <w:r>
        <w:t xml:space="preserve">funded services </w:t>
      </w:r>
      <w:r w:rsidR="00947B60">
        <w:t xml:space="preserve">and benefits </w:t>
      </w:r>
      <w:r>
        <w:t xml:space="preserve">is assumed to converge linearly to Australian averages after 10 years. Immigrants’ labour force </w:t>
      </w:r>
      <w:r w:rsidR="00D42F07">
        <w:t>participation and unemployment rates</w:t>
      </w:r>
      <w:r>
        <w:t xml:space="preserve"> are assumed to converge at different rates </w:t>
      </w:r>
      <w:r w:rsidR="00D42F07">
        <w:t xml:space="preserve">according to visa types </w:t>
      </w:r>
      <w:r>
        <w:t>to reflect their varied human capital and the speed to which they integrate int</w:t>
      </w:r>
      <w:r w:rsidR="00680B7E">
        <w:t xml:space="preserve">o the Australian labour market (as described in </w:t>
      </w:r>
      <w:r w:rsidR="007A23D7">
        <w:t>c</w:t>
      </w:r>
      <w:r w:rsidR="00680B7E">
        <w:t>hapter </w:t>
      </w:r>
      <w:r>
        <w:t>5</w:t>
      </w:r>
      <w:r w:rsidR="00680B7E">
        <w:t>)</w:t>
      </w:r>
      <w:r w:rsidR="00F50555">
        <w:t>.</w:t>
      </w:r>
    </w:p>
    <w:p w14:paraId="4C6A41CD" w14:textId="77777777" w:rsidR="00122005" w:rsidRDefault="00D42F07" w:rsidP="00917E2C">
      <w:pPr>
        <w:pStyle w:val="ListBullet2"/>
      </w:pPr>
      <w:r>
        <w:t>For example, i</w:t>
      </w:r>
      <w:r w:rsidR="00122005">
        <w:t>n the skill stream, primary applicants</w:t>
      </w:r>
      <w:r>
        <w:t>’ characteristics</w:t>
      </w:r>
      <w:r w:rsidR="00122005">
        <w:t xml:space="preserve"> are assumed to converge (down) to Australian averages after 30 years while secondary applicants converge (up) after 10 years. Family stream immigrants</w:t>
      </w:r>
      <w:r>
        <w:t>’ characteristics</w:t>
      </w:r>
      <w:r w:rsidR="00122005">
        <w:t xml:space="preserve"> are assumed to converge (up) after 15 years while humanitarian arrivals converge (up) after 20 years.</w:t>
      </w:r>
    </w:p>
    <w:p w14:paraId="4C6A41CE" w14:textId="77777777" w:rsidR="00122005" w:rsidRDefault="00122005" w:rsidP="00122005">
      <w:pPr>
        <w:pStyle w:val="ListBullet"/>
      </w:pPr>
      <w:r>
        <w:t xml:space="preserve">Emigration rates </w:t>
      </w:r>
      <w:r w:rsidR="00917E2C">
        <w:t xml:space="preserve">(the proportion of NOM leaving Australia </w:t>
      </w:r>
      <w:r w:rsidR="00D42F07">
        <w:t xml:space="preserve">each </w:t>
      </w:r>
      <w:r w:rsidR="00917E2C">
        <w:t>year) differ by visa category</w:t>
      </w:r>
      <w:r w:rsidR="00680B7E">
        <w:t>,</w:t>
      </w:r>
      <w:r w:rsidR="00917E2C">
        <w:t xml:space="preserve"> </w:t>
      </w:r>
      <w:r w:rsidR="007A23D7">
        <w:t>but</w:t>
      </w:r>
      <w:r w:rsidR="00917E2C">
        <w:t xml:space="preserve"> for permanent </w:t>
      </w:r>
      <w:r w:rsidR="000E72F2">
        <w:t>im</w:t>
      </w:r>
      <w:r w:rsidR="00917E2C">
        <w:t>migrants</w:t>
      </w:r>
      <w:r w:rsidR="00D42F07">
        <w:t>, they</w:t>
      </w:r>
      <w:r>
        <w:t xml:space="preserve"> are assumed to</w:t>
      </w:r>
      <w:r w:rsidR="00680B7E">
        <w:t xml:space="preserve"> be</w:t>
      </w:r>
      <w:r w:rsidR="00460B50">
        <w:t xml:space="preserve"> uniformly</w:t>
      </w:r>
      <w:r>
        <w:t xml:space="preserve"> </w:t>
      </w:r>
      <w:r w:rsidR="00D42F07">
        <w:t>1 per </w:t>
      </w:r>
      <w:r>
        <w:t>cent per year over the projection period.</w:t>
      </w:r>
    </w:p>
    <w:p w14:paraId="4C6A41CF" w14:textId="77777777" w:rsidR="00122005" w:rsidRDefault="00122005" w:rsidP="00122005">
      <w:pPr>
        <w:pStyle w:val="ListBullet"/>
      </w:pPr>
      <w:r>
        <w:lastRenderedPageBreak/>
        <w:t>In line with other Commission modelling for this inquiry, the real discount rate is set at 3</w:t>
      </w:r>
      <w:r w:rsidR="00C678F6">
        <w:t> </w:t>
      </w:r>
      <w:r>
        <w:t>per</w:t>
      </w:r>
      <w:r w:rsidR="00C678F6">
        <w:t> </w:t>
      </w:r>
      <w:r>
        <w:t xml:space="preserve">cent. Government revenues and expenditures </w:t>
      </w:r>
      <w:r w:rsidR="00680B7E">
        <w:t>are deflated</w:t>
      </w:r>
      <w:r w:rsidR="00D42F07">
        <w:t xml:space="preserve">, </w:t>
      </w:r>
      <w:r w:rsidR="00C678F6">
        <w:t>with</w:t>
      </w:r>
      <w:r w:rsidR="00D42F07">
        <w:t xml:space="preserve"> </w:t>
      </w:r>
      <w:proofErr w:type="spellStart"/>
      <w:r w:rsidR="00D42F07">
        <w:t>NPVs</w:t>
      </w:r>
      <w:proofErr w:type="spellEnd"/>
      <w:r w:rsidR="00D42F07">
        <w:t xml:space="preserve"> </w:t>
      </w:r>
      <w:r w:rsidR="002928EB">
        <w:t>expressed in 20</w:t>
      </w:r>
      <w:r w:rsidR="00D42F07">
        <w:t>14 dollars</w:t>
      </w:r>
      <w:r>
        <w:t>.</w:t>
      </w:r>
    </w:p>
    <w:p w14:paraId="4C6A41D0" w14:textId="29C2E42D" w:rsidR="00122005" w:rsidRPr="001F1EC2" w:rsidRDefault="001F1EC2" w:rsidP="00122005">
      <w:pPr>
        <w:pStyle w:val="BodyText"/>
      </w:pPr>
      <w:r>
        <w:t>The main l</w:t>
      </w:r>
      <w:r w:rsidR="00122005" w:rsidRPr="001F1EC2">
        <w:t>imitations</w:t>
      </w:r>
      <w:r>
        <w:t xml:space="preserve"> </w:t>
      </w:r>
      <w:r w:rsidR="00F50555">
        <w:t>include the following.</w:t>
      </w:r>
    </w:p>
    <w:p w14:paraId="4C6A41D1" w14:textId="77777777" w:rsidR="00122005" w:rsidRDefault="00917E2C" w:rsidP="00122005">
      <w:pPr>
        <w:pStyle w:val="ListBullet"/>
      </w:pPr>
      <w:r>
        <w:t xml:space="preserve">The main model specification in the report (specification </w:t>
      </w:r>
      <w:r w:rsidR="00D42F07">
        <w:t>2</w:t>
      </w:r>
      <w:r>
        <w:t xml:space="preserve">) </w:t>
      </w:r>
      <w:r w:rsidR="00122005">
        <w:t xml:space="preserve">includes most </w:t>
      </w:r>
      <w:r w:rsidR="00264931">
        <w:t>Australian</w:t>
      </w:r>
      <w:r w:rsidR="00122005">
        <w:t xml:space="preserve">, </w:t>
      </w:r>
      <w:r w:rsidR="00080BFE">
        <w:t>s</w:t>
      </w:r>
      <w:r w:rsidR="00264931">
        <w:t xml:space="preserve">tate </w:t>
      </w:r>
      <w:r w:rsidR="00122005">
        <w:t xml:space="preserve">and </w:t>
      </w:r>
      <w:r w:rsidR="00080BFE">
        <w:t>t</w:t>
      </w:r>
      <w:r w:rsidR="00264931">
        <w:t xml:space="preserve">erritory </w:t>
      </w:r>
      <w:r w:rsidR="00080BFE">
        <w:t>g</w:t>
      </w:r>
      <w:r w:rsidR="00264931">
        <w:t xml:space="preserve">overnment </w:t>
      </w:r>
      <w:r w:rsidR="00122005">
        <w:t xml:space="preserve">revenues and expenditures that can be directly attributed to immigrants. It does not include relatively small </w:t>
      </w:r>
      <w:r w:rsidR="00FD1E4B">
        <w:t xml:space="preserve">items </w:t>
      </w:r>
      <w:r w:rsidR="00122005">
        <w:t>of government revenue and expenditure (such as visa charges and settlement services) or items that cannot be easily attributed to immigrants (such as property and payroll taxes, public infrastructure costs</w:t>
      </w:r>
      <w:r w:rsidR="00594E0A">
        <w:t xml:space="preserve"> and defence spending</w:t>
      </w:r>
      <w:r w:rsidR="00122005">
        <w:t>). Local government revenues and expenditures are also excluded.</w:t>
      </w:r>
    </w:p>
    <w:p w14:paraId="4C6A41D2" w14:textId="77777777" w:rsidR="00917E2C" w:rsidRDefault="00917E2C" w:rsidP="00122005">
      <w:pPr>
        <w:pStyle w:val="ListBullet"/>
      </w:pPr>
      <w:r>
        <w:t xml:space="preserve">The labour market </w:t>
      </w:r>
      <w:r w:rsidR="007A23D7">
        <w:t>module</w:t>
      </w:r>
      <w:r>
        <w:t xml:space="preserve"> does not account </w:t>
      </w:r>
      <w:r w:rsidR="007A23D7">
        <w:t xml:space="preserve">explicitly </w:t>
      </w:r>
      <w:r>
        <w:t xml:space="preserve">for differences in hours worked and earnings of </w:t>
      </w:r>
      <w:r w:rsidR="00460B50">
        <w:t>im</w:t>
      </w:r>
      <w:r>
        <w:t>migrants, or differences in occupation or skill level.</w:t>
      </w:r>
      <w:r w:rsidR="007A23D7">
        <w:t xml:space="preserve"> However, these </w:t>
      </w:r>
      <w:r w:rsidR="00680B7E">
        <w:t>are</w:t>
      </w:r>
      <w:r w:rsidR="007A23D7">
        <w:t xml:space="preserve"> reflected implicitly in estimates of median income tax revenue which vary by age, gender and visa category.</w:t>
      </w:r>
    </w:p>
    <w:p w14:paraId="4C6A41D3" w14:textId="77777777" w:rsidR="00755CA0" w:rsidRPr="00F841F4" w:rsidRDefault="00122005" w:rsidP="00F841F4">
      <w:pPr>
        <w:pStyle w:val="ListBullet"/>
      </w:pPr>
      <w:r>
        <w:t>General equilibrium considerations are not accounted for in the model. There is no interaction between immigration and</w:t>
      </w:r>
      <w:r w:rsidR="00917E2C">
        <w:t xml:space="preserve"> capacity utilisation in</w:t>
      </w:r>
      <w:r>
        <w:t xml:space="preserve"> the labour market, productivity or output growth. The model does not </w:t>
      </w:r>
      <w:r w:rsidR="00680B7E">
        <w:t>provide any information about</w:t>
      </w:r>
      <w:r>
        <w:t xml:space="preserve"> the </w:t>
      </w:r>
      <w:proofErr w:type="spellStart"/>
      <w:r>
        <w:t>economywide</w:t>
      </w:r>
      <w:proofErr w:type="spellEnd"/>
      <w:r>
        <w:t xml:space="preserve"> and demographic impacts of immigration. Modelling using a broader general equilibrium framework is detailed in </w:t>
      </w:r>
      <w:r w:rsidR="000E72F2">
        <w:t>chapter </w:t>
      </w:r>
      <w:r>
        <w:t>10.</w:t>
      </w:r>
    </w:p>
    <w:p w14:paraId="4C6A41D4" w14:textId="560FE37B" w:rsidR="00A469DC" w:rsidRDefault="00FD401E" w:rsidP="00A469DC">
      <w:pPr>
        <w:pStyle w:val="Heading2"/>
      </w:pPr>
      <w:proofErr w:type="spellStart"/>
      <w:r>
        <w:t>D</w:t>
      </w:r>
      <w:r w:rsidR="00D10860">
        <w:t>.</w:t>
      </w:r>
      <w:r w:rsidR="00D10860">
        <w:rPr>
          <w:noProof/>
        </w:rPr>
        <w:t>5</w:t>
      </w:r>
      <w:proofErr w:type="spellEnd"/>
      <w:r w:rsidR="00A469DC">
        <w:tab/>
        <w:t>Results</w:t>
      </w:r>
    </w:p>
    <w:p w14:paraId="4C6A41D5" w14:textId="77777777" w:rsidR="00A469DC" w:rsidRDefault="000E72F2" w:rsidP="00A469DC">
      <w:pPr>
        <w:pStyle w:val="BodyText"/>
      </w:pPr>
      <w:r>
        <w:t>M</w:t>
      </w:r>
      <w:r w:rsidR="008D3F1C">
        <w:t xml:space="preserve">odel results </w:t>
      </w:r>
      <w:r w:rsidR="0007394D">
        <w:t xml:space="preserve">for immigrants’ estimated lifetime net fiscal impacts </w:t>
      </w:r>
      <w:r w:rsidR="008D3F1C">
        <w:t xml:space="preserve">are presented </w:t>
      </w:r>
      <w:r w:rsidR="0007394D">
        <w:t xml:space="preserve">below </w:t>
      </w:r>
      <w:r w:rsidR="008D3F1C">
        <w:t xml:space="preserve">for three separate specifications, covering </w:t>
      </w:r>
      <w:r w:rsidR="00680B7E">
        <w:t>the</w:t>
      </w:r>
      <w:r w:rsidR="008D3F1C">
        <w:t xml:space="preserve"> different scope of government accounts</w:t>
      </w:r>
      <w:r w:rsidR="00680B7E">
        <w:t xml:space="preserve"> described in table </w:t>
      </w:r>
      <w:proofErr w:type="spellStart"/>
      <w:r w:rsidR="00680B7E">
        <w:t>D.1</w:t>
      </w:r>
      <w:proofErr w:type="spellEnd"/>
      <w:r w:rsidR="008D3F1C">
        <w:t xml:space="preserve">. </w:t>
      </w:r>
    </w:p>
    <w:p w14:paraId="4C6A41D6" w14:textId="77777777" w:rsidR="00951FA3" w:rsidRDefault="004A36FF" w:rsidP="00951FA3">
      <w:pPr>
        <w:pStyle w:val="BodyText"/>
      </w:pPr>
      <w:r>
        <w:t>The limited coverage of revenue and expenditure items in the first and second specification</w:t>
      </w:r>
      <w:r w:rsidR="00B27E2A">
        <w:t>s</w:t>
      </w:r>
      <w:r>
        <w:t>, and the way in which</w:t>
      </w:r>
      <w:r w:rsidR="00B27E2A">
        <w:t xml:space="preserve"> additional</w:t>
      </w:r>
      <w:r>
        <w:t xml:space="preserve"> </w:t>
      </w:r>
      <w:r w:rsidR="00B27E2A">
        <w:t xml:space="preserve">revenues and costs (that do not vary by age) </w:t>
      </w:r>
      <w:r>
        <w:t xml:space="preserve">have been modelled </w:t>
      </w:r>
      <w:r w:rsidR="00B27E2A">
        <w:t xml:space="preserve">means that the results are </w:t>
      </w:r>
      <w:r w:rsidR="00594E0A">
        <w:t>highly stylised</w:t>
      </w:r>
      <w:r w:rsidR="00680B7E">
        <w:t xml:space="preserve">. </w:t>
      </w:r>
      <w:r w:rsidR="00016B1F">
        <w:t>N</w:t>
      </w:r>
      <w:r w:rsidR="00680B7E">
        <w:t>onetheless</w:t>
      </w:r>
      <w:r w:rsidR="00016B1F">
        <w:t>, they are</w:t>
      </w:r>
      <w:r w:rsidR="00594E0A">
        <w:t xml:space="preserve"> </w:t>
      </w:r>
      <w:r w:rsidR="00B27E2A">
        <w:t xml:space="preserve">illustrative of the average </w:t>
      </w:r>
      <w:r w:rsidR="00680B7E">
        <w:t xml:space="preserve">net </w:t>
      </w:r>
      <w:r w:rsidR="00B27E2A">
        <w:t>fiscal impact of different</w:t>
      </w:r>
      <w:r w:rsidR="0001413A">
        <w:t xml:space="preserve"> types of</w:t>
      </w:r>
      <w:r w:rsidR="00B27E2A">
        <w:t xml:space="preserve"> </w:t>
      </w:r>
      <w:r w:rsidR="000E72F2">
        <w:t>im</w:t>
      </w:r>
      <w:r w:rsidR="00B27E2A">
        <w:t>migrants</w:t>
      </w:r>
      <w:r w:rsidR="0001413A">
        <w:t>, based on the assumptions made</w:t>
      </w:r>
      <w:r w:rsidR="00B27E2A">
        <w:t xml:space="preserve">. </w:t>
      </w:r>
      <w:r w:rsidR="00016B1F">
        <w:t xml:space="preserve">In reality, the additional </w:t>
      </w:r>
      <w:r w:rsidR="00B27E2A">
        <w:t xml:space="preserve">costs and revenues are likely to exhibit some nonlinearity with age and gender, and may also be different across </w:t>
      </w:r>
      <w:r w:rsidR="000E72F2">
        <w:t>im</w:t>
      </w:r>
      <w:r w:rsidR="00B27E2A">
        <w:t xml:space="preserve">migrant types. </w:t>
      </w:r>
    </w:p>
    <w:p w14:paraId="4C6A41D7" w14:textId="1EA02734" w:rsidR="004A36FF" w:rsidRDefault="004A36FF" w:rsidP="00951FA3">
      <w:pPr>
        <w:pStyle w:val="BodyText"/>
      </w:pPr>
      <w:r w:rsidRPr="004A36FF">
        <w:t xml:space="preserve">Results across all specifications highlight the </w:t>
      </w:r>
      <w:r w:rsidR="00016B1F">
        <w:t>role</w:t>
      </w:r>
      <w:r w:rsidR="00F50555">
        <w:t xml:space="preserve"> of age on arrival, skill level</w:t>
      </w:r>
      <w:r w:rsidRPr="004A36FF">
        <w:t xml:space="preserve"> and the composition of the migrant intake in determining </w:t>
      </w:r>
      <w:r w:rsidR="000E72F2">
        <w:t>im</w:t>
      </w:r>
      <w:r w:rsidRPr="004A36FF">
        <w:t>migrants’ fiscal imp</w:t>
      </w:r>
      <w:r w:rsidR="00B27E2A">
        <w:t>acts</w:t>
      </w:r>
      <w:r w:rsidR="001F1EC2">
        <w:t>. This is the case</w:t>
      </w:r>
      <w:r w:rsidR="00142408">
        <w:t xml:space="preserve"> </w:t>
      </w:r>
      <w:r w:rsidRPr="004A36FF">
        <w:t xml:space="preserve">irrespective of the absolute value of </w:t>
      </w:r>
      <w:r w:rsidR="000E72F2">
        <w:t>im</w:t>
      </w:r>
      <w:r w:rsidRPr="004A36FF">
        <w:t>migrants’ fiscal impacts.</w:t>
      </w:r>
    </w:p>
    <w:p w14:paraId="4C6A41D8" w14:textId="75A7257F" w:rsidR="00951FA3" w:rsidRDefault="008B251E" w:rsidP="00016B1F">
      <w:pPr>
        <w:pStyle w:val="BodyText"/>
      </w:pPr>
      <w:r>
        <w:t xml:space="preserve">To simplify the results, </w:t>
      </w:r>
      <w:r w:rsidR="00016B1F">
        <w:t xml:space="preserve">permanent </w:t>
      </w:r>
      <w:r w:rsidR="000E72F2">
        <w:t>im</w:t>
      </w:r>
      <w:r>
        <w:t xml:space="preserve">migrants have been </w:t>
      </w:r>
      <w:r w:rsidR="00016B1F">
        <w:t xml:space="preserve">grouped at the stream level, namely </w:t>
      </w:r>
      <w:r>
        <w:t>skill</w:t>
      </w:r>
      <w:r w:rsidR="000E72F2">
        <w:t xml:space="preserve"> stream</w:t>
      </w:r>
      <w:r>
        <w:t xml:space="preserve"> </w:t>
      </w:r>
      <w:r w:rsidR="000E72F2">
        <w:t>im</w:t>
      </w:r>
      <w:r>
        <w:t>migrants</w:t>
      </w:r>
      <w:r w:rsidR="00951FA3">
        <w:t xml:space="preserve"> (</w:t>
      </w:r>
      <w:r w:rsidR="00016B1F">
        <w:t xml:space="preserve">broken down into </w:t>
      </w:r>
      <w:r w:rsidR="00951FA3">
        <w:t>primary and secondary applicants)</w:t>
      </w:r>
      <w:r w:rsidR="00016B1F">
        <w:t xml:space="preserve"> and </w:t>
      </w:r>
      <w:r>
        <w:t>family</w:t>
      </w:r>
      <w:r w:rsidR="000E72F2">
        <w:t xml:space="preserve"> stream</w:t>
      </w:r>
      <w:r>
        <w:t xml:space="preserve"> </w:t>
      </w:r>
      <w:r w:rsidR="000E72F2">
        <w:t>im</w:t>
      </w:r>
      <w:r w:rsidR="00A60593">
        <w:t>migrants</w:t>
      </w:r>
      <w:r w:rsidR="00016B1F">
        <w:t>.</w:t>
      </w:r>
    </w:p>
    <w:p w14:paraId="4C6A41D9" w14:textId="77777777" w:rsidR="00DD73E7" w:rsidRDefault="00DD73E7" w:rsidP="0084367F">
      <w:pPr>
        <w:pStyle w:val="Heading3"/>
      </w:pPr>
      <w:r>
        <w:lastRenderedPageBreak/>
        <w:t>Specification</w:t>
      </w:r>
      <w:r w:rsidR="00A60593">
        <w:t> </w:t>
      </w:r>
      <w:r>
        <w:t xml:space="preserve">1: </w:t>
      </w:r>
      <w:r w:rsidR="001F19FE">
        <w:t xml:space="preserve">Australian </w:t>
      </w:r>
      <w:r w:rsidR="00951FA3">
        <w:t>G</w:t>
      </w:r>
      <w:r>
        <w:t>overnment only</w:t>
      </w:r>
    </w:p>
    <w:p w14:paraId="4C6A41DA" w14:textId="6190A052" w:rsidR="00864610" w:rsidRDefault="00864610" w:rsidP="00864610">
      <w:pPr>
        <w:pStyle w:val="BodyText"/>
      </w:pPr>
      <w:r>
        <w:t xml:space="preserve">The first specification includes primary revenues and expenditures attributable to </w:t>
      </w:r>
      <w:r w:rsidR="003F3715">
        <w:t>im</w:t>
      </w:r>
      <w:r>
        <w:t xml:space="preserve">migrants at the level of the </w:t>
      </w:r>
      <w:r w:rsidR="001F19FE">
        <w:t xml:space="preserve">Australian </w:t>
      </w:r>
      <w:r w:rsidR="00951FA3">
        <w:t>G</w:t>
      </w:r>
      <w:r>
        <w:t>overnment only. By value these items account for around 50</w:t>
      </w:r>
      <w:r w:rsidR="00D50BD5">
        <w:t> </w:t>
      </w:r>
      <w:r>
        <w:t>per</w:t>
      </w:r>
      <w:r w:rsidR="00D50BD5">
        <w:t> </w:t>
      </w:r>
      <w:r>
        <w:t xml:space="preserve">cent of aggregate </w:t>
      </w:r>
      <w:r w:rsidR="00D50BD5">
        <w:t xml:space="preserve">Australian Government </w:t>
      </w:r>
      <w:r>
        <w:t>expenditure and 90</w:t>
      </w:r>
      <w:r w:rsidR="00D50BD5">
        <w:t> </w:t>
      </w:r>
      <w:r>
        <w:t>per</w:t>
      </w:r>
      <w:r w:rsidR="00D50BD5">
        <w:t> </w:t>
      </w:r>
      <w:r>
        <w:t xml:space="preserve">cent of aggregate </w:t>
      </w:r>
      <w:r w:rsidR="00D50BD5">
        <w:t xml:space="preserve">Australian Government </w:t>
      </w:r>
      <w:r>
        <w:t>revenues (</w:t>
      </w:r>
      <w:r w:rsidR="0001413A">
        <w:t>ex</w:t>
      </w:r>
      <w:r>
        <w:t>cluding GST).</w:t>
      </w:r>
    </w:p>
    <w:p w14:paraId="4C6A41DB" w14:textId="77777777" w:rsidR="00226492" w:rsidRDefault="00460B50" w:rsidP="00226492">
      <w:pPr>
        <w:pStyle w:val="BodyText"/>
      </w:pPr>
      <w:r>
        <w:t xml:space="preserve">In </w:t>
      </w:r>
      <w:r w:rsidR="00226492">
        <w:t>this specification</w:t>
      </w:r>
      <w:r>
        <w:t xml:space="preserve">, </w:t>
      </w:r>
      <w:r w:rsidR="0001413A">
        <w:t xml:space="preserve">the </w:t>
      </w:r>
      <w:proofErr w:type="spellStart"/>
      <w:r w:rsidR="0001413A">
        <w:t>NPVs</w:t>
      </w:r>
      <w:proofErr w:type="spellEnd"/>
      <w:r w:rsidR="0001413A">
        <w:t xml:space="preserve"> </w:t>
      </w:r>
      <w:r w:rsidR="00226492">
        <w:t>are positiv</w:t>
      </w:r>
      <w:r w:rsidR="008B6DE7">
        <w:t xml:space="preserve">e if </w:t>
      </w:r>
      <w:r w:rsidR="0001413A">
        <w:t xml:space="preserve">the immigrant </w:t>
      </w:r>
      <w:r w:rsidR="008B6DE7">
        <w:t>arrive</w:t>
      </w:r>
      <w:r w:rsidR="009C03E1">
        <w:t>s</w:t>
      </w:r>
      <w:r w:rsidR="008B6DE7">
        <w:t xml:space="preserve"> at a young age</w:t>
      </w:r>
      <w:r w:rsidR="00016B1F">
        <w:t xml:space="preserve"> (figure </w:t>
      </w:r>
      <w:proofErr w:type="spellStart"/>
      <w:r w:rsidR="00016B1F">
        <w:t>D.6</w:t>
      </w:r>
      <w:proofErr w:type="spellEnd"/>
      <w:r w:rsidR="00016B1F">
        <w:t>)</w:t>
      </w:r>
      <w:r w:rsidR="00226492">
        <w:t>. Arriving early in working life maximises the time spent paying tax</w:t>
      </w:r>
      <w:r w:rsidR="00BF2435">
        <w:t xml:space="preserve">. </w:t>
      </w:r>
    </w:p>
    <w:p w14:paraId="4C6A41DC" w14:textId="77777777" w:rsidR="00226492" w:rsidRDefault="00951FA3" w:rsidP="00226492">
      <w:pPr>
        <w:pStyle w:val="BodyText"/>
      </w:pPr>
      <w:r>
        <w:t>T</w:t>
      </w:r>
      <w:r w:rsidR="00226492">
        <w:t>his result also reflects the assumption that immigrants</w:t>
      </w:r>
      <w:r w:rsidR="0001413A">
        <w:t>’ outcomes</w:t>
      </w:r>
      <w:r w:rsidR="00226492">
        <w:t xml:space="preserve"> converge to the outcomes of the general population. If immigrants arrive as children, they are assumed to have similar labour market outcomes to</w:t>
      </w:r>
      <w:r w:rsidR="0001413A">
        <w:t xml:space="preserve"> those of</w:t>
      </w:r>
      <w:r w:rsidR="00226492">
        <w:t xml:space="preserve"> the general population by the time they enter the labour market. If immigrants arrive as adults, their fiscal impacts differ initially based on their vari</w:t>
      </w:r>
      <w:r w:rsidR="00016B1F">
        <w:t>ous</w:t>
      </w:r>
      <w:r w:rsidR="00226492">
        <w:t xml:space="preserve"> labour force </w:t>
      </w:r>
      <w:r w:rsidR="0001413A">
        <w:t>characteristics</w:t>
      </w:r>
      <w:r w:rsidR="00226492">
        <w:t xml:space="preserve">, as well as </w:t>
      </w:r>
      <w:r w:rsidR="0001413A">
        <w:t xml:space="preserve">the rates at which they are assumed to have </w:t>
      </w:r>
      <w:r w:rsidR="00226492">
        <w:t>access to and use government</w:t>
      </w:r>
      <w:r w:rsidR="003F3715">
        <w:noBreakHyphen/>
      </w:r>
      <w:r w:rsidR="00226492">
        <w:t xml:space="preserve">funded services and benefits. </w:t>
      </w:r>
    </w:p>
    <w:p w14:paraId="4C6A41DD" w14:textId="77777777" w:rsidR="00690981" w:rsidRDefault="00951FA3" w:rsidP="00226492">
      <w:pPr>
        <w:pStyle w:val="BodyText"/>
      </w:pPr>
      <w:r>
        <w:t>L</w:t>
      </w:r>
      <w:r w:rsidR="00226492">
        <w:t xml:space="preserve">ower </w:t>
      </w:r>
      <w:proofErr w:type="spellStart"/>
      <w:r w:rsidR="00226492">
        <w:t>NPVs</w:t>
      </w:r>
      <w:proofErr w:type="spellEnd"/>
      <w:r w:rsidR="00226492">
        <w:t xml:space="preserve"> for family stream </w:t>
      </w:r>
      <w:r w:rsidR="00460B50">
        <w:t>im</w:t>
      </w:r>
      <w:r w:rsidR="00226492">
        <w:t xml:space="preserve">migrants at a young age </w:t>
      </w:r>
      <w:r w:rsidR="00016B1F">
        <w:t xml:space="preserve">are consistent with </w:t>
      </w:r>
      <w:r w:rsidR="00226492">
        <w:t xml:space="preserve">the </w:t>
      </w:r>
      <w:r w:rsidR="006F718B">
        <w:t xml:space="preserve">majority </w:t>
      </w:r>
      <w:r w:rsidR="00226492">
        <w:t xml:space="preserve">of applicants in the partner visa category (which comprises around </w:t>
      </w:r>
      <w:r w:rsidR="00D359C0">
        <w:t>80 per </w:t>
      </w:r>
      <w:r w:rsidR="00226492">
        <w:t>cent of the family stream)</w:t>
      </w:r>
      <w:r w:rsidR="00DA0FA4">
        <w:t xml:space="preserve"> </w:t>
      </w:r>
      <w:r w:rsidR="00016B1F">
        <w:t>being</w:t>
      </w:r>
      <w:r w:rsidR="00DA0FA4">
        <w:t xml:space="preserve"> female</w:t>
      </w:r>
      <w:r w:rsidR="00226492">
        <w:t>. Female partner visa holders have relatively poor initial labour market characteristics and earnings,</w:t>
      </w:r>
      <w:r w:rsidR="00016B1F">
        <w:t xml:space="preserve"> which reduces</w:t>
      </w:r>
      <w:r w:rsidR="00226492">
        <w:t xml:space="preserve"> their fiscal contributions through income tax </w:t>
      </w:r>
      <w:r w:rsidR="00817A7D">
        <w:t xml:space="preserve">in the </w:t>
      </w:r>
      <w:r w:rsidR="00226492">
        <w:t xml:space="preserve">early </w:t>
      </w:r>
      <w:r w:rsidR="00817A7D">
        <w:t xml:space="preserve">period after </w:t>
      </w:r>
      <w:r w:rsidR="00226492">
        <w:t>arrival.</w:t>
      </w:r>
    </w:p>
    <w:p w14:paraId="4C6A41DE" w14:textId="6C4CCAA9" w:rsidR="00487D84" w:rsidRDefault="00487D84" w:rsidP="00226492">
      <w:pPr>
        <w:pStyle w:val="BodyText"/>
      </w:pPr>
      <w:r>
        <w:t xml:space="preserve">The lifetime </w:t>
      </w:r>
      <w:proofErr w:type="spellStart"/>
      <w:r>
        <w:t>NPVs</w:t>
      </w:r>
      <w:proofErr w:type="spellEnd"/>
      <w:r>
        <w:t xml:space="preserve"> of immigrants’ net fiscal impacts below</w:t>
      </w:r>
      <w:r w:rsidR="00F50555">
        <w:t xml:space="preserve"> working age on arrival (aged 0 to </w:t>
      </w:r>
      <w:r>
        <w:t xml:space="preserve">15) are roughly similar. This is due to a number of factors (and is partly a byproduct of using present value calculations). Over the projection period, the present value of young immigrants’ combined lifetime education and health costs, from the </w:t>
      </w:r>
      <w:r>
        <w:rPr>
          <w:i/>
        </w:rPr>
        <w:t>Australian Government’s</w:t>
      </w:r>
      <w:r>
        <w:t xml:space="preserve"> perspective, are roughly equivalent. State and territory governments incur the majority portion of these expenses (pre</w:t>
      </w:r>
      <w:r w:rsidR="004354FF">
        <w:noBreakHyphen/>
      </w:r>
      <w:r>
        <w:t xml:space="preserve">school, primary and secondary school, and hospital costs), and therefore, the net fiscal impact on the </w:t>
      </w:r>
      <w:r>
        <w:rPr>
          <w:i/>
        </w:rPr>
        <w:t>Australian Government</w:t>
      </w:r>
      <w:r>
        <w:t xml:space="preserve"> budget is dominated by the present value weight given to per person revenues from these children (which is equal across all age groups).</w:t>
      </w:r>
      <w:r>
        <w:rPr>
          <w:rStyle w:val="FootnoteReference"/>
        </w:rPr>
        <w:footnoteReference w:id="10"/>
      </w:r>
    </w:p>
    <w:p w14:paraId="4C6A41DF" w14:textId="77777777" w:rsidR="00487D84" w:rsidRDefault="00487D84" w:rsidP="00226492">
      <w:pPr>
        <w:pStyle w:val="BodyText"/>
      </w:pPr>
      <w:r>
        <w:t xml:space="preserve">Note also that the </w:t>
      </w:r>
      <w:proofErr w:type="spellStart"/>
      <w:r>
        <w:t>NPVs</w:t>
      </w:r>
      <w:proofErr w:type="spellEnd"/>
      <w:r>
        <w:t xml:space="preserve"> for migrants who arrive after age 60 ‘bottom out’, rather than continue to decline. This reflects that the older an immigrant is, the less time they are likely to have to draw on health and transfers expenses through the remainder of their lives, especially when accounting for the effect of any waiting periods.</w:t>
      </w:r>
    </w:p>
    <w:p w14:paraId="4C6A41E0" w14:textId="6E732D70" w:rsidR="004A36FF" w:rsidRDefault="004A36FF" w:rsidP="004A36F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A36FF" w14:paraId="4C6A41E3" w14:textId="77777777" w:rsidTr="00E56D5E">
        <w:tc>
          <w:tcPr>
            <w:tcW w:w="8771" w:type="dxa"/>
            <w:tcBorders>
              <w:top w:val="single" w:sz="6" w:space="0" w:color="78A22F"/>
              <w:left w:val="nil"/>
              <w:bottom w:val="nil"/>
              <w:right w:val="nil"/>
            </w:tcBorders>
            <w:shd w:val="clear" w:color="auto" w:fill="auto"/>
          </w:tcPr>
          <w:p w14:paraId="4C6A41E1" w14:textId="35C02889" w:rsidR="004A36FF" w:rsidRDefault="004A36FF" w:rsidP="00E56D5E">
            <w:pPr>
              <w:pStyle w:val="FigureTitle"/>
            </w:pPr>
            <w:r w:rsidRPr="00784A05">
              <w:rPr>
                <w:b w:val="0"/>
              </w:rPr>
              <w:t xml:space="preserve">Figure </w:t>
            </w:r>
            <w:proofErr w:type="spellStart"/>
            <w:r w:rsidR="00AD4F27">
              <w:rPr>
                <w:b w:val="0"/>
              </w:rPr>
              <w:t>D.6</w:t>
            </w:r>
            <w:proofErr w:type="spellEnd"/>
            <w:r>
              <w:tab/>
            </w:r>
            <w:r w:rsidR="003F3715">
              <w:t xml:space="preserve">Specification 1 — </w:t>
            </w:r>
            <w:r>
              <w:t>Estimated lifetime fiscal impacts by age on arrival</w:t>
            </w:r>
            <w:proofErr w:type="spellStart"/>
            <w:r>
              <w:rPr>
                <w:rStyle w:val="NoteLabel"/>
                <w:b/>
              </w:rPr>
              <w:t>a,b</w:t>
            </w:r>
            <w:proofErr w:type="spellEnd"/>
          </w:p>
          <w:p w14:paraId="4C6A41E2" w14:textId="77777777" w:rsidR="004A36FF" w:rsidRPr="00176D3F" w:rsidRDefault="004A36FF" w:rsidP="00D359C0">
            <w:pPr>
              <w:pStyle w:val="Subtitle"/>
            </w:pPr>
            <w:proofErr w:type="spellStart"/>
            <w:r>
              <w:t>NPV</w:t>
            </w:r>
            <w:proofErr w:type="spellEnd"/>
            <w:r w:rsidRPr="009F14E2">
              <w:t xml:space="preserve"> estimates of </w:t>
            </w:r>
            <w:r w:rsidR="00D359C0">
              <w:t>Australian G</w:t>
            </w:r>
            <w:r w:rsidR="00D359C0" w:rsidRPr="009F14E2">
              <w:t xml:space="preserve">overnment </w:t>
            </w:r>
            <w:r w:rsidRPr="009F14E2">
              <w:t xml:space="preserve">fiscal impacts per average permanent immigrant, </w:t>
            </w:r>
            <w:r>
              <w:t>net overseas migrant intake, 20</w:t>
            </w:r>
            <w:r w:rsidRPr="009F14E2">
              <w:t>14 dollars</w:t>
            </w:r>
            <w:r>
              <w:t>.</w:t>
            </w:r>
          </w:p>
        </w:tc>
      </w:tr>
      <w:tr w:rsidR="004A36FF" w14:paraId="4C6A41E7" w14:textId="77777777" w:rsidTr="00E56D5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4A36FF" w14:paraId="4C6A41E5" w14:textId="77777777" w:rsidTr="00E56D5E">
              <w:trPr>
                <w:jc w:val="center"/>
              </w:trPr>
              <w:tc>
                <w:tcPr>
                  <w:tcW w:w="5000" w:type="pct"/>
                  <w:tcBorders>
                    <w:top w:val="nil"/>
                    <w:bottom w:val="nil"/>
                  </w:tcBorders>
                </w:tcPr>
                <w:p w14:paraId="4C6A41E4" w14:textId="30192C47" w:rsidR="004A36FF" w:rsidRDefault="00BC1EDA" w:rsidP="00E56D5E">
                  <w:pPr>
                    <w:pStyle w:val="Figure"/>
                    <w:spacing w:before="60" w:after="60"/>
                  </w:pPr>
                  <w:r>
                    <w:rPr>
                      <w:noProof/>
                    </w:rPr>
                    <w:drawing>
                      <wp:inline distT="0" distB="0" distL="0" distR="0" wp14:anchorId="731158D7" wp14:editId="5D3BD475">
                        <wp:extent cx="5311775" cy="2806700"/>
                        <wp:effectExtent l="0" t="0" r="3175" b="0"/>
                        <wp:docPr id="7" name="Picture 7" descr="This figure shows estimated net present values of immigrants’ lifetime net fiscal impacts, by age on arrival (in 2014 dollars), for specification one of the model (based on the key Australian Government revenues and expenditures). Estimates are included for immigrants in the permanent family stream and for the general population (to age 60) and primary and secondary applicants in the permanent skill stream (to age 50). It illustrates that the net present values are relatively high for migrants who are young and skilled, with estimated net present values declining for older immigrants. The net present value curves are relatively lower for family stream immigrants than for skill stream immigrants. Primary skill stream applicants have relatively more favourable fiscal outcomes than the general population (at the corresponding ages of arrival), while secondary skill stream applicants have relatively less favourable fiscal outcomes than the general population (in net present value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1775" cy="2806700"/>
                                </a:xfrm>
                                <a:prstGeom prst="rect">
                                  <a:avLst/>
                                </a:prstGeom>
                                <a:noFill/>
                                <a:ln>
                                  <a:noFill/>
                                </a:ln>
                              </pic:spPr>
                            </pic:pic>
                          </a:graphicData>
                        </a:graphic>
                      </wp:inline>
                    </w:drawing>
                  </w:r>
                </w:p>
              </w:tc>
            </w:tr>
          </w:tbl>
          <w:p w14:paraId="4C6A41E6" w14:textId="77777777" w:rsidR="004A36FF" w:rsidRDefault="004A36FF" w:rsidP="00E56D5E">
            <w:pPr>
              <w:pStyle w:val="Figure"/>
            </w:pPr>
          </w:p>
        </w:tc>
      </w:tr>
      <w:tr w:rsidR="004A36FF" w:rsidRPr="00176D3F" w14:paraId="4C6A41E9" w14:textId="77777777" w:rsidTr="00E56D5E">
        <w:tc>
          <w:tcPr>
            <w:tcW w:w="8771" w:type="dxa"/>
            <w:tcBorders>
              <w:top w:val="nil"/>
              <w:left w:val="nil"/>
              <w:bottom w:val="nil"/>
              <w:right w:val="nil"/>
            </w:tcBorders>
            <w:shd w:val="clear" w:color="auto" w:fill="auto"/>
          </w:tcPr>
          <w:p w14:paraId="4C6A41E8" w14:textId="77777777" w:rsidR="004A36FF" w:rsidRPr="00176D3F" w:rsidRDefault="004A36FF" w:rsidP="001F1EC2">
            <w:pPr>
              <w:pStyle w:val="Note"/>
            </w:pPr>
            <w:proofErr w:type="spellStart"/>
            <w:r w:rsidRPr="008E77FE">
              <w:rPr>
                <w:rStyle w:val="NoteLabel"/>
              </w:rPr>
              <w:t>a</w:t>
            </w:r>
            <w:proofErr w:type="spellEnd"/>
            <w:r w:rsidR="001F1EC2">
              <w:t> </w:t>
            </w:r>
            <w:r w:rsidRPr="002E0DC2">
              <w:t>The line labelled ‘General population’ relates to the expenditures and revenues attributed to an Australian citizen that would enter Australia at the corresponding age of arrival</w:t>
            </w:r>
            <w:r>
              <w:t xml:space="preserve">. </w:t>
            </w:r>
            <w:r>
              <w:rPr>
                <w:rStyle w:val="NoteLabel"/>
              </w:rPr>
              <w:t>b</w:t>
            </w:r>
            <w:r>
              <w:t xml:space="preserve"> The limited coverage of </w:t>
            </w:r>
            <w:r w:rsidR="00D359C0">
              <w:t xml:space="preserve">Australian Government </w:t>
            </w:r>
            <w:r>
              <w:t>costs and revenues as described in the text means that these curves will only shift vertically if other items are included</w:t>
            </w:r>
            <w:r w:rsidR="00791500">
              <w:t xml:space="preserve"> (as in other specifications)</w:t>
            </w:r>
            <w:r>
              <w:t>. As such, the ages at which the curves cross the x</w:t>
            </w:r>
            <w:r w:rsidR="00A60593">
              <w:noBreakHyphen/>
            </w:r>
            <w:r>
              <w:t>axis should not be interpreted as ‘</w:t>
            </w:r>
            <w:r w:rsidR="00C56489">
              <w:t>breakeven</w:t>
            </w:r>
            <w:r>
              <w:t xml:space="preserve"> ages’.</w:t>
            </w:r>
          </w:p>
        </w:tc>
      </w:tr>
      <w:tr w:rsidR="004A36FF" w:rsidRPr="00176D3F" w14:paraId="4C6A41EB" w14:textId="77777777" w:rsidTr="00E56D5E">
        <w:tc>
          <w:tcPr>
            <w:tcW w:w="8771" w:type="dxa"/>
            <w:tcBorders>
              <w:top w:val="nil"/>
              <w:left w:val="nil"/>
              <w:bottom w:val="nil"/>
              <w:right w:val="nil"/>
            </w:tcBorders>
            <w:shd w:val="clear" w:color="auto" w:fill="auto"/>
          </w:tcPr>
          <w:p w14:paraId="4C6A41EA" w14:textId="77777777" w:rsidR="004A36FF" w:rsidRPr="00176D3F" w:rsidRDefault="004A36FF" w:rsidP="009C03E1">
            <w:pPr>
              <w:pStyle w:val="Source"/>
            </w:pPr>
            <w:r>
              <w:rPr>
                <w:i/>
              </w:rPr>
              <w:t>Source</w:t>
            </w:r>
            <w:r w:rsidRPr="001F1EC2">
              <w:t xml:space="preserve">: </w:t>
            </w:r>
            <w:r w:rsidR="000E72F2">
              <w:t>Productivity Commission</w:t>
            </w:r>
            <w:r w:rsidR="00C00470">
              <w:t xml:space="preserve"> estimates</w:t>
            </w:r>
            <w:r w:rsidR="00460B50">
              <w:t>.</w:t>
            </w:r>
          </w:p>
        </w:tc>
      </w:tr>
      <w:tr w:rsidR="004A36FF" w14:paraId="4C6A41ED" w14:textId="77777777" w:rsidTr="00E56D5E">
        <w:tc>
          <w:tcPr>
            <w:tcW w:w="8771" w:type="dxa"/>
            <w:tcBorders>
              <w:top w:val="nil"/>
              <w:left w:val="nil"/>
              <w:bottom w:val="single" w:sz="6" w:space="0" w:color="78A22F"/>
              <w:right w:val="nil"/>
            </w:tcBorders>
            <w:shd w:val="clear" w:color="auto" w:fill="auto"/>
          </w:tcPr>
          <w:p w14:paraId="4C6A41EC" w14:textId="77777777" w:rsidR="004A36FF" w:rsidRDefault="004A36FF" w:rsidP="00E56D5E">
            <w:pPr>
              <w:pStyle w:val="Figurespace"/>
            </w:pPr>
          </w:p>
        </w:tc>
      </w:tr>
      <w:tr w:rsidR="004A36FF" w:rsidRPr="000863A5" w14:paraId="4C6A41EF" w14:textId="77777777" w:rsidTr="00E56D5E">
        <w:tc>
          <w:tcPr>
            <w:tcW w:w="8771" w:type="dxa"/>
            <w:tcBorders>
              <w:top w:val="single" w:sz="6" w:space="0" w:color="78A22F"/>
              <w:left w:val="nil"/>
              <w:bottom w:val="nil"/>
              <w:right w:val="nil"/>
            </w:tcBorders>
          </w:tcPr>
          <w:p w14:paraId="4C6A41EE" w14:textId="205DE920" w:rsidR="004A36FF" w:rsidRPr="00626D32" w:rsidRDefault="004A36FF" w:rsidP="00E56D5E">
            <w:pPr>
              <w:pStyle w:val="BoxSpaceBelow"/>
            </w:pPr>
          </w:p>
        </w:tc>
      </w:tr>
    </w:tbl>
    <w:p w14:paraId="4C6A41F0" w14:textId="3510CFBA" w:rsidR="00DD73E7" w:rsidRDefault="00DD73E7" w:rsidP="00690981">
      <w:pPr>
        <w:pStyle w:val="Heading3"/>
      </w:pPr>
      <w:r>
        <w:t>Specification</w:t>
      </w:r>
      <w:r w:rsidR="00A60593">
        <w:t> </w:t>
      </w:r>
      <w:r>
        <w:t xml:space="preserve">2: </w:t>
      </w:r>
      <w:r w:rsidR="00D359C0">
        <w:t>Australian</w:t>
      </w:r>
      <w:r>
        <w:t xml:space="preserve">, </w:t>
      </w:r>
      <w:r w:rsidR="00F50555">
        <w:t>s</w:t>
      </w:r>
      <w:r w:rsidR="00D359C0">
        <w:t xml:space="preserve">tate </w:t>
      </w:r>
      <w:r>
        <w:t xml:space="preserve">and </w:t>
      </w:r>
      <w:r w:rsidR="00080BFE">
        <w:t>t</w:t>
      </w:r>
      <w:r w:rsidR="00D359C0">
        <w:t xml:space="preserve">erritory </w:t>
      </w:r>
      <w:r w:rsidR="00080BFE">
        <w:t>g</w:t>
      </w:r>
      <w:r>
        <w:t>overnments</w:t>
      </w:r>
    </w:p>
    <w:p w14:paraId="4C6A41F1" w14:textId="26AE551C" w:rsidR="00690981" w:rsidRDefault="00864610" w:rsidP="00690981">
      <w:pPr>
        <w:pStyle w:val="BodyText"/>
      </w:pPr>
      <w:r>
        <w:t xml:space="preserve">The second specification includes primary revenues and expenditures attributable to immigrants at both the </w:t>
      </w:r>
      <w:r w:rsidR="00D359C0">
        <w:t xml:space="preserve">Australian </w:t>
      </w:r>
      <w:r>
        <w:t xml:space="preserve">and </w:t>
      </w:r>
      <w:r w:rsidR="00960DAF">
        <w:t>s</w:t>
      </w:r>
      <w:r w:rsidR="00D359C0">
        <w:t xml:space="preserve">tate </w:t>
      </w:r>
      <w:r>
        <w:t xml:space="preserve">and </w:t>
      </w:r>
      <w:r w:rsidR="00960DAF">
        <w:t>t</w:t>
      </w:r>
      <w:r w:rsidR="00D359C0">
        <w:t xml:space="preserve">erritory </w:t>
      </w:r>
      <w:r>
        <w:t>levels</w:t>
      </w:r>
      <w:r w:rsidR="00960DAF">
        <w:t xml:space="preserve"> of government</w:t>
      </w:r>
      <w:r>
        <w:t>,</w:t>
      </w:r>
      <w:r w:rsidRPr="00864610">
        <w:t xml:space="preserve"> </w:t>
      </w:r>
      <w:r>
        <w:t xml:space="preserve">including state health and education expenditure and GST revenue. This specification underpins the results presented in </w:t>
      </w:r>
      <w:r w:rsidR="003F3715">
        <w:t>chapter </w:t>
      </w:r>
      <w:r>
        <w:t xml:space="preserve">9. By value these items account for around </w:t>
      </w:r>
      <w:r w:rsidR="00D359C0">
        <w:t>50 per </w:t>
      </w:r>
      <w:r>
        <w:t xml:space="preserve">cent of aggregate </w:t>
      </w:r>
      <w:r w:rsidR="00D359C0">
        <w:t xml:space="preserve">Australian </w:t>
      </w:r>
      <w:r>
        <w:t xml:space="preserve">and </w:t>
      </w:r>
      <w:r w:rsidR="007C6A45">
        <w:t>s</w:t>
      </w:r>
      <w:r>
        <w:t xml:space="preserve">tate and </w:t>
      </w:r>
      <w:r w:rsidR="007C6A45">
        <w:t>t</w:t>
      </w:r>
      <w:r>
        <w:t>erritory</w:t>
      </w:r>
      <w:r w:rsidR="00D359C0">
        <w:t xml:space="preserve"> </w:t>
      </w:r>
      <w:r w:rsidR="007C6A45">
        <w:t>g</w:t>
      </w:r>
      <w:r w:rsidR="00D359C0">
        <w:t>overnments</w:t>
      </w:r>
      <w:r w:rsidR="00F50555">
        <w:t xml:space="preserve"> expenditure</w:t>
      </w:r>
      <w:r>
        <w:t xml:space="preserve"> and 75</w:t>
      </w:r>
      <w:r w:rsidR="00D359C0">
        <w:t> per cent</w:t>
      </w:r>
      <w:r>
        <w:t xml:space="preserve"> of aggregate </w:t>
      </w:r>
      <w:r w:rsidR="00D359C0">
        <w:t xml:space="preserve">Australian </w:t>
      </w:r>
      <w:r>
        <w:t xml:space="preserve">and </w:t>
      </w:r>
      <w:r w:rsidR="007C6A45">
        <w:t>s</w:t>
      </w:r>
      <w:r>
        <w:t xml:space="preserve">tate and </w:t>
      </w:r>
      <w:r w:rsidR="007C6A45">
        <w:t>t</w:t>
      </w:r>
      <w:r>
        <w:t>erritory</w:t>
      </w:r>
      <w:r w:rsidR="00D359C0">
        <w:t xml:space="preserve"> </w:t>
      </w:r>
      <w:r w:rsidR="007C6A45">
        <w:t>g</w:t>
      </w:r>
      <w:r w:rsidR="00D359C0">
        <w:t>overnments</w:t>
      </w:r>
      <w:r>
        <w:t xml:space="preserve"> revenues (including GST). </w:t>
      </w:r>
      <w:r w:rsidR="00690981" w:rsidRPr="009B3EA3">
        <w:t xml:space="preserve">Overall, </w:t>
      </w:r>
      <w:r w:rsidR="00690981">
        <w:t>s</w:t>
      </w:r>
      <w:r w:rsidR="00690981" w:rsidRPr="009B3EA3">
        <w:t xml:space="preserve">tate expenditures on health and education represent around </w:t>
      </w:r>
      <w:r w:rsidR="00D359C0">
        <w:t>50 per </w:t>
      </w:r>
      <w:r w:rsidR="00690981">
        <w:t>cent</w:t>
      </w:r>
      <w:r w:rsidR="00690981" w:rsidRPr="009B3EA3">
        <w:t xml:space="preserve"> of total </w:t>
      </w:r>
      <w:r w:rsidR="00690981">
        <w:t>s</w:t>
      </w:r>
      <w:r w:rsidR="00690981" w:rsidRPr="009B3EA3">
        <w:t xml:space="preserve">tate expenditure and GST represents </w:t>
      </w:r>
      <w:r w:rsidR="00690981">
        <w:t xml:space="preserve">around </w:t>
      </w:r>
      <w:r w:rsidR="00D359C0">
        <w:t>55 per </w:t>
      </w:r>
      <w:r w:rsidR="00690981">
        <w:t>cent</w:t>
      </w:r>
      <w:r>
        <w:t xml:space="preserve"> of their revenues</w:t>
      </w:r>
      <w:r w:rsidR="00690981" w:rsidRPr="009B3EA3">
        <w:t>.</w:t>
      </w:r>
    </w:p>
    <w:p w14:paraId="4C6A41F2" w14:textId="0F92B8D6" w:rsidR="003B722C" w:rsidRDefault="00951FA3" w:rsidP="003B722C">
      <w:pPr>
        <w:pStyle w:val="BodyText"/>
      </w:pPr>
      <w:r w:rsidRPr="00951FA3">
        <w:t xml:space="preserve">Including </w:t>
      </w:r>
      <w:r w:rsidR="00D359C0">
        <w:t>Australian</w:t>
      </w:r>
      <w:r w:rsidR="00D359C0" w:rsidRPr="00951FA3">
        <w:t xml:space="preserve"> </w:t>
      </w:r>
      <w:r w:rsidRPr="00951FA3">
        <w:t xml:space="preserve">and </w:t>
      </w:r>
      <w:r w:rsidR="007C6A45">
        <w:t>s</w:t>
      </w:r>
      <w:r w:rsidR="00D359C0" w:rsidRPr="00951FA3">
        <w:t xml:space="preserve">tate </w:t>
      </w:r>
      <w:r w:rsidRPr="00951FA3">
        <w:t xml:space="preserve">and </w:t>
      </w:r>
      <w:r w:rsidR="007C6A45">
        <w:t>t</w:t>
      </w:r>
      <w:r w:rsidR="00D359C0" w:rsidRPr="00951FA3">
        <w:t xml:space="preserve">erritory </w:t>
      </w:r>
      <w:r w:rsidR="00A72456" w:rsidRPr="00951FA3">
        <w:t>levels</w:t>
      </w:r>
      <w:r w:rsidR="00A72456">
        <w:t xml:space="preserve"> of</w:t>
      </w:r>
      <w:r w:rsidR="00A72456" w:rsidRPr="00951FA3">
        <w:t xml:space="preserve"> </w:t>
      </w:r>
      <w:r w:rsidRPr="00951FA3">
        <w:t xml:space="preserve">government in the model lifts the </w:t>
      </w:r>
      <w:proofErr w:type="spellStart"/>
      <w:r w:rsidRPr="00951FA3">
        <w:t>NPVs</w:t>
      </w:r>
      <w:proofErr w:type="spellEnd"/>
      <w:r w:rsidRPr="00951FA3">
        <w:t xml:space="preserve"> across most ages</w:t>
      </w:r>
      <w:r w:rsidR="00A72456">
        <w:t>,</w:t>
      </w:r>
      <w:r w:rsidRPr="00951FA3">
        <w:t xml:space="preserve"> </w:t>
      </w:r>
      <w:r>
        <w:t>as</w:t>
      </w:r>
      <w:r w:rsidR="003B722C">
        <w:t xml:space="preserve"> </w:t>
      </w:r>
      <w:r w:rsidR="00A72456">
        <w:t>the additional items included</w:t>
      </w:r>
      <w:r w:rsidR="003B722C">
        <w:t xml:space="preserve"> have differential impacts by age </w:t>
      </w:r>
      <w:r>
        <w:t>(figure</w:t>
      </w:r>
      <w:r w:rsidR="00A60593">
        <w:t> </w:t>
      </w:r>
      <w:proofErr w:type="spellStart"/>
      <w:r w:rsidR="009C03E1">
        <w:t>D</w:t>
      </w:r>
      <w:r>
        <w:t>.</w:t>
      </w:r>
      <w:r w:rsidR="009C03E1">
        <w:t>6</w:t>
      </w:r>
      <w:proofErr w:type="spellEnd"/>
      <w:r w:rsidR="009C03E1">
        <w:t xml:space="preserve"> </w:t>
      </w:r>
      <w:r w:rsidR="003B722C">
        <w:t xml:space="preserve">relative to </w:t>
      </w:r>
      <w:r>
        <w:t>f</w:t>
      </w:r>
      <w:r w:rsidR="003B722C">
        <w:t>igure</w:t>
      </w:r>
      <w:r w:rsidR="00A60593">
        <w:t> </w:t>
      </w:r>
      <w:proofErr w:type="spellStart"/>
      <w:r w:rsidR="009C03E1">
        <w:t>D</w:t>
      </w:r>
      <w:r w:rsidR="003B722C">
        <w:t>.</w:t>
      </w:r>
      <w:r w:rsidR="009C03E1">
        <w:t>7</w:t>
      </w:r>
      <w:proofErr w:type="spellEnd"/>
      <w:r w:rsidR="003B722C">
        <w:t xml:space="preserve">). The curves shift down, however, </w:t>
      </w:r>
      <w:r w:rsidR="003B722C" w:rsidRPr="00F10573">
        <w:t xml:space="preserve">for those age groups </w:t>
      </w:r>
      <w:r w:rsidR="003B722C">
        <w:t>that</w:t>
      </w:r>
      <w:r w:rsidR="003B722C" w:rsidRPr="00F10573">
        <w:t xml:space="preserve"> incur </w:t>
      </w:r>
      <w:r w:rsidR="003B722C">
        <w:t xml:space="preserve">higher </w:t>
      </w:r>
      <w:r w:rsidR="003B722C" w:rsidRPr="00F10573">
        <w:t xml:space="preserve">state costs </w:t>
      </w:r>
      <w:r w:rsidR="00D05F44">
        <w:t>—</w:t>
      </w:r>
      <w:r w:rsidR="00D05F44" w:rsidRPr="00F10573">
        <w:t xml:space="preserve"> </w:t>
      </w:r>
      <w:r w:rsidR="003B722C">
        <w:t>namely, children</w:t>
      </w:r>
      <w:r w:rsidR="003B722C" w:rsidRPr="00F10573">
        <w:t xml:space="preserve"> going through </w:t>
      </w:r>
      <w:r w:rsidR="003B722C">
        <w:t>school</w:t>
      </w:r>
      <w:r w:rsidR="003B722C" w:rsidRPr="00F10573">
        <w:t xml:space="preserve">, and those who are </w:t>
      </w:r>
      <w:r w:rsidR="003B722C">
        <w:lastRenderedPageBreak/>
        <w:t xml:space="preserve">older </w:t>
      </w:r>
      <w:r w:rsidR="003B722C" w:rsidRPr="00F10573">
        <w:t xml:space="preserve">and draw on </w:t>
      </w:r>
      <w:r w:rsidR="003B722C">
        <w:t>hospital expenses</w:t>
      </w:r>
      <w:r w:rsidR="003B722C" w:rsidRPr="00F10573">
        <w:t>. For everyone else, the lifetime stream of GST offsets what health cost</w:t>
      </w:r>
      <w:r w:rsidR="003B722C">
        <w:t>s</w:t>
      </w:r>
      <w:r w:rsidR="003B722C" w:rsidRPr="00F10573">
        <w:t xml:space="preserve"> they will incur later in life.</w:t>
      </w:r>
      <w:r w:rsidR="003B722C">
        <w:rPr>
          <w:rStyle w:val="FootnoteReference"/>
        </w:rPr>
        <w:footnoteReference w:id="11"/>
      </w:r>
      <w:r w:rsidR="003B722C">
        <w:t xml:space="preserve"> </w:t>
      </w:r>
    </w:p>
    <w:p w14:paraId="4C6A41F3" w14:textId="0903CC45" w:rsidR="00F67620" w:rsidRPr="003B722C" w:rsidRDefault="00F67620" w:rsidP="003B722C">
      <w:pPr>
        <w:pStyle w:val="BodyText"/>
      </w:pPr>
      <w:r>
        <w:t xml:space="preserve">For an average Australian who spends their entire life in the country, the model implies that the </w:t>
      </w:r>
      <w:r w:rsidRPr="001B3232">
        <w:t xml:space="preserve">GST </w:t>
      </w:r>
      <w:r>
        <w:t xml:space="preserve">revenue they generate does </w:t>
      </w:r>
      <w:r w:rsidRPr="008B6DE7">
        <w:rPr>
          <w:i/>
        </w:rPr>
        <w:t>not</w:t>
      </w:r>
      <w:r>
        <w:t xml:space="preserve"> completely offset</w:t>
      </w:r>
      <w:r w:rsidRPr="001B3232">
        <w:t xml:space="preserve"> </w:t>
      </w:r>
      <w:r>
        <w:t>their lifetime</w:t>
      </w:r>
      <w:r w:rsidRPr="001B3232">
        <w:t xml:space="preserve"> health and education costs. </w:t>
      </w:r>
      <w:r>
        <w:t>However, the impact for immigrants</w:t>
      </w:r>
      <w:r w:rsidRPr="001B3232">
        <w:t xml:space="preserve"> depend</w:t>
      </w:r>
      <w:r>
        <w:t>s</w:t>
      </w:r>
      <w:r w:rsidRPr="001B3232">
        <w:t xml:space="preserve"> on the age distribution of </w:t>
      </w:r>
      <w:r>
        <w:t>the visa category</w:t>
      </w:r>
      <w:r w:rsidRPr="001B3232">
        <w:t xml:space="preserve"> in question. </w:t>
      </w:r>
      <w:r>
        <w:t>Generally, the results reinforce</w:t>
      </w:r>
      <w:r w:rsidRPr="001B3232">
        <w:t xml:space="preserve"> the policy implication that young educated </w:t>
      </w:r>
      <w:r>
        <w:t>im</w:t>
      </w:r>
      <w:r w:rsidRPr="001B3232">
        <w:t xml:space="preserve">migrants are </w:t>
      </w:r>
      <w:r>
        <w:t>more favourable</w:t>
      </w:r>
      <w:r w:rsidRPr="001B3232">
        <w:t xml:space="preserve"> from a fiscal </w:t>
      </w:r>
      <w:r>
        <w:t>point of view</w:t>
      </w:r>
      <w:r w:rsidRPr="001B3232">
        <w:t xml:space="preserve"> and </w:t>
      </w:r>
      <w:r>
        <w:t>this argument</w:t>
      </w:r>
      <w:r w:rsidRPr="006868EB">
        <w:t xml:space="preserve"> </w:t>
      </w:r>
      <w:r>
        <w:t xml:space="preserve">is likely to apply to </w:t>
      </w:r>
      <w:r w:rsidR="00960DAF">
        <w:t>st</w:t>
      </w:r>
      <w:r w:rsidR="00D359C0">
        <w:t xml:space="preserve">ate </w:t>
      </w:r>
      <w:r>
        <w:t xml:space="preserve">and </w:t>
      </w:r>
      <w:r w:rsidR="00960DAF">
        <w:t>t</w:t>
      </w:r>
      <w:r w:rsidR="00D359C0">
        <w:t xml:space="preserve">erritory </w:t>
      </w:r>
      <w:r w:rsidR="00960DAF">
        <w:t>g</w:t>
      </w:r>
      <w:r>
        <w:t>overnment budgets as well.</w:t>
      </w:r>
    </w:p>
    <w:p w14:paraId="4C6A41F4" w14:textId="6678DF6A" w:rsidR="00690981" w:rsidRPr="00746CD0" w:rsidRDefault="00690981" w:rsidP="0069098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90981" w14:paraId="4C6A41F7" w14:textId="77777777" w:rsidTr="00E56D5E">
        <w:tc>
          <w:tcPr>
            <w:tcW w:w="8771" w:type="dxa"/>
            <w:tcBorders>
              <w:top w:val="single" w:sz="6" w:space="0" w:color="78A22F"/>
              <w:left w:val="nil"/>
              <w:bottom w:val="nil"/>
              <w:right w:val="nil"/>
            </w:tcBorders>
            <w:shd w:val="clear" w:color="auto" w:fill="auto"/>
          </w:tcPr>
          <w:p w14:paraId="4C6A41F5" w14:textId="756B0398" w:rsidR="00690981" w:rsidRDefault="00690981" w:rsidP="00E56D5E">
            <w:pPr>
              <w:pStyle w:val="FigureTitle"/>
            </w:pPr>
            <w:r w:rsidRPr="00784A05">
              <w:rPr>
                <w:b w:val="0"/>
              </w:rPr>
              <w:t xml:space="preserve">Figure </w:t>
            </w:r>
            <w:proofErr w:type="spellStart"/>
            <w:r w:rsidR="00AD4F27">
              <w:rPr>
                <w:b w:val="0"/>
              </w:rPr>
              <w:t>D.7</w:t>
            </w:r>
            <w:proofErr w:type="spellEnd"/>
            <w:r>
              <w:tab/>
            </w:r>
            <w:r w:rsidR="003F3715">
              <w:t>Specification</w:t>
            </w:r>
            <w:r w:rsidR="00A60593">
              <w:t> </w:t>
            </w:r>
            <w:r w:rsidR="003F3715">
              <w:t xml:space="preserve">2 — </w:t>
            </w:r>
            <w:r>
              <w:t>Estimated lifetime fiscal impacts by age on arrival</w:t>
            </w:r>
            <w:proofErr w:type="spellStart"/>
            <w:r>
              <w:rPr>
                <w:rStyle w:val="NoteLabel"/>
                <w:b/>
              </w:rPr>
              <w:t>a,b</w:t>
            </w:r>
            <w:proofErr w:type="spellEnd"/>
          </w:p>
          <w:p w14:paraId="4C6A41F6" w14:textId="77777777" w:rsidR="00690981" w:rsidRPr="00176D3F" w:rsidRDefault="00107FDE" w:rsidP="00487D84">
            <w:pPr>
              <w:pStyle w:val="Subtitle"/>
            </w:pPr>
            <w:proofErr w:type="spellStart"/>
            <w:r>
              <w:t>NPV</w:t>
            </w:r>
            <w:proofErr w:type="spellEnd"/>
            <w:r>
              <w:t xml:space="preserve"> estimates of fiscal impacts on </w:t>
            </w:r>
            <w:r w:rsidR="00D359C0">
              <w:t>Australian</w:t>
            </w:r>
            <w:r>
              <w:t xml:space="preserve">, </w:t>
            </w:r>
            <w:r w:rsidR="007C6A45">
              <w:t>s</w:t>
            </w:r>
            <w:r w:rsidR="00D359C0">
              <w:t xml:space="preserve">tate </w:t>
            </w:r>
            <w:r w:rsidR="00690981">
              <w:t xml:space="preserve">and </w:t>
            </w:r>
            <w:r w:rsidR="007C6A45">
              <w:t>t</w:t>
            </w:r>
            <w:r w:rsidR="00D359C0">
              <w:t xml:space="preserve">erritory </w:t>
            </w:r>
            <w:r w:rsidR="007C6A45">
              <w:t>g</w:t>
            </w:r>
            <w:r w:rsidR="00690981" w:rsidRPr="009F14E2">
              <w:t>overnment</w:t>
            </w:r>
            <w:r w:rsidR="00350908">
              <w:t>s</w:t>
            </w:r>
            <w:r w:rsidR="00690981" w:rsidRPr="009F14E2">
              <w:t xml:space="preserve"> per average permanent immigrant, </w:t>
            </w:r>
            <w:r w:rsidR="00690981">
              <w:t>ne</w:t>
            </w:r>
            <w:r w:rsidR="00A60593">
              <w:t>t overseas migrant intake, 20</w:t>
            </w:r>
            <w:r w:rsidR="00690981" w:rsidRPr="009F14E2">
              <w:t>14 dollars</w:t>
            </w:r>
            <w:r w:rsidR="00690981">
              <w:t>.</w:t>
            </w:r>
          </w:p>
        </w:tc>
      </w:tr>
      <w:tr w:rsidR="00690981" w14:paraId="4C6A41FB" w14:textId="77777777" w:rsidTr="00E56D5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690981" w14:paraId="4C6A41F9" w14:textId="77777777" w:rsidTr="00E56D5E">
              <w:trPr>
                <w:jc w:val="center"/>
              </w:trPr>
              <w:tc>
                <w:tcPr>
                  <w:tcW w:w="5000" w:type="pct"/>
                  <w:tcBorders>
                    <w:top w:val="nil"/>
                    <w:bottom w:val="nil"/>
                  </w:tcBorders>
                </w:tcPr>
                <w:p w14:paraId="4C6A41F8" w14:textId="6B92CCC9" w:rsidR="00690981" w:rsidRDefault="008E2456" w:rsidP="00E56D5E">
                  <w:pPr>
                    <w:pStyle w:val="Figure"/>
                    <w:spacing w:before="60" w:after="60"/>
                  </w:pPr>
                  <w:r>
                    <w:rPr>
                      <w:noProof/>
                    </w:rPr>
                    <w:drawing>
                      <wp:inline distT="0" distB="0" distL="0" distR="0" wp14:anchorId="71592BC6" wp14:editId="419934DF">
                        <wp:extent cx="5367020" cy="2901950"/>
                        <wp:effectExtent l="0" t="0" r="5080" b="0"/>
                        <wp:docPr id="10" name="Picture 10" descr="This shows the net present value estimates of lifetime fiscal impacts per average permanent immigrant by age on arrival (in 2013 14 dollars). Overall, the curves show a slight dip in net present values from age zero to those who arrive as young children. The net present value curves then increase during the teenage years and peak for those who arrive early in working life. The curves then decline at rates that vary by immigrant category (net present values decrease most sharply for family stream immigrants, followed by secondary skill stream applicants, the general Australian population, and primary skill stream applicants). Beyond an age on arrival of about 30 years old, net present values decline in an almost linear fashion. The net present value curves are consistently less favourable for family stream immigrants than for skill stream immigrants. Primary skill stream applicants have consistently more favourable fiscal outcomes than the general population (at the corresponding ages of arrival), while secondary skill stream applicants have consistently less favourable fiscal outcomes than the general population (in net present value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67020" cy="2901950"/>
                                </a:xfrm>
                                <a:prstGeom prst="rect">
                                  <a:avLst/>
                                </a:prstGeom>
                                <a:noFill/>
                                <a:ln>
                                  <a:noFill/>
                                </a:ln>
                              </pic:spPr>
                            </pic:pic>
                          </a:graphicData>
                        </a:graphic>
                      </wp:inline>
                    </w:drawing>
                  </w:r>
                </w:p>
              </w:tc>
            </w:tr>
          </w:tbl>
          <w:p w14:paraId="4C6A41FA" w14:textId="77777777" w:rsidR="00690981" w:rsidRDefault="00690981" w:rsidP="00E56D5E">
            <w:pPr>
              <w:pStyle w:val="Figure"/>
            </w:pPr>
          </w:p>
        </w:tc>
      </w:tr>
      <w:tr w:rsidR="00690981" w:rsidRPr="00176D3F" w14:paraId="4C6A41FD" w14:textId="77777777" w:rsidTr="00E56D5E">
        <w:tc>
          <w:tcPr>
            <w:tcW w:w="8771" w:type="dxa"/>
            <w:tcBorders>
              <w:top w:val="nil"/>
              <w:left w:val="nil"/>
              <w:bottom w:val="nil"/>
              <w:right w:val="nil"/>
            </w:tcBorders>
            <w:shd w:val="clear" w:color="auto" w:fill="auto"/>
          </w:tcPr>
          <w:p w14:paraId="4C6A41FC" w14:textId="77777777" w:rsidR="00690981" w:rsidRPr="00176D3F" w:rsidRDefault="00690981" w:rsidP="007C6A45">
            <w:pPr>
              <w:pStyle w:val="Note"/>
            </w:pPr>
            <w:proofErr w:type="spellStart"/>
            <w:r w:rsidRPr="008E77FE">
              <w:rPr>
                <w:rStyle w:val="NoteLabel"/>
              </w:rPr>
              <w:t>a</w:t>
            </w:r>
            <w:proofErr w:type="spellEnd"/>
            <w:r w:rsidR="00960DAF">
              <w:t> </w:t>
            </w:r>
            <w:r w:rsidRPr="002E0DC2">
              <w:t>The line labelled ‘General population’ relates to the expenditures and revenues attributed to an Australian citizen that would enter Australia at the corresponding age of arrival</w:t>
            </w:r>
            <w:r>
              <w:t xml:space="preserve">. </w:t>
            </w:r>
            <w:r>
              <w:rPr>
                <w:rStyle w:val="NoteLabel"/>
              </w:rPr>
              <w:t>b</w:t>
            </w:r>
            <w:r w:rsidR="00960DAF">
              <w:t> </w:t>
            </w:r>
            <w:r>
              <w:t xml:space="preserve">The limited coverage of </w:t>
            </w:r>
            <w:r w:rsidR="00350908">
              <w:t xml:space="preserve">Australian </w:t>
            </w:r>
            <w:r>
              <w:t xml:space="preserve">and </w:t>
            </w:r>
            <w:r w:rsidR="007C6A45">
              <w:t>s</w:t>
            </w:r>
            <w:r>
              <w:t>tate</w:t>
            </w:r>
            <w:r w:rsidR="00350908">
              <w:t xml:space="preserve"> and </w:t>
            </w:r>
            <w:r w:rsidR="007C6A45">
              <w:t>t</w:t>
            </w:r>
            <w:r w:rsidR="00350908">
              <w:t xml:space="preserve">erritory </w:t>
            </w:r>
            <w:r w:rsidR="007C6A45">
              <w:t>g</w:t>
            </w:r>
            <w:r w:rsidR="00350908">
              <w:t>overnments</w:t>
            </w:r>
            <w:r>
              <w:t xml:space="preserve"> costs and revenues as described in the text means that these curves will only shift vertically if other items are included</w:t>
            </w:r>
            <w:r w:rsidR="00791500">
              <w:t xml:space="preserve"> (as in other specifications)</w:t>
            </w:r>
            <w:r>
              <w:t>. As such, the ages at which the curves cross the x</w:t>
            </w:r>
            <w:r w:rsidR="00A60593">
              <w:noBreakHyphen/>
            </w:r>
            <w:r>
              <w:t>axis should not be interpreted as ‘breakeven ages’.</w:t>
            </w:r>
          </w:p>
        </w:tc>
      </w:tr>
      <w:tr w:rsidR="00690981" w:rsidRPr="00176D3F" w14:paraId="4C6A41FF" w14:textId="77777777" w:rsidTr="00E56D5E">
        <w:tc>
          <w:tcPr>
            <w:tcW w:w="8771" w:type="dxa"/>
            <w:tcBorders>
              <w:top w:val="nil"/>
              <w:left w:val="nil"/>
              <w:bottom w:val="nil"/>
              <w:right w:val="nil"/>
            </w:tcBorders>
            <w:shd w:val="clear" w:color="auto" w:fill="auto"/>
          </w:tcPr>
          <w:p w14:paraId="4C6A41FE" w14:textId="77777777" w:rsidR="00690981" w:rsidRPr="00176D3F" w:rsidRDefault="00690981" w:rsidP="009C03E1">
            <w:pPr>
              <w:pStyle w:val="Source"/>
            </w:pPr>
            <w:r>
              <w:rPr>
                <w:i/>
              </w:rPr>
              <w:t>Source</w:t>
            </w:r>
            <w:r w:rsidRPr="004354FF">
              <w:t>:</w:t>
            </w:r>
            <w:r>
              <w:rPr>
                <w:i/>
              </w:rPr>
              <w:t xml:space="preserve"> </w:t>
            </w:r>
            <w:r w:rsidR="000E72F2">
              <w:t>Productivity Commission</w:t>
            </w:r>
            <w:r w:rsidR="00C00470">
              <w:t xml:space="preserve"> estimates</w:t>
            </w:r>
            <w:r w:rsidR="00107FDE" w:rsidRPr="00107FDE">
              <w:t>.</w:t>
            </w:r>
            <w:r w:rsidRPr="00176D3F">
              <w:t xml:space="preserve"> </w:t>
            </w:r>
          </w:p>
        </w:tc>
      </w:tr>
      <w:tr w:rsidR="00690981" w14:paraId="4C6A4201" w14:textId="77777777" w:rsidTr="00E56D5E">
        <w:tc>
          <w:tcPr>
            <w:tcW w:w="8771" w:type="dxa"/>
            <w:tcBorders>
              <w:top w:val="nil"/>
              <w:left w:val="nil"/>
              <w:bottom w:val="single" w:sz="6" w:space="0" w:color="78A22F"/>
              <w:right w:val="nil"/>
            </w:tcBorders>
            <w:shd w:val="clear" w:color="auto" w:fill="auto"/>
          </w:tcPr>
          <w:p w14:paraId="4C6A4200" w14:textId="77777777" w:rsidR="00690981" w:rsidRDefault="00690981" w:rsidP="00E56D5E">
            <w:pPr>
              <w:pStyle w:val="Figurespace"/>
            </w:pPr>
          </w:p>
        </w:tc>
      </w:tr>
      <w:tr w:rsidR="00690981" w:rsidRPr="000863A5" w14:paraId="4C6A4203" w14:textId="77777777" w:rsidTr="00E56D5E">
        <w:tc>
          <w:tcPr>
            <w:tcW w:w="8771" w:type="dxa"/>
            <w:tcBorders>
              <w:top w:val="single" w:sz="6" w:space="0" w:color="78A22F"/>
              <w:left w:val="nil"/>
              <w:bottom w:val="nil"/>
              <w:right w:val="nil"/>
            </w:tcBorders>
          </w:tcPr>
          <w:p w14:paraId="4C6A4202" w14:textId="23D04A57" w:rsidR="00690981" w:rsidRPr="00626D32" w:rsidRDefault="00690981" w:rsidP="00E56D5E">
            <w:pPr>
              <w:pStyle w:val="BoxSpaceBelow"/>
            </w:pPr>
          </w:p>
        </w:tc>
      </w:tr>
    </w:tbl>
    <w:p w14:paraId="4C6A4204" w14:textId="77777777" w:rsidR="00DD73E7" w:rsidRDefault="00DD73E7" w:rsidP="00690981">
      <w:pPr>
        <w:pStyle w:val="Heading3"/>
      </w:pPr>
      <w:r>
        <w:lastRenderedPageBreak/>
        <w:t>Specification</w:t>
      </w:r>
      <w:r w:rsidR="00A60593">
        <w:t> </w:t>
      </w:r>
      <w:r w:rsidR="00690981">
        <w:t>3</w:t>
      </w:r>
      <w:r>
        <w:t xml:space="preserve">: </w:t>
      </w:r>
      <w:r w:rsidR="00350908">
        <w:t>Whole</w:t>
      </w:r>
      <w:r w:rsidR="00350908">
        <w:noBreakHyphen/>
        <w:t>of</w:t>
      </w:r>
      <w:r w:rsidR="00B11D7F">
        <w:noBreakHyphen/>
      </w:r>
      <w:r>
        <w:t>government</w:t>
      </w:r>
    </w:p>
    <w:p w14:paraId="4C6A4205" w14:textId="4F80E5BA" w:rsidR="005315B0" w:rsidRDefault="006868EB" w:rsidP="005315B0">
      <w:pPr>
        <w:pStyle w:val="BodyText"/>
      </w:pPr>
      <w:r>
        <w:t xml:space="preserve">As noted in </w:t>
      </w:r>
      <w:r w:rsidR="003F3715">
        <w:t>chapter </w:t>
      </w:r>
      <w:r w:rsidR="007A23D7">
        <w:t xml:space="preserve">9, </w:t>
      </w:r>
      <w:r>
        <w:t xml:space="preserve">there are additional </w:t>
      </w:r>
      <w:r w:rsidR="00671A8A">
        <w:t xml:space="preserve">revenues and expenditures </w:t>
      </w:r>
      <w:r w:rsidR="00680A0F">
        <w:t xml:space="preserve">that are difficult to directly attribute to </w:t>
      </w:r>
      <w:r w:rsidR="005315B0">
        <w:t>im</w:t>
      </w:r>
      <w:r w:rsidR="00D029CB">
        <w:t>migrants</w:t>
      </w:r>
      <w:r w:rsidR="00A72456">
        <w:t>.</w:t>
      </w:r>
      <w:r w:rsidR="00D029CB">
        <w:t xml:space="preserve"> </w:t>
      </w:r>
      <w:r w:rsidR="00A72456">
        <w:t xml:space="preserve">These additional items </w:t>
      </w:r>
      <w:r w:rsidR="00D029CB">
        <w:t xml:space="preserve">are </w:t>
      </w:r>
      <w:r w:rsidR="00A60593">
        <w:t>not captured in specificat</w:t>
      </w:r>
      <w:r w:rsidR="00F50555">
        <w:t>ions 1 </w:t>
      </w:r>
      <w:r w:rsidR="00671A8A">
        <w:t xml:space="preserve">and </w:t>
      </w:r>
      <w:r w:rsidR="00A60593">
        <w:t>2</w:t>
      </w:r>
      <w:r w:rsidR="00671A8A">
        <w:t xml:space="preserve"> </w:t>
      </w:r>
      <w:r w:rsidR="009E7808">
        <w:t xml:space="preserve">which focus on estimating the </w:t>
      </w:r>
      <w:r w:rsidR="009E7808" w:rsidRPr="00671A8A">
        <w:rPr>
          <w:i/>
        </w:rPr>
        <w:t>relative</w:t>
      </w:r>
      <w:r w:rsidR="009E7808">
        <w:t xml:space="preserve"> fiscal impacts between different immigrants</w:t>
      </w:r>
      <w:r w:rsidR="00671A8A">
        <w:t xml:space="preserve">. </w:t>
      </w:r>
      <w:r w:rsidR="00680A0F">
        <w:t xml:space="preserve">This is partly due to </w:t>
      </w:r>
      <w:r w:rsidR="00D05F44">
        <w:t xml:space="preserve">limited </w:t>
      </w:r>
      <w:r w:rsidR="00680A0F">
        <w:t>data availability</w:t>
      </w:r>
      <w:r w:rsidR="003F3715">
        <w:t>. D</w:t>
      </w:r>
      <w:r w:rsidR="009E7808" w:rsidRPr="009E7808">
        <w:t>ata</w:t>
      </w:r>
      <w:r w:rsidR="00D029CB">
        <w:t xml:space="preserve"> are generally not publicly available</w:t>
      </w:r>
      <w:r w:rsidR="009E7808" w:rsidRPr="009E7808">
        <w:t xml:space="preserve"> on immigrants’ relative contributi</w:t>
      </w:r>
      <w:r w:rsidR="00680A0F">
        <w:t>ons to these additional revenues and expenditures</w:t>
      </w:r>
      <w:r w:rsidR="009E7808" w:rsidRPr="009E7808">
        <w:t xml:space="preserve">. </w:t>
      </w:r>
      <w:r w:rsidR="003F3715">
        <w:t>A</w:t>
      </w:r>
      <w:r w:rsidR="00680A0F">
        <w:t xml:space="preserve">dditional </w:t>
      </w:r>
      <w:r w:rsidR="009E7808" w:rsidRPr="009E7808">
        <w:t>expenditures</w:t>
      </w:r>
      <w:r w:rsidR="00D029CB">
        <w:t xml:space="preserve"> also</w:t>
      </w:r>
      <w:r w:rsidR="009E7808" w:rsidRPr="009E7808">
        <w:t xml:space="preserve"> </w:t>
      </w:r>
      <w:r w:rsidR="009E7808">
        <w:t>r</w:t>
      </w:r>
      <w:r w:rsidR="009E7808" w:rsidRPr="009E7808">
        <w:t xml:space="preserve">elate to </w:t>
      </w:r>
      <w:r w:rsidR="003F3715" w:rsidRPr="009E7808">
        <w:t>government</w:t>
      </w:r>
      <w:r w:rsidR="003F3715">
        <w:noBreakHyphen/>
      </w:r>
      <w:r w:rsidR="009E7808" w:rsidRPr="009E7808">
        <w:t xml:space="preserve">provided goods and services </w:t>
      </w:r>
      <w:r w:rsidR="005315B0">
        <w:t xml:space="preserve">which </w:t>
      </w:r>
      <w:r w:rsidR="000300E4">
        <w:t xml:space="preserve">may </w:t>
      </w:r>
      <w:r w:rsidR="005315B0">
        <w:t>exhibit</w:t>
      </w:r>
      <w:r w:rsidR="009E7808" w:rsidRPr="009E7808">
        <w:t xml:space="preserve"> public good qualities. It </w:t>
      </w:r>
      <w:r w:rsidR="005315B0">
        <w:t>is debatable</w:t>
      </w:r>
      <w:r w:rsidR="009E7808" w:rsidRPr="009E7808">
        <w:t xml:space="preserve"> as to how these costs should be attributed to the existing Australian population, let alone different types of </w:t>
      </w:r>
      <w:r w:rsidR="003F3715">
        <w:t>im</w:t>
      </w:r>
      <w:r w:rsidR="00A50858">
        <w:t>migrants</w:t>
      </w:r>
      <w:r w:rsidR="009E7808" w:rsidRPr="009E7808">
        <w:t xml:space="preserve"> </w:t>
      </w:r>
      <w:r w:rsidR="00A50858">
        <w:t>(</w:t>
      </w:r>
      <w:r w:rsidR="00F50555">
        <w:t>for example,</w:t>
      </w:r>
      <w:r w:rsidR="009E7808" w:rsidRPr="009E7808">
        <w:t xml:space="preserve"> </w:t>
      </w:r>
      <w:r w:rsidR="00680A0F">
        <w:t xml:space="preserve">congestible infrastructure such as roads and rail, or </w:t>
      </w:r>
      <w:r w:rsidR="005315B0">
        <w:t xml:space="preserve">the </w:t>
      </w:r>
      <w:r w:rsidR="009E7808" w:rsidRPr="009E7808">
        <w:t>provision of defence forces</w:t>
      </w:r>
      <w:r w:rsidR="00A50858">
        <w:t>)</w:t>
      </w:r>
      <w:r w:rsidR="009E7808" w:rsidRPr="009E7808">
        <w:t xml:space="preserve">. </w:t>
      </w:r>
      <w:r w:rsidR="005315B0">
        <w:t xml:space="preserve">While </w:t>
      </w:r>
      <w:r w:rsidR="009E7808" w:rsidRPr="009E7808">
        <w:t>beyond the scope of this supple</w:t>
      </w:r>
      <w:r w:rsidR="005315B0">
        <w:t xml:space="preserve">ment, </w:t>
      </w:r>
      <w:r w:rsidR="00671A8A">
        <w:t xml:space="preserve">these additional </w:t>
      </w:r>
      <w:r w:rsidR="009E7808">
        <w:t>revenues and expenditures</w:t>
      </w:r>
      <w:r w:rsidR="00671A8A">
        <w:t xml:space="preserve"> are highly relevant to governments, particularly insofar as immigration policy is</w:t>
      </w:r>
      <w:r w:rsidR="00C1677D">
        <w:t>,</w:t>
      </w:r>
      <w:r w:rsidR="00671A8A">
        <w:t xml:space="preserve"> in effect</w:t>
      </w:r>
      <w:r w:rsidR="00C1677D">
        <w:t>,</w:t>
      </w:r>
      <w:r w:rsidR="00671A8A">
        <w:t xml:space="preserve"> a</w:t>
      </w:r>
      <w:r w:rsidR="00671A8A" w:rsidRPr="00C07D36">
        <w:t xml:space="preserve"> </w:t>
      </w:r>
      <w:r w:rsidR="00671A8A">
        <w:t xml:space="preserve">default </w:t>
      </w:r>
      <w:r w:rsidR="00671A8A" w:rsidRPr="00C07D36">
        <w:t>population policy</w:t>
      </w:r>
      <w:r w:rsidR="00671A8A">
        <w:t xml:space="preserve">. </w:t>
      </w:r>
    </w:p>
    <w:p w14:paraId="4C6A4206" w14:textId="16D47B38" w:rsidR="00680A0F" w:rsidRDefault="0035112F" w:rsidP="005315B0">
      <w:pPr>
        <w:pStyle w:val="BodyText"/>
      </w:pPr>
      <w:r>
        <w:t>Given data limitations, t</w:t>
      </w:r>
      <w:r w:rsidR="00D029CB">
        <w:t xml:space="preserve">his </w:t>
      </w:r>
      <w:r w:rsidR="005315B0">
        <w:t>specification augments t</w:t>
      </w:r>
      <w:r w:rsidR="00680A0F">
        <w:t xml:space="preserve">he </w:t>
      </w:r>
      <w:r w:rsidR="005315B0">
        <w:t xml:space="preserve">revenue and </w:t>
      </w:r>
      <w:r w:rsidR="00680A0F">
        <w:t>cost structure in the model</w:t>
      </w:r>
      <w:r w:rsidR="00680A0F" w:rsidRPr="007A23D7">
        <w:t xml:space="preserve"> </w:t>
      </w:r>
      <w:r w:rsidR="00680A0F">
        <w:t xml:space="preserve">to include per </w:t>
      </w:r>
      <w:r w:rsidR="00A15A2E">
        <w:t>person</w:t>
      </w:r>
      <w:r w:rsidR="00680A0F">
        <w:t xml:space="preserve"> estimates </w:t>
      </w:r>
      <w:r w:rsidR="005315B0">
        <w:t xml:space="preserve">of the aggregate revenues and costs </w:t>
      </w:r>
      <w:r w:rsidR="005315B0" w:rsidRPr="00C4799E">
        <w:rPr>
          <w:i/>
        </w:rPr>
        <w:t>not</w:t>
      </w:r>
      <w:r w:rsidR="005315B0">
        <w:t xml:space="preserve"> captured in specification</w:t>
      </w:r>
      <w:r w:rsidR="00A60593">
        <w:t> 2</w:t>
      </w:r>
      <w:r w:rsidR="00F50555">
        <w:t>.</w:t>
      </w:r>
      <w:r w:rsidR="00562873">
        <w:rPr>
          <w:rStyle w:val="FootnoteReference"/>
        </w:rPr>
        <w:footnoteReference w:id="12"/>
      </w:r>
      <w:r w:rsidR="005315B0">
        <w:t xml:space="preserve"> While this is a simplistic approach, it does enable a</w:t>
      </w:r>
      <w:r>
        <w:t>n</w:t>
      </w:r>
      <w:r w:rsidR="005315B0">
        <w:t xml:space="preserve"> </w:t>
      </w:r>
      <w:r w:rsidR="00C4799E" w:rsidRPr="00DD5CCC">
        <w:rPr>
          <w:i/>
        </w:rPr>
        <w:t>illustrative</w:t>
      </w:r>
      <w:r w:rsidR="00C4799E">
        <w:t xml:space="preserve"> </w:t>
      </w:r>
      <w:r w:rsidR="005315B0">
        <w:t>projection of</w:t>
      </w:r>
      <w:r w:rsidR="00680A0F" w:rsidRPr="007A23D7">
        <w:t xml:space="preserve"> </w:t>
      </w:r>
      <w:r w:rsidR="005315B0">
        <w:t xml:space="preserve">immigrants’ </w:t>
      </w:r>
      <w:r w:rsidR="00680A0F" w:rsidRPr="007A23D7">
        <w:t xml:space="preserve">lifetime fiscal impacts in </w:t>
      </w:r>
      <w:r w:rsidR="00680A0F" w:rsidRPr="00A3647B">
        <w:t>absolute</w:t>
      </w:r>
      <w:r w:rsidR="00680A0F" w:rsidRPr="007A23D7">
        <w:t xml:space="preserve"> terms.</w:t>
      </w:r>
      <w:r w:rsidR="00160184">
        <w:rPr>
          <w:rStyle w:val="FootnoteReference"/>
        </w:rPr>
        <w:footnoteReference w:id="13"/>
      </w:r>
      <w:r w:rsidR="00680A0F" w:rsidRPr="007A23D7">
        <w:t xml:space="preserve"> </w:t>
      </w:r>
    </w:p>
    <w:p w14:paraId="4C6A4207" w14:textId="77777777" w:rsidR="000300E4" w:rsidRDefault="000300E4" w:rsidP="00F67620">
      <w:pPr>
        <w:pStyle w:val="BodyText"/>
        <w:tabs>
          <w:tab w:val="left" w:pos="2850"/>
        </w:tabs>
      </w:pPr>
      <w:r>
        <w:t xml:space="preserve">This specification indicates that the </w:t>
      </w:r>
      <w:proofErr w:type="spellStart"/>
      <w:r>
        <w:t>NPV</w:t>
      </w:r>
      <w:proofErr w:type="spellEnd"/>
      <w:r>
        <w:t xml:space="preserve"> of immigrants’ net fiscal impacts are negative regardless of age on arrival (figure</w:t>
      </w:r>
      <w:r w:rsidR="00A60593">
        <w:t> </w:t>
      </w:r>
      <w:proofErr w:type="spellStart"/>
      <w:r w:rsidR="009C03E1">
        <w:t>D</w:t>
      </w:r>
      <w:r>
        <w:t>.</w:t>
      </w:r>
      <w:r w:rsidR="009C03E1">
        <w:t>8</w:t>
      </w:r>
      <w:proofErr w:type="spellEnd"/>
      <w:r>
        <w:t xml:space="preserve">). This is also true for a hypothetical Australian citizen arriving in the country. Notwithstanding uniformly negative </w:t>
      </w:r>
      <w:proofErr w:type="spellStart"/>
      <w:r>
        <w:t>NPVs</w:t>
      </w:r>
      <w:proofErr w:type="spellEnd"/>
      <w:r>
        <w:t xml:space="preserve">, the </w:t>
      </w:r>
      <w:r w:rsidRPr="00D029CB">
        <w:rPr>
          <w:i/>
        </w:rPr>
        <w:t>relative</w:t>
      </w:r>
      <w:r>
        <w:t xml:space="preserve"> fiscal impacts of immigrants remain unchanged, with younger</w:t>
      </w:r>
      <w:r w:rsidR="00960DAF">
        <w:t xml:space="preserve"> skilled</w:t>
      </w:r>
      <w:r>
        <w:t xml:space="preserve"> immigrants in early working age having better fiscal impacts th</w:t>
      </w:r>
      <w:r w:rsidR="00F67620">
        <w:t xml:space="preserve">an for the general population. </w:t>
      </w:r>
    </w:p>
    <w:p w14:paraId="4C6A4208" w14:textId="76912A3E" w:rsidR="00487D84" w:rsidRDefault="00487D84" w:rsidP="00487D84">
      <w:pPr>
        <w:pStyle w:val="BodyText"/>
        <w:tabs>
          <w:tab w:val="left" w:pos="2850"/>
        </w:tabs>
      </w:pPr>
      <w:r>
        <w:t>This does not imply that the immigration system necessarily generates a worse outcome from the perspective of the Australian community. Immigrants with relatively better net fiscal impacts than the average Australian (</w:t>
      </w:r>
      <w:r w:rsidR="00A50858">
        <w:t>for</w:t>
      </w:r>
      <w:r w:rsidR="00DF30DF">
        <w:t xml:space="preserve"> example,</w:t>
      </w:r>
      <w:r>
        <w:t xml:space="preserve"> temporary immigrants, skill stream primary immigrants) will deliver a fiscal gain (regardless of whether their net fiscal impacts are positive or negative in absolute terms) because, while they add to the population, they minimise any reduction in </w:t>
      </w:r>
      <w:r w:rsidRPr="001D1F60">
        <w:rPr>
          <w:i/>
        </w:rPr>
        <w:t>average</w:t>
      </w:r>
      <w:r>
        <w:t xml:space="preserve"> consumption that may occur under a future rise in taxes or reduction in government spending.</w:t>
      </w:r>
      <w:r>
        <w:rPr>
          <w:rStyle w:val="FootnoteReference"/>
        </w:rPr>
        <w:footnoteReference w:id="14"/>
      </w:r>
      <w:r>
        <w:t xml:space="preserve"> </w:t>
      </w:r>
    </w:p>
    <w:p w14:paraId="4C6A420A" w14:textId="3AA70A38" w:rsidR="00645852" w:rsidRPr="00746CD0" w:rsidRDefault="00645852" w:rsidP="0064585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45852" w14:paraId="4C6A420D" w14:textId="77777777" w:rsidTr="00FA7932">
        <w:tc>
          <w:tcPr>
            <w:tcW w:w="8771" w:type="dxa"/>
            <w:tcBorders>
              <w:top w:val="single" w:sz="6" w:space="0" w:color="78A22F"/>
              <w:left w:val="nil"/>
              <w:bottom w:val="nil"/>
              <w:right w:val="nil"/>
            </w:tcBorders>
            <w:shd w:val="clear" w:color="auto" w:fill="auto"/>
          </w:tcPr>
          <w:p w14:paraId="4C6A420B" w14:textId="20F6AE7D" w:rsidR="00645852" w:rsidRDefault="00645852" w:rsidP="00FA7932">
            <w:pPr>
              <w:pStyle w:val="FigureTitle"/>
            </w:pPr>
            <w:r w:rsidRPr="00784A05">
              <w:rPr>
                <w:b w:val="0"/>
              </w:rPr>
              <w:t xml:space="preserve">Figure </w:t>
            </w:r>
            <w:proofErr w:type="spellStart"/>
            <w:r w:rsidR="00AD4F27">
              <w:rPr>
                <w:b w:val="0"/>
              </w:rPr>
              <w:t>D.8</w:t>
            </w:r>
            <w:proofErr w:type="spellEnd"/>
            <w:r>
              <w:tab/>
            </w:r>
            <w:r w:rsidR="008E73F0">
              <w:t xml:space="preserve">Specification 3 — </w:t>
            </w:r>
            <w:r>
              <w:t>Estimated lifetime fiscal impacts by age on arrival</w:t>
            </w:r>
            <w:r>
              <w:rPr>
                <w:rStyle w:val="NoteLabel"/>
                <w:b/>
              </w:rPr>
              <w:t>a</w:t>
            </w:r>
          </w:p>
          <w:p w14:paraId="4C6A420C" w14:textId="77777777" w:rsidR="00645852" w:rsidRPr="00176D3F" w:rsidRDefault="00645852" w:rsidP="00A60593">
            <w:pPr>
              <w:pStyle w:val="Subtitle"/>
            </w:pPr>
            <w:proofErr w:type="spellStart"/>
            <w:r>
              <w:t>NPV</w:t>
            </w:r>
            <w:proofErr w:type="spellEnd"/>
            <w:r w:rsidRPr="009F14E2">
              <w:t xml:space="preserve"> estimates of </w:t>
            </w:r>
            <w:r>
              <w:t>whole</w:t>
            </w:r>
            <w:r w:rsidR="00A60593">
              <w:noBreakHyphen/>
            </w:r>
            <w:r>
              <w:t>of</w:t>
            </w:r>
            <w:r w:rsidR="00A60593">
              <w:noBreakHyphen/>
            </w:r>
            <w:r>
              <w:t>g</w:t>
            </w:r>
            <w:r w:rsidRPr="009F14E2">
              <w:t xml:space="preserve">overnment fiscal impacts per average permanent immigrant, </w:t>
            </w:r>
            <w:r>
              <w:t>net ov</w:t>
            </w:r>
            <w:r w:rsidR="00A60593">
              <w:t>erseas migrant intake, 20</w:t>
            </w:r>
            <w:r w:rsidRPr="009F14E2">
              <w:t>14 dollars</w:t>
            </w:r>
            <w:r>
              <w:t>.</w:t>
            </w:r>
          </w:p>
        </w:tc>
      </w:tr>
      <w:tr w:rsidR="00645852" w14:paraId="4C6A4211" w14:textId="77777777" w:rsidTr="00FA7932">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645852" w14:paraId="4C6A420F" w14:textId="77777777" w:rsidTr="00FA7932">
              <w:trPr>
                <w:jc w:val="center"/>
              </w:trPr>
              <w:tc>
                <w:tcPr>
                  <w:tcW w:w="5000" w:type="pct"/>
                  <w:tcBorders>
                    <w:top w:val="nil"/>
                    <w:bottom w:val="nil"/>
                  </w:tcBorders>
                </w:tcPr>
                <w:p w14:paraId="4C6A420E" w14:textId="18E58D6C" w:rsidR="00645852" w:rsidRDefault="008E2456" w:rsidP="00FA7932">
                  <w:pPr>
                    <w:pStyle w:val="Figure"/>
                    <w:spacing w:before="60" w:after="60"/>
                  </w:pPr>
                  <w:r>
                    <w:rPr>
                      <w:noProof/>
                    </w:rPr>
                    <w:drawing>
                      <wp:inline distT="0" distB="0" distL="0" distR="0" wp14:anchorId="6695AAC1" wp14:editId="66E7DEBC">
                        <wp:extent cx="5311775" cy="2806700"/>
                        <wp:effectExtent l="0" t="0" r="3175" b="0"/>
                        <wp:docPr id="11" name="Picture 11" descr="This figure shows estimated net present values of immigrants’ lifetime net fiscal impacts, by age on arrival (in 2014 dollars), for specification three of the model (based on all expenditures and revenues at all levels of government). Estimates are included for immigrants in the permanent family stream and for the general population (to age 60) and primary and secondary applicants in the permanent skill stream (to age 50). It illustrates that in specification three, the net present values are negative for all ages, but the relativities between different categories of immigrants remains the same as in specifications one and two. The net present value curves are relatively less favourable for family stream immigrants than for skill stream immigrants. Primary skill stream applicants have relatively more favourable fiscal outcomes than the general population (at the corresponding ages of arrival), while secondary skill stream applicants have relatively less favourable fiscal outcomes than the general population (in net present value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1775" cy="2806700"/>
                                </a:xfrm>
                                <a:prstGeom prst="rect">
                                  <a:avLst/>
                                </a:prstGeom>
                                <a:noFill/>
                                <a:ln>
                                  <a:noFill/>
                                </a:ln>
                              </pic:spPr>
                            </pic:pic>
                          </a:graphicData>
                        </a:graphic>
                      </wp:inline>
                    </w:drawing>
                  </w:r>
                </w:p>
              </w:tc>
            </w:tr>
          </w:tbl>
          <w:p w14:paraId="4C6A4210" w14:textId="77777777" w:rsidR="00645852" w:rsidRDefault="00645852" w:rsidP="00FA7932">
            <w:pPr>
              <w:pStyle w:val="Figure"/>
            </w:pPr>
          </w:p>
        </w:tc>
      </w:tr>
      <w:tr w:rsidR="00645852" w:rsidRPr="00176D3F" w14:paraId="4C6A4213" w14:textId="77777777" w:rsidTr="00FA7932">
        <w:tc>
          <w:tcPr>
            <w:tcW w:w="8771" w:type="dxa"/>
            <w:tcBorders>
              <w:top w:val="nil"/>
              <w:left w:val="nil"/>
              <w:bottom w:val="nil"/>
              <w:right w:val="nil"/>
            </w:tcBorders>
            <w:shd w:val="clear" w:color="auto" w:fill="auto"/>
          </w:tcPr>
          <w:p w14:paraId="4C6A4212" w14:textId="77777777" w:rsidR="00645852" w:rsidRPr="00176D3F" w:rsidRDefault="00645852" w:rsidP="00FA7932">
            <w:pPr>
              <w:pStyle w:val="Note"/>
            </w:pPr>
            <w:proofErr w:type="spellStart"/>
            <w:r w:rsidRPr="008E77FE">
              <w:rPr>
                <w:rStyle w:val="NoteLabel"/>
              </w:rPr>
              <w:t>a</w:t>
            </w:r>
            <w:proofErr w:type="spellEnd"/>
            <w:r>
              <w:t xml:space="preserve"> </w:t>
            </w:r>
            <w:r w:rsidRPr="002E0DC2">
              <w:t>The line labelled ‘General population’ relates to the expenditures and revenues attributed to an Australian citizen that would enter Australia at the corresponding age of arrival</w:t>
            </w:r>
            <w:r>
              <w:t>.</w:t>
            </w:r>
          </w:p>
        </w:tc>
      </w:tr>
      <w:tr w:rsidR="00645852" w:rsidRPr="00176D3F" w14:paraId="4C6A4215" w14:textId="77777777" w:rsidTr="00FA7932">
        <w:tc>
          <w:tcPr>
            <w:tcW w:w="8771" w:type="dxa"/>
            <w:tcBorders>
              <w:top w:val="nil"/>
              <w:left w:val="nil"/>
              <w:bottom w:val="nil"/>
              <w:right w:val="nil"/>
            </w:tcBorders>
            <w:shd w:val="clear" w:color="auto" w:fill="auto"/>
          </w:tcPr>
          <w:p w14:paraId="4C6A4214" w14:textId="77777777" w:rsidR="00645852" w:rsidRPr="00176D3F" w:rsidRDefault="00645852" w:rsidP="009C03E1">
            <w:pPr>
              <w:pStyle w:val="Source"/>
            </w:pPr>
            <w:r>
              <w:rPr>
                <w:i/>
              </w:rPr>
              <w:t>Source</w:t>
            </w:r>
            <w:r w:rsidRPr="00A60593">
              <w:t>:</w:t>
            </w:r>
            <w:r>
              <w:rPr>
                <w:i/>
              </w:rPr>
              <w:t xml:space="preserve"> </w:t>
            </w:r>
            <w:r w:rsidR="000E72F2">
              <w:t>Productivity Commission</w:t>
            </w:r>
            <w:r w:rsidR="00C00470">
              <w:t xml:space="preserve"> estimates</w:t>
            </w:r>
            <w:r w:rsidR="009C03E1">
              <w:t>.</w:t>
            </w:r>
          </w:p>
        </w:tc>
      </w:tr>
      <w:tr w:rsidR="00645852" w14:paraId="4C6A4217" w14:textId="77777777" w:rsidTr="00FA7932">
        <w:tc>
          <w:tcPr>
            <w:tcW w:w="8771" w:type="dxa"/>
            <w:tcBorders>
              <w:top w:val="nil"/>
              <w:left w:val="nil"/>
              <w:bottom w:val="single" w:sz="6" w:space="0" w:color="78A22F"/>
              <w:right w:val="nil"/>
            </w:tcBorders>
            <w:shd w:val="clear" w:color="auto" w:fill="auto"/>
          </w:tcPr>
          <w:p w14:paraId="4C6A4216" w14:textId="77777777" w:rsidR="00645852" w:rsidRDefault="00645852" w:rsidP="00FA7932">
            <w:pPr>
              <w:pStyle w:val="Figurespace"/>
            </w:pPr>
          </w:p>
        </w:tc>
      </w:tr>
      <w:tr w:rsidR="00645852" w:rsidRPr="000863A5" w14:paraId="4C6A4219" w14:textId="77777777" w:rsidTr="00FA7932">
        <w:tc>
          <w:tcPr>
            <w:tcW w:w="8771" w:type="dxa"/>
            <w:tcBorders>
              <w:top w:val="single" w:sz="6" w:space="0" w:color="78A22F"/>
              <w:left w:val="nil"/>
              <w:bottom w:val="nil"/>
              <w:right w:val="nil"/>
            </w:tcBorders>
          </w:tcPr>
          <w:p w14:paraId="4C6A4218" w14:textId="20CA37F4" w:rsidR="00645852" w:rsidRPr="00626D32" w:rsidRDefault="00645852" w:rsidP="00FA7932">
            <w:pPr>
              <w:pStyle w:val="BoxSpaceBelow"/>
            </w:pPr>
          </w:p>
        </w:tc>
      </w:tr>
    </w:tbl>
    <w:p w14:paraId="4C6A421A" w14:textId="055AF72A" w:rsidR="00DD73E7" w:rsidRDefault="00A72456" w:rsidP="00487D84">
      <w:pPr>
        <w:pStyle w:val="BodyText"/>
        <w:tabs>
          <w:tab w:val="left" w:pos="2850"/>
        </w:tabs>
      </w:pPr>
      <w:r>
        <w:t>T</w:t>
      </w:r>
      <w:r w:rsidR="0060269D">
        <w:t>he</w:t>
      </w:r>
      <w:r w:rsidR="00690981">
        <w:t xml:space="preserve"> absolute values of these estimates rest crucially on the </w:t>
      </w:r>
      <w:r w:rsidR="00460B50">
        <w:t>assumption</w:t>
      </w:r>
      <w:r w:rsidR="00690981">
        <w:t xml:space="preserve"> of current policy settings being maintai</w:t>
      </w:r>
      <w:r w:rsidR="00C4799E">
        <w:t>ned over the projection period</w:t>
      </w:r>
      <w:r w:rsidR="00981CE8">
        <w:t xml:space="preserve"> </w:t>
      </w:r>
      <w:r w:rsidR="009C03E1">
        <w:t xml:space="preserve">— </w:t>
      </w:r>
      <w:r w:rsidR="0060269D">
        <w:t>any</w:t>
      </w:r>
      <w:r w:rsidR="00981CE8">
        <w:t xml:space="preserve"> </w:t>
      </w:r>
      <w:r w:rsidR="0060269D">
        <w:t>changes to policy will affect these estimates</w:t>
      </w:r>
      <w:r w:rsidR="00C4799E">
        <w:t>.</w:t>
      </w:r>
      <w:r w:rsidR="0060269D">
        <w:t xml:space="preserve"> As such, these projections are </w:t>
      </w:r>
      <w:r w:rsidR="00025C09">
        <w:t xml:space="preserve">highly stylised and </w:t>
      </w:r>
      <w:r w:rsidR="0060269D">
        <w:t xml:space="preserve">merely </w:t>
      </w:r>
      <w:r w:rsidR="0035112F">
        <w:t xml:space="preserve">indicative. </w:t>
      </w:r>
      <w:r w:rsidR="0060269D">
        <w:t xml:space="preserve">In addition to </w:t>
      </w:r>
      <w:r w:rsidR="00114427">
        <w:t xml:space="preserve">any </w:t>
      </w:r>
      <w:r w:rsidR="0060269D">
        <w:t>future policy</w:t>
      </w:r>
      <w:r w:rsidR="00114427">
        <w:t xml:space="preserve"> change, better estimates of immigrants’ absolute net fiscal impacts would rest on</w:t>
      </w:r>
      <w:r w:rsidR="0060269D">
        <w:t xml:space="preserve"> </w:t>
      </w:r>
      <w:r w:rsidR="00025C09">
        <w:t xml:space="preserve">undertaking additional </w:t>
      </w:r>
      <w:r w:rsidR="0035112F" w:rsidRPr="007A23D7">
        <w:t xml:space="preserve">work on how best to apportion immigrants’ shares of government </w:t>
      </w:r>
      <w:r w:rsidR="0035112F">
        <w:t>expenditures such as public infrastructure</w:t>
      </w:r>
      <w:r w:rsidR="0035112F" w:rsidRPr="007A23D7">
        <w:t xml:space="preserve"> and better data on immigrants’ use of </w:t>
      </w:r>
      <w:r w:rsidR="0035112F">
        <w:t xml:space="preserve">additional </w:t>
      </w:r>
      <w:r w:rsidR="008E73F0" w:rsidRPr="007A23D7">
        <w:t>government</w:t>
      </w:r>
      <w:r w:rsidR="008E73F0">
        <w:noBreakHyphen/>
      </w:r>
      <w:r w:rsidR="0035112F" w:rsidRPr="007A23D7">
        <w:t>funded services</w:t>
      </w:r>
      <w:r w:rsidR="000300E4">
        <w:t xml:space="preserve"> and benefits</w:t>
      </w:r>
      <w:r w:rsidR="0035112F">
        <w:t xml:space="preserve"> and contributions to additional government revenues</w:t>
      </w:r>
      <w:r w:rsidR="0035112F" w:rsidRPr="007A23D7">
        <w:t xml:space="preserve"> over their lifetimes.</w:t>
      </w:r>
    </w:p>
    <w:p w14:paraId="4C6A421B" w14:textId="326D7011" w:rsidR="00FC20FE" w:rsidRDefault="00160990" w:rsidP="00FC20FE">
      <w:pPr>
        <w:pStyle w:val="Heading2"/>
        <w:spacing w:before="0"/>
      </w:pPr>
      <w:r>
        <w:br w:type="column"/>
      </w:r>
      <w:r w:rsidR="00DF30DF">
        <w:lastRenderedPageBreak/>
        <w:t>Attachment</w:t>
      </w:r>
      <w:r w:rsidR="004354FF">
        <w:t> </w:t>
      </w:r>
      <w:r w:rsidR="00DF30DF">
        <w:t>1</w:t>
      </w:r>
      <w:r w:rsidR="00FC20FE">
        <w:tab/>
        <w:t>Migrant categories in the model</w:t>
      </w:r>
    </w:p>
    <w:p w14:paraId="4C6A421C" w14:textId="5679B7AB" w:rsidR="000475CA" w:rsidRPr="004A3B04" w:rsidRDefault="00FC20FE" w:rsidP="00FC20FE">
      <w:pPr>
        <w:pStyle w:val="BodyText"/>
      </w:pPr>
      <w:r>
        <w:t>The categories of NOM included in the model are consiste</w:t>
      </w:r>
      <w:r w:rsidR="000475CA">
        <w:t>nt with the inquiry concordance</w:t>
      </w:r>
      <w:r>
        <w:t xml:space="preserve"> for permanent </w:t>
      </w:r>
      <w:r w:rsidR="008E73F0">
        <w:t>im</w:t>
      </w:r>
      <w:r>
        <w:t xml:space="preserve">migrants (which breaks down the permanent family and skill streams </w:t>
      </w:r>
      <w:r w:rsidR="00244B2E">
        <w:t>into a number of subcategories)</w:t>
      </w:r>
      <w:r>
        <w:t xml:space="preserve"> and includes all other temporary </w:t>
      </w:r>
      <w:r w:rsidR="008E73F0">
        <w:t>im</w:t>
      </w:r>
      <w:r w:rsidR="00244B2E">
        <w:t>migrants, New Zealand citizens</w:t>
      </w:r>
      <w:r>
        <w:t xml:space="preserve"> and Australian citizens.</w:t>
      </w:r>
      <w:r w:rsidR="001507E2">
        <w:t xml:space="preserve"> </w:t>
      </w:r>
      <w:r w:rsidR="000475CA">
        <w:t>This concordance has</w:t>
      </w:r>
      <w:r w:rsidR="001507E2">
        <w:t xml:space="preserve"> been mapped to ABS migration statistics to derive a detailed decomposition of NOM (</w:t>
      </w:r>
      <w:r w:rsidR="008C7915">
        <w:t>table</w:t>
      </w:r>
      <w:r w:rsidR="00A60593">
        <w:t> </w:t>
      </w:r>
      <w:r w:rsidR="00DF30DF">
        <w:t>1.1</w:t>
      </w:r>
      <w:r w:rsidR="001507E2">
        <w:t>).</w:t>
      </w:r>
      <w:r w:rsidR="00CD0F2E">
        <w:t xml:space="preserve"> Permanent skill stream </w:t>
      </w:r>
      <w:r w:rsidR="00CD0F2E" w:rsidRPr="00CD0F2E">
        <w:t>immigrants have separate distributions for primary and secondary applicants.</w:t>
      </w:r>
    </w:p>
    <w:p w14:paraId="4C6A421D" w14:textId="609EE441" w:rsidR="00FC20FE" w:rsidRDefault="00FC20FE" w:rsidP="00FC20F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71"/>
      </w:tblGrid>
      <w:tr w:rsidR="00FC20FE" w14:paraId="4C6A4220" w14:textId="77777777" w:rsidTr="00A7053B">
        <w:trPr>
          <w:tblHeader/>
        </w:trPr>
        <w:tc>
          <w:tcPr>
            <w:tcW w:w="8771" w:type="dxa"/>
            <w:tcBorders>
              <w:top w:val="single" w:sz="6" w:space="0" w:color="78A22F"/>
              <w:left w:val="nil"/>
              <w:bottom w:val="nil"/>
              <w:right w:val="nil"/>
            </w:tcBorders>
            <w:shd w:val="clear" w:color="auto" w:fill="auto"/>
          </w:tcPr>
          <w:p w14:paraId="4C6A421E" w14:textId="4E59EE83" w:rsidR="00FC20FE" w:rsidRDefault="00FC20FE" w:rsidP="00A7053B">
            <w:pPr>
              <w:pStyle w:val="TableTitle"/>
            </w:pPr>
            <w:r>
              <w:rPr>
                <w:b w:val="0"/>
              </w:rPr>
              <w:t xml:space="preserve">Table </w:t>
            </w:r>
            <w:r w:rsidR="00DF30DF">
              <w:rPr>
                <w:b w:val="0"/>
              </w:rPr>
              <w:t>1.1</w:t>
            </w:r>
            <w:r w:rsidR="004E6A8E">
              <w:tab/>
              <w:t xml:space="preserve">Migrant categories, </w:t>
            </w:r>
            <w:r>
              <w:t xml:space="preserve">age and gender </w:t>
            </w:r>
            <w:proofErr w:type="spellStart"/>
            <w:r>
              <w:t>distributions</w:t>
            </w:r>
            <w:r w:rsidRPr="004A3B04">
              <w:rPr>
                <w:rFonts w:ascii="Arial Bold" w:hAnsi="Arial Bold"/>
                <w:vertAlign w:val="superscript"/>
              </w:rPr>
              <w:t>a</w:t>
            </w:r>
            <w:r w:rsidR="0007062B">
              <w:rPr>
                <w:rFonts w:ascii="Arial Bold" w:hAnsi="Arial Bold"/>
                <w:vertAlign w:val="superscript"/>
              </w:rPr>
              <w:t>,b</w:t>
            </w:r>
            <w:proofErr w:type="spellEnd"/>
          </w:p>
          <w:p w14:paraId="4C6A421F" w14:textId="77777777" w:rsidR="00FC20FE" w:rsidRPr="00784A05" w:rsidRDefault="00FC20FE" w:rsidP="009C03E1">
            <w:pPr>
              <w:pStyle w:val="Subtitle"/>
            </w:pPr>
            <w:r>
              <w:t>For the categories of NOM included in the model</w:t>
            </w:r>
          </w:p>
        </w:tc>
      </w:tr>
      <w:tr w:rsidR="00FC20FE" w14:paraId="4C6A4252" w14:textId="77777777" w:rsidTr="00A7053B">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2"/>
              <w:gridCol w:w="2534"/>
              <w:gridCol w:w="2410"/>
              <w:gridCol w:w="1421"/>
            </w:tblGrid>
            <w:tr w:rsidR="004A19FC" w14:paraId="4C6A4226" w14:textId="77777777" w:rsidTr="004E6A8E">
              <w:trPr>
                <w:tblHeader/>
              </w:trPr>
              <w:tc>
                <w:tcPr>
                  <w:tcW w:w="1250" w:type="pct"/>
                  <w:tcBorders>
                    <w:top w:val="single" w:sz="6" w:space="0" w:color="BFBFBF"/>
                    <w:bottom w:val="single" w:sz="6" w:space="0" w:color="BFBFBF"/>
                  </w:tcBorders>
                  <w:shd w:val="clear" w:color="auto" w:fill="auto"/>
                  <w:tcMar>
                    <w:top w:w="28" w:type="dxa"/>
                  </w:tcMar>
                </w:tcPr>
                <w:p w14:paraId="4C6A4221" w14:textId="77777777" w:rsidR="004A19FC" w:rsidRDefault="000475CA" w:rsidP="00A7053B">
                  <w:pPr>
                    <w:pStyle w:val="TableColumnHeading"/>
                    <w:jc w:val="left"/>
                  </w:pPr>
                  <w:r>
                    <w:t>Category of NOM</w:t>
                  </w:r>
                </w:p>
              </w:tc>
              <w:tc>
                <w:tcPr>
                  <w:tcW w:w="1493" w:type="pct"/>
                  <w:tcBorders>
                    <w:top w:val="single" w:sz="6" w:space="0" w:color="BFBFBF"/>
                    <w:bottom w:val="single" w:sz="6" w:space="0" w:color="BFBFBF"/>
                  </w:tcBorders>
                  <w:shd w:val="clear" w:color="auto" w:fill="auto"/>
                  <w:tcMar>
                    <w:top w:w="28" w:type="dxa"/>
                  </w:tcMar>
                </w:tcPr>
                <w:p w14:paraId="4C6A4222" w14:textId="77777777" w:rsidR="000475CA" w:rsidRDefault="004A19FC" w:rsidP="00A53CA2">
                  <w:pPr>
                    <w:pStyle w:val="TableColumnHeading"/>
                    <w:jc w:val="left"/>
                  </w:pPr>
                  <w:r>
                    <w:t>Age distribution</w:t>
                  </w:r>
                  <w:r w:rsidR="00A53CA2">
                    <w:br/>
                  </w:r>
                  <w:r w:rsidR="000475CA">
                    <w:t>(single age)</w:t>
                  </w:r>
                </w:p>
              </w:tc>
              <w:tc>
                <w:tcPr>
                  <w:tcW w:w="1420" w:type="pct"/>
                  <w:tcBorders>
                    <w:top w:val="single" w:sz="6" w:space="0" w:color="BFBFBF"/>
                    <w:bottom w:val="single" w:sz="6" w:space="0" w:color="BFBFBF"/>
                  </w:tcBorders>
                  <w:shd w:val="clear" w:color="auto" w:fill="auto"/>
                  <w:tcMar>
                    <w:top w:w="28" w:type="dxa"/>
                  </w:tcMar>
                </w:tcPr>
                <w:p w14:paraId="4C6A4224" w14:textId="28FF4879" w:rsidR="004A19FC" w:rsidRDefault="0014100C" w:rsidP="001A551C">
                  <w:pPr>
                    <w:pStyle w:val="TableColumnHeading"/>
                    <w:jc w:val="left"/>
                  </w:pPr>
                  <w:r>
                    <w:t>Gender distribution</w:t>
                  </w:r>
                </w:p>
              </w:tc>
              <w:tc>
                <w:tcPr>
                  <w:tcW w:w="837" w:type="pct"/>
                  <w:tcBorders>
                    <w:top w:val="single" w:sz="6" w:space="0" w:color="BFBFBF"/>
                    <w:bottom w:val="single" w:sz="6" w:space="0" w:color="BFBFBF"/>
                  </w:tcBorders>
                </w:tcPr>
                <w:p w14:paraId="4C6A4225" w14:textId="77777777" w:rsidR="004A19FC" w:rsidRDefault="004A19FC" w:rsidP="00A53CA2">
                  <w:pPr>
                    <w:pStyle w:val="TableColumnHeading"/>
                  </w:pPr>
                  <w:r>
                    <w:t xml:space="preserve">Modelled NOM </w:t>
                  </w:r>
                  <w:r w:rsidR="00A53CA2">
                    <w:br/>
                  </w:r>
                  <w:r>
                    <w:t>(persons</w:t>
                  </w:r>
                  <w:r w:rsidR="000475CA">
                    <w:t xml:space="preserve">, </w:t>
                  </w:r>
                  <w:r w:rsidR="00B11D7F">
                    <w:t xml:space="preserve">four year </w:t>
                  </w:r>
                  <w:r w:rsidR="000475CA">
                    <w:t>average</w:t>
                  </w:r>
                  <w:r w:rsidR="00B11D7F">
                    <w:t xml:space="preserve"> annual flow</w:t>
                  </w:r>
                  <w:r>
                    <w:t>)</w:t>
                  </w:r>
                </w:p>
              </w:tc>
            </w:tr>
            <w:tr w:rsidR="004A19FC" w14:paraId="4C6A422B" w14:textId="77777777" w:rsidTr="004E6A8E">
              <w:tc>
                <w:tcPr>
                  <w:tcW w:w="1250" w:type="pct"/>
                  <w:tcBorders>
                    <w:top w:val="single" w:sz="6" w:space="0" w:color="BFBFBF"/>
                  </w:tcBorders>
                </w:tcPr>
                <w:p w14:paraId="4C6A4227" w14:textId="77777777" w:rsidR="004A19FC" w:rsidRDefault="004A19FC" w:rsidP="00A7053B">
                  <w:pPr>
                    <w:pStyle w:val="TableUnitsRow"/>
                    <w:jc w:val="left"/>
                  </w:pPr>
                  <w:r>
                    <w:t>Temporary (Student)</w:t>
                  </w:r>
                </w:p>
              </w:tc>
              <w:tc>
                <w:tcPr>
                  <w:tcW w:w="1493" w:type="pct"/>
                  <w:tcBorders>
                    <w:top w:val="single" w:sz="6" w:space="0" w:color="BFBFBF"/>
                  </w:tcBorders>
                </w:tcPr>
                <w:p w14:paraId="4C6A4228" w14:textId="77777777" w:rsidR="004A19FC" w:rsidRDefault="004A19FC" w:rsidP="001A551C">
                  <w:pPr>
                    <w:pStyle w:val="TableUnitsRow"/>
                    <w:jc w:val="left"/>
                  </w:pPr>
                  <w:r>
                    <w:t xml:space="preserve">Distribution of ‘Students’ in </w:t>
                  </w:r>
                  <w:proofErr w:type="spellStart"/>
                  <w:r>
                    <w:t>DIBP</w:t>
                  </w:r>
                  <w:proofErr w:type="spellEnd"/>
                  <w:r>
                    <w:t xml:space="preserve"> administrative data</w:t>
                  </w:r>
                  <w:r w:rsidR="00CD0F2E">
                    <w:t>, averaged</w:t>
                  </w:r>
                  <w:r>
                    <w:t xml:space="preserve">. </w:t>
                  </w:r>
                </w:p>
              </w:tc>
              <w:tc>
                <w:tcPr>
                  <w:tcW w:w="1420" w:type="pct"/>
                  <w:tcBorders>
                    <w:top w:val="single" w:sz="6" w:space="0" w:color="BFBFBF"/>
                  </w:tcBorders>
                </w:tcPr>
                <w:p w14:paraId="4C6A4229" w14:textId="77777777" w:rsidR="004A19FC" w:rsidRDefault="00A60593" w:rsidP="001A551C">
                  <w:pPr>
                    <w:pStyle w:val="TableUnitsRow"/>
                    <w:jc w:val="left"/>
                  </w:pPr>
                  <w:r>
                    <w:t>Age</w:t>
                  </w:r>
                  <w:r>
                    <w:noBreakHyphen/>
                  </w:r>
                  <w:r w:rsidR="004A19FC">
                    <w:t xml:space="preserve">specific, implied in </w:t>
                  </w:r>
                  <w:proofErr w:type="spellStart"/>
                  <w:r w:rsidR="004A19FC">
                    <w:t>DIBP</w:t>
                  </w:r>
                  <w:proofErr w:type="spellEnd"/>
                  <w:r w:rsidR="004A19FC">
                    <w:t xml:space="preserve"> administrative data. </w:t>
                  </w:r>
                </w:p>
              </w:tc>
              <w:tc>
                <w:tcPr>
                  <w:tcW w:w="837" w:type="pct"/>
                  <w:tcBorders>
                    <w:top w:val="single" w:sz="6" w:space="0" w:color="BFBFBF"/>
                  </w:tcBorders>
                </w:tcPr>
                <w:p w14:paraId="4C6A422A" w14:textId="77777777" w:rsidR="004A19FC" w:rsidRDefault="004A19FC" w:rsidP="004A19FC">
                  <w:pPr>
                    <w:pStyle w:val="TableColumnHeading"/>
                  </w:pPr>
                  <w:r>
                    <w:t>39,300</w:t>
                  </w:r>
                </w:p>
              </w:tc>
            </w:tr>
            <w:tr w:rsidR="004A19FC" w14:paraId="4C6A4230" w14:textId="77777777" w:rsidTr="004E6A8E">
              <w:tc>
                <w:tcPr>
                  <w:tcW w:w="1250" w:type="pct"/>
                </w:tcPr>
                <w:p w14:paraId="4C6A422C" w14:textId="77777777" w:rsidR="004A19FC" w:rsidRDefault="004A19FC" w:rsidP="00A7053B">
                  <w:pPr>
                    <w:pStyle w:val="TableBodyText"/>
                    <w:jc w:val="left"/>
                  </w:pPr>
                  <w:r>
                    <w:t>Temporary (Skilled)</w:t>
                  </w:r>
                </w:p>
              </w:tc>
              <w:tc>
                <w:tcPr>
                  <w:tcW w:w="1493" w:type="pct"/>
                </w:tcPr>
                <w:p w14:paraId="4C6A422D" w14:textId="77777777" w:rsidR="004A19FC" w:rsidRDefault="004A19FC" w:rsidP="001A551C">
                  <w:pPr>
                    <w:pStyle w:val="TableUnitsRow"/>
                    <w:jc w:val="left"/>
                  </w:pPr>
                  <w:r>
                    <w:t>Distribution of ‘</w:t>
                  </w:r>
                  <w:r w:rsidR="00CD0F2E">
                    <w:t>S</w:t>
                  </w:r>
                  <w:r>
                    <w:t xml:space="preserve">killed’ in </w:t>
                  </w:r>
                  <w:proofErr w:type="spellStart"/>
                  <w:r>
                    <w:t>DIBP</w:t>
                  </w:r>
                  <w:proofErr w:type="spellEnd"/>
                  <w:r>
                    <w:t xml:space="preserve"> administrative data</w:t>
                  </w:r>
                  <w:r w:rsidR="00CD0F2E">
                    <w:t>, averaged</w:t>
                  </w:r>
                  <w:r>
                    <w:t xml:space="preserve">. </w:t>
                  </w:r>
                </w:p>
              </w:tc>
              <w:tc>
                <w:tcPr>
                  <w:tcW w:w="1420" w:type="pct"/>
                </w:tcPr>
                <w:p w14:paraId="4C6A422E" w14:textId="77777777" w:rsidR="004A19FC" w:rsidRDefault="004A19FC" w:rsidP="00A60593">
                  <w:pPr>
                    <w:pStyle w:val="TableUnitsRow"/>
                    <w:jc w:val="left"/>
                  </w:pPr>
                  <w:r>
                    <w:t>Age</w:t>
                  </w:r>
                  <w:r w:rsidR="00A60593">
                    <w:noBreakHyphen/>
                  </w:r>
                  <w:r>
                    <w:t xml:space="preserve">specific, implied in </w:t>
                  </w:r>
                  <w:proofErr w:type="spellStart"/>
                  <w:r>
                    <w:t>DIBP</w:t>
                  </w:r>
                  <w:proofErr w:type="spellEnd"/>
                  <w:r>
                    <w:t xml:space="preserve"> administrative data. </w:t>
                  </w:r>
                </w:p>
              </w:tc>
              <w:tc>
                <w:tcPr>
                  <w:tcW w:w="837" w:type="pct"/>
                </w:tcPr>
                <w:p w14:paraId="4C6A422F" w14:textId="77777777" w:rsidR="004A19FC" w:rsidRDefault="004A19FC" w:rsidP="004A19FC">
                  <w:pPr>
                    <w:pStyle w:val="TableColumnHeading"/>
                  </w:pPr>
                  <w:r>
                    <w:t>23,775</w:t>
                  </w:r>
                </w:p>
              </w:tc>
            </w:tr>
            <w:tr w:rsidR="004A19FC" w14:paraId="4C6A4235" w14:textId="77777777" w:rsidTr="004E6A8E">
              <w:tc>
                <w:tcPr>
                  <w:tcW w:w="1250" w:type="pct"/>
                </w:tcPr>
                <w:p w14:paraId="4C6A4231" w14:textId="77777777" w:rsidR="004A19FC" w:rsidRDefault="004A19FC" w:rsidP="00A7053B">
                  <w:pPr>
                    <w:pStyle w:val="TableBodyText"/>
                    <w:jc w:val="left"/>
                  </w:pPr>
                  <w:r>
                    <w:t>Temporary (Visitor)</w:t>
                  </w:r>
                </w:p>
              </w:tc>
              <w:tc>
                <w:tcPr>
                  <w:tcW w:w="1493" w:type="pct"/>
                </w:tcPr>
                <w:p w14:paraId="4C6A4232" w14:textId="7E162620" w:rsidR="004A19FC" w:rsidRDefault="004A19FC" w:rsidP="001A551C">
                  <w:pPr>
                    <w:pStyle w:val="TableBodyText"/>
                    <w:jc w:val="left"/>
                  </w:pPr>
                  <w:r>
                    <w:t xml:space="preserve">Aggregate NOM age distribution from PC’s </w:t>
                  </w:r>
                  <w:r w:rsidR="008E73F0" w:rsidRPr="00A60593">
                    <w:rPr>
                      <w:i/>
                    </w:rPr>
                    <w:t xml:space="preserve">An </w:t>
                  </w:r>
                  <w:r w:rsidRPr="00A60593">
                    <w:rPr>
                      <w:i/>
                    </w:rPr>
                    <w:t>Ageing Australia</w:t>
                  </w:r>
                  <w:r>
                    <w:t xml:space="preserve"> (2</w:t>
                  </w:r>
                  <w:r w:rsidR="004354FF">
                    <w:t> </w:t>
                  </w:r>
                  <w:r>
                    <w:t>013).</w:t>
                  </w:r>
                </w:p>
              </w:tc>
              <w:tc>
                <w:tcPr>
                  <w:tcW w:w="1420" w:type="pct"/>
                </w:tcPr>
                <w:p w14:paraId="4C6A4233" w14:textId="0A5E3773" w:rsidR="004A19FC" w:rsidRDefault="004A19FC" w:rsidP="00A60593">
                  <w:pPr>
                    <w:pStyle w:val="TableUnitsRow"/>
                    <w:jc w:val="left"/>
                  </w:pPr>
                  <w:r>
                    <w:t>Age</w:t>
                  </w:r>
                  <w:r w:rsidR="00A60593">
                    <w:noBreakHyphen/>
                  </w:r>
                  <w:r>
                    <w:t xml:space="preserve">specific, implied in PC’s </w:t>
                  </w:r>
                  <w:r w:rsidR="008E73F0">
                    <w:t xml:space="preserve">An </w:t>
                  </w:r>
                  <w:r>
                    <w:t>Ageing Australia (2</w:t>
                  </w:r>
                  <w:r w:rsidR="004354FF">
                    <w:t> </w:t>
                  </w:r>
                  <w:r>
                    <w:t xml:space="preserve">013). </w:t>
                  </w:r>
                </w:p>
              </w:tc>
              <w:tc>
                <w:tcPr>
                  <w:tcW w:w="837" w:type="pct"/>
                </w:tcPr>
                <w:p w14:paraId="4C6A4234" w14:textId="77777777" w:rsidR="004A19FC" w:rsidRDefault="004A19FC" w:rsidP="004A19FC">
                  <w:pPr>
                    <w:pStyle w:val="TableColumnHeading"/>
                  </w:pPr>
                  <w:r>
                    <w:t>27,823</w:t>
                  </w:r>
                </w:p>
              </w:tc>
            </w:tr>
            <w:tr w:rsidR="004A19FC" w14:paraId="4C6A423A" w14:textId="77777777" w:rsidTr="004E6A8E">
              <w:tc>
                <w:tcPr>
                  <w:tcW w:w="1250" w:type="pct"/>
                </w:tcPr>
                <w:p w14:paraId="4C6A4236" w14:textId="77777777" w:rsidR="004A19FC" w:rsidRDefault="004A19FC" w:rsidP="00A7053B">
                  <w:pPr>
                    <w:pStyle w:val="TableBodyText"/>
                    <w:jc w:val="left"/>
                  </w:pPr>
                  <w:r>
                    <w:t>Temporary (Working Holiday Maker)</w:t>
                  </w:r>
                </w:p>
              </w:tc>
              <w:tc>
                <w:tcPr>
                  <w:tcW w:w="1493" w:type="pct"/>
                </w:tcPr>
                <w:p w14:paraId="4C6A4237" w14:textId="77777777" w:rsidR="004A19FC" w:rsidRDefault="004A19FC" w:rsidP="001A551C">
                  <w:pPr>
                    <w:pStyle w:val="TableUnitsRow"/>
                    <w:jc w:val="left"/>
                  </w:pPr>
                  <w:r>
                    <w:t xml:space="preserve">Distribution of ‘Working Holiday Maker’ in </w:t>
                  </w:r>
                  <w:proofErr w:type="spellStart"/>
                  <w:r>
                    <w:t>DIBP</w:t>
                  </w:r>
                  <w:proofErr w:type="spellEnd"/>
                  <w:r>
                    <w:t xml:space="preserve"> administrative data</w:t>
                  </w:r>
                  <w:r w:rsidR="00CD0F2E">
                    <w:t>, averaged</w:t>
                  </w:r>
                  <w:r>
                    <w:t xml:space="preserve">. </w:t>
                  </w:r>
                </w:p>
              </w:tc>
              <w:tc>
                <w:tcPr>
                  <w:tcW w:w="1420" w:type="pct"/>
                </w:tcPr>
                <w:p w14:paraId="4C6A4238" w14:textId="77777777" w:rsidR="004A19FC" w:rsidRDefault="004A19FC" w:rsidP="00A60593">
                  <w:pPr>
                    <w:pStyle w:val="TableUnitsRow"/>
                    <w:jc w:val="left"/>
                  </w:pPr>
                  <w:r>
                    <w:t>Age</w:t>
                  </w:r>
                  <w:r w:rsidR="00A60593">
                    <w:noBreakHyphen/>
                  </w:r>
                  <w:r>
                    <w:t xml:space="preserve">specific, implied in </w:t>
                  </w:r>
                  <w:proofErr w:type="spellStart"/>
                  <w:r>
                    <w:t>DIBP</w:t>
                  </w:r>
                  <w:proofErr w:type="spellEnd"/>
                  <w:r>
                    <w:t xml:space="preserve"> administrative data. </w:t>
                  </w:r>
                </w:p>
              </w:tc>
              <w:tc>
                <w:tcPr>
                  <w:tcW w:w="837" w:type="pct"/>
                </w:tcPr>
                <w:p w14:paraId="4C6A4239" w14:textId="77777777" w:rsidR="004A19FC" w:rsidRDefault="004A19FC" w:rsidP="004A19FC">
                  <w:pPr>
                    <w:pStyle w:val="TableColumnHeading"/>
                  </w:pPr>
                  <w:r>
                    <w:t>30,903</w:t>
                  </w:r>
                </w:p>
              </w:tc>
            </w:tr>
            <w:tr w:rsidR="004A19FC" w14:paraId="4C6A423F" w14:textId="77777777" w:rsidTr="004E6A8E">
              <w:tc>
                <w:tcPr>
                  <w:tcW w:w="1250" w:type="pct"/>
                </w:tcPr>
                <w:p w14:paraId="4C6A423B" w14:textId="77777777" w:rsidR="004A19FC" w:rsidRDefault="004A19FC" w:rsidP="00A7053B">
                  <w:pPr>
                    <w:pStyle w:val="TableBodyText"/>
                    <w:jc w:val="left"/>
                  </w:pPr>
                  <w:r>
                    <w:t>Temporary (Other)</w:t>
                  </w:r>
                </w:p>
              </w:tc>
              <w:tc>
                <w:tcPr>
                  <w:tcW w:w="1493" w:type="pct"/>
                </w:tcPr>
                <w:p w14:paraId="4C6A423C" w14:textId="77777777" w:rsidR="004A19FC" w:rsidRDefault="004A19FC" w:rsidP="001A551C">
                  <w:pPr>
                    <w:pStyle w:val="TableUnitsRow"/>
                    <w:jc w:val="left"/>
                  </w:pPr>
                  <w:r>
                    <w:t>Distribution of ‘</w:t>
                  </w:r>
                  <w:r w:rsidR="00CD0F2E">
                    <w:t>S</w:t>
                  </w:r>
                  <w:r>
                    <w:t xml:space="preserve">killed’ in </w:t>
                  </w:r>
                  <w:proofErr w:type="spellStart"/>
                  <w:r>
                    <w:t>DIBP</w:t>
                  </w:r>
                  <w:proofErr w:type="spellEnd"/>
                  <w:r>
                    <w:t xml:space="preserve"> administrative data</w:t>
                  </w:r>
                  <w:r w:rsidR="00CD0F2E">
                    <w:t>, averaged</w:t>
                  </w:r>
                  <w:r>
                    <w:t xml:space="preserve">. </w:t>
                  </w:r>
                </w:p>
              </w:tc>
              <w:tc>
                <w:tcPr>
                  <w:tcW w:w="1420" w:type="pct"/>
                </w:tcPr>
                <w:p w14:paraId="4C6A423D" w14:textId="77777777" w:rsidR="004A19FC" w:rsidRDefault="004A19FC" w:rsidP="00A60593">
                  <w:pPr>
                    <w:pStyle w:val="TableUnitsRow"/>
                    <w:jc w:val="left"/>
                  </w:pPr>
                  <w:r>
                    <w:t>Age</w:t>
                  </w:r>
                  <w:r w:rsidR="00A60593">
                    <w:noBreakHyphen/>
                  </w:r>
                  <w:r>
                    <w:t xml:space="preserve">specific, implied in </w:t>
                  </w:r>
                  <w:proofErr w:type="spellStart"/>
                  <w:r>
                    <w:t>DIBP</w:t>
                  </w:r>
                  <w:proofErr w:type="spellEnd"/>
                  <w:r>
                    <w:t xml:space="preserve"> administrative data. </w:t>
                  </w:r>
                </w:p>
              </w:tc>
              <w:tc>
                <w:tcPr>
                  <w:tcW w:w="837" w:type="pct"/>
                </w:tcPr>
                <w:p w14:paraId="4C6A423E" w14:textId="13E9A987" w:rsidR="004A19FC" w:rsidRDefault="004354FF" w:rsidP="004A19FC">
                  <w:pPr>
                    <w:pStyle w:val="TableColumnHeading"/>
                  </w:pPr>
                  <w:r>
                    <w:noBreakHyphen/>
                  </w:r>
                  <w:r w:rsidR="004A19FC">
                    <w:t>13,603</w:t>
                  </w:r>
                </w:p>
              </w:tc>
            </w:tr>
            <w:tr w:rsidR="004A19FC" w14:paraId="4C6A4244" w14:textId="77777777" w:rsidTr="004E6A8E">
              <w:tc>
                <w:tcPr>
                  <w:tcW w:w="1250" w:type="pct"/>
                </w:tcPr>
                <w:p w14:paraId="4C6A4240" w14:textId="77777777" w:rsidR="004A19FC" w:rsidRDefault="004A19FC" w:rsidP="00A7053B">
                  <w:pPr>
                    <w:pStyle w:val="TableBodyText"/>
                    <w:jc w:val="left"/>
                  </w:pPr>
                  <w:r>
                    <w:t>New Zealand citizens</w:t>
                  </w:r>
                  <w:r w:rsidR="005041BF">
                    <w:t xml:space="preserve"> (Special Category visas)</w:t>
                  </w:r>
                </w:p>
              </w:tc>
              <w:tc>
                <w:tcPr>
                  <w:tcW w:w="1493" w:type="pct"/>
                </w:tcPr>
                <w:p w14:paraId="4C6A4241" w14:textId="77777777" w:rsidR="004A19FC" w:rsidRDefault="000475CA" w:rsidP="001A551C">
                  <w:pPr>
                    <w:pStyle w:val="TableBodyText"/>
                    <w:jc w:val="left"/>
                  </w:pPr>
                  <w:r>
                    <w:t>Distribution in Census (filtering yea</w:t>
                  </w:r>
                  <w:r w:rsidR="00244B2E">
                    <w:t>r of arrival, country of origin</w:t>
                  </w:r>
                  <w:r>
                    <w:t xml:space="preserve"> and citizenship).</w:t>
                  </w:r>
                </w:p>
              </w:tc>
              <w:tc>
                <w:tcPr>
                  <w:tcW w:w="1420" w:type="pct"/>
                </w:tcPr>
                <w:p w14:paraId="4C6A4242" w14:textId="77777777" w:rsidR="004A19FC" w:rsidRDefault="000475CA" w:rsidP="00A60593">
                  <w:pPr>
                    <w:pStyle w:val="TableUnitsRow"/>
                    <w:jc w:val="left"/>
                  </w:pPr>
                  <w:r>
                    <w:t>Age</w:t>
                  </w:r>
                  <w:r w:rsidR="00A60593">
                    <w:noBreakHyphen/>
                  </w:r>
                  <w:r>
                    <w:t>specific, implied in Census.</w:t>
                  </w:r>
                </w:p>
              </w:tc>
              <w:tc>
                <w:tcPr>
                  <w:tcW w:w="837" w:type="pct"/>
                </w:tcPr>
                <w:p w14:paraId="4C6A4243" w14:textId="77777777" w:rsidR="004A19FC" w:rsidRDefault="000475CA" w:rsidP="004A19FC">
                  <w:pPr>
                    <w:pStyle w:val="TableColumnHeading"/>
                  </w:pPr>
                  <w:r>
                    <w:t>33,950</w:t>
                  </w:r>
                </w:p>
              </w:tc>
            </w:tr>
            <w:tr w:rsidR="004A19FC" w14:paraId="4C6A424A" w14:textId="77777777" w:rsidTr="004E6A8E">
              <w:tc>
                <w:tcPr>
                  <w:tcW w:w="1250" w:type="pct"/>
                </w:tcPr>
                <w:p w14:paraId="4C6A4245" w14:textId="77777777" w:rsidR="004A19FC" w:rsidRDefault="004A19FC" w:rsidP="00A7053B">
                  <w:pPr>
                    <w:pStyle w:val="TableBodyText"/>
                    <w:jc w:val="left"/>
                  </w:pPr>
                  <w:r>
                    <w:t>Permanent Skill (Points Tested)</w:t>
                  </w:r>
                </w:p>
              </w:tc>
              <w:tc>
                <w:tcPr>
                  <w:tcW w:w="1493" w:type="pct"/>
                </w:tcPr>
                <w:p w14:paraId="4C6A4246" w14:textId="77777777" w:rsidR="004A19FC" w:rsidRDefault="00CD0F2E" w:rsidP="001A551C">
                  <w:pPr>
                    <w:pStyle w:val="TableBodyText"/>
                    <w:jc w:val="left"/>
                  </w:pPr>
                  <w:r>
                    <w:t xml:space="preserve">Distribution in </w:t>
                  </w:r>
                  <w:proofErr w:type="spellStart"/>
                  <w:r>
                    <w:t>ACMID</w:t>
                  </w:r>
                  <w:proofErr w:type="spellEnd"/>
                  <w:r>
                    <w:t xml:space="preserve">, defined at subclass level (filtering year of arrival). </w:t>
                  </w:r>
                </w:p>
                <w:p w14:paraId="4C6A4247" w14:textId="77777777" w:rsidR="004E6A8E" w:rsidRDefault="004E6A8E" w:rsidP="001A551C">
                  <w:pPr>
                    <w:pStyle w:val="TableBodyText"/>
                    <w:jc w:val="left"/>
                  </w:pPr>
                  <w:r>
                    <w:t>Separate distributions for primary and secondary applicants.</w:t>
                  </w:r>
                </w:p>
              </w:tc>
              <w:tc>
                <w:tcPr>
                  <w:tcW w:w="1420" w:type="pct"/>
                </w:tcPr>
                <w:p w14:paraId="4C6A4248" w14:textId="77777777" w:rsidR="004A19FC" w:rsidRDefault="00CD0F2E" w:rsidP="001A551C">
                  <w:pPr>
                    <w:pStyle w:val="TableUnitsRow"/>
                    <w:jc w:val="left"/>
                  </w:pPr>
                  <w:r>
                    <w:t>Age</w:t>
                  </w:r>
                  <w:r w:rsidR="00A60593">
                    <w:noBreakHyphen/>
                  </w:r>
                  <w:r>
                    <w:t xml:space="preserve">specific, implied in </w:t>
                  </w:r>
                  <w:proofErr w:type="spellStart"/>
                  <w:r>
                    <w:t>ACMID</w:t>
                  </w:r>
                  <w:proofErr w:type="spellEnd"/>
                  <w:r>
                    <w:t>.</w:t>
                  </w:r>
                </w:p>
              </w:tc>
              <w:tc>
                <w:tcPr>
                  <w:tcW w:w="837" w:type="pct"/>
                </w:tcPr>
                <w:p w14:paraId="4C6A4249" w14:textId="77777777" w:rsidR="004A19FC" w:rsidRDefault="000475CA" w:rsidP="004A19FC">
                  <w:pPr>
                    <w:pStyle w:val="TableColumnHeading"/>
                  </w:pPr>
                  <w:r>
                    <w:t>19,241</w:t>
                  </w:r>
                </w:p>
              </w:tc>
            </w:tr>
            <w:tr w:rsidR="00CD0F2E" w14:paraId="4C6A4250" w14:textId="77777777" w:rsidTr="004E6A8E">
              <w:tc>
                <w:tcPr>
                  <w:tcW w:w="1250" w:type="pct"/>
                </w:tcPr>
                <w:p w14:paraId="4C6A424B" w14:textId="77777777" w:rsidR="00CD0F2E" w:rsidRDefault="00CD0F2E" w:rsidP="00A7053B">
                  <w:pPr>
                    <w:pStyle w:val="TableBodyText"/>
                    <w:jc w:val="left"/>
                  </w:pPr>
                  <w:r>
                    <w:t>Permanent Skill</w:t>
                  </w:r>
                  <w:r w:rsidR="00DD5CCC">
                    <w:t xml:space="preserve"> </w:t>
                  </w:r>
                  <w:r>
                    <w:t>(Employer Sponsored)</w:t>
                  </w:r>
                </w:p>
              </w:tc>
              <w:tc>
                <w:tcPr>
                  <w:tcW w:w="1493" w:type="pct"/>
                </w:tcPr>
                <w:p w14:paraId="4C6A424C" w14:textId="77777777" w:rsidR="00CD0F2E" w:rsidRDefault="00CD0F2E" w:rsidP="001A551C">
                  <w:pPr>
                    <w:pStyle w:val="TableBodyText"/>
                    <w:jc w:val="left"/>
                  </w:pPr>
                  <w:r>
                    <w:t xml:space="preserve">Distribution in </w:t>
                  </w:r>
                  <w:proofErr w:type="spellStart"/>
                  <w:r>
                    <w:t>ACMID</w:t>
                  </w:r>
                  <w:proofErr w:type="spellEnd"/>
                  <w:r>
                    <w:t xml:space="preserve">, defined at subclass level (filtering year of arrival). </w:t>
                  </w:r>
                </w:p>
                <w:p w14:paraId="4C6A424D" w14:textId="77777777" w:rsidR="004E6A8E" w:rsidRDefault="004E6A8E" w:rsidP="001A551C">
                  <w:pPr>
                    <w:pStyle w:val="TableBodyText"/>
                    <w:jc w:val="left"/>
                  </w:pPr>
                  <w:r>
                    <w:t>Separate distributions for primary and secondary applicants.</w:t>
                  </w:r>
                </w:p>
              </w:tc>
              <w:tc>
                <w:tcPr>
                  <w:tcW w:w="1420" w:type="pct"/>
                </w:tcPr>
                <w:p w14:paraId="4C6A424E" w14:textId="77777777" w:rsidR="00CD0F2E" w:rsidRDefault="00CD0F2E" w:rsidP="001A551C">
                  <w:pPr>
                    <w:pStyle w:val="TableUnitsRow"/>
                    <w:jc w:val="left"/>
                  </w:pPr>
                  <w:r>
                    <w:t>Age</w:t>
                  </w:r>
                  <w:r w:rsidR="00A60593">
                    <w:noBreakHyphen/>
                  </w:r>
                  <w:r>
                    <w:t xml:space="preserve">specific, implied in </w:t>
                  </w:r>
                  <w:proofErr w:type="spellStart"/>
                  <w:r>
                    <w:t>ACMID</w:t>
                  </w:r>
                  <w:proofErr w:type="spellEnd"/>
                  <w:r>
                    <w:t>.</w:t>
                  </w:r>
                </w:p>
              </w:tc>
              <w:tc>
                <w:tcPr>
                  <w:tcW w:w="837" w:type="pct"/>
                </w:tcPr>
                <w:p w14:paraId="4C6A424F" w14:textId="77777777" w:rsidR="00CD0F2E" w:rsidRDefault="00CD0F2E" w:rsidP="004A19FC">
                  <w:pPr>
                    <w:pStyle w:val="TableColumnHeading"/>
                  </w:pPr>
                  <w:r>
                    <w:t>8,548</w:t>
                  </w:r>
                </w:p>
              </w:tc>
            </w:tr>
          </w:tbl>
          <w:p w14:paraId="4C6A4251" w14:textId="77777777" w:rsidR="00FC20FE" w:rsidRDefault="00FC20FE" w:rsidP="00A7053B">
            <w:pPr>
              <w:pStyle w:val="Box"/>
            </w:pPr>
          </w:p>
        </w:tc>
      </w:tr>
      <w:tr w:rsidR="00FC20FE" w14:paraId="4C6A4254" w14:textId="77777777" w:rsidTr="00A7053B">
        <w:tc>
          <w:tcPr>
            <w:tcW w:w="8771" w:type="dxa"/>
            <w:tcBorders>
              <w:top w:val="nil"/>
              <w:left w:val="nil"/>
              <w:bottom w:val="nil"/>
              <w:right w:val="nil"/>
            </w:tcBorders>
            <w:shd w:val="clear" w:color="auto" w:fill="auto"/>
          </w:tcPr>
          <w:p w14:paraId="4C6A4253" w14:textId="518E305C" w:rsidR="00FC20FE" w:rsidRPr="003E69CE" w:rsidRDefault="003E69CE" w:rsidP="00DF30DF">
            <w:pPr>
              <w:pStyle w:val="Source"/>
              <w:jc w:val="right"/>
            </w:pPr>
            <w:r>
              <w:t>(continued next page</w:t>
            </w:r>
            <w:r w:rsidR="00DF30DF">
              <w:t>)</w:t>
            </w:r>
          </w:p>
        </w:tc>
      </w:tr>
      <w:tr w:rsidR="00FC20FE" w14:paraId="4C6A4256" w14:textId="77777777" w:rsidTr="00A7053B">
        <w:tc>
          <w:tcPr>
            <w:tcW w:w="8771" w:type="dxa"/>
            <w:tcBorders>
              <w:top w:val="nil"/>
              <w:left w:val="nil"/>
              <w:bottom w:val="single" w:sz="6" w:space="0" w:color="78A22F"/>
              <w:right w:val="nil"/>
            </w:tcBorders>
            <w:shd w:val="clear" w:color="auto" w:fill="auto"/>
          </w:tcPr>
          <w:p w14:paraId="4C6A4255" w14:textId="77777777" w:rsidR="00FC20FE" w:rsidRDefault="00FC20FE" w:rsidP="00A7053B">
            <w:pPr>
              <w:pStyle w:val="Box"/>
              <w:spacing w:before="0" w:line="120" w:lineRule="exact"/>
            </w:pPr>
          </w:p>
        </w:tc>
      </w:tr>
      <w:tr w:rsidR="00FC20FE" w:rsidRPr="000863A5" w14:paraId="4C6A4258" w14:textId="77777777" w:rsidTr="00A7053B">
        <w:tc>
          <w:tcPr>
            <w:tcW w:w="8771" w:type="dxa"/>
            <w:tcBorders>
              <w:top w:val="single" w:sz="6" w:space="0" w:color="78A22F"/>
              <w:left w:val="nil"/>
              <w:bottom w:val="nil"/>
              <w:right w:val="nil"/>
            </w:tcBorders>
          </w:tcPr>
          <w:p w14:paraId="4C6A4257" w14:textId="5DA247F7" w:rsidR="00FC20FE" w:rsidRPr="00626D32" w:rsidRDefault="00FC20FE" w:rsidP="00A7053B">
            <w:pPr>
              <w:pStyle w:val="BoxSpaceBelow"/>
            </w:pPr>
          </w:p>
        </w:tc>
      </w:tr>
    </w:tbl>
    <w:p w14:paraId="4C6A4259" w14:textId="77777777" w:rsidR="00AD0B31" w:rsidRDefault="00AD0B31" w:rsidP="00FC20FE">
      <w:pPr>
        <w:pStyle w:val="BodyText"/>
      </w:pPr>
    </w:p>
    <w:p w14:paraId="4C6A425A" w14:textId="75B3F98D" w:rsidR="00487D84" w:rsidRDefault="00487D84" w:rsidP="00487D8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71"/>
      </w:tblGrid>
      <w:tr w:rsidR="004E6A8E" w14:paraId="4C6A425D" w14:textId="77777777" w:rsidTr="00FA7932">
        <w:trPr>
          <w:tblHeader/>
        </w:trPr>
        <w:tc>
          <w:tcPr>
            <w:tcW w:w="8771" w:type="dxa"/>
            <w:tcBorders>
              <w:top w:val="single" w:sz="6" w:space="0" w:color="78A22F"/>
              <w:left w:val="nil"/>
              <w:bottom w:val="nil"/>
              <w:right w:val="nil"/>
            </w:tcBorders>
            <w:shd w:val="clear" w:color="auto" w:fill="auto"/>
          </w:tcPr>
          <w:p w14:paraId="4C6A425C" w14:textId="6F5EDC20" w:rsidR="004E6A8E" w:rsidRPr="00784A05" w:rsidRDefault="004E6A8E" w:rsidP="00DF30DF">
            <w:pPr>
              <w:pStyle w:val="TableTitle"/>
            </w:pPr>
            <w:r>
              <w:rPr>
                <w:b w:val="0"/>
              </w:rPr>
              <w:t xml:space="preserve">Table </w:t>
            </w:r>
            <w:r w:rsidR="00DF30DF">
              <w:rPr>
                <w:b w:val="0"/>
              </w:rPr>
              <w:t>1.1</w:t>
            </w:r>
            <w:r>
              <w:tab/>
            </w:r>
            <w:r w:rsidR="003E69CE" w:rsidRPr="0014100C">
              <w:rPr>
                <w:b w:val="0"/>
                <w:sz w:val="18"/>
                <w:szCs w:val="18"/>
              </w:rPr>
              <w:t>(continued)</w:t>
            </w:r>
          </w:p>
        </w:tc>
      </w:tr>
      <w:tr w:rsidR="004E6A8E" w14:paraId="4C6A429F" w14:textId="77777777" w:rsidTr="00FA7932">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2"/>
              <w:gridCol w:w="2534"/>
              <w:gridCol w:w="2268"/>
              <w:gridCol w:w="1563"/>
            </w:tblGrid>
            <w:tr w:rsidR="004E6A8E" w14:paraId="4C6A4263" w14:textId="77777777" w:rsidTr="00A53CA2">
              <w:trPr>
                <w:tblHeader/>
              </w:trPr>
              <w:tc>
                <w:tcPr>
                  <w:tcW w:w="1250" w:type="pct"/>
                  <w:tcBorders>
                    <w:top w:val="single" w:sz="6" w:space="0" w:color="BFBFBF"/>
                    <w:bottom w:val="single" w:sz="6" w:space="0" w:color="BFBFBF"/>
                  </w:tcBorders>
                  <w:shd w:val="clear" w:color="auto" w:fill="auto"/>
                  <w:tcMar>
                    <w:top w:w="28" w:type="dxa"/>
                  </w:tcMar>
                </w:tcPr>
                <w:p w14:paraId="4C6A425E" w14:textId="77777777" w:rsidR="004E6A8E" w:rsidRDefault="004E6A8E" w:rsidP="00FA7932">
                  <w:pPr>
                    <w:pStyle w:val="TableColumnHeading"/>
                    <w:jc w:val="left"/>
                  </w:pPr>
                  <w:r>
                    <w:t>Category of NOM</w:t>
                  </w:r>
                </w:p>
              </w:tc>
              <w:tc>
                <w:tcPr>
                  <w:tcW w:w="1493" w:type="pct"/>
                  <w:tcBorders>
                    <w:top w:val="single" w:sz="6" w:space="0" w:color="BFBFBF"/>
                    <w:bottom w:val="single" w:sz="6" w:space="0" w:color="BFBFBF"/>
                  </w:tcBorders>
                  <w:shd w:val="clear" w:color="auto" w:fill="auto"/>
                  <w:tcMar>
                    <w:top w:w="28" w:type="dxa"/>
                  </w:tcMar>
                </w:tcPr>
                <w:p w14:paraId="4C6A425F" w14:textId="77777777" w:rsidR="004E6A8E" w:rsidRDefault="00A53CA2" w:rsidP="00A53CA2">
                  <w:pPr>
                    <w:pStyle w:val="TableColumnHeading"/>
                    <w:jc w:val="left"/>
                  </w:pPr>
                  <w:r>
                    <w:t>Age distribution</w:t>
                  </w:r>
                  <w:r>
                    <w:br/>
                  </w:r>
                  <w:r w:rsidR="004E6A8E">
                    <w:t>(single age)</w:t>
                  </w:r>
                </w:p>
              </w:tc>
              <w:tc>
                <w:tcPr>
                  <w:tcW w:w="1336" w:type="pct"/>
                  <w:tcBorders>
                    <w:top w:val="single" w:sz="6" w:space="0" w:color="BFBFBF"/>
                    <w:bottom w:val="single" w:sz="6" w:space="0" w:color="BFBFBF"/>
                  </w:tcBorders>
                  <w:shd w:val="clear" w:color="auto" w:fill="auto"/>
                  <w:tcMar>
                    <w:top w:w="28" w:type="dxa"/>
                  </w:tcMar>
                </w:tcPr>
                <w:p w14:paraId="4C6A4261" w14:textId="648C1D63" w:rsidR="004E6A8E" w:rsidRDefault="0014100C" w:rsidP="001A551C">
                  <w:pPr>
                    <w:pStyle w:val="TableColumnHeading"/>
                    <w:jc w:val="left"/>
                  </w:pPr>
                  <w:r>
                    <w:t>Gender distribution</w:t>
                  </w:r>
                </w:p>
              </w:tc>
              <w:tc>
                <w:tcPr>
                  <w:tcW w:w="921" w:type="pct"/>
                  <w:tcBorders>
                    <w:top w:val="single" w:sz="6" w:space="0" w:color="BFBFBF"/>
                    <w:bottom w:val="single" w:sz="6" w:space="0" w:color="BFBFBF"/>
                  </w:tcBorders>
                </w:tcPr>
                <w:p w14:paraId="4C6A4262" w14:textId="1AF9E66F" w:rsidR="004E6A8E" w:rsidRDefault="004E6A8E" w:rsidP="0014100C">
                  <w:pPr>
                    <w:pStyle w:val="TableColumnHeading"/>
                  </w:pPr>
                  <w:r>
                    <w:t>Modelled NOM flow</w:t>
                  </w:r>
                  <w:r w:rsidR="0014100C">
                    <w:t xml:space="preserve"> </w:t>
                  </w:r>
                  <w:r>
                    <w:t>(</w:t>
                  </w:r>
                  <w:r w:rsidR="00B11D7F">
                    <w:t>persons, four year average annual flow</w:t>
                  </w:r>
                  <w:r>
                    <w:t>)</w:t>
                  </w:r>
                </w:p>
              </w:tc>
            </w:tr>
            <w:tr w:rsidR="004E6A8E" w14:paraId="4C6A4269" w14:textId="77777777" w:rsidTr="00A53CA2">
              <w:tc>
                <w:tcPr>
                  <w:tcW w:w="1250" w:type="pct"/>
                </w:tcPr>
                <w:p w14:paraId="4C6A4264" w14:textId="77777777" w:rsidR="004E6A8E" w:rsidRDefault="004E6A8E" w:rsidP="00FA7932">
                  <w:pPr>
                    <w:pStyle w:val="TableBodyText"/>
                    <w:jc w:val="left"/>
                  </w:pPr>
                  <w:r>
                    <w:t>Permanent Skill (Business Innovation and Investment)</w:t>
                  </w:r>
                </w:p>
              </w:tc>
              <w:tc>
                <w:tcPr>
                  <w:tcW w:w="1493" w:type="pct"/>
                </w:tcPr>
                <w:p w14:paraId="4C6A4265" w14:textId="77777777" w:rsidR="004E6A8E" w:rsidRDefault="004E6A8E" w:rsidP="001A551C">
                  <w:pPr>
                    <w:pStyle w:val="TableBodyText"/>
                    <w:jc w:val="left"/>
                  </w:pPr>
                  <w:r>
                    <w:t xml:space="preserve">Distribution in </w:t>
                  </w:r>
                  <w:proofErr w:type="spellStart"/>
                  <w:r>
                    <w:t>ACMID</w:t>
                  </w:r>
                  <w:proofErr w:type="spellEnd"/>
                  <w:r>
                    <w:t xml:space="preserve">, defined at subclass level (filtering year of arrival). </w:t>
                  </w:r>
                </w:p>
                <w:p w14:paraId="4C6A4266" w14:textId="77777777" w:rsidR="004E6A8E" w:rsidRDefault="004E6A8E" w:rsidP="001A551C">
                  <w:pPr>
                    <w:pStyle w:val="TableBodyText"/>
                    <w:jc w:val="left"/>
                  </w:pPr>
                  <w:r>
                    <w:t>Separate distributions for primary and secondary applicants.</w:t>
                  </w:r>
                </w:p>
              </w:tc>
              <w:tc>
                <w:tcPr>
                  <w:tcW w:w="1336" w:type="pct"/>
                </w:tcPr>
                <w:p w14:paraId="4C6A4267" w14:textId="77777777" w:rsidR="004E6A8E" w:rsidRDefault="004E6A8E" w:rsidP="001A551C">
                  <w:pPr>
                    <w:pStyle w:val="TableUnitsRow"/>
                    <w:jc w:val="left"/>
                  </w:pPr>
                  <w:r>
                    <w:t>Age</w:t>
                  </w:r>
                  <w:r w:rsidR="00A60593">
                    <w:noBreakHyphen/>
                  </w:r>
                  <w:r>
                    <w:t xml:space="preserve">specific, implied in </w:t>
                  </w:r>
                  <w:proofErr w:type="spellStart"/>
                  <w:r>
                    <w:t>ACMID</w:t>
                  </w:r>
                  <w:proofErr w:type="spellEnd"/>
                  <w:r>
                    <w:t>.</w:t>
                  </w:r>
                </w:p>
              </w:tc>
              <w:tc>
                <w:tcPr>
                  <w:tcW w:w="921" w:type="pct"/>
                </w:tcPr>
                <w:p w14:paraId="4C6A4268" w14:textId="77777777" w:rsidR="004E6A8E" w:rsidRDefault="004E6A8E" w:rsidP="00FA7932">
                  <w:pPr>
                    <w:pStyle w:val="TableColumnHeading"/>
                  </w:pPr>
                  <w:r>
                    <w:t>1,853</w:t>
                  </w:r>
                </w:p>
              </w:tc>
            </w:tr>
            <w:tr w:rsidR="004E6A8E" w14:paraId="4C6A4270" w14:textId="77777777" w:rsidTr="00A53CA2">
              <w:tc>
                <w:tcPr>
                  <w:tcW w:w="1250" w:type="pct"/>
                </w:tcPr>
                <w:p w14:paraId="4C6A426A" w14:textId="77777777" w:rsidR="004E6A8E" w:rsidRDefault="004E6A8E" w:rsidP="00FA7932">
                  <w:pPr>
                    <w:pStyle w:val="TableBodyText"/>
                    <w:jc w:val="left"/>
                  </w:pPr>
                  <w:r>
                    <w:t>Permanent Skill (Other)</w:t>
                  </w:r>
                </w:p>
              </w:tc>
              <w:tc>
                <w:tcPr>
                  <w:tcW w:w="1493" w:type="pct"/>
                </w:tcPr>
                <w:p w14:paraId="4C6A426B" w14:textId="77777777" w:rsidR="004E6A8E" w:rsidRDefault="004E6A8E" w:rsidP="001A551C">
                  <w:pPr>
                    <w:pStyle w:val="TableBodyText"/>
                    <w:jc w:val="left"/>
                  </w:pPr>
                  <w:r>
                    <w:t>Same as Permanent Skill (Business Innovation and Investment).</w:t>
                  </w:r>
                </w:p>
                <w:p w14:paraId="4C6A426C" w14:textId="77777777" w:rsidR="004E6A8E" w:rsidRDefault="004E6A8E" w:rsidP="001A551C">
                  <w:pPr>
                    <w:pStyle w:val="TableBodyText"/>
                    <w:jc w:val="left"/>
                  </w:pPr>
                  <w:r>
                    <w:t xml:space="preserve">Separate distributions for primary and secondary applicants. </w:t>
                  </w:r>
                </w:p>
              </w:tc>
              <w:tc>
                <w:tcPr>
                  <w:tcW w:w="1336" w:type="pct"/>
                </w:tcPr>
                <w:p w14:paraId="4C6A426D" w14:textId="77777777" w:rsidR="004E6A8E" w:rsidRDefault="004E6A8E" w:rsidP="001A551C">
                  <w:pPr>
                    <w:pStyle w:val="TableUnitsRow"/>
                    <w:jc w:val="left"/>
                  </w:pPr>
                  <w:r>
                    <w:t>Age</w:t>
                  </w:r>
                  <w:r w:rsidR="00A60593">
                    <w:noBreakHyphen/>
                  </w:r>
                  <w:r>
                    <w:t xml:space="preserve">specific, implied in </w:t>
                  </w:r>
                  <w:proofErr w:type="spellStart"/>
                  <w:r>
                    <w:t>ACMID</w:t>
                  </w:r>
                  <w:proofErr w:type="spellEnd"/>
                  <w:r>
                    <w:t xml:space="preserve">. </w:t>
                  </w:r>
                </w:p>
                <w:p w14:paraId="4C6A426E" w14:textId="77777777" w:rsidR="004E6A8E" w:rsidRDefault="004E6A8E" w:rsidP="001A551C">
                  <w:pPr>
                    <w:pStyle w:val="TableUnitsRow"/>
                    <w:jc w:val="left"/>
                  </w:pPr>
                  <w:r>
                    <w:t>Same as Permanent Skill (Business Innovation and Investment).</w:t>
                  </w:r>
                </w:p>
              </w:tc>
              <w:tc>
                <w:tcPr>
                  <w:tcW w:w="921" w:type="pct"/>
                </w:tcPr>
                <w:p w14:paraId="4C6A426F" w14:textId="77777777" w:rsidR="004E6A8E" w:rsidRDefault="004E6A8E" w:rsidP="00FA7932">
                  <w:pPr>
                    <w:pStyle w:val="TableColumnHeading"/>
                  </w:pPr>
                  <w:r>
                    <w:t>594</w:t>
                  </w:r>
                </w:p>
              </w:tc>
            </w:tr>
            <w:tr w:rsidR="004E6A8E" w14:paraId="4C6A4275" w14:textId="77777777" w:rsidTr="00A53CA2">
              <w:tc>
                <w:tcPr>
                  <w:tcW w:w="1250" w:type="pct"/>
                </w:tcPr>
                <w:p w14:paraId="4C6A4271" w14:textId="77777777" w:rsidR="004E6A8E" w:rsidRDefault="004E6A8E" w:rsidP="00FA7932">
                  <w:pPr>
                    <w:pStyle w:val="TableBodyText"/>
                    <w:jc w:val="left"/>
                  </w:pPr>
                  <w:r>
                    <w:t>Permanent Family (Partner)</w:t>
                  </w:r>
                </w:p>
              </w:tc>
              <w:tc>
                <w:tcPr>
                  <w:tcW w:w="1493" w:type="pct"/>
                </w:tcPr>
                <w:p w14:paraId="4C6A4272" w14:textId="77777777" w:rsidR="004E6A8E" w:rsidRDefault="004E6A8E" w:rsidP="001A551C">
                  <w:pPr>
                    <w:pStyle w:val="TableBodyText"/>
                    <w:jc w:val="left"/>
                  </w:pPr>
                  <w:r>
                    <w:t xml:space="preserve">Distribution in </w:t>
                  </w:r>
                  <w:proofErr w:type="spellStart"/>
                  <w:r>
                    <w:t>ACMID</w:t>
                  </w:r>
                  <w:proofErr w:type="spellEnd"/>
                  <w:r>
                    <w:t xml:space="preserve">, defined at subclass level (filtering year of arrival). </w:t>
                  </w:r>
                </w:p>
              </w:tc>
              <w:tc>
                <w:tcPr>
                  <w:tcW w:w="1336" w:type="pct"/>
                </w:tcPr>
                <w:p w14:paraId="4C6A4273" w14:textId="77777777" w:rsidR="004E6A8E" w:rsidRDefault="004E6A8E" w:rsidP="001A551C">
                  <w:pPr>
                    <w:pStyle w:val="TableUnitsRow"/>
                    <w:jc w:val="left"/>
                  </w:pPr>
                  <w:r>
                    <w:t>Age</w:t>
                  </w:r>
                  <w:r w:rsidR="00A60593">
                    <w:noBreakHyphen/>
                  </w:r>
                  <w:r>
                    <w:t xml:space="preserve">specific, implied in </w:t>
                  </w:r>
                  <w:proofErr w:type="spellStart"/>
                  <w:r>
                    <w:t>ACMID</w:t>
                  </w:r>
                  <w:proofErr w:type="spellEnd"/>
                  <w:r>
                    <w:t>.</w:t>
                  </w:r>
                </w:p>
              </w:tc>
              <w:tc>
                <w:tcPr>
                  <w:tcW w:w="921" w:type="pct"/>
                </w:tcPr>
                <w:p w14:paraId="4C6A4274" w14:textId="77777777" w:rsidR="004E6A8E" w:rsidRDefault="004E6A8E" w:rsidP="00FA7932">
                  <w:pPr>
                    <w:pStyle w:val="TableColumnHeading"/>
                  </w:pPr>
                  <w:r>
                    <w:t>24,028</w:t>
                  </w:r>
                </w:p>
              </w:tc>
            </w:tr>
            <w:tr w:rsidR="004E6A8E" w14:paraId="4C6A427A" w14:textId="77777777" w:rsidTr="00A53CA2">
              <w:tc>
                <w:tcPr>
                  <w:tcW w:w="1250" w:type="pct"/>
                </w:tcPr>
                <w:p w14:paraId="4C6A4276" w14:textId="77777777" w:rsidR="004E6A8E" w:rsidRDefault="004E6A8E" w:rsidP="00FA7932">
                  <w:pPr>
                    <w:pStyle w:val="TableBodyText"/>
                    <w:jc w:val="left"/>
                  </w:pPr>
                  <w:r>
                    <w:t>Permanent Family (Parent)</w:t>
                  </w:r>
                </w:p>
              </w:tc>
              <w:tc>
                <w:tcPr>
                  <w:tcW w:w="1493" w:type="pct"/>
                </w:tcPr>
                <w:p w14:paraId="4C6A4277" w14:textId="77777777" w:rsidR="004E6A8E" w:rsidRDefault="004E6A8E" w:rsidP="001A551C">
                  <w:pPr>
                    <w:pStyle w:val="TableBodyText"/>
                    <w:jc w:val="left"/>
                  </w:pPr>
                  <w:r>
                    <w:t xml:space="preserve">Distribution in </w:t>
                  </w:r>
                  <w:proofErr w:type="spellStart"/>
                  <w:r>
                    <w:t>ACMID</w:t>
                  </w:r>
                  <w:proofErr w:type="spellEnd"/>
                  <w:r>
                    <w:t xml:space="preserve">, defined at subclass level (filtering year of arrival). </w:t>
                  </w:r>
                </w:p>
              </w:tc>
              <w:tc>
                <w:tcPr>
                  <w:tcW w:w="1336" w:type="pct"/>
                </w:tcPr>
                <w:p w14:paraId="4C6A4278" w14:textId="77777777" w:rsidR="004E6A8E" w:rsidRDefault="004E6A8E" w:rsidP="001A551C">
                  <w:pPr>
                    <w:pStyle w:val="TableUnitsRow"/>
                    <w:jc w:val="left"/>
                  </w:pPr>
                  <w:r>
                    <w:t>Age</w:t>
                  </w:r>
                  <w:r w:rsidR="00A60593">
                    <w:noBreakHyphen/>
                  </w:r>
                  <w:r>
                    <w:t xml:space="preserve">specific, implied in </w:t>
                  </w:r>
                  <w:proofErr w:type="spellStart"/>
                  <w:r>
                    <w:t>ACMID</w:t>
                  </w:r>
                  <w:proofErr w:type="spellEnd"/>
                  <w:r>
                    <w:t>.</w:t>
                  </w:r>
                </w:p>
              </w:tc>
              <w:tc>
                <w:tcPr>
                  <w:tcW w:w="921" w:type="pct"/>
                </w:tcPr>
                <w:p w14:paraId="4C6A4279" w14:textId="77777777" w:rsidR="004E6A8E" w:rsidRDefault="004E6A8E" w:rsidP="00FA7932">
                  <w:pPr>
                    <w:pStyle w:val="TableColumnHeading"/>
                  </w:pPr>
                  <w:r>
                    <w:t>752</w:t>
                  </w:r>
                </w:p>
              </w:tc>
            </w:tr>
            <w:tr w:rsidR="004E6A8E" w14:paraId="4C6A427F" w14:textId="77777777" w:rsidTr="00A53CA2">
              <w:tc>
                <w:tcPr>
                  <w:tcW w:w="1250" w:type="pct"/>
                </w:tcPr>
                <w:p w14:paraId="4C6A427B" w14:textId="77777777" w:rsidR="004E6A8E" w:rsidRDefault="004E6A8E" w:rsidP="00FA7932">
                  <w:pPr>
                    <w:pStyle w:val="TableBodyText"/>
                    <w:jc w:val="left"/>
                  </w:pPr>
                  <w:r>
                    <w:t>Permanent Family (Dependent Child)</w:t>
                  </w:r>
                </w:p>
              </w:tc>
              <w:tc>
                <w:tcPr>
                  <w:tcW w:w="1493" w:type="pct"/>
                </w:tcPr>
                <w:p w14:paraId="4C6A427C" w14:textId="77777777" w:rsidR="004E6A8E" w:rsidRDefault="004E6A8E" w:rsidP="001A551C">
                  <w:pPr>
                    <w:pStyle w:val="TableBodyText"/>
                    <w:jc w:val="left"/>
                  </w:pPr>
                  <w:r>
                    <w:t xml:space="preserve">Distribution in </w:t>
                  </w:r>
                  <w:proofErr w:type="spellStart"/>
                  <w:r>
                    <w:t>ACMID</w:t>
                  </w:r>
                  <w:proofErr w:type="spellEnd"/>
                  <w:r>
                    <w:t xml:space="preserve">, defined at subclass level (filtering year of arrival). </w:t>
                  </w:r>
                </w:p>
              </w:tc>
              <w:tc>
                <w:tcPr>
                  <w:tcW w:w="1336" w:type="pct"/>
                </w:tcPr>
                <w:p w14:paraId="4C6A427D" w14:textId="77777777" w:rsidR="004E6A8E" w:rsidRDefault="004E6A8E" w:rsidP="001A551C">
                  <w:pPr>
                    <w:pStyle w:val="TableUnitsRow"/>
                    <w:jc w:val="left"/>
                  </w:pPr>
                  <w:r>
                    <w:t>Age</w:t>
                  </w:r>
                  <w:r w:rsidR="00A60593">
                    <w:noBreakHyphen/>
                  </w:r>
                  <w:r>
                    <w:t xml:space="preserve">specific, implied in </w:t>
                  </w:r>
                  <w:proofErr w:type="spellStart"/>
                  <w:r>
                    <w:t>ACMID</w:t>
                  </w:r>
                  <w:proofErr w:type="spellEnd"/>
                  <w:r>
                    <w:t>.</w:t>
                  </w:r>
                </w:p>
              </w:tc>
              <w:tc>
                <w:tcPr>
                  <w:tcW w:w="921" w:type="pct"/>
                </w:tcPr>
                <w:p w14:paraId="4C6A427E" w14:textId="77777777" w:rsidR="004E6A8E" w:rsidRDefault="004E6A8E" w:rsidP="00FA7932">
                  <w:pPr>
                    <w:pStyle w:val="TableColumnHeading"/>
                  </w:pPr>
                  <w:r>
                    <w:t>1,557</w:t>
                  </w:r>
                </w:p>
              </w:tc>
            </w:tr>
            <w:tr w:rsidR="004E6A8E" w14:paraId="4C6A4284" w14:textId="77777777" w:rsidTr="00A53CA2">
              <w:tc>
                <w:tcPr>
                  <w:tcW w:w="1250" w:type="pct"/>
                </w:tcPr>
                <w:p w14:paraId="4C6A4280" w14:textId="77777777" w:rsidR="004E6A8E" w:rsidRDefault="004E6A8E" w:rsidP="00FA7932">
                  <w:pPr>
                    <w:pStyle w:val="TableBodyText"/>
                    <w:jc w:val="left"/>
                  </w:pPr>
                  <w:r>
                    <w:t>Permanent Family (Contributory Parent)</w:t>
                  </w:r>
                </w:p>
              </w:tc>
              <w:tc>
                <w:tcPr>
                  <w:tcW w:w="1493" w:type="pct"/>
                </w:tcPr>
                <w:p w14:paraId="4C6A4281" w14:textId="77777777" w:rsidR="004E6A8E" w:rsidRDefault="004E6A8E" w:rsidP="001A551C">
                  <w:pPr>
                    <w:pStyle w:val="TableBodyText"/>
                    <w:jc w:val="left"/>
                  </w:pPr>
                  <w:r>
                    <w:t xml:space="preserve">Distribution in </w:t>
                  </w:r>
                  <w:proofErr w:type="spellStart"/>
                  <w:r>
                    <w:t>ACMID</w:t>
                  </w:r>
                  <w:proofErr w:type="spellEnd"/>
                  <w:r>
                    <w:t xml:space="preserve">, defined at subclass level (filtering year of arrival). </w:t>
                  </w:r>
                </w:p>
              </w:tc>
              <w:tc>
                <w:tcPr>
                  <w:tcW w:w="1336" w:type="pct"/>
                </w:tcPr>
                <w:p w14:paraId="4C6A4282" w14:textId="77777777" w:rsidR="004E6A8E" w:rsidRDefault="004E6A8E" w:rsidP="001A551C">
                  <w:pPr>
                    <w:pStyle w:val="TableUnitsRow"/>
                    <w:jc w:val="left"/>
                  </w:pPr>
                  <w:r>
                    <w:t>Age</w:t>
                  </w:r>
                  <w:r w:rsidR="00A60593">
                    <w:noBreakHyphen/>
                  </w:r>
                  <w:r>
                    <w:t xml:space="preserve">specific, implied in </w:t>
                  </w:r>
                  <w:proofErr w:type="spellStart"/>
                  <w:r>
                    <w:t>ACMID</w:t>
                  </w:r>
                  <w:proofErr w:type="spellEnd"/>
                  <w:r>
                    <w:t>.</w:t>
                  </w:r>
                </w:p>
              </w:tc>
              <w:tc>
                <w:tcPr>
                  <w:tcW w:w="921" w:type="pct"/>
                </w:tcPr>
                <w:p w14:paraId="4C6A4283" w14:textId="77777777" w:rsidR="004E6A8E" w:rsidRDefault="004E6A8E" w:rsidP="00FA7932">
                  <w:pPr>
                    <w:pStyle w:val="TableColumnHeading"/>
                  </w:pPr>
                  <w:r>
                    <w:t>1,558</w:t>
                  </w:r>
                </w:p>
              </w:tc>
            </w:tr>
            <w:tr w:rsidR="004E6A8E" w14:paraId="4C6A4289" w14:textId="77777777" w:rsidTr="00A53CA2">
              <w:tc>
                <w:tcPr>
                  <w:tcW w:w="1250" w:type="pct"/>
                </w:tcPr>
                <w:p w14:paraId="4C6A4285" w14:textId="77777777" w:rsidR="004E6A8E" w:rsidRDefault="004E6A8E" w:rsidP="00FA7932">
                  <w:pPr>
                    <w:pStyle w:val="TableBodyText"/>
                    <w:jc w:val="left"/>
                  </w:pPr>
                  <w:r>
                    <w:t>Permanent Family (Other)</w:t>
                  </w:r>
                </w:p>
              </w:tc>
              <w:tc>
                <w:tcPr>
                  <w:tcW w:w="1493" w:type="pct"/>
                </w:tcPr>
                <w:p w14:paraId="4C6A4286" w14:textId="77777777" w:rsidR="004E6A8E" w:rsidRDefault="004E6A8E" w:rsidP="001A551C">
                  <w:pPr>
                    <w:pStyle w:val="TableBodyText"/>
                    <w:jc w:val="left"/>
                  </w:pPr>
                  <w:r>
                    <w:t xml:space="preserve">Distribution in </w:t>
                  </w:r>
                  <w:proofErr w:type="spellStart"/>
                  <w:r>
                    <w:t>ACMID</w:t>
                  </w:r>
                  <w:proofErr w:type="spellEnd"/>
                  <w:r>
                    <w:t xml:space="preserve">, defined at subclass level (filtering year of arrival). </w:t>
                  </w:r>
                </w:p>
              </w:tc>
              <w:tc>
                <w:tcPr>
                  <w:tcW w:w="1336" w:type="pct"/>
                </w:tcPr>
                <w:p w14:paraId="4C6A4287" w14:textId="77777777" w:rsidR="004E6A8E" w:rsidRDefault="004E6A8E" w:rsidP="001A551C">
                  <w:pPr>
                    <w:pStyle w:val="TableUnitsRow"/>
                    <w:jc w:val="left"/>
                  </w:pPr>
                  <w:r>
                    <w:t>Age</w:t>
                  </w:r>
                  <w:r w:rsidR="00A60593">
                    <w:noBreakHyphen/>
                  </w:r>
                  <w:r>
                    <w:t xml:space="preserve">specific, implied in </w:t>
                  </w:r>
                  <w:proofErr w:type="spellStart"/>
                  <w:r>
                    <w:t>ACMID</w:t>
                  </w:r>
                  <w:proofErr w:type="spellEnd"/>
                  <w:r>
                    <w:t>.</w:t>
                  </w:r>
                </w:p>
              </w:tc>
              <w:tc>
                <w:tcPr>
                  <w:tcW w:w="921" w:type="pct"/>
                </w:tcPr>
                <w:p w14:paraId="4C6A4288" w14:textId="77777777" w:rsidR="004E6A8E" w:rsidRDefault="004E6A8E" w:rsidP="00FA7932">
                  <w:pPr>
                    <w:pStyle w:val="TableColumnHeading"/>
                  </w:pPr>
                  <w:r>
                    <w:t>1,499</w:t>
                  </w:r>
                </w:p>
              </w:tc>
            </w:tr>
            <w:tr w:rsidR="004E6A8E" w14:paraId="4C6A428E" w14:textId="77777777" w:rsidTr="00A53CA2">
              <w:tc>
                <w:tcPr>
                  <w:tcW w:w="1250" w:type="pct"/>
                </w:tcPr>
                <w:p w14:paraId="4C6A428A" w14:textId="77777777" w:rsidR="004E6A8E" w:rsidRPr="00687779" w:rsidRDefault="004E6A8E" w:rsidP="00FA7932">
                  <w:pPr>
                    <w:rPr>
                      <w:rFonts w:asciiTheme="minorHAnsi" w:hAnsiTheme="minorHAnsi" w:cstheme="minorHAnsi"/>
                      <w:sz w:val="18"/>
                      <w:szCs w:val="18"/>
                    </w:rPr>
                  </w:pPr>
                  <w:r w:rsidRPr="00687779">
                    <w:rPr>
                      <w:rFonts w:asciiTheme="minorHAnsi" w:hAnsiTheme="minorHAnsi" w:cstheme="minorHAnsi"/>
                      <w:sz w:val="18"/>
                      <w:szCs w:val="18"/>
                    </w:rPr>
                    <w:t>Permanent (Humanitarian)</w:t>
                  </w:r>
                </w:p>
              </w:tc>
              <w:tc>
                <w:tcPr>
                  <w:tcW w:w="1493" w:type="pct"/>
                </w:tcPr>
                <w:p w14:paraId="4C6A428B" w14:textId="77777777" w:rsidR="004E6A8E" w:rsidRDefault="004E6A8E" w:rsidP="001A551C">
                  <w:pPr>
                    <w:pStyle w:val="TableBodyText"/>
                    <w:jc w:val="left"/>
                  </w:pPr>
                  <w:r>
                    <w:t xml:space="preserve">Distribution in </w:t>
                  </w:r>
                  <w:proofErr w:type="spellStart"/>
                  <w:r>
                    <w:t>ACMID</w:t>
                  </w:r>
                  <w:proofErr w:type="spellEnd"/>
                  <w:r>
                    <w:t xml:space="preserve">, defined at subclass level (filtering year of arrival). </w:t>
                  </w:r>
                </w:p>
              </w:tc>
              <w:tc>
                <w:tcPr>
                  <w:tcW w:w="1336" w:type="pct"/>
                </w:tcPr>
                <w:p w14:paraId="4C6A428C" w14:textId="77777777" w:rsidR="004E6A8E" w:rsidRDefault="004E6A8E" w:rsidP="001A551C">
                  <w:pPr>
                    <w:pStyle w:val="TableUnitsRow"/>
                    <w:jc w:val="left"/>
                  </w:pPr>
                  <w:r>
                    <w:t>Age</w:t>
                  </w:r>
                  <w:r w:rsidR="00A60593">
                    <w:noBreakHyphen/>
                  </w:r>
                  <w:r>
                    <w:t xml:space="preserve">specific, implied in </w:t>
                  </w:r>
                  <w:proofErr w:type="spellStart"/>
                  <w:r>
                    <w:t>ACMID</w:t>
                  </w:r>
                  <w:proofErr w:type="spellEnd"/>
                  <w:r>
                    <w:t>.</w:t>
                  </w:r>
                </w:p>
              </w:tc>
              <w:tc>
                <w:tcPr>
                  <w:tcW w:w="921" w:type="pct"/>
                </w:tcPr>
                <w:p w14:paraId="4C6A428D" w14:textId="77777777" w:rsidR="004E6A8E" w:rsidRDefault="004E6A8E" w:rsidP="00FA7932">
                  <w:pPr>
                    <w:pStyle w:val="TableColumnHeading"/>
                  </w:pPr>
                  <w:r>
                    <w:t>8,715</w:t>
                  </w:r>
                </w:p>
              </w:tc>
            </w:tr>
            <w:tr w:rsidR="004E6A8E" w14:paraId="4C6A4293" w14:textId="77777777" w:rsidTr="00A53CA2">
              <w:tc>
                <w:tcPr>
                  <w:tcW w:w="1250" w:type="pct"/>
                </w:tcPr>
                <w:p w14:paraId="4C6A428F" w14:textId="77777777" w:rsidR="004E6A8E" w:rsidRDefault="004E6A8E" w:rsidP="00FA7932">
                  <w:pPr>
                    <w:pStyle w:val="TableBodyText"/>
                    <w:jc w:val="left"/>
                  </w:pPr>
                  <w:r>
                    <w:t>Permanent (Special Eligibility)</w:t>
                  </w:r>
                </w:p>
              </w:tc>
              <w:tc>
                <w:tcPr>
                  <w:tcW w:w="1493" w:type="pct"/>
                </w:tcPr>
                <w:p w14:paraId="4C6A4290" w14:textId="77777777" w:rsidR="004E6A8E" w:rsidRDefault="004E6A8E" w:rsidP="001A551C">
                  <w:pPr>
                    <w:pStyle w:val="TableBodyText"/>
                    <w:jc w:val="left"/>
                  </w:pPr>
                  <w:r>
                    <w:t>Not modelled.</w:t>
                  </w:r>
                </w:p>
              </w:tc>
              <w:tc>
                <w:tcPr>
                  <w:tcW w:w="1336" w:type="pct"/>
                </w:tcPr>
                <w:p w14:paraId="4C6A4291" w14:textId="77777777" w:rsidR="004E6A8E" w:rsidRDefault="004E6A8E" w:rsidP="001A551C">
                  <w:pPr>
                    <w:pStyle w:val="TableUnitsRow"/>
                    <w:jc w:val="left"/>
                  </w:pPr>
                  <w:r>
                    <w:t>Not modelled.</w:t>
                  </w:r>
                </w:p>
              </w:tc>
              <w:tc>
                <w:tcPr>
                  <w:tcW w:w="921" w:type="pct"/>
                </w:tcPr>
                <w:p w14:paraId="4C6A4292" w14:textId="77777777" w:rsidR="004E6A8E" w:rsidRDefault="004E6A8E" w:rsidP="00FA7932">
                  <w:pPr>
                    <w:pStyle w:val="TableColumnHeading"/>
                  </w:pPr>
                  <w:r>
                    <w:t>N/A</w:t>
                  </w:r>
                </w:p>
              </w:tc>
            </w:tr>
            <w:tr w:rsidR="004E6A8E" w14:paraId="4C6A4298" w14:textId="77777777" w:rsidTr="00A53CA2">
              <w:tc>
                <w:tcPr>
                  <w:tcW w:w="1250" w:type="pct"/>
                </w:tcPr>
                <w:p w14:paraId="4C6A4294" w14:textId="77777777" w:rsidR="004E6A8E" w:rsidRDefault="004E6A8E" w:rsidP="00FA7932">
                  <w:pPr>
                    <w:pStyle w:val="TableBodyText"/>
                    <w:jc w:val="left"/>
                  </w:pPr>
                  <w:r>
                    <w:t>Permanent (Other)</w:t>
                  </w:r>
                </w:p>
              </w:tc>
              <w:tc>
                <w:tcPr>
                  <w:tcW w:w="1493" w:type="pct"/>
                </w:tcPr>
                <w:p w14:paraId="4C6A4295" w14:textId="77777777" w:rsidR="004E6A8E" w:rsidRDefault="004E6A8E" w:rsidP="001A551C">
                  <w:pPr>
                    <w:pStyle w:val="TableBodyText"/>
                    <w:jc w:val="left"/>
                  </w:pPr>
                  <w:r>
                    <w:t>Same as Permanent Family (Other).</w:t>
                  </w:r>
                </w:p>
              </w:tc>
              <w:tc>
                <w:tcPr>
                  <w:tcW w:w="1336" w:type="pct"/>
                </w:tcPr>
                <w:p w14:paraId="4C6A4296" w14:textId="77777777" w:rsidR="004E6A8E" w:rsidRDefault="00DD5CCC" w:rsidP="001A551C">
                  <w:pPr>
                    <w:pStyle w:val="TableUnitsRow"/>
                    <w:jc w:val="left"/>
                  </w:pPr>
                  <w:r>
                    <w:t xml:space="preserve">Same as </w:t>
                  </w:r>
                  <w:r w:rsidR="004E6A8E">
                    <w:t>Permanent Family (Other).</w:t>
                  </w:r>
                </w:p>
              </w:tc>
              <w:tc>
                <w:tcPr>
                  <w:tcW w:w="921" w:type="pct"/>
                </w:tcPr>
                <w:p w14:paraId="4C6A4297" w14:textId="77777777" w:rsidR="004E6A8E" w:rsidRDefault="004E6A8E" w:rsidP="00FA7932">
                  <w:pPr>
                    <w:pStyle w:val="TableColumnHeading"/>
                  </w:pPr>
                  <w:r>
                    <w:t>4,533</w:t>
                  </w:r>
                </w:p>
              </w:tc>
            </w:tr>
            <w:tr w:rsidR="004E6A8E" w14:paraId="4C6A429D" w14:textId="77777777" w:rsidTr="00A53CA2">
              <w:tc>
                <w:tcPr>
                  <w:tcW w:w="1250" w:type="pct"/>
                  <w:tcBorders>
                    <w:bottom w:val="single" w:sz="6" w:space="0" w:color="BFBFBF"/>
                  </w:tcBorders>
                  <w:shd w:val="clear" w:color="auto" w:fill="auto"/>
                </w:tcPr>
                <w:p w14:paraId="4C6A4299" w14:textId="77777777" w:rsidR="004E6A8E" w:rsidRDefault="004E6A8E" w:rsidP="00FA7932">
                  <w:pPr>
                    <w:pStyle w:val="TableBodyText"/>
                    <w:jc w:val="left"/>
                  </w:pPr>
                  <w:r>
                    <w:t>Australian citizens</w:t>
                  </w:r>
                </w:p>
              </w:tc>
              <w:tc>
                <w:tcPr>
                  <w:tcW w:w="1493" w:type="pct"/>
                  <w:tcBorders>
                    <w:bottom w:val="single" w:sz="6" w:space="0" w:color="BFBFBF"/>
                  </w:tcBorders>
                  <w:shd w:val="clear" w:color="auto" w:fill="auto"/>
                </w:tcPr>
                <w:p w14:paraId="4C6A429A" w14:textId="5A7F1AAE" w:rsidR="004E6A8E" w:rsidRDefault="004E6A8E" w:rsidP="001A551C">
                  <w:pPr>
                    <w:pStyle w:val="TableBodyText"/>
                    <w:jc w:val="left"/>
                  </w:pPr>
                  <w:r>
                    <w:t xml:space="preserve">Aggregate NOM age distribution from PC’s </w:t>
                  </w:r>
                  <w:r w:rsidR="008E73F0">
                    <w:t xml:space="preserve">An </w:t>
                  </w:r>
                  <w:r>
                    <w:t>Ageing Australia (2</w:t>
                  </w:r>
                  <w:r w:rsidR="004354FF">
                    <w:t> </w:t>
                  </w:r>
                  <w:r>
                    <w:t>013).</w:t>
                  </w:r>
                </w:p>
              </w:tc>
              <w:tc>
                <w:tcPr>
                  <w:tcW w:w="1336" w:type="pct"/>
                  <w:tcBorders>
                    <w:bottom w:val="single" w:sz="6" w:space="0" w:color="BFBFBF"/>
                  </w:tcBorders>
                  <w:shd w:val="clear" w:color="auto" w:fill="auto"/>
                </w:tcPr>
                <w:p w14:paraId="4C6A429B" w14:textId="651ACBD5" w:rsidR="004E6A8E" w:rsidRDefault="004E6A8E" w:rsidP="001A551C">
                  <w:pPr>
                    <w:pStyle w:val="TableUnitsRow"/>
                    <w:jc w:val="left"/>
                  </w:pPr>
                  <w:r>
                    <w:t>Age</w:t>
                  </w:r>
                  <w:r w:rsidR="00A60593">
                    <w:noBreakHyphen/>
                  </w:r>
                  <w:r>
                    <w:t xml:space="preserve">specific, implied in PC’s </w:t>
                  </w:r>
                  <w:r w:rsidR="008E73F0">
                    <w:t xml:space="preserve">An </w:t>
                  </w:r>
                  <w:r>
                    <w:t>Ageing Australia (2</w:t>
                  </w:r>
                  <w:r w:rsidR="004354FF">
                    <w:t> </w:t>
                  </w:r>
                  <w:r>
                    <w:t xml:space="preserve">013). </w:t>
                  </w:r>
                </w:p>
              </w:tc>
              <w:tc>
                <w:tcPr>
                  <w:tcW w:w="921" w:type="pct"/>
                  <w:tcBorders>
                    <w:bottom w:val="single" w:sz="6" w:space="0" w:color="BFBFBF"/>
                  </w:tcBorders>
                </w:tcPr>
                <w:p w14:paraId="4C6A429C" w14:textId="77777777" w:rsidR="004E6A8E" w:rsidRDefault="004E6A8E" w:rsidP="00FA7932">
                  <w:pPr>
                    <w:pStyle w:val="TableColumnHeading"/>
                  </w:pPr>
                  <w:r>
                    <w:t>N/A</w:t>
                  </w:r>
                </w:p>
              </w:tc>
            </w:tr>
          </w:tbl>
          <w:p w14:paraId="4C6A429E" w14:textId="77777777" w:rsidR="004E6A8E" w:rsidRDefault="004E6A8E" w:rsidP="00FA7932">
            <w:pPr>
              <w:pStyle w:val="Box"/>
            </w:pPr>
          </w:p>
        </w:tc>
      </w:tr>
      <w:tr w:rsidR="004E6A8E" w14:paraId="4C6A42A1" w14:textId="77777777" w:rsidTr="00FA7932">
        <w:tc>
          <w:tcPr>
            <w:tcW w:w="8771" w:type="dxa"/>
            <w:tcBorders>
              <w:top w:val="nil"/>
              <w:left w:val="nil"/>
              <w:bottom w:val="nil"/>
              <w:right w:val="nil"/>
            </w:tcBorders>
            <w:shd w:val="clear" w:color="auto" w:fill="auto"/>
          </w:tcPr>
          <w:p w14:paraId="4C6A42A0" w14:textId="77777777" w:rsidR="004E6A8E" w:rsidRPr="0007062B" w:rsidRDefault="004E6A8E" w:rsidP="00A60593">
            <w:pPr>
              <w:pStyle w:val="Note"/>
              <w:rPr>
                <w:b/>
                <w:i/>
              </w:rPr>
            </w:pPr>
            <w:r w:rsidRPr="008E77FE">
              <w:rPr>
                <w:rStyle w:val="NoteLabel"/>
              </w:rPr>
              <w:t>a</w:t>
            </w:r>
            <w:r>
              <w:t xml:space="preserve"> </w:t>
            </w:r>
            <w:proofErr w:type="spellStart"/>
            <w:r>
              <w:t>DIBP</w:t>
            </w:r>
            <w:proofErr w:type="spellEnd"/>
            <w:r>
              <w:t xml:space="preserve"> data on temporary </w:t>
            </w:r>
            <w:r w:rsidR="008E73F0">
              <w:t>im</w:t>
            </w:r>
            <w:r>
              <w:t xml:space="preserve">migrants have been adjusted for unknown and zero observations. </w:t>
            </w:r>
            <w:r>
              <w:rPr>
                <w:rStyle w:val="NoteLabel"/>
              </w:rPr>
              <w:t>b</w:t>
            </w:r>
            <w:r w:rsidR="001839B9">
              <w:t> </w:t>
            </w:r>
            <w:r>
              <w:t>Permanent skill</w:t>
            </w:r>
            <w:r w:rsidR="008E73F0">
              <w:t xml:space="preserve"> im</w:t>
            </w:r>
            <w:r>
              <w:t xml:space="preserve">migrants are broken down into primary and secondary </w:t>
            </w:r>
            <w:r w:rsidR="00A60593">
              <w:t>applicants</w:t>
            </w:r>
            <w:r>
              <w:t xml:space="preserve"> for the purposes of estimating expenditures and revenues. </w:t>
            </w:r>
          </w:p>
        </w:tc>
      </w:tr>
      <w:tr w:rsidR="004E6A8E" w14:paraId="4C6A42A3" w14:textId="77777777" w:rsidTr="00FA7932">
        <w:tc>
          <w:tcPr>
            <w:tcW w:w="8771" w:type="dxa"/>
            <w:tcBorders>
              <w:top w:val="nil"/>
              <w:left w:val="nil"/>
              <w:bottom w:val="nil"/>
              <w:right w:val="nil"/>
            </w:tcBorders>
            <w:shd w:val="clear" w:color="auto" w:fill="auto"/>
          </w:tcPr>
          <w:p w14:paraId="4C6A42A2" w14:textId="01D60C03" w:rsidR="004E6A8E" w:rsidRDefault="00B75576" w:rsidP="00B75576">
            <w:pPr>
              <w:pStyle w:val="Source"/>
            </w:pPr>
            <w:r>
              <w:rPr>
                <w:i/>
              </w:rPr>
              <w:t>Source</w:t>
            </w:r>
            <w:r w:rsidR="00C97F4F">
              <w:rPr>
                <w:i/>
              </w:rPr>
              <w:t>s</w:t>
            </w:r>
            <w:r w:rsidR="004E6A8E" w:rsidRPr="00167F06">
              <w:t xml:space="preserve">: </w:t>
            </w:r>
            <w:proofErr w:type="spellStart"/>
            <w:r w:rsidR="004E6A8E">
              <w:t>DIBP</w:t>
            </w:r>
            <w:proofErr w:type="spellEnd"/>
            <w:r w:rsidR="004E6A8E">
              <w:t xml:space="preserve"> </w:t>
            </w:r>
            <w:r w:rsidR="00DE1BE2" w:rsidRPr="00DE1BE2">
              <w:rPr>
                <w:rFonts w:cs="Arial"/>
                <w:szCs w:val="24"/>
              </w:rPr>
              <w:t>(ABS </w:t>
            </w:r>
            <w:proofErr w:type="spellStart"/>
            <w:r w:rsidR="00DE1BE2" w:rsidRPr="00DE1BE2">
              <w:rPr>
                <w:rFonts w:cs="Arial"/>
                <w:szCs w:val="24"/>
              </w:rPr>
              <w:t>2014c</w:t>
            </w:r>
            <w:proofErr w:type="spellEnd"/>
            <w:r w:rsidR="00DE1BE2" w:rsidRPr="00DE1BE2">
              <w:rPr>
                <w:rFonts w:cs="Arial"/>
                <w:szCs w:val="24"/>
              </w:rPr>
              <w:t>)</w:t>
            </w:r>
            <w:r w:rsidR="00DE1BE2">
              <w:t xml:space="preserve"> </w:t>
            </w:r>
            <w:r w:rsidR="00DE1BE2" w:rsidRPr="00DE1BE2">
              <w:rPr>
                <w:rFonts w:cs="Arial"/>
                <w:szCs w:val="24"/>
              </w:rPr>
              <w:t>(PC 2013)</w:t>
            </w:r>
            <w:r w:rsidR="00DE1BE2">
              <w:t xml:space="preserve">. </w:t>
            </w:r>
          </w:p>
        </w:tc>
      </w:tr>
      <w:tr w:rsidR="004E6A8E" w14:paraId="4C6A42A5" w14:textId="77777777" w:rsidTr="00FA7932">
        <w:tc>
          <w:tcPr>
            <w:tcW w:w="8771" w:type="dxa"/>
            <w:tcBorders>
              <w:top w:val="nil"/>
              <w:left w:val="nil"/>
              <w:bottom w:val="single" w:sz="6" w:space="0" w:color="78A22F"/>
              <w:right w:val="nil"/>
            </w:tcBorders>
            <w:shd w:val="clear" w:color="auto" w:fill="auto"/>
          </w:tcPr>
          <w:p w14:paraId="4C6A42A4" w14:textId="77777777" w:rsidR="004E6A8E" w:rsidRDefault="004E6A8E" w:rsidP="00FA7932">
            <w:pPr>
              <w:pStyle w:val="Box"/>
              <w:spacing w:before="0" w:line="120" w:lineRule="exact"/>
            </w:pPr>
          </w:p>
        </w:tc>
      </w:tr>
      <w:tr w:rsidR="004E6A8E" w:rsidRPr="000863A5" w14:paraId="4C6A42A7" w14:textId="77777777" w:rsidTr="00FA7932">
        <w:tc>
          <w:tcPr>
            <w:tcW w:w="8771" w:type="dxa"/>
            <w:tcBorders>
              <w:top w:val="single" w:sz="6" w:space="0" w:color="78A22F"/>
              <w:left w:val="nil"/>
              <w:bottom w:val="nil"/>
              <w:right w:val="nil"/>
            </w:tcBorders>
          </w:tcPr>
          <w:p w14:paraId="4C6A42A6" w14:textId="66974C8E" w:rsidR="004E6A8E" w:rsidRPr="00626D32" w:rsidRDefault="004E6A8E" w:rsidP="00FA7932">
            <w:pPr>
              <w:pStyle w:val="BoxSpaceBelow"/>
            </w:pPr>
          </w:p>
        </w:tc>
      </w:tr>
    </w:tbl>
    <w:p w14:paraId="4C6A42A9" w14:textId="05758C1E" w:rsidR="00C76D17" w:rsidRDefault="00FC20FE" w:rsidP="00C76D17">
      <w:pPr>
        <w:pStyle w:val="Heading2"/>
        <w:spacing w:before="0"/>
      </w:pPr>
      <w:r>
        <w:br w:type="column"/>
      </w:r>
      <w:r w:rsidR="00DF30DF">
        <w:lastRenderedPageBreak/>
        <w:t>Attachment</w:t>
      </w:r>
      <w:r w:rsidR="004354FF">
        <w:t> </w:t>
      </w:r>
      <w:r w:rsidR="00DF30DF">
        <w:t>2</w:t>
      </w:r>
      <w:r w:rsidR="00C76D17">
        <w:tab/>
        <w:t>Assumed emigration profiles</w:t>
      </w:r>
    </w:p>
    <w:p w14:paraId="4C6A42AA" w14:textId="1E83F571" w:rsidR="009C03E1" w:rsidRPr="009C03E1" w:rsidRDefault="003E69CE" w:rsidP="00B65E0F">
      <w:pPr>
        <w:pStyle w:val="BodyText"/>
      </w:pPr>
      <w:r>
        <w:t>E</w:t>
      </w:r>
      <w:r w:rsidR="009C03E1">
        <w:t xml:space="preserve">migration profiles </w:t>
      </w:r>
      <w:r>
        <w:t xml:space="preserve">for each visa type </w:t>
      </w:r>
      <w:r w:rsidR="009C03E1">
        <w:t>are detailed in table</w:t>
      </w:r>
      <w:r w:rsidR="00A60593">
        <w:t> </w:t>
      </w:r>
      <w:r w:rsidR="00DF30DF">
        <w:t>2.1</w:t>
      </w:r>
      <w:r w:rsidR="009C03E1">
        <w:t xml:space="preserve"> below.</w:t>
      </w:r>
    </w:p>
    <w:p w14:paraId="4C6A42AB" w14:textId="7261D2F8" w:rsidR="00C76D17" w:rsidRDefault="00C76D17" w:rsidP="00C76D17">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71"/>
      </w:tblGrid>
      <w:tr w:rsidR="00C76D17" w14:paraId="4C6A42AE" w14:textId="77777777" w:rsidTr="00A7053B">
        <w:trPr>
          <w:tblHeader/>
        </w:trPr>
        <w:tc>
          <w:tcPr>
            <w:tcW w:w="8771" w:type="dxa"/>
            <w:tcBorders>
              <w:top w:val="single" w:sz="6" w:space="0" w:color="78A22F"/>
              <w:left w:val="nil"/>
              <w:bottom w:val="nil"/>
              <w:right w:val="nil"/>
            </w:tcBorders>
            <w:shd w:val="clear" w:color="auto" w:fill="auto"/>
          </w:tcPr>
          <w:p w14:paraId="4C6A42AC" w14:textId="7F7D442C" w:rsidR="00C76D17" w:rsidRDefault="00C76D17" w:rsidP="00A7053B">
            <w:pPr>
              <w:pStyle w:val="TableTitle"/>
            </w:pPr>
            <w:r>
              <w:rPr>
                <w:b w:val="0"/>
              </w:rPr>
              <w:t xml:space="preserve">Table </w:t>
            </w:r>
            <w:r w:rsidR="00DF30DF">
              <w:rPr>
                <w:b w:val="0"/>
              </w:rPr>
              <w:t>2.1</w:t>
            </w:r>
            <w:r>
              <w:tab/>
              <w:t xml:space="preserve">Assumed </w:t>
            </w:r>
            <w:r w:rsidR="008E73F0">
              <w:t>im</w:t>
            </w:r>
            <w:r>
              <w:t>migrant emigration profiles</w:t>
            </w:r>
          </w:p>
          <w:p w14:paraId="4C6A42AD" w14:textId="77777777" w:rsidR="00C76D17" w:rsidRPr="00784A05" w:rsidRDefault="00C76D17" w:rsidP="00A7053B">
            <w:pPr>
              <w:pStyle w:val="Subtitle"/>
            </w:pPr>
            <w:r>
              <w:t>Proportion of NOM intake emigrating per year</w:t>
            </w:r>
          </w:p>
        </w:tc>
      </w:tr>
      <w:tr w:rsidR="00C76D17" w14:paraId="4C6A42EC" w14:textId="77777777" w:rsidTr="00A7053B">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0"/>
              <w:gridCol w:w="5657"/>
            </w:tblGrid>
            <w:tr w:rsidR="00C76D17" w14:paraId="4C6A42B1" w14:textId="77777777" w:rsidTr="00A7053B">
              <w:trPr>
                <w:tblHeader/>
              </w:trPr>
              <w:tc>
                <w:tcPr>
                  <w:tcW w:w="1667" w:type="pct"/>
                  <w:tcBorders>
                    <w:top w:val="single" w:sz="6" w:space="0" w:color="BFBFBF"/>
                    <w:bottom w:val="single" w:sz="6" w:space="0" w:color="BFBFBF"/>
                  </w:tcBorders>
                  <w:shd w:val="clear" w:color="auto" w:fill="auto"/>
                  <w:tcMar>
                    <w:top w:w="28" w:type="dxa"/>
                  </w:tcMar>
                </w:tcPr>
                <w:p w14:paraId="4C6A42AF" w14:textId="77777777" w:rsidR="00C76D17" w:rsidRDefault="00C76D17" w:rsidP="00A7053B">
                  <w:pPr>
                    <w:pStyle w:val="TableColumnHeading"/>
                    <w:jc w:val="left"/>
                  </w:pPr>
                  <w:r>
                    <w:t>Migrant category</w:t>
                  </w:r>
                </w:p>
              </w:tc>
              <w:tc>
                <w:tcPr>
                  <w:tcW w:w="3333" w:type="pct"/>
                  <w:tcBorders>
                    <w:top w:val="single" w:sz="6" w:space="0" w:color="BFBFBF"/>
                    <w:bottom w:val="single" w:sz="6" w:space="0" w:color="BFBFBF"/>
                  </w:tcBorders>
                  <w:shd w:val="clear" w:color="auto" w:fill="auto"/>
                  <w:tcMar>
                    <w:top w:w="28" w:type="dxa"/>
                  </w:tcMar>
                </w:tcPr>
                <w:p w14:paraId="4C6A42B0" w14:textId="77777777" w:rsidR="00C76D17" w:rsidRDefault="00C76D17" w:rsidP="001A551C">
                  <w:pPr>
                    <w:pStyle w:val="TableColumnHeading"/>
                    <w:ind w:right="28"/>
                    <w:jc w:val="left"/>
                  </w:pPr>
                  <w:r>
                    <w:t>Emigration rates</w:t>
                  </w:r>
                </w:p>
              </w:tc>
            </w:tr>
            <w:tr w:rsidR="00C76D17" w14:paraId="4C6A42B4" w14:textId="77777777" w:rsidTr="00A7053B">
              <w:tc>
                <w:tcPr>
                  <w:tcW w:w="1667" w:type="pct"/>
                  <w:tcBorders>
                    <w:top w:val="single" w:sz="6" w:space="0" w:color="BFBFBF"/>
                  </w:tcBorders>
                </w:tcPr>
                <w:p w14:paraId="4C6A42B2" w14:textId="77777777" w:rsidR="00C76D17" w:rsidRDefault="00C76D17" w:rsidP="00A7053B">
                  <w:pPr>
                    <w:pStyle w:val="TableUnitsRow"/>
                    <w:jc w:val="left"/>
                  </w:pPr>
                  <w:r>
                    <w:t>Temporary (Student)</w:t>
                  </w:r>
                </w:p>
              </w:tc>
              <w:tc>
                <w:tcPr>
                  <w:tcW w:w="3333" w:type="pct"/>
                  <w:tcBorders>
                    <w:top w:val="single" w:sz="6" w:space="0" w:color="BFBFBF"/>
                  </w:tcBorders>
                </w:tcPr>
                <w:p w14:paraId="4C6A42B3" w14:textId="77777777" w:rsidR="00C76D17" w:rsidRDefault="00C76D17" w:rsidP="003E69CE">
                  <w:pPr>
                    <w:pStyle w:val="TableUnitsRow"/>
                    <w:ind w:right="28"/>
                    <w:jc w:val="left"/>
                  </w:pPr>
                  <w:r>
                    <w:t>Increases linearly to 100</w:t>
                  </w:r>
                  <w:r w:rsidR="00A60593">
                    <w:t> </w:t>
                  </w:r>
                  <w:r>
                    <w:t>per</w:t>
                  </w:r>
                  <w:r w:rsidR="00A60593">
                    <w:t> </w:t>
                  </w:r>
                  <w:r>
                    <w:t>cent over five years. This reflects that course lengths differ in duration and are subject to course structure, the choice of course load, the extent of fa</w:t>
                  </w:r>
                  <w:r w:rsidR="003E69CE">
                    <w:t xml:space="preserve">ilure and early dropout. </w:t>
                  </w:r>
                </w:p>
              </w:tc>
            </w:tr>
            <w:tr w:rsidR="00C76D17" w14:paraId="4C6A42B7" w14:textId="77777777" w:rsidTr="00A7053B">
              <w:tc>
                <w:tcPr>
                  <w:tcW w:w="1667" w:type="pct"/>
                </w:tcPr>
                <w:p w14:paraId="4C6A42B5" w14:textId="77777777" w:rsidR="00C76D17" w:rsidRDefault="00C76D17" w:rsidP="00A7053B">
                  <w:pPr>
                    <w:pStyle w:val="TableBodyText"/>
                    <w:jc w:val="left"/>
                  </w:pPr>
                  <w:r>
                    <w:t>Temporary (Skilled)</w:t>
                  </w:r>
                </w:p>
              </w:tc>
              <w:tc>
                <w:tcPr>
                  <w:tcW w:w="3333" w:type="pct"/>
                </w:tcPr>
                <w:p w14:paraId="4C6A42B6" w14:textId="77777777" w:rsidR="00C76D17" w:rsidRDefault="00C76D17" w:rsidP="00A60593">
                  <w:pPr>
                    <w:pStyle w:val="TableBodyText"/>
                    <w:ind w:right="28"/>
                    <w:jc w:val="left"/>
                  </w:pPr>
                  <w:r>
                    <w:t>Increases linearly to 100</w:t>
                  </w:r>
                  <w:r w:rsidR="00A60593">
                    <w:t> </w:t>
                  </w:r>
                  <w:r>
                    <w:t>per</w:t>
                  </w:r>
                  <w:r w:rsidR="00A60593">
                    <w:t> </w:t>
                  </w:r>
                  <w:r>
                    <w:t>cent over ten years. This reflects the general ability to rollover these visas.</w:t>
                  </w:r>
                </w:p>
              </w:tc>
            </w:tr>
            <w:tr w:rsidR="00C76D17" w14:paraId="4C6A42BA" w14:textId="77777777" w:rsidTr="00A7053B">
              <w:tc>
                <w:tcPr>
                  <w:tcW w:w="1667" w:type="pct"/>
                </w:tcPr>
                <w:p w14:paraId="4C6A42B8" w14:textId="77777777" w:rsidR="00C76D17" w:rsidRDefault="00C76D17" w:rsidP="00A7053B">
                  <w:pPr>
                    <w:pStyle w:val="TableBodyText"/>
                    <w:jc w:val="left"/>
                  </w:pPr>
                  <w:r>
                    <w:t>Temporary (Visitor)</w:t>
                  </w:r>
                </w:p>
              </w:tc>
              <w:tc>
                <w:tcPr>
                  <w:tcW w:w="3333" w:type="pct"/>
                </w:tcPr>
                <w:p w14:paraId="4C6A42B9" w14:textId="341C6331" w:rsidR="00C76D17" w:rsidRDefault="00C76D17" w:rsidP="00A60593">
                  <w:pPr>
                    <w:pStyle w:val="TableBodyText"/>
                    <w:ind w:right="28"/>
                    <w:jc w:val="left"/>
                  </w:pPr>
                  <w:r>
                    <w:rPr>
                      <w:rFonts w:asciiTheme="minorHAnsi" w:hAnsiTheme="minorHAnsi" w:cstheme="minorHAnsi"/>
                      <w:szCs w:val="18"/>
                    </w:rPr>
                    <w:t>100</w:t>
                  </w:r>
                  <w:r w:rsidR="00A60593">
                    <w:rPr>
                      <w:rFonts w:asciiTheme="minorHAnsi" w:hAnsiTheme="minorHAnsi" w:cstheme="minorHAnsi"/>
                      <w:szCs w:val="18"/>
                    </w:rPr>
                    <w:t> </w:t>
                  </w:r>
                  <w:r>
                    <w:rPr>
                      <w:rFonts w:asciiTheme="minorHAnsi" w:hAnsiTheme="minorHAnsi" w:cstheme="minorHAnsi"/>
                      <w:szCs w:val="18"/>
                    </w:rPr>
                    <w:t>per</w:t>
                  </w:r>
                  <w:r w:rsidR="00A60593">
                    <w:rPr>
                      <w:rFonts w:asciiTheme="minorHAnsi" w:hAnsiTheme="minorHAnsi" w:cstheme="minorHAnsi"/>
                      <w:szCs w:val="18"/>
                    </w:rPr>
                    <w:t> </w:t>
                  </w:r>
                  <w:r>
                    <w:rPr>
                      <w:rFonts w:asciiTheme="minorHAnsi" w:hAnsiTheme="minorHAnsi" w:cstheme="minorHAnsi"/>
                      <w:szCs w:val="18"/>
                    </w:rPr>
                    <w:t>cent</w:t>
                  </w:r>
                  <w:r w:rsidRPr="00D932CE">
                    <w:rPr>
                      <w:rFonts w:asciiTheme="minorHAnsi" w:hAnsiTheme="minorHAnsi" w:cstheme="minorHAnsi"/>
                      <w:szCs w:val="18"/>
                    </w:rPr>
                    <w:t xml:space="preserve"> </w:t>
                  </w:r>
                  <w:r>
                    <w:rPr>
                      <w:rFonts w:asciiTheme="minorHAnsi" w:hAnsiTheme="minorHAnsi" w:cstheme="minorHAnsi"/>
                      <w:szCs w:val="18"/>
                    </w:rPr>
                    <w:t xml:space="preserve">after one year </w:t>
                  </w:r>
                  <w:r w:rsidRPr="00D932CE">
                    <w:rPr>
                      <w:rFonts w:asciiTheme="minorHAnsi" w:hAnsiTheme="minorHAnsi" w:cstheme="minorHAnsi"/>
                      <w:szCs w:val="18"/>
                    </w:rPr>
                    <w:t>reflecting visa condition of a 12</w:t>
                  </w:r>
                  <w:r w:rsidR="004354FF">
                    <w:rPr>
                      <w:rFonts w:asciiTheme="minorHAnsi" w:hAnsiTheme="minorHAnsi" w:cstheme="minorHAnsi"/>
                      <w:szCs w:val="18"/>
                    </w:rPr>
                    <w:noBreakHyphen/>
                  </w:r>
                  <w:r w:rsidRPr="00D932CE">
                    <w:rPr>
                      <w:rFonts w:asciiTheme="minorHAnsi" w:hAnsiTheme="minorHAnsi" w:cstheme="minorHAnsi"/>
                      <w:szCs w:val="18"/>
                    </w:rPr>
                    <w:t xml:space="preserve">month </w:t>
                  </w:r>
                  <w:r>
                    <w:rPr>
                      <w:rFonts w:asciiTheme="minorHAnsi" w:hAnsiTheme="minorHAnsi" w:cstheme="minorHAnsi"/>
                      <w:szCs w:val="18"/>
                    </w:rPr>
                    <w:t>stay</w:t>
                  </w:r>
                  <w:r w:rsidRPr="00D932CE">
                    <w:rPr>
                      <w:rFonts w:asciiTheme="minorHAnsi" w:hAnsiTheme="minorHAnsi" w:cstheme="minorHAnsi"/>
                      <w:szCs w:val="18"/>
                    </w:rPr>
                    <w:t>.</w:t>
                  </w:r>
                </w:p>
              </w:tc>
            </w:tr>
            <w:tr w:rsidR="00C76D17" w14:paraId="4C6A42BD" w14:textId="77777777" w:rsidTr="00A7053B">
              <w:tc>
                <w:tcPr>
                  <w:tcW w:w="1667" w:type="pct"/>
                </w:tcPr>
                <w:p w14:paraId="4C6A42BB" w14:textId="77777777" w:rsidR="00C76D17" w:rsidRDefault="00C76D17" w:rsidP="00A7053B">
                  <w:pPr>
                    <w:pStyle w:val="TableBodyText"/>
                    <w:jc w:val="left"/>
                  </w:pPr>
                  <w:r>
                    <w:t>Temporary (Working Holiday Maker)</w:t>
                  </w:r>
                </w:p>
              </w:tc>
              <w:tc>
                <w:tcPr>
                  <w:tcW w:w="3333" w:type="pct"/>
                </w:tcPr>
                <w:p w14:paraId="4C6A42BC" w14:textId="77777777" w:rsidR="00C76D17" w:rsidRDefault="00C76D17" w:rsidP="00A15AF1">
                  <w:pPr>
                    <w:pStyle w:val="TableBodyText"/>
                    <w:ind w:right="28"/>
                    <w:jc w:val="left"/>
                  </w:pPr>
                  <w:r>
                    <w:t>76</w:t>
                  </w:r>
                  <w:r w:rsidR="00A60593">
                    <w:t> </w:t>
                  </w:r>
                  <w:r>
                    <w:t>per</w:t>
                  </w:r>
                  <w:r w:rsidR="00A60593">
                    <w:t> </w:t>
                  </w:r>
                  <w:r>
                    <w:t>cent</w:t>
                  </w:r>
                  <w:r w:rsidRPr="00E67402">
                    <w:t xml:space="preserve"> after the first year and 100</w:t>
                  </w:r>
                  <w:r>
                    <w:t xml:space="preserve"> per cent</w:t>
                  </w:r>
                  <w:r w:rsidRPr="00E67402">
                    <w:t xml:space="preserve"> thereafter. Calibrated according to </w:t>
                  </w:r>
                  <w:proofErr w:type="spellStart"/>
                  <w:r>
                    <w:t>DIBP</w:t>
                  </w:r>
                  <w:proofErr w:type="spellEnd"/>
                  <w:r w:rsidRPr="00E67402">
                    <w:t xml:space="preserve"> estimates of the proportion of </w:t>
                  </w:r>
                  <w:r w:rsidR="008E73F0">
                    <w:t>im</w:t>
                  </w:r>
                  <w:r w:rsidR="00244B2E">
                    <w:t xml:space="preserve">migrants on </w:t>
                  </w:r>
                  <w:r w:rsidR="00A15AF1">
                    <w:t>Working Holiday visas (s</w:t>
                  </w:r>
                  <w:r w:rsidR="00244B2E">
                    <w:t>ubclass 417</w:t>
                  </w:r>
                  <w:r w:rsidR="00A15AF1">
                    <w:t>)</w:t>
                  </w:r>
                  <w:r w:rsidRPr="00E67402">
                    <w:t xml:space="preserve"> and the proportion apply</w:t>
                  </w:r>
                  <w:r>
                    <w:t>ing</w:t>
                  </w:r>
                  <w:r w:rsidRPr="00E67402">
                    <w:t xml:space="preserve"> for a second year.</w:t>
                  </w:r>
                </w:p>
              </w:tc>
            </w:tr>
            <w:tr w:rsidR="00C76D17" w14:paraId="4C6A42C0" w14:textId="77777777" w:rsidTr="00A7053B">
              <w:tc>
                <w:tcPr>
                  <w:tcW w:w="1667" w:type="pct"/>
                </w:tcPr>
                <w:p w14:paraId="4C6A42BE" w14:textId="77777777" w:rsidR="00C76D17" w:rsidRDefault="00C76D17" w:rsidP="00A7053B">
                  <w:pPr>
                    <w:pStyle w:val="TableBodyText"/>
                    <w:jc w:val="left"/>
                  </w:pPr>
                  <w:r>
                    <w:t>Temporary (Other)</w:t>
                  </w:r>
                </w:p>
              </w:tc>
              <w:tc>
                <w:tcPr>
                  <w:tcW w:w="3333" w:type="pct"/>
                </w:tcPr>
                <w:p w14:paraId="4C6A42BF" w14:textId="77777777" w:rsidR="00C76D17" w:rsidRDefault="00C76D17" w:rsidP="00A15AF1">
                  <w:pPr>
                    <w:pStyle w:val="TableBodyText"/>
                    <w:ind w:right="28"/>
                    <w:jc w:val="left"/>
                  </w:pPr>
                  <w:r w:rsidRPr="00D932CE">
                    <w:rPr>
                      <w:rFonts w:asciiTheme="minorHAnsi" w:hAnsiTheme="minorHAnsi" w:cstheme="minorHAnsi"/>
                      <w:szCs w:val="18"/>
                    </w:rPr>
                    <w:t>Imputed as 100</w:t>
                  </w:r>
                  <w:r w:rsidR="008E73F0">
                    <w:rPr>
                      <w:rFonts w:asciiTheme="minorHAnsi" w:hAnsiTheme="minorHAnsi" w:cstheme="minorHAnsi"/>
                      <w:szCs w:val="18"/>
                    </w:rPr>
                    <w:t xml:space="preserve"> per cent</w:t>
                  </w:r>
                  <w:r w:rsidR="008E73F0" w:rsidRPr="00D932CE">
                    <w:rPr>
                      <w:rFonts w:asciiTheme="minorHAnsi" w:hAnsiTheme="minorHAnsi" w:cstheme="minorHAnsi"/>
                      <w:szCs w:val="18"/>
                    </w:rPr>
                    <w:t xml:space="preserve"> </w:t>
                  </w:r>
                  <w:r w:rsidRPr="00D932CE">
                    <w:rPr>
                      <w:rFonts w:asciiTheme="minorHAnsi" w:hAnsiTheme="minorHAnsi" w:cstheme="minorHAnsi"/>
                      <w:szCs w:val="18"/>
                    </w:rPr>
                    <w:t>given the NOM flow in this category</w:t>
                  </w:r>
                  <w:r w:rsidR="00A15AF1">
                    <w:rPr>
                      <w:rFonts w:asciiTheme="minorHAnsi" w:hAnsiTheme="minorHAnsi" w:cstheme="minorHAnsi"/>
                      <w:szCs w:val="18"/>
                    </w:rPr>
                    <w:t xml:space="preserve"> has historically been negative</w:t>
                  </w:r>
                  <w:r w:rsidRPr="00D932CE">
                    <w:rPr>
                      <w:rFonts w:asciiTheme="minorHAnsi" w:hAnsiTheme="minorHAnsi" w:cstheme="minorHAnsi"/>
                      <w:szCs w:val="18"/>
                    </w:rPr>
                    <w:t>.</w:t>
                  </w:r>
                </w:p>
              </w:tc>
            </w:tr>
            <w:tr w:rsidR="00C76D17" w14:paraId="4C6A42C3" w14:textId="77777777" w:rsidTr="00A7053B">
              <w:tc>
                <w:tcPr>
                  <w:tcW w:w="1667" w:type="pct"/>
                </w:tcPr>
                <w:p w14:paraId="4C6A42C1" w14:textId="77777777" w:rsidR="00C76D17" w:rsidRDefault="00C76D17" w:rsidP="00A7053B">
                  <w:pPr>
                    <w:pStyle w:val="TableBodyText"/>
                    <w:jc w:val="left"/>
                  </w:pPr>
                  <w:r>
                    <w:t>New Zealand citizens</w:t>
                  </w:r>
                  <w:r w:rsidR="00E03A53">
                    <w:t xml:space="preserve"> (Special Category visas)</w:t>
                  </w:r>
                </w:p>
              </w:tc>
              <w:tc>
                <w:tcPr>
                  <w:tcW w:w="3333" w:type="pct"/>
                </w:tcPr>
                <w:p w14:paraId="4C6A42C2" w14:textId="12A1E9E4" w:rsidR="00C76D17" w:rsidRDefault="00C76D17" w:rsidP="001A551C">
                  <w:pPr>
                    <w:pStyle w:val="TableBodyText"/>
                    <w:ind w:right="28"/>
                    <w:jc w:val="left"/>
                  </w:pPr>
                  <w:r>
                    <w:t xml:space="preserve">Decreases linearly over ten years reflecting an assumption that one third of NZ </w:t>
                  </w:r>
                  <w:r w:rsidR="008E73F0">
                    <w:t>im</w:t>
                  </w:r>
                  <w:r>
                    <w:t xml:space="preserve">migrants that leave NZ return after a period of roughly a decade. 1 per cent per year thereafter over the </w:t>
                  </w:r>
                  <w:r w:rsidR="00A15AF1">
                    <w:t xml:space="preserve">remainder of the </w:t>
                  </w:r>
                  <w:r>
                    <w:t>projection period.</w:t>
                  </w:r>
                  <w:r w:rsidR="00C97F4F">
                    <w:t xml:space="preserve"> </w:t>
                  </w:r>
                </w:p>
              </w:tc>
            </w:tr>
            <w:tr w:rsidR="00C76D17" w14:paraId="4C6A42C6" w14:textId="77777777" w:rsidTr="00A7053B">
              <w:tc>
                <w:tcPr>
                  <w:tcW w:w="1667" w:type="pct"/>
                </w:tcPr>
                <w:p w14:paraId="4C6A42C4" w14:textId="77777777" w:rsidR="00C76D17" w:rsidRDefault="00C76D17" w:rsidP="00A7053B">
                  <w:pPr>
                    <w:pStyle w:val="TableBodyText"/>
                    <w:jc w:val="left"/>
                  </w:pPr>
                  <w:r>
                    <w:t>Permanent Skill (Points Tested)</w:t>
                  </w:r>
                </w:p>
              </w:tc>
              <w:tc>
                <w:tcPr>
                  <w:tcW w:w="3333" w:type="pct"/>
                </w:tcPr>
                <w:p w14:paraId="4C6A42C5" w14:textId="77777777" w:rsidR="00C76D17" w:rsidRDefault="00C76D17" w:rsidP="00A60593">
                  <w:pPr>
                    <w:pStyle w:val="TableBodyText"/>
                    <w:ind w:right="28"/>
                    <w:jc w:val="left"/>
                  </w:pPr>
                  <w:r w:rsidRPr="00D932CE">
                    <w:rPr>
                      <w:rFonts w:asciiTheme="minorHAnsi" w:hAnsiTheme="minorHAnsi" w:cstheme="minorHAnsi"/>
                      <w:szCs w:val="18"/>
                    </w:rPr>
                    <w:t>1</w:t>
                  </w:r>
                  <w:r w:rsidR="00A60593">
                    <w:rPr>
                      <w:rFonts w:asciiTheme="minorHAnsi" w:hAnsiTheme="minorHAnsi" w:cstheme="minorHAnsi"/>
                      <w:szCs w:val="18"/>
                    </w:rPr>
                    <w:t> </w:t>
                  </w:r>
                  <w:r>
                    <w:rPr>
                      <w:rFonts w:asciiTheme="minorHAnsi" w:hAnsiTheme="minorHAnsi" w:cstheme="minorHAnsi"/>
                      <w:szCs w:val="18"/>
                    </w:rPr>
                    <w:t>per</w:t>
                  </w:r>
                  <w:r w:rsidR="00A60593">
                    <w:rPr>
                      <w:rFonts w:asciiTheme="minorHAnsi" w:hAnsiTheme="minorHAnsi" w:cstheme="minorHAnsi"/>
                      <w:szCs w:val="18"/>
                    </w:rPr>
                    <w:t> </w:t>
                  </w:r>
                  <w:r>
                    <w:rPr>
                      <w:rFonts w:asciiTheme="minorHAnsi" w:hAnsiTheme="minorHAnsi" w:cstheme="minorHAnsi"/>
                      <w:szCs w:val="18"/>
                    </w:rPr>
                    <w:t>cent</w:t>
                  </w:r>
                  <w:r w:rsidRPr="00D932CE">
                    <w:rPr>
                      <w:rFonts w:asciiTheme="minorHAnsi" w:hAnsiTheme="minorHAnsi" w:cstheme="minorHAnsi"/>
                      <w:szCs w:val="18"/>
                    </w:rPr>
                    <w:t xml:space="preserve"> per year over the projection period.</w:t>
                  </w:r>
                </w:p>
              </w:tc>
            </w:tr>
            <w:tr w:rsidR="00C76D17" w14:paraId="4C6A42C9" w14:textId="77777777" w:rsidTr="00A7053B">
              <w:tc>
                <w:tcPr>
                  <w:tcW w:w="1667" w:type="pct"/>
                </w:tcPr>
                <w:p w14:paraId="4C6A42C7" w14:textId="77777777" w:rsidR="00C76D17" w:rsidRDefault="00C76D17" w:rsidP="00A7053B">
                  <w:pPr>
                    <w:pStyle w:val="TableBodyText"/>
                    <w:jc w:val="left"/>
                  </w:pPr>
                  <w:r>
                    <w:t>Permanent Skill (Employer Sponsored)</w:t>
                  </w:r>
                </w:p>
              </w:tc>
              <w:tc>
                <w:tcPr>
                  <w:tcW w:w="3333" w:type="pct"/>
                </w:tcPr>
                <w:p w14:paraId="4C6A42C8" w14:textId="77777777" w:rsidR="00C76D17" w:rsidRDefault="00A60593" w:rsidP="001A551C">
                  <w:pPr>
                    <w:pStyle w:val="TableBodyText"/>
                    <w:ind w:right="28"/>
                    <w:jc w:val="left"/>
                  </w:pPr>
                  <w:r w:rsidRPr="00D932CE">
                    <w:rPr>
                      <w:rFonts w:asciiTheme="minorHAnsi" w:hAnsiTheme="minorHAnsi" w:cstheme="minorHAnsi"/>
                      <w:szCs w:val="18"/>
                    </w:rPr>
                    <w:t>1</w:t>
                  </w:r>
                  <w:r>
                    <w:rPr>
                      <w:rFonts w:asciiTheme="minorHAnsi" w:hAnsiTheme="minorHAnsi" w:cstheme="minorHAnsi"/>
                      <w:szCs w:val="18"/>
                    </w:rPr>
                    <w:t> per cent</w:t>
                  </w:r>
                  <w:r w:rsidRPr="00D932CE">
                    <w:rPr>
                      <w:rFonts w:asciiTheme="minorHAnsi" w:hAnsiTheme="minorHAnsi" w:cstheme="minorHAnsi"/>
                      <w:szCs w:val="18"/>
                    </w:rPr>
                    <w:t xml:space="preserve"> </w:t>
                  </w:r>
                  <w:r w:rsidR="00C76D17" w:rsidRPr="00D932CE">
                    <w:rPr>
                      <w:rFonts w:asciiTheme="minorHAnsi" w:hAnsiTheme="minorHAnsi" w:cstheme="minorHAnsi"/>
                      <w:szCs w:val="18"/>
                    </w:rPr>
                    <w:t>per year over the projection period.</w:t>
                  </w:r>
                </w:p>
              </w:tc>
            </w:tr>
            <w:tr w:rsidR="00C76D17" w14:paraId="4C6A42CC" w14:textId="77777777" w:rsidTr="00A7053B">
              <w:tc>
                <w:tcPr>
                  <w:tcW w:w="1667" w:type="pct"/>
                </w:tcPr>
                <w:p w14:paraId="4C6A42CA" w14:textId="77777777" w:rsidR="00C76D17" w:rsidRDefault="00C76D17" w:rsidP="00A7053B">
                  <w:pPr>
                    <w:pStyle w:val="TableBodyText"/>
                    <w:jc w:val="left"/>
                  </w:pPr>
                  <w:r>
                    <w:t>Permanent Skill (Business Innovation and Investment)</w:t>
                  </w:r>
                </w:p>
              </w:tc>
              <w:tc>
                <w:tcPr>
                  <w:tcW w:w="3333" w:type="pct"/>
                </w:tcPr>
                <w:p w14:paraId="4C6A42CB" w14:textId="77777777" w:rsidR="00C76D17" w:rsidRDefault="00A60593" w:rsidP="001A551C">
                  <w:pPr>
                    <w:pStyle w:val="TableBodyText"/>
                    <w:ind w:right="28"/>
                    <w:jc w:val="left"/>
                  </w:pPr>
                  <w:r w:rsidRPr="00D932CE">
                    <w:rPr>
                      <w:rFonts w:asciiTheme="minorHAnsi" w:hAnsiTheme="minorHAnsi" w:cstheme="minorHAnsi"/>
                      <w:szCs w:val="18"/>
                    </w:rPr>
                    <w:t>1</w:t>
                  </w:r>
                  <w:r>
                    <w:rPr>
                      <w:rFonts w:asciiTheme="minorHAnsi" w:hAnsiTheme="minorHAnsi" w:cstheme="minorHAnsi"/>
                      <w:szCs w:val="18"/>
                    </w:rPr>
                    <w:t> per cent</w:t>
                  </w:r>
                  <w:r w:rsidRPr="00D932CE">
                    <w:rPr>
                      <w:rFonts w:asciiTheme="minorHAnsi" w:hAnsiTheme="minorHAnsi" w:cstheme="minorHAnsi"/>
                      <w:szCs w:val="18"/>
                    </w:rPr>
                    <w:t xml:space="preserve"> </w:t>
                  </w:r>
                  <w:r w:rsidR="00C76D17" w:rsidRPr="00D932CE">
                    <w:rPr>
                      <w:rFonts w:asciiTheme="minorHAnsi" w:hAnsiTheme="minorHAnsi" w:cstheme="minorHAnsi"/>
                      <w:szCs w:val="18"/>
                    </w:rPr>
                    <w:t>per year over the projection period.</w:t>
                  </w:r>
                </w:p>
              </w:tc>
            </w:tr>
            <w:tr w:rsidR="00C76D17" w14:paraId="4C6A42CF" w14:textId="77777777" w:rsidTr="00A7053B">
              <w:tc>
                <w:tcPr>
                  <w:tcW w:w="1667" w:type="pct"/>
                </w:tcPr>
                <w:p w14:paraId="4C6A42CD" w14:textId="77777777" w:rsidR="00C76D17" w:rsidRDefault="00C76D17" w:rsidP="00A7053B">
                  <w:pPr>
                    <w:pStyle w:val="TableBodyText"/>
                    <w:jc w:val="left"/>
                  </w:pPr>
                  <w:r>
                    <w:t>Permanent Skill (Other)</w:t>
                  </w:r>
                </w:p>
              </w:tc>
              <w:tc>
                <w:tcPr>
                  <w:tcW w:w="3333" w:type="pct"/>
                </w:tcPr>
                <w:p w14:paraId="4C6A42CE" w14:textId="77777777" w:rsidR="00C76D17" w:rsidRDefault="00A60593" w:rsidP="001A551C">
                  <w:pPr>
                    <w:pStyle w:val="TableBodyText"/>
                    <w:ind w:right="28"/>
                    <w:jc w:val="left"/>
                  </w:pPr>
                  <w:r w:rsidRPr="00D932CE">
                    <w:rPr>
                      <w:rFonts w:asciiTheme="minorHAnsi" w:hAnsiTheme="minorHAnsi" w:cstheme="minorHAnsi"/>
                      <w:szCs w:val="18"/>
                    </w:rPr>
                    <w:t>1</w:t>
                  </w:r>
                  <w:r>
                    <w:rPr>
                      <w:rFonts w:asciiTheme="minorHAnsi" w:hAnsiTheme="minorHAnsi" w:cstheme="minorHAnsi"/>
                      <w:szCs w:val="18"/>
                    </w:rPr>
                    <w:t> per cent</w:t>
                  </w:r>
                  <w:r w:rsidRPr="00D932CE">
                    <w:rPr>
                      <w:rFonts w:asciiTheme="minorHAnsi" w:hAnsiTheme="minorHAnsi" w:cstheme="minorHAnsi"/>
                      <w:szCs w:val="18"/>
                    </w:rPr>
                    <w:t xml:space="preserve"> </w:t>
                  </w:r>
                  <w:r w:rsidR="00C76D17" w:rsidRPr="00D932CE">
                    <w:rPr>
                      <w:rFonts w:asciiTheme="minorHAnsi" w:hAnsiTheme="minorHAnsi" w:cstheme="minorHAnsi"/>
                      <w:szCs w:val="18"/>
                    </w:rPr>
                    <w:t>per year over the projection period.</w:t>
                  </w:r>
                </w:p>
              </w:tc>
            </w:tr>
            <w:tr w:rsidR="00C76D17" w14:paraId="4C6A42D2" w14:textId="77777777" w:rsidTr="00A7053B">
              <w:tc>
                <w:tcPr>
                  <w:tcW w:w="1667" w:type="pct"/>
                </w:tcPr>
                <w:p w14:paraId="4C6A42D0" w14:textId="77777777" w:rsidR="00C76D17" w:rsidRDefault="00C76D17" w:rsidP="00A7053B">
                  <w:pPr>
                    <w:pStyle w:val="TableBodyText"/>
                    <w:jc w:val="left"/>
                  </w:pPr>
                  <w:r>
                    <w:t>Permanent Family (Partner)</w:t>
                  </w:r>
                </w:p>
              </w:tc>
              <w:tc>
                <w:tcPr>
                  <w:tcW w:w="3333" w:type="pct"/>
                </w:tcPr>
                <w:p w14:paraId="4C6A42D1" w14:textId="77777777" w:rsidR="00C76D17" w:rsidRDefault="00A60593" w:rsidP="001A551C">
                  <w:pPr>
                    <w:pStyle w:val="TableBodyText"/>
                    <w:ind w:right="28"/>
                    <w:jc w:val="left"/>
                  </w:pPr>
                  <w:r w:rsidRPr="00D932CE">
                    <w:rPr>
                      <w:rFonts w:asciiTheme="minorHAnsi" w:hAnsiTheme="minorHAnsi" w:cstheme="minorHAnsi"/>
                      <w:szCs w:val="18"/>
                    </w:rPr>
                    <w:t>1</w:t>
                  </w:r>
                  <w:r>
                    <w:rPr>
                      <w:rFonts w:asciiTheme="minorHAnsi" w:hAnsiTheme="minorHAnsi" w:cstheme="minorHAnsi"/>
                      <w:szCs w:val="18"/>
                    </w:rPr>
                    <w:t> per cent</w:t>
                  </w:r>
                  <w:r w:rsidRPr="00D932CE">
                    <w:rPr>
                      <w:rFonts w:asciiTheme="minorHAnsi" w:hAnsiTheme="minorHAnsi" w:cstheme="minorHAnsi"/>
                      <w:szCs w:val="18"/>
                    </w:rPr>
                    <w:t xml:space="preserve"> </w:t>
                  </w:r>
                  <w:r w:rsidR="00C76D17" w:rsidRPr="00D932CE">
                    <w:rPr>
                      <w:rFonts w:asciiTheme="minorHAnsi" w:hAnsiTheme="minorHAnsi" w:cstheme="minorHAnsi"/>
                      <w:szCs w:val="18"/>
                    </w:rPr>
                    <w:t>per year over the projection period.</w:t>
                  </w:r>
                </w:p>
              </w:tc>
            </w:tr>
            <w:tr w:rsidR="00C76D17" w14:paraId="4C6A42D5" w14:textId="77777777" w:rsidTr="00A7053B">
              <w:tc>
                <w:tcPr>
                  <w:tcW w:w="1667" w:type="pct"/>
                </w:tcPr>
                <w:p w14:paraId="4C6A42D3" w14:textId="77777777" w:rsidR="00C76D17" w:rsidRDefault="00C76D17" w:rsidP="00A7053B">
                  <w:pPr>
                    <w:pStyle w:val="TableBodyText"/>
                    <w:jc w:val="left"/>
                  </w:pPr>
                  <w:r>
                    <w:t>Permanent Family (Parent)</w:t>
                  </w:r>
                </w:p>
              </w:tc>
              <w:tc>
                <w:tcPr>
                  <w:tcW w:w="3333" w:type="pct"/>
                </w:tcPr>
                <w:p w14:paraId="4C6A42D4" w14:textId="77777777" w:rsidR="00C76D17" w:rsidRDefault="00A60593" w:rsidP="001A551C">
                  <w:pPr>
                    <w:pStyle w:val="TableBodyText"/>
                    <w:ind w:right="28"/>
                    <w:jc w:val="left"/>
                  </w:pPr>
                  <w:r w:rsidRPr="00D932CE">
                    <w:rPr>
                      <w:rFonts w:asciiTheme="minorHAnsi" w:hAnsiTheme="minorHAnsi" w:cstheme="minorHAnsi"/>
                      <w:szCs w:val="18"/>
                    </w:rPr>
                    <w:t>1</w:t>
                  </w:r>
                  <w:r>
                    <w:rPr>
                      <w:rFonts w:asciiTheme="minorHAnsi" w:hAnsiTheme="minorHAnsi" w:cstheme="minorHAnsi"/>
                      <w:szCs w:val="18"/>
                    </w:rPr>
                    <w:t> per cent</w:t>
                  </w:r>
                  <w:r w:rsidRPr="00D932CE">
                    <w:rPr>
                      <w:rFonts w:asciiTheme="minorHAnsi" w:hAnsiTheme="minorHAnsi" w:cstheme="minorHAnsi"/>
                      <w:szCs w:val="18"/>
                    </w:rPr>
                    <w:t xml:space="preserve"> </w:t>
                  </w:r>
                  <w:r w:rsidR="00C76D17" w:rsidRPr="00D932CE">
                    <w:rPr>
                      <w:rFonts w:asciiTheme="minorHAnsi" w:hAnsiTheme="minorHAnsi" w:cstheme="minorHAnsi"/>
                      <w:szCs w:val="18"/>
                    </w:rPr>
                    <w:t>per year over the projection period.</w:t>
                  </w:r>
                </w:p>
              </w:tc>
            </w:tr>
            <w:tr w:rsidR="00C76D17" w14:paraId="4C6A42D8" w14:textId="77777777" w:rsidTr="00A7053B">
              <w:tc>
                <w:tcPr>
                  <w:tcW w:w="1667" w:type="pct"/>
                </w:tcPr>
                <w:p w14:paraId="4C6A42D6" w14:textId="77777777" w:rsidR="00C76D17" w:rsidRDefault="00C76D17" w:rsidP="00A7053B">
                  <w:pPr>
                    <w:pStyle w:val="TableBodyText"/>
                    <w:jc w:val="left"/>
                  </w:pPr>
                  <w:r>
                    <w:t>Permanent Family (Dependent Child)</w:t>
                  </w:r>
                </w:p>
              </w:tc>
              <w:tc>
                <w:tcPr>
                  <w:tcW w:w="3333" w:type="pct"/>
                </w:tcPr>
                <w:p w14:paraId="4C6A42D7" w14:textId="77777777" w:rsidR="00C76D17" w:rsidRDefault="00A60593" w:rsidP="001A551C">
                  <w:pPr>
                    <w:pStyle w:val="TableBodyText"/>
                    <w:ind w:right="28"/>
                    <w:jc w:val="left"/>
                  </w:pPr>
                  <w:r w:rsidRPr="00D932CE">
                    <w:rPr>
                      <w:rFonts w:asciiTheme="minorHAnsi" w:hAnsiTheme="minorHAnsi" w:cstheme="minorHAnsi"/>
                      <w:szCs w:val="18"/>
                    </w:rPr>
                    <w:t>1</w:t>
                  </w:r>
                  <w:r>
                    <w:rPr>
                      <w:rFonts w:asciiTheme="minorHAnsi" w:hAnsiTheme="minorHAnsi" w:cstheme="minorHAnsi"/>
                      <w:szCs w:val="18"/>
                    </w:rPr>
                    <w:t> per cent</w:t>
                  </w:r>
                  <w:r w:rsidRPr="00D932CE">
                    <w:rPr>
                      <w:rFonts w:asciiTheme="minorHAnsi" w:hAnsiTheme="minorHAnsi" w:cstheme="minorHAnsi"/>
                      <w:szCs w:val="18"/>
                    </w:rPr>
                    <w:t xml:space="preserve"> </w:t>
                  </w:r>
                  <w:r w:rsidR="00C76D17" w:rsidRPr="00D932CE">
                    <w:rPr>
                      <w:rFonts w:asciiTheme="minorHAnsi" w:hAnsiTheme="minorHAnsi" w:cstheme="minorHAnsi"/>
                      <w:szCs w:val="18"/>
                    </w:rPr>
                    <w:t>per year over the projection period.</w:t>
                  </w:r>
                </w:p>
              </w:tc>
            </w:tr>
            <w:tr w:rsidR="00C76D17" w14:paraId="4C6A42DB" w14:textId="77777777" w:rsidTr="00A7053B">
              <w:tc>
                <w:tcPr>
                  <w:tcW w:w="1667" w:type="pct"/>
                </w:tcPr>
                <w:p w14:paraId="4C6A42D9" w14:textId="77777777" w:rsidR="00C76D17" w:rsidRDefault="00C76D17" w:rsidP="00A7053B">
                  <w:pPr>
                    <w:pStyle w:val="TableBodyText"/>
                    <w:jc w:val="left"/>
                  </w:pPr>
                  <w:r>
                    <w:t>Permanent Family (Contributory Parent)</w:t>
                  </w:r>
                </w:p>
              </w:tc>
              <w:tc>
                <w:tcPr>
                  <w:tcW w:w="3333" w:type="pct"/>
                </w:tcPr>
                <w:p w14:paraId="4C6A42DA" w14:textId="77777777" w:rsidR="00C76D17" w:rsidRDefault="00A60593" w:rsidP="001A551C">
                  <w:pPr>
                    <w:pStyle w:val="TableBodyText"/>
                    <w:ind w:right="28"/>
                    <w:jc w:val="left"/>
                  </w:pPr>
                  <w:r w:rsidRPr="00D932CE">
                    <w:rPr>
                      <w:rFonts w:asciiTheme="minorHAnsi" w:hAnsiTheme="minorHAnsi" w:cstheme="minorHAnsi"/>
                      <w:szCs w:val="18"/>
                    </w:rPr>
                    <w:t>1</w:t>
                  </w:r>
                  <w:r>
                    <w:rPr>
                      <w:rFonts w:asciiTheme="minorHAnsi" w:hAnsiTheme="minorHAnsi" w:cstheme="minorHAnsi"/>
                      <w:szCs w:val="18"/>
                    </w:rPr>
                    <w:t> per cent</w:t>
                  </w:r>
                  <w:r w:rsidRPr="00D932CE">
                    <w:rPr>
                      <w:rFonts w:asciiTheme="minorHAnsi" w:hAnsiTheme="minorHAnsi" w:cstheme="minorHAnsi"/>
                      <w:szCs w:val="18"/>
                    </w:rPr>
                    <w:t xml:space="preserve"> </w:t>
                  </w:r>
                  <w:r w:rsidR="00C76D17" w:rsidRPr="00D932CE">
                    <w:rPr>
                      <w:rFonts w:asciiTheme="minorHAnsi" w:hAnsiTheme="minorHAnsi" w:cstheme="minorHAnsi"/>
                      <w:szCs w:val="18"/>
                    </w:rPr>
                    <w:t>per year over the projection period.</w:t>
                  </w:r>
                </w:p>
              </w:tc>
            </w:tr>
            <w:tr w:rsidR="00C76D17" w14:paraId="4C6A42DE" w14:textId="77777777" w:rsidTr="00A7053B">
              <w:tc>
                <w:tcPr>
                  <w:tcW w:w="1667" w:type="pct"/>
                </w:tcPr>
                <w:p w14:paraId="4C6A42DC" w14:textId="77777777" w:rsidR="00C76D17" w:rsidRDefault="00C76D17" w:rsidP="00A7053B">
                  <w:pPr>
                    <w:pStyle w:val="TableBodyText"/>
                    <w:jc w:val="left"/>
                  </w:pPr>
                  <w:r>
                    <w:t>Permanent Family (Other)</w:t>
                  </w:r>
                </w:p>
              </w:tc>
              <w:tc>
                <w:tcPr>
                  <w:tcW w:w="3333" w:type="pct"/>
                </w:tcPr>
                <w:p w14:paraId="4C6A42DD" w14:textId="77777777" w:rsidR="00C76D17" w:rsidRDefault="00A60593" w:rsidP="001A551C">
                  <w:pPr>
                    <w:pStyle w:val="TableBodyText"/>
                    <w:ind w:right="28"/>
                    <w:jc w:val="left"/>
                  </w:pPr>
                  <w:r w:rsidRPr="00D932CE">
                    <w:rPr>
                      <w:rFonts w:asciiTheme="minorHAnsi" w:hAnsiTheme="minorHAnsi" w:cstheme="minorHAnsi"/>
                      <w:szCs w:val="18"/>
                    </w:rPr>
                    <w:t>1</w:t>
                  </w:r>
                  <w:r>
                    <w:rPr>
                      <w:rFonts w:asciiTheme="minorHAnsi" w:hAnsiTheme="minorHAnsi" w:cstheme="minorHAnsi"/>
                      <w:szCs w:val="18"/>
                    </w:rPr>
                    <w:t> per cent</w:t>
                  </w:r>
                  <w:r w:rsidRPr="00D932CE">
                    <w:rPr>
                      <w:rFonts w:asciiTheme="minorHAnsi" w:hAnsiTheme="minorHAnsi" w:cstheme="minorHAnsi"/>
                      <w:szCs w:val="18"/>
                    </w:rPr>
                    <w:t xml:space="preserve"> </w:t>
                  </w:r>
                  <w:r w:rsidR="00C76D17" w:rsidRPr="00D932CE">
                    <w:rPr>
                      <w:rFonts w:asciiTheme="minorHAnsi" w:hAnsiTheme="minorHAnsi" w:cstheme="minorHAnsi"/>
                      <w:szCs w:val="18"/>
                    </w:rPr>
                    <w:t>per year over the projection period.</w:t>
                  </w:r>
                </w:p>
              </w:tc>
            </w:tr>
            <w:tr w:rsidR="00C76D17" w14:paraId="4C6A42E1" w14:textId="77777777" w:rsidTr="00A7053B">
              <w:tc>
                <w:tcPr>
                  <w:tcW w:w="1667" w:type="pct"/>
                </w:tcPr>
                <w:p w14:paraId="4C6A42DF" w14:textId="77777777" w:rsidR="00C76D17" w:rsidRPr="00687779" w:rsidRDefault="00C76D17" w:rsidP="00A7053B">
                  <w:pPr>
                    <w:rPr>
                      <w:rFonts w:asciiTheme="minorHAnsi" w:hAnsiTheme="minorHAnsi" w:cstheme="minorHAnsi"/>
                      <w:sz w:val="18"/>
                      <w:szCs w:val="18"/>
                    </w:rPr>
                  </w:pPr>
                  <w:r w:rsidRPr="00687779">
                    <w:rPr>
                      <w:rFonts w:asciiTheme="minorHAnsi" w:hAnsiTheme="minorHAnsi" w:cstheme="minorHAnsi"/>
                      <w:sz w:val="18"/>
                      <w:szCs w:val="18"/>
                    </w:rPr>
                    <w:t>Permanent (Humanitarian)</w:t>
                  </w:r>
                </w:p>
              </w:tc>
              <w:tc>
                <w:tcPr>
                  <w:tcW w:w="3333" w:type="pct"/>
                </w:tcPr>
                <w:p w14:paraId="4C6A42E0" w14:textId="77777777" w:rsidR="00C76D17" w:rsidRPr="00687779" w:rsidRDefault="00A60593" w:rsidP="00A60593">
                  <w:pPr>
                    <w:rPr>
                      <w:rFonts w:asciiTheme="minorHAnsi" w:hAnsiTheme="minorHAnsi" w:cstheme="minorHAnsi"/>
                      <w:sz w:val="18"/>
                      <w:szCs w:val="18"/>
                    </w:rPr>
                  </w:pPr>
                  <w:r>
                    <w:rPr>
                      <w:rFonts w:asciiTheme="minorHAnsi" w:hAnsiTheme="minorHAnsi" w:cstheme="minorHAnsi"/>
                      <w:sz w:val="18"/>
                      <w:szCs w:val="18"/>
                    </w:rPr>
                    <w:t>1 per </w:t>
                  </w:r>
                  <w:r w:rsidR="00C76D17" w:rsidRPr="00687779">
                    <w:rPr>
                      <w:rFonts w:asciiTheme="minorHAnsi" w:hAnsiTheme="minorHAnsi" w:cstheme="minorHAnsi"/>
                      <w:sz w:val="18"/>
                      <w:szCs w:val="18"/>
                    </w:rPr>
                    <w:t>cent per year over the projection period.</w:t>
                  </w:r>
                </w:p>
              </w:tc>
            </w:tr>
            <w:tr w:rsidR="00C76D17" w14:paraId="4C6A42E4" w14:textId="77777777" w:rsidTr="00A7053B">
              <w:tc>
                <w:tcPr>
                  <w:tcW w:w="1667" w:type="pct"/>
                </w:tcPr>
                <w:p w14:paraId="4C6A42E2" w14:textId="77777777" w:rsidR="00C76D17" w:rsidRDefault="00C76D17" w:rsidP="00A7053B">
                  <w:pPr>
                    <w:pStyle w:val="TableBodyText"/>
                    <w:jc w:val="left"/>
                  </w:pPr>
                  <w:r>
                    <w:t>Permanent (Special Eligibility)</w:t>
                  </w:r>
                </w:p>
              </w:tc>
              <w:tc>
                <w:tcPr>
                  <w:tcW w:w="3333" w:type="pct"/>
                </w:tcPr>
                <w:p w14:paraId="4C6A42E3" w14:textId="77777777" w:rsidR="00C76D17" w:rsidRDefault="00C76D17" w:rsidP="001A551C">
                  <w:pPr>
                    <w:pStyle w:val="TableBodyText"/>
                    <w:ind w:right="28"/>
                    <w:jc w:val="left"/>
                  </w:pPr>
                  <w:r>
                    <w:t>N/A – not modelled.</w:t>
                  </w:r>
                </w:p>
              </w:tc>
            </w:tr>
            <w:tr w:rsidR="00C76D17" w14:paraId="4C6A42E7" w14:textId="77777777" w:rsidTr="00A7053B">
              <w:tc>
                <w:tcPr>
                  <w:tcW w:w="1667" w:type="pct"/>
                </w:tcPr>
                <w:p w14:paraId="4C6A42E5" w14:textId="77777777" w:rsidR="00C76D17" w:rsidRDefault="00C76D17" w:rsidP="00A7053B">
                  <w:pPr>
                    <w:pStyle w:val="TableBodyText"/>
                    <w:jc w:val="left"/>
                  </w:pPr>
                  <w:r>
                    <w:t>Permanent (Other)</w:t>
                  </w:r>
                </w:p>
              </w:tc>
              <w:tc>
                <w:tcPr>
                  <w:tcW w:w="3333" w:type="pct"/>
                </w:tcPr>
                <w:p w14:paraId="4C6A42E6" w14:textId="77777777" w:rsidR="00C76D17" w:rsidRDefault="00C76D17" w:rsidP="00A60593">
                  <w:pPr>
                    <w:pStyle w:val="TableBodyText"/>
                    <w:ind w:right="28"/>
                    <w:jc w:val="left"/>
                  </w:pPr>
                  <w:r w:rsidRPr="00D932CE">
                    <w:rPr>
                      <w:rFonts w:asciiTheme="minorHAnsi" w:hAnsiTheme="minorHAnsi" w:cstheme="minorHAnsi"/>
                      <w:szCs w:val="18"/>
                    </w:rPr>
                    <w:t>1</w:t>
                  </w:r>
                  <w:r w:rsidR="00A60593">
                    <w:rPr>
                      <w:rFonts w:asciiTheme="minorHAnsi" w:hAnsiTheme="minorHAnsi" w:cstheme="minorHAnsi"/>
                      <w:szCs w:val="18"/>
                    </w:rPr>
                    <w:t> </w:t>
                  </w:r>
                  <w:r>
                    <w:rPr>
                      <w:rFonts w:asciiTheme="minorHAnsi" w:hAnsiTheme="minorHAnsi" w:cstheme="minorHAnsi"/>
                      <w:szCs w:val="18"/>
                    </w:rPr>
                    <w:t>per</w:t>
                  </w:r>
                  <w:r w:rsidR="00A60593">
                    <w:rPr>
                      <w:rFonts w:asciiTheme="minorHAnsi" w:hAnsiTheme="minorHAnsi" w:cstheme="minorHAnsi"/>
                      <w:szCs w:val="18"/>
                    </w:rPr>
                    <w:t> </w:t>
                  </w:r>
                  <w:r>
                    <w:rPr>
                      <w:rFonts w:asciiTheme="minorHAnsi" w:hAnsiTheme="minorHAnsi" w:cstheme="minorHAnsi"/>
                      <w:szCs w:val="18"/>
                    </w:rPr>
                    <w:t>cent</w:t>
                  </w:r>
                  <w:r w:rsidRPr="00D932CE">
                    <w:rPr>
                      <w:rFonts w:asciiTheme="minorHAnsi" w:hAnsiTheme="minorHAnsi" w:cstheme="minorHAnsi"/>
                      <w:szCs w:val="18"/>
                    </w:rPr>
                    <w:t xml:space="preserve"> per year over the projection period.</w:t>
                  </w:r>
                </w:p>
              </w:tc>
            </w:tr>
            <w:tr w:rsidR="00C76D17" w14:paraId="4C6A42EA" w14:textId="77777777" w:rsidTr="00A7053B">
              <w:tc>
                <w:tcPr>
                  <w:tcW w:w="1667" w:type="pct"/>
                  <w:tcBorders>
                    <w:bottom w:val="single" w:sz="6" w:space="0" w:color="BFBFBF"/>
                  </w:tcBorders>
                  <w:shd w:val="clear" w:color="auto" w:fill="auto"/>
                </w:tcPr>
                <w:p w14:paraId="4C6A42E8" w14:textId="77777777" w:rsidR="00C76D17" w:rsidRDefault="00C76D17" w:rsidP="00A7053B">
                  <w:pPr>
                    <w:pStyle w:val="TableBodyText"/>
                    <w:jc w:val="left"/>
                  </w:pPr>
                  <w:r>
                    <w:t>Australian citizens</w:t>
                  </w:r>
                </w:p>
              </w:tc>
              <w:tc>
                <w:tcPr>
                  <w:tcW w:w="3333" w:type="pct"/>
                  <w:tcBorders>
                    <w:bottom w:val="single" w:sz="6" w:space="0" w:color="BFBFBF"/>
                  </w:tcBorders>
                  <w:shd w:val="clear" w:color="auto" w:fill="auto"/>
                </w:tcPr>
                <w:p w14:paraId="4C6A42E9" w14:textId="77777777" w:rsidR="00C76D17" w:rsidRDefault="00A15AF1" w:rsidP="00A60593">
                  <w:pPr>
                    <w:pStyle w:val="TableBodyText"/>
                    <w:ind w:right="28"/>
                    <w:jc w:val="left"/>
                  </w:pPr>
                  <w:r w:rsidRPr="00D932CE">
                    <w:rPr>
                      <w:rFonts w:asciiTheme="minorHAnsi" w:hAnsiTheme="minorHAnsi" w:cstheme="minorHAnsi"/>
                      <w:szCs w:val="18"/>
                    </w:rPr>
                    <w:t>Imputed as 100</w:t>
                  </w:r>
                  <w:r>
                    <w:rPr>
                      <w:rFonts w:asciiTheme="minorHAnsi" w:hAnsiTheme="minorHAnsi" w:cstheme="minorHAnsi"/>
                      <w:szCs w:val="18"/>
                    </w:rPr>
                    <w:t xml:space="preserve"> per cent</w:t>
                  </w:r>
                  <w:r w:rsidRPr="00D932CE">
                    <w:rPr>
                      <w:rFonts w:asciiTheme="minorHAnsi" w:hAnsiTheme="minorHAnsi" w:cstheme="minorHAnsi"/>
                      <w:szCs w:val="18"/>
                    </w:rPr>
                    <w:t xml:space="preserve"> given the NOM flow in this category</w:t>
                  </w:r>
                  <w:r>
                    <w:rPr>
                      <w:rFonts w:asciiTheme="minorHAnsi" w:hAnsiTheme="minorHAnsi" w:cstheme="minorHAnsi"/>
                      <w:szCs w:val="18"/>
                    </w:rPr>
                    <w:t xml:space="preserve"> has historically been negative</w:t>
                  </w:r>
                  <w:r w:rsidRPr="00D932CE">
                    <w:rPr>
                      <w:rFonts w:asciiTheme="minorHAnsi" w:hAnsiTheme="minorHAnsi" w:cstheme="minorHAnsi"/>
                      <w:szCs w:val="18"/>
                    </w:rPr>
                    <w:t>.</w:t>
                  </w:r>
                </w:p>
              </w:tc>
            </w:tr>
          </w:tbl>
          <w:p w14:paraId="4C6A42EB" w14:textId="77777777" w:rsidR="00C76D17" w:rsidRDefault="00C76D17" w:rsidP="00A7053B">
            <w:pPr>
              <w:pStyle w:val="Box"/>
            </w:pPr>
          </w:p>
        </w:tc>
      </w:tr>
      <w:tr w:rsidR="00C76D17" w14:paraId="4C6A42EE" w14:textId="77777777" w:rsidTr="00A7053B">
        <w:tc>
          <w:tcPr>
            <w:tcW w:w="8771" w:type="dxa"/>
            <w:tcBorders>
              <w:top w:val="nil"/>
              <w:left w:val="nil"/>
              <w:bottom w:val="nil"/>
              <w:right w:val="nil"/>
            </w:tcBorders>
            <w:shd w:val="clear" w:color="auto" w:fill="auto"/>
          </w:tcPr>
          <w:p w14:paraId="4C6A42ED" w14:textId="226B360D" w:rsidR="00C76D17" w:rsidRDefault="00C76D17" w:rsidP="00DE1BE2">
            <w:pPr>
              <w:pStyle w:val="Source"/>
            </w:pPr>
            <w:r>
              <w:rPr>
                <w:i/>
              </w:rPr>
              <w:t>Source</w:t>
            </w:r>
            <w:r w:rsidR="00C97F4F">
              <w:rPr>
                <w:i/>
              </w:rPr>
              <w:t>s</w:t>
            </w:r>
            <w:r w:rsidRPr="00167F06">
              <w:t xml:space="preserve">: </w:t>
            </w:r>
            <w:r w:rsidR="007611E9">
              <w:t>Productivity Commission</w:t>
            </w:r>
            <w:r w:rsidR="00C00470">
              <w:t xml:space="preserve"> estimates</w:t>
            </w:r>
            <w:r w:rsidR="007611E9">
              <w:t>.</w:t>
            </w:r>
            <w:r w:rsidR="00E03A53">
              <w:t xml:space="preserve"> The emigration profile for New Zealand citizens has been informed by</w:t>
            </w:r>
            <w:r w:rsidR="00DE1BE2">
              <w:t xml:space="preserve"> </w:t>
            </w:r>
            <w:r w:rsidR="00DE1BE2" w:rsidRPr="00DE1BE2">
              <w:rPr>
                <w:rFonts w:cs="Arial"/>
                <w:szCs w:val="24"/>
              </w:rPr>
              <w:t>NZ Ministry of Business, Innovation and Employment </w:t>
            </w:r>
            <w:r w:rsidR="00DF30DF">
              <w:rPr>
                <w:rFonts w:cs="Arial"/>
                <w:szCs w:val="24"/>
              </w:rPr>
              <w:t>(</w:t>
            </w:r>
            <w:r w:rsidR="00DE1BE2" w:rsidRPr="00DE1BE2">
              <w:rPr>
                <w:rFonts w:cs="Arial"/>
                <w:szCs w:val="24"/>
              </w:rPr>
              <w:t>2012)</w:t>
            </w:r>
            <w:r w:rsidR="006D5483">
              <w:t xml:space="preserve">. </w:t>
            </w:r>
            <w:r w:rsidR="00DE1BE2">
              <w:t xml:space="preserve">Emigration rates for temporary Working Holiday Maker visa holders is based on </w:t>
            </w:r>
            <w:r w:rsidR="00DE1BE2" w:rsidRPr="00DE1BE2">
              <w:rPr>
                <w:rFonts w:cs="Arial"/>
                <w:szCs w:val="24"/>
              </w:rPr>
              <w:t>(</w:t>
            </w:r>
            <w:proofErr w:type="spellStart"/>
            <w:r w:rsidR="00DE1BE2" w:rsidRPr="00DE1BE2">
              <w:rPr>
                <w:rFonts w:cs="Arial"/>
                <w:szCs w:val="24"/>
              </w:rPr>
              <w:t>DIBP</w:t>
            </w:r>
            <w:proofErr w:type="spellEnd"/>
            <w:r w:rsidR="00DE1BE2" w:rsidRPr="00DE1BE2">
              <w:rPr>
                <w:rFonts w:cs="Arial"/>
                <w:szCs w:val="24"/>
              </w:rPr>
              <w:t> </w:t>
            </w:r>
            <w:proofErr w:type="spellStart"/>
            <w:r w:rsidR="00DE1BE2" w:rsidRPr="00DE1BE2">
              <w:rPr>
                <w:rFonts w:cs="Arial"/>
                <w:szCs w:val="24"/>
              </w:rPr>
              <w:t>2015b</w:t>
            </w:r>
            <w:proofErr w:type="spellEnd"/>
            <w:r w:rsidR="00DE1BE2" w:rsidRPr="00DE1BE2">
              <w:rPr>
                <w:rFonts w:cs="Arial"/>
                <w:szCs w:val="24"/>
              </w:rPr>
              <w:t>)</w:t>
            </w:r>
            <w:r w:rsidR="00DE1BE2">
              <w:t xml:space="preserve">. </w:t>
            </w:r>
          </w:p>
        </w:tc>
      </w:tr>
      <w:tr w:rsidR="00C76D17" w14:paraId="4C6A42F0" w14:textId="77777777" w:rsidTr="00A7053B">
        <w:tc>
          <w:tcPr>
            <w:tcW w:w="8771" w:type="dxa"/>
            <w:tcBorders>
              <w:top w:val="nil"/>
              <w:left w:val="nil"/>
              <w:bottom w:val="single" w:sz="6" w:space="0" w:color="78A22F"/>
              <w:right w:val="nil"/>
            </w:tcBorders>
            <w:shd w:val="clear" w:color="auto" w:fill="auto"/>
          </w:tcPr>
          <w:p w14:paraId="4C6A42EF" w14:textId="77777777" w:rsidR="00C76D17" w:rsidRDefault="00C76D17" w:rsidP="00A7053B">
            <w:pPr>
              <w:pStyle w:val="Box"/>
              <w:spacing w:before="0" w:line="120" w:lineRule="exact"/>
            </w:pPr>
          </w:p>
        </w:tc>
      </w:tr>
      <w:tr w:rsidR="00C76D17" w:rsidRPr="000863A5" w14:paraId="4C6A42F2" w14:textId="77777777" w:rsidTr="00A7053B">
        <w:tc>
          <w:tcPr>
            <w:tcW w:w="8771" w:type="dxa"/>
            <w:tcBorders>
              <w:top w:val="single" w:sz="6" w:space="0" w:color="78A22F"/>
              <w:left w:val="nil"/>
              <w:bottom w:val="nil"/>
              <w:right w:val="nil"/>
            </w:tcBorders>
          </w:tcPr>
          <w:p w14:paraId="4C6A42F1" w14:textId="749361C1" w:rsidR="00C76D17" w:rsidRPr="00626D32" w:rsidRDefault="00C76D17" w:rsidP="00A7053B">
            <w:pPr>
              <w:pStyle w:val="BoxSpaceBelow"/>
            </w:pPr>
          </w:p>
        </w:tc>
      </w:tr>
    </w:tbl>
    <w:p w14:paraId="4C6A42F4" w14:textId="7ABE52CF" w:rsidR="00A469DC" w:rsidRDefault="00C76D17" w:rsidP="00FC20FE">
      <w:pPr>
        <w:pStyle w:val="Heading2"/>
        <w:spacing w:before="0"/>
      </w:pPr>
      <w:r>
        <w:br w:type="column"/>
      </w:r>
      <w:r w:rsidR="00DF30DF">
        <w:lastRenderedPageBreak/>
        <w:t>Attachment</w:t>
      </w:r>
      <w:r w:rsidR="004354FF">
        <w:t> </w:t>
      </w:r>
      <w:r w:rsidR="00DF30DF">
        <w:t>3</w:t>
      </w:r>
      <w:r w:rsidR="00E446F8">
        <w:tab/>
        <w:t>M</w:t>
      </w:r>
      <w:r w:rsidR="008B251E">
        <w:t>igrants’ u</w:t>
      </w:r>
      <w:r w:rsidR="00F841F4">
        <w:t>ptake rates</w:t>
      </w:r>
    </w:p>
    <w:p w14:paraId="4C6A42F5" w14:textId="445ECC5D" w:rsidR="00A84965" w:rsidRDefault="00845BD7" w:rsidP="00CA0F87">
      <w:pPr>
        <w:pStyle w:val="BodyText"/>
      </w:pPr>
      <w:r>
        <w:t xml:space="preserve">Uptake rates </w:t>
      </w:r>
      <w:r w:rsidR="00A15AF1">
        <w:t>for government</w:t>
      </w:r>
      <w:r w:rsidR="00A15AF1">
        <w:noBreakHyphen/>
        <w:t xml:space="preserve">funded services and benefits </w:t>
      </w:r>
      <w:r>
        <w:t xml:space="preserve">are summarised </w:t>
      </w:r>
      <w:r w:rsidR="00D66EA0">
        <w:t>in</w:t>
      </w:r>
      <w:r>
        <w:t xml:space="preserve"> </w:t>
      </w:r>
      <w:r w:rsidR="009C03E1">
        <w:t>table</w:t>
      </w:r>
      <w:r w:rsidR="00A60593">
        <w:t> </w:t>
      </w:r>
      <w:r w:rsidR="00DF30DF">
        <w:t>3.1</w:t>
      </w:r>
      <w:r w:rsidR="004354FF">
        <w:t>.</w:t>
      </w:r>
      <w:r>
        <w:t xml:space="preserve"> </w:t>
      </w:r>
    </w:p>
    <w:p w14:paraId="4C6A42F6" w14:textId="339A4405" w:rsidR="00CA0F87" w:rsidRDefault="00CA0F87" w:rsidP="006F4EF3">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909"/>
      </w:tblGrid>
      <w:tr w:rsidR="00CA0F87" w14:paraId="4C6A42F9" w14:textId="77777777" w:rsidTr="00845BD7">
        <w:trPr>
          <w:tblHeader/>
        </w:trPr>
        <w:tc>
          <w:tcPr>
            <w:tcW w:w="8909" w:type="dxa"/>
            <w:tcBorders>
              <w:top w:val="single" w:sz="6" w:space="0" w:color="78A22F"/>
              <w:left w:val="nil"/>
              <w:bottom w:val="nil"/>
              <w:right w:val="nil"/>
            </w:tcBorders>
            <w:shd w:val="clear" w:color="auto" w:fill="auto"/>
          </w:tcPr>
          <w:p w14:paraId="4C6A42F7" w14:textId="413279AE" w:rsidR="00CA0F87" w:rsidRDefault="00CA0F87" w:rsidP="006F4EF3">
            <w:pPr>
              <w:pStyle w:val="TableTitle"/>
            </w:pPr>
            <w:r>
              <w:rPr>
                <w:b w:val="0"/>
              </w:rPr>
              <w:t xml:space="preserve">Table </w:t>
            </w:r>
            <w:r w:rsidR="00DF30DF">
              <w:rPr>
                <w:b w:val="0"/>
              </w:rPr>
              <w:t>3.1</w:t>
            </w:r>
            <w:r>
              <w:tab/>
            </w:r>
            <w:r w:rsidR="00845BD7">
              <w:t>Uptake rates of government</w:t>
            </w:r>
            <w:r w:rsidR="008E73F0">
              <w:noBreakHyphen/>
              <w:t>funded</w:t>
            </w:r>
            <w:r w:rsidR="00845BD7">
              <w:t xml:space="preserve"> services and benefits</w:t>
            </w:r>
          </w:p>
          <w:p w14:paraId="4C6A42F8" w14:textId="77777777" w:rsidR="00CA0F87" w:rsidRPr="00784A05" w:rsidRDefault="00845BD7" w:rsidP="006F4EF3">
            <w:pPr>
              <w:pStyle w:val="Subtitle"/>
            </w:pPr>
            <w:r>
              <w:t>Uptake rates are expressed as a proportion of the relevant age population</w:t>
            </w:r>
          </w:p>
        </w:tc>
      </w:tr>
      <w:tr w:rsidR="00CA0F87" w14:paraId="4C6A42FB" w14:textId="77777777" w:rsidTr="00845BD7">
        <w:tc>
          <w:tcPr>
            <w:tcW w:w="8909" w:type="dxa"/>
            <w:tcBorders>
              <w:top w:val="nil"/>
              <w:left w:val="nil"/>
              <w:bottom w:val="nil"/>
              <w:right w:val="nil"/>
            </w:tcBorders>
            <w:shd w:val="clear" w:color="auto" w:fill="auto"/>
          </w:tcPr>
          <w:tbl>
            <w:tblPr>
              <w:tblW w:w="5000" w:type="pct"/>
              <w:tblLook w:val="04A0" w:firstRow="1" w:lastRow="0" w:firstColumn="1" w:lastColumn="0" w:noHBand="0" w:noVBand="1"/>
            </w:tblPr>
            <w:tblGrid>
              <w:gridCol w:w="1514"/>
              <w:gridCol w:w="547"/>
              <w:gridCol w:w="547"/>
              <w:gridCol w:w="547"/>
              <w:gridCol w:w="547"/>
              <w:gridCol w:w="547"/>
              <w:gridCol w:w="547"/>
              <w:gridCol w:w="547"/>
              <w:gridCol w:w="547"/>
              <w:gridCol w:w="547"/>
              <w:gridCol w:w="547"/>
              <w:gridCol w:w="547"/>
              <w:gridCol w:w="547"/>
              <w:gridCol w:w="547"/>
            </w:tblGrid>
            <w:tr w:rsidR="00862EA5" w:rsidRPr="00090054" w14:paraId="6705DCDE" w14:textId="77777777" w:rsidTr="00E31836">
              <w:trPr>
                <w:trHeight w:val="300"/>
              </w:trPr>
              <w:tc>
                <w:tcPr>
                  <w:tcW w:w="973" w:type="pct"/>
                  <w:tcBorders>
                    <w:top w:val="single" w:sz="4" w:space="0" w:color="BFBFBF" w:themeColor="background2"/>
                    <w:left w:val="nil"/>
                    <w:right w:val="single" w:sz="4" w:space="0" w:color="FFFFFF" w:themeColor="background1"/>
                  </w:tcBorders>
                  <w:shd w:val="clear" w:color="auto" w:fill="auto"/>
                  <w:noWrap/>
                  <w:vAlign w:val="bottom"/>
                  <w:hideMark/>
                </w:tcPr>
                <w:p w14:paraId="5CF647CB" w14:textId="77777777" w:rsidR="00862EA5" w:rsidRPr="0079778A" w:rsidRDefault="00862EA5" w:rsidP="00862EA5">
                  <w:pPr>
                    <w:rPr>
                      <w:rFonts w:ascii="Arial" w:hAnsi="Arial" w:cs="Arial"/>
                      <w:color w:val="000000"/>
                      <w:sz w:val="17"/>
                      <w:szCs w:val="17"/>
                    </w:rPr>
                  </w:pPr>
                </w:p>
              </w:tc>
              <w:tc>
                <w:tcPr>
                  <w:tcW w:w="1173" w:type="pct"/>
                  <w:gridSpan w:val="4"/>
                  <w:tcBorders>
                    <w:top w:val="single" w:sz="4" w:space="0" w:color="BFBFBF" w:themeColor="background2"/>
                    <w:left w:val="single" w:sz="4" w:space="0" w:color="FFFFFF" w:themeColor="background1"/>
                    <w:right w:val="single" w:sz="4" w:space="0" w:color="FFFFFF" w:themeColor="background1"/>
                  </w:tcBorders>
                  <w:shd w:val="clear" w:color="000000" w:fill="D9D9D9"/>
                  <w:vAlign w:val="bottom"/>
                  <w:hideMark/>
                </w:tcPr>
                <w:p w14:paraId="6F2D2D94" w14:textId="77777777" w:rsidR="00862EA5" w:rsidRPr="0079778A" w:rsidRDefault="00862EA5" w:rsidP="00862EA5">
                  <w:pPr>
                    <w:jc w:val="center"/>
                    <w:rPr>
                      <w:rFonts w:ascii="Arial" w:hAnsi="Arial" w:cs="Arial"/>
                      <w:b/>
                      <w:bCs/>
                      <w:color w:val="000000"/>
                      <w:sz w:val="18"/>
                      <w:szCs w:val="17"/>
                    </w:rPr>
                  </w:pPr>
                  <w:r w:rsidRPr="0079778A">
                    <w:rPr>
                      <w:rFonts w:ascii="Arial" w:hAnsi="Arial" w:cs="Arial"/>
                      <w:b/>
                      <w:bCs/>
                      <w:color w:val="000000"/>
                      <w:sz w:val="18"/>
                      <w:szCs w:val="17"/>
                    </w:rPr>
                    <w:t>Health</w:t>
                  </w:r>
                </w:p>
              </w:tc>
              <w:tc>
                <w:tcPr>
                  <w:tcW w:w="1586" w:type="pct"/>
                  <w:gridSpan w:val="5"/>
                  <w:tcBorders>
                    <w:top w:val="single" w:sz="4" w:space="0" w:color="BFBFBF" w:themeColor="background2"/>
                    <w:left w:val="single" w:sz="4" w:space="0" w:color="FFFFFF" w:themeColor="background1"/>
                    <w:right w:val="single" w:sz="4" w:space="0" w:color="FFFFFF" w:themeColor="background1"/>
                  </w:tcBorders>
                  <w:shd w:val="clear" w:color="000000" w:fill="D9D9D9"/>
                  <w:vAlign w:val="bottom"/>
                  <w:hideMark/>
                </w:tcPr>
                <w:p w14:paraId="333A8A1E" w14:textId="77777777" w:rsidR="00862EA5" w:rsidRPr="0079778A" w:rsidRDefault="00862EA5" w:rsidP="00862EA5">
                  <w:pPr>
                    <w:jc w:val="center"/>
                    <w:rPr>
                      <w:rFonts w:ascii="Arial" w:hAnsi="Arial" w:cs="Arial"/>
                      <w:b/>
                      <w:bCs/>
                      <w:color w:val="000000"/>
                      <w:sz w:val="18"/>
                      <w:szCs w:val="17"/>
                    </w:rPr>
                  </w:pPr>
                  <w:r w:rsidRPr="0079778A">
                    <w:rPr>
                      <w:rFonts w:ascii="Arial" w:hAnsi="Arial" w:cs="Arial"/>
                      <w:b/>
                      <w:bCs/>
                      <w:color w:val="000000"/>
                      <w:sz w:val="18"/>
                      <w:szCs w:val="17"/>
                    </w:rPr>
                    <w:t>Education</w:t>
                  </w:r>
                </w:p>
              </w:tc>
              <w:tc>
                <w:tcPr>
                  <w:tcW w:w="1268" w:type="pct"/>
                  <w:gridSpan w:val="4"/>
                  <w:tcBorders>
                    <w:top w:val="single" w:sz="4" w:space="0" w:color="BFBFBF" w:themeColor="background2"/>
                    <w:left w:val="single" w:sz="4" w:space="0" w:color="FFFFFF" w:themeColor="background1"/>
                    <w:right w:val="nil"/>
                  </w:tcBorders>
                  <w:shd w:val="clear" w:color="000000" w:fill="D9D9D9"/>
                  <w:vAlign w:val="bottom"/>
                  <w:hideMark/>
                </w:tcPr>
                <w:p w14:paraId="67D16468" w14:textId="77777777" w:rsidR="00862EA5" w:rsidRPr="0079778A" w:rsidRDefault="00862EA5" w:rsidP="00862EA5">
                  <w:pPr>
                    <w:jc w:val="center"/>
                    <w:rPr>
                      <w:rFonts w:ascii="Arial" w:hAnsi="Arial" w:cs="Arial"/>
                      <w:b/>
                      <w:bCs/>
                      <w:color w:val="000000"/>
                      <w:sz w:val="18"/>
                      <w:szCs w:val="17"/>
                    </w:rPr>
                  </w:pPr>
                  <w:r w:rsidRPr="0079778A">
                    <w:rPr>
                      <w:rFonts w:ascii="Arial" w:hAnsi="Arial" w:cs="Arial"/>
                      <w:b/>
                      <w:bCs/>
                      <w:color w:val="000000"/>
                      <w:sz w:val="18"/>
                      <w:szCs w:val="17"/>
                    </w:rPr>
                    <w:t>Transfers</w:t>
                  </w:r>
                </w:p>
              </w:tc>
            </w:tr>
            <w:tr w:rsidR="00862EA5" w:rsidRPr="00090054" w14:paraId="3F653723" w14:textId="77777777" w:rsidTr="00E31836">
              <w:trPr>
                <w:trHeight w:val="1439"/>
              </w:trPr>
              <w:tc>
                <w:tcPr>
                  <w:tcW w:w="973" w:type="pct"/>
                  <w:tcBorders>
                    <w:top w:val="nil"/>
                    <w:left w:val="nil"/>
                    <w:bottom w:val="single" w:sz="4" w:space="0" w:color="BFBFBF" w:themeColor="background2"/>
                    <w:right w:val="nil"/>
                  </w:tcBorders>
                  <w:shd w:val="clear" w:color="auto" w:fill="auto"/>
                  <w:noWrap/>
                  <w:vAlign w:val="bottom"/>
                  <w:hideMark/>
                </w:tcPr>
                <w:p w14:paraId="66F730D9" w14:textId="77777777" w:rsidR="00862EA5" w:rsidRPr="0079778A" w:rsidRDefault="00862EA5" w:rsidP="00862EA5">
                  <w:pPr>
                    <w:rPr>
                      <w:rFonts w:ascii="Arial" w:hAnsi="Arial" w:cs="Arial"/>
                      <w:color w:val="000000"/>
                      <w:sz w:val="17"/>
                      <w:szCs w:val="17"/>
                    </w:rPr>
                  </w:pPr>
                </w:p>
              </w:tc>
              <w:tc>
                <w:tcPr>
                  <w:tcW w:w="221" w:type="pct"/>
                  <w:tcBorders>
                    <w:top w:val="nil"/>
                    <w:left w:val="nil"/>
                    <w:bottom w:val="single" w:sz="4" w:space="0" w:color="BFBFBF" w:themeColor="background2"/>
                    <w:right w:val="nil"/>
                  </w:tcBorders>
                  <w:shd w:val="clear" w:color="auto" w:fill="F2F2F2" w:themeFill="accent4"/>
                  <w:textDirection w:val="btLr"/>
                  <w:vAlign w:val="bottom"/>
                  <w:hideMark/>
                </w:tcPr>
                <w:p w14:paraId="3419ECDE" w14:textId="77777777" w:rsidR="00862EA5" w:rsidRPr="0079778A" w:rsidRDefault="00862EA5" w:rsidP="00862EA5">
                  <w:pPr>
                    <w:rPr>
                      <w:rFonts w:ascii="Arial" w:hAnsi="Arial" w:cs="Arial"/>
                      <w:color w:val="000000"/>
                      <w:sz w:val="18"/>
                      <w:szCs w:val="17"/>
                    </w:rPr>
                  </w:pPr>
                  <w:proofErr w:type="spellStart"/>
                  <w:r w:rsidRPr="0079778A">
                    <w:rPr>
                      <w:rFonts w:ascii="Arial" w:hAnsi="Arial" w:cs="Arial"/>
                      <w:color w:val="000000"/>
                      <w:sz w:val="18"/>
                      <w:szCs w:val="17"/>
                    </w:rPr>
                    <w:t>PBS</w:t>
                  </w:r>
                  <w:proofErr w:type="spellEnd"/>
                  <w:r w:rsidRPr="0079778A">
                    <w:rPr>
                      <w:rFonts w:ascii="Arial" w:hAnsi="Arial" w:cs="Arial"/>
                      <w:color w:val="000000"/>
                      <w:sz w:val="18"/>
                      <w:szCs w:val="17"/>
                    </w:rPr>
                    <w:t xml:space="preserve"> (</w:t>
                  </w:r>
                  <w:proofErr w:type="spellStart"/>
                  <w:r w:rsidRPr="0079778A">
                    <w:rPr>
                      <w:rFonts w:ascii="Arial" w:hAnsi="Arial" w:cs="Arial"/>
                      <w:color w:val="000000"/>
                      <w:sz w:val="18"/>
                      <w:szCs w:val="17"/>
                    </w:rPr>
                    <w:t>s85</w:t>
                  </w:r>
                  <w:proofErr w:type="spellEnd"/>
                  <w:r w:rsidRPr="0079778A">
                    <w:rPr>
                      <w:rFonts w:ascii="Arial" w:hAnsi="Arial" w:cs="Arial"/>
                      <w:color w:val="000000"/>
                      <w:sz w:val="18"/>
                      <w:szCs w:val="17"/>
                    </w:rPr>
                    <w:t>)</w:t>
                  </w:r>
                </w:p>
              </w:tc>
              <w:tc>
                <w:tcPr>
                  <w:tcW w:w="317" w:type="pct"/>
                  <w:tcBorders>
                    <w:top w:val="nil"/>
                    <w:left w:val="nil"/>
                    <w:bottom w:val="single" w:sz="4" w:space="0" w:color="BFBFBF" w:themeColor="background2"/>
                    <w:right w:val="nil"/>
                  </w:tcBorders>
                  <w:shd w:val="clear" w:color="auto" w:fill="F2F2F2" w:themeFill="accent4"/>
                  <w:textDirection w:val="btLr"/>
                  <w:vAlign w:val="bottom"/>
                  <w:hideMark/>
                </w:tcPr>
                <w:p w14:paraId="61A0DA09" w14:textId="77777777" w:rsidR="00862EA5" w:rsidRPr="0079778A" w:rsidRDefault="00862EA5" w:rsidP="00862EA5">
                  <w:pPr>
                    <w:rPr>
                      <w:rFonts w:ascii="Arial" w:hAnsi="Arial" w:cs="Arial"/>
                      <w:color w:val="000000"/>
                      <w:sz w:val="18"/>
                      <w:szCs w:val="17"/>
                    </w:rPr>
                  </w:pPr>
                  <w:r w:rsidRPr="0079778A">
                    <w:rPr>
                      <w:rFonts w:ascii="Arial" w:hAnsi="Arial" w:cs="Arial"/>
                      <w:color w:val="000000"/>
                      <w:sz w:val="18"/>
                      <w:szCs w:val="17"/>
                    </w:rPr>
                    <w:t>Medicare</w:t>
                  </w:r>
                </w:p>
              </w:tc>
              <w:tc>
                <w:tcPr>
                  <w:tcW w:w="317" w:type="pct"/>
                  <w:tcBorders>
                    <w:top w:val="nil"/>
                    <w:left w:val="nil"/>
                    <w:bottom w:val="single" w:sz="4" w:space="0" w:color="BFBFBF" w:themeColor="background2"/>
                    <w:right w:val="nil"/>
                  </w:tcBorders>
                  <w:shd w:val="clear" w:color="auto" w:fill="F2F2F2" w:themeFill="accent4"/>
                  <w:textDirection w:val="btLr"/>
                  <w:vAlign w:val="bottom"/>
                  <w:hideMark/>
                </w:tcPr>
                <w:p w14:paraId="72D97FDB" w14:textId="77777777" w:rsidR="00862EA5" w:rsidRPr="0079778A" w:rsidRDefault="00862EA5" w:rsidP="00862EA5">
                  <w:pPr>
                    <w:rPr>
                      <w:rFonts w:ascii="Arial" w:hAnsi="Arial" w:cs="Arial"/>
                      <w:color w:val="000000"/>
                      <w:sz w:val="18"/>
                      <w:szCs w:val="17"/>
                    </w:rPr>
                  </w:pPr>
                  <w:r w:rsidRPr="0079778A">
                    <w:rPr>
                      <w:rFonts w:ascii="Arial" w:hAnsi="Arial" w:cs="Arial"/>
                      <w:color w:val="000000"/>
                      <w:sz w:val="18"/>
                      <w:szCs w:val="17"/>
                    </w:rPr>
                    <w:t>Hospitals</w:t>
                  </w:r>
                </w:p>
              </w:tc>
              <w:tc>
                <w:tcPr>
                  <w:tcW w:w="317" w:type="pct"/>
                  <w:tcBorders>
                    <w:top w:val="nil"/>
                    <w:left w:val="nil"/>
                    <w:bottom w:val="single" w:sz="4" w:space="0" w:color="BFBFBF" w:themeColor="background2"/>
                    <w:right w:val="nil"/>
                  </w:tcBorders>
                  <w:shd w:val="clear" w:color="auto" w:fill="F2F2F2" w:themeFill="accent4"/>
                  <w:textDirection w:val="btLr"/>
                  <w:vAlign w:val="bottom"/>
                  <w:hideMark/>
                </w:tcPr>
                <w:p w14:paraId="1D0AE6AD" w14:textId="77777777" w:rsidR="00862EA5" w:rsidRPr="0079778A" w:rsidRDefault="00862EA5" w:rsidP="00862EA5">
                  <w:pPr>
                    <w:rPr>
                      <w:rFonts w:ascii="Arial" w:hAnsi="Arial" w:cs="Arial"/>
                      <w:color w:val="000000"/>
                      <w:sz w:val="18"/>
                      <w:szCs w:val="17"/>
                    </w:rPr>
                  </w:pPr>
                  <w:proofErr w:type="spellStart"/>
                  <w:r w:rsidRPr="0079778A">
                    <w:rPr>
                      <w:rFonts w:ascii="Arial" w:hAnsi="Arial" w:cs="Arial"/>
                      <w:color w:val="000000"/>
                      <w:sz w:val="18"/>
                      <w:szCs w:val="17"/>
                    </w:rPr>
                    <w:t>PHIR</w:t>
                  </w:r>
                  <w:proofErr w:type="spellEnd"/>
                </w:p>
              </w:tc>
              <w:tc>
                <w:tcPr>
                  <w:tcW w:w="317" w:type="pct"/>
                  <w:tcBorders>
                    <w:top w:val="nil"/>
                    <w:left w:val="nil"/>
                    <w:bottom w:val="single" w:sz="4" w:space="0" w:color="BFBFBF" w:themeColor="background2"/>
                    <w:right w:val="nil"/>
                  </w:tcBorders>
                  <w:shd w:val="clear" w:color="auto" w:fill="auto"/>
                  <w:textDirection w:val="btLr"/>
                  <w:vAlign w:val="bottom"/>
                  <w:hideMark/>
                </w:tcPr>
                <w:p w14:paraId="464046E6" w14:textId="77777777" w:rsidR="00862EA5" w:rsidRPr="0079778A" w:rsidRDefault="00862EA5" w:rsidP="00862EA5">
                  <w:pPr>
                    <w:rPr>
                      <w:rFonts w:ascii="Arial" w:hAnsi="Arial" w:cs="Arial"/>
                      <w:color w:val="000000"/>
                      <w:sz w:val="18"/>
                      <w:szCs w:val="17"/>
                    </w:rPr>
                  </w:pPr>
                  <w:r w:rsidRPr="0079778A">
                    <w:rPr>
                      <w:rFonts w:ascii="Arial" w:hAnsi="Arial" w:cs="Arial"/>
                      <w:color w:val="000000"/>
                      <w:sz w:val="18"/>
                      <w:szCs w:val="17"/>
                    </w:rPr>
                    <w:t>Pre-school</w:t>
                  </w:r>
                </w:p>
              </w:tc>
              <w:tc>
                <w:tcPr>
                  <w:tcW w:w="317" w:type="pct"/>
                  <w:tcBorders>
                    <w:top w:val="nil"/>
                    <w:left w:val="nil"/>
                    <w:bottom w:val="single" w:sz="4" w:space="0" w:color="BFBFBF" w:themeColor="background2"/>
                    <w:right w:val="nil"/>
                  </w:tcBorders>
                  <w:shd w:val="clear" w:color="auto" w:fill="auto"/>
                  <w:textDirection w:val="btLr"/>
                  <w:vAlign w:val="bottom"/>
                  <w:hideMark/>
                </w:tcPr>
                <w:p w14:paraId="2AECCD68" w14:textId="77777777" w:rsidR="00862EA5" w:rsidRPr="0079778A" w:rsidRDefault="00862EA5" w:rsidP="00862EA5">
                  <w:pPr>
                    <w:rPr>
                      <w:rFonts w:ascii="Arial" w:hAnsi="Arial" w:cs="Arial"/>
                      <w:color w:val="000000"/>
                      <w:sz w:val="18"/>
                      <w:szCs w:val="17"/>
                    </w:rPr>
                  </w:pPr>
                  <w:r w:rsidRPr="0079778A">
                    <w:rPr>
                      <w:rFonts w:ascii="Arial" w:hAnsi="Arial" w:cs="Arial"/>
                      <w:color w:val="000000"/>
                      <w:sz w:val="18"/>
                      <w:szCs w:val="17"/>
                    </w:rPr>
                    <w:t>Primary and Secondary</w:t>
                  </w:r>
                </w:p>
              </w:tc>
              <w:tc>
                <w:tcPr>
                  <w:tcW w:w="317" w:type="pct"/>
                  <w:tcBorders>
                    <w:top w:val="nil"/>
                    <w:left w:val="nil"/>
                    <w:bottom w:val="single" w:sz="4" w:space="0" w:color="BFBFBF" w:themeColor="background2"/>
                    <w:right w:val="nil"/>
                  </w:tcBorders>
                  <w:shd w:val="clear" w:color="auto" w:fill="auto"/>
                  <w:textDirection w:val="btLr"/>
                  <w:vAlign w:val="bottom"/>
                  <w:hideMark/>
                </w:tcPr>
                <w:p w14:paraId="5990DF2E" w14:textId="77777777" w:rsidR="00862EA5" w:rsidRPr="0079778A" w:rsidRDefault="00862EA5" w:rsidP="00862EA5">
                  <w:pPr>
                    <w:rPr>
                      <w:rFonts w:ascii="Arial" w:hAnsi="Arial" w:cs="Arial"/>
                      <w:color w:val="000000"/>
                      <w:sz w:val="18"/>
                      <w:szCs w:val="17"/>
                    </w:rPr>
                  </w:pPr>
                  <w:r w:rsidRPr="0079778A">
                    <w:rPr>
                      <w:rFonts w:ascii="Arial" w:hAnsi="Arial" w:cs="Arial"/>
                      <w:color w:val="000000"/>
                      <w:sz w:val="18"/>
                      <w:szCs w:val="17"/>
                    </w:rPr>
                    <w:t>University</w:t>
                  </w:r>
                </w:p>
              </w:tc>
              <w:tc>
                <w:tcPr>
                  <w:tcW w:w="317" w:type="pct"/>
                  <w:tcBorders>
                    <w:top w:val="nil"/>
                    <w:left w:val="nil"/>
                    <w:bottom w:val="single" w:sz="4" w:space="0" w:color="BFBFBF" w:themeColor="background2"/>
                    <w:right w:val="nil"/>
                  </w:tcBorders>
                  <w:shd w:val="clear" w:color="auto" w:fill="auto"/>
                  <w:textDirection w:val="btLr"/>
                  <w:vAlign w:val="bottom"/>
                  <w:hideMark/>
                </w:tcPr>
                <w:p w14:paraId="25CEBDBB" w14:textId="77777777" w:rsidR="00862EA5" w:rsidRPr="0079778A" w:rsidRDefault="00862EA5" w:rsidP="00862EA5">
                  <w:pPr>
                    <w:rPr>
                      <w:rFonts w:ascii="Arial" w:hAnsi="Arial" w:cs="Arial"/>
                      <w:color w:val="000000"/>
                      <w:sz w:val="18"/>
                      <w:szCs w:val="17"/>
                    </w:rPr>
                  </w:pPr>
                  <w:r w:rsidRPr="0079778A">
                    <w:rPr>
                      <w:rFonts w:ascii="Arial" w:hAnsi="Arial" w:cs="Arial"/>
                      <w:color w:val="000000"/>
                      <w:sz w:val="18"/>
                      <w:szCs w:val="17"/>
                    </w:rPr>
                    <w:t>TAFE</w:t>
                  </w:r>
                </w:p>
              </w:tc>
              <w:tc>
                <w:tcPr>
                  <w:tcW w:w="317" w:type="pct"/>
                  <w:tcBorders>
                    <w:top w:val="nil"/>
                    <w:left w:val="nil"/>
                    <w:bottom w:val="single" w:sz="4" w:space="0" w:color="BFBFBF" w:themeColor="background2"/>
                    <w:right w:val="nil"/>
                  </w:tcBorders>
                  <w:shd w:val="clear" w:color="auto" w:fill="auto"/>
                  <w:textDirection w:val="btLr"/>
                  <w:vAlign w:val="bottom"/>
                  <w:hideMark/>
                </w:tcPr>
                <w:p w14:paraId="0751767E" w14:textId="7494B57D" w:rsidR="00862EA5" w:rsidRPr="0079778A" w:rsidRDefault="00862EA5" w:rsidP="00862EA5">
                  <w:pPr>
                    <w:rPr>
                      <w:rFonts w:ascii="Arial" w:hAnsi="Arial" w:cs="Arial"/>
                      <w:color w:val="000000"/>
                      <w:sz w:val="18"/>
                      <w:szCs w:val="17"/>
                    </w:rPr>
                  </w:pPr>
                  <w:r w:rsidRPr="0079778A">
                    <w:rPr>
                      <w:rFonts w:ascii="Arial" w:hAnsi="Arial" w:cs="Arial"/>
                      <w:color w:val="000000"/>
                      <w:sz w:val="18"/>
                      <w:szCs w:val="17"/>
                    </w:rPr>
                    <w:t xml:space="preserve">Education </w:t>
                  </w:r>
                  <w:proofErr w:type="spellStart"/>
                  <w:r w:rsidRPr="0079778A">
                    <w:rPr>
                      <w:rFonts w:ascii="Arial" w:hAnsi="Arial" w:cs="Arial"/>
                      <w:color w:val="000000"/>
                      <w:sz w:val="18"/>
                      <w:szCs w:val="17"/>
                    </w:rPr>
                    <w:t>n.e.c</w:t>
                  </w:r>
                  <w:proofErr w:type="spellEnd"/>
                  <w:r w:rsidRPr="0079778A">
                    <w:rPr>
                      <w:rFonts w:ascii="Arial" w:hAnsi="Arial" w:cs="Arial"/>
                      <w:color w:val="000000"/>
                      <w:sz w:val="18"/>
                      <w:szCs w:val="17"/>
                    </w:rPr>
                    <w:t>.</w:t>
                  </w:r>
                </w:p>
              </w:tc>
              <w:tc>
                <w:tcPr>
                  <w:tcW w:w="317" w:type="pct"/>
                  <w:tcBorders>
                    <w:top w:val="nil"/>
                    <w:left w:val="nil"/>
                    <w:bottom w:val="single" w:sz="4" w:space="0" w:color="BFBFBF" w:themeColor="background2"/>
                    <w:right w:val="nil"/>
                  </w:tcBorders>
                  <w:shd w:val="clear" w:color="auto" w:fill="F2F2F2" w:themeFill="accent4"/>
                  <w:textDirection w:val="btLr"/>
                  <w:vAlign w:val="bottom"/>
                  <w:hideMark/>
                </w:tcPr>
                <w:p w14:paraId="5B3B8528" w14:textId="77777777" w:rsidR="00862EA5" w:rsidRPr="0079778A" w:rsidRDefault="00862EA5" w:rsidP="00862EA5">
                  <w:pPr>
                    <w:rPr>
                      <w:rFonts w:ascii="Arial" w:hAnsi="Arial" w:cs="Arial"/>
                      <w:color w:val="000000"/>
                      <w:sz w:val="18"/>
                      <w:szCs w:val="17"/>
                    </w:rPr>
                  </w:pPr>
                  <w:r w:rsidRPr="0079778A">
                    <w:rPr>
                      <w:rFonts w:ascii="Arial" w:hAnsi="Arial" w:cs="Arial"/>
                      <w:color w:val="000000"/>
                      <w:sz w:val="18"/>
                      <w:szCs w:val="17"/>
                    </w:rPr>
                    <w:t>Aged care</w:t>
                  </w:r>
                </w:p>
              </w:tc>
              <w:tc>
                <w:tcPr>
                  <w:tcW w:w="317" w:type="pct"/>
                  <w:tcBorders>
                    <w:top w:val="nil"/>
                    <w:left w:val="nil"/>
                    <w:bottom w:val="single" w:sz="4" w:space="0" w:color="BFBFBF" w:themeColor="background2"/>
                    <w:right w:val="nil"/>
                  </w:tcBorders>
                  <w:shd w:val="clear" w:color="auto" w:fill="F2F2F2" w:themeFill="accent4"/>
                  <w:textDirection w:val="btLr"/>
                  <w:vAlign w:val="bottom"/>
                  <w:hideMark/>
                </w:tcPr>
                <w:p w14:paraId="15703104" w14:textId="77777777" w:rsidR="00862EA5" w:rsidRPr="0079778A" w:rsidRDefault="00862EA5" w:rsidP="00862EA5">
                  <w:pPr>
                    <w:rPr>
                      <w:rFonts w:ascii="Arial" w:hAnsi="Arial" w:cs="Arial"/>
                      <w:color w:val="000000"/>
                      <w:sz w:val="18"/>
                      <w:szCs w:val="17"/>
                    </w:rPr>
                  </w:pPr>
                  <w:proofErr w:type="spellStart"/>
                  <w:r w:rsidRPr="0079778A">
                    <w:rPr>
                      <w:rFonts w:ascii="Arial" w:hAnsi="Arial" w:cs="Arial"/>
                      <w:color w:val="000000"/>
                      <w:sz w:val="18"/>
                      <w:szCs w:val="17"/>
                    </w:rPr>
                    <w:t>DSP</w:t>
                  </w:r>
                  <w:proofErr w:type="spellEnd"/>
                </w:p>
              </w:tc>
              <w:tc>
                <w:tcPr>
                  <w:tcW w:w="317" w:type="pct"/>
                  <w:tcBorders>
                    <w:top w:val="nil"/>
                    <w:left w:val="nil"/>
                    <w:bottom w:val="single" w:sz="4" w:space="0" w:color="BFBFBF" w:themeColor="background2"/>
                    <w:right w:val="nil"/>
                  </w:tcBorders>
                  <w:shd w:val="clear" w:color="auto" w:fill="F2F2F2" w:themeFill="accent4"/>
                  <w:textDirection w:val="btLr"/>
                  <w:vAlign w:val="bottom"/>
                  <w:hideMark/>
                </w:tcPr>
                <w:p w14:paraId="0C1525FF" w14:textId="77777777" w:rsidR="00862EA5" w:rsidRPr="0079778A" w:rsidRDefault="00862EA5" w:rsidP="00862EA5">
                  <w:pPr>
                    <w:rPr>
                      <w:rFonts w:ascii="Arial" w:hAnsi="Arial" w:cs="Arial"/>
                      <w:color w:val="000000"/>
                      <w:sz w:val="18"/>
                      <w:szCs w:val="17"/>
                    </w:rPr>
                  </w:pPr>
                  <w:r w:rsidRPr="0079778A">
                    <w:rPr>
                      <w:rFonts w:ascii="Arial" w:hAnsi="Arial" w:cs="Arial"/>
                      <w:color w:val="000000"/>
                      <w:sz w:val="18"/>
                      <w:szCs w:val="17"/>
                    </w:rPr>
                    <w:t>Age Pension</w:t>
                  </w:r>
                </w:p>
              </w:tc>
              <w:tc>
                <w:tcPr>
                  <w:tcW w:w="317" w:type="pct"/>
                  <w:tcBorders>
                    <w:top w:val="nil"/>
                    <w:left w:val="nil"/>
                    <w:bottom w:val="single" w:sz="4" w:space="0" w:color="BFBFBF" w:themeColor="background2"/>
                    <w:right w:val="nil"/>
                  </w:tcBorders>
                  <w:shd w:val="clear" w:color="auto" w:fill="F2F2F2" w:themeFill="accent4"/>
                  <w:textDirection w:val="btLr"/>
                  <w:vAlign w:val="bottom"/>
                  <w:hideMark/>
                </w:tcPr>
                <w:p w14:paraId="225F5C50" w14:textId="77777777" w:rsidR="00862EA5" w:rsidRPr="0079778A" w:rsidRDefault="00862EA5" w:rsidP="00862EA5">
                  <w:pPr>
                    <w:rPr>
                      <w:rFonts w:ascii="Arial" w:hAnsi="Arial" w:cs="Arial"/>
                      <w:color w:val="000000"/>
                      <w:sz w:val="18"/>
                      <w:szCs w:val="17"/>
                    </w:rPr>
                  </w:pPr>
                  <w:proofErr w:type="spellStart"/>
                  <w:r w:rsidRPr="0079778A">
                    <w:rPr>
                      <w:rFonts w:ascii="Arial" w:hAnsi="Arial" w:cs="Arial"/>
                      <w:color w:val="000000"/>
                      <w:sz w:val="18"/>
                      <w:szCs w:val="17"/>
                    </w:rPr>
                    <w:t>FTB</w:t>
                  </w:r>
                  <w:proofErr w:type="spellEnd"/>
                  <w:r w:rsidRPr="0079778A">
                    <w:rPr>
                      <w:rFonts w:ascii="Arial" w:hAnsi="Arial" w:cs="Arial"/>
                      <w:color w:val="000000"/>
                      <w:sz w:val="18"/>
                      <w:szCs w:val="17"/>
                    </w:rPr>
                    <w:t xml:space="preserve"> (</w:t>
                  </w:r>
                  <w:proofErr w:type="spellStart"/>
                  <w:r w:rsidRPr="0079778A">
                    <w:rPr>
                      <w:rFonts w:ascii="Arial" w:hAnsi="Arial" w:cs="Arial"/>
                      <w:color w:val="000000"/>
                      <w:sz w:val="18"/>
                      <w:szCs w:val="17"/>
                    </w:rPr>
                    <w:t>A+B</w:t>
                  </w:r>
                  <w:proofErr w:type="spellEnd"/>
                  <w:r w:rsidRPr="0079778A">
                    <w:rPr>
                      <w:rFonts w:ascii="Arial" w:hAnsi="Arial" w:cs="Arial"/>
                      <w:color w:val="000000"/>
                      <w:sz w:val="18"/>
                      <w:szCs w:val="17"/>
                    </w:rPr>
                    <w:t>)</w:t>
                  </w:r>
                </w:p>
              </w:tc>
            </w:tr>
            <w:tr w:rsidR="00862EA5" w:rsidRPr="00090054" w14:paraId="7ACEB8DF" w14:textId="77777777" w:rsidTr="00E31836">
              <w:trPr>
                <w:trHeight w:val="285"/>
              </w:trPr>
              <w:tc>
                <w:tcPr>
                  <w:tcW w:w="973" w:type="pct"/>
                  <w:tcBorders>
                    <w:top w:val="single" w:sz="4" w:space="0" w:color="BFBFBF" w:themeColor="background2"/>
                    <w:left w:val="nil"/>
                    <w:bottom w:val="nil"/>
                    <w:right w:val="nil"/>
                  </w:tcBorders>
                  <w:shd w:val="clear" w:color="auto" w:fill="auto"/>
                  <w:tcMar>
                    <w:left w:w="0" w:type="dxa"/>
                  </w:tcMar>
                  <w:vAlign w:val="bottom"/>
                  <w:hideMark/>
                </w:tcPr>
                <w:p w14:paraId="29011DE5"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Temporary (Student)</w:t>
                  </w:r>
                </w:p>
              </w:tc>
              <w:tc>
                <w:tcPr>
                  <w:tcW w:w="221" w:type="pct"/>
                  <w:tcBorders>
                    <w:top w:val="single" w:sz="4" w:space="0" w:color="BFBFBF" w:themeColor="background2"/>
                    <w:left w:val="nil"/>
                    <w:bottom w:val="nil"/>
                    <w:right w:val="nil"/>
                  </w:tcBorders>
                  <w:shd w:val="clear" w:color="auto" w:fill="F2F2F2" w:themeFill="accent4"/>
                  <w:noWrap/>
                  <w:vAlign w:val="bottom"/>
                  <w:hideMark/>
                </w:tcPr>
                <w:p w14:paraId="2AE4AE6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F2F2F2" w:themeFill="accent4"/>
                  <w:noWrap/>
                  <w:vAlign w:val="bottom"/>
                  <w:hideMark/>
                </w:tcPr>
                <w:p w14:paraId="2203D24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w:t>
                  </w:r>
                  <w:r w:rsidRPr="00090054">
                    <w:rPr>
                      <w:rFonts w:ascii="Arial" w:hAnsi="Arial" w:cs="Arial"/>
                      <w:color w:val="000000"/>
                      <w:sz w:val="17"/>
                      <w:szCs w:val="17"/>
                    </w:rPr>
                    <w:t>0</w:t>
                  </w:r>
                </w:p>
              </w:tc>
              <w:tc>
                <w:tcPr>
                  <w:tcW w:w="317" w:type="pct"/>
                  <w:tcBorders>
                    <w:top w:val="single" w:sz="4" w:space="0" w:color="BFBFBF" w:themeColor="background2"/>
                    <w:left w:val="nil"/>
                    <w:bottom w:val="nil"/>
                    <w:right w:val="nil"/>
                  </w:tcBorders>
                  <w:shd w:val="clear" w:color="auto" w:fill="F2F2F2" w:themeFill="accent4"/>
                  <w:noWrap/>
                  <w:vAlign w:val="bottom"/>
                  <w:hideMark/>
                </w:tcPr>
                <w:p w14:paraId="07A6C95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F2F2F2" w:themeFill="accent4"/>
                  <w:noWrap/>
                  <w:vAlign w:val="bottom"/>
                  <w:hideMark/>
                </w:tcPr>
                <w:p w14:paraId="2487808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auto"/>
                  <w:noWrap/>
                  <w:vAlign w:val="bottom"/>
                  <w:hideMark/>
                </w:tcPr>
                <w:p w14:paraId="7D5B688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auto"/>
                  <w:noWrap/>
                  <w:vAlign w:val="bottom"/>
                  <w:hideMark/>
                </w:tcPr>
                <w:p w14:paraId="36C6E66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auto"/>
                  <w:noWrap/>
                  <w:vAlign w:val="bottom"/>
                  <w:hideMark/>
                </w:tcPr>
                <w:p w14:paraId="0782D18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auto"/>
                  <w:noWrap/>
                  <w:vAlign w:val="bottom"/>
                  <w:hideMark/>
                </w:tcPr>
                <w:p w14:paraId="40ACA0B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auto"/>
                  <w:noWrap/>
                  <w:vAlign w:val="bottom"/>
                  <w:hideMark/>
                </w:tcPr>
                <w:p w14:paraId="399DD48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F2F2F2" w:themeFill="accent4"/>
                  <w:noWrap/>
                  <w:vAlign w:val="bottom"/>
                  <w:hideMark/>
                </w:tcPr>
                <w:p w14:paraId="76EE652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F2F2F2" w:themeFill="accent4"/>
                  <w:noWrap/>
                  <w:vAlign w:val="bottom"/>
                  <w:hideMark/>
                </w:tcPr>
                <w:p w14:paraId="32AA7E0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F2F2F2" w:themeFill="accent4"/>
                  <w:noWrap/>
                  <w:vAlign w:val="bottom"/>
                  <w:hideMark/>
                </w:tcPr>
                <w:p w14:paraId="51B1A0B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single" w:sz="4" w:space="0" w:color="BFBFBF" w:themeColor="background2"/>
                    <w:left w:val="nil"/>
                    <w:bottom w:val="nil"/>
                    <w:right w:val="nil"/>
                  </w:tcBorders>
                  <w:shd w:val="clear" w:color="auto" w:fill="F2F2F2" w:themeFill="accent4"/>
                  <w:noWrap/>
                  <w:vAlign w:val="bottom"/>
                  <w:hideMark/>
                </w:tcPr>
                <w:p w14:paraId="266E917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r>
            <w:tr w:rsidR="00862EA5" w:rsidRPr="00090054" w14:paraId="63B5FB11" w14:textId="77777777" w:rsidTr="00E31836">
              <w:trPr>
                <w:trHeight w:val="285"/>
              </w:trPr>
              <w:tc>
                <w:tcPr>
                  <w:tcW w:w="973" w:type="pct"/>
                  <w:tcBorders>
                    <w:top w:val="nil"/>
                    <w:left w:val="nil"/>
                    <w:bottom w:val="nil"/>
                    <w:right w:val="nil"/>
                  </w:tcBorders>
                  <w:shd w:val="clear" w:color="auto" w:fill="auto"/>
                  <w:tcMar>
                    <w:left w:w="0" w:type="dxa"/>
                  </w:tcMar>
                  <w:vAlign w:val="bottom"/>
                  <w:hideMark/>
                </w:tcPr>
                <w:p w14:paraId="679749E1" w14:textId="77777777" w:rsidR="00862EA5" w:rsidRPr="00862EA5" w:rsidRDefault="00862EA5" w:rsidP="00862EA5">
                  <w:pPr>
                    <w:ind w:right="-113"/>
                    <w:rPr>
                      <w:rFonts w:ascii="Arial" w:hAnsi="Arial" w:cs="Arial"/>
                      <w:i/>
                      <w:iCs/>
                      <w:color w:val="000000"/>
                      <w:spacing w:val="-6"/>
                      <w:sz w:val="18"/>
                      <w:szCs w:val="17"/>
                    </w:rPr>
                  </w:pPr>
                  <w:r w:rsidRPr="00862EA5">
                    <w:rPr>
                      <w:rFonts w:ascii="Arial" w:hAnsi="Arial" w:cs="Arial"/>
                      <w:i/>
                      <w:iCs/>
                      <w:color w:val="000000"/>
                      <w:spacing w:val="-6"/>
                      <w:sz w:val="18"/>
                      <w:szCs w:val="17"/>
                    </w:rPr>
                    <w:t>Temporary (Skilled)</w:t>
                  </w:r>
                </w:p>
              </w:tc>
              <w:tc>
                <w:tcPr>
                  <w:tcW w:w="221" w:type="pct"/>
                  <w:tcBorders>
                    <w:top w:val="nil"/>
                    <w:left w:val="nil"/>
                    <w:bottom w:val="nil"/>
                    <w:right w:val="nil"/>
                  </w:tcBorders>
                  <w:shd w:val="clear" w:color="auto" w:fill="F2F2F2" w:themeFill="accent4"/>
                  <w:noWrap/>
                  <w:vAlign w:val="bottom"/>
                  <w:hideMark/>
                </w:tcPr>
                <w:p w14:paraId="31FA3B2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67BBBE5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288165B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07282F7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2BB0D59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39FF165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0A09C81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344D560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15E9E4D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48FD02F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2D66B48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5828D59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319607C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r>
            <w:tr w:rsidR="00862EA5" w:rsidRPr="00090054" w14:paraId="6DB0C3BB" w14:textId="77777777" w:rsidTr="00E31836">
              <w:trPr>
                <w:trHeight w:val="285"/>
              </w:trPr>
              <w:tc>
                <w:tcPr>
                  <w:tcW w:w="973" w:type="pct"/>
                  <w:tcBorders>
                    <w:top w:val="nil"/>
                    <w:left w:val="nil"/>
                    <w:bottom w:val="nil"/>
                    <w:right w:val="nil"/>
                  </w:tcBorders>
                  <w:shd w:val="clear" w:color="auto" w:fill="auto"/>
                  <w:tcMar>
                    <w:left w:w="0" w:type="dxa"/>
                  </w:tcMar>
                  <w:vAlign w:val="bottom"/>
                  <w:hideMark/>
                </w:tcPr>
                <w:p w14:paraId="576DB2D6"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Temporary (Visitor)</w:t>
                  </w:r>
                </w:p>
              </w:tc>
              <w:tc>
                <w:tcPr>
                  <w:tcW w:w="221" w:type="pct"/>
                  <w:tcBorders>
                    <w:top w:val="nil"/>
                    <w:left w:val="nil"/>
                    <w:bottom w:val="nil"/>
                    <w:right w:val="nil"/>
                  </w:tcBorders>
                  <w:shd w:val="clear" w:color="auto" w:fill="F2F2F2" w:themeFill="accent4"/>
                  <w:noWrap/>
                  <w:vAlign w:val="bottom"/>
                  <w:hideMark/>
                </w:tcPr>
                <w:p w14:paraId="267298A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1557218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4AACF56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684E67D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22F1DE7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33F0931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2F487A2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0A821F7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3CFE5CD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053C95E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0050553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24E176E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789B023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r>
            <w:tr w:rsidR="00862EA5" w:rsidRPr="00090054" w14:paraId="53659F02" w14:textId="77777777" w:rsidTr="00E31836">
              <w:trPr>
                <w:trHeight w:val="480"/>
              </w:trPr>
              <w:tc>
                <w:tcPr>
                  <w:tcW w:w="973" w:type="pct"/>
                  <w:tcBorders>
                    <w:top w:val="nil"/>
                    <w:left w:val="nil"/>
                    <w:bottom w:val="nil"/>
                    <w:right w:val="nil"/>
                  </w:tcBorders>
                  <w:shd w:val="clear" w:color="auto" w:fill="auto"/>
                  <w:tcMar>
                    <w:left w:w="0" w:type="dxa"/>
                  </w:tcMar>
                  <w:vAlign w:val="bottom"/>
                  <w:hideMark/>
                </w:tcPr>
                <w:p w14:paraId="3151CF5A"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Temporary (Working Holiday Maker)</w:t>
                  </w:r>
                </w:p>
              </w:tc>
              <w:tc>
                <w:tcPr>
                  <w:tcW w:w="221" w:type="pct"/>
                  <w:tcBorders>
                    <w:top w:val="nil"/>
                    <w:left w:val="nil"/>
                    <w:bottom w:val="nil"/>
                    <w:right w:val="nil"/>
                  </w:tcBorders>
                  <w:shd w:val="clear" w:color="auto" w:fill="F2F2F2" w:themeFill="accent4"/>
                  <w:noWrap/>
                  <w:vAlign w:val="bottom"/>
                  <w:hideMark/>
                </w:tcPr>
                <w:p w14:paraId="2A8C714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68E1C85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38CFA9D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11B4719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527622F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1929372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5D35949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6B91E18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5687051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14DB0A9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3232F8E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6883CE3F"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238C2B4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r>
            <w:tr w:rsidR="00862EA5" w:rsidRPr="00090054" w14:paraId="06F4A26C" w14:textId="77777777" w:rsidTr="00E31836">
              <w:trPr>
                <w:trHeight w:val="285"/>
              </w:trPr>
              <w:tc>
                <w:tcPr>
                  <w:tcW w:w="973" w:type="pct"/>
                  <w:tcBorders>
                    <w:top w:val="nil"/>
                    <w:left w:val="nil"/>
                    <w:bottom w:val="nil"/>
                    <w:right w:val="nil"/>
                  </w:tcBorders>
                  <w:shd w:val="clear" w:color="auto" w:fill="auto"/>
                  <w:tcMar>
                    <w:left w:w="0" w:type="dxa"/>
                  </w:tcMar>
                  <w:vAlign w:val="bottom"/>
                  <w:hideMark/>
                </w:tcPr>
                <w:p w14:paraId="7C91E37E"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Temporary (Other)</w:t>
                  </w:r>
                </w:p>
              </w:tc>
              <w:tc>
                <w:tcPr>
                  <w:tcW w:w="221" w:type="pct"/>
                  <w:tcBorders>
                    <w:top w:val="nil"/>
                    <w:left w:val="nil"/>
                    <w:bottom w:val="nil"/>
                    <w:right w:val="nil"/>
                  </w:tcBorders>
                  <w:shd w:val="clear" w:color="auto" w:fill="F2F2F2" w:themeFill="accent4"/>
                  <w:noWrap/>
                  <w:vAlign w:val="bottom"/>
                  <w:hideMark/>
                </w:tcPr>
                <w:p w14:paraId="03D15BD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11BC7BA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06E092E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706F9A1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0476D10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5D3DB24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22ECA17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6AFA0B2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auto"/>
                  <w:noWrap/>
                  <w:vAlign w:val="bottom"/>
                  <w:hideMark/>
                </w:tcPr>
                <w:p w14:paraId="158A72E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7B66769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24E11A1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6AB2888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c>
                <w:tcPr>
                  <w:tcW w:w="317" w:type="pct"/>
                  <w:tcBorders>
                    <w:top w:val="nil"/>
                    <w:left w:val="nil"/>
                    <w:bottom w:val="nil"/>
                    <w:right w:val="nil"/>
                  </w:tcBorders>
                  <w:shd w:val="clear" w:color="auto" w:fill="F2F2F2" w:themeFill="accent4"/>
                  <w:noWrap/>
                  <w:vAlign w:val="bottom"/>
                  <w:hideMark/>
                </w:tcPr>
                <w:p w14:paraId="5E2D326F"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0.00</w:t>
                  </w:r>
                </w:p>
              </w:tc>
            </w:tr>
            <w:tr w:rsidR="00862EA5" w:rsidRPr="00090054" w14:paraId="40ABB345" w14:textId="77777777" w:rsidTr="00E31836">
              <w:trPr>
                <w:trHeight w:val="285"/>
              </w:trPr>
              <w:tc>
                <w:tcPr>
                  <w:tcW w:w="973" w:type="pct"/>
                  <w:tcBorders>
                    <w:top w:val="nil"/>
                    <w:left w:val="nil"/>
                    <w:bottom w:val="nil"/>
                    <w:right w:val="nil"/>
                  </w:tcBorders>
                  <w:shd w:val="clear" w:color="auto" w:fill="auto"/>
                  <w:tcMar>
                    <w:left w:w="0" w:type="dxa"/>
                  </w:tcMar>
                  <w:vAlign w:val="bottom"/>
                  <w:hideMark/>
                </w:tcPr>
                <w:p w14:paraId="7207B165"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New Zealand citizens</w:t>
                  </w:r>
                </w:p>
              </w:tc>
              <w:tc>
                <w:tcPr>
                  <w:tcW w:w="221" w:type="pct"/>
                  <w:tcBorders>
                    <w:top w:val="nil"/>
                    <w:left w:val="nil"/>
                    <w:bottom w:val="nil"/>
                    <w:right w:val="nil"/>
                  </w:tcBorders>
                  <w:shd w:val="clear" w:color="auto" w:fill="F2F2F2" w:themeFill="accent4"/>
                  <w:noWrap/>
                  <w:vAlign w:val="bottom"/>
                  <w:hideMark/>
                </w:tcPr>
                <w:p w14:paraId="2C2D575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627BA05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3BC3AC6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5CB9FA7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65CA2AD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0.15</w:t>
                  </w:r>
                </w:p>
              </w:tc>
              <w:tc>
                <w:tcPr>
                  <w:tcW w:w="317" w:type="pct"/>
                  <w:tcBorders>
                    <w:top w:val="nil"/>
                    <w:left w:val="nil"/>
                    <w:bottom w:val="nil"/>
                    <w:right w:val="nil"/>
                  </w:tcBorders>
                  <w:shd w:val="clear" w:color="auto" w:fill="auto"/>
                  <w:noWrap/>
                  <w:vAlign w:val="bottom"/>
                  <w:hideMark/>
                </w:tcPr>
                <w:p w14:paraId="17D9D61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0.63</w:t>
                  </w:r>
                </w:p>
              </w:tc>
              <w:tc>
                <w:tcPr>
                  <w:tcW w:w="317" w:type="pct"/>
                  <w:tcBorders>
                    <w:top w:val="nil"/>
                    <w:left w:val="nil"/>
                    <w:bottom w:val="nil"/>
                    <w:right w:val="nil"/>
                  </w:tcBorders>
                  <w:shd w:val="clear" w:color="auto" w:fill="auto"/>
                  <w:noWrap/>
                  <w:vAlign w:val="bottom"/>
                  <w:hideMark/>
                </w:tcPr>
                <w:p w14:paraId="1AF615D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0.14</w:t>
                  </w:r>
                </w:p>
              </w:tc>
              <w:tc>
                <w:tcPr>
                  <w:tcW w:w="317" w:type="pct"/>
                  <w:tcBorders>
                    <w:top w:val="nil"/>
                    <w:left w:val="nil"/>
                    <w:bottom w:val="nil"/>
                    <w:right w:val="nil"/>
                  </w:tcBorders>
                  <w:shd w:val="clear" w:color="auto" w:fill="auto"/>
                  <w:noWrap/>
                  <w:vAlign w:val="bottom"/>
                  <w:hideMark/>
                </w:tcPr>
                <w:p w14:paraId="6DB1379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0.05</w:t>
                  </w:r>
                </w:p>
              </w:tc>
              <w:tc>
                <w:tcPr>
                  <w:tcW w:w="317" w:type="pct"/>
                  <w:tcBorders>
                    <w:top w:val="nil"/>
                    <w:left w:val="nil"/>
                    <w:bottom w:val="nil"/>
                    <w:right w:val="nil"/>
                  </w:tcBorders>
                  <w:shd w:val="clear" w:color="auto" w:fill="auto"/>
                  <w:noWrap/>
                  <w:vAlign w:val="bottom"/>
                  <w:hideMark/>
                </w:tcPr>
                <w:p w14:paraId="42AD9AA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0.63</w:t>
                  </w:r>
                </w:p>
              </w:tc>
              <w:tc>
                <w:tcPr>
                  <w:tcW w:w="317" w:type="pct"/>
                  <w:tcBorders>
                    <w:top w:val="nil"/>
                    <w:left w:val="nil"/>
                    <w:bottom w:val="nil"/>
                    <w:right w:val="nil"/>
                  </w:tcBorders>
                  <w:shd w:val="clear" w:color="auto" w:fill="F2F2F2" w:themeFill="accent4"/>
                  <w:noWrap/>
                  <w:vAlign w:val="bottom"/>
                  <w:hideMark/>
                </w:tcPr>
                <w:p w14:paraId="1913D95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0.23</w:t>
                  </w:r>
                </w:p>
              </w:tc>
              <w:tc>
                <w:tcPr>
                  <w:tcW w:w="317" w:type="pct"/>
                  <w:tcBorders>
                    <w:top w:val="nil"/>
                    <w:left w:val="nil"/>
                    <w:bottom w:val="nil"/>
                    <w:right w:val="nil"/>
                  </w:tcBorders>
                  <w:shd w:val="clear" w:color="auto" w:fill="F2F2F2" w:themeFill="accent4"/>
                  <w:noWrap/>
                  <w:vAlign w:val="bottom"/>
                  <w:hideMark/>
                </w:tcPr>
                <w:p w14:paraId="2986513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0.06</w:t>
                  </w:r>
                </w:p>
              </w:tc>
              <w:tc>
                <w:tcPr>
                  <w:tcW w:w="317" w:type="pct"/>
                  <w:tcBorders>
                    <w:top w:val="nil"/>
                    <w:left w:val="nil"/>
                    <w:bottom w:val="nil"/>
                    <w:right w:val="nil"/>
                  </w:tcBorders>
                  <w:shd w:val="clear" w:color="auto" w:fill="F2F2F2" w:themeFill="accent4"/>
                  <w:noWrap/>
                  <w:vAlign w:val="bottom"/>
                  <w:hideMark/>
                </w:tcPr>
                <w:p w14:paraId="20E6D76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52E1EF7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1DCCBAEA" w14:textId="77777777" w:rsidTr="00E31836">
              <w:trPr>
                <w:trHeight w:val="480"/>
              </w:trPr>
              <w:tc>
                <w:tcPr>
                  <w:tcW w:w="973" w:type="pct"/>
                  <w:tcBorders>
                    <w:top w:val="nil"/>
                    <w:left w:val="nil"/>
                    <w:bottom w:val="nil"/>
                    <w:right w:val="nil"/>
                  </w:tcBorders>
                  <w:shd w:val="clear" w:color="auto" w:fill="auto"/>
                  <w:tcMar>
                    <w:left w:w="0" w:type="dxa"/>
                  </w:tcMar>
                  <w:vAlign w:val="bottom"/>
                  <w:hideMark/>
                </w:tcPr>
                <w:p w14:paraId="16092327"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Skill (Points Tested)</w:t>
                  </w:r>
                </w:p>
              </w:tc>
              <w:tc>
                <w:tcPr>
                  <w:tcW w:w="221" w:type="pct"/>
                  <w:tcBorders>
                    <w:top w:val="nil"/>
                    <w:left w:val="nil"/>
                    <w:bottom w:val="nil"/>
                    <w:right w:val="nil"/>
                  </w:tcBorders>
                  <w:shd w:val="clear" w:color="auto" w:fill="F2F2F2" w:themeFill="accent4"/>
                  <w:noWrap/>
                  <w:vAlign w:val="bottom"/>
                  <w:hideMark/>
                </w:tcPr>
                <w:p w14:paraId="779654C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5D3F265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5AADCAF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585041E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19FCB1B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0.15</w:t>
                  </w:r>
                </w:p>
              </w:tc>
              <w:tc>
                <w:tcPr>
                  <w:tcW w:w="317" w:type="pct"/>
                  <w:tcBorders>
                    <w:top w:val="nil"/>
                    <w:left w:val="nil"/>
                    <w:bottom w:val="nil"/>
                    <w:right w:val="nil"/>
                  </w:tcBorders>
                  <w:shd w:val="clear" w:color="auto" w:fill="auto"/>
                  <w:noWrap/>
                  <w:vAlign w:val="bottom"/>
                  <w:hideMark/>
                </w:tcPr>
                <w:p w14:paraId="0E3A131F"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0.65</w:t>
                  </w:r>
                </w:p>
              </w:tc>
              <w:tc>
                <w:tcPr>
                  <w:tcW w:w="317" w:type="pct"/>
                  <w:tcBorders>
                    <w:top w:val="nil"/>
                    <w:left w:val="nil"/>
                    <w:bottom w:val="nil"/>
                    <w:right w:val="nil"/>
                  </w:tcBorders>
                  <w:shd w:val="clear" w:color="auto" w:fill="auto"/>
                  <w:noWrap/>
                  <w:vAlign w:val="bottom"/>
                  <w:hideMark/>
                </w:tcPr>
                <w:p w14:paraId="64FC3FB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0.31</w:t>
                  </w:r>
                </w:p>
              </w:tc>
              <w:tc>
                <w:tcPr>
                  <w:tcW w:w="317" w:type="pct"/>
                  <w:tcBorders>
                    <w:top w:val="nil"/>
                    <w:left w:val="nil"/>
                    <w:bottom w:val="nil"/>
                    <w:right w:val="nil"/>
                  </w:tcBorders>
                  <w:shd w:val="clear" w:color="auto" w:fill="auto"/>
                  <w:noWrap/>
                  <w:vAlign w:val="bottom"/>
                  <w:hideMark/>
                </w:tcPr>
                <w:p w14:paraId="3C26075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0.14</w:t>
                  </w:r>
                </w:p>
              </w:tc>
              <w:tc>
                <w:tcPr>
                  <w:tcW w:w="317" w:type="pct"/>
                  <w:tcBorders>
                    <w:top w:val="nil"/>
                    <w:left w:val="nil"/>
                    <w:bottom w:val="nil"/>
                    <w:right w:val="nil"/>
                  </w:tcBorders>
                  <w:shd w:val="clear" w:color="auto" w:fill="auto"/>
                  <w:noWrap/>
                  <w:vAlign w:val="bottom"/>
                  <w:hideMark/>
                </w:tcPr>
                <w:p w14:paraId="19F4214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0.65</w:t>
                  </w:r>
                </w:p>
              </w:tc>
              <w:tc>
                <w:tcPr>
                  <w:tcW w:w="317" w:type="pct"/>
                  <w:tcBorders>
                    <w:top w:val="nil"/>
                    <w:left w:val="nil"/>
                    <w:bottom w:val="nil"/>
                    <w:right w:val="nil"/>
                  </w:tcBorders>
                  <w:shd w:val="clear" w:color="auto" w:fill="F2F2F2" w:themeFill="accent4"/>
                  <w:noWrap/>
                  <w:vAlign w:val="bottom"/>
                  <w:hideMark/>
                </w:tcPr>
                <w:p w14:paraId="45AD224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0.21</w:t>
                  </w:r>
                </w:p>
              </w:tc>
              <w:tc>
                <w:tcPr>
                  <w:tcW w:w="317" w:type="pct"/>
                  <w:tcBorders>
                    <w:top w:val="nil"/>
                    <w:left w:val="nil"/>
                    <w:bottom w:val="nil"/>
                    <w:right w:val="nil"/>
                  </w:tcBorders>
                  <w:shd w:val="clear" w:color="auto" w:fill="F2F2F2" w:themeFill="accent4"/>
                  <w:noWrap/>
                  <w:vAlign w:val="bottom"/>
                  <w:hideMark/>
                </w:tcPr>
                <w:p w14:paraId="1E09630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0.01</w:t>
                  </w:r>
                </w:p>
              </w:tc>
              <w:tc>
                <w:tcPr>
                  <w:tcW w:w="317" w:type="pct"/>
                  <w:tcBorders>
                    <w:top w:val="nil"/>
                    <w:left w:val="nil"/>
                    <w:bottom w:val="nil"/>
                    <w:right w:val="nil"/>
                  </w:tcBorders>
                  <w:shd w:val="clear" w:color="auto" w:fill="F2F2F2" w:themeFill="accent4"/>
                  <w:noWrap/>
                  <w:vAlign w:val="bottom"/>
                  <w:hideMark/>
                </w:tcPr>
                <w:p w14:paraId="6927C2F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356FD1B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3161BE06" w14:textId="77777777" w:rsidTr="00E31836">
              <w:trPr>
                <w:trHeight w:val="480"/>
              </w:trPr>
              <w:tc>
                <w:tcPr>
                  <w:tcW w:w="973" w:type="pct"/>
                  <w:tcBorders>
                    <w:top w:val="nil"/>
                    <w:left w:val="nil"/>
                    <w:bottom w:val="nil"/>
                    <w:right w:val="nil"/>
                  </w:tcBorders>
                  <w:shd w:val="clear" w:color="auto" w:fill="auto"/>
                  <w:tcMar>
                    <w:left w:w="0" w:type="dxa"/>
                  </w:tcMar>
                  <w:vAlign w:val="bottom"/>
                  <w:hideMark/>
                </w:tcPr>
                <w:p w14:paraId="522B5249"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Skill (Employer Sponsored)</w:t>
                  </w:r>
                </w:p>
              </w:tc>
              <w:tc>
                <w:tcPr>
                  <w:tcW w:w="221" w:type="pct"/>
                  <w:tcBorders>
                    <w:top w:val="nil"/>
                    <w:left w:val="nil"/>
                    <w:bottom w:val="nil"/>
                    <w:right w:val="nil"/>
                  </w:tcBorders>
                  <w:shd w:val="clear" w:color="auto" w:fill="F2F2F2" w:themeFill="accent4"/>
                  <w:noWrap/>
                  <w:vAlign w:val="bottom"/>
                  <w:hideMark/>
                </w:tcPr>
                <w:p w14:paraId="6300ABF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2BD1D65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2C1940A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5FD2B14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30E7730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0.15</w:t>
                  </w:r>
                </w:p>
              </w:tc>
              <w:tc>
                <w:tcPr>
                  <w:tcW w:w="317" w:type="pct"/>
                  <w:tcBorders>
                    <w:top w:val="nil"/>
                    <w:left w:val="nil"/>
                    <w:bottom w:val="nil"/>
                    <w:right w:val="nil"/>
                  </w:tcBorders>
                  <w:shd w:val="clear" w:color="auto" w:fill="auto"/>
                  <w:noWrap/>
                  <w:vAlign w:val="bottom"/>
                  <w:hideMark/>
                </w:tcPr>
                <w:p w14:paraId="3A3531B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0.65</w:t>
                  </w:r>
                </w:p>
              </w:tc>
              <w:tc>
                <w:tcPr>
                  <w:tcW w:w="317" w:type="pct"/>
                  <w:tcBorders>
                    <w:top w:val="nil"/>
                    <w:left w:val="nil"/>
                    <w:bottom w:val="nil"/>
                    <w:right w:val="nil"/>
                  </w:tcBorders>
                  <w:shd w:val="clear" w:color="auto" w:fill="auto"/>
                  <w:noWrap/>
                  <w:vAlign w:val="bottom"/>
                  <w:hideMark/>
                </w:tcPr>
                <w:p w14:paraId="25C0B5E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0.31</w:t>
                  </w:r>
                </w:p>
              </w:tc>
              <w:tc>
                <w:tcPr>
                  <w:tcW w:w="317" w:type="pct"/>
                  <w:tcBorders>
                    <w:top w:val="nil"/>
                    <w:left w:val="nil"/>
                    <w:bottom w:val="nil"/>
                    <w:right w:val="nil"/>
                  </w:tcBorders>
                  <w:shd w:val="clear" w:color="auto" w:fill="auto"/>
                  <w:noWrap/>
                  <w:vAlign w:val="bottom"/>
                  <w:hideMark/>
                </w:tcPr>
                <w:p w14:paraId="6D0E83B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0.14</w:t>
                  </w:r>
                </w:p>
              </w:tc>
              <w:tc>
                <w:tcPr>
                  <w:tcW w:w="317" w:type="pct"/>
                  <w:tcBorders>
                    <w:top w:val="nil"/>
                    <w:left w:val="nil"/>
                    <w:bottom w:val="nil"/>
                    <w:right w:val="nil"/>
                  </w:tcBorders>
                  <w:shd w:val="clear" w:color="auto" w:fill="auto"/>
                  <w:noWrap/>
                  <w:vAlign w:val="bottom"/>
                  <w:hideMark/>
                </w:tcPr>
                <w:p w14:paraId="60E0749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0.65</w:t>
                  </w:r>
                </w:p>
              </w:tc>
              <w:tc>
                <w:tcPr>
                  <w:tcW w:w="317" w:type="pct"/>
                  <w:tcBorders>
                    <w:top w:val="nil"/>
                    <w:left w:val="nil"/>
                    <w:bottom w:val="nil"/>
                    <w:right w:val="nil"/>
                  </w:tcBorders>
                  <w:shd w:val="clear" w:color="auto" w:fill="F2F2F2" w:themeFill="accent4"/>
                  <w:noWrap/>
                  <w:vAlign w:val="bottom"/>
                  <w:hideMark/>
                </w:tcPr>
                <w:p w14:paraId="1DE5FF5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0.21</w:t>
                  </w:r>
                </w:p>
              </w:tc>
              <w:tc>
                <w:tcPr>
                  <w:tcW w:w="317" w:type="pct"/>
                  <w:tcBorders>
                    <w:top w:val="nil"/>
                    <w:left w:val="nil"/>
                    <w:bottom w:val="nil"/>
                    <w:right w:val="nil"/>
                  </w:tcBorders>
                  <w:shd w:val="clear" w:color="auto" w:fill="F2F2F2" w:themeFill="accent4"/>
                  <w:noWrap/>
                  <w:vAlign w:val="bottom"/>
                  <w:hideMark/>
                </w:tcPr>
                <w:p w14:paraId="1B81FD8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0.01</w:t>
                  </w:r>
                </w:p>
              </w:tc>
              <w:tc>
                <w:tcPr>
                  <w:tcW w:w="317" w:type="pct"/>
                  <w:tcBorders>
                    <w:top w:val="nil"/>
                    <w:left w:val="nil"/>
                    <w:bottom w:val="nil"/>
                    <w:right w:val="nil"/>
                  </w:tcBorders>
                  <w:shd w:val="clear" w:color="auto" w:fill="F2F2F2" w:themeFill="accent4"/>
                  <w:noWrap/>
                  <w:vAlign w:val="bottom"/>
                  <w:hideMark/>
                </w:tcPr>
                <w:p w14:paraId="64E7279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12E68AA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6E7854BA" w14:textId="77777777" w:rsidTr="00E31836">
              <w:trPr>
                <w:trHeight w:val="720"/>
              </w:trPr>
              <w:tc>
                <w:tcPr>
                  <w:tcW w:w="973" w:type="pct"/>
                  <w:tcBorders>
                    <w:top w:val="nil"/>
                    <w:left w:val="nil"/>
                    <w:bottom w:val="nil"/>
                    <w:right w:val="nil"/>
                  </w:tcBorders>
                  <w:shd w:val="clear" w:color="auto" w:fill="auto"/>
                  <w:tcMar>
                    <w:left w:w="0" w:type="dxa"/>
                  </w:tcMar>
                  <w:vAlign w:val="bottom"/>
                  <w:hideMark/>
                </w:tcPr>
                <w:p w14:paraId="0DC3BD1B"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Skill (Business Innovation and Investment)</w:t>
                  </w:r>
                </w:p>
              </w:tc>
              <w:tc>
                <w:tcPr>
                  <w:tcW w:w="221" w:type="pct"/>
                  <w:tcBorders>
                    <w:top w:val="nil"/>
                    <w:left w:val="nil"/>
                    <w:bottom w:val="nil"/>
                    <w:right w:val="nil"/>
                  </w:tcBorders>
                  <w:shd w:val="clear" w:color="auto" w:fill="F2F2F2" w:themeFill="accent4"/>
                  <w:noWrap/>
                  <w:vAlign w:val="bottom"/>
                  <w:hideMark/>
                </w:tcPr>
                <w:p w14:paraId="293A6EE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41BC7ED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7759B99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4830DEDF"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15E2D9C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0.15</w:t>
                  </w:r>
                </w:p>
              </w:tc>
              <w:tc>
                <w:tcPr>
                  <w:tcW w:w="317" w:type="pct"/>
                  <w:tcBorders>
                    <w:top w:val="nil"/>
                    <w:left w:val="nil"/>
                    <w:bottom w:val="nil"/>
                    <w:right w:val="nil"/>
                  </w:tcBorders>
                  <w:shd w:val="clear" w:color="auto" w:fill="auto"/>
                  <w:noWrap/>
                  <w:vAlign w:val="bottom"/>
                  <w:hideMark/>
                </w:tcPr>
                <w:p w14:paraId="3AC91C5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0.65</w:t>
                  </w:r>
                </w:p>
              </w:tc>
              <w:tc>
                <w:tcPr>
                  <w:tcW w:w="317" w:type="pct"/>
                  <w:tcBorders>
                    <w:top w:val="nil"/>
                    <w:left w:val="nil"/>
                    <w:bottom w:val="nil"/>
                    <w:right w:val="nil"/>
                  </w:tcBorders>
                  <w:shd w:val="clear" w:color="auto" w:fill="auto"/>
                  <w:noWrap/>
                  <w:vAlign w:val="bottom"/>
                  <w:hideMark/>
                </w:tcPr>
                <w:p w14:paraId="505194F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0.31</w:t>
                  </w:r>
                </w:p>
              </w:tc>
              <w:tc>
                <w:tcPr>
                  <w:tcW w:w="317" w:type="pct"/>
                  <w:tcBorders>
                    <w:top w:val="nil"/>
                    <w:left w:val="nil"/>
                    <w:bottom w:val="nil"/>
                    <w:right w:val="nil"/>
                  </w:tcBorders>
                  <w:shd w:val="clear" w:color="auto" w:fill="auto"/>
                  <w:noWrap/>
                  <w:vAlign w:val="bottom"/>
                  <w:hideMark/>
                </w:tcPr>
                <w:p w14:paraId="64CCB3A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0.14</w:t>
                  </w:r>
                </w:p>
              </w:tc>
              <w:tc>
                <w:tcPr>
                  <w:tcW w:w="317" w:type="pct"/>
                  <w:tcBorders>
                    <w:top w:val="nil"/>
                    <w:left w:val="nil"/>
                    <w:bottom w:val="nil"/>
                    <w:right w:val="nil"/>
                  </w:tcBorders>
                  <w:shd w:val="clear" w:color="auto" w:fill="auto"/>
                  <w:noWrap/>
                  <w:vAlign w:val="bottom"/>
                  <w:hideMark/>
                </w:tcPr>
                <w:p w14:paraId="1C13F08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0.65</w:t>
                  </w:r>
                </w:p>
              </w:tc>
              <w:tc>
                <w:tcPr>
                  <w:tcW w:w="317" w:type="pct"/>
                  <w:tcBorders>
                    <w:top w:val="nil"/>
                    <w:left w:val="nil"/>
                    <w:bottom w:val="nil"/>
                    <w:right w:val="nil"/>
                  </w:tcBorders>
                  <w:shd w:val="clear" w:color="auto" w:fill="F2F2F2" w:themeFill="accent4"/>
                  <w:noWrap/>
                  <w:vAlign w:val="bottom"/>
                  <w:hideMark/>
                </w:tcPr>
                <w:p w14:paraId="43FFE22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0.21</w:t>
                  </w:r>
                </w:p>
              </w:tc>
              <w:tc>
                <w:tcPr>
                  <w:tcW w:w="317" w:type="pct"/>
                  <w:tcBorders>
                    <w:top w:val="nil"/>
                    <w:left w:val="nil"/>
                    <w:bottom w:val="nil"/>
                    <w:right w:val="nil"/>
                  </w:tcBorders>
                  <w:shd w:val="clear" w:color="auto" w:fill="F2F2F2" w:themeFill="accent4"/>
                  <w:noWrap/>
                  <w:vAlign w:val="bottom"/>
                  <w:hideMark/>
                </w:tcPr>
                <w:p w14:paraId="4A93F45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0.01</w:t>
                  </w:r>
                </w:p>
              </w:tc>
              <w:tc>
                <w:tcPr>
                  <w:tcW w:w="317" w:type="pct"/>
                  <w:tcBorders>
                    <w:top w:val="nil"/>
                    <w:left w:val="nil"/>
                    <w:bottom w:val="nil"/>
                    <w:right w:val="nil"/>
                  </w:tcBorders>
                  <w:shd w:val="clear" w:color="auto" w:fill="F2F2F2" w:themeFill="accent4"/>
                  <w:noWrap/>
                  <w:vAlign w:val="bottom"/>
                  <w:hideMark/>
                </w:tcPr>
                <w:p w14:paraId="2910B4D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00F5BDA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0CB8F849" w14:textId="77777777" w:rsidTr="00E31836">
              <w:trPr>
                <w:trHeight w:val="480"/>
              </w:trPr>
              <w:tc>
                <w:tcPr>
                  <w:tcW w:w="973" w:type="pct"/>
                  <w:tcBorders>
                    <w:top w:val="nil"/>
                    <w:left w:val="nil"/>
                    <w:bottom w:val="nil"/>
                    <w:right w:val="nil"/>
                  </w:tcBorders>
                  <w:shd w:val="clear" w:color="auto" w:fill="auto"/>
                  <w:tcMar>
                    <w:left w:w="0" w:type="dxa"/>
                  </w:tcMar>
                  <w:vAlign w:val="bottom"/>
                  <w:hideMark/>
                </w:tcPr>
                <w:p w14:paraId="195746DB"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Skill (Other)</w:t>
                  </w:r>
                </w:p>
              </w:tc>
              <w:tc>
                <w:tcPr>
                  <w:tcW w:w="221" w:type="pct"/>
                  <w:tcBorders>
                    <w:top w:val="nil"/>
                    <w:left w:val="nil"/>
                    <w:bottom w:val="nil"/>
                    <w:right w:val="nil"/>
                  </w:tcBorders>
                  <w:shd w:val="clear" w:color="auto" w:fill="F2F2F2" w:themeFill="accent4"/>
                  <w:noWrap/>
                  <w:vAlign w:val="bottom"/>
                  <w:hideMark/>
                </w:tcPr>
                <w:p w14:paraId="4445F1F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4A6133C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0E0B397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5FA89FF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630C90E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0.15</w:t>
                  </w:r>
                </w:p>
              </w:tc>
              <w:tc>
                <w:tcPr>
                  <w:tcW w:w="317" w:type="pct"/>
                  <w:tcBorders>
                    <w:top w:val="nil"/>
                    <w:left w:val="nil"/>
                    <w:bottom w:val="nil"/>
                    <w:right w:val="nil"/>
                  </w:tcBorders>
                  <w:shd w:val="clear" w:color="auto" w:fill="auto"/>
                  <w:noWrap/>
                  <w:vAlign w:val="bottom"/>
                  <w:hideMark/>
                </w:tcPr>
                <w:p w14:paraId="741EE7A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0.65</w:t>
                  </w:r>
                </w:p>
              </w:tc>
              <w:tc>
                <w:tcPr>
                  <w:tcW w:w="317" w:type="pct"/>
                  <w:tcBorders>
                    <w:top w:val="nil"/>
                    <w:left w:val="nil"/>
                    <w:bottom w:val="nil"/>
                    <w:right w:val="nil"/>
                  </w:tcBorders>
                  <w:shd w:val="clear" w:color="auto" w:fill="auto"/>
                  <w:noWrap/>
                  <w:vAlign w:val="bottom"/>
                  <w:hideMark/>
                </w:tcPr>
                <w:p w14:paraId="60A991F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0.31</w:t>
                  </w:r>
                </w:p>
              </w:tc>
              <w:tc>
                <w:tcPr>
                  <w:tcW w:w="317" w:type="pct"/>
                  <w:tcBorders>
                    <w:top w:val="nil"/>
                    <w:left w:val="nil"/>
                    <w:bottom w:val="nil"/>
                    <w:right w:val="nil"/>
                  </w:tcBorders>
                  <w:shd w:val="clear" w:color="auto" w:fill="auto"/>
                  <w:noWrap/>
                  <w:vAlign w:val="bottom"/>
                  <w:hideMark/>
                </w:tcPr>
                <w:p w14:paraId="64516F4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0.14</w:t>
                  </w:r>
                </w:p>
              </w:tc>
              <w:tc>
                <w:tcPr>
                  <w:tcW w:w="317" w:type="pct"/>
                  <w:tcBorders>
                    <w:top w:val="nil"/>
                    <w:left w:val="nil"/>
                    <w:bottom w:val="nil"/>
                    <w:right w:val="nil"/>
                  </w:tcBorders>
                  <w:shd w:val="clear" w:color="auto" w:fill="auto"/>
                  <w:noWrap/>
                  <w:vAlign w:val="bottom"/>
                  <w:hideMark/>
                </w:tcPr>
                <w:p w14:paraId="232783C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0.65</w:t>
                  </w:r>
                </w:p>
              </w:tc>
              <w:tc>
                <w:tcPr>
                  <w:tcW w:w="317" w:type="pct"/>
                  <w:tcBorders>
                    <w:top w:val="nil"/>
                    <w:left w:val="nil"/>
                    <w:bottom w:val="nil"/>
                    <w:right w:val="nil"/>
                  </w:tcBorders>
                  <w:shd w:val="clear" w:color="auto" w:fill="F2F2F2" w:themeFill="accent4"/>
                  <w:noWrap/>
                  <w:vAlign w:val="bottom"/>
                  <w:hideMark/>
                </w:tcPr>
                <w:p w14:paraId="3DF7934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0.21</w:t>
                  </w:r>
                </w:p>
              </w:tc>
              <w:tc>
                <w:tcPr>
                  <w:tcW w:w="317" w:type="pct"/>
                  <w:tcBorders>
                    <w:top w:val="nil"/>
                    <w:left w:val="nil"/>
                    <w:bottom w:val="nil"/>
                    <w:right w:val="nil"/>
                  </w:tcBorders>
                  <w:shd w:val="clear" w:color="auto" w:fill="F2F2F2" w:themeFill="accent4"/>
                  <w:noWrap/>
                  <w:vAlign w:val="bottom"/>
                  <w:hideMark/>
                </w:tcPr>
                <w:p w14:paraId="5DDAF6A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0.01</w:t>
                  </w:r>
                </w:p>
              </w:tc>
              <w:tc>
                <w:tcPr>
                  <w:tcW w:w="317" w:type="pct"/>
                  <w:tcBorders>
                    <w:top w:val="nil"/>
                    <w:left w:val="nil"/>
                    <w:bottom w:val="nil"/>
                    <w:right w:val="nil"/>
                  </w:tcBorders>
                  <w:shd w:val="clear" w:color="auto" w:fill="F2F2F2" w:themeFill="accent4"/>
                  <w:noWrap/>
                  <w:vAlign w:val="bottom"/>
                  <w:hideMark/>
                </w:tcPr>
                <w:p w14:paraId="3434F39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6E71543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4AC06BAF" w14:textId="77777777" w:rsidTr="00E31836">
              <w:trPr>
                <w:trHeight w:val="480"/>
              </w:trPr>
              <w:tc>
                <w:tcPr>
                  <w:tcW w:w="973" w:type="pct"/>
                  <w:tcBorders>
                    <w:top w:val="nil"/>
                    <w:left w:val="nil"/>
                    <w:bottom w:val="nil"/>
                    <w:right w:val="nil"/>
                  </w:tcBorders>
                  <w:shd w:val="clear" w:color="auto" w:fill="auto"/>
                  <w:tcMar>
                    <w:left w:w="0" w:type="dxa"/>
                  </w:tcMar>
                  <w:vAlign w:val="bottom"/>
                  <w:hideMark/>
                </w:tcPr>
                <w:p w14:paraId="2F19B973"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Family (Partner)</w:t>
                  </w:r>
                </w:p>
              </w:tc>
              <w:tc>
                <w:tcPr>
                  <w:tcW w:w="221" w:type="pct"/>
                  <w:tcBorders>
                    <w:top w:val="nil"/>
                    <w:left w:val="nil"/>
                    <w:bottom w:val="nil"/>
                    <w:right w:val="nil"/>
                  </w:tcBorders>
                  <w:shd w:val="clear" w:color="auto" w:fill="F2F2F2" w:themeFill="accent4"/>
                  <w:noWrap/>
                  <w:vAlign w:val="bottom"/>
                  <w:hideMark/>
                </w:tcPr>
                <w:p w14:paraId="08EC3BB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69BB5AC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539778B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74FDC85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46FB614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0.17</w:t>
                  </w:r>
                </w:p>
              </w:tc>
              <w:tc>
                <w:tcPr>
                  <w:tcW w:w="317" w:type="pct"/>
                  <w:tcBorders>
                    <w:top w:val="nil"/>
                    <w:left w:val="nil"/>
                    <w:bottom w:val="nil"/>
                    <w:right w:val="nil"/>
                  </w:tcBorders>
                  <w:shd w:val="clear" w:color="auto" w:fill="auto"/>
                  <w:noWrap/>
                  <w:vAlign w:val="bottom"/>
                  <w:hideMark/>
                </w:tcPr>
                <w:p w14:paraId="34CF0EE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auto"/>
                  <w:noWrap/>
                  <w:vAlign w:val="bottom"/>
                  <w:hideMark/>
                </w:tcPr>
                <w:p w14:paraId="067B52F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0.18</w:t>
                  </w:r>
                </w:p>
              </w:tc>
              <w:tc>
                <w:tcPr>
                  <w:tcW w:w="317" w:type="pct"/>
                  <w:tcBorders>
                    <w:top w:val="nil"/>
                    <w:left w:val="nil"/>
                    <w:bottom w:val="nil"/>
                    <w:right w:val="nil"/>
                  </w:tcBorders>
                  <w:shd w:val="clear" w:color="auto" w:fill="auto"/>
                  <w:noWrap/>
                  <w:vAlign w:val="bottom"/>
                  <w:hideMark/>
                </w:tcPr>
                <w:p w14:paraId="4429A2A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0.22</w:t>
                  </w:r>
                </w:p>
              </w:tc>
              <w:tc>
                <w:tcPr>
                  <w:tcW w:w="317" w:type="pct"/>
                  <w:tcBorders>
                    <w:top w:val="nil"/>
                    <w:left w:val="nil"/>
                    <w:bottom w:val="nil"/>
                    <w:right w:val="nil"/>
                  </w:tcBorders>
                  <w:shd w:val="clear" w:color="auto" w:fill="auto"/>
                  <w:noWrap/>
                  <w:vAlign w:val="bottom"/>
                  <w:hideMark/>
                </w:tcPr>
                <w:p w14:paraId="0C52600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F2F2F2" w:themeFill="accent4"/>
                  <w:noWrap/>
                  <w:vAlign w:val="bottom"/>
                  <w:hideMark/>
                </w:tcPr>
                <w:p w14:paraId="4F3AA13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0.24</w:t>
                  </w:r>
                </w:p>
              </w:tc>
              <w:tc>
                <w:tcPr>
                  <w:tcW w:w="317" w:type="pct"/>
                  <w:tcBorders>
                    <w:top w:val="nil"/>
                    <w:left w:val="nil"/>
                    <w:bottom w:val="nil"/>
                    <w:right w:val="nil"/>
                  </w:tcBorders>
                  <w:shd w:val="clear" w:color="auto" w:fill="F2F2F2" w:themeFill="accent4"/>
                  <w:noWrap/>
                  <w:vAlign w:val="bottom"/>
                  <w:hideMark/>
                </w:tcPr>
                <w:p w14:paraId="1747AF6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0.02</w:t>
                  </w:r>
                </w:p>
              </w:tc>
              <w:tc>
                <w:tcPr>
                  <w:tcW w:w="317" w:type="pct"/>
                  <w:tcBorders>
                    <w:top w:val="nil"/>
                    <w:left w:val="nil"/>
                    <w:bottom w:val="nil"/>
                    <w:right w:val="nil"/>
                  </w:tcBorders>
                  <w:shd w:val="clear" w:color="auto" w:fill="F2F2F2" w:themeFill="accent4"/>
                  <w:noWrap/>
                  <w:vAlign w:val="bottom"/>
                  <w:hideMark/>
                </w:tcPr>
                <w:p w14:paraId="3421800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043A46F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0ADFF02C" w14:textId="77777777" w:rsidTr="00E31836">
              <w:trPr>
                <w:trHeight w:val="480"/>
              </w:trPr>
              <w:tc>
                <w:tcPr>
                  <w:tcW w:w="973" w:type="pct"/>
                  <w:tcBorders>
                    <w:top w:val="nil"/>
                    <w:left w:val="nil"/>
                    <w:bottom w:val="nil"/>
                    <w:right w:val="nil"/>
                  </w:tcBorders>
                  <w:shd w:val="clear" w:color="auto" w:fill="auto"/>
                  <w:tcMar>
                    <w:left w:w="0" w:type="dxa"/>
                  </w:tcMar>
                  <w:vAlign w:val="bottom"/>
                  <w:hideMark/>
                </w:tcPr>
                <w:p w14:paraId="52EFF423"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Family (Parent)</w:t>
                  </w:r>
                </w:p>
              </w:tc>
              <w:tc>
                <w:tcPr>
                  <w:tcW w:w="221" w:type="pct"/>
                  <w:tcBorders>
                    <w:top w:val="nil"/>
                    <w:left w:val="nil"/>
                    <w:bottom w:val="nil"/>
                    <w:right w:val="nil"/>
                  </w:tcBorders>
                  <w:shd w:val="clear" w:color="auto" w:fill="F2F2F2" w:themeFill="accent4"/>
                  <w:noWrap/>
                  <w:vAlign w:val="bottom"/>
                  <w:hideMark/>
                </w:tcPr>
                <w:p w14:paraId="5A75BB3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719BA79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7B78FC5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6B7536C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0AC41BEF"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0.17</w:t>
                  </w:r>
                </w:p>
              </w:tc>
              <w:tc>
                <w:tcPr>
                  <w:tcW w:w="317" w:type="pct"/>
                  <w:tcBorders>
                    <w:top w:val="nil"/>
                    <w:left w:val="nil"/>
                    <w:bottom w:val="nil"/>
                    <w:right w:val="nil"/>
                  </w:tcBorders>
                  <w:shd w:val="clear" w:color="auto" w:fill="auto"/>
                  <w:noWrap/>
                  <w:vAlign w:val="bottom"/>
                  <w:hideMark/>
                </w:tcPr>
                <w:p w14:paraId="207061F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auto"/>
                  <w:noWrap/>
                  <w:vAlign w:val="bottom"/>
                  <w:hideMark/>
                </w:tcPr>
                <w:p w14:paraId="126BE94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0.18</w:t>
                  </w:r>
                </w:p>
              </w:tc>
              <w:tc>
                <w:tcPr>
                  <w:tcW w:w="317" w:type="pct"/>
                  <w:tcBorders>
                    <w:top w:val="nil"/>
                    <w:left w:val="nil"/>
                    <w:bottom w:val="nil"/>
                    <w:right w:val="nil"/>
                  </w:tcBorders>
                  <w:shd w:val="clear" w:color="auto" w:fill="auto"/>
                  <w:noWrap/>
                  <w:vAlign w:val="bottom"/>
                  <w:hideMark/>
                </w:tcPr>
                <w:p w14:paraId="50E1DFE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0.22</w:t>
                  </w:r>
                </w:p>
              </w:tc>
              <w:tc>
                <w:tcPr>
                  <w:tcW w:w="317" w:type="pct"/>
                  <w:tcBorders>
                    <w:top w:val="nil"/>
                    <w:left w:val="nil"/>
                    <w:bottom w:val="nil"/>
                    <w:right w:val="nil"/>
                  </w:tcBorders>
                  <w:shd w:val="clear" w:color="auto" w:fill="auto"/>
                  <w:noWrap/>
                  <w:vAlign w:val="bottom"/>
                  <w:hideMark/>
                </w:tcPr>
                <w:p w14:paraId="04576BD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F2F2F2" w:themeFill="accent4"/>
                  <w:noWrap/>
                  <w:vAlign w:val="bottom"/>
                  <w:hideMark/>
                </w:tcPr>
                <w:p w14:paraId="28D12FE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0.24</w:t>
                  </w:r>
                </w:p>
              </w:tc>
              <w:tc>
                <w:tcPr>
                  <w:tcW w:w="317" w:type="pct"/>
                  <w:tcBorders>
                    <w:top w:val="nil"/>
                    <w:left w:val="nil"/>
                    <w:bottom w:val="nil"/>
                    <w:right w:val="nil"/>
                  </w:tcBorders>
                  <w:shd w:val="clear" w:color="auto" w:fill="F2F2F2" w:themeFill="accent4"/>
                  <w:noWrap/>
                  <w:vAlign w:val="bottom"/>
                  <w:hideMark/>
                </w:tcPr>
                <w:p w14:paraId="7C26D8F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0.02</w:t>
                  </w:r>
                </w:p>
              </w:tc>
              <w:tc>
                <w:tcPr>
                  <w:tcW w:w="317" w:type="pct"/>
                  <w:tcBorders>
                    <w:top w:val="nil"/>
                    <w:left w:val="nil"/>
                    <w:bottom w:val="nil"/>
                    <w:right w:val="nil"/>
                  </w:tcBorders>
                  <w:shd w:val="clear" w:color="auto" w:fill="F2F2F2" w:themeFill="accent4"/>
                  <w:noWrap/>
                  <w:vAlign w:val="bottom"/>
                  <w:hideMark/>
                </w:tcPr>
                <w:p w14:paraId="795DD90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205C2AB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2ADF6E08" w14:textId="77777777" w:rsidTr="00E31836">
              <w:trPr>
                <w:trHeight w:val="480"/>
              </w:trPr>
              <w:tc>
                <w:tcPr>
                  <w:tcW w:w="973" w:type="pct"/>
                  <w:tcBorders>
                    <w:top w:val="nil"/>
                    <w:left w:val="nil"/>
                    <w:bottom w:val="nil"/>
                    <w:right w:val="nil"/>
                  </w:tcBorders>
                  <w:shd w:val="clear" w:color="auto" w:fill="auto"/>
                  <w:tcMar>
                    <w:left w:w="0" w:type="dxa"/>
                  </w:tcMar>
                  <w:vAlign w:val="bottom"/>
                  <w:hideMark/>
                </w:tcPr>
                <w:p w14:paraId="4C0D9037"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Family (Dependent Child)</w:t>
                  </w:r>
                </w:p>
              </w:tc>
              <w:tc>
                <w:tcPr>
                  <w:tcW w:w="221" w:type="pct"/>
                  <w:tcBorders>
                    <w:top w:val="nil"/>
                    <w:left w:val="nil"/>
                    <w:bottom w:val="nil"/>
                    <w:right w:val="nil"/>
                  </w:tcBorders>
                  <w:shd w:val="clear" w:color="auto" w:fill="F2F2F2" w:themeFill="accent4"/>
                  <w:noWrap/>
                  <w:vAlign w:val="bottom"/>
                  <w:hideMark/>
                </w:tcPr>
                <w:p w14:paraId="3F626BB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3DCB2E3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36B99D1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09CB9D4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635C4E5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0.17</w:t>
                  </w:r>
                </w:p>
              </w:tc>
              <w:tc>
                <w:tcPr>
                  <w:tcW w:w="317" w:type="pct"/>
                  <w:tcBorders>
                    <w:top w:val="nil"/>
                    <w:left w:val="nil"/>
                    <w:bottom w:val="nil"/>
                    <w:right w:val="nil"/>
                  </w:tcBorders>
                  <w:shd w:val="clear" w:color="auto" w:fill="auto"/>
                  <w:noWrap/>
                  <w:vAlign w:val="bottom"/>
                  <w:hideMark/>
                </w:tcPr>
                <w:p w14:paraId="6735E18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auto"/>
                  <w:noWrap/>
                  <w:vAlign w:val="bottom"/>
                  <w:hideMark/>
                </w:tcPr>
                <w:p w14:paraId="191AD3C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0.18</w:t>
                  </w:r>
                </w:p>
              </w:tc>
              <w:tc>
                <w:tcPr>
                  <w:tcW w:w="317" w:type="pct"/>
                  <w:tcBorders>
                    <w:top w:val="nil"/>
                    <w:left w:val="nil"/>
                    <w:bottom w:val="nil"/>
                    <w:right w:val="nil"/>
                  </w:tcBorders>
                  <w:shd w:val="clear" w:color="auto" w:fill="auto"/>
                  <w:noWrap/>
                  <w:vAlign w:val="bottom"/>
                  <w:hideMark/>
                </w:tcPr>
                <w:p w14:paraId="353B9FA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0.22</w:t>
                  </w:r>
                </w:p>
              </w:tc>
              <w:tc>
                <w:tcPr>
                  <w:tcW w:w="317" w:type="pct"/>
                  <w:tcBorders>
                    <w:top w:val="nil"/>
                    <w:left w:val="nil"/>
                    <w:bottom w:val="nil"/>
                    <w:right w:val="nil"/>
                  </w:tcBorders>
                  <w:shd w:val="clear" w:color="auto" w:fill="auto"/>
                  <w:noWrap/>
                  <w:vAlign w:val="bottom"/>
                  <w:hideMark/>
                </w:tcPr>
                <w:p w14:paraId="4B67ECF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F2F2F2" w:themeFill="accent4"/>
                  <w:noWrap/>
                  <w:vAlign w:val="bottom"/>
                  <w:hideMark/>
                </w:tcPr>
                <w:p w14:paraId="6CFB3EEF"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0.24</w:t>
                  </w:r>
                </w:p>
              </w:tc>
              <w:tc>
                <w:tcPr>
                  <w:tcW w:w="317" w:type="pct"/>
                  <w:tcBorders>
                    <w:top w:val="nil"/>
                    <w:left w:val="nil"/>
                    <w:bottom w:val="nil"/>
                    <w:right w:val="nil"/>
                  </w:tcBorders>
                  <w:shd w:val="clear" w:color="auto" w:fill="F2F2F2" w:themeFill="accent4"/>
                  <w:noWrap/>
                  <w:vAlign w:val="bottom"/>
                  <w:hideMark/>
                </w:tcPr>
                <w:p w14:paraId="7DAA4A4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0.02</w:t>
                  </w:r>
                </w:p>
              </w:tc>
              <w:tc>
                <w:tcPr>
                  <w:tcW w:w="317" w:type="pct"/>
                  <w:tcBorders>
                    <w:top w:val="nil"/>
                    <w:left w:val="nil"/>
                    <w:bottom w:val="nil"/>
                    <w:right w:val="nil"/>
                  </w:tcBorders>
                  <w:shd w:val="clear" w:color="auto" w:fill="F2F2F2" w:themeFill="accent4"/>
                  <w:noWrap/>
                  <w:vAlign w:val="bottom"/>
                  <w:hideMark/>
                </w:tcPr>
                <w:p w14:paraId="08F0CF4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194C9AE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4C688849" w14:textId="77777777" w:rsidTr="00E31836">
              <w:trPr>
                <w:trHeight w:val="480"/>
              </w:trPr>
              <w:tc>
                <w:tcPr>
                  <w:tcW w:w="973" w:type="pct"/>
                  <w:tcBorders>
                    <w:top w:val="nil"/>
                    <w:left w:val="nil"/>
                    <w:bottom w:val="nil"/>
                    <w:right w:val="nil"/>
                  </w:tcBorders>
                  <w:shd w:val="clear" w:color="auto" w:fill="auto"/>
                  <w:tcMar>
                    <w:left w:w="0" w:type="dxa"/>
                  </w:tcMar>
                  <w:vAlign w:val="bottom"/>
                  <w:hideMark/>
                </w:tcPr>
                <w:p w14:paraId="588CE1C7"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Family (Contributory Parent)</w:t>
                  </w:r>
                </w:p>
              </w:tc>
              <w:tc>
                <w:tcPr>
                  <w:tcW w:w="221" w:type="pct"/>
                  <w:tcBorders>
                    <w:top w:val="nil"/>
                    <w:left w:val="nil"/>
                    <w:bottom w:val="nil"/>
                    <w:right w:val="nil"/>
                  </w:tcBorders>
                  <w:shd w:val="clear" w:color="auto" w:fill="F2F2F2" w:themeFill="accent4"/>
                  <w:noWrap/>
                  <w:vAlign w:val="bottom"/>
                  <w:hideMark/>
                </w:tcPr>
                <w:p w14:paraId="2FBE63F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360DB7F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4756A81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627C3B4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52FAC4F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0.17</w:t>
                  </w:r>
                </w:p>
              </w:tc>
              <w:tc>
                <w:tcPr>
                  <w:tcW w:w="317" w:type="pct"/>
                  <w:tcBorders>
                    <w:top w:val="nil"/>
                    <w:left w:val="nil"/>
                    <w:bottom w:val="nil"/>
                    <w:right w:val="nil"/>
                  </w:tcBorders>
                  <w:shd w:val="clear" w:color="auto" w:fill="auto"/>
                  <w:noWrap/>
                  <w:vAlign w:val="bottom"/>
                  <w:hideMark/>
                </w:tcPr>
                <w:p w14:paraId="796438EF"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auto"/>
                  <w:noWrap/>
                  <w:vAlign w:val="bottom"/>
                  <w:hideMark/>
                </w:tcPr>
                <w:p w14:paraId="14E921E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0.18</w:t>
                  </w:r>
                </w:p>
              </w:tc>
              <w:tc>
                <w:tcPr>
                  <w:tcW w:w="317" w:type="pct"/>
                  <w:tcBorders>
                    <w:top w:val="nil"/>
                    <w:left w:val="nil"/>
                    <w:bottom w:val="nil"/>
                    <w:right w:val="nil"/>
                  </w:tcBorders>
                  <w:shd w:val="clear" w:color="auto" w:fill="auto"/>
                  <w:noWrap/>
                  <w:vAlign w:val="bottom"/>
                  <w:hideMark/>
                </w:tcPr>
                <w:p w14:paraId="4EC6AF8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0.22</w:t>
                  </w:r>
                </w:p>
              </w:tc>
              <w:tc>
                <w:tcPr>
                  <w:tcW w:w="317" w:type="pct"/>
                  <w:tcBorders>
                    <w:top w:val="nil"/>
                    <w:left w:val="nil"/>
                    <w:bottom w:val="nil"/>
                    <w:right w:val="nil"/>
                  </w:tcBorders>
                  <w:shd w:val="clear" w:color="auto" w:fill="auto"/>
                  <w:noWrap/>
                  <w:vAlign w:val="bottom"/>
                  <w:hideMark/>
                </w:tcPr>
                <w:p w14:paraId="3747A2C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F2F2F2" w:themeFill="accent4"/>
                  <w:noWrap/>
                  <w:vAlign w:val="bottom"/>
                  <w:hideMark/>
                </w:tcPr>
                <w:p w14:paraId="523BBD7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0.24</w:t>
                  </w:r>
                </w:p>
              </w:tc>
              <w:tc>
                <w:tcPr>
                  <w:tcW w:w="317" w:type="pct"/>
                  <w:tcBorders>
                    <w:top w:val="nil"/>
                    <w:left w:val="nil"/>
                    <w:bottom w:val="nil"/>
                    <w:right w:val="nil"/>
                  </w:tcBorders>
                  <w:shd w:val="clear" w:color="auto" w:fill="F2F2F2" w:themeFill="accent4"/>
                  <w:noWrap/>
                  <w:vAlign w:val="bottom"/>
                  <w:hideMark/>
                </w:tcPr>
                <w:p w14:paraId="58E0B25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0.02</w:t>
                  </w:r>
                </w:p>
              </w:tc>
              <w:tc>
                <w:tcPr>
                  <w:tcW w:w="317" w:type="pct"/>
                  <w:tcBorders>
                    <w:top w:val="nil"/>
                    <w:left w:val="nil"/>
                    <w:bottom w:val="nil"/>
                    <w:right w:val="nil"/>
                  </w:tcBorders>
                  <w:shd w:val="clear" w:color="auto" w:fill="F2F2F2" w:themeFill="accent4"/>
                  <w:noWrap/>
                  <w:vAlign w:val="bottom"/>
                  <w:hideMark/>
                </w:tcPr>
                <w:p w14:paraId="3F27406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5FDD6B4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36D2F4A7" w14:textId="77777777" w:rsidTr="00E31836">
              <w:trPr>
                <w:trHeight w:val="480"/>
              </w:trPr>
              <w:tc>
                <w:tcPr>
                  <w:tcW w:w="973" w:type="pct"/>
                  <w:tcBorders>
                    <w:top w:val="nil"/>
                    <w:left w:val="nil"/>
                    <w:bottom w:val="nil"/>
                    <w:right w:val="nil"/>
                  </w:tcBorders>
                  <w:shd w:val="clear" w:color="auto" w:fill="auto"/>
                  <w:tcMar>
                    <w:left w:w="0" w:type="dxa"/>
                  </w:tcMar>
                  <w:vAlign w:val="bottom"/>
                  <w:hideMark/>
                </w:tcPr>
                <w:p w14:paraId="61413308"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Family (Other)</w:t>
                  </w:r>
                </w:p>
              </w:tc>
              <w:tc>
                <w:tcPr>
                  <w:tcW w:w="221" w:type="pct"/>
                  <w:tcBorders>
                    <w:top w:val="nil"/>
                    <w:left w:val="nil"/>
                    <w:bottom w:val="nil"/>
                    <w:right w:val="nil"/>
                  </w:tcBorders>
                  <w:shd w:val="clear" w:color="auto" w:fill="F2F2F2" w:themeFill="accent4"/>
                  <w:noWrap/>
                  <w:vAlign w:val="bottom"/>
                  <w:hideMark/>
                </w:tcPr>
                <w:p w14:paraId="1D4FA3EF"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1350BC2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1B4DE93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16F9022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69D37E5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0.17</w:t>
                  </w:r>
                </w:p>
              </w:tc>
              <w:tc>
                <w:tcPr>
                  <w:tcW w:w="317" w:type="pct"/>
                  <w:tcBorders>
                    <w:top w:val="nil"/>
                    <w:left w:val="nil"/>
                    <w:bottom w:val="nil"/>
                    <w:right w:val="nil"/>
                  </w:tcBorders>
                  <w:shd w:val="clear" w:color="auto" w:fill="auto"/>
                  <w:noWrap/>
                  <w:vAlign w:val="bottom"/>
                  <w:hideMark/>
                </w:tcPr>
                <w:p w14:paraId="71A2749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auto"/>
                  <w:noWrap/>
                  <w:vAlign w:val="bottom"/>
                  <w:hideMark/>
                </w:tcPr>
                <w:p w14:paraId="0060C74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0.18</w:t>
                  </w:r>
                </w:p>
              </w:tc>
              <w:tc>
                <w:tcPr>
                  <w:tcW w:w="317" w:type="pct"/>
                  <w:tcBorders>
                    <w:top w:val="nil"/>
                    <w:left w:val="nil"/>
                    <w:bottom w:val="nil"/>
                    <w:right w:val="nil"/>
                  </w:tcBorders>
                  <w:shd w:val="clear" w:color="auto" w:fill="auto"/>
                  <w:noWrap/>
                  <w:vAlign w:val="bottom"/>
                  <w:hideMark/>
                </w:tcPr>
                <w:p w14:paraId="1BC9248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0.22</w:t>
                  </w:r>
                </w:p>
              </w:tc>
              <w:tc>
                <w:tcPr>
                  <w:tcW w:w="317" w:type="pct"/>
                  <w:tcBorders>
                    <w:top w:val="nil"/>
                    <w:left w:val="nil"/>
                    <w:bottom w:val="nil"/>
                    <w:right w:val="nil"/>
                  </w:tcBorders>
                  <w:shd w:val="clear" w:color="auto" w:fill="auto"/>
                  <w:noWrap/>
                  <w:vAlign w:val="bottom"/>
                  <w:hideMark/>
                </w:tcPr>
                <w:p w14:paraId="0E8B9BC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bottom w:val="nil"/>
                    <w:right w:val="nil"/>
                  </w:tcBorders>
                  <w:shd w:val="clear" w:color="auto" w:fill="F2F2F2" w:themeFill="accent4"/>
                  <w:noWrap/>
                  <w:vAlign w:val="bottom"/>
                  <w:hideMark/>
                </w:tcPr>
                <w:p w14:paraId="1CE2DFE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0.24</w:t>
                  </w:r>
                </w:p>
              </w:tc>
              <w:tc>
                <w:tcPr>
                  <w:tcW w:w="317" w:type="pct"/>
                  <w:tcBorders>
                    <w:top w:val="nil"/>
                    <w:left w:val="nil"/>
                    <w:bottom w:val="nil"/>
                    <w:right w:val="nil"/>
                  </w:tcBorders>
                  <w:shd w:val="clear" w:color="auto" w:fill="F2F2F2" w:themeFill="accent4"/>
                  <w:noWrap/>
                  <w:vAlign w:val="bottom"/>
                  <w:hideMark/>
                </w:tcPr>
                <w:p w14:paraId="46B481E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0.02</w:t>
                  </w:r>
                </w:p>
              </w:tc>
              <w:tc>
                <w:tcPr>
                  <w:tcW w:w="317" w:type="pct"/>
                  <w:tcBorders>
                    <w:top w:val="nil"/>
                    <w:left w:val="nil"/>
                    <w:bottom w:val="nil"/>
                    <w:right w:val="nil"/>
                  </w:tcBorders>
                  <w:shd w:val="clear" w:color="auto" w:fill="F2F2F2" w:themeFill="accent4"/>
                  <w:noWrap/>
                  <w:vAlign w:val="bottom"/>
                  <w:hideMark/>
                </w:tcPr>
                <w:p w14:paraId="15E749D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650974CE"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6EB61839" w14:textId="77777777" w:rsidTr="00E31836">
              <w:trPr>
                <w:trHeight w:val="495"/>
              </w:trPr>
              <w:tc>
                <w:tcPr>
                  <w:tcW w:w="973" w:type="pct"/>
                  <w:tcBorders>
                    <w:top w:val="nil"/>
                    <w:left w:val="nil"/>
                    <w:bottom w:val="nil"/>
                    <w:right w:val="nil"/>
                  </w:tcBorders>
                  <w:shd w:val="clear" w:color="auto" w:fill="auto"/>
                  <w:tcMar>
                    <w:left w:w="0" w:type="dxa"/>
                  </w:tcMar>
                  <w:vAlign w:val="bottom"/>
                  <w:hideMark/>
                </w:tcPr>
                <w:p w14:paraId="56008122"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(Humanitarian)</w:t>
                  </w:r>
                </w:p>
              </w:tc>
              <w:tc>
                <w:tcPr>
                  <w:tcW w:w="221" w:type="pct"/>
                  <w:tcBorders>
                    <w:top w:val="nil"/>
                    <w:left w:val="nil"/>
                    <w:bottom w:val="nil"/>
                    <w:right w:val="nil"/>
                  </w:tcBorders>
                  <w:shd w:val="clear" w:color="auto" w:fill="F2F2F2" w:themeFill="accent4"/>
                  <w:noWrap/>
                  <w:vAlign w:val="bottom"/>
                  <w:hideMark/>
                </w:tcPr>
                <w:p w14:paraId="6C66E6B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42ADF3D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2671490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630AEF3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35885691"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0.18</w:t>
                  </w:r>
                </w:p>
              </w:tc>
              <w:tc>
                <w:tcPr>
                  <w:tcW w:w="317" w:type="pct"/>
                  <w:tcBorders>
                    <w:top w:val="nil"/>
                    <w:left w:val="nil"/>
                    <w:bottom w:val="nil"/>
                    <w:right w:val="nil"/>
                  </w:tcBorders>
                  <w:shd w:val="clear" w:color="auto" w:fill="auto"/>
                  <w:noWrap/>
                  <w:vAlign w:val="bottom"/>
                  <w:hideMark/>
                </w:tcPr>
                <w:p w14:paraId="4A6DD1F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0.77</w:t>
                  </w:r>
                </w:p>
              </w:tc>
              <w:tc>
                <w:tcPr>
                  <w:tcW w:w="317" w:type="pct"/>
                  <w:tcBorders>
                    <w:top w:val="nil"/>
                    <w:left w:val="nil"/>
                    <w:bottom w:val="nil"/>
                    <w:right w:val="nil"/>
                  </w:tcBorders>
                  <w:shd w:val="clear" w:color="auto" w:fill="auto"/>
                  <w:noWrap/>
                  <w:vAlign w:val="bottom"/>
                  <w:hideMark/>
                </w:tcPr>
                <w:p w14:paraId="721DC48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0.17</w:t>
                  </w:r>
                </w:p>
              </w:tc>
              <w:tc>
                <w:tcPr>
                  <w:tcW w:w="317" w:type="pct"/>
                  <w:tcBorders>
                    <w:top w:val="nil"/>
                    <w:left w:val="nil"/>
                    <w:bottom w:val="nil"/>
                    <w:right w:val="nil"/>
                  </w:tcBorders>
                  <w:shd w:val="clear" w:color="auto" w:fill="auto"/>
                  <w:noWrap/>
                  <w:vAlign w:val="bottom"/>
                  <w:hideMark/>
                </w:tcPr>
                <w:p w14:paraId="7B09654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0.34</w:t>
                  </w:r>
                </w:p>
              </w:tc>
              <w:tc>
                <w:tcPr>
                  <w:tcW w:w="317" w:type="pct"/>
                  <w:tcBorders>
                    <w:top w:val="nil"/>
                    <w:left w:val="nil"/>
                    <w:bottom w:val="nil"/>
                    <w:right w:val="nil"/>
                  </w:tcBorders>
                  <w:shd w:val="clear" w:color="auto" w:fill="auto"/>
                  <w:noWrap/>
                  <w:vAlign w:val="bottom"/>
                  <w:hideMark/>
                </w:tcPr>
                <w:p w14:paraId="327F46C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0.77</w:t>
                  </w:r>
                </w:p>
              </w:tc>
              <w:tc>
                <w:tcPr>
                  <w:tcW w:w="317" w:type="pct"/>
                  <w:tcBorders>
                    <w:top w:val="nil"/>
                    <w:left w:val="nil"/>
                    <w:bottom w:val="nil"/>
                    <w:right w:val="nil"/>
                  </w:tcBorders>
                  <w:shd w:val="clear" w:color="auto" w:fill="F2F2F2" w:themeFill="accent4"/>
                  <w:noWrap/>
                  <w:vAlign w:val="bottom"/>
                  <w:hideMark/>
                </w:tcPr>
                <w:p w14:paraId="57CA64F4"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0.70</w:t>
                  </w:r>
                </w:p>
              </w:tc>
              <w:tc>
                <w:tcPr>
                  <w:tcW w:w="317" w:type="pct"/>
                  <w:tcBorders>
                    <w:top w:val="nil"/>
                    <w:left w:val="nil"/>
                    <w:bottom w:val="nil"/>
                    <w:right w:val="nil"/>
                  </w:tcBorders>
                  <w:shd w:val="clear" w:color="auto" w:fill="F2F2F2" w:themeFill="accent4"/>
                  <w:noWrap/>
                  <w:vAlign w:val="bottom"/>
                  <w:hideMark/>
                </w:tcPr>
                <w:p w14:paraId="0A8FD4B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0.12</w:t>
                  </w:r>
                </w:p>
              </w:tc>
              <w:tc>
                <w:tcPr>
                  <w:tcW w:w="317" w:type="pct"/>
                  <w:tcBorders>
                    <w:top w:val="nil"/>
                    <w:left w:val="nil"/>
                    <w:bottom w:val="nil"/>
                    <w:right w:val="nil"/>
                  </w:tcBorders>
                  <w:shd w:val="clear" w:color="auto" w:fill="F2F2F2" w:themeFill="accent4"/>
                  <w:noWrap/>
                  <w:vAlign w:val="bottom"/>
                  <w:hideMark/>
                </w:tcPr>
                <w:p w14:paraId="4AE0FFF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34C7C3F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44A71331" w14:textId="77777777" w:rsidTr="00E31836">
              <w:trPr>
                <w:trHeight w:val="495"/>
              </w:trPr>
              <w:tc>
                <w:tcPr>
                  <w:tcW w:w="973" w:type="pct"/>
                  <w:tcBorders>
                    <w:top w:val="nil"/>
                    <w:left w:val="nil"/>
                    <w:bottom w:val="nil"/>
                    <w:right w:val="nil"/>
                  </w:tcBorders>
                  <w:shd w:val="clear" w:color="auto" w:fill="auto"/>
                  <w:tcMar>
                    <w:left w:w="0" w:type="dxa"/>
                  </w:tcMar>
                  <w:vAlign w:val="bottom"/>
                  <w:hideMark/>
                </w:tcPr>
                <w:p w14:paraId="5ACC2AB5" w14:textId="0E19A6CE"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 xml:space="preserve">Permanent </w:t>
                  </w:r>
                  <w:r>
                    <w:rPr>
                      <w:rFonts w:ascii="Arial" w:hAnsi="Arial" w:cs="Arial"/>
                      <w:i/>
                      <w:iCs/>
                      <w:color w:val="000000"/>
                      <w:spacing w:val="-5"/>
                      <w:sz w:val="18"/>
                      <w:szCs w:val="17"/>
                    </w:rPr>
                    <w:br/>
                  </w:r>
                  <w:r w:rsidRPr="00862EA5">
                    <w:rPr>
                      <w:rFonts w:ascii="Arial" w:hAnsi="Arial" w:cs="Arial"/>
                      <w:i/>
                      <w:iCs/>
                      <w:color w:val="000000"/>
                      <w:spacing w:val="-5"/>
                      <w:sz w:val="18"/>
                      <w:szCs w:val="17"/>
                    </w:rPr>
                    <w:t>(Special Eligibility)</w:t>
                  </w:r>
                </w:p>
              </w:tc>
              <w:tc>
                <w:tcPr>
                  <w:tcW w:w="221" w:type="pct"/>
                  <w:tcBorders>
                    <w:top w:val="nil"/>
                    <w:left w:val="nil"/>
                    <w:bottom w:val="nil"/>
                    <w:right w:val="nil"/>
                  </w:tcBorders>
                  <w:shd w:val="clear" w:color="auto" w:fill="F2F2F2" w:themeFill="accent4"/>
                  <w:noWrap/>
                  <w:vAlign w:val="bottom"/>
                  <w:hideMark/>
                </w:tcPr>
                <w:p w14:paraId="658F401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439A802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nil"/>
                    <w:right w:val="nil"/>
                  </w:tcBorders>
                  <w:shd w:val="clear" w:color="auto" w:fill="F2F2F2" w:themeFill="accent4"/>
                  <w:noWrap/>
                  <w:vAlign w:val="bottom"/>
                  <w:hideMark/>
                </w:tcPr>
                <w:p w14:paraId="193260A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bottom w:val="nil"/>
                    <w:right w:val="nil"/>
                  </w:tcBorders>
                  <w:shd w:val="clear" w:color="auto" w:fill="F2F2F2" w:themeFill="accent4"/>
                  <w:noWrap/>
                  <w:vAlign w:val="bottom"/>
                  <w:hideMark/>
                </w:tcPr>
                <w:p w14:paraId="3CB2F1B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nil"/>
                    <w:right w:val="nil"/>
                  </w:tcBorders>
                  <w:shd w:val="clear" w:color="auto" w:fill="auto"/>
                  <w:noWrap/>
                  <w:vAlign w:val="bottom"/>
                  <w:hideMark/>
                </w:tcPr>
                <w:p w14:paraId="37F097EF"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0.18</w:t>
                  </w:r>
                </w:p>
              </w:tc>
              <w:tc>
                <w:tcPr>
                  <w:tcW w:w="317" w:type="pct"/>
                  <w:tcBorders>
                    <w:top w:val="nil"/>
                    <w:left w:val="nil"/>
                    <w:bottom w:val="nil"/>
                    <w:right w:val="nil"/>
                  </w:tcBorders>
                  <w:shd w:val="clear" w:color="auto" w:fill="auto"/>
                  <w:noWrap/>
                  <w:vAlign w:val="bottom"/>
                  <w:hideMark/>
                </w:tcPr>
                <w:p w14:paraId="24016F1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0.77</w:t>
                  </w:r>
                </w:p>
              </w:tc>
              <w:tc>
                <w:tcPr>
                  <w:tcW w:w="317" w:type="pct"/>
                  <w:tcBorders>
                    <w:top w:val="nil"/>
                    <w:left w:val="nil"/>
                    <w:bottom w:val="nil"/>
                    <w:right w:val="nil"/>
                  </w:tcBorders>
                  <w:shd w:val="clear" w:color="auto" w:fill="auto"/>
                  <w:noWrap/>
                  <w:vAlign w:val="bottom"/>
                  <w:hideMark/>
                </w:tcPr>
                <w:p w14:paraId="6610635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0.17</w:t>
                  </w:r>
                </w:p>
              </w:tc>
              <w:tc>
                <w:tcPr>
                  <w:tcW w:w="317" w:type="pct"/>
                  <w:tcBorders>
                    <w:top w:val="nil"/>
                    <w:left w:val="nil"/>
                    <w:bottom w:val="nil"/>
                    <w:right w:val="nil"/>
                  </w:tcBorders>
                  <w:shd w:val="clear" w:color="auto" w:fill="auto"/>
                  <w:noWrap/>
                  <w:vAlign w:val="bottom"/>
                  <w:hideMark/>
                </w:tcPr>
                <w:p w14:paraId="1DC08043"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0.34</w:t>
                  </w:r>
                </w:p>
              </w:tc>
              <w:tc>
                <w:tcPr>
                  <w:tcW w:w="317" w:type="pct"/>
                  <w:tcBorders>
                    <w:top w:val="nil"/>
                    <w:left w:val="nil"/>
                    <w:bottom w:val="nil"/>
                    <w:right w:val="nil"/>
                  </w:tcBorders>
                  <w:shd w:val="clear" w:color="auto" w:fill="auto"/>
                  <w:noWrap/>
                  <w:vAlign w:val="bottom"/>
                  <w:hideMark/>
                </w:tcPr>
                <w:p w14:paraId="7D055AE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0.77</w:t>
                  </w:r>
                </w:p>
              </w:tc>
              <w:tc>
                <w:tcPr>
                  <w:tcW w:w="317" w:type="pct"/>
                  <w:tcBorders>
                    <w:top w:val="nil"/>
                    <w:left w:val="nil"/>
                    <w:bottom w:val="nil"/>
                    <w:right w:val="nil"/>
                  </w:tcBorders>
                  <w:shd w:val="clear" w:color="auto" w:fill="F2F2F2" w:themeFill="accent4"/>
                  <w:noWrap/>
                  <w:vAlign w:val="bottom"/>
                  <w:hideMark/>
                </w:tcPr>
                <w:p w14:paraId="517C9A6B"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0.70</w:t>
                  </w:r>
                </w:p>
              </w:tc>
              <w:tc>
                <w:tcPr>
                  <w:tcW w:w="317" w:type="pct"/>
                  <w:tcBorders>
                    <w:top w:val="nil"/>
                    <w:left w:val="nil"/>
                    <w:bottom w:val="nil"/>
                    <w:right w:val="nil"/>
                  </w:tcBorders>
                  <w:shd w:val="clear" w:color="auto" w:fill="F2F2F2" w:themeFill="accent4"/>
                  <w:noWrap/>
                  <w:vAlign w:val="bottom"/>
                  <w:hideMark/>
                </w:tcPr>
                <w:p w14:paraId="343CE08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0.12</w:t>
                  </w:r>
                </w:p>
              </w:tc>
              <w:tc>
                <w:tcPr>
                  <w:tcW w:w="317" w:type="pct"/>
                  <w:tcBorders>
                    <w:top w:val="nil"/>
                    <w:left w:val="nil"/>
                    <w:bottom w:val="nil"/>
                    <w:right w:val="nil"/>
                  </w:tcBorders>
                  <w:shd w:val="clear" w:color="auto" w:fill="F2F2F2" w:themeFill="accent4"/>
                  <w:noWrap/>
                  <w:vAlign w:val="bottom"/>
                  <w:hideMark/>
                </w:tcPr>
                <w:p w14:paraId="1E7F475C"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nil"/>
                    <w:right w:val="nil"/>
                  </w:tcBorders>
                  <w:shd w:val="clear" w:color="auto" w:fill="F2F2F2" w:themeFill="accent4"/>
                  <w:noWrap/>
                  <w:vAlign w:val="bottom"/>
                  <w:hideMark/>
                </w:tcPr>
                <w:p w14:paraId="13E1488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35F9DB87" w14:textId="77777777" w:rsidTr="00E31836">
              <w:trPr>
                <w:trHeight w:val="288"/>
              </w:trPr>
              <w:tc>
                <w:tcPr>
                  <w:tcW w:w="973" w:type="pct"/>
                  <w:tcBorders>
                    <w:top w:val="nil"/>
                    <w:left w:val="nil"/>
                    <w:right w:val="nil"/>
                  </w:tcBorders>
                  <w:shd w:val="clear" w:color="auto" w:fill="auto"/>
                  <w:tcMar>
                    <w:left w:w="0" w:type="dxa"/>
                  </w:tcMar>
                  <w:vAlign w:val="bottom"/>
                  <w:hideMark/>
                </w:tcPr>
                <w:p w14:paraId="58981D95" w14:textId="77777777" w:rsidR="00862EA5" w:rsidRPr="00862EA5" w:rsidRDefault="00862EA5" w:rsidP="00862EA5">
                  <w:pPr>
                    <w:ind w:right="-113"/>
                    <w:rPr>
                      <w:rFonts w:ascii="Arial" w:hAnsi="Arial" w:cs="Arial"/>
                      <w:i/>
                      <w:iCs/>
                      <w:color w:val="000000"/>
                      <w:spacing w:val="-5"/>
                      <w:sz w:val="18"/>
                      <w:szCs w:val="17"/>
                    </w:rPr>
                  </w:pPr>
                  <w:r w:rsidRPr="00862EA5">
                    <w:rPr>
                      <w:rFonts w:ascii="Arial" w:hAnsi="Arial" w:cs="Arial"/>
                      <w:i/>
                      <w:iCs/>
                      <w:color w:val="000000"/>
                      <w:spacing w:val="-5"/>
                      <w:sz w:val="18"/>
                      <w:szCs w:val="17"/>
                    </w:rPr>
                    <w:t>Permanent (Other)</w:t>
                  </w:r>
                </w:p>
              </w:tc>
              <w:tc>
                <w:tcPr>
                  <w:tcW w:w="221" w:type="pct"/>
                  <w:tcBorders>
                    <w:top w:val="nil"/>
                    <w:left w:val="nil"/>
                    <w:right w:val="nil"/>
                  </w:tcBorders>
                  <w:shd w:val="clear" w:color="auto" w:fill="F2F2F2" w:themeFill="accent4"/>
                  <w:noWrap/>
                  <w:vAlign w:val="bottom"/>
                  <w:hideMark/>
                </w:tcPr>
                <w:p w14:paraId="5EB3D4B7"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right w:val="nil"/>
                  </w:tcBorders>
                  <w:shd w:val="clear" w:color="auto" w:fill="F2F2F2" w:themeFill="accent4"/>
                  <w:noWrap/>
                  <w:vAlign w:val="bottom"/>
                  <w:hideMark/>
                </w:tcPr>
                <w:p w14:paraId="33F4466D"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right w:val="nil"/>
                  </w:tcBorders>
                  <w:shd w:val="clear" w:color="auto" w:fill="F2F2F2" w:themeFill="accent4"/>
                  <w:noWrap/>
                  <w:vAlign w:val="bottom"/>
                  <w:hideMark/>
                </w:tcPr>
                <w:p w14:paraId="3D3E8430"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0.46</w:t>
                  </w:r>
                </w:p>
              </w:tc>
              <w:tc>
                <w:tcPr>
                  <w:tcW w:w="317" w:type="pct"/>
                  <w:tcBorders>
                    <w:top w:val="nil"/>
                    <w:left w:val="nil"/>
                    <w:right w:val="nil"/>
                  </w:tcBorders>
                  <w:shd w:val="clear" w:color="auto" w:fill="F2F2F2" w:themeFill="accent4"/>
                  <w:noWrap/>
                  <w:vAlign w:val="bottom"/>
                  <w:hideMark/>
                </w:tcPr>
                <w:p w14:paraId="2261EEF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right w:val="nil"/>
                  </w:tcBorders>
                  <w:shd w:val="clear" w:color="auto" w:fill="auto"/>
                  <w:noWrap/>
                  <w:vAlign w:val="bottom"/>
                  <w:hideMark/>
                </w:tcPr>
                <w:p w14:paraId="221874A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0.17</w:t>
                  </w:r>
                </w:p>
              </w:tc>
              <w:tc>
                <w:tcPr>
                  <w:tcW w:w="317" w:type="pct"/>
                  <w:tcBorders>
                    <w:top w:val="nil"/>
                    <w:left w:val="nil"/>
                    <w:right w:val="nil"/>
                  </w:tcBorders>
                  <w:shd w:val="clear" w:color="auto" w:fill="auto"/>
                  <w:noWrap/>
                  <w:vAlign w:val="bottom"/>
                  <w:hideMark/>
                </w:tcPr>
                <w:p w14:paraId="1F403A75"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right w:val="nil"/>
                  </w:tcBorders>
                  <w:shd w:val="clear" w:color="auto" w:fill="auto"/>
                  <w:noWrap/>
                  <w:vAlign w:val="bottom"/>
                  <w:hideMark/>
                </w:tcPr>
                <w:p w14:paraId="7E0F63C8"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0.18</w:t>
                  </w:r>
                </w:p>
              </w:tc>
              <w:tc>
                <w:tcPr>
                  <w:tcW w:w="317" w:type="pct"/>
                  <w:tcBorders>
                    <w:top w:val="nil"/>
                    <w:left w:val="nil"/>
                    <w:right w:val="nil"/>
                  </w:tcBorders>
                  <w:shd w:val="clear" w:color="auto" w:fill="auto"/>
                  <w:noWrap/>
                  <w:vAlign w:val="bottom"/>
                  <w:hideMark/>
                </w:tcPr>
                <w:p w14:paraId="2F73E239"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0.22</w:t>
                  </w:r>
                </w:p>
              </w:tc>
              <w:tc>
                <w:tcPr>
                  <w:tcW w:w="317" w:type="pct"/>
                  <w:tcBorders>
                    <w:top w:val="nil"/>
                    <w:left w:val="nil"/>
                    <w:right w:val="nil"/>
                  </w:tcBorders>
                  <w:shd w:val="clear" w:color="auto" w:fill="auto"/>
                  <w:noWrap/>
                  <w:vAlign w:val="bottom"/>
                  <w:hideMark/>
                </w:tcPr>
                <w:p w14:paraId="0BBA7436"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0.74</w:t>
                  </w:r>
                </w:p>
              </w:tc>
              <w:tc>
                <w:tcPr>
                  <w:tcW w:w="317" w:type="pct"/>
                  <w:tcBorders>
                    <w:top w:val="nil"/>
                    <w:left w:val="nil"/>
                    <w:right w:val="nil"/>
                  </w:tcBorders>
                  <w:shd w:val="clear" w:color="auto" w:fill="F2F2F2" w:themeFill="accent4"/>
                  <w:noWrap/>
                  <w:vAlign w:val="bottom"/>
                  <w:hideMark/>
                </w:tcPr>
                <w:p w14:paraId="0B08E46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0.24</w:t>
                  </w:r>
                </w:p>
              </w:tc>
              <w:tc>
                <w:tcPr>
                  <w:tcW w:w="317" w:type="pct"/>
                  <w:tcBorders>
                    <w:top w:val="nil"/>
                    <w:left w:val="nil"/>
                    <w:right w:val="nil"/>
                  </w:tcBorders>
                  <w:shd w:val="clear" w:color="auto" w:fill="F2F2F2" w:themeFill="accent4"/>
                  <w:noWrap/>
                  <w:vAlign w:val="bottom"/>
                  <w:hideMark/>
                </w:tcPr>
                <w:p w14:paraId="6F2E2FE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0.02</w:t>
                  </w:r>
                </w:p>
              </w:tc>
              <w:tc>
                <w:tcPr>
                  <w:tcW w:w="317" w:type="pct"/>
                  <w:tcBorders>
                    <w:top w:val="nil"/>
                    <w:left w:val="nil"/>
                    <w:right w:val="nil"/>
                  </w:tcBorders>
                  <w:shd w:val="clear" w:color="auto" w:fill="F2F2F2" w:themeFill="accent4"/>
                  <w:noWrap/>
                  <w:vAlign w:val="bottom"/>
                  <w:hideMark/>
                </w:tcPr>
                <w:p w14:paraId="59EFD85A"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right w:val="nil"/>
                  </w:tcBorders>
                  <w:shd w:val="clear" w:color="auto" w:fill="F2F2F2" w:themeFill="accent4"/>
                  <w:noWrap/>
                  <w:vAlign w:val="bottom"/>
                  <w:hideMark/>
                </w:tcPr>
                <w:p w14:paraId="614BDA12" w14:textId="77777777" w:rsidR="00862EA5" w:rsidRPr="0079778A" w:rsidRDefault="00862EA5" w:rsidP="00862EA5">
                  <w:pPr>
                    <w:jc w:val="right"/>
                    <w:rPr>
                      <w:rFonts w:ascii="Arial" w:hAnsi="Arial" w:cs="Arial"/>
                      <w:color w:val="000000"/>
                      <w:sz w:val="17"/>
                      <w:szCs w:val="17"/>
                    </w:rPr>
                  </w:pPr>
                  <w:r w:rsidRPr="0079778A">
                    <w:rPr>
                      <w:rFonts w:ascii="Arial" w:hAnsi="Arial" w:cs="Arial"/>
                      <w:color w:val="000000"/>
                      <w:sz w:val="17"/>
                      <w:szCs w:val="17"/>
                    </w:rPr>
                    <w:t>0.61</w:t>
                  </w:r>
                </w:p>
              </w:tc>
            </w:tr>
            <w:tr w:rsidR="00862EA5" w:rsidRPr="00090054" w14:paraId="15DA3C42" w14:textId="77777777" w:rsidTr="00E31836">
              <w:trPr>
                <w:trHeight w:val="288"/>
              </w:trPr>
              <w:tc>
                <w:tcPr>
                  <w:tcW w:w="973" w:type="pct"/>
                  <w:tcBorders>
                    <w:top w:val="nil"/>
                    <w:left w:val="nil"/>
                    <w:bottom w:val="single" w:sz="4" w:space="0" w:color="BFBFBF" w:themeColor="background2"/>
                    <w:right w:val="nil"/>
                  </w:tcBorders>
                  <w:shd w:val="clear" w:color="auto" w:fill="auto"/>
                  <w:tcMar>
                    <w:left w:w="0" w:type="dxa"/>
                  </w:tcMar>
                  <w:vAlign w:val="bottom"/>
                  <w:hideMark/>
                </w:tcPr>
                <w:p w14:paraId="4D678E9A" w14:textId="77777777" w:rsidR="00862EA5" w:rsidRPr="00862EA5" w:rsidRDefault="00862EA5" w:rsidP="00E31836">
                  <w:pPr>
                    <w:spacing w:after="40"/>
                    <w:ind w:right="-113"/>
                    <w:rPr>
                      <w:rFonts w:ascii="Arial" w:hAnsi="Arial" w:cs="Arial"/>
                      <w:i/>
                      <w:iCs/>
                      <w:color w:val="000000"/>
                      <w:spacing w:val="-5"/>
                      <w:sz w:val="18"/>
                      <w:szCs w:val="17"/>
                    </w:rPr>
                  </w:pPr>
                  <w:r w:rsidRPr="00862EA5">
                    <w:rPr>
                      <w:rFonts w:ascii="Arial" w:hAnsi="Arial" w:cs="Arial"/>
                      <w:i/>
                      <w:iCs/>
                      <w:color w:val="000000"/>
                      <w:spacing w:val="-5"/>
                      <w:sz w:val="18"/>
                      <w:szCs w:val="17"/>
                    </w:rPr>
                    <w:t>Australian citizens</w:t>
                  </w:r>
                </w:p>
              </w:tc>
              <w:tc>
                <w:tcPr>
                  <w:tcW w:w="221" w:type="pct"/>
                  <w:tcBorders>
                    <w:top w:val="nil"/>
                    <w:left w:val="nil"/>
                    <w:bottom w:val="single" w:sz="4" w:space="0" w:color="BFBFBF" w:themeColor="background2"/>
                    <w:right w:val="nil"/>
                  </w:tcBorders>
                  <w:shd w:val="clear" w:color="auto" w:fill="F2F2F2" w:themeFill="accent4"/>
                  <w:noWrap/>
                  <w:vAlign w:val="bottom"/>
                  <w:hideMark/>
                </w:tcPr>
                <w:p w14:paraId="18D68B81"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single" w:sz="4" w:space="0" w:color="BFBFBF" w:themeColor="background2"/>
                    <w:right w:val="nil"/>
                  </w:tcBorders>
                  <w:shd w:val="clear" w:color="auto" w:fill="F2F2F2" w:themeFill="accent4"/>
                  <w:noWrap/>
                  <w:vAlign w:val="bottom"/>
                  <w:hideMark/>
                </w:tcPr>
                <w:p w14:paraId="79B29A5E"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1.00</w:t>
                  </w:r>
                </w:p>
              </w:tc>
              <w:tc>
                <w:tcPr>
                  <w:tcW w:w="317" w:type="pct"/>
                  <w:tcBorders>
                    <w:top w:val="nil"/>
                    <w:left w:val="nil"/>
                    <w:bottom w:val="single" w:sz="4" w:space="0" w:color="BFBFBF" w:themeColor="background2"/>
                    <w:right w:val="nil"/>
                  </w:tcBorders>
                  <w:shd w:val="clear" w:color="auto" w:fill="F2F2F2" w:themeFill="accent4"/>
                  <w:noWrap/>
                  <w:vAlign w:val="bottom"/>
                  <w:hideMark/>
                </w:tcPr>
                <w:p w14:paraId="53D9056D"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0.52</w:t>
                  </w:r>
                </w:p>
              </w:tc>
              <w:tc>
                <w:tcPr>
                  <w:tcW w:w="317" w:type="pct"/>
                  <w:tcBorders>
                    <w:top w:val="nil"/>
                    <w:left w:val="nil"/>
                    <w:bottom w:val="single" w:sz="4" w:space="0" w:color="BFBFBF" w:themeColor="background2"/>
                    <w:right w:val="nil"/>
                  </w:tcBorders>
                  <w:shd w:val="clear" w:color="auto" w:fill="F2F2F2" w:themeFill="accent4"/>
                  <w:noWrap/>
                  <w:vAlign w:val="bottom"/>
                  <w:hideMark/>
                </w:tcPr>
                <w:p w14:paraId="47B21B69"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0.57</w:t>
                  </w:r>
                </w:p>
              </w:tc>
              <w:tc>
                <w:tcPr>
                  <w:tcW w:w="317" w:type="pct"/>
                  <w:tcBorders>
                    <w:top w:val="nil"/>
                    <w:left w:val="nil"/>
                    <w:bottom w:val="single" w:sz="4" w:space="0" w:color="BFBFBF" w:themeColor="background2"/>
                    <w:right w:val="nil"/>
                  </w:tcBorders>
                  <w:shd w:val="clear" w:color="auto" w:fill="auto"/>
                  <w:noWrap/>
                  <w:vAlign w:val="bottom"/>
                  <w:hideMark/>
                </w:tcPr>
                <w:p w14:paraId="16D26BCE"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0.15</w:t>
                  </w:r>
                </w:p>
              </w:tc>
              <w:tc>
                <w:tcPr>
                  <w:tcW w:w="317" w:type="pct"/>
                  <w:tcBorders>
                    <w:top w:val="nil"/>
                    <w:left w:val="nil"/>
                    <w:bottom w:val="single" w:sz="4" w:space="0" w:color="BFBFBF" w:themeColor="background2"/>
                    <w:right w:val="nil"/>
                  </w:tcBorders>
                  <w:shd w:val="clear" w:color="auto" w:fill="auto"/>
                  <w:noWrap/>
                  <w:vAlign w:val="bottom"/>
                  <w:hideMark/>
                </w:tcPr>
                <w:p w14:paraId="217E7D74"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0.63</w:t>
                  </w:r>
                </w:p>
              </w:tc>
              <w:tc>
                <w:tcPr>
                  <w:tcW w:w="317" w:type="pct"/>
                  <w:tcBorders>
                    <w:top w:val="nil"/>
                    <w:left w:val="nil"/>
                    <w:bottom w:val="single" w:sz="4" w:space="0" w:color="BFBFBF" w:themeColor="background2"/>
                    <w:right w:val="nil"/>
                  </w:tcBorders>
                  <w:shd w:val="clear" w:color="auto" w:fill="auto"/>
                  <w:noWrap/>
                  <w:vAlign w:val="bottom"/>
                  <w:hideMark/>
                </w:tcPr>
                <w:p w14:paraId="0C9F86C9"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0.14</w:t>
                  </w:r>
                </w:p>
              </w:tc>
              <w:tc>
                <w:tcPr>
                  <w:tcW w:w="317" w:type="pct"/>
                  <w:tcBorders>
                    <w:top w:val="nil"/>
                    <w:left w:val="nil"/>
                    <w:bottom w:val="single" w:sz="4" w:space="0" w:color="BFBFBF" w:themeColor="background2"/>
                    <w:right w:val="nil"/>
                  </w:tcBorders>
                  <w:shd w:val="clear" w:color="auto" w:fill="auto"/>
                  <w:noWrap/>
                  <w:vAlign w:val="bottom"/>
                  <w:hideMark/>
                </w:tcPr>
                <w:p w14:paraId="5F0296F9"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0.05</w:t>
                  </w:r>
                </w:p>
              </w:tc>
              <w:tc>
                <w:tcPr>
                  <w:tcW w:w="317" w:type="pct"/>
                  <w:tcBorders>
                    <w:top w:val="nil"/>
                    <w:left w:val="nil"/>
                    <w:bottom w:val="single" w:sz="4" w:space="0" w:color="BFBFBF" w:themeColor="background2"/>
                    <w:right w:val="nil"/>
                  </w:tcBorders>
                  <w:shd w:val="clear" w:color="auto" w:fill="auto"/>
                  <w:noWrap/>
                  <w:vAlign w:val="bottom"/>
                  <w:hideMark/>
                </w:tcPr>
                <w:p w14:paraId="0166B304"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0.63</w:t>
                  </w:r>
                </w:p>
              </w:tc>
              <w:tc>
                <w:tcPr>
                  <w:tcW w:w="317" w:type="pct"/>
                  <w:tcBorders>
                    <w:top w:val="nil"/>
                    <w:left w:val="nil"/>
                    <w:bottom w:val="single" w:sz="4" w:space="0" w:color="BFBFBF" w:themeColor="background2"/>
                    <w:right w:val="nil"/>
                  </w:tcBorders>
                  <w:shd w:val="clear" w:color="auto" w:fill="F2F2F2" w:themeFill="accent4"/>
                  <w:noWrap/>
                  <w:vAlign w:val="bottom"/>
                  <w:hideMark/>
                </w:tcPr>
                <w:p w14:paraId="5BEE4AC9"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0.23</w:t>
                  </w:r>
                </w:p>
              </w:tc>
              <w:tc>
                <w:tcPr>
                  <w:tcW w:w="317" w:type="pct"/>
                  <w:tcBorders>
                    <w:top w:val="nil"/>
                    <w:left w:val="nil"/>
                    <w:bottom w:val="single" w:sz="4" w:space="0" w:color="BFBFBF" w:themeColor="background2"/>
                    <w:right w:val="nil"/>
                  </w:tcBorders>
                  <w:shd w:val="clear" w:color="auto" w:fill="F2F2F2" w:themeFill="accent4"/>
                  <w:noWrap/>
                  <w:vAlign w:val="bottom"/>
                  <w:hideMark/>
                </w:tcPr>
                <w:p w14:paraId="5FB7F2E9"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0.06</w:t>
                  </w:r>
                </w:p>
              </w:tc>
              <w:tc>
                <w:tcPr>
                  <w:tcW w:w="317" w:type="pct"/>
                  <w:tcBorders>
                    <w:top w:val="nil"/>
                    <w:left w:val="nil"/>
                    <w:bottom w:val="single" w:sz="4" w:space="0" w:color="BFBFBF" w:themeColor="background2"/>
                    <w:right w:val="nil"/>
                  </w:tcBorders>
                  <w:shd w:val="clear" w:color="auto" w:fill="F2F2F2" w:themeFill="accent4"/>
                  <w:noWrap/>
                  <w:vAlign w:val="bottom"/>
                  <w:hideMark/>
                </w:tcPr>
                <w:p w14:paraId="2EEEBD8C"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0.71</w:t>
                  </w:r>
                </w:p>
              </w:tc>
              <w:tc>
                <w:tcPr>
                  <w:tcW w:w="317" w:type="pct"/>
                  <w:tcBorders>
                    <w:top w:val="nil"/>
                    <w:left w:val="nil"/>
                    <w:bottom w:val="single" w:sz="4" w:space="0" w:color="BFBFBF" w:themeColor="background2"/>
                    <w:right w:val="nil"/>
                  </w:tcBorders>
                  <w:shd w:val="clear" w:color="auto" w:fill="F2F2F2" w:themeFill="accent4"/>
                  <w:noWrap/>
                  <w:vAlign w:val="bottom"/>
                  <w:hideMark/>
                </w:tcPr>
                <w:p w14:paraId="17EA62BA" w14:textId="77777777" w:rsidR="00862EA5" w:rsidRPr="0079778A" w:rsidRDefault="00862EA5" w:rsidP="00E31836">
                  <w:pPr>
                    <w:spacing w:after="40"/>
                    <w:jc w:val="right"/>
                    <w:rPr>
                      <w:rFonts w:ascii="Arial" w:hAnsi="Arial" w:cs="Arial"/>
                      <w:color w:val="000000"/>
                      <w:sz w:val="17"/>
                      <w:szCs w:val="17"/>
                    </w:rPr>
                  </w:pPr>
                  <w:r w:rsidRPr="0079778A">
                    <w:rPr>
                      <w:rFonts w:ascii="Arial" w:hAnsi="Arial" w:cs="Arial"/>
                      <w:color w:val="000000"/>
                      <w:sz w:val="17"/>
                      <w:szCs w:val="17"/>
                    </w:rPr>
                    <w:t>0.61</w:t>
                  </w:r>
                </w:p>
              </w:tc>
            </w:tr>
          </w:tbl>
          <w:p w14:paraId="4C6A42FA" w14:textId="620BCC4A" w:rsidR="00CA0F87" w:rsidRDefault="00CA0F87" w:rsidP="001A551C">
            <w:pPr>
              <w:pStyle w:val="Box"/>
              <w:jc w:val="center"/>
            </w:pPr>
          </w:p>
        </w:tc>
      </w:tr>
      <w:tr w:rsidR="00CA0F87" w14:paraId="4C6A42FD" w14:textId="77777777" w:rsidTr="00845BD7">
        <w:tc>
          <w:tcPr>
            <w:tcW w:w="8909" w:type="dxa"/>
            <w:tcBorders>
              <w:top w:val="nil"/>
              <w:left w:val="nil"/>
              <w:bottom w:val="nil"/>
              <w:right w:val="nil"/>
            </w:tcBorders>
            <w:shd w:val="clear" w:color="auto" w:fill="auto"/>
          </w:tcPr>
          <w:p w14:paraId="4C6A42FC" w14:textId="77777777" w:rsidR="00CA0F87" w:rsidRDefault="00CA0F87" w:rsidP="006D5483">
            <w:pPr>
              <w:pStyle w:val="Source"/>
            </w:pPr>
            <w:r>
              <w:rPr>
                <w:i/>
              </w:rPr>
              <w:t>Source</w:t>
            </w:r>
            <w:r w:rsidRPr="00167F06">
              <w:t xml:space="preserve">: </w:t>
            </w:r>
            <w:r w:rsidR="006D5483">
              <w:t>Productivity Commission estimates. Sources vary</w:t>
            </w:r>
            <w:r w:rsidR="00160990">
              <w:t>, see text</w:t>
            </w:r>
            <w:r w:rsidR="006D5483">
              <w:t xml:space="preserve"> below</w:t>
            </w:r>
            <w:r w:rsidR="00160990">
              <w:t>.</w:t>
            </w:r>
          </w:p>
        </w:tc>
      </w:tr>
      <w:tr w:rsidR="00CA0F87" w14:paraId="4C6A42FF" w14:textId="77777777" w:rsidTr="00845BD7">
        <w:tc>
          <w:tcPr>
            <w:tcW w:w="8909" w:type="dxa"/>
            <w:tcBorders>
              <w:top w:val="nil"/>
              <w:left w:val="nil"/>
              <w:bottom w:val="single" w:sz="6" w:space="0" w:color="78A22F"/>
              <w:right w:val="nil"/>
            </w:tcBorders>
            <w:shd w:val="clear" w:color="auto" w:fill="auto"/>
          </w:tcPr>
          <w:p w14:paraId="4C6A42FE" w14:textId="77777777" w:rsidR="00CA0F87" w:rsidRDefault="00CA0F87" w:rsidP="006F4EF3">
            <w:pPr>
              <w:pStyle w:val="Box"/>
              <w:spacing w:before="0" w:line="120" w:lineRule="exact"/>
            </w:pPr>
          </w:p>
        </w:tc>
      </w:tr>
      <w:tr w:rsidR="00CA0F87" w:rsidRPr="000863A5" w14:paraId="4C6A4301" w14:textId="77777777" w:rsidTr="00845BD7">
        <w:tc>
          <w:tcPr>
            <w:tcW w:w="8909" w:type="dxa"/>
            <w:tcBorders>
              <w:top w:val="single" w:sz="6" w:space="0" w:color="78A22F"/>
              <w:left w:val="nil"/>
              <w:bottom w:val="nil"/>
              <w:right w:val="nil"/>
            </w:tcBorders>
          </w:tcPr>
          <w:p w14:paraId="4C6A4300" w14:textId="6E92092D" w:rsidR="00CA0F87" w:rsidRPr="00626D32" w:rsidRDefault="00CA0F87" w:rsidP="006F4EF3">
            <w:pPr>
              <w:pStyle w:val="BoxSpaceBelow"/>
            </w:pPr>
          </w:p>
        </w:tc>
      </w:tr>
    </w:tbl>
    <w:p w14:paraId="4C6A4302" w14:textId="77777777" w:rsidR="00D66EA0" w:rsidRDefault="00D66EA0" w:rsidP="00845BD7">
      <w:pPr>
        <w:pStyle w:val="BodyText"/>
      </w:pPr>
      <w:r>
        <w:lastRenderedPageBreak/>
        <w:t xml:space="preserve">The methodology employed to calculate uptake rates differs between expenditure items. </w:t>
      </w:r>
      <w:r w:rsidR="00A60593">
        <w:t>D</w:t>
      </w:r>
      <w:r>
        <w:t xml:space="preserve">ata cataloguing different </w:t>
      </w:r>
      <w:r w:rsidR="008E73F0">
        <w:t>im</w:t>
      </w:r>
      <w:r>
        <w:t>migrants’ use of various government</w:t>
      </w:r>
      <w:r w:rsidR="008E73F0">
        <w:noBreakHyphen/>
        <w:t>funded</w:t>
      </w:r>
      <w:r>
        <w:t xml:space="preserve"> services and benefits</w:t>
      </w:r>
      <w:r w:rsidR="00A60593">
        <w:t xml:space="preserve"> are generally not available</w:t>
      </w:r>
      <w:r>
        <w:t>. As such, the approach has been to estimate the uptake</w:t>
      </w:r>
      <w:r w:rsidR="00244B2E">
        <w:t xml:space="preserve"> rate for an average Australian</w:t>
      </w:r>
      <w:r>
        <w:t xml:space="preserve"> and make adjustments based on whether and to what extent </w:t>
      </w:r>
      <w:r w:rsidR="008E73F0">
        <w:t>im</w:t>
      </w:r>
      <w:r>
        <w:t xml:space="preserve">migrants’ uptake rates should differ from this. Uptake rates </w:t>
      </w:r>
      <w:r w:rsidR="00E028A7">
        <w:t xml:space="preserve">are assumed to </w:t>
      </w:r>
      <w:r>
        <w:t xml:space="preserve">converge to the value of the average Australian uptake rate over a period of 10 years. </w:t>
      </w:r>
    </w:p>
    <w:p w14:paraId="4C6A4303" w14:textId="77777777" w:rsidR="00D66EA0" w:rsidRDefault="00D66EA0" w:rsidP="00845BD7">
      <w:pPr>
        <w:pStyle w:val="BodyText"/>
      </w:pPr>
      <w:r>
        <w:t xml:space="preserve">The remainder of this appendix overviews the different approaches used to estimate different uptake rates. </w:t>
      </w:r>
    </w:p>
    <w:p w14:paraId="4C6A4304" w14:textId="77777777" w:rsidR="00A84965" w:rsidRPr="00A84965" w:rsidRDefault="00A84965" w:rsidP="00D66EA0">
      <w:pPr>
        <w:pStyle w:val="BodyText"/>
        <w:keepNext/>
        <w:rPr>
          <w:i/>
        </w:rPr>
      </w:pPr>
      <w:r w:rsidRPr="00A84965">
        <w:rPr>
          <w:i/>
        </w:rPr>
        <w:t>P</w:t>
      </w:r>
      <w:r w:rsidR="00A15AF1">
        <w:rPr>
          <w:i/>
        </w:rPr>
        <w:t xml:space="preserve">harmaceutical Benefits </w:t>
      </w:r>
      <w:r w:rsidRPr="00A84965">
        <w:rPr>
          <w:i/>
        </w:rPr>
        <w:t>S</w:t>
      </w:r>
      <w:r w:rsidR="00A15AF1">
        <w:rPr>
          <w:i/>
        </w:rPr>
        <w:t>cheme</w:t>
      </w:r>
      <w:r w:rsidRPr="00A84965">
        <w:rPr>
          <w:i/>
        </w:rPr>
        <w:t xml:space="preserve"> and Medicare</w:t>
      </w:r>
    </w:p>
    <w:p w14:paraId="4C6A4305" w14:textId="77777777" w:rsidR="00A84965" w:rsidRDefault="00A84965" w:rsidP="00A84965">
      <w:pPr>
        <w:pStyle w:val="BodyText"/>
      </w:pPr>
      <w:r>
        <w:t xml:space="preserve">The </w:t>
      </w:r>
      <w:proofErr w:type="spellStart"/>
      <w:r>
        <w:t>PBS</w:t>
      </w:r>
      <w:proofErr w:type="spellEnd"/>
      <w:r>
        <w:t xml:space="preserve"> is generally available to all Australian residents who hold a Medicare card, or are a Medicare beneficiary. Therefore it is assumed that 100</w:t>
      </w:r>
      <w:r w:rsidR="00E028A7">
        <w:t> per </w:t>
      </w:r>
      <w:r>
        <w:t xml:space="preserve">cent of the eligible population will </w:t>
      </w:r>
      <w:r w:rsidR="00A15AF1">
        <w:t>use</w:t>
      </w:r>
      <w:r>
        <w:t xml:space="preserve"> Medicare. New Zealand citizens have access to Medicare and </w:t>
      </w:r>
      <w:proofErr w:type="spellStart"/>
      <w:r>
        <w:t>PBS</w:t>
      </w:r>
      <w:proofErr w:type="spellEnd"/>
      <w:r>
        <w:t xml:space="preserve"> under a rec</w:t>
      </w:r>
      <w:r w:rsidR="00244B2E">
        <w:t>iprocal health care agreement</w:t>
      </w:r>
      <w:r w:rsidR="00D734E7">
        <w:t xml:space="preserve"> and p</w:t>
      </w:r>
      <w:r>
        <w:t xml:space="preserve">ermanent </w:t>
      </w:r>
      <w:r w:rsidR="008E73F0">
        <w:t>im</w:t>
      </w:r>
      <w:r>
        <w:t xml:space="preserve">migrants are also </w:t>
      </w:r>
      <w:r w:rsidR="00D734E7">
        <w:t xml:space="preserve">fully </w:t>
      </w:r>
      <w:r>
        <w:t>eligible.</w:t>
      </w:r>
      <w:r w:rsidR="00D734E7">
        <w:t xml:space="preserve"> Uptake rates for these items </w:t>
      </w:r>
      <w:r w:rsidR="00A15AF1">
        <w:t>are</w:t>
      </w:r>
      <w:r w:rsidR="00D734E7">
        <w:t xml:space="preserve"> uniformly </w:t>
      </w:r>
      <w:r w:rsidR="008E73F0">
        <w:t>100</w:t>
      </w:r>
      <w:r w:rsidR="00A60593">
        <w:t> </w:t>
      </w:r>
      <w:r w:rsidR="008E73F0">
        <w:t>per</w:t>
      </w:r>
      <w:r w:rsidR="00A60593">
        <w:t> </w:t>
      </w:r>
      <w:r w:rsidR="008E73F0">
        <w:t xml:space="preserve">cent </w:t>
      </w:r>
      <w:r w:rsidR="00D734E7">
        <w:t xml:space="preserve">across all </w:t>
      </w:r>
      <w:r w:rsidR="008E73F0">
        <w:t>im</w:t>
      </w:r>
      <w:r w:rsidR="00D734E7">
        <w:t xml:space="preserve">migrants. </w:t>
      </w:r>
    </w:p>
    <w:p w14:paraId="4C6A4306" w14:textId="77777777" w:rsidR="00A84965" w:rsidRPr="00A84965" w:rsidRDefault="00A84965" w:rsidP="00D66EA0">
      <w:pPr>
        <w:pStyle w:val="BodyText"/>
        <w:keepNext/>
        <w:rPr>
          <w:i/>
        </w:rPr>
      </w:pPr>
      <w:r w:rsidRPr="00A84965">
        <w:rPr>
          <w:i/>
        </w:rPr>
        <w:t>Ho</w:t>
      </w:r>
      <w:r w:rsidR="009E42D9">
        <w:rPr>
          <w:i/>
        </w:rPr>
        <w:t>spitals and the Private Health I</w:t>
      </w:r>
      <w:r w:rsidR="00A15AF1">
        <w:rPr>
          <w:i/>
        </w:rPr>
        <w:t>nsurance</w:t>
      </w:r>
      <w:r w:rsidR="008E73F0">
        <w:rPr>
          <w:i/>
        </w:rPr>
        <w:t xml:space="preserve"> </w:t>
      </w:r>
      <w:r w:rsidRPr="00A84965">
        <w:rPr>
          <w:i/>
        </w:rPr>
        <w:t>Rebate</w:t>
      </w:r>
    </w:p>
    <w:p w14:paraId="4C6A4307" w14:textId="07914718" w:rsidR="00A84965" w:rsidRDefault="00A84965" w:rsidP="00A84965">
      <w:pPr>
        <w:pStyle w:val="BodyText"/>
      </w:pPr>
      <w:r>
        <w:t xml:space="preserve">The proportion of Australian citizens receiving the PHI rebate is derived from </w:t>
      </w:r>
      <w:r w:rsidR="004D4B80">
        <w:t xml:space="preserve">the </w:t>
      </w:r>
      <w:r w:rsidRPr="004D4B80">
        <w:t>ABS</w:t>
      </w:r>
      <w:r w:rsidR="004D4B80" w:rsidRPr="004D4B80">
        <w:t>’</w:t>
      </w:r>
      <w:r w:rsidR="00A3647B">
        <w:t xml:space="preserve"> </w:t>
      </w:r>
      <w:r w:rsidR="004D4B80" w:rsidRPr="00A3647B">
        <w:rPr>
          <w:i/>
        </w:rPr>
        <w:t>Australian Health Survey</w:t>
      </w:r>
      <w:r w:rsidR="00DE1BE2" w:rsidRPr="00DE1BE2">
        <w:t xml:space="preserve"> </w:t>
      </w:r>
      <w:r w:rsidR="00DE1BE2" w:rsidRPr="00DE1BE2">
        <w:rPr>
          <w:szCs w:val="24"/>
        </w:rPr>
        <w:t>(ABS </w:t>
      </w:r>
      <w:proofErr w:type="spellStart"/>
      <w:r w:rsidR="00DE1BE2" w:rsidRPr="00DE1BE2">
        <w:rPr>
          <w:szCs w:val="24"/>
        </w:rPr>
        <w:t>2013b</w:t>
      </w:r>
      <w:proofErr w:type="spellEnd"/>
      <w:r w:rsidR="00DE1BE2" w:rsidRPr="00DE1BE2">
        <w:rPr>
          <w:szCs w:val="24"/>
        </w:rPr>
        <w:t>)</w:t>
      </w:r>
      <w:r>
        <w:t xml:space="preserve"> and is expressed as the </w:t>
      </w:r>
      <w:r w:rsidR="004D4B80">
        <w:t>proportion of respondents</w:t>
      </w:r>
      <w:r>
        <w:t xml:space="preserve"> reporting having purchased PHI. The proportion of Australian citizens incurring hospitals expenditure is based on</w:t>
      </w:r>
      <w:r w:rsidR="004D4B80">
        <w:t xml:space="preserve"> the same</w:t>
      </w:r>
      <w:r>
        <w:t xml:space="preserve"> PHI coverage</w:t>
      </w:r>
      <w:r w:rsidR="004D4B80">
        <w:t xml:space="preserve"> rate</w:t>
      </w:r>
      <w:r>
        <w:t xml:space="preserve">, but makes an adjustment for the proportion of PHI policies which do not include hospitals cover (i.e. ancillary/extras cover). The </w:t>
      </w:r>
      <w:r w:rsidR="008E73F0">
        <w:t>better</w:t>
      </w:r>
      <w:r w:rsidR="004D4B80">
        <w:t xml:space="preserve"> initial</w:t>
      </w:r>
      <w:r w:rsidR="009E42D9">
        <w:t xml:space="preserve"> health outcomes for </w:t>
      </w:r>
      <w:r w:rsidR="008E73F0">
        <w:t>im</w:t>
      </w:r>
      <w:r w:rsidR="009E42D9">
        <w:t xml:space="preserve">migrants (the ‘healthy </w:t>
      </w:r>
      <w:r w:rsidR="008E73F0">
        <w:t>im</w:t>
      </w:r>
      <w:r w:rsidR="009E42D9">
        <w:t>migrant effect’</w:t>
      </w:r>
      <w:r w:rsidR="008E73F0">
        <w:t xml:space="preserve"> discussed in chapter 9</w:t>
      </w:r>
      <w:r w:rsidR="009E42D9">
        <w:t>)</w:t>
      </w:r>
      <w:r w:rsidR="00F33606">
        <w:t xml:space="preserve"> is reflected in an assumed 10 per </w:t>
      </w:r>
      <w:r>
        <w:t xml:space="preserve">cent lower </w:t>
      </w:r>
      <w:r w:rsidR="004D4B80">
        <w:t>h</w:t>
      </w:r>
      <w:r>
        <w:t>ospitals</w:t>
      </w:r>
      <w:r w:rsidR="009E42D9">
        <w:t xml:space="preserve"> uptake rate for </w:t>
      </w:r>
      <w:r w:rsidR="008E73F0">
        <w:t>im</w:t>
      </w:r>
      <w:r w:rsidR="009E42D9">
        <w:t>migrants</w:t>
      </w:r>
      <w:r>
        <w:t>. No interplay with the PHI</w:t>
      </w:r>
      <w:r w:rsidR="009E42D9">
        <w:t xml:space="preserve"> rebate</w:t>
      </w:r>
      <w:r>
        <w:t xml:space="preserve"> is assumed based on this effect.</w:t>
      </w:r>
    </w:p>
    <w:p w14:paraId="4C6A4308" w14:textId="77777777" w:rsidR="00A84965" w:rsidRPr="00A84965" w:rsidRDefault="00A84965" w:rsidP="00D66EA0">
      <w:pPr>
        <w:pStyle w:val="BodyText"/>
        <w:keepNext/>
        <w:rPr>
          <w:i/>
        </w:rPr>
      </w:pPr>
      <w:r w:rsidRPr="00A84965">
        <w:rPr>
          <w:i/>
        </w:rPr>
        <w:t>Pre</w:t>
      </w:r>
      <w:r w:rsidR="00A15AF1">
        <w:rPr>
          <w:i/>
        </w:rPr>
        <w:noBreakHyphen/>
      </w:r>
      <w:r w:rsidRPr="00A84965">
        <w:rPr>
          <w:i/>
        </w:rPr>
        <w:t>school and primary and secondary education</w:t>
      </w:r>
    </w:p>
    <w:p w14:paraId="4C6A4309" w14:textId="039F7BC2" w:rsidR="00A84965" w:rsidRDefault="00A84965" w:rsidP="00A84965">
      <w:pPr>
        <w:pStyle w:val="BodyText"/>
      </w:pPr>
      <w:r>
        <w:t>Australian average uptake rates are based on the aggregate (age</w:t>
      </w:r>
      <w:r w:rsidR="00F33606">
        <w:noBreakHyphen/>
      </w:r>
      <w:r>
        <w:t>weighted) coverage rates implied in</w:t>
      </w:r>
      <w:r w:rsidR="00F33606">
        <w:t xml:space="preserve"> </w:t>
      </w:r>
      <w:r w:rsidR="00F33606" w:rsidRPr="00F33606">
        <w:rPr>
          <w:i/>
        </w:rPr>
        <w:t>An Ageing Australia</w:t>
      </w:r>
      <w:r w:rsidR="00DE1BE2">
        <w:t xml:space="preserve"> </w:t>
      </w:r>
      <w:r w:rsidR="00DE1BE2" w:rsidRPr="00DE1BE2">
        <w:rPr>
          <w:szCs w:val="24"/>
        </w:rPr>
        <w:t>(PC 2013)</w:t>
      </w:r>
      <w:r>
        <w:t xml:space="preserve">. Ratios of relative consumption of government schooling among permanent </w:t>
      </w:r>
      <w:r w:rsidR="008E73F0">
        <w:t>im</w:t>
      </w:r>
      <w:r>
        <w:t xml:space="preserve">migrants from </w:t>
      </w:r>
      <w:proofErr w:type="spellStart"/>
      <w:r w:rsidR="004D4B80">
        <w:t>ACMID</w:t>
      </w:r>
      <w:proofErr w:type="spellEnd"/>
      <w:r w:rsidR="004D4B80">
        <w:t xml:space="preserve"> </w:t>
      </w:r>
      <w:r>
        <w:t xml:space="preserve">are then used to estimate the uptake rates for </w:t>
      </w:r>
      <w:r w:rsidR="008E73F0">
        <w:t>skill</w:t>
      </w:r>
      <w:r>
        <w:t xml:space="preserve">, </w:t>
      </w:r>
      <w:r w:rsidR="008E73F0">
        <w:t xml:space="preserve">family </w:t>
      </w:r>
      <w:r>
        <w:t xml:space="preserve">and </w:t>
      </w:r>
      <w:r w:rsidR="008E73F0">
        <w:t>humanitarian im</w:t>
      </w:r>
      <w:r>
        <w:t xml:space="preserve">migrants. New Zealanders are assumed to have the same uptake rates as Australians. Uptake rates for ‘Education </w:t>
      </w:r>
      <w:proofErr w:type="spellStart"/>
      <w:r>
        <w:t>n.e.c</w:t>
      </w:r>
      <w:proofErr w:type="spellEnd"/>
      <w:r>
        <w:t xml:space="preserve">.’ are assumed to be the same as the uptake rate for </w:t>
      </w:r>
      <w:r w:rsidR="008E73F0">
        <w:t xml:space="preserve">primary </w:t>
      </w:r>
      <w:r>
        <w:t xml:space="preserve">and secondary education. </w:t>
      </w:r>
    </w:p>
    <w:p w14:paraId="4C6A430A" w14:textId="77777777" w:rsidR="00A84965" w:rsidRPr="00A84965" w:rsidRDefault="00A84965" w:rsidP="00D66EA0">
      <w:pPr>
        <w:pStyle w:val="BodyText"/>
        <w:keepNext/>
        <w:rPr>
          <w:i/>
        </w:rPr>
      </w:pPr>
      <w:r w:rsidRPr="00A84965">
        <w:rPr>
          <w:i/>
        </w:rPr>
        <w:t>University and TAFE</w:t>
      </w:r>
    </w:p>
    <w:p w14:paraId="4C6A430B" w14:textId="14EDAA2B" w:rsidR="00A84965" w:rsidRDefault="00A84965" w:rsidP="00A84965">
      <w:pPr>
        <w:pStyle w:val="BodyText"/>
      </w:pPr>
      <w:r>
        <w:t>Australian average uptake rates are based on the aggregate (age</w:t>
      </w:r>
      <w:r w:rsidR="00F33606">
        <w:noBreakHyphen/>
      </w:r>
      <w:r>
        <w:t>weighted) coverage rates implied in</w:t>
      </w:r>
      <w:r w:rsidR="00F33606">
        <w:t xml:space="preserve"> </w:t>
      </w:r>
      <w:r w:rsidR="00F33606" w:rsidRPr="00F33606">
        <w:rPr>
          <w:i/>
        </w:rPr>
        <w:t>An Ageing Australia</w:t>
      </w:r>
      <w:r>
        <w:t xml:space="preserve"> </w:t>
      </w:r>
      <w:r w:rsidR="00DE1BE2" w:rsidRPr="00DE1BE2">
        <w:rPr>
          <w:szCs w:val="24"/>
        </w:rPr>
        <w:t>(PC 2013)</w:t>
      </w:r>
      <w:r>
        <w:t xml:space="preserve">. New Zealanders are assumed to have the same uptake rates as Australians. Implied coverage ratios from </w:t>
      </w:r>
      <w:proofErr w:type="spellStart"/>
      <w:r>
        <w:t>ACMID</w:t>
      </w:r>
      <w:proofErr w:type="spellEnd"/>
      <w:r>
        <w:t xml:space="preserve"> are used to estimate uptake rates. </w:t>
      </w:r>
    </w:p>
    <w:p w14:paraId="4C6A430C" w14:textId="77777777" w:rsidR="00A84965" w:rsidRPr="00A84965" w:rsidRDefault="00A84965" w:rsidP="00D66EA0">
      <w:pPr>
        <w:pStyle w:val="BodyText"/>
        <w:keepNext/>
        <w:rPr>
          <w:i/>
        </w:rPr>
      </w:pPr>
      <w:r w:rsidRPr="00A84965">
        <w:rPr>
          <w:i/>
        </w:rPr>
        <w:lastRenderedPageBreak/>
        <w:t>Aged care and the Disability Support Pension</w:t>
      </w:r>
    </w:p>
    <w:p w14:paraId="4C6A430D" w14:textId="3DA9B691" w:rsidR="00A84965" w:rsidRDefault="008F2300" w:rsidP="00A84965">
      <w:pPr>
        <w:pStyle w:val="BodyText"/>
      </w:pPr>
      <w:r>
        <w:t xml:space="preserve">The uptake rates for aged care rely </w:t>
      </w:r>
      <w:r w:rsidR="00A84965">
        <w:t>on estimates of aged care recipients across Ho</w:t>
      </w:r>
      <w:r w:rsidR="008E73F0">
        <w:t>me</w:t>
      </w:r>
      <w:r w:rsidR="00A84965">
        <w:t xml:space="preserve"> and Community Care, Veterans</w:t>
      </w:r>
      <w:r w:rsidR="006A78DD">
        <w:t>’</w:t>
      </w:r>
      <w:r w:rsidR="00A84965">
        <w:t xml:space="preserve"> Packages, Community packages and Residential Care</w:t>
      </w:r>
      <w:r w:rsidR="00DE1BE2">
        <w:t xml:space="preserve"> </w:t>
      </w:r>
      <w:r w:rsidR="00DE1BE2" w:rsidRPr="00DE1BE2">
        <w:rPr>
          <w:szCs w:val="24"/>
        </w:rPr>
        <w:t>(PC 2011)</w:t>
      </w:r>
      <w:r w:rsidR="00A84965" w:rsidRPr="004D4B80">
        <w:t>.</w:t>
      </w:r>
      <w:r w:rsidR="00A84965">
        <w:t xml:space="preserve"> These are used to derive total recipients by age group, which are then weighted by age cohort. Australian uptake rates for </w:t>
      </w:r>
      <w:proofErr w:type="spellStart"/>
      <w:r w:rsidR="00A84965">
        <w:t>DSP</w:t>
      </w:r>
      <w:proofErr w:type="spellEnd"/>
      <w:r w:rsidR="00A84965">
        <w:t xml:space="preserve"> are the </w:t>
      </w:r>
      <w:proofErr w:type="spellStart"/>
      <w:r w:rsidR="00A84965">
        <w:t>DSP</w:t>
      </w:r>
      <w:proofErr w:type="spellEnd"/>
      <w:r w:rsidR="00A84965">
        <w:t xml:space="preserve"> population</w:t>
      </w:r>
      <w:r w:rsidR="003F744E">
        <w:t xml:space="preserve"> </w:t>
      </w:r>
      <w:r w:rsidR="0068413F" w:rsidRPr="0068413F">
        <w:rPr>
          <w:szCs w:val="24"/>
        </w:rPr>
        <w:t>(</w:t>
      </w:r>
      <w:proofErr w:type="spellStart"/>
      <w:r w:rsidR="0068413F" w:rsidRPr="0068413F">
        <w:rPr>
          <w:szCs w:val="24"/>
        </w:rPr>
        <w:t>DSS</w:t>
      </w:r>
      <w:proofErr w:type="spellEnd"/>
      <w:r w:rsidR="0068413F" w:rsidRPr="0068413F">
        <w:rPr>
          <w:szCs w:val="24"/>
        </w:rPr>
        <w:t> </w:t>
      </w:r>
      <w:proofErr w:type="spellStart"/>
      <w:r w:rsidR="0068413F" w:rsidRPr="0068413F">
        <w:rPr>
          <w:szCs w:val="24"/>
        </w:rPr>
        <w:t>2014a</w:t>
      </w:r>
      <w:proofErr w:type="spellEnd"/>
      <w:r w:rsidR="0068413F" w:rsidRPr="0068413F">
        <w:rPr>
          <w:szCs w:val="24"/>
        </w:rPr>
        <w:t>)</w:t>
      </w:r>
      <w:r w:rsidR="0068413F">
        <w:t xml:space="preserve"> </w:t>
      </w:r>
      <w:r w:rsidR="00A84965">
        <w:t>over the eligible age population.</w:t>
      </w:r>
      <w:r w:rsidR="009E42D9">
        <w:t xml:space="preserve"> </w:t>
      </w:r>
      <w:r w:rsidR="00A84965">
        <w:t xml:space="preserve">For both </w:t>
      </w:r>
      <w:r w:rsidR="00F33606">
        <w:t>a</w:t>
      </w:r>
      <w:r w:rsidR="00A84965">
        <w:t xml:space="preserve">ged </w:t>
      </w:r>
      <w:r w:rsidR="00F33606">
        <w:t>c</w:t>
      </w:r>
      <w:r w:rsidR="00A84965">
        <w:t xml:space="preserve">are and </w:t>
      </w:r>
      <w:proofErr w:type="spellStart"/>
      <w:r w:rsidR="00A84965">
        <w:t>DSP</w:t>
      </w:r>
      <w:proofErr w:type="spellEnd"/>
      <w:r w:rsidR="00A84965">
        <w:t xml:space="preserve">, uptake rates for </w:t>
      </w:r>
      <w:r w:rsidR="008E73F0">
        <w:t>im</w:t>
      </w:r>
      <w:r w:rsidR="00A84965">
        <w:t>migrants are scaled to the Australian uptake rate by their relative need for assistance with core activities i</w:t>
      </w:r>
      <w:r w:rsidR="00D701B0">
        <w:t xml:space="preserve">mplied in the Census and </w:t>
      </w:r>
      <w:proofErr w:type="spellStart"/>
      <w:r w:rsidR="00D701B0">
        <w:t>ACMID</w:t>
      </w:r>
      <w:proofErr w:type="spellEnd"/>
      <w:r w:rsidR="00A84965">
        <w:t>.</w:t>
      </w:r>
    </w:p>
    <w:p w14:paraId="4C6A430E" w14:textId="77777777" w:rsidR="00D701B0" w:rsidRPr="00A84965" w:rsidRDefault="00A84965" w:rsidP="00D66EA0">
      <w:pPr>
        <w:pStyle w:val="BodyText"/>
        <w:keepNext/>
        <w:rPr>
          <w:i/>
        </w:rPr>
      </w:pPr>
      <w:r w:rsidRPr="00A84965">
        <w:rPr>
          <w:i/>
        </w:rPr>
        <w:t>Age Pension</w:t>
      </w:r>
      <w:r w:rsidR="00D701B0">
        <w:rPr>
          <w:i/>
        </w:rPr>
        <w:t xml:space="preserve"> and the </w:t>
      </w:r>
      <w:r w:rsidR="00D701B0" w:rsidRPr="00A84965">
        <w:rPr>
          <w:i/>
        </w:rPr>
        <w:t>Family Tax Benefit</w:t>
      </w:r>
      <w:r w:rsidR="00D701B0">
        <w:rPr>
          <w:i/>
        </w:rPr>
        <w:t xml:space="preserve"> (Parts A and B)</w:t>
      </w:r>
    </w:p>
    <w:p w14:paraId="4C6A430F" w14:textId="5416E412" w:rsidR="00A84965" w:rsidRDefault="00A84965" w:rsidP="00A84965">
      <w:pPr>
        <w:pStyle w:val="BodyText"/>
      </w:pPr>
      <w:r>
        <w:t>Uptake rates for the Australian population are simply the number of recipients, over the eligible population</w:t>
      </w:r>
      <w:r w:rsidR="00D701B0">
        <w:t xml:space="preserve"> based on </w:t>
      </w:r>
      <w:r w:rsidR="001D1ED6">
        <w:t>data on</w:t>
      </w:r>
      <w:r w:rsidR="00D701B0">
        <w:t xml:space="preserve"> income support customers</w:t>
      </w:r>
      <w:r w:rsidR="0068413F">
        <w:t xml:space="preserve"> </w:t>
      </w:r>
      <w:r w:rsidR="0068413F" w:rsidRPr="0068413F">
        <w:rPr>
          <w:szCs w:val="24"/>
        </w:rPr>
        <w:t>(</w:t>
      </w:r>
      <w:proofErr w:type="spellStart"/>
      <w:r w:rsidR="0068413F" w:rsidRPr="0068413F">
        <w:rPr>
          <w:szCs w:val="24"/>
        </w:rPr>
        <w:t>DSS</w:t>
      </w:r>
      <w:proofErr w:type="spellEnd"/>
      <w:r w:rsidR="0068413F" w:rsidRPr="0068413F">
        <w:rPr>
          <w:szCs w:val="24"/>
        </w:rPr>
        <w:t> </w:t>
      </w:r>
      <w:proofErr w:type="spellStart"/>
      <w:r w:rsidR="0068413F" w:rsidRPr="0068413F">
        <w:rPr>
          <w:szCs w:val="24"/>
        </w:rPr>
        <w:t>2014b</w:t>
      </w:r>
      <w:proofErr w:type="spellEnd"/>
      <w:r w:rsidR="0068413F" w:rsidRPr="0068413F">
        <w:rPr>
          <w:szCs w:val="24"/>
        </w:rPr>
        <w:t>)</w:t>
      </w:r>
      <w:r>
        <w:t xml:space="preserve">. This is assumed to be constant across eligible </w:t>
      </w:r>
      <w:r w:rsidR="00D16022">
        <w:t>im</w:t>
      </w:r>
      <w:r>
        <w:t>migrant categories.</w:t>
      </w:r>
    </w:p>
    <w:p w14:paraId="4C6A4310" w14:textId="77777777" w:rsidR="00CA0F87" w:rsidRPr="00D734E7" w:rsidRDefault="00D734E7" w:rsidP="00D66EA0">
      <w:pPr>
        <w:pStyle w:val="BodyText"/>
        <w:keepNext/>
        <w:rPr>
          <w:i/>
        </w:rPr>
      </w:pPr>
      <w:r w:rsidRPr="00D734E7">
        <w:rPr>
          <w:i/>
        </w:rPr>
        <w:t>Unemployment benefits</w:t>
      </w:r>
    </w:p>
    <w:p w14:paraId="4C6A4311" w14:textId="1C753A76" w:rsidR="00D734E7" w:rsidRDefault="00CA0F87" w:rsidP="00A469DC">
      <w:pPr>
        <w:pStyle w:val="BodyText"/>
      </w:pPr>
      <w:r w:rsidRPr="00CA0F87">
        <w:t>Uptake rates for unemployment benefits are not specified at the aggregate level but by age</w:t>
      </w:r>
      <w:r w:rsidR="00F33606">
        <w:noBreakHyphen/>
      </w:r>
      <w:r w:rsidRPr="00CA0F87">
        <w:t xml:space="preserve"> and gender</w:t>
      </w:r>
      <w:r w:rsidR="00F33606">
        <w:noBreakHyphen/>
      </w:r>
      <w:r w:rsidRPr="00CA0F87">
        <w:t>specific labour force participation and unemployment rates</w:t>
      </w:r>
      <w:r w:rsidR="00DF30DF">
        <w:t>, described in section </w:t>
      </w:r>
      <w:proofErr w:type="spellStart"/>
      <w:r w:rsidR="008D0100">
        <w:t>D.</w:t>
      </w:r>
      <w:r w:rsidR="006D5483">
        <w:t>4</w:t>
      </w:r>
      <w:proofErr w:type="spellEnd"/>
      <w:r w:rsidRPr="00CA0F87">
        <w:t>.</w:t>
      </w:r>
      <w:r>
        <w:t xml:space="preserve"> </w:t>
      </w:r>
    </w:p>
    <w:p w14:paraId="4C6A4312" w14:textId="77777777" w:rsidR="00D734E7" w:rsidRPr="00D734E7" w:rsidRDefault="00D734E7" w:rsidP="00D66EA0">
      <w:pPr>
        <w:pStyle w:val="BodyText"/>
        <w:keepNext/>
        <w:rPr>
          <w:i/>
        </w:rPr>
      </w:pPr>
      <w:r w:rsidRPr="00D734E7">
        <w:rPr>
          <w:i/>
        </w:rPr>
        <w:t>Other expenditure items</w:t>
      </w:r>
    </w:p>
    <w:p w14:paraId="4C6A4313" w14:textId="77777777" w:rsidR="00A03D1C" w:rsidRDefault="00CA0F87" w:rsidP="00A469DC">
      <w:pPr>
        <w:pStyle w:val="BodyText"/>
      </w:pPr>
      <w:r>
        <w:t xml:space="preserve">Uptake rates </w:t>
      </w:r>
      <w:r w:rsidR="00D734E7">
        <w:t>for the additional expenditure items included in specification</w:t>
      </w:r>
      <w:r w:rsidR="00F33606">
        <w:t> </w:t>
      </w:r>
      <w:r w:rsidR="00D734E7">
        <w:t xml:space="preserve">3 of the model are </w:t>
      </w:r>
      <w:r w:rsidR="00A03D1C">
        <w:t xml:space="preserve">equal to </w:t>
      </w:r>
      <w:r w:rsidR="00D21079">
        <w:t>100 per </w:t>
      </w:r>
      <w:r w:rsidR="00D16022">
        <w:t xml:space="preserve">cent </w:t>
      </w:r>
      <w:r w:rsidR="004D4B80">
        <w:t>and</w:t>
      </w:r>
      <w:r w:rsidR="00D16022">
        <w:t xml:space="preserve"> are</w:t>
      </w:r>
      <w:r w:rsidR="004D4B80">
        <w:t xml:space="preserve"> constant across </w:t>
      </w:r>
      <w:r w:rsidR="00D16022">
        <w:t>im</w:t>
      </w:r>
      <w:r w:rsidR="004D4B80">
        <w:t>migrants</w:t>
      </w:r>
      <w:r w:rsidR="00A03D1C">
        <w:t>. This is a necessary simplification r</w:t>
      </w:r>
      <w:r w:rsidR="008F2300">
        <w:t>eflecting the model’s structure. I</w:t>
      </w:r>
      <w:r w:rsidR="00A03D1C">
        <w:t>n reality the uptake rates for the subcomponents of these additional aggregate per person costs are likely to be less than</w:t>
      </w:r>
      <w:r w:rsidR="00244B2E">
        <w:t xml:space="preserve"> one to varying degrees</w:t>
      </w:r>
      <w:r w:rsidR="00A03D1C">
        <w:t xml:space="preserve"> and may differ between </w:t>
      </w:r>
      <w:r w:rsidR="00D16022">
        <w:t>im</w:t>
      </w:r>
      <w:r w:rsidR="00A03D1C">
        <w:t xml:space="preserve">migrant categories. </w:t>
      </w:r>
    </w:p>
    <w:p w14:paraId="4C6A4314" w14:textId="249DF303" w:rsidR="00775880" w:rsidRDefault="00775880" w:rsidP="005F02DF">
      <w:pPr>
        <w:pStyle w:val="Heading2"/>
        <w:spacing w:before="0"/>
        <w:ind w:left="0" w:firstLine="0"/>
      </w:pPr>
      <w:r>
        <w:br w:type="column"/>
      </w:r>
      <w:r w:rsidR="00DF30DF">
        <w:lastRenderedPageBreak/>
        <w:t>Attachment</w:t>
      </w:r>
      <w:r w:rsidR="004354FF">
        <w:t> </w:t>
      </w:r>
      <w:r w:rsidR="00DF30DF">
        <w:t>4</w:t>
      </w:r>
      <w:r w:rsidR="00DF30DF">
        <w:tab/>
      </w:r>
      <w:r>
        <w:t xml:space="preserve">Key </w:t>
      </w:r>
      <w:r w:rsidR="009163BD">
        <w:t xml:space="preserve">assumptions </w:t>
      </w:r>
      <w:r w:rsidR="00E17923">
        <w:t>in</w:t>
      </w:r>
      <w:r w:rsidR="009163BD">
        <w:t xml:space="preserve"> the </w:t>
      </w:r>
      <w:proofErr w:type="spellStart"/>
      <w:r w:rsidR="009163BD">
        <w:t>CGE</w:t>
      </w:r>
      <w:proofErr w:type="spellEnd"/>
      <w:r w:rsidR="009163BD">
        <w:t>, PE</w:t>
      </w:r>
      <w:r>
        <w:t xml:space="preserve"> and fiscal </w:t>
      </w:r>
      <w:r w:rsidR="005E2476">
        <w:t>models</w:t>
      </w:r>
    </w:p>
    <w:p w14:paraId="4C6A4315" w14:textId="1157056B" w:rsidR="00775880" w:rsidRDefault="00E17923" w:rsidP="00A469DC">
      <w:pPr>
        <w:pStyle w:val="BodyText"/>
      </w:pPr>
      <w:r>
        <w:t xml:space="preserve">The key assumptions are outlined in </w:t>
      </w:r>
      <w:r w:rsidR="004354FF">
        <w:t>t</w:t>
      </w:r>
      <w:r>
        <w:t>able </w:t>
      </w:r>
      <w:r w:rsidR="00DF30DF">
        <w:t>4.1</w:t>
      </w:r>
      <w:r>
        <w:t xml:space="preserve">. </w:t>
      </w:r>
      <w:r w:rsidRPr="00E17923">
        <w:t xml:space="preserve">This </w:t>
      </w:r>
      <w:r>
        <w:t xml:space="preserve">table </w:t>
      </w:r>
      <w:r w:rsidRPr="00E17923">
        <w:t>is limited to assumptions shared</w:t>
      </w:r>
      <w:r w:rsidR="00244B2E">
        <w:t xml:space="preserve"> across modelling frameworks</w:t>
      </w:r>
      <w:r>
        <w:t xml:space="preserve"> and</w:t>
      </w:r>
      <w:r w:rsidRPr="00E17923">
        <w:t xml:space="preserve"> excludes assumptions specific to each frame</w:t>
      </w:r>
      <w:r>
        <w:t>work</w:t>
      </w:r>
      <w:r w:rsidRPr="00E17923">
        <w:t>.</w:t>
      </w:r>
    </w:p>
    <w:p w14:paraId="4C6A4316" w14:textId="2DCF4BA2" w:rsidR="00A8208C" w:rsidRDefault="00A8208C" w:rsidP="00DF30DF">
      <w:pPr>
        <w:pStyle w:val="BoxSpaceAbove"/>
        <w:spacing w:before="120"/>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A8208C" w14:paraId="4C6A4318" w14:textId="77777777" w:rsidTr="0023713B">
        <w:tc>
          <w:tcPr>
            <w:tcW w:w="8774" w:type="dxa"/>
            <w:tcBorders>
              <w:top w:val="single" w:sz="6" w:space="0" w:color="78A22F"/>
              <w:left w:val="nil"/>
              <w:bottom w:val="nil"/>
              <w:right w:val="nil"/>
            </w:tcBorders>
            <w:shd w:val="clear" w:color="auto" w:fill="auto"/>
          </w:tcPr>
          <w:p w14:paraId="4C6A4317" w14:textId="7AD16203" w:rsidR="00A8208C" w:rsidRPr="00784A05" w:rsidRDefault="00A8208C" w:rsidP="00DF30DF">
            <w:pPr>
              <w:pStyle w:val="TableTitle"/>
            </w:pPr>
            <w:r>
              <w:rPr>
                <w:b w:val="0"/>
              </w:rPr>
              <w:t xml:space="preserve">Table </w:t>
            </w:r>
            <w:r w:rsidR="00DF30DF">
              <w:rPr>
                <w:b w:val="0"/>
              </w:rPr>
              <w:t>4.1</w:t>
            </w:r>
            <w:r>
              <w:tab/>
            </w:r>
            <w:r w:rsidR="00910586">
              <w:t>Assumptions in the different modelling frameworks</w:t>
            </w:r>
          </w:p>
        </w:tc>
      </w:tr>
      <w:tr w:rsidR="00A8208C" w14:paraId="4C6A4347" w14:textId="77777777" w:rsidTr="0023713B">
        <w:trPr>
          <w:cantSplit/>
        </w:trPr>
        <w:tc>
          <w:tcPr>
            <w:tcW w:w="8774" w:type="dxa"/>
            <w:tcBorders>
              <w:top w:val="nil"/>
              <w:left w:val="nil"/>
              <w:bottom w:val="nil"/>
              <w:right w:val="nil"/>
            </w:tcBorders>
            <w:shd w:val="clear" w:color="auto" w:fill="auto"/>
          </w:tcPr>
          <w:tbl>
            <w:tblPr>
              <w:tblW w:w="8654" w:type="dxa"/>
              <w:tblCellMar>
                <w:top w:w="28" w:type="dxa"/>
                <w:left w:w="0" w:type="dxa"/>
                <w:right w:w="0" w:type="dxa"/>
              </w:tblCellMar>
              <w:tblLook w:val="0000" w:firstRow="0" w:lastRow="0" w:firstColumn="0" w:lastColumn="0" w:noHBand="0" w:noVBand="0"/>
            </w:tblPr>
            <w:tblGrid>
              <w:gridCol w:w="1270"/>
              <w:gridCol w:w="2472"/>
              <w:gridCol w:w="2456"/>
              <w:gridCol w:w="2456"/>
            </w:tblGrid>
            <w:tr w:rsidR="005E2476" w14:paraId="4C6A431D" w14:textId="77777777" w:rsidTr="005E2476">
              <w:tc>
                <w:tcPr>
                  <w:tcW w:w="1270" w:type="dxa"/>
                  <w:tcBorders>
                    <w:top w:val="single" w:sz="6" w:space="0" w:color="BFBFBF"/>
                    <w:bottom w:val="single" w:sz="6" w:space="0" w:color="BFBFBF"/>
                  </w:tcBorders>
                  <w:shd w:val="clear" w:color="auto" w:fill="auto"/>
                  <w:tcMar>
                    <w:top w:w="28" w:type="dxa"/>
                  </w:tcMar>
                </w:tcPr>
                <w:p w14:paraId="4C6A4319" w14:textId="77777777" w:rsidR="00910586" w:rsidRDefault="00910586" w:rsidP="00A8208C">
                  <w:pPr>
                    <w:pStyle w:val="TableColumnHeading"/>
                    <w:jc w:val="left"/>
                  </w:pPr>
                  <w:r>
                    <w:t>Assumption</w:t>
                  </w:r>
                  <w:r w:rsidR="005F0822">
                    <w:t>s</w:t>
                  </w:r>
                </w:p>
              </w:tc>
              <w:tc>
                <w:tcPr>
                  <w:tcW w:w="2534" w:type="dxa"/>
                  <w:tcBorders>
                    <w:top w:val="single" w:sz="6" w:space="0" w:color="BFBFBF"/>
                    <w:bottom w:val="single" w:sz="6" w:space="0" w:color="BFBFBF"/>
                  </w:tcBorders>
                  <w:shd w:val="clear" w:color="auto" w:fill="auto"/>
                  <w:tcMar>
                    <w:top w:w="28" w:type="dxa"/>
                  </w:tcMar>
                </w:tcPr>
                <w:p w14:paraId="4C6A431A" w14:textId="77777777" w:rsidR="008C7D5C" w:rsidRDefault="00910586" w:rsidP="00E95333">
                  <w:pPr>
                    <w:pStyle w:val="TableColumnHeading"/>
                    <w:jc w:val="left"/>
                  </w:pPr>
                  <w:proofErr w:type="spellStart"/>
                  <w:r>
                    <w:t>CGE</w:t>
                  </w:r>
                  <w:proofErr w:type="spellEnd"/>
                  <w:r w:rsidR="00E95333">
                    <w:br/>
                  </w:r>
                  <w:r w:rsidR="008C7D5C">
                    <w:t>(Business</w:t>
                  </w:r>
                  <w:r w:rsidR="008C7D5C">
                    <w:noBreakHyphen/>
                    <w:t>as</w:t>
                  </w:r>
                  <w:r w:rsidR="008C7D5C">
                    <w:noBreakHyphen/>
                    <w:t>usual</w:t>
                  </w:r>
                  <w:r w:rsidR="005F0822">
                    <w:t xml:space="preserve"> scenario</w:t>
                  </w:r>
                  <w:r w:rsidR="008C7D5C">
                    <w:t>)</w:t>
                  </w:r>
                </w:p>
              </w:tc>
              <w:tc>
                <w:tcPr>
                  <w:tcW w:w="2534" w:type="dxa"/>
                  <w:tcBorders>
                    <w:top w:val="single" w:sz="6" w:space="0" w:color="BFBFBF"/>
                    <w:bottom w:val="single" w:sz="6" w:space="0" w:color="BFBFBF"/>
                  </w:tcBorders>
                </w:tcPr>
                <w:p w14:paraId="4C6A431B" w14:textId="77777777" w:rsidR="004F00E2" w:rsidRDefault="00910586" w:rsidP="00E95333">
                  <w:pPr>
                    <w:pStyle w:val="TableColumnHeading"/>
                    <w:jc w:val="left"/>
                  </w:pPr>
                  <w:r>
                    <w:t>PE</w:t>
                  </w:r>
                  <w:r w:rsidR="00E95333">
                    <w:br/>
                  </w:r>
                  <w:r w:rsidR="004F00E2">
                    <w:t>(Central case)</w:t>
                  </w:r>
                </w:p>
              </w:tc>
              <w:tc>
                <w:tcPr>
                  <w:tcW w:w="2534" w:type="dxa"/>
                  <w:tcBorders>
                    <w:top w:val="single" w:sz="6" w:space="0" w:color="BFBFBF"/>
                    <w:bottom w:val="single" w:sz="6" w:space="0" w:color="BFBFBF"/>
                  </w:tcBorders>
                </w:tcPr>
                <w:p w14:paraId="4C6A431C" w14:textId="77777777" w:rsidR="00910586" w:rsidRDefault="00E95333" w:rsidP="00E95333">
                  <w:pPr>
                    <w:pStyle w:val="TableColumnHeading"/>
                    <w:jc w:val="left"/>
                  </w:pPr>
                  <w:r>
                    <w:t>Fiscal model</w:t>
                  </w:r>
                  <w:r>
                    <w:br/>
                  </w:r>
                  <w:r w:rsidR="00910586">
                    <w:t>(Specification 3)</w:t>
                  </w:r>
                </w:p>
              </w:tc>
            </w:tr>
            <w:tr w:rsidR="005E2476" w14:paraId="4C6A4322" w14:textId="77777777" w:rsidTr="00DF30DF">
              <w:tc>
                <w:tcPr>
                  <w:tcW w:w="1270" w:type="dxa"/>
                  <w:tcBorders>
                    <w:top w:val="single" w:sz="6" w:space="0" w:color="BFBFBF"/>
                  </w:tcBorders>
                  <w:shd w:val="clear" w:color="auto" w:fill="D9D9D9" w:themeFill="background1" w:themeFillShade="D9"/>
                </w:tcPr>
                <w:p w14:paraId="4C6A431E" w14:textId="77777777" w:rsidR="00910586" w:rsidRPr="00DF30DF" w:rsidRDefault="00910586" w:rsidP="00DF30DF">
                  <w:pPr>
                    <w:pStyle w:val="TableBodyText"/>
                    <w:spacing w:before="40"/>
                    <w:jc w:val="left"/>
                    <w:rPr>
                      <w:b/>
                    </w:rPr>
                  </w:pPr>
                  <w:r w:rsidRPr="00DF30DF">
                    <w:rPr>
                      <w:b/>
                    </w:rPr>
                    <w:t>Economic</w:t>
                  </w:r>
                </w:p>
              </w:tc>
              <w:tc>
                <w:tcPr>
                  <w:tcW w:w="2534" w:type="dxa"/>
                  <w:tcBorders>
                    <w:top w:val="single" w:sz="6" w:space="0" w:color="BFBFBF"/>
                  </w:tcBorders>
                  <w:shd w:val="clear" w:color="auto" w:fill="D9D9D9" w:themeFill="background1" w:themeFillShade="D9"/>
                </w:tcPr>
                <w:p w14:paraId="4C6A431F" w14:textId="77777777" w:rsidR="00351B3F" w:rsidRDefault="00910586" w:rsidP="00DF30DF">
                  <w:pPr>
                    <w:pStyle w:val="TableBodyText"/>
                    <w:spacing w:before="40"/>
                    <w:jc w:val="left"/>
                  </w:pPr>
                  <w:r>
                    <w:t xml:space="preserve">GDP </w:t>
                  </w:r>
                  <w:r w:rsidR="00351B3F">
                    <w:t>and r</w:t>
                  </w:r>
                  <w:r w:rsidR="00351B3F" w:rsidRPr="00351B3F">
                    <w:t xml:space="preserve">eal national consumer wage projections based on </w:t>
                  </w:r>
                  <w:proofErr w:type="spellStart"/>
                  <w:r w:rsidR="00351B3F" w:rsidRPr="00351B3F">
                    <w:t>VURM</w:t>
                  </w:r>
                  <w:proofErr w:type="spellEnd"/>
                  <w:r w:rsidR="00351B3F">
                    <w:noBreakHyphen/>
                  </w:r>
                  <w:r w:rsidR="00351B3F" w:rsidRPr="00351B3F">
                    <w:t>MI</w:t>
                  </w:r>
                  <w:r w:rsidR="00351B3F">
                    <w:t>.</w:t>
                  </w:r>
                </w:p>
              </w:tc>
              <w:tc>
                <w:tcPr>
                  <w:tcW w:w="2534" w:type="dxa"/>
                  <w:tcBorders>
                    <w:top w:val="single" w:sz="6" w:space="0" w:color="BFBFBF"/>
                  </w:tcBorders>
                  <w:shd w:val="clear" w:color="auto" w:fill="D9D9D9" w:themeFill="background1" w:themeFillShade="D9"/>
                </w:tcPr>
                <w:p w14:paraId="4C6A4320" w14:textId="77777777" w:rsidR="00910586" w:rsidRDefault="00A0111B" w:rsidP="00DF30DF">
                  <w:pPr>
                    <w:pStyle w:val="TableBodyText"/>
                    <w:spacing w:before="40"/>
                    <w:jc w:val="left"/>
                  </w:pPr>
                  <w:r>
                    <w:t>N/A</w:t>
                  </w:r>
                  <w:r w:rsidR="003519BE">
                    <w:t xml:space="preserve">. </w:t>
                  </w:r>
                </w:p>
              </w:tc>
              <w:tc>
                <w:tcPr>
                  <w:tcW w:w="2534" w:type="dxa"/>
                  <w:tcBorders>
                    <w:top w:val="single" w:sz="6" w:space="0" w:color="BFBFBF"/>
                  </w:tcBorders>
                  <w:shd w:val="clear" w:color="auto" w:fill="D9D9D9" w:themeFill="background1" w:themeFillShade="D9"/>
                </w:tcPr>
                <w:p w14:paraId="4C6A4321" w14:textId="77777777" w:rsidR="00910586" w:rsidRDefault="00910586" w:rsidP="00DF30DF">
                  <w:pPr>
                    <w:pStyle w:val="TableBodyText"/>
                    <w:spacing w:before="40"/>
                    <w:jc w:val="left"/>
                  </w:pPr>
                  <w:r>
                    <w:t xml:space="preserve">GDP projections based on </w:t>
                  </w:r>
                  <w:proofErr w:type="spellStart"/>
                  <w:r>
                    <w:t>VU</w:t>
                  </w:r>
                  <w:r w:rsidR="00351B3F">
                    <w:t>RM</w:t>
                  </w:r>
                  <w:proofErr w:type="spellEnd"/>
                  <w:r>
                    <w:noBreakHyphen/>
                    <w:t>MI.</w:t>
                  </w:r>
                </w:p>
              </w:tc>
            </w:tr>
            <w:tr w:rsidR="005E2476" w14:paraId="4C6A4328" w14:textId="77777777" w:rsidTr="005E2476">
              <w:tc>
                <w:tcPr>
                  <w:tcW w:w="1270" w:type="dxa"/>
                </w:tcPr>
                <w:p w14:paraId="4C6A4323" w14:textId="77777777" w:rsidR="00910586" w:rsidRPr="00DF30DF" w:rsidRDefault="00910586" w:rsidP="00DF30DF">
                  <w:pPr>
                    <w:pStyle w:val="TableBodyText"/>
                    <w:spacing w:before="40"/>
                    <w:jc w:val="left"/>
                    <w:rPr>
                      <w:b/>
                    </w:rPr>
                  </w:pPr>
                  <w:r w:rsidRPr="00DF30DF">
                    <w:rPr>
                      <w:b/>
                    </w:rPr>
                    <w:t>Demographic</w:t>
                  </w:r>
                </w:p>
              </w:tc>
              <w:tc>
                <w:tcPr>
                  <w:tcW w:w="2534" w:type="dxa"/>
                </w:tcPr>
                <w:p w14:paraId="4C6A4324" w14:textId="77777777" w:rsidR="00910586" w:rsidRDefault="00910586" w:rsidP="00DF30DF">
                  <w:pPr>
                    <w:pStyle w:val="TableBodyText"/>
                    <w:spacing w:before="40"/>
                    <w:jc w:val="left"/>
                  </w:pPr>
                  <w:r>
                    <w:t xml:space="preserve">Population projections, mortality and fertility rates based on </w:t>
                  </w:r>
                  <w:proofErr w:type="spellStart"/>
                  <w:r>
                    <w:t>VU</w:t>
                  </w:r>
                  <w:r w:rsidR="00351B3F">
                    <w:t>RM</w:t>
                  </w:r>
                  <w:proofErr w:type="spellEnd"/>
                  <w:r>
                    <w:noBreakHyphen/>
                  </w:r>
                  <w:r w:rsidR="00BB5D14">
                    <w:t xml:space="preserve">MI (single year age). </w:t>
                  </w:r>
                </w:p>
              </w:tc>
              <w:tc>
                <w:tcPr>
                  <w:tcW w:w="2534" w:type="dxa"/>
                </w:tcPr>
                <w:p w14:paraId="4C6A4325" w14:textId="77777777" w:rsidR="00910586" w:rsidRDefault="00BB5D14" w:rsidP="00DF30DF">
                  <w:pPr>
                    <w:pStyle w:val="TableBodyText"/>
                    <w:spacing w:before="40"/>
                    <w:jc w:val="left"/>
                  </w:pPr>
                  <w:r>
                    <w:t xml:space="preserve">Population not modelled. </w:t>
                  </w:r>
                </w:p>
                <w:p w14:paraId="4C6A4326" w14:textId="77777777" w:rsidR="00BB5D14" w:rsidRDefault="004F00E2" w:rsidP="00DF30DF">
                  <w:pPr>
                    <w:pStyle w:val="TableBodyText"/>
                    <w:spacing w:before="40"/>
                    <w:jc w:val="left"/>
                  </w:pPr>
                  <w:r>
                    <w:t xml:space="preserve">Mortality based on average life expectancy. </w:t>
                  </w:r>
                </w:p>
              </w:tc>
              <w:tc>
                <w:tcPr>
                  <w:tcW w:w="2534" w:type="dxa"/>
                </w:tcPr>
                <w:p w14:paraId="4C6A4327" w14:textId="77777777" w:rsidR="00910586" w:rsidRDefault="00910586" w:rsidP="00DF30DF">
                  <w:pPr>
                    <w:pStyle w:val="TableBodyText"/>
                    <w:spacing w:before="40"/>
                    <w:jc w:val="left"/>
                  </w:pPr>
                  <w:r>
                    <w:t xml:space="preserve">Population projections, mortality and fertility rates based on </w:t>
                  </w:r>
                  <w:proofErr w:type="spellStart"/>
                  <w:r>
                    <w:t>VU</w:t>
                  </w:r>
                  <w:r w:rsidR="00351B3F">
                    <w:t>RM</w:t>
                  </w:r>
                  <w:proofErr w:type="spellEnd"/>
                  <w:r>
                    <w:noBreakHyphen/>
                    <w:t>MI</w:t>
                  </w:r>
                  <w:r w:rsidR="00BB5D14">
                    <w:t xml:space="preserve"> (single year age)</w:t>
                  </w:r>
                  <w:r>
                    <w:t>.</w:t>
                  </w:r>
                </w:p>
              </w:tc>
            </w:tr>
            <w:tr w:rsidR="005E2476" w14:paraId="4C6A432D" w14:textId="77777777" w:rsidTr="00DF30DF">
              <w:tc>
                <w:tcPr>
                  <w:tcW w:w="1270" w:type="dxa"/>
                  <w:shd w:val="clear" w:color="auto" w:fill="D9D9D9" w:themeFill="background1" w:themeFillShade="D9"/>
                </w:tcPr>
                <w:p w14:paraId="4C6A4329" w14:textId="77777777" w:rsidR="008C7D5C" w:rsidRPr="00DF30DF" w:rsidRDefault="008C7D5C" w:rsidP="00DF30DF">
                  <w:pPr>
                    <w:pStyle w:val="TableBodyText"/>
                    <w:spacing w:before="40"/>
                    <w:jc w:val="left"/>
                    <w:rPr>
                      <w:b/>
                    </w:rPr>
                  </w:pPr>
                  <w:r w:rsidRPr="00DF30DF">
                    <w:rPr>
                      <w:b/>
                    </w:rPr>
                    <w:t>NOM</w:t>
                  </w:r>
                </w:p>
              </w:tc>
              <w:tc>
                <w:tcPr>
                  <w:tcW w:w="2534" w:type="dxa"/>
                  <w:shd w:val="clear" w:color="auto" w:fill="D9D9D9" w:themeFill="background1" w:themeFillShade="D9"/>
                </w:tcPr>
                <w:p w14:paraId="4C6A432A" w14:textId="748385D7" w:rsidR="008C7D5C" w:rsidRDefault="003519BE" w:rsidP="00DF30DF">
                  <w:pPr>
                    <w:pStyle w:val="TableBodyText"/>
                    <w:spacing w:before="40"/>
                    <w:jc w:val="left"/>
                  </w:pPr>
                  <w:r>
                    <w:t xml:space="preserve">Converges to </w:t>
                  </w:r>
                  <w:r w:rsidR="00351B3F">
                    <w:t xml:space="preserve">the annual historical average of </w:t>
                  </w:r>
                  <w:r>
                    <w:t>0.6 per cent of the population</w:t>
                  </w:r>
                  <w:r w:rsidR="00351B3F">
                    <w:t xml:space="preserve"> by 2</w:t>
                  </w:r>
                  <w:r w:rsidR="004354FF">
                    <w:t> </w:t>
                  </w:r>
                  <w:r w:rsidR="00351B3F">
                    <w:t>025</w:t>
                  </w:r>
                  <w:r>
                    <w:t xml:space="preserve"> and remains at that proportion.</w:t>
                  </w:r>
                </w:p>
              </w:tc>
              <w:tc>
                <w:tcPr>
                  <w:tcW w:w="2534" w:type="dxa"/>
                  <w:shd w:val="clear" w:color="auto" w:fill="D9D9D9" w:themeFill="background1" w:themeFillShade="D9"/>
                </w:tcPr>
                <w:p w14:paraId="4C6A432B" w14:textId="77777777" w:rsidR="008C7D5C" w:rsidRDefault="00A0111B" w:rsidP="00DF30DF">
                  <w:pPr>
                    <w:pStyle w:val="TableBodyText"/>
                    <w:spacing w:before="40"/>
                    <w:jc w:val="left"/>
                  </w:pPr>
                  <w:r>
                    <w:t>N/A.</w:t>
                  </w:r>
                  <w:r w:rsidR="00BB5D14">
                    <w:t xml:space="preserve"> </w:t>
                  </w:r>
                  <w:r w:rsidR="002E1059">
                    <w:t xml:space="preserve">Migrant intake defined as permanent migrants in the Migration </w:t>
                  </w:r>
                  <w:proofErr w:type="spellStart"/>
                  <w:r w:rsidR="002E1059">
                    <w:t>Programme</w:t>
                  </w:r>
                  <w:proofErr w:type="spellEnd"/>
                  <w:r w:rsidR="002E1059">
                    <w:t>.</w:t>
                  </w:r>
                </w:p>
              </w:tc>
              <w:tc>
                <w:tcPr>
                  <w:tcW w:w="2534" w:type="dxa"/>
                  <w:shd w:val="clear" w:color="auto" w:fill="D9D9D9" w:themeFill="background1" w:themeFillShade="D9"/>
                </w:tcPr>
                <w:p w14:paraId="4C6A432C" w14:textId="1949F3AD" w:rsidR="008C7D5C" w:rsidRDefault="00351B3F" w:rsidP="00DF30DF">
                  <w:pPr>
                    <w:pStyle w:val="TableBodyText"/>
                    <w:spacing w:before="40"/>
                    <w:jc w:val="left"/>
                  </w:pPr>
                  <w:r>
                    <w:t>Converges to the annual historical average of 0.6 per cent of the population by 2</w:t>
                  </w:r>
                  <w:r w:rsidR="004354FF">
                    <w:t> </w:t>
                  </w:r>
                  <w:r>
                    <w:t>025 and remains at that proportion.</w:t>
                  </w:r>
                </w:p>
              </w:tc>
            </w:tr>
            <w:tr w:rsidR="005E2476" w14:paraId="4C6A4338" w14:textId="77777777" w:rsidTr="005E2476">
              <w:tc>
                <w:tcPr>
                  <w:tcW w:w="1270" w:type="dxa"/>
                </w:tcPr>
                <w:p w14:paraId="4C6A432E" w14:textId="77777777" w:rsidR="00910586" w:rsidRPr="00DF30DF" w:rsidRDefault="00910586" w:rsidP="00DF30DF">
                  <w:pPr>
                    <w:pStyle w:val="TableBodyText"/>
                    <w:spacing w:before="40"/>
                    <w:jc w:val="left"/>
                    <w:rPr>
                      <w:b/>
                    </w:rPr>
                  </w:pPr>
                  <w:r w:rsidRPr="00DF30DF">
                    <w:rPr>
                      <w:b/>
                    </w:rPr>
                    <w:t>Expenditure</w:t>
                  </w:r>
                </w:p>
              </w:tc>
              <w:tc>
                <w:tcPr>
                  <w:tcW w:w="2534" w:type="dxa"/>
                </w:tcPr>
                <w:p w14:paraId="4C6A432F" w14:textId="7B71203B" w:rsidR="00351B3F" w:rsidRDefault="00351B3F" w:rsidP="00DF30DF">
                  <w:pPr>
                    <w:pStyle w:val="TableBodyText"/>
                    <w:spacing w:before="40"/>
                    <w:jc w:val="left"/>
                  </w:pPr>
                  <w:r>
                    <w:t xml:space="preserve">Per person expenditures for health, aged care and education </w:t>
                  </w:r>
                  <w:r w:rsidR="005E2476">
                    <w:t>from</w:t>
                  </w:r>
                  <w:r>
                    <w:t xml:space="preserve"> </w:t>
                  </w:r>
                  <w:r w:rsidR="005E2476">
                    <w:t xml:space="preserve">PC </w:t>
                  </w:r>
                  <w:r w:rsidR="00072C7F">
                    <w:rPr>
                      <w:rFonts w:cs="Arial"/>
                      <w:szCs w:val="24"/>
                    </w:rPr>
                    <w:t>(</w:t>
                  </w:r>
                  <w:r w:rsidRPr="003519BE">
                    <w:rPr>
                      <w:rFonts w:cs="Arial"/>
                      <w:szCs w:val="24"/>
                    </w:rPr>
                    <w:t>2</w:t>
                  </w:r>
                  <w:r w:rsidR="004354FF">
                    <w:rPr>
                      <w:rFonts w:cs="Arial"/>
                      <w:szCs w:val="24"/>
                    </w:rPr>
                    <w:t> </w:t>
                  </w:r>
                  <w:r w:rsidRPr="003519BE">
                    <w:rPr>
                      <w:rFonts w:cs="Arial"/>
                      <w:szCs w:val="24"/>
                    </w:rPr>
                    <w:t>013)</w:t>
                  </w:r>
                  <w:r w:rsidR="005E2476">
                    <w:t>.</w:t>
                  </w:r>
                </w:p>
                <w:p w14:paraId="4C6A4330" w14:textId="77777777" w:rsidR="00351B3F" w:rsidRDefault="00351B3F" w:rsidP="00DF30DF">
                  <w:pPr>
                    <w:pStyle w:val="TableBodyText"/>
                    <w:spacing w:before="40"/>
                    <w:jc w:val="left"/>
                  </w:pPr>
                  <w:r w:rsidRPr="00351B3F">
                    <w:rPr>
                      <w:i/>
                    </w:rPr>
                    <w:t>Coverage</w:t>
                  </w:r>
                  <w:r>
                    <w:t xml:space="preserve">: Australian and </w:t>
                  </w:r>
                  <w:r w:rsidR="007C6A45">
                    <w:t>s</w:t>
                  </w:r>
                  <w:r>
                    <w:t xml:space="preserve">tate and </w:t>
                  </w:r>
                  <w:r w:rsidR="007C6A45">
                    <w:t>t</w:t>
                  </w:r>
                  <w:r>
                    <w:t xml:space="preserve">erritory </w:t>
                  </w:r>
                  <w:r w:rsidR="007C6A45">
                    <w:t>g</w:t>
                  </w:r>
                  <w:r>
                    <w:t>overnments health, aged care, education and other (e.g. government administration).</w:t>
                  </w:r>
                </w:p>
                <w:p w14:paraId="4C6A4331" w14:textId="2F5B9481" w:rsidR="0023713B" w:rsidRDefault="00351B3F" w:rsidP="00DF30DF">
                  <w:pPr>
                    <w:pStyle w:val="TableBodyText"/>
                    <w:spacing w:before="40"/>
                    <w:jc w:val="left"/>
                  </w:pPr>
                  <w:r w:rsidRPr="00351B3F">
                    <w:rPr>
                      <w:i/>
                    </w:rPr>
                    <w:t>Growth</w:t>
                  </w:r>
                  <w:r>
                    <w:t>: Real per person health and education costs a</w:t>
                  </w:r>
                  <w:r w:rsidR="00244B2E">
                    <w:t>re constant over the projection</w:t>
                  </w:r>
                  <w:r>
                    <w:t xml:space="preserve"> and aged care costs decline in line with improvements in mortality rates. Other expenditures grow in line with real household consumption. Age Pension payments are indexed to the population over 65 years and the projected wage index. For other transfers see</w:t>
                  </w:r>
                  <w:r w:rsidR="00072C7F">
                    <w:t xml:space="preserve"> Adams </w:t>
                  </w:r>
                  <w:r w:rsidR="005E2476">
                    <w:t>et </w:t>
                  </w:r>
                  <w:r w:rsidR="00072C7F">
                    <w:t xml:space="preserve">al. </w:t>
                  </w:r>
                  <w:r w:rsidRPr="00351B3F">
                    <w:rPr>
                      <w:rFonts w:cs="Arial"/>
                      <w:szCs w:val="24"/>
                    </w:rPr>
                    <w:t>(2</w:t>
                  </w:r>
                  <w:r w:rsidR="004354FF">
                    <w:rPr>
                      <w:rFonts w:cs="Arial"/>
                      <w:szCs w:val="24"/>
                    </w:rPr>
                    <w:t> </w:t>
                  </w:r>
                  <w:r w:rsidRPr="00351B3F">
                    <w:rPr>
                      <w:rFonts w:cs="Arial"/>
                      <w:szCs w:val="24"/>
                    </w:rPr>
                    <w:t>015)</w:t>
                  </w:r>
                  <w:r w:rsidR="00072C7F">
                    <w:t>.</w:t>
                  </w:r>
                </w:p>
              </w:tc>
              <w:tc>
                <w:tcPr>
                  <w:tcW w:w="2534" w:type="dxa"/>
                </w:tcPr>
                <w:p w14:paraId="4C6A4332" w14:textId="6B125410" w:rsidR="003519BE" w:rsidRDefault="003519BE" w:rsidP="00DF30DF">
                  <w:pPr>
                    <w:pStyle w:val="TableBodyText"/>
                    <w:spacing w:before="40"/>
                    <w:jc w:val="left"/>
                  </w:pPr>
                  <w:r>
                    <w:t xml:space="preserve">Per person expenditures </w:t>
                  </w:r>
                  <w:r w:rsidR="005E2476">
                    <w:t>from</w:t>
                  </w:r>
                  <w:r w:rsidR="00072C7F">
                    <w:t xml:space="preserve"> PC</w:t>
                  </w:r>
                  <w:r>
                    <w:t xml:space="preserve"> </w:t>
                  </w:r>
                  <w:r w:rsidR="00072C7F">
                    <w:rPr>
                      <w:rFonts w:cs="Arial"/>
                      <w:szCs w:val="24"/>
                    </w:rPr>
                    <w:t>(</w:t>
                  </w:r>
                  <w:r w:rsidRPr="003519BE">
                    <w:rPr>
                      <w:rFonts w:cs="Arial"/>
                      <w:szCs w:val="24"/>
                    </w:rPr>
                    <w:t>2</w:t>
                  </w:r>
                  <w:r w:rsidR="004354FF">
                    <w:rPr>
                      <w:rFonts w:cs="Arial"/>
                      <w:szCs w:val="24"/>
                    </w:rPr>
                    <w:t> </w:t>
                  </w:r>
                  <w:r w:rsidRPr="003519BE">
                    <w:rPr>
                      <w:rFonts w:cs="Arial"/>
                      <w:szCs w:val="24"/>
                    </w:rPr>
                    <w:t>013)</w:t>
                  </w:r>
                  <w:r>
                    <w:t>.</w:t>
                  </w:r>
                </w:p>
                <w:p w14:paraId="4C6A4333" w14:textId="77777777" w:rsidR="00BB5D14" w:rsidRDefault="00910586" w:rsidP="00DF30DF">
                  <w:pPr>
                    <w:pStyle w:val="TableBodyText"/>
                    <w:spacing w:before="40"/>
                    <w:jc w:val="left"/>
                  </w:pPr>
                  <w:r w:rsidRPr="00281AE6">
                    <w:rPr>
                      <w:i/>
                    </w:rPr>
                    <w:t>Coverage</w:t>
                  </w:r>
                  <w:r>
                    <w:t>:</w:t>
                  </w:r>
                  <w:r w:rsidR="00BB5D14">
                    <w:t xml:space="preserve"> </w:t>
                  </w:r>
                  <w:r w:rsidR="00A0111B">
                    <w:t xml:space="preserve">Australian and </w:t>
                  </w:r>
                  <w:r w:rsidR="007C6A45">
                    <w:t>s</w:t>
                  </w:r>
                  <w:r w:rsidR="00A0111B">
                    <w:t xml:space="preserve">tate and </w:t>
                  </w:r>
                  <w:r w:rsidR="007C6A45">
                    <w:t>t</w:t>
                  </w:r>
                  <w:r w:rsidR="00A0111B">
                    <w:t xml:space="preserve">erritory </w:t>
                  </w:r>
                  <w:r w:rsidR="007C6A45">
                    <w:t xml:space="preserve">government </w:t>
                  </w:r>
                  <w:r w:rsidR="00A0111B">
                    <w:t>h</w:t>
                  </w:r>
                  <w:r w:rsidR="00BB5D14">
                    <w:t>ealth (</w:t>
                  </w:r>
                  <w:r w:rsidR="00A0111B">
                    <w:t>no disaggregation), e</w:t>
                  </w:r>
                  <w:r w:rsidR="00BB5D14">
                    <w:t>ducation (</w:t>
                  </w:r>
                  <w:r w:rsidR="00A0111B">
                    <w:t>no disaggregation), and t</w:t>
                  </w:r>
                  <w:r w:rsidR="00BB5D14">
                    <w:t>ransfers (</w:t>
                  </w:r>
                  <w:r w:rsidR="004F00E2">
                    <w:t xml:space="preserve">Age Pension, </w:t>
                  </w:r>
                  <w:proofErr w:type="spellStart"/>
                  <w:r w:rsidR="00A0111B">
                    <w:t>DSP</w:t>
                  </w:r>
                  <w:proofErr w:type="spellEnd"/>
                  <w:r w:rsidR="00A0111B">
                    <w:t xml:space="preserve">, </w:t>
                  </w:r>
                  <w:r w:rsidR="004F00E2">
                    <w:t>disability employment services, aged care</w:t>
                  </w:r>
                  <w:r w:rsidR="00A0111B">
                    <w:t>), and other (e.g. government administration).</w:t>
                  </w:r>
                </w:p>
                <w:p w14:paraId="4C6A4334" w14:textId="77777777" w:rsidR="00910586" w:rsidRDefault="00910586" w:rsidP="00DF30DF">
                  <w:pPr>
                    <w:pStyle w:val="TableBodyText"/>
                    <w:spacing w:before="40"/>
                    <w:jc w:val="left"/>
                  </w:pPr>
                  <w:r w:rsidRPr="00281AE6">
                    <w:rPr>
                      <w:i/>
                    </w:rPr>
                    <w:t>Growth</w:t>
                  </w:r>
                  <w:r>
                    <w:t>:</w:t>
                  </w:r>
                  <w:r w:rsidR="00A0111B">
                    <w:t xml:space="preserve"> </w:t>
                  </w:r>
                  <w:r w:rsidR="004F00E2">
                    <w:t xml:space="preserve">Real per person </w:t>
                  </w:r>
                  <w:r w:rsidR="00B066A9">
                    <w:t xml:space="preserve">costs </w:t>
                  </w:r>
                  <w:r w:rsidR="004F00E2">
                    <w:t xml:space="preserve">held constant. </w:t>
                  </w:r>
                </w:p>
              </w:tc>
              <w:tc>
                <w:tcPr>
                  <w:tcW w:w="2534" w:type="dxa"/>
                </w:tcPr>
                <w:p w14:paraId="4C6A4335" w14:textId="26406619" w:rsidR="009854FC" w:rsidRDefault="005E2476" w:rsidP="00DF30DF">
                  <w:pPr>
                    <w:pStyle w:val="TableBodyText"/>
                    <w:spacing w:before="40"/>
                    <w:jc w:val="left"/>
                  </w:pPr>
                  <w:r>
                    <w:t>All p</w:t>
                  </w:r>
                  <w:r w:rsidR="003519BE">
                    <w:t xml:space="preserve">er person expenditures </w:t>
                  </w:r>
                  <w:r>
                    <w:t>from</w:t>
                  </w:r>
                  <w:r w:rsidR="00072C7F">
                    <w:t xml:space="preserve"> PC</w:t>
                  </w:r>
                  <w:r w:rsidR="003519BE">
                    <w:t xml:space="preserve"> </w:t>
                  </w:r>
                  <w:r w:rsidR="00072C7F">
                    <w:rPr>
                      <w:rFonts w:cs="Arial"/>
                      <w:szCs w:val="24"/>
                    </w:rPr>
                    <w:t>(</w:t>
                  </w:r>
                  <w:r w:rsidR="003519BE" w:rsidRPr="003519BE">
                    <w:rPr>
                      <w:rFonts w:cs="Arial"/>
                      <w:szCs w:val="24"/>
                    </w:rPr>
                    <w:t>2</w:t>
                  </w:r>
                  <w:r w:rsidR="004354FF">
                    <w:rPr>
                      <w:rFonts w:cs="Arial"/>
                      <w:szCs w:val="24"/>
                    </w:rPr>
                    <w:t> </w:t>
                  </w:r>
                  <w:r w:rsidR="003519BE" w:rsidRPr="003519BE">
                    <w:rPr>
                      <w:rFonts w:cs="Arial"/>
                      <w:szCs w:val="24"/>
                    </w:rPr>
                    <w:t>013)</w:t>
                  </w:r>
                  <w:r w:rsidR="003519BE">
                    <w:t xml:space="preserve">. </w:t>
                  </w:r>
                </w:p>
                <w:p w14:paraId="4C6A4336" w14:textId="77777777" w:rsidR="00BB5D14" w:rsidRDefault="00910586" w:rsidP="00DF30DF">
                  <w:pPr>
                    <w:pStyle w:val="TableBodyText"/>
                    <w:spacing w:before="40"/>
                    <w:jc w:val="left"/>
                  </w:pPr>
                  <w:r w:rsidRPr="00281AE6">
                    <w:rPr>
                      <w:i/>
                    </w:rPr>
                    <w:t>Coverage</w:t>
                  </w:r>
                  <w:r>
                    <w:t>:</w:t>
                  </w:r>
                  <w:r w:rsidR="00BB5D14">
                    <w:t xml:space="preserve"> </w:t>
                  </w:r>
                  <w:r w:rsidR="00A0111B">
                    <w:t xml:space="preserve">Australian and </w:t>
                  </w:r>
                  <w:r w:rsidR="007C6A45">
                    <w:t>s</w:t>
                  </w:r>
                  <w:r w:rsidR="00A0111B">
                    <w:t xml:space="preserve">tate and </w:t>
                  </w:r>
                  <w:r w:rsidR="007C6A45">
                    <w:t>t</w:t>
                  </w:r>
                  <w:r w:rsidR="00A0111B">
                    <w:t>erritory</w:t>
                  </w:r>
                  <w:r w:rsidR="007C6A45">
                    <w:t xml:space="preserve"> government</w:t>
                  </w:r>
                  <w:r w:rsidR="00A0111B">
                    <w:t xml:space="preserve"> health </w:t>
                  </w:r>
                  <w:r w:rsidR="00BB5D14">
                    <w:t>(</w:t>
                  </w:r>
                  <w:proofErr w:type="spellStart"/>
                  <w:r w:rsidR="00A0111B">
                    <w:t>PBS</w:t>
                  </w:r>
                  <w:proofErr w:type="spellEnd"/>
                  <w:r w:rsidR="00A0111B">
                    <w:t>, Medicare, hospitals, PHI rebate, other), e</w:t>
                  </w:r>
                  <w:r w:rsidR="00BB5D14">
                    <w:t>ducation (</w:t>
                  </w:r>
                  <w:r w:rsidR="00A0111B">
                    <w:t>pre</w:t>
                  </w:r>
                  <w:r w:rsidR="00A0111B">
                    <w:noBreakHyphen/>
                    <w:t>school, primary and secondary, university, TAFE, and</w:t>
                  </w:r>
                  <w:r w:rsidR="005E2476">
                    <w:t xml:space="preserve"> other</w:t>
                  </w:r>
                  <w:r w:rsidR="00A0111B">
                    <w:t>), t</w:t>
                  </w:r>
                  <w:r w:rsidR="00BB5D14">
                    <w:t>ransfers (</w:t>
                  </w:r>
                  <w:proofErr w:type="spellStart"/>
                  <w:r w:rsidR="00A0111B">
                    <w:t>DSP</w:t>
                  </w:r>
                  <w:proofErr w:type="spellEnd"/>
                  <w:r w:rsidR="00A0111B">
                    <w:t xml:space="preserve">, aged care, </w:t>
                  </w:r>
                  <w:r w:rsidR="00244B2E">
                    <w:t xml:space="preserve">Age Pension, unemployment, </w:t>
                  </w:r>
                  <w:proofErr w:type="spellStart"/>
                  <w:r w:rsidR="00244B2E">
                    <w:t>FTB</w:t>
                  </w:r>
                  <w:proofErr w:type="spellEnd"/>
                  <w:r w:rsidR="00244B2E">
                    <w:t>)</w:t>
                  </w:r>
                  <w:r w:rsidR="00A0111B">
                    <w:t xml:space="preserve"> and other (e.g. government administration).</w:t>
                  </w:r>
                </w:p>
                <w:p w14:paraId="4C6A4337" w14:textId="77777777" w:rsidR="00910586" w:rsidRDefault="00910586" w:rsidP="00DF30DF">
                  <w:pPr>
                    <w:pStyle w:val="TableBodyText"/>
                    <w:spacing w:before="40"/>
                    <w:jc w:val="left"/>
                  </w:pPr>
                  <w:r w:rsidRPr="00281AE6">
                    <w:rPr>
                      <w:i/>
                    </w:rPr>
                    <w:t>Growth</w:t>
                  </w:r>
                  <w:r>
                    <w:t>:</w:t>
                  </w:r>
                  <w:r w:rsidR="00BB5D14">
                    <w:t xml:space="preserve"> </w:t>
                  </w:r>
                  <w:r w:rsidR="009854FC">
                    <w:t>Real p</w:t>
                  </w:r>
                  <w:r w:rsidR="00BB5D14">
                    <w:t xml:space="preserve">er person </w:t>
                  </w:r>
                  <w:r w:rsidR="00A0111B">
                    <w:t>health and aged care costs</w:t>
                  </w:r>
                  <w:r w:rsidR="0023713B">
                    <w:t xml:space="preserve"> are consistent with </w:t>
                  </w:r>
                  <w:proofErr w:type="spellStart"/>
                  <w:r w:rsidR="003F4650">
                    <w:t>CGE</w:t>
                  </w:r>
                  <w:proofErr w:type="spellEnd"/>
                  <w:r w:rsidR="00A0111B">
                    <w:t xml:space="preserve">. </w:t>
                  </w:r>
                  <w:r w:rsidR="00351B3F">
                    <w:t xml:space="preserve">Age Pension payments are indexed to the projected wage index. </w:t>
                  </w:r>
                  <w:r w:rsidR="00A0111B">
                    <w:t>E</w:t>
                  </w:r>
                  <w:r w:rsidR="00BB5D14">
                    <w:t xml:space="preserve">ducation and </w:t>
                  </w:r>
                  <w:r w:rsidR="00A0111B">
                    <w:t xml:space="preserve">other </w:t>
                  </w:r>
                  <w:r w:rsidR="00BB5D14">
                    <w:t xml:space="preserve">transfers costs </w:t>
                  </w:r>
                  <w:r w:rsidR="00351B3F">
                    <w:t xml:space="preserve">are indexed to the </w:t>
                  </w:r>
                  <w:proofErr w:type="spellStart"/>
                  <w:r w:rsidR="00351B3F">
                    <w:t>VURM</w:t>
                  </w:r>
                  <w:proofErr w:type="spellEnd"/>
                  <w:r w:rsidR="00351B3F">
                    <w:noBreakHyphen/>
                    <w:t>MI government price index</w:t>
                  </w:r>
                  <w:r w:rsidR="00072C7F">
                    <w:t xml:space="preserve"> and the CPI, </w:t>
                  </w:r>
                  <w:proofErr w:type="spellStart"/>
                  <w:r w:rsidR="00072C7F">
                    <w:t>respectively</w:t>
                  </w:r>
                  <w:r w:rsidR="00BB5D14">
                    <w:t>.</w:t>
                  </w:r>
                  <w:r w:rsidR="00E17923">
                    <w:rPr>
                      <w:vertAlign w:val="superscript"/>
                    </w:rPr>
                    <w:t>a</w:t>
                  </w:r>
                  <w:proofErr w:type="spellEnd"/>
                  <w:r w:rsidR="00A0111B">
                    <w:t xml:space="preserve"> </w:t>
                  </w:r>
                </w:p>
              </w:tc>
            </w:tr>
            <w:tr w:rsidR="005E2476" w14:paraId="4C6A4340" w14:textId="77777777" w:rsidTr="00DF30DF">
              <w:tc>
                <w:tcPr>
                  <w:tcW w:w="1270" w:type="dxa"/>
                  <w:shd w:val="clear" w:color="auto" w:fill="D9D9D9" w:themeFill="background1" w:themeFillShade="D9"/>
                </w:tcPr>
                <w:p w14:paraId="4C6A4339" w14:textId="77777777" w:rsidR="00910586" w:rsidRPr="00DF30DF" w:rsidRDefault="00910586" w:rsidP="00DF30DF">
                  <w:pPr>
                    <w:pStyle w:val="TableBodyText"/>
                    <w:spacing w:before="40"/>
                    <w:jc w:val="left"/>
                    <w:rPr>
                      <w:b/>
                    </w:rPr>
                  </w:pPr>
                  <w:r w:rsidRPr="00DF30DF">
                    <w:rPr>
                      <w:b/>
                    </w:rPr>
                    <w:t>Revenue</w:t>
                  </w:r>
                </w:p>
              </w:tc>
              <w:tc>
                <w:tcPr>
                  <w:tcW w:w="2534" w:type="dxa"/>
                  <w:shd w:val="clear" w:color="auto" w:fill="D9D9D9" w:themeFill="background1" w:themeFillShade="D9"/>
                </w:tcPr>
                <w:p w14:paraId="4C6A433A" w14:textId="77777777" w:rsidR="00910586" w:rsidRDefault="00910586" w:rsidP="00DF30DF">
                  <w:pPr>
                    <w:pStyle w:val="TableBodyText"/>
                    <w:spacing w:before="40"/>
                    <w:jc w:val="left"/>
                  </w:pPr>
                  <w:r w:rsidRPr="00281AE6">
                    <w:rPr>
                      <w:i/>
                    </w:rPr>
                    <w:t>Coverage</w:t>
                  </w:r>
                  <w:r>
                    <w:t>:</w:t>
                  </w:r>
                  <w:r w:rsidR="0023713B">
                    <w:t xml:space="preserve"> All </w:t>
                  </w:r>
                  <w:r w:rsidR="00351B3F">
                    <w:t xml:space="preserve">major </w:t>
                  </w:r>
                  <w:r w:rsidR="0023713B">
                    <w:t>taxes.</w:t>
                  </w:r>
                </w:p>
                <w:p w14:paraId="4C6A433B" w14:textId="20DBF438" w:rsidR="00910586" w:rsidRDefault="00910586" w:rsidP="00DF30DF">
                  <w:pPr>
                    <w:pStyle w:val="TableBodyText"/>
                    <w:spacing w:before="40"/>
                    <w:jc w:val="left"/>
                  </w:pPr>
                  <w:r w:rsidRPr="00281AE6">
                    <w:rPr>
                      <w:i/>
                    </w:rPr>
                    <w:t>Growth</w:t>
                  </w:r>
                  <w:r>
                    <w:t>:</w:t>
                  </w:r>
                  <w:r w:rsidR="0023713B">
                    <w:t xml:space="preserve"> </w:t>
                  </w:r>
                  <w:r w:rsidR="00072C7F">
                    <w:t>Discussed in</w:t>
                  </w:r>
                  <w:r w:rsidR="005E2476">
                    <w:t xml:space="preserve"> Adams et </w:t>
                  </w:r>
                  <w:r w:rsidR="00072C7F">
                    <w:t xml:space="preserve">al. </w:t>
                  </w:r>
                  <w:r w:rsidR="00072C7F" w:rsidRPr="00351B3F">
                    <w:rPr>
                      <w:rFonts w:cs="Arial"/>
                      <w:szCs w:val="24"/>
                    </w:rPr>
                    <w:t>(2</w:t>
                  </w:r>
                  <w:r w:rsidR="004354FF">
                    <w:rPr>
                      <w:rFonts w:cs="Arial"/>
                      <w:szCs w:val="24"/>
                    </w:rPr>
                    <w:t> </w:t>
                  </w:r>
                  <w:r w:rsidR="00072C7F" w:rsidRPr="00351B3F">
                    <w:rPr>
                      <w:rFonts w:cs="Arial"/>
                      <w:szCs w:val="24"/>
                    </w:rPr>
                    <w:t>015)</w:t>
                  </w:r>
                  <w:r w:rsidR="00072C7F">
                    <w:t>.</w:t>
                  </w:r>
                </w:p>
              </w:tc>
              <w:tc>
                <w:tcPr>
                  <w:tcW w:w="2534" w:type="dxa"/>
                  <w:shd w:val="clear" w:color="auto" w:fill="D9D9D9" w:themeFill="background1" w:themeFillShade="D9"/>
                </w:tcPr>
                <w:p w14:paraId="4C6A433C" w14:textId="77777777" w:rsidR="00910586" w:rsidRDefault="00910586" w:rsidP="00DF30DF">
                  <w:pPr>
                    <w:pStyle w:val="TableBodyText"/>
                    <w:spacing w:before="40"/>
                    <w:jc w:val="left"/>
                  </w:pPr>
                  <w:r w:rsidRPr="00281AE6">
                    <w:rPr>
                      <w:i/>
                    </w:rPr>
                    <w:t>Coverage</w:t>
                  </w:r>
                  <w:r>
                    <w:t>:</w:t>
                  </w:r>
                  <w:r w:rsidR="0023713B">
                    <w:t xml:space="preserve"> Income tax, GST, migration fees and charges.</w:t>
                  </w:r>
                </w:p>
                <w:p w14:paraId="4C6A433D" w14:textId="77777777" w:rsidR="00910586" w:rsidRDefault="00910586" w:rsidP="00DF30DF">
                  <w:pPr>
                    <w:pStyle w:val="TableBodyText"/>
                    <w:spacing w:before="40"/>
                    <w:jc w:val="left"/>
                  </w:pPr>
                  <w:r w:rsidRPr="00281AE6">
                    <w:rPr>
                      <w:i/>
                    </w:rPr>
                    <w:t>Growth</w:t>
                  </w:r>
                  <w:r>
                    <w:t>:</w:t>
                  </w:r>
                  <w:r w:rsidR="0023713B">
                    <w:t xml:space="preserve"> </w:t>
                  </w:r>
                  <w:r w:rsidR="00C9055D">
                    <w:t>Real p</w:t>
                  </w:r>
                  <w:r w:rsidR="00D87189">
                    <w:t>er person r</w:t>
                  </w:r>
                  <w:r w:rsidR="004F00E2">
                    <w:t>evenues held constant.</w:t>
                  </w:r>
                </w:p>
              </w:tc>
              <w:tc>
                <w:tcPr>
                  <w:tcW w:w="2534" w:type="dxa"/>
                  <w:shd w:val="clear" w:color="auto" w:fill="D9D9D9" w:themeFill="background1" w:themeFillShade="D9"/>
                </w:tcPr>
                <w:p w14:paraId="4C6A433E" w14:textId="77777777" w:rsidR="00910586" w:rsidRDefault="00910586" w:rsidP="00DF30DF">
                  <w:pPr>
                    <w:pStyle w:val="TableBodyText"/>
                    <w:spacing w:before="40"/>
                    <w:jc w:val="left"/>
                  </w:pPr>
                  <w:r w:rsidRPr="00281AE6">
                    <w:rPr>
                      <w:i/>
                    </w:rPr>
                    <w:t>Coverage</w:t>
                  </w:r>
                  <w:r>
                    <w:t>:</w:t>
                  </w:r>
                  <w:r w:rsidR="0023713B">
                    <w:t xml:space="preserve"> All taxes. </w:t>
                  </w:r>
                </w:p>
                <w:p w14:paraId="4C6A433F" w14:textId="77777777" w:rsidR="00910586" w:rsidRDefault="00910586" w:rsidP="00DF30DF">
                  <w:pPr>
                    <w:pStyle w:val="TableBodyText"/>
                    <w:spacing w:before="40"/>
                    <w:jc w:val="left"/>
                  </w:pPr>
                  <w:r w:rsidRPr="00281AE6">
                    <w:rPr>
                      <w:i/>
                    </w:rPr>
                    <w:t>Growth</w:t>
                  </w:r>
                  <w:r>
                    <w:t>:</w:t>
                  </w:r>
                  <w:r w:rsidR="00C9055D">
                    <w:t xml:space="preserve"> Real p</w:t>
                  </w:r>
                  <w:r w:rsidR="0023713B">
                    <w:t>er person revenues grow by GDP growth.</w:t>
                  </w:r>
                </w:p>
              </w:tc>
            </w:tr>
            <w:tr w:rsidR="005E2476" w14:paraId="4C6A4345" w14:textId="77777777" w:rsidTr="005E2476">
              <w:tc>
                <w:tcPr>
                  <w:tcW w:w="1270" w:type="dxa"/>
                  <w:tcBorders>
                    <w:bottom w:val="single" w:sz="6" w:space="0" w:color="BFBFBF"/>
                  </w:tcBorders>
                  <w:shd w:val="clear" w:color="auto" w:fill="auto"/>
                </w:tcPr>
                <w:p w14:paraId="4C6A4341" w14:textId="77777777" w:rsidR="00910586" w:rsidRPr="00DF30DF" w:rsidRDefault="00910586" w:rsidP="00DF30DF">
                  <w:pPr>
                    <w:pStyle w:val="TableBodyText"/>
                    <w:spacing w:before="40"/>
                    <w:jc w:val="left"/>
                    <w:rPr>
                      <w:b/>
                    </w:rPr>
                  </w:pPr>
                  <w:r w:rsidRPr="00DF30DF">
                    <w:rPr>
                      <w:b/>
                    </w:rPr>
                    <w:t>Discount rate</w:t>
                  </w:r>
                </w:p>
              </w:tc>
              <w:tc>
                <w:tcPr>
                  <w:tcW w:w="2534" w:type="dxa"/>
                  <w:tcBorders>
                    <w:bottom w:val="single" w:sz="6" w:space="0" w:color="BFBFBF"/>
                  </w:tcBorders>
                  <w:shd w:val="clear" w:color="auto" w:fill="auto"/>
                </w:tcPr>
                <w:p w14:paraId="4C6A4342" w14:textId="77777777" w:rsidR="00910586" w:rsidRDefault="00910586" w:rsidP="00DF30DF">
                  <w:pPr>
                    <w:pStyle w:val="TableBodyText"/>
                    <w:spacing w:before="40"/>
                    <w:jc w:val="left"/>
                  </w:pPr>
                  <w:r>
                    <w:t>N/A</w:t>
                  </w:r>
                  <w:r w:rsidR="005E2476">
                    <w:t>.</w:t>
                  </w:r>
                </w:p>
              </w:tc>
              <w:tc>
                <w:tcPr>
                  <w:tcW w:w="2534" w:type="dxa"/>
                  <w:tcBorders>
                    <w:bottom w:val="single" w:sz="6" w:space="0" w:color="BFBFBF"/>
                  </w:tcBorders>
                </w:tcPr>
                <w:p w14:paraId="4C6A4343" w14:textId="77777777" w:rsidR="00910586" w:rsidRDefault="00910586" w:rsidP="00DF30DF">
                  <w:pPr>
                    <w:pStyle w:val="TableBodyText"/>
                    <w:spacing w:before="40"/>
                    <w:jc w:val="left"/>
                  </w:pPr>
                  <w:r>
                    <w:t>3 per</w:t>
                  </w:r>
                  <w:r w:rsidR="004F00E2">
                    <w:t xml:space="preserve"> cent real social discount rate. </w:t>
                  </w:r>
                </w:p>
              </w:tc>
              <w:tc>
                <w:tcPr>
                  <w:tcW w:w="2534" w:type="dxa"/>
                  <w:tcBorders>
                    <w:bottom w:val="single" w:sz="6" w:space="0" w:color="BFBFBF"/>
                  </w:tcBorders>
                </w:tcPr>
                <w:p w14:paraId="4C6A4344" w14:textId="77777777" w:rsidR="00910586" w:rsidRDefault="00910586" w:rsidP="00DF30DF">
                  <w:pPr>
                    <w:pStyle w:val="TableBodyText"/>
                    <w:spacing w:before="40"/>
                    <w:jc w:val="left"/>
                  </w:pPr>
                  <w:r>
                    <w:t>3 per cent real social discount rate.</w:t>
                  </w:r>
                </w:p>
              </w:tc>
            </w:tr>
          </w:tbl>
          <w:p w14:paraId="4C6A4346" w14:textId="77777777" w:rsidR="00A8208C" w:rsidRDefault="00A8208C" w:rsidP="00CD0496">
            <w:pPr>
              <w:pStyle w:val="Box"/>
            </w:pPr>
          </w:p>
        </w:tc>
      </w:tr>
      <w:tr w:rsidR="00A8208C" w14:paraId="4C6A4349" w14:textId="77777777" w:rsidTr="0023713B">
        <w:trPr>
          <w:cantSplit/>
        </w:trPr>
        <w:tc>
          <w:tcPr>
            <w:tcW w:w="8774" w:type="dxa"/>
            <w:tcBorders>
              <w:top w:val="nil"/>
              <w:left w:val="nil"/>
              <w:bottom w:val="nil"/>
              <w:right w:val="nil"/>
            </w:tcBorders>
            <w:shd w:val="clear" w:color="auto" w:fill="auto"/>
          </w:tcPr>
          <w:p w14:paraId="4C6A4348" w14:textId="1F45BBF5" w:rsidR="00A8208C" w:rsidRDefault="00A8208C" w:rsidP="00601F26">
            <w:pPr>
              <w:pStyle w:val="Note"/>
              <w:rPr>
                <w:i/>
              </w:rPr>
            </w:pPr>
            <w:proofErr w:type="spellStart"/>
            <w:r w:rsidRPr="008E77FE">
              <w:rPr>
                <w:rStyle w:val="NoteLabel"/>
              </w:rPr>
              <w:t>a</w:t>
            </w:r>
            <w:proofErr w:type="spellEnd"/>
            <w:r w:rsidR="00BB5D14">
              <w:t xml:space="preserve"> </w:t>
            </w:r>
            <w:r w:rsidR="00CD0496">
              <w:t>The approach of i</w:t>
            </w:r>
            <w:r w:rsidR="008C7D5C">
              <w:t xml:space="preserve">ndexing expenditures is consistent with previous </w:t>
            </w:r>
            <w:r w:rsidR="00CD0496">
              <w:t xml:space="preserve">Commission </w:t>
            </w:r>
            <w:r w:rsidR="00BB5D14">
              <w:t xml:space="preserve">fiscal projection methodologies </w:t>
            </w:r>
            <w:r w:rsidR="00BB5D14" w:rsidRPr="003519BE">
              <w:rPr>
                <w:rFonts w:cs="Arial"/>
                <w:szCs w:val="24"/>
              </w:rPr>
              <w:t>(PC 2013)</w:t>
            </w:r>
            <w:r w:rsidR="008C7D5C">
              <w:t xml:space="preserve"> and is similar </w:t>
            </w:r>
            <w:r w:rsidR="00A0111B">
              <w:t>to</w:t>
            </w:r>
            <w:r w:rsidR="008C7D5C">
              <w:t xml:space="preserve"> </w:t>
            </w:r>
            <w:r w:rsidR="00601F26">
              <w:t xml:space="preserve">that in </w:t>
            </w:r>
            <w:r w:rsidR="008C7D5C">
              <w:t>Australian Government Intergenerational Reports.</w:t>
            </w:r>
          </w:p>
        </w:tc>
      </w:tr>
      <w:tr w:rsidR="00A8208C" w14:paraId="4C6A434B" w14:textId="77777777" w:rsidTr="0023713B">
        <w:trPr>
          <w:cantSplit/>
        </w:trPr>
        <w:tc>
          <w:tcPr>
            <w:tcW w:w="8774" w:type="dxa"/>
            <w:tcBorders>
              <w:top w:val="nil"/>
              <w:left w:val="nil"/>
              <w:bottom w:val="single" w:sz="6" w:space="0" w:color="78A22F"/>
              <w:right w:val="nil"/>
            </w:tcBorders>
            <w:shd w:val="clear" w:color="auto" w:fill="auto"/>
          </w:tcPr>
          <w:p w14:paraId="4C6A434A" w14:textId="77777777" w:rsidR="00A8208C" w:rsidRDefault="00A8208C" w:rsidP="00CD0496">
            <w:pPr>
              <w:pStyle w:val="Box"/>
              <w:spacing w:before="0" w:line="120" w:lineRule="exact"/>
            </w:pPr>
          </w:p>
        </w:tc>
      </w:tr>
      <w:tr w:rsidR="00A8208C" w:rsidRPr="000863A5" w14:paraId="4C6A434D" w14:textId="77777777" w:rsidTr="0023713B">
        <w:tc>
          <w:tcPr>
            <w:tcW w:w="8774" w:type="dxa"/>
            <w:tcBorders>
              <w:top w:val="single" w:sz="6" w:space="0" w:color="78A22F"/>
              <w:left w:val="nil"/>
              <w:bottom w:val="nil"/>
              <w:right w:val="nil"/>
            </w:tcBorders>
          </w:tcPr>
          <w:p w14:paraId="4C6A434C" w14:textId="0AFD928D" w:rsidR="00A8208C" w:rsidRPr="00626D32" w:rsidRDefault="00A8208C" w:rsidP="00CD0496">
            <w:pPr>
              <w:pStyle w:val="BoxSpaceBelow"/>
            </w:pPr>
          </w:p>
        </w:tc>
      </w:tr>
    </w:tbl>
    <w:p w14:paraId="4C6A434E" w14:textId="77777777" w:rsidR="006849EA" w:rsidRDefault="005E2476" w:rsidP="00DF30DF">
      <w:pPr>
        <w:pStyle w:val="Heading2"/>
        <w:spacing w:before="120"/>
      </w:pPr>
      <w:r>
        <w:br w:type="column"/>
      </w:r>
      <w:r w:rsidR="00A462D9">
        <w:lastRenderedPageBreak/>
        <w:t>References</w:t>
      </w:r>
    </w:p>
    <w:p w14:paraId="4C6A4350" w14:textId="7985EE01" w:rsidR="00351B3F" w:rsidRPr="00351B3F" w:rsidRDefault="00351B3F" w:rsidP="00C97F4F">
      <w:pPr>
        <w:pStyle w:val="Reference"/>
      </w:pPr>
      <w:r w:rsidRPr="00351B3F">
        <w:t xml:space="preserve">ABS (Australian Bureau of Statistics) </w:t>
      </w:r>
      <w:proofErr w:type="spellStart"/>
      <w:r w:rsidRPr="00351B3F">
        <w:t>2013a</w:t>
      </w:r>
      <w:proofErr w:type="spellEnd"/>
      <w:r w:rsidRPr="00351B3F">
        <w:t xml:space="preserve">, </w:t>
      </w:r>
      <w:r w:rsidRPr="00351B3F">
        <w:rPr>
          <w:i/>
          <w:iCs/>
        </w:rPr>
        <w:t xml:space="preserve">2011 </w:t>
      </w:r>
      <w:proofErr w:type="spellStart"/>
      <w:r w:rsidR="004354FF">
        <w:rPr>
          <w:i/>
          <w:iCs/>
        </w:rPr>
        <w:t>t</w:t>
      </w:r>
      <w:r w:rsidRPr="00351B3F">
        <w:rPr>
          <w:i/>
          <w:iCs/>
        </w:rPr>
        <w:t>ablebuilder</w:t>
      </w:r>
      <w:proofErr w:type="spellEnd"/>
      <w:r w:rsidRPr="00351B3F">
        <w:rPr>
          <w:i/>
          <w:iCs/>
        </w:rPr>
        <w:t xml:space="preserve"> Pro</w:t>
      </w:r>
      <w:r w:rsidRPr="00351B3F">
        <w:t>, Cat. no. 2073.0, Canberra.</w:t>
      </w:r>
    </w:p>
    <w:p w14:paraId="4C6A4351" w14:textId="7AAEA399" w:rsidR="00351B3F" w:rsidRPr="00351B3F" w:rsidRDefault="00B637EB" w:rsidP="00C97F4F">
      <w:pPr>
        <w:pStyle w:val="Reference"/>
      </w:pPr>
      <w:r>
        <w:t>—— </w:t>
      </w:r>
      <w:proofErr w:type="spellStart"/>
      <w:r w:rsidR="00351B3F" w:rsidRPr="00351B3F">
        <w:t>2013b</w:t>
      </w:r>
      <w:proofErr w:type="spellEnd"/>
      <w:r w:rsidR="00351B3F" w:rsidRPr="00351B3F">
        <w:t xml:space="preserve">, </w:t>
      </w:r>
      <w:r w:rsidR="00351B3F" w:rsidRPr="00351B3F">
        <w:rPr>
          <w:i/>
          <w:iCs/>
        </w:rPr>
        <w:t>Australian Health Survey: Health Service Usage and Health Related Actions, 2011</w:t>
      </w:r>
      <w:r w:rsidR="00C97F4F">
        <w:rPr>
          <w:i/>
          <w:iCs/>
        </w:rPr>
        <w:noBreakHyphen/>
      </w:r>
      <w:r w:rsidR="00351B3F" w:rsidRPr="00351B3F">
        <w:rPr>
          <w:i/>
          <w:iCs/>
        </w:rPr>
        <w:t>12</w:t>
      </w:r>
      <w:r w:rsidR="00351B3F" w:rsidRPr="00351B3F">
        <w:t>, Cat. no. 4364.0.55.002, Canberra.</w:t>
      </w:r>
    </w:p>
    <w:p w14:paraId="4C6A4352" w14:textId="78CFFE36" w:rsidR="00351B3F" w:rsidRPr="00351B3F" w:rsidRDefault="00B637EB" w:rsidP="00C97F4F">
      <w:pPr>
        <w:pStyle w:val="Reference"/>
      </w:pPr>
      <w:r>
        <w:t>—— </w:t>
      </w:r>
      <w:proofErr w:type="spellStart"/>
      <w:r w:rsidR="00351B3F" w:rsidRPr="00351B3F">
        <w:t>2013c</w:t>
      </w:r>
      <w:proofErr w:type="spellEnd"/>
      <w:r w:rsidR="00351B3F" w:rsidRPr="00351B3F">
        <w:t xml:space="preserve">, </w:t>
      </w:r>
      <w:r w:rsidR="00351B3F" w:rsidRPr="00351B3F">
        <w:rPr>
          <w:i/>
          <w:iCs/>
        </w:rPr>
        <w:t>Technical Note: ‘12/16 Month Rule’ Methodology for calculating Net Overseas Migration from September Quarter 2006 Onwards.</w:t>
      </w:r>
      <w:r w:rsidR="00351B3F" w:rsidRPr="00351B3F">
        <w:t xml:space="preserve">, 3412.0 </w:t>
      </w:r>
      <w:r w:rsidR="004354FF">
        <w:noBreakHyphen/>
      </w:r>
      <w:r w:rsidR="00351B3F" w:rsidRPr="00351B3F">
        <w:t xml:space="preserve"> Migration, Australia, 2011</w:t>
      </w:r>
      <w:r w:rsidR="00C97F4F">
        <w:noBreakHyphen/>
      </w:r>
      <w:r w:rsidR="00351B3F" w:rsidRPr="00351B3F">
        <w:t>12 and 2012</w:t>
      </w:r>
      <w:r w:rsidR="00C97F4F">
        <w:noBreakHyphen/>
      </w:r>
      <w:r w:rsidR="00351B3F" w:rsidRPr="00351B3F">
        <w:t>13, Canberra.</w:t>
      </w:r>
    </w:p>
    <w:p w14:paraId="4C6A4353" w14:textId="3BE108F7" w:rsidR="00351B3F" w:rsidRPr="00351B3F" w:rsidRDefault="00B637EB" w:rsidP="00C97F4F">
      <w:pPr>
        <w:pStyle w:val="Reference"/>
      </w:pPr>
      <w:r>
        <w:t>—— </w:t>
      </w:r>
      <w:proofErr w:type="spellStart"/>
      <w:r w:rsidR="00351B3F" w:rsidRPr="00351B3F">
        <w:t>2014a</w:t>
      </w:r>
      <w:proofErr w:type="spellEnd"/>
      <w:r w:rsidR="00351B3F" w:rsidRPr="00351B3F">
        <w:t xml:space="preserve">, </w:t>
      </w:r>
      <w:r w:rsidR="00351B3F" w:rsidRPr="00351B3F">
        <w:rPr>
          <w:i/>
          <w:iCs/>
        </w:rPr>
        <w:t>Australian Historical Population Statistics, August 2008</w:t>
      </w:r>
      <w:r w:rsidR="00351B3F" w:rsidRPr="00351B3F">
        <w:t>, Cat. no. 3105.0.65.001, Canberra.</w:t>
      </w:r>
    </w:p>
    <w:p w14:paraId="4C6A4354" w14:textId="00189590" w:rsidR="00351B3F" w:rsidRPr="00351B3F" w:rsidRDefault="00B637EB" w:rsidP="00C97F4F">
      <w:pPr>
        <w:pStyle w:val="Reference"/>
      </w:pPr>
      <w:r>
        <w:t>—— </w:t>
      </w:r>
      <w:proofErr w:type="spellStart"/>
      <w:r w:rsidR="00351B3F" w:rsidRPr="00351B3F">
        <w:t>2014b</w:t>
      </w:r>
      <w:proofErr w:type="spellEnd"/>
      <w:r w:rsidR="00351B3F" w:rsidRPr="00351B3F">
        <w:t xml:space="preserve">, </w:t>
      </w:r>
      <w:r w:rsidR="00351B3F" w:rsidRPr="00351B3F">
        <w:rPr>
          <w:i/>
          <w:iCs/>
        </w:rPr>
        <w:t>Characteristics of Recent Migrants, Australia, Nov 2013</w:t>
      </w:r>
      <w:r w:rsidR="00351B3F" w:rsidRPr="00351B3F">
        <w:t>, Cat. no. 6250.0, Canberra.</w:t>
      </w:r>
    </w:p>
    <w:p w14:paraId="4C6A4355" w14:textId="7062EB78" w:rsidR="00351B3F" w:rsidRPr="00351B3F" w:rsidRDefault="00B637EB" w:rsidP="00C97F4F">
      <w:pPr>
        <w:pStyle w:val="Reference"/>
      </w:pPr>
      <w:r>
        <w:t>—— </w:t>
      </w:r>
      <w:proofErr w:type="spellStart"/>
      <w:r w:rsidR="00351B3F" w:rsidRPr="00351B3F">
        <w:t>2014c</w:t>
      </w:r>
      <w:proofErr w:type="spellEnd"/>
      <w:r w:rsidR="00351B3F" w:rsidRPr="00351B3F">
        <w:t xml:space="preserve">, </w:t>
      </w:r>
      <w:proofErr w:type="spellStart"/>
      <w:r w:rsidR="00351B3F" w:rsidRPr="00351B3F">
        <w:rPr>
          <w:i/>
          <w:iCs/>
        </w:rPr>
        <w:t>Microdata</w:t>
      </w:r>
      <w:proofErr w:type="spellEnd"/>
      <w:r w:rsidR="00351B3F" w:rsidRPr="00351B3F">
        <w:rPr>
          <w:i/>
          <w:iCs/>
        </w:rPr>
        <w:t>: Australian Census and Migrants Integrated Dataset, 2011</w:t>
      </w:r>
      <w:r w:rsidR="00351B3F" w:rsidRPr="00351B3F">
        <w:t>, Cat. no. 3417.0.55.001, Canberra.</w:t>
      </w:r>
    </w:p>
    <w:p w14:paraId="4C6A4356" w14:textId="26DE2C9F" w:rsidR="00351B3F" w:rsidRPr="00351B3F" w:rsidRDefault="00B637EB" w:rsidP="00C97F4F">
      <w:pPr>
        <w:pStyle w:val="Reference"/>
      </w:pPr>
      <w:r>
        <w:t>—— </w:t>
      </w:r>
      <w:proofErr w:type="spellStart"/>
      <w:r w:rsidR="00351B3F" w:rsidRPr="00351B3F">
        <w:t>2015a</w:t>
      </w:r>
      <w:proofErr w:type="spellEnd"/>
      <w:r w:rsidR="00351B3F" w:rsidRPr="00351B3F">
        <w:t xml:space="preserve">, </w:t>
      </w:r>
      <w:r w:rsidR="00351B3F" w:rsidRPr="00351B3F">
        <w:rPr>
          <w:i/>
          <w:iCs/>
        </w:rPr>
        <w:t>Australian Demographic Statistics, September 2015</w:t>
      </w:r>
      <w:r w:rsidR="00351B3F" w:rsidRPr="00351B3F">
        <w:t>, Cat. no. 3101.0, Canberra.</w:t>
      </w:r>
    </w:p>
    <w:p w14:paraId="4C6A4357" w14:textId="42C1A7CA" w:rsidR="00351B3F" w:rsidRPr="00351B3F" w:rsidRDefault="00B637EB" w:rsidP="00C97F4F">
      <w:pPr>
        <w:pStyle w:val="Reference"/>
      </w:pPr>
      <w:r>
        <w:t>—— </w:t>
      </w:r>
      <w:proofErr w:type="spellStart"/>
      <w:r w:rsidR="00351B3F" w:rsidRPr="00351B3F">
        <w:t>2015b</w:t>
      </w:r>
      <w:proofErr w:type="spellEnd"/>
      <w:r w:rsidR="00351B3F" w:rsidRPr="00351B3F">
        <w:t xml:space="preserve">, </w:t>
      </w:r>
      <w:r w:rsidR="00351B3F" w:rsidRPr="00351B3F">
        <w:rPr>
          <w:i/>
          <w:iCs/>
        </w:rPr>
        <w:t>Government Finance Statistics, Australia, 2013</w:t>
      </w:r>
      <w:r w:rsidR="00C97F4F">
        <w:rPr>
          <w:i/>
          <w:iCs/>
        </w:rPr>
        <w:noBreakHyphen/>
      </w:r>
      <w:r w:rsidR="00351B3F" w:rsidRPr="00351B3F">
        <w:rPr>
          <w:i/>
          <w:iCs/>
        </w:rPr>
        <w:t>14</w:t>
      </w:r>
      <w:r w:rsidR="00351B3F" w:rsidRPr="00351B3F">
        <w:t>, Cat. no. 5512.0, Canberra.</w:t>
      </w:r>
    </w:p>
    <w:p w14:paraId="4C6A4358" w14:textId="5A88ABB3" w:rsidR="00351B3F" w:rsidRPr="00351B3F" w:rsidRDefault="00B637EB" w:rsidP="00C97F4F">
      <w:pPr>
        <w:pStyle w:val="Reference"/>
      </w:pPr>
      <w:r>
        <w:t>—— </w:t>
      </w:r>
      <w:proofErr w:type="spellStart"/>
      <w:r w:rsidR="00351B3F" w:rsidRPr="00351B3F">
        <w:t>2015c</w:t>
      </w:r>
      <w:proofErr w:type="spellEnd"/>
      <w:r w:rsidR="00351B3F" w:rsidRPr="00351B3F">
        <w:t xml:space="preserve">, </w:t>
      </w:r>
      <w:r w:rsidR="00351B3F" w:rsidRPr="00351B3F">
        <w:rPr>
          <w:i/>
          <w:iCs/>
        </w:rPr>
        <w:t>Migration, Australia, 2013</w:t>
      </w:r>
      <w:r w:rsidR="00C97F4F">
        <w:rPr>
          <w:i/>
          <w:iCs/>
        </w:rPr>
        <w:noBreakHyphen/>
      </w:r>
      <w:r w:rsidR="00351B3F" w:rsidRPr="00351B3F">
        <w:rPr>
          <w:i/>
          <w:iCs/>
        </w:rPr>
        <w:t>14</w:t>
      </w:r>
      <w:r w:rsidR="00351B3F" w:rsidRPr="00351B3F">
        <w:t>, Cat. no. 3412.0, Canberra.</w:t>
      </w:r>
    </w:p>
    <w:p w14:paraId="4C6A4359" w14:textId="009EE12B" w:rsidR="00351B3F" w:rsidRPr="00351B3F" w:rsidRDefault="0036074F" w:rsidP="00C97F4F">
      <w:pPr>
        <w:pStyle w:val="Reference"/>
      </w:pPr>
      <w:r>
        <w:t>—— </w:t>
      </w:r>
      <w:proofErr w:type="spellStart"/>
      <w:r w:rsidR="00351B3F" w:rsidRPr="00351B3F">
        <w:t>2015d</w:t>
      </w:r>
      <w:proofErr w:type="spellEnd"/>
      <w:r w:rsidR="00351B3F" w:rsidRPr="00351B3F">
        <w:t xml:space="preserve">, </w:t>
      </w:r>
      <w:r w:rsidR="00351B3F" w:rsidRPr="00351B3F">
        <w:rPr>
          <w:i/>
          <w:iCs/>
        </w:rPr>
        <w:t>Personal Income of Migrants, Australia, Experimental 2009</w:t>
      </w:r>
      <w:r w:rsidR="00C97F4F">
        <w:rPr>
          <w:i/>
          <w:iCs/>
        </w:rPr>
        <w:noBreakHyphen/>
      </w:r>
      <w:r w:rsidR="00351B3F" w:rsidRPr="00351B3F">
        <w:rPr>
          <w:i/>
          <w:iCs/>
        </w:rPr>
        <w:t>10</w:t>
      </w:r>
      <w:r w:rsidR="00DF30DF">
        <w:t>, Cat. no. </w:t>
      </w:r>
      <w:r w:rsidR="00351B3F" w:rsidRPr="00351B3F">
        <w:t>3418.0, Canberra.</w:t>
      </w:r>
    </w:p>
    <w:p w14:paraId="4C6A435A" w14:textId="4DDA8921" w:rsidR="00351B3F" w:rsidRPr="00351B3F" w:rsidRDefault="00242431" w:rsidP="00C97F4F">
      <w:pPr>
        <w:pStyle w:val="Reference"/>
      </w:pPr>
      <w:r>
        <w:t>—— </w:t>
      </w:r>
      <w:proofErr w:type="spellStart"/>
      <w:r w:rsidR="00351B3F" w:rsidRPr="00351B3F">
        <w:t>2015e</w:t>
      </w:r>
      <w:proofErr w:type="spellEnd"/>
      <w:r w:rsidR="00351B3F" w:rsidRPr="00351B3F">
        <w:t xml:space="preserve">, </w:t>
      </w:r>
      <w:r w:rsidR="00351B3F" w:rsidRPr="00351B3F">
        <w:rPr>
          <w:i/>
          <w:iCs/>
        </w:rPr>
        <w:t>Taxation Revenue, Australia, 2013</w:t>
      </w:r>
      <w:r w:rsidR="00C97F4F">
        <w:rPr>
          <w:i/>
          <w:iCs/>
        </w:rPr>
        <w:noBreakHyphen/>
      </w:r>
      <w:r w:rsidR="00351B3F" w:rsidRPr="00351B3F">
        <w:rPr>
          <w:i/>
          <w:iCs/>
        </w:rPr>
        <w:t>14</w:t>
      </w:r>
      <w:r w:rsidR="00351B3F" w:rsidRPr="00351B3F">
        <w:t>, Cat. no. 5506.0, Canberra.</w:t>
      </w:r>
    </w:p>
    <w:p w14:paraId="4C6A435B" w14:textId="7EA6B646" w:rsidR="00351B3F" w:rsidRPr="00351B3F" w:rsidRDefault="00351B3F" w:rsidP="00C97F4F">
      <w:pPr>
        <w:pStyle w:val="Reference"/>
      </w:pPr>
      <w:r w:rsidRPr="00351B3F">
        <w:t xml:space="preserve">Adams, P., Dixon, J. and </w:t>
      </w:r>
      <w:proofErr w:type="spellStart"/>
      <w:r w:rsidRPr="00351B3F">
        <w:t>Horridge</w:t>
      </w:r>
      <w:proofErr w:type="spellEnd"/>
      <w:r w:rsidRPr="00351B3F">
        <w:t xml:space="preserve">, M. 2015, </w:t>
      </w:r>
      <w:r w:rsidRPr="00351B3F">
        <w:rPr>
          <w:i/>
          <w:iCs/>
        </w:rPr>
        <w:t>The Victoria University Regional Model (</w:t>
      </w:r>
      <w:proofErr w:type="spellStart"/>
      <w:r w:rsidRPr="00351B3F">
        <w:rPr>
          <w:i/>
          <w:iCs/>
        </w:rPr>
        <w:t>VURM</w:t>
      </w:r>
      <w:proofErr w:type="spellEnd"/>
      <w:r w:rsidRPr="00351B3F">
        <w:rPr>
          <w:i/>
          <w:iCs/>
        </w:rPr>
        <w:t>): Technical Documentation, Version 1.0</w:t>
      </w:r>
      <w:r w:rsidRPr="00351B3F">
        <w:t>, Centre of Policy Studies, Victoria University, http://</w:t>
      </w:r>
      <w:proofErr w:type="spellStart"/>
      <w:r w:rsidRPr="00351B3F">
        <w:t>www.copsmodels.com</w:t>
      </w:r>
      <w:proofErr w:type="spellEnd"/>
      <w:r w:rsidRPr="00351B3F">
        <w:t>/ftp/</w:t>
      </w:r>
      <w:proofErr w:type="spellStart"/>
      <w:r w:rsidRPr="00351B3F">
        <w:t>workpapr</w:t>
      </w:r>
      <w:proofErr w:type="spellEnd"/>
      <w:r w:rsidRPr="00351B3F">
        <w:t>/g</w:t>
      </w:r>
      <w:r w:rsidR="004354FF">
        <w:noBreakHyphen/>
      </w:r>
      <w:proofErr w:type="spellStart"/>
      <w:r w:rsidRPr="00351B3F">
        <w:t>254.pdf</w:t>
      </w:r>
      <w:proofErr w:type="spellEnd"/>
      <w:r w:rsidRPr="00351B3F">
        <w:t xml:space="preserve"> (accessed 7 April 2016).</w:t>
      </w:r>
    </w:p>
    <w:p w14:paraId="4C6A435C" w14:textId="5A806F10" w:rsidR="00351B3F" w:rsidRPr="00351B3F" w:rsidRDefault="00351B3F" w:rsidP="00C97F4F">
      <w:pPr>
        <w:pStyle w:val="Reference"/>
      </w:pPr>
      <w:proofErr w:type="spellStart"/>
      <w:r w:rsidRPr="00351B3F">
        <w:t>ATO</w:t>
      </w:r>
      <w:proofErr w:type="spellEnd"/>
      <w:r w:rsidRPr="00351B3F">
        <w:t xml:space="preserve"> (Australian Taxation Office) 2015, </w:t>
      </w:r>
      <w:r w:rsidRPr="00351B3F">
        <w:rPr>
          <w:i/>
          <w:iCs/>
        </w:rPr>
        <w:t>Taxation statistics — Individual sample files,</w:t>
      </w:r>
      <w:r w:rsidR="00C97F4F">
        <w:rPr>
          <w:i/>
          <w:iCs/>
        </w:rPr>
        <w:t xml:space="preserve"> </w:t>
      </w:r>
      <w:r w:rsidRPr="00351B3F">
        <w:rPr>
          <w:i/>
          <w:iCs/>
        </w:rPr>
        <w:t>2009</w:t>
      </w:r>
      <w:r w:rsidR="00C97F4F">
        <w:rPr>
          <w:i/>
          <w:iCs/>
        </w:rPr>
        <w:noBreakHyphen/>
      </w:r>
      <w:r w:rsidRPr="00351B3F">
        <w:rPr>
          <w:i/>
          <w:iCs/>
        </w:rPr>
        <w:t>10 Individual sample file</w:t>
      </w:r>
      <w:r w:rsidRPr="00351B3F">
        <w:t xml:space="preserve">, </w:t>
      </w:r>
      <w:proofErr w:type="spellStart"/>
      <w:r w:rsidRPr="00351B3F">
        <w:t>data.gov.au</w:t>
      </w:r>
      <w:proofErr w:type="spellEnd"/>
      <w:r w:rsidRPr="00351B3F">
        <w:t>/dataset/taxation</w:t>
      </w:r>
      <w:r w:rsidR="004354FF">
        <w:noBreakHyphen/>
      </w:r>
      <w:r w:rsidRPr="00351B3F">
        <w:t>statistics</w:t>
      </w:r>
      <w:r w:rsidR="004354FF">
        <w:noBreakHyphen/>
      </w:r>
      <w:r w:rsidRPr="00351B3F">
        <w:t>individual</w:t>
      </w:r>
      <w:r w:rsidR="005F02DF">
        <w:br/>
      </w:r>
      <w:r w:rsidR="004354FF">
        <w:noBreakHyphen/>
      </w:r>
      <w:r w:rsidRPr="00351B3F">
        <w:t>sample</w:t>
      </w:r>
      <w:r w:rsidR="004354FF">
        <w:noBreakHyphen/>
      </w:r>
      <w:r w:rsidRPr="00351B3F">
        <w:t>files (accessed 6 October 2015).</w:t>
      </w:r>
    </w:p>
    <w:p w14:paraId="4C6A435D" w14:textId="77777777" w:rsidR="00351B3F" w:rsidRPr="00351B3F" w:rsidRDefault="00351B3F" w:rsidP="00C97F4F">
      <w:pPr>
        <w:pStyle w:val="Reference"/>
      </w:pPr>
      <w:r w:rsidRPr="00351B3F">
        <w:t xml:space="preserve">Deloitte Access Economics forthcoming, </w:t>
      </w:r>
      <w:r w:rsidRPr="00351B3F">
        <w:rPr>
          <w:i/>
          <w:iCs/>
        </w:rPr>
        <w:t>Migrants’ Fiscal Impact Model — Results and User Guide</w:t>
      </w:r>
      <w:r w:rsidRPr="00351B3F">
        <w:t>, Prepared for the Department of Immigration and Border Protection, Canberra.</w:t>
      </w:r>
    </w:p>
    <w:p w14:paraId="4C6A435E" w14:textId="77777777" w:rsidR="00351B3F" w:rsidRPr="00351B3F" w:rsidRDefault="00351B3F" w:rsidP="00C97F4F">
      <w:pPr>
        <w:pStyle w:val="Reference"/>
      </w:pPr>
      <w:proofErr w:type="spellStart"/>
      <w:r w:rsidRPr="00351B3F">
        <w:t>DIBP</w:t>
      </w:r>
      <w:proofErr w:type="spellEnd"/>
      <w:r w:rsidRPr="00351B3F">
        <w:t xml:space="preserve"> (Department of Immigration and Border Protection) </w:t>
      </w:r>
      <w:proofErr w:type="spellStart"/>
      <w:r w:rsidRPr="00351B3F">
        <w:t>2015a</w:t>
      </w:r>
      <w:proofErr w:type="spellEnd"/>
      <w:r w:rsidRPr="00351B3F">
        <w:t xml:space="preserve">, </w:t>
      </w:r>
      <w:r w:rsidRPr="00351B3F">
        <w:rPr>
          <w:i/>
          <w:iCs/>
        </w:rPr>
        <w:t>Historical Migration Statistics</w:t>
      </w:r>
      <w:r w:rsidRPr="00351B3F">
        <w:t>, Canberra.</w:t>
      </w:r>
    </w:p>
    <w:p w14:paraId="4C6A435F" w14:textId="44F875BF" w:rsidR="00351B3F" w:rsidRPr="00351B3F" w:rsidRDefault="00242431" w:rsidP="00C97F4F">
      <w:pPr>
        <w:pStyle w:val="Reference"/>
      </w:pPr>
      <w:r>
        <w:t>—— </w:t>
      </w:r>
      <w:proofErr w:type="spellStart"/>
      <w:r w:rsidR="00351B3F" w:rsidRPr="00351B3F">
        <w:t>2015b</w:t>
      </w:r>
      <w:proofErr w:type="spellEnd"/>
      <w:r w:rsidR="00351B3F" w:rsidRPr="00351B3F">
        <w:t xml:space="preserve">, </w:t>
      </w:r>
      <w:r w:rsidR="00351B3F" w:rsidRPr="00351B3F">
        <w:rPr>
          <w:i/>
          <w:iCs/>
        </w:rPr>
        <w:t xml:space="preserve">Working Holiday Maker Visa </w:t>
      </w:r>
      <w:proofErr w:type="spellStart"/>
      <w:r w:rsidR="00351B3F" w:rsidRPr="00351B3F">
        <w:rPr>
          <w:i/>
          <w:iCs/>
        </w:rPr>
        <w:t>Programme</w:t>
      </w:r>
      <w:proofErr w:type="spellEnd"/>
      <w:r w:rsidR="00351B3F" w:rsidRPr="00351B3F">
        <w:rPr>
          <w:i/>
          <w:iCs/>
        </w:rPr>
        <w:t xml:space="preserve"> Report: 31 December 2014</w:t>
      </w:r>
      <w:r w:rsidR="00351B3F" w:rsidRPr="00351B3F">
        <w:t>, Canberra.</w:t>
      </w:r>
    </w:p>
    <w:p w14:paraId="4C6A4360" w14:textId="77777777" w:rsidR="00351B3F" w:rsidRPr="00351B3F" w:rsidRDefault="00351B3F" w:rsidP="00C97F4F">
      <w:pPr>
        <w:pStyle w:val="Reference"/>
      </w:pPr>
      <w:proofErr w:type="spellStart"/>
      <w:r w:rsidRPr="00351B3F">
        <w:lastRenderedPageBreak/>
        <w:t>DSS</w:t>
      </w:r>
      <w:proofErr w:type="spellEnd"/>
      <w:r w:rsidRPr="00351B3F">
        <w:t xml:space="preserve"> (Department of Social Services) </w:t>
      </w:r>
      <w:proofErr w:type="spellStart"/>
      <w:r w:rsidRPr="00351B3F">
        <w:t>2014a</w:t>
      </w:r>
      <w:proofErr w:type="spellEnd"/>
      <w:r w:rsidRPr="00351B3F">
        <w:t xml:space="preserve">, </w:t>
      </w:r>
      <w:r w:rsidRPr="00351B3F">
        <w:rPr>
          <w:i/>
          <w:iCs/>
        </w:rPr>
        <w:t>Characteristics of Disability Support Pension Recipients, June 2013</w:t>
      </w:r>
      <w:r w:rsidRPr="00351B3F">
        <w:t>, Canberra.</w:t>
      </w:r>
    </w:p>
    <w:p w14:paraId="4C6A4361" w14:textId="77777777" w:rsidR="00351B3F" w:rsidRPr="00351B3F" w:rsidRDefault="00351B3F" w:rsidP="00C97F4F">
      <w:pPr>
        <w:pStyle w:val="Reference"/>
      </w:pPr>
      <w:r w:rsidRPr="00351B3F">
        <w:t xml:space="preserve">—— (Department of Social Services) </w:t>
      </w:r>
      <w:proofErr w:type="spellStart"/>
      <w:r w:rsidRPr="00351B3F">
        <w:t>2014b</w:t>
      </w:r>
      <w:proofErr w:type="spellEnd"/>
      <w:r w:rsidRPr="00351B3F">
        <w:t xml:space="preserve">, </w:t>
      </w:r>
      <w:r w:rsidRPr="00351B3F">
        <w:rPr>
          <w:i/>
          <w:iCs/>
        </w:rPr>
        <w:t>Statistical Paper no. 12: Income support customers: a statistical overview 2013</w:t>
      </w:r>
      <w:r w:rsidRPr="00351B3F">
        <w:t>, Canberra.</w:t>
      </w:r>
    </w:p>
    <w:p w14:paraId="4C6A4362" w14:textId="77777777" w:rsidR="00351B3F" w:rsidRPr="00351B3F" w:rsidRDefault="00351B3F" w:rsidP="00C97F4F">
      <w:pPr>
        <w:pStyle w:val="Reference"/>
      </w:pPr>
      <w:r w:rsidRPr="00351B3F">
        <w:t xml:space="preserve">NZ Ministry of Business, Innovation and Employment 2012, </w:t>
      </w:r>
      <w:r w:rsidRPr="00351B3F">
        <w:rPr>
          <w:i/>
          <w:iCs/>
        </w:rPr>
        <w:t>Migrants in New Zealand: Retention and Onward Migration, 1998–2011</w:t>
      </w:r>
      <w:r w:rsidRPr="00351B3F">
        <w:t>, Wellington.</w:t>
      </w:r>
    </w:p>
    <w:p w14:paraId="4C6A4363" w14:textId="39990D1D" w:rsidR="00351B3F" w:rsidRPr="00351B3F" w:rsidRDefault="00351B3F" w:rsidP="00C97F4F">
      <w:pPr>
        <w:pStyle w:val="Reference"/>
      </w:pPr>
      <w:r w:rsidRPr="00351B3F">
        <w:t xml:space="preserve">PC (Productivity Commission) 2011, </w:t>
      </w:r>
      <w:r w:rsidRPr="00351B3F">
        <w:rPr>
          <w:i/>
          <w:iCs/>
        </w:rPr>
        <w:t>Caring for Older Australians</w:t>
      </w:r>
      <w:r w:rsidRPr="00351B3F">
        <w:t xml:space="preserve">, </w:t>
      </w:r>
      <w:r w:rsidR="00242431">
        <w:t xml:space="preserve">Final </w:t>
      </w:r>
      <w:r w:rsidRPr="00351B3F">
        <w:t>Report no. 53, Canberra.</w:t>
      </w:r>
    </w:p>
    <w:p w14:paraId="64F97F22" w14:textId="673DE688" w:rsidR="00D55A3F" w:rsidRDefault="00242431" w:rsidP="005F02DF">
      <w:pPr>
        <w:pStyle w:val="Reference"/>
      </w:pPr>
      <w:r>
        <w:t>—— </w:t>
      </w:r>
      <w:r w:rsidR="00351B3F" w:rsidRPr="00351B3F">
        <w:t xml:space="preserve">2013, </w:t>
      </w:r>
      <w:r w:rsidR="00351B3F" w:rsidRPr="00351B3F">
        <w:rPr>
          <w:i/>
          <w:iCs/>
        </w:rPr>
        <w:t>An Ageing Australia: Preparing for the Future</w:t>
      </w:r>
      <w:r w:rsidR="00351B3F" w:rsidRPr="00351B3F">
        <w:t>, Commission Research Paper, Canberra.</w:t>
      </w:r>
    </w:p>
    <w:sectPr w:rsidR="00D55A3F" w:rsidSect="00362C2E">
      <w:headerReference w:type="even" r:id="rId30"/>
      <w:headerReference w:type="default" r:id="rId31"/>
      <w:footerReference w:type="even" r:id="rId32"/>
      <w:footerReference w:type="default" r:id="rId33"/>
      <w:type w:val="oddPage"/>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A4379" w14:textId="77777777" w:rsidR="000F5840" w:rsidRDefault="000F5840">
      <w:r>
        <w:separator/>
      </w:r>
    </w:p>
  </w:endnote>
  <w:endnote w:type="continuationSeparator" w:id="0">
    <w:p w14:paraId="4C6A437A" w14:textId="77777777" w:rsidR="000F5840" w:rsidRDefault="000F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F5840" w14:paraId="33CE1238" w14:textId="77777777" w:rsidTr="005F48ED">
      <w:trPr>
        <w:trHeight w:hRule="exact" w:val="567"/>
      </w:trPr>
      <w:tc>
        <w:tcPr>
          <w:tcW w:w="510" w:type="dxa"/>
        </w:tcPr>
        <w:p w14:paraId="1CDF1717" w14:textId="77777777" w:rsidR="000F5840" w:rsidRDefault="000F5840">
          <w:pPr>
            <w:pStyle w:val="Footer"/>
            <w:ind w:right="360" w:firstLine="360"/>
          </w:pPr>
        </w:p>
      </w:tc>
      <w:tc>
        <w:tcPr>
          <w:tcW w:w="7767" w:type="dxa"/>
        </w:tcPr>
        <w:p w14:paraId="35857BF6" w14:textId="01548789" w:rsidR="000F5840" w:rsidRPr="00BA5B14" w:rsidRDefault="000F5840" w:rsidP="0013739A">
          <w:pPr>
            <w:pStyle w:val="Footer"/>
            <w:jc w:val="right"/>
            <w:rPr>
              <w:rFonts w:cs="Arial"/>
            </w:rPr>
          </w:pPr>
          <w:r>
            <w:rPr>
              <w:rFonts w:cs="Arial"/>
            </w:rPr>
            <w:t>MODELLING IMMIGRANTS FISCAL IMPACTS</w:t>
          </w:r>
        </w:p>
      </w:tc>
      <w:tc>
        <w:tcPr>
          <w:tcW w:w="510" w:type="dxa"/>
        </w:tcPr>
        <w:p w14:paraId="5CF16575" w14:textId="77777777" w:rsidR="000F5840" w:rsidRPr="00A24443" w:rsidRDefault="000F584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43A80">
            <w:rPr>
              <w:rStyle w:val="PageNumber"/>
              <w:caps w:val="0"/>
              <w:noProof/>
            </w:rPr>
            <w:t>1</w:t>
          </w:r>
          <w:r w:rsidRPr="00A24443">
            <w:rPr>
              <w:rStyle w:val="PageNumber"/>
              <w:caps w:val="0"/>
            </w:rPr>
            <w:fldChar w:fldCharType="end"/>
          </w:r>
        </w:p>
      </w:tc>
    </w:tr>
  </w:tbl>
  <w:p w14:paraId="039DCA96" w14:textId="77777777" w:rsidR="000F5840" w:rsidRDefault="000F5840">
    <w:pPr>
      <w:pStyle w:val="FooterEnd"/>
    </w:pPr>
  </w:p>
  <w:p w14:paraId="4C6A438C" w14:textId="77777777" w:rsidR="000F5840" w:rsidRDefault="000F5840">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F5840" w14:paraId="1E25F88B" w14:textId="77777777" w:rsidTr="005F48ED">
      <w:trPr>
        <w:trHeight w:hRule="exact" w:val="567"/>
      </w:trPr>
      <w:tc>
        <w:tcPr>
          <w:tcW w:w="510" w:type="dxa"/>
        </w:tcPr>
        <w:p w14:paraId="3C4DD6DF" w14:textId="77777777" w:rsidR="000F5840" w:rsidRPr="00A24443" w:rsidRDefault="000F584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718B">
            <w:rPr>
              <w:rStyle w:val="PageNumber"/>
              <w:caps w:val="0"/>
              <w:noProof/>
            </w:rPr>
            <w:t>4</w:t>
          </w:r>
          <w:r w:rsidRPr="00A24443">
            <w:rPr>
              <w:rStyle w:val="PageNumber"/>
              <w:caps w:val="0"/>
            </w:rPr>
            <w:fldChar w:fldCharType="end"/>
          </w:r>
        </w:p>
      </w:tc>
      <w:tc>
        <w:tcPr>
          <w:tcW w:w="7767" w:type="dxa"/>
        </w:tcPr>
        <w:p w14:paraId="11390540" w14:textId="317C6E5F" w:rsidR="000F5840" w:rsidRPr="0013739A" w:rsidRDefault="000F5840" w:rsidP="004B7C1B">
          <w:pPr>
            <w:pStyle w:val="Footer"/>
            <w:rPr>
              <w:rFonts w:cs="Arial"/>
            </w:rPr>
          </w:pPr>
          <w:r>
            <w:rPr>
              <w:rFonts w:cs="Arial"/>
            </w:rPr>
            <w:t xml:space="preserve">MIGRANT INTAKE INTO AUSTRALIA — TECHNICAL SUPPLEMENT D </w:t>
          </w:r>
        </w:p>
      </w:tc>
      <w:tc>
        <w:tcPr>
          <w:tcW w:w="510" w:type="dxa"/>
        </w:tcPr>
        <w:p w14:paraId="538B32BA" w14:textId="77777777" w:rsidR="000F5840" w:rsidRDefault="000F5840" w:rsidP="0019293B">
          <w:pPr>
            <w:pStyle w:val="Footer"/>
          </w:pPr>
        </w:p>
      </w:tc>
    </w:tr>
  </w:tbl>
  <w:p w14:paraId="31BCA059" w14:textId="77777777" w:rsidR="000F5840" w:rsidRDefault="000F5840" w:rsidP="0019293B">
    <w:pPr>
      <w:pStyle w:val="FooterEnd"/>
    </w:pPr>
  </w:p>
  <w:p w14:paraId="2C60447C" w14:textId="77777777" w:rsidR="000F5840" w:rsidRDefault="000F5840"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F5840" w14:paraId="11D838A1" w14:textId="77777777" w:rsidTr="005F48ED">
      <w:trPr>
        <w:trHeight w:hRule="exact" w:val="567"/>
      </w:trPr>
      <w:tc>
        <w:tcPr>
          <w:tcW w:w="510" w:type="dxa"/>
        </w:tcPr>
        <w:p w14:paraId="01D9F629" w14:textId="77777777" w:rsidR="000F5840" w:rsidRDefault="000F5840">
          <w:pPr>
            <w:pStyle w:val="Footer"/>
            <w:ind w:right="360" w:firstLine="360"/>
          </w:pPr>
        </w:p>
      </w:tc>
      <w:tc>
        <w:tcPr>
          <w:tcW w:w="7767" w:type="dxa"/>
        </w:tcPr>
        <w:p w14:paraId="21C53852" w14:textId="527EA8EA" w:rsidR="000F5840" w:rsidRPr="00BA5B14" w:rsidRDefault="000F5840" w:rsidP="004B7C1B">
          <w:pPr>
            <w:pStyle w:val="Footer"/>
            <w:jc w:val="right"/>
            <w:rPr>
              <w:rFonts w:cs="Arial"/>
            </w:rPr>
          </w:pPr>
          <w:r>
            <w:rPr>
              <w:rFonts w:cs="Arial"/>
            </w:rPr>
            <w:t xml:space="preserve">MODELLING IMMIGRANTS FISCAL IMPACTS </w:t>
          </w:r>
          <w:r w:rsidR="004B7C1B">
            <w:rPr>
              <w:rFonts w:cs="Arial"/>
            </w:rPr>
            <w:t xml:space="preserve">— </w:t>
          </w:r>
          <w:r w:rsidR="006E01D5">
            <w:rPr>
              <w:rFonts w:cs="Arial"/>
            </w:rPr>
            <w:t>Part 1</w:t>
          </w:r>
        </w:p>
      </w:tc>
      <w:tc>
        <w:tcPr>
          <w:tcW w:w="510" w:type="dxa"/>
        </w:tcPr>
        <w:p w14:paraId="260E68D3" w14:textId="77777777" w:rsidR="000F5840" w:rsidRPr="00A24443" w:rsidRDefault="000F584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718B">
            <w:rPr>
              <w:rStyle w:val="PageNumber"/>
              <w:caps w:val="0"/>
              <w:noProof/>
            </w:rPr>
            <w:t>3</w:t>
          </w:r>
          <w:r w:rsidRPr="00A24443">
            <w:rPr>
              <w:rStyle w:val="PageNumber"/>
              <w:caps w:val="0"/>
            </w:rPr>
            <w:fldChar w:fldCharType="end"/>
          </w:r>
        </w:p>
      </w:tc>
    </w:tr>
  </w:tbl>
  <w:p w14:paraId="2F012107" w14:textId="77777777" w:rsidR="000F5840" w:rsidRDefault="000F5840">
    <w:pPr>
      <w:pStyle w:val="FooterEnd"/>
    </w:pPr>
  </w:p>
  <w:p w14:paraId="595CC748" w14:textId="77777777" w:rsidR="000F5840" w:rsidRDefault="000F584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A4377" w14:textId="77777777" w:rsidR="000F5840" w:rsidRDefault="000F5840">
      <w:r>
        <w:separator/>
      </w:r>
    </w:p>
  </w:footnote>
  <w:footnote w:type="continuationSeparator" w:id="0">
    <w:p w14:paraId="4C6A4378" w14:textId="77777777" w:rsidR="000F5840" w:rsidRDefault="000F5840">
      <w:r>
        <w:continuationSeparator/>
      </w:r>
    </w:p>
  </w:footnote>
  <w:footnote w:id="1">
    <w:p w14:paraId="4C6A438D" w14:textId="77777777" w:rsidR="000F5840" w:rsidRDefault="000F5840">
      <w:pPr>
        <w:pStyle w:val="FootnoteText"/>
      </w:pPr>
      <w:r>
        <w:rPr>
          <w:rStyle w:val="FootnoteReference"/>
        </w:rPr>
        <w:footnoteRef/>
      </w:r>
      <w:r>
        <w:tab/>
      </w:r>
      <w:r w:rsidRPr="00345553">
        <w:t>All years, unless otherwise indicated, are in financial years, ending 30 June of the year quoted.</w:t>
      </w:r>
    </w:p>
  </w:footnote>
  <w:footnote w:id="2">
    <w:p w14:paraId="4C6A438E" w14:textId="77777777" w:rsidR="000F5840" w:rsidRDefault="000F5840">
      <w:pPr>
        <w:pStyle w:val="FootnoteText"/>
      </w:pPr>
      <w:r>
        <w:rPr>
          <w:rStyle w:val="FootnoteReference"/>
        </w:rPr>
        <w:footnoteRef/>
      </w:r>
      <w:r>
        <w:tab/>
      </w:r>
      <w:r w:rsidRPr="00345553">
        <w:t xml:space="preserve">While the GST is levied by the </w:t>
      </w:r>
      <w:r>
        <w:t>Australian Government</w:t>
      </w:r>
      <w:r w:rsidRPr="00345553">
        <w:t xml:space="preserve">, </w:t>
      </w:r>
      <w:r>
        <w:t>it is treated</w:t>
      </w:r>
      <w:r w:rsidRPr="00345553">
        <w:t xml:space="preserve"> as a state and territory revenue source since it is redistributed to the states and territories through general revenue assistance.</w:t>
      </w:r>
    </w:p>
  </w:footnote>
  <w:footnote w:id="3">
    <w:p w14:paraId="4C6A438F" w14:textId="77777777" w:rsidR="000F5840" w:rsidRDefault="000F5840">
      <w:pPr>
        <w:pStyle w:val="FootnoteText"/>
      </w:pPr>
      <w:r>
        <w:rPr>
          <w:rStyle w:val="FootnoteReference"/>
        </w:rPr>
        <w:footnoteRef/>
      </w:r>
      <w:r>
        <w:tab/>
      </w:r>
      <w:r w:rsidRPr="0070210A">
        <w:t xml:space="preserve">For many permanent </w:t>
      </w:r>
      <w:r>
        <w:t>im</w:t>
      </w:r>
      <w:r w:rsidRPr="0070210A">
        <w:t xml:space="preserve">migrants, the remainder of their stay in the country will be the remainder of their lives, while for many temporary </w:t>
      </w:r>
      <w:r>
        <w:t>im</w:t>
      </w:r>
      <w:r w:rsidRPr="0070210A">
        <w:t>migrants, this will simply</w:t>
      </w:r>
      <w:r>
        <w:t xml:space="preserve"> be the</w:t>
      </w:r>
      <w:r w:rsidRPr="0070210A">
        <w:t xml:space="preserve"> duration of </w:t>
      </w:r>
      <w:r>
        <w:t xml:space="preserve">their </w:t>
      </w:r>
      <w:r w:rsidRPr="0070210A">
        <w:t>stay in Australia.</w:t>
      </w:r>
    </w:p>
  </w:footnote>
  <w:footnote w:id="4">
    <w:p w14:paraId="4C6A4390" w14:textId="77777777" w:rsidR="000F5840" w:rsidRDefault="000F5840" w:rsidP="00E110B6">
      <w:pPr>
        <w:pStyle w:val="FootnoteText"/>
      </w:pPr>
      <w:r>
        <w:rPr>
          <w:rStyle w:val="FootnoteReference"/>
        </w:rPr>
        <w:footnoteRef/>
      </w:r>
      <w:r>
        <w:tab/>
        <w:t xml:space="preserve">The model also accounts for the Special Eligibility category in the Migration </w:t>
      </w:r>
      <w:proofErr w:type="spellStart"/>
      <w:r>
        <w:t>Programme</w:t>
      </w:r>
      <w:proofErr w:type="spellEnd"/>
      <w:r>
        <w:t>, as well as ‘Other’ categories within the temporary and permanent streams of NOM. While results for these categories are generally not presented separately, they are included in totals where appropriate.</w:t>
      </w:r>
    </w:p>
  </w:footnote>
  <w:footnote w:id="5">
    <w:p w14:paraId="4C6A4391" w14:textId="77777777" w:rsidR="000F5840" w:rsidRDefault="000F5840">
      <w:pPr>
        <w:pStyle w:val="FootnoteText"/>
      </w:pPr>
      <w:r>
        <w:rPr>
          <w:rStyle w:val="FootnoteReference"/>
        </w:rPr>
        <w:footnoteRef/>
      </w:r>
      <w:r>
        <w:tab/>
        <w:t>The</w:t>
      </w:r>
      <w:r w:rsidRPr="007A3694">
        <w:t xml:space="preserve"> </w:t>
      </w:r>
      <w:r>
        <w:t xml:space="preserve">ABS’ rule used to estimate NOM </w:t>
      </w:r>
      <w:r>
        <w:fldChar w:fldCharType="begin"/>
      </w:r>
      <w:r>
        <w:instrText xml:space="preserve"> ADDIN ZOTERO_ITEM CSL_CITATION {"citationID":"11m09pt603","properties":{"formattedCitation":"{\\rtf (ABS\\uc0\\u160{}2013c)}","plainCitation":"(ABS 2013c)"},"citationItems":[{"id":2382,"uris":["http://zotero.org/groups/339662/items/9DWT7JV5"],"uri":["http://zotero.org/groups/339662/items/9DWT7JV5"],"itemData":{"id":2382,"type":"report","title":"Technical Note: ‘12/16 Month Rule’ Methodology for calculating Net Overseas Migration from September Quarter 2006 Onwards.","publisher-place":"Canberra","event-place":"Canberra","number":"3412.0 - Migration, Australia, 2011-12 and 2012-13","author":[{"family":"Australian Bureau of Statistics","given":""}],"translator":[{"family":"ABS","given":""}],"issued":{"date-parts":[["2013"]]}}}],"schema":"https://github.com/citation-style-language/schema/raw/master/csl-citation.json"} </w:instrText>
      </w:r>
      <w:r>
        <w:fldChar w:fldCharType="separate"/>
      </w:r>
      <w:r w:rsidRPr="00DE1BE2">
        <w:rPr>
          <w:szCs w:val="24"/>
        </w:rPr>
        <w:t>(ABS 2013c)</w:t>
      </w:r>
      <w:r>
        <w:fldChar w:fldCharType="end"/>
      </w:r>
      <w:r>
        <w:t>.</w:t>
      </w:r>
    </w:p>
  </w:footnote>
  <w:footnote w:id="6">
    <w:p w14:paraId="4C6A4392" w14:textId="6338BA0E" w:rsidR="000F5840" w:rsidRPr="0014100C" w:rsidRDefault="000F5840">
      <w:pPr>
        <w:pStyle w:val="FootnoteText"/>
        <w:rPr>
          <w:spacing w:val="-2"/>
        </w:rPr>
      </w:pPr>
      <w:r w:rsidRPr="0014100C">
        <w:rPr>
          <w:rStyle w:val="FootnoteReference"/>
          <w:spacing w:val="-2"/>
        </w:rPr>
        <w:footnoteRef/>
      </w:r>
      <w:r w:rsidRPr="0014100C">
        <w:rPr>
          <w:spacing w:val="-2"/>
        </w:rPr>
        <w:tab/>
        <w:t xml:space="preserve">It may be that immigrants’ propensities to emigrate differ by age and gender, however data are not available to quantify this. An aggregate emigration rate for each visa category is likely to be a reasonable proxy. For example, if a primary applicant emigrates, they will likely take their spouse and children with them. </w:t>
      </w:r>
    </w:p>
  </w:footnote>
  <w:footnote w:id="7">
    <w:p w14:paraId="4C6A4393" w14:textId="77777777" w:rsidR="000F5840" w:rsidRDefault="000F5840">
      <w:pPr>
        <w:pStyle w:val="FootnoteText"/>
      </w:pPr>
      <w:r>
        <w:rPr>
          <w:rStyle w:val="FootnoteReference"/>
        </w:rPr>
        <w:footnoteRef/>
      </w:r>
      <w:r>
        <w:tab/>
        <w:t>Over the projection period, Australian characteristics change as the population ages.</w:t>
      </w:r>
    </w:p>
  </w:footnote>
  <w:footnote w:id="8">
    <w:p w14:paraId="4C6A4394" w14:textId="77777777" w:rsidR="000F5840" w:rsidRDefault="000F5840">
      <w:pPr>
        <w:pStyle w:val="FootnoteText"/>
      </w:pPr>
      <w:r>
        <w:rPr>
          <w:rStyle w:val="FootnoteReference"/>
        </w:rPr>
        <w:footnoteRef/>
      </w:r>
      <w:r>
        <w:tab/>
        <w:t>T</w:t>
      </w:r>
      <w:r w:rsidRPr="004C0503">
        <w:t xml:space="preserve">he income tax </w:t>
      </w:r>
      <w:r>
        <w:t>schedules</w:t>
      </w:r>
      <w:r w:rsidRPr="004C0503">
        <w:t xml:space="preserve"> </w:t>
      </w:r>
      <w:r>
        <w:t>that underlie the</w:t>
      </w:r>
      <w:r w:rsidRPr="004C0503">
        <w:t xml:space="preserve"> estimates of median </w:t>
      </w:r>
      <w:r>
        <w:t>income tax revenue are for 20</w:t>
      </w:r>
      <w:r w:rsidRPr="004C0503">
        <w:t>10</w:t>
      </w:r>
      <w:r>
        <w:t>. T</w:t>
      </w:r>
      <w:r w:rsidRPr="004C0503">
        <w:t xml:space="preserve">he model implicitly assumes that the tax </w:t>
      </w:r>
      <w:r>
        <w:t>schedules</w:t>
      </w:r>
      <w:r w:rsidRPr="004C0503">
        <w:t xml:space="preserve"> are indexe</w:t>
      </w:r>
      <w:r>
        <w:t>d annually to growth</w:t>
      </w:r>
      <w:r w:rsidRPr="004C0503">
        <w:t xml:space="preserve"> and fiscal drag is implicitly compensated for over the projec</w:t>
      </w:r>
      <w:r>
        <w:t>tion period. Relative to current policy settings, the 20</w:t>
      </w:r>
      <w:r w:rsidRPr="004C0503">
        <w:t xml:space="preserve">10 income tax estimates </w:t>
      </w:r>
      <w:r>
        <w:t xml:space="preserve">are </w:t>
      </w:r>
      <w:r w:rsidRPr="004C0503">
        <w:t xml:space="preserve">likely </w:t>
      </w:r>
      <w:r>
        <w:t xml:space="preserve">to </w:t>
      </w:r>
      <w:r w:rsidRPr="004C0503">
        <w:t>overestimate revenue due to the subsequent increase o</w:t>
      </w:r>
      <w:r>
        <w:t>f the income tax free threshold</w:t>
      </w:r>
      <w:r w:rsidRPr="004C0503">
        <w:t xml:space="preserve"> and other adjustments to </w:t>
      </w:r>
      <w:r>
        <w:t>the schedule</w:t>
      </w:r>
      <w:r w:rsidRPr="004C0503">
        <w:t xml:space="preserve">. Conversely, income tax may be underestimated if the implicit assumption regarding indexation of the tax </w:t>
      </w:r>
      <w:r>
        <w:t>schedules</w:t>
      </w:r>
      <w:r w:rsidRPr="004C0503">
        <w:t xml:space="preserve"> is not accurate.</w:t>
      </w:r>
    </w:p>
  </w:footnote>
  <w:footnote w:id="9">
    <w:p w14:paraId="4C6A4395" w14:textId="77777777" w:rsidR="000F5840" w:rsidRDefault="000F5840" w:rsidP="00506A8B">
      <w:pPr>
        <w:pStyle w:val="FootnoteText"/>
      </w:pPr>
      <w:r>
        <w:rPr>
          <w:rStyle w:val="FootnoteReference"/>
        </w:rPr>
        <w:footnoteRef/>
      </w:r>
      <w:r>
        <w:tab/>
        <w:t>T</w:t>
      </w:r>
      <w:r w:rsidRPr="007E32DF">
        <w:t>here are more years in the projection period (100) than there are single year a</w:t>
      </w:r>
      <w:r>
        <w:t>ge categories in the model (96), which has required the 95+ age category to be ‘unpacked’ using mortality rates.</w:t>
      </w:r>
    </w:p>
  </w:footnote>
  <w:footnote w:id="10">
    <w:p w14:paraId="4C6A4396" w14:textId="77777777" w:rsidR="000F5840" w:rsidRDefault="000F5840" w:rsidP="00487D84">
      <w:pPr>
        <w:pStyle w:val="FootnoteText"/>
      </w:pPr>
      <w:r>
        <w:rPr>
          <w:rStyle w:val="FootnoteReference"/>
        </w:rPr>
        <w:footnoteRef/>
      </w:r>
      <w:r>
        <w:tab/>
      </w:r>
      <w:r w:rsidRPr="00864610">
        <w:t xml:space="preserve">A more nuanced treatment of revenues may yield a steeper gradient of the curve at this age group, but it is unlikely to change the relativities between different </w:t>
      </w:r>
      <w:r>
        <w:t>im</w:t>
      </w:r>
      <w:r w:rsidRPr="00864610">
        <w:t>migrant categories.</w:t>
      </w:r>
    </w:p>
  </w:footnote>
  <w:footnote w:id="11">
    <w:p w14:paraId="4C6A4397" w14:textId="77777777" w:rsidR="000F5840" w:rsidRDefault="000F5840" w:rsidP="003B722C">
      <w:pPr>
        <w:pStyle w:val="FootnoteText"/>
      </w:pPr>
      <w:r>
        <w:rPr>
          <w:rStyle w:val="FootnoteReference"/>
        </w:rPr>
        <w:footnoteRef/>
      </w:r>
      <w:r>
        <w:tab/>
        <w:t xml:space="preserve">The modelling of GST revenue on a per person basis may overstate GST revenues, particularly for older age cohorts due to changes in income and consumption behaviour which is not taken into account. </w:t>
      </w:r>
      <w:proofErr w:type="spellStart"/>
      <w:r>
        <w:t>NPVs</w:t>
      </w:r>
      <w:proofErr w:type="spellEnd"/>
      <w:r>
        <w:t xml:space="preserve"> of fiscal impacts for older immigrants should therefore be interpreted as an ‘upper’ bound. </w:t>
      </w:r>
    </w:p>
  </w:footnote>
  <w:footnote w:id="12">
    <w:p w14:paraId="4C6A4398" w14:textId="77777777" w:rsidR="000F5840" w:rsidRDefault="000F5840">
      <w:pPr>
        <w:pStyle w:val="FootnoteText"/>
      </w:pPr>
      <w:r>
        <w:rPr>
          <w:rStyle w:val="FootnoteReference"/>
        </w:rPr>
        <w:footnoteRef/>
      </w:r>
      <w:r>
        <w:tab/>
        <w:t>The positive gross operating surplus at the local government level implied in ABS (2013) has been simplistically modelled as a reduction in aggregate expenditure given vertical fiscal imbalance.</w:t>
      </w:r>
    </w:p>
  </w:footnote>
  <w:footnote w:id="13">
    <w:p w14:paraId="4C6A4399" w14:textId="77777777" w:rsidR="000F5840" w:rsidRDefault="000F5840">
      <w:pPr>
        <w:pStyle w:val="FootnoteText"/>
      </w:pPr>
      <w:r>
        <w:rPr>
          <w:rStyle w:val="FootnoteReference"/>
        </w:rPr>
        <w:footnoteRef/>
      </w:r>
      <w:r>
        <w:tab/>
      </w:r>
      <w:r w:rsidRPr="00A72456">
        <w:t xml:space="preserve">This approach assumes that these additional revenues and expenditures are roughly </w:t>
      </w:r>
      <w:r>
        <w:t>constant as a proportion of GDP</w:t>
      </w:r>
      <w:r w:rsidRPr="00A72456">
        <w:t xml:space="preserve"> and that the primary impact of immigration on GDP growth is through population growth, as opposed to growth in aggregate participation or productivity.</w:t>
      </w:r>
    </w:p>
  </w:footnote>
  <w:footnote w:id="14">
    <w:p w14:paraId="4C6A439A" w14:textId="22FAAA10" w:rsidR="000F5840" w:rsidRDefault="000F5840" w:rsidP="00487D84">
      <w:pPr>
        <w:pStyle w:val="FootnoteText"/>
      </w:pPr>
      <w:r>
        <w:rPr>
          <w:rStyle w:val="FootnoteReference"/>
        </w:rPr>
        <w:footnoteRef/>
      </w:r>
      <w:r>
        <w:tab/>
        <w:t>This does not account for environmental or social considerations for population growth and assumes that such a future tax is non-distortionary in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F5840" w14:paraId="4C6A4381" w14:textId="77777777">
      <w:tc>
        <w:tcPr>
          <w:tcW w:w="6634" w:type="dxa"/>
          <w:tcBorders>
            <w:top w:val="single" w:sz="6" w:space="0" w:color="auto"/>
          </w:tcBorders>
        </w:tcPr>
        <w:p w14:paraId="4C6A437F" w14:textId="77777777" w:rsidR="000F5840" w:rsidRDefault="000F5840" w:rsidP="00E669E2">
          <w:pPr>
            <w:pStyle w:val="HeaderOdd"/>
          </w:pPr>
        </w:p>
      </w:tc>
      <w:tc>
        <w:tcPr>
          <w:tcW w:w="2155" w:type="dxa"/>
          <w:tcBorders>
            <w:top w:val="single" w:sz="24" w:space="0" w:color="auto"/>
          </w:tcBorders>
        </w:tcPr>
        <w:p w14:paraId="4C6A4380" w14:textId="77777777" w:rsidR="000F5840" w:rsidRDefault="000F5840" w:rsidP="00E669E2">
          <w:pPr>
            <w:pStyle w:val="HeaderOdd"/>
          </w:pPr>
        </w:p>
      </w:tc>
    </w:tr>
  </w:tbl>
  <w:p w14:paraId="4C6A4382" w14:textId="77777777" w:rsidR="000F5840" w:rsidRDefault="000F5840"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F5840" w14:paraId="74F247A2" w14:textId="77777777">
      <w:tc>
        <w:tcPr>
          <w:tcW w:w="2155" w:type="dxa"/>
          <w:tcBorders>
            <w:top w:val="single" w:sz="24" w:space="0" w:color="auto"/>
          </w:tcBorders>
        </w:tcPr>
        <w:p w14:paraId="78958472" w14:textId="77777777" w:rsidR="000F5840" w:rsidRDefault="000F5840" w:rsidP="0019293B">
          <w:pPr>
            <w:pStyle w:val="HeaderEven"/>
          </w:pPr>
        </w:p>
      </w:tc>
      <w:tc>
        <w:tcPr>
          <w:tcW w:w="6634" w:type="dxa"/>
          <w:tcBorders>
            <w:top w:val="single" w:sz="6" w:space="0" w:color="auto"/>
          </w:tcBorders>
        </w:tcPr>
        <w:p w14:paraId="1B06F503" w14:textId="77777777" w:rsidR="000F5840" w:rsidRDefault="000F5840" w:rsidP="0019293B">
          <w:pPr>
            <w:pStyle w:val="HeaderEven"/>
          </w:pPr>
        </w:p>
      </w:tc>
    </w:tr>
  </w:tbl>
  <w:p w14:paraId="0DB30000" w14:textId="77777777" w:rsidR="000F5840" w:rsidRDefault="000F5840"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F5840" w14:paraId="790321F1" w14:textId="77777777">
      <w:tc>
        <w:tcPr>
          <w:tcW w:w="6634" w:type="dxa"/>
          <w:tcBorders>
            <w:top w:val="single" w:sz="6" w:space="0" w:color="auto"/>
          </w:tcBorders>
        </w:tcPr>
        <w:p w14:paraId="46EF93AD" w14:textId="77777777" w:rsidR="000F5840" w:rsidRDefault="000F5840" w:rsidP="00E669E2">
          <w:pPr>
            <w:pStyle w:val="HeaderOdd"/>
          </w:pPr>
        </w:p>
      </w:tc>
      <w:tc>
        <w:tcPr>
          <w:tcW w:w="2155" w:type="dxa"/>
          <w:tcBorders>
            <w:top w:val="single" w:sz="24" w:space="0" w:color="auto"/>
          </w:tcBorders>
        </w:tcPr>
        <w:p w14:paraId="700132B4" w14:textId="77777777" w:rsidR="000F5840" w:rsidRDefault="000F5840" w:rsidP="00E669E2">
          <w:pPr>
            <w:pStyle w:val="HeaderOdd"/>
          </w:pPr>
        </w:p>
      </w:tc>
    </w:tr>
  </w:tbl>
  <w:p w14:paraId="083A12D0" w14:textId="77777777" w:rsidR="000F5840" w:rsidRDefault="000F584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5E250E0A"/>
    <w:multiLevelType w:val="hybridMultilevel"/>
    <w:tmpl w:val="B1BCEC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9"/>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20"/>
  </w:num>
  <w:num w:numId="16">
    <w:abstractNumId w:val="12"/>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MODELLING IMMIGRANTS FISCAL IMPACTS"/>
    <w:docVar w:name="ShortReportTitle" w:val="MIGRANT INTAKE INTO AUSTRALIA — TECHNICAL SUPPLEMENT D"/>
  </w:docVars>
  <w:rsids>
    <w:rsidRoot w:val="004C79B3"/>
    <w:rsid w:val="0000064D"/>
    <w:rsid w:val="0001413A"/>
    <w:rsid w:val="000142EC"/>
    <w:rsid w:val="00016B1F"/>
    <w:rsid w:val="000227D5"/>
    <w:rsid w:val="0002361E"/>
    <w:rsid w:val="000245AA"/>
    <w:rsid w:val="00025C09"/>
    <w:rsid w:val="000300E4"/>
    <w:rsid w:val="000313C7"/>
    <w:rsid w:val="0003664B"/>
    <w:rsid w:val="0004111F"/>
    <w:rsid w:val="000475CA"/>
    <w:rsid w:val="00050D96"/>
    <w:rsid w:val="00053BCA"/>
    <w:rsid w:val="00055077"/>
    <w:rsid w:val="000565B3"/>
    <w:rsid w:val="00057012"/>
    <w:rsid w:val="00063788"/>
    <w:rsid w:val="00065038"/>
    <w:rsid w:val="0007062B"/>
    <w:rsid w:val="0007150B"/>
    <w:rsid w:val="000717C7"/>
    <w:rsid w:val="00072C7F"/>
    <w:rsid w:val="0007394D"/>
    <w:rsid w:val="00080BFE"/>
    <w:rsid w:val="0008712A"/>
    <w:rsid w:val="00091C4A"/>
    <w:rsid w:val="000938F5"/>
    <w:rsid w:val="00094BE6"/>
    <w:rsid w:val="00095663"/>
    <w:rsid w:val="000962FC"/>
    <w:rsid w:val="00096E55"/>
    <w:rsid w:val="00097568"/>
    <w:rsid w:val="0009783E"/>
    <w:rsid w:val="000B1022"/>
    <w:rsid w:val="000B601B"/>
    <w:rsid w:val="000C100B"/>
    <w:rsid w:val="000C207E"/>
    <w:rsid w:val="000C45B3"/>
    <w:rsid w:val="000C563B"/>
    <w:rsid w:val="000D41E9"/>
    <w:rsid w:val="000E1EC5"/>
    <w:rsid w:val="000E72F2"/>
    <w:rsid w:val="000F0035"/>
    <w:rsid w:val="000F04E7"/>
    <w:rsid w:val="000F060A"/>
    <w:rsid w:val="000F420B"/>
    <w:rsid w:val="000F5840"/>
    <w:rsid w:val="00107FDE"/>
    <w:rsid w:val="00110116"/>
    <w:rsid w:val="00114427"/>
    <w:rsid w:val="00115DEB"/>
    <w:rsid w:val="00120072"/>
    <w:rsid w:val="00122005"/>
    <w:rsid w:val="001243EA"/>
    <w:rsid w:val="00126EB8"/>
    <w:rsid w:val="001274D4"/>
    <w:rsid w:val="00127C47"/>
    <w:rsid w:val="00131672"/>
    <w:rsid w:val="001363AA"/>
    <w:rsid w:val="0013739A"/>
    <w:rsid w:val="00137C36"/>
    <w:rsid w:val="0014100C"/>
    <w:rsid w:val="00142165"/>
    <w:rsid w:val="00142408"/>
    <w:rsid w:val="001507E2"/>
    <w:rsid w:val="001532F9"/>
    <w:rsid w:val="00160184"/>
    <w:rsid w:val="00160990"/>
    <w:rsid w:val="0016131A"/>
    <w:rsid w:val="00162434"/>
    <w:rsid w:val="00180842"/>
    <w:rsid w:val="00182F30"/>
    <w:rsid w:val="001839B9"/>
    <w:rsid w:val="00183E82"/>
    <w:rsid w:val="00185CD3"/>
    <w:rsid w:val="001878BB"/>
    <w:rsid w:val="001907ED"/>
    <w:rsid w:val="00191AE0"/>
    <w:rsid w:val="0019293B"/>
    <w:rsid w:val="0019426B"/>
    <w:rsid w:val="001A0A70"/>
    <w:rsid w:val="001A1F09"/>
    <w:rsid w:val="001A551C"/>
    <w:rsid w:val="001A6A4B"/>
    <w:rsid w:val="001B44A6"/>
    <w:rsid w:val="001C0865"/>
    <w:rsid w:val="001C0AED"/>
    <w:rsid w:val="001C3ABA"/>
    <w:rsid w:val="001C5111"/>
    <w:rsid w:val="001D1ED6"/>
    <w:rsid w:val="001D1F60"/>
    <w:rsid w:val="001E0C88"/>
    <w:rsid w:val="001E601A"/>
    <w:rsid w:val="001E76A0"/>
    <w:rsid w:val="001E770E"/>
    <w:rsid w:val="001E7BE8"/>
    <w:rsid w:val="001F0248"/>
    <w:rsid w:val="001F19FE"/>
    <w:rsid w:val="001F1EC2"/>
    <w:rsid w:val="001F30EB"/>
    <w:rsid w:val="001F3EB3"/>
    <w:rsid w:val="001F4F86"/>
    <w:rsid w:val="0020033E"/>
    <w:rsid w:val="002007EA"/>
    <w:rsid w:val="00202C2C"/>
    <w:rsid w:val="00203050"/>
    <w:rsid w:val="002072D2"/>
    <w:rsid w:val="002075CD"/>
    <w:rsid w:val="00210F91"/>
    <w:rsid w:val="002135AB"/>
    <w:rsid w:val="002144BE"/>
    <w:rsid w:val="00214697"/>
    <w:rsid w:val="00217698"/>
    <w:rsid w:val="0022304B"/>
    <w:rsid w:val="00226492"/>
    <w:rsid w:val="00230976"/>
    <w:rsid w:val="0023713B"/>
    <w:rsid w:val="00241626"/>
    <w:rsid w:val="002421A4"/>
    <w:rsid w:val="00242279"/>
    <w:rsid w:val="00242431"/>
    <w:rsid w:val="00243997"/>
    <w:rsid w:val="00244B2E"/>
    <w:rsid w:val="0024516C"/>
    <w:rsid w:val="00245C82"/>
    <w:rsid w:val="00257564"/>
    <w:rsid w:val="00260CB4"/>
    <w:rsid w:val="002641C6"/>
    <w:rsid w:val="00264249"/>
    <w:rsid w:val="00264931"/>
    <w:rsid w:val="002717AD"/>
    <w:rsid w:val="002724BA"/>
    <w:rsid w:val="00281AE6"/>
    <w:rsid w:val="00284DB1"/>
    <w:rsid w:val="00286AF1"/>
    <w:rsid w:val="00291B40"/>
    <w:rsid w:val="002928EB"/>
    <w:rsid w:val="002A5A9B"/>
    <w:rsid w:val="002B4008"/>
    <w:rsid w:val="002B420C"/>
    <w:rsid w:val="002C439F"/>
    <w:rsid w:val="002D0C42"/>
    <w:rsid w:val="002D0E8E"/>
    <w:rsid w:val="002D2524"/>
    <w:rsid w:val="002D40C4"/>
    <w:rsid w:val="002E03BD"/>
    <w:rsid w:val="002E1059"/>
    <w:rsid w:val="002E45CF"/>
    <w:rsid w:val="002F5277"/>
    <w:rsid w:val="00301189"/>
    <w:rsid w:val="00301E4A"/>
    <w:rsid w:val="00303958"/>
    <w:rsid w:val="00304189"/>
    <w:rsid w:val="00305D8D"/>
    <w:rsid w:val="00305F5E"/>
    <w:rsid w:val="00313032"/>
    <w:rsid w:val="00314B41"/>
    <w:rsid w:val="003168B8"/>
    <w:rsid w:val="00322D64"/>
    <w:rsid w:val="00323E09"/>
    <w:rsid w:val="00325B31"/>
    <w:rsid w:val="0033029F"/>
    <w:rsid w:val="00333932"/>
    <w:rsid w:val="0034254E"/>
    <w:rsid w:val="00345553"/>
    <w:rsid w:val="00350908"/>
    <w:rsid w:val="0035112F"/>
    <w:rsid w:val="003518AA"/>
    <w:rsid w:val="003519BE"/>
    <w:rsid w:val="00351B3F"/>
    <w:rsid w:val="00351E57"/>
    <w:rsid w:val="00352165"/>
    <w:rsid w:val="00353182"/>
    <w:rsid w:val="003557AB"/>
    <w:rsid w:val="003565D9"/>
    <w:rsid w:val="003577B5"/>
    <w:rsid w:val="003602E1"/>
    <w:rsid w:val="0036074F"/>
    <w:rsid w:val="00362C2E"/>
    <w:rsid w:val="0037026F"/>
    <w:rsid w:val="00371240"/>
    <w:rsid w:val="00374731"/>
    <w:rsid w:val="00376E59"/>
    <w:rsid w:val="00377EC1"/>
    <w:rsid w:val="00380340"/>
    <w:rsid w:val="00385C0E"/>
    <w:rsid w:val="00386C15"/>
    <w:rsid w:val="003919F9"/>
    <w:rsid w:val="003920CF"/>
    <w:rsid w:val="003922CC"/>
    <w:rsid w:val="00392841"/>
    <w:rsid w:val="003A611C"/>
    <w:rsid w:val="003B0C19"/>
    <w:rsid w:val="003B23C2"/>
    <w:rsid w:val="003B25A2"/>
    <w:rsid w:val="003B722C"/>
    <w:rsid w:val="003C38B5"/>
    <w:rsid w:val="003C5D99"/>
    <w:rsid w:val="003C6C0E"/>
    <w:rsid w:val="003C7185"/>
    <w:rsid w:val="003D1087"/>
    <w:rsid w:val="003D55B5"/>
    <w:rsid w:val="003E2F59"/>
    <w:rsid w:val="003E457D"/>
    <w:rsid w:val="003E69CE"/>
    <w:rsid w:val="003E746B"/>
    <w:rsid w:val="003E7757"/>
    <w:rsid w:val="003F0789"/>
    <w:rsid w:val="003F3715"/>
    <w:rsid w:val="003F4650"/>
    <w:rsid w:val="003F744E"/>
    <w:rsid w:val="00400921"/>
    <w:rsid w:val="00401882"/>
    <w:rsid w:val="00402EF1"/>
    <w:rsid w:val="004100C8"/>
    <w:rsid w:val="00411DBD"/>
    <w:rsid w:val="004125E3"/>
    <w:rsid w:val="00412ACE"/>
    <w:rsid w:val="004135B5"/>
    <w:rsid w:val="00413EC0"/>
    <w:rsid w:val="004145D2"/>
    <w:rsid w:val="004155B7"/>
    <w:rsid w:val="00422E07"/>
    <w:rsid w:val="00426CB4"/>
    <w:rsid w:val="00427156"/>
    <w:rsid w:val="00431249"/>
    <w:rsid w:val="004334E6"/>
    <w:rsid w:val="00433765"/>
    <w:rsid w:val="00434C19"/>
    <w:rsid w:val="004354FF"/>
    <w:rsid w:val="0043718B"/>
    <w:rsid w:val="00445E63"/>
    <w:rsid w:val="00447818"/>
    <w:rsid w:val="004502B8"/>
    <w:rsid w:val="00450810"/>
    <w:rsid w:val="00453029"/>
    <w:rsid w:val="00456494"/>
    <w:rsid w:val="00460B50"/>
    <w:rsid w:val="00461716"/>
    <w:rsid w:val="00461FD9"/>
    <w:rsid w:val="00462C59"/>
    <w:rsid w:val="00466CD7"/>
    <w:rsid w:val="00470737"/>
    <w:rsid w:val="004710FB"/>
    <w:rsid w:val="004765FD"/>
    <w:rsid w:val="00477144"/>
    <w:rsid w:val="00482171"/>
    <w:rsid w:val="004863FB"/>
    <w:rsid w:val="00487D84"/>
    <w:rsid w:val="00491380"/>
    <w:rsid w:val="0049459F"/>
    <w:rsid w:val="00495B0E"/>
    <w:rsid w:val="004A02A4"/>
    <w:rsid w:val="004A19FC"/>
    <w:rsid w:val="004A36FF"/>
    <w:rsid w:val="004A38DD"/>
    <w:rsid w:val="004A3B04"/>
    <w:rsid w:val="004A5389"/>
    <w:rsid w:val="004B1BA2"/>
    <w:rsid w:val="004B2862"/>
    <w:rsid w:val="004B42CF"/>
    <w:rsid w:val="004B43AE"/>
    <w:rsid w:val="004B7C1B"/>
    <w:rsid w:val="004C0096"/>
    <w:rsid w:val="004C0503"/>
    <w:rsid w:val="004C30ED"/>
    <w:rsid w:val="004C79B3"/>
    <w:rsid w:val="004D4B80"/>
    <w:rsid w:val="004D5675"/>
    <w:rsid w:val="004E5E2A"/>
    <w:rsid w:val="004E6A8E"/>
    <w:rsid w:val="004F00E2"/>
    <w:rsid w:val="004F4C71"/>
    <w:rsid w:val="00502FAB"/>
    <w:rsid w:val="005041BF"/>
    <w:rsid w:val="005056E9"/>
    <w:rsid w:val="00506A8B"/>
    <w:rsid w:val="00511025"/>
    <w:rsid w:val="00513453"/>
    <w:rsid w:val="00516F4F"/>
    <w:rsid w:val="00517795"/>
    <w:rsid w:val="00523639"/>
    <w:rsid w:val="005240B8"/>
    <w:rsid w:val="005315B0"/>
    <w:rsid w:val="00531FE5"/>
    <w:rsid w:val="005402FA"/>
    <w:rsid w:val="005624D0"/>
    <w:rsid w:val="00562873"/>
    <w:rsid w:val="00566BF1"/>
    <w:rsid w:val="005729BD"/>
    <w:rsid w:val="00574CAE"/>
    <w:rsid w:val="00580154"/>
    <w:rsid w:val="00582D18"/>
    <w:rsid w:val="00583747"/>
    <w:rsid w:val="00583C39"/>
    <w:rsid w:val="00586A90"/>
    <w:rsid w:val="00587F28"/>
    <w:rsid w:val="005909CF"/>
    <w:rsid w:val="00590CD1"/>
    <w:rsid w:val="00591E71"/>
    <w:rsid w:val="0059267E"/>
    <w:rsid w:val="00594E0A"/>
    <w:rsid w:val="005A0D41"/>
    <w:rsid w:val="005A3DF0"/>
    <w:rsid w:val="005A7FDF"/>
    <w:rsid w:val="005C7B65"/>
    <w:rsid w:val="005D03B9"/>
    <w:rsid w:val="005D0F8D"/>
    <w:rsid w:val="005D329F"/>
    <w:rsid w:val="005D3527"/>
    <w:rsid w:val="005D4BF5"/>
    <w:rsid w:val="005D6B84"/>
    <w:rsid w:val="005E09AE"/>
    <w:rsid w:val="005E2476"/>
    <w:rsid w:val="005F02DF"/>
    <w:rsid w:val="005F0822"/>
    <w:rsid w:val="005F25AB"/>
    <w:rsid w:val="005F48ED"/>
    <w:rsid w:val="005F4AA2"/>
    <w:rsid w:val="00600CA1"/>
    <w:rsid w:val="00601F26"/>
    <w:rsid w:val="0060269D"/>
    <w:rsid w:val="00603BA1"/>
    <w:rsid w:val="006064F2"/>
    <w:rsid w:val="00606E78"/>
    <w:rsid w:val="00607BF1"/>
    <w:rsid w:val="006101EE"/>
    <w:rsid w:val="00612725"/>
    <w:rsid w:val="0061552D"/>
    <w:rsid w:val="00616575"/>
    <w:rsid w:val="0062500B"/>
    <w:rsid w:val="00630D4D"/>
    <w:rsid w:val="0063205D"/>
    <w:rsid w:val="00632A74"/>
    <w:rsid w:val="00634AD4"/>
    <w:rsid w:val="0064094B"/>
    <w:rsid w:val="00645852"/>
    <w:rsid w:val="00646A4C"/>
    <w:rsid w:val="00646F70"/>
    <w:rsid w:val="00653C9F"/>
    <w:rsid w:val="00654D42"/>
    <w:rsid w:val="00660CF6"/>
    <w:rsid w:val="00661444"/>
    <w:rsid w:val="006645BC"/>
    <w:rsid w:val="00666E02"/>
    <w:rsid w:val="00667810"/>
    <w:rsid w:val="00667E45"/>
    <w:rsid w:val="00671A8A"/>
    <w:rsid w:val="006726CD"/>
    <w:rsid w:val="00674EA6"/>
    <w:rsid w:val="00680A0F"/>
    <w:rsid w:val="00680B7E"/>
    <w:rsid w:val="006830E9"/>
    <w:rsid w:val="0068413F"/>
    <w:rsid w:val="006849EA"/>
    <w:rsid w:val="006868EB"/>
    <w:rsid w:val="00687779"/>
    <w:rsid w:val="00690981"/>
    <w:rsid w:val="00692446"/>
    <w:rsid w:val="0069303F"/>
    <w:rsid w:val="00695BDF"/>
    <w:rsid w:val="006A3963"/>
    <w:rsid w:val="006A403D"/>
    <w:rsid w:val="006A4655"/>
    <w:rsid w:val="006A76BD"/>
    <w:rsid w:val="006A78DD"/>
    <w:rsid w:val="006B2B3C"/>
    <w:rsid w:val="006C1D81"/>
    <w:rsid w:val="006C581B"/>
    <w:rsid w:val="006C5D09"/>
    <w:rsid w:val="006C6E00"/>
    <w:rsid w:val="006C7038"/>
    <w:rsid w:val="006D35FC"/>
    <w:rsid w:val="006D5483"/>
    <w:rsid w:val="006E01D5"/>
    <w:rsid w:val="006E0D1B"/>
    <w:rsid w:val="006E268D"/>
    <w:rsid w:val="006E5504"/>
    <w:rsid w:val="006E73EF"/>
    <w:rsid w:val="006F0F32"/>
    <w:rsid w:val="006F3601"/>
    <w:rsid w:val="006F4EF3"/>
    <w:rsid w:val="006F718B"/>
    <w:rsid w:val="007010B1"/>
    <w:rsid w:val="0070210A"/>
    <w:rsid w:val="007021C3"/>
    <w:rsid w:val="0070244E"/>
    <w:rsid w:val="007055D2"/>
    <w:rsid w:val="007079C9"/>
    <w:rsid w:val="00714D4D"/>
    <w:rsid w:val="00716987"/>
    <w:rsid w:val="00726075"/>
    <w:rsid w:val="007266D3"/>
    <w:rsid w:val="007304A7"/>
    <w:rsid w:val="00731861"/>
    <w:rsid w:val="0073189B"/>
    <w:rsid w:val="00732029"/>
    <w:rsid w:val="00740D60"/>
    <w:rsid w:val="00753877"/>
    <w:rsid w:val="00755CA0"/>
    <w:rsid w:val="007604BB"/>
    <w:rsid w:val="007611E9"/>
    <w:rsid w:val="00767DA9"/>
    <w:rsid w:val="00772909"/>
    <w:rsid w:val="007729FA"/>
    <w:rsid w:val="00775880"/>
    <w:rsid w:val="00777279"/>
    <w:rsid w:val="00781031"/>
    <w:rsid w:val="00785232"/>
    <w:rsid w:val="007857B7"/>
    <w:rsid w:val="00791500"/>
    <w:rsid w:val="0079701E"/>
    <w:rsid w:val="007A21EB"/>
    <w:rsid w:val="007A23D7"/>
    <w:rsid w:val="007A3694"/>
    <w:rsid w:val="007B1A93"/>
    <w:rsid w:val="007B2FFD"/>
    <w:rsid w:val="007B5DE3"/>
    <w:rsid w:val="007C36C9"/>
    <w:rsid w:val="007C4B48"/>
    <w:rsid w:val="007C6A45"/>
    <w:rsid w:val="007D2A1B"/>
    <w:rsid w:val="007D2A9D"/>
    <w:rsid w:val="007D438B"/>
    <w:rsid w:val="007D6401"/>
    <w:rsid w:val="007E01E4"/>
    <w:rsid w:val="007E2B84"/>
    <w:rsid w:val="007E32DF"/>
    <w:rsid w:val="007E7A12"/>
    <w:rsid w:val="007E7D19"/>
    <w:rsid w:val="007F7107"/>
    <w:rsid w:val="00800D4C"/>
    <w:rsid w:val="0081030F"/>
    <w:rsid w:val="008126A7"/>
    <w:rsid w:val="00812F4A"/>
    <w:rsid w:val="0081453F"/>
    <w:rsid w:val="00814E51"/>
    <w:rsid w:val="00815785"/>
    <w:rsid w:val="00817A7D"/>
    <w:rsid w:val="0082087D"/>
    <w:rsid w:val="008231E3"/>
    <w:rsid w:val="00825E83"/>
    <w:rsid w:val="00835771"/>
    <w:rsid w:val="00842933"/>
    <w:rsid w:val="0084367F"/>
    <w:rsid w:val="0084479A"/>
    <w:rsid w:val="00845BD7"/>
    <w:rsid w:val="008555C0"/>
    <w:rsid w:val="008603F1"/>
    <w:rsid w:val="0086082C"/>
    <w:rsid w:val="00862EA5"/>
    <w:rsid w:val="00864610"/>
    <w:rsid w:val="00864A4E"/>
    <w:rsid w:val="00864ADC"/>
    <w:rsid w:val="008661FE"/>
    <w:rsid w:val="008707F3"/>
    <w:rsid w:val="008775B4"/>
    <w:rsid w:val="00880153"/>
    <w:rsid w:val="00880F97"/>
    <w:rsid w:val="0088111C"/>
    <w:rsid w:val="0088133A"/>
    <w:rsid w:val="00884287"/>
    <w:rsid w:val="008855CD"/>
    <w:rsid w:val="0089285E"/>
    <w:rsid w:val="0089436C"/>
    <w:rsid w:val="008B251E"/>
    <w:rsid w:val="008B2868"/>
    <w:rsid w:val="008B2BF3"/>
    <w:rsid w:val="008B6DE7"/>
    <w:rsid w:val="008C7915"/>
    <w:rsid w:val="008C7D5C"/>
    <w:rsid w:val="008D0100"/>
    <w:rsid w:val="008D365C"/>
    <w:rsid w:val="008D3F1C"/>
    <w:rsid w:val="008D7622"/>
    <w:rsid w:val="008E2456"/>
    <w:rsid w:val="008E2BA1"/>
    <w:rsid w:val="008E73F0"/>
    <w:rsid w:val="008F2300"/>
    <w:rsid w:val="008F5F8D"/>
    <w:rsid w:val="00900331"/>
    <w:rsid w:val="009021A6"/>
    <w:rsid w:val="009030BF"/>
    <w:rsid w:val="00903B52"/>
    <w:rsid w:val="0090519E"/>
    <w:rsid w:val="0091032F"/>
    <w:rsid w:val="00910586"/>
    <w:rsid w:val="00914368"/>
    <w:rsid w:val="009163BD"/>
    <w:rsid w:val="00917E2C"/>
    <w:rsid w:val="00926441"/>
    <w:rsid w:val="00926B46"/>
    <w:rsid w:val="00931076"/>
    <w:rsid w:val="0093145D"/>
    <w:rsid w:val="009345D9"/>
    <w:rsid w:val="00934B15"/>
    <w:rsid w:val="00940C87"/>
    <w:rsid w:val="0094176B"/>
    <w:rsid w:val="00942B62"/>
    <w:rsid w:val="00943A80"/>
    <w:rsid w:val="00947B60"/>
    <w:rsid w:val="00951BE5"/>
    <w:rsid w:val="00951FA3"/>
    <w:rsid w:val="0095323B"/>
    <w:rsid w:val="00956A0C"/>
    <w:rsid w:val="00956BD9"/>
    <w:rsid w:val="0095772C"/>
    <w:rsid w:val="00960DAF"/>
    <w:rsid w:val="009615FA"/>
    <w:rsid w:val="00962489"/>
    <w:rsid w:val="00962F30"/>
    <w:rsid w:val="00967CD3"/>
    <w:rsid w:val="00971C01"/>
    <w:rsid w:val="00981CE8"/>
    <w:rsid w:val="009854FC"/>
    <w:rsid w:val="00990C2C"/>
    <w:rsid w:val="00992D8A"/>
    <w:rsid w:val="0099320E"/>
    <w:rsid w:val="009A5171"/>
    <w:rsid w:val="009A7F70"/>
    <w:rsid w:val="009B7BF6"/>
    <w:rsid w:val="009C03E1"/>
    <w:rsid w:val="009C564D"/>
    <w:rsid w:val="009D39F4"/>
    <w:rsid w:val="009E16CB"/>
    <w:rsid w:val="009E1844"/>
    <w:rsid w:val="009E42D9"/>
    <w:rsid w:val="009E7808"/>
    <w:rsid w:val="009F0CBB"/>
    <w:rsid w:val="009F0D1B"/>
    <w:rsid w:val="009F5BBD"/>
    <w:rsid w:val="009F696D"/>
    <w:rsid w:val="009F6B35"/>
    <w:rsid w:val="009F6BC6"/>
    <w:rsid w:val="009F74EF"/>
    <w:rsid w:val="00A0111B"/>
    <w:rsid w:val="00A02826"/>
    <w:rsid w:val="00A03D1C"/>
    <w:rsid w:val="00A15A2E"/>
    <w:rsid w:val="00A15AF1"/>
    <w:rsid w:val="00A15D5A"/>
    <w:rsid w:val="00A17328"/>
    <w:rsid w:val="00A23A20"/>
    <w:rsid w:val="00A24443"/>
    <w:rsid w:val="00A2448B"/>
    <w:rsid w:val="00A26694"/>
    <w:rsid w:val="00A268B9"/>
    <w:rsid w:val="00A2703A"/>
    <w:rsid w:val="00A326E6"/>
    <w:rsid w:val="00A332D2"/>
    <w:rsid w:val="00A33DFF"/>
    <w:rsid w:val="00A35115"/>
    <w:rsid w:val="00A3647B"/>
    <w:rsid w:val="00A36D9A"/>
    <w:rsid w:val="00A451DC"/>
    <w:rsid w:val="00A462D9"/>
    <w:rsid w:val="00A469DC"/>
    <w:rsid w:val="00A473C9"/>
    <w:rsid w:val="00A50858"/>
    <w:rsid w:val="00A53CA2"/>
    <w:rsid w:val="00A554AB"/>
    <w:rsid w:val="00A57062"/>
    <w:rsid w:val="00A60593"/>
    <w:rsid w:val="00A67781"/>
    <w:rsid w:val="00A7053B"/>
    <w:rsid w:val="00A72456"/>
    <w:rsid w:val="00A761F9"/>
    <w:rsid w:val="00A8208C"/>
    <w:rsid w:val="00A84965"/>
    <w:rsid w:val="00A90B00"/>
    <w:rsid w:val="00A91D76"/>
    <w:rsid w:val="00A92B53"/>
    <w:rsid w:val="00A94FA6"/>
    <w:rsid w:val="00A95042"/>
    <w:rsid w:val="00AA305E"/>
    <w:rsid w:val="00AA49A0"/>
    <w:rsid w:val="00AA66FD"/>
    <w:rsid w:val="00AA6710"/>
    <w:rsid w:val="00AA68D1"/>
    <w:rsid w:val="00AA72B0"/>
    <w:rsid w:val="00AB0681"/>
    <w:rsid w:val="00AC3A15"/>
    <w:rsid w:val="00AD0B31"/>
    <w:rsid w:val="00AD2376"/>
    <w:rsid w:val="00AD4F27"/>
    <w:rsid w:val="00AD520B"/>
    <w:rsid w:val="00AE184C"/>
    <w:rsid w:val="00AE3BCC"/>
    <w:rsid w:val="00AE41B4"/>
    <w:rsid w:val="00AF4957"/>
    <w:rsid w:val="00B010FC"/>
    <w:rsid w:val="00B066A9"/>
    <w:rsid w:val="00B11D7F"/>
    <w:rsid w:val="00B134AE"/>
    <w:rsid w:val="00B143A3"/>
    <w:rsid w:val="00B15A16"/>
    <w:rsid w:val="00B2230E"/>
    <w:rsid w:val="00B27E2A"/>
    <w:rsid w:val="00B37751"/>
    <w:rsid w:val="00B4005E"/>
    <w:rsid w:val="00B425C3"/>
    <w:rsid w:val="00B440AD"/>
    <w:rsid w:val="00B479BB"/>
    <w:rsid w:val="00B53E7E"/>
    <w:rsid w:val="00B610B9"/>
    <w:rsid w:val="00B6342E"/>
    <w:rsid w:val="00B637EB"/>
    <w:rsid w:val="00B65132"/>
    <w:rsid w:val="00B65E0F"/>
    <w:rsid w:val="00B66AB9"/>
    <w:rsid w:val="00B678C8"/>
    <w:rsid w:val="00B7113F"/>
    <w:rsid w:val="00B73B49"/>
    <w:rsid w:val="00B75576"/>
    <w:rsid w:val="00B8119A"/>
    <w:rsid w:val="00B82B44"/>
    <w:rsid w:val="00B932BA"/>
    <w:rsid w:val="00BA2BCF"/>
    <w:rsid w:val="00BA5B14"/>
    <w:rsid w:val="00BA6882"/>
    <w:rsid w:val="00BA73B6"/>
    <w:rsid w:val="00BA7E27"/>
    <w:rsid w:val="00BB2603"/>
    <w:rsid w:val="00BB2612"/>
    <w:rsid w:val="00BB2937"/>
    <w:rsid w:val="00BB4FCD"/>
    <w:rsid w:val="00BB5D14"/>
    <w:rsid w:val="00BB7708"/>
    <w:rsid w:val="00BC04E9"/>
    <w:rsid w:val="00BC1EDA"/>
    <w:rsid w:val="00BC411D"/>
    <w:rsid w:val="00BC53C0"/>
    <w:rsid w:val="00BD13EA"/>
    <w:rsid w:val="00BD2FE2"/>
    <w:rsid w:val="00BE3808"/>
    <w:rsid w:val="00BF2435"/>
    <w:rsid w:val="00BF54BA"/>
    <w:rsid w:val="00BF75D5"/>
    <w:rsid w:val="00C00470"/>
    <w:rsid w:val="00C00584"/>
    <w:rsid w:val="00C012A2"/>
    <w:rsid w:val="00C0259B"/>
    <w:rsid w:val="00C03302"/>
    <w:rsid w:val="00C03B88"/>
    <w:rsid w:val="00C062E9"/>
    <w:rsid w:val="00C07B64"/>
    <w:rsid w:val="00C07D36"/>
    <w:rsid w:val="00C07F68"/>
    <w:rsid w:val="00C13721"/>
    <w:rsid w:val="00C14FE4"/>
    <w:rsid w:val="00C1677D"/>
    <w:rsid w:val="00C17F25"/>
    <w:rsid w:val="00C23BB5"/>
    <w:rsid w:val="00C27165"/>
    <w:rsid w:val="00C3066D"/>
    <w:rsid w:val="00C40D1C"/>
    <w:rsid w:val="00C4799E"/>
    <w:rsid w:val="00C52416"/>
    <w:rsid w:val="00C543F4"/>
    <w:rsid w:val="00C56489"/>
    <w:rsid w:val="00C60B9A"/>
    <w:rsid w:val="00C6291C"/>
    <w:rsid w:val="00C633CB"/>
    <w:rsid w:val="00C639F5"/>
    <w:rsid w:val="00C63AC9"/>
    <w:rsid w:val="00C664CD"/>
    <w:rsid w:val="00C678F6"/>
    <w:rsid w:val="00C736B7"/>
    <w:rsid w:val="00C7457E"/>
    <w:rsid w:val="00C76D17"/>
    <w:rsid w:val="00C81D4A"/>
    <w:rsid w:val="00C82682"/>
    <w:rsid w:val="00C8428A"/>
    <w:rsid w:val="00C862C0"/>
    <w:rsid w:val="00C86EB8"/>
    <w:rsid w:val="00C8762C"/>
    <w:rsid w:val="00C9055D"/>
    <w:rsid w:val="00C91DD8"/>
    <w:rsid w:val="00C91F41"/>
    <w:rsid w:val="00C94042"/>
    <w:rsid w:val="00C97F4F"/>
    <w:rsid w:val="00CA00F9"/>
    <w:rsid w:val="00CA0F87"/>
    <w:rsid w:val="00CA2961"/>
    <w:rsid w:val="00CB50D7"/>
    <w:rsid w:val="00CB7177"/>
    <w:rsid w:val="00CB7CED"/>
    <w:rsid w:val="00CC070F"/>
    <w:rsid w:val="00CC1998"/>
    <w:rsid w:val="00CC4946"/>
    <w:rsid w:val="00CC6108"/>
    <w:rsid w:val="00CC64A1"/>
    <w:rsid w:val="00CD0496"/>
    <w:rsid w:val="00CD0F2E"/>
    <w:rsid w:val="00CD77A7"/>
    <w:rsid w:val="00CE270F"/>
    <w:rsid w:val="00CE5FEA"/>
    <w:rsid w:val="00CE69AD"/>
    <w:rsid w:val="00CF1720"/>
    <w:rsid w:val="00CF3B11"/>
    <w:rsid w:val="00D029CB"/>
    <w:rsid w:val="00D05F44"/>
    <w:rsid w:val="00D076C5"/>
    <w:rsid w:val="00D10860"/>
    <w:rsid w:val="00D12C57"/>
    <w:rsid w:val="00D16022"/>
    <w:rsid w:val="00D163EC"/>
    <w:rsid w:val="00D21079"/>
    <w:rsid w:val="00D21BF5"/>
    <w:rsid w:val="00D242B8"/>
    <w:rsid w:val="00D26E59"/>
    <w:rsid w:val="00D270A4"/>
    <w:rsid w:val="00D31FE9"/>
    <w:rsid w:val="00D34E1B"/>
    <w:rsid w:val="00D359C0"/>
    <w:rsid w:val="00D35E6E"/>
    <w:rsid w:val="00D376BA"/>
    <w:rsid w:val="00D42F07"/>
    <w:rsid w:val="00D434A0"/>
    <w:rsid w:val="00D45634"/>
    <w:rsid w:val="00D465FB"/>
    <w:rsid w:val="00D50BD5"/>
    <w:rsid w:val="00D5568A"/>
    <w:rsid w:val="00D55A3F"/>
    <w:rsid w:val="00D63D73"/>
    <w:rsid w:val="00D64283"/>
    <w:rsid w:val="00D64452"/>
    <w:rsid w:val="00D66E1E"/>
    <w:rsid w:val="00D66EA0"/>
    <w:rsid w:val="00D701B0"/>
    <w:rsid w:val="00D70696"/>
    <w:rsid w:val="00D734E7"/>
    <w:rsid w:val="00D75536"/>
    <w:rsid w:val="00D75722"/>
    <w:rsid w:val="00D80417"/>
    <w:rsid w:val="00D80CF5"/>
    <w:rsid w:val="00D84C59"/>
    <w:rsid w:val="00D86853"/>
    <w:rsid w:val="00D87189"/>
    <w:rsid w:val="00D92B39"/>
    <w:rsid w:val="00D97929"/>
    <w:rsid w:val="00DA0028"/>
    <w:rsid w:val="00DA0FA4"/>
    <w:rsid w:val="00DA5BBA"/>
    <w:rsid w:val="00DB1CDC"/>
    <w:rsid w:val="00DB26D2"/>
    <w:rsid w:val="00DB67C9"/>
    <w:rsid w:val="00DC0C95"/>
    <w:rsid w:val="00DC166E"/>
    <w:rsid w:val="00DC4F0B"/>
    <w:rsid w:val="00DC5DFF"/>
    <w:rsid w:val="00DD5CCC"/>
    <w:rsid w:val="00DD6580"/>
    <w:rsid w:val="00DD73E7"/>
    <w:rsid w:val="00DE1BE2"/>
    <w:rsid w:val="00DF30DF"/>
    <w:rsid w:val="00E0054E"/>
    <w:rsid w:val="00E01D7F"/>
    <w:rsid w:val="00E028A7"/>
    <w:rsid w:val="00E03A53"/>
    <w:rsid w:val="00E04798"/>
    <w:rsid w:val="00E05C03"/>
    <w:rsid w:val="00E110B6"/>
    <w:rsid w:val="00E17923"/>
    <w:rsid w:val="00E17C72"/>
    <w:rsid w:val="00E21FC6"/>
    <w:rsid w:val="00E2522A"/>
    <w:rsid w:val="00E31836"/>
    <w:rsid w:val="00E431A9"/>
    <w:rsid w:val="00E446F8"/>
    <w:rsid w:val="00E54B19"/>
    <w:rsid w:val="00E56D5E"/>
    <w:rsid w:val="00E57BC4"/>
    <w:rsid w:val="00E6033E"/>
    <w:rsid w:val="00E64B85"/>
    <w:rsid w:val="00E669E2"/>
    <w:rsid w:val="00E67402"/>
    <w:rsid w:val="00E76135"/>
    <w:rsid w:val="00E771A4"/>
    <w:rsid w:val="00E802D2"/>
    <w:rsid w:val="00E82F4F"/>
    <w:rsid w:val="00E83DE7"/>
    <w:rsid w:val="00E864DF"/>
    <w:rsid w:val="00E90D1E"/>
    <w:rsid w:val="00E91034"/>
    <w:rsid w:val="00E95333"/>
    <w:rsid w:val="00EB0766"/>
    <w:rsid w:val="00EB2CC3"/>
    <w:rsid w:val="00EB5CDB"/>
    <w:rsid w:val="00EB6886"/>
    <w:rsid w:val="00EC2844"/>
    <w:rsid w:val="00EC5500"/>
    <w:rsid w:val="00ED18F8"/>
    <w:rsid w:val="00EE6EDA"/>
    <w:rsid w:val="00EE778E"/>
    <w:rsid w:val="00EF0E4B"/>
    <w:rsid w:val="00EF1F9E"/>
    <w:rsid w:val="00EF3F53"/>
    <w:rsid w:val="00EF6719"/>
    <w:rsid w:val="00EF6C6C"/>
    <w:rsid w:val="00F012C2"/>
    <w:rsid w:val="00F02111"/>
    <w:rsid w:val="00F0289A"/>
    <w:rsid w:val="00F056FC"/>
    <w:rsid w:val="00F05808"/>
    <w:rsid w:val="00F0632F"/>
    <w:rsid w:val="00F069AE"/>
    <w:rsid w:val="00F10476"/>
    <w:rsid w:val="00F135D8"/>
    <w:rsid w:val="00F218F3"/>
    <w:rsid w:val="00F233D6"/>
    <w:rsid w:val="00F31299"/>
    <w:rsid w:val="00F3129E"/>
    <w:rsid w:val="00F33606"/>
    <w:rsid w:val="00F3534A"/>
    <w:rsid w:val="00F35BFB"/>
    <w:rsid w:val="00F36ACC"/>
    <w:rsid w:val="00F440C9"/>
    <w:rsid w:val="00F50555"/>
    <w:rsid w:val="00F51609"/>
    <w:rsid w:val="00F53727"/>
    <w:rsid w:val="00F54107"/>
    <w:rsid w:val="00F5559B"/>
    <w:rsid w:val="00F55C25"/>
    <w:rsid w:val="00F661EF"/>
    <w:rsid w:val="00F67620"/>
    <w:rsid w:val="00F73727"/>
    <w:rsid w:val="00F766A7"/>
    <w:rsid w:val="00F7781C"/>
    <w:rsid w:val="00F81006"/>
    <w:rsid w:val="00F841F4"/>
    <w:rsid w:val="00F85325"/>
    <w:rsid w:val="00F8702F"/>
    <w:rsid w:val="00F921D1"/>
    <w:rsid w:val="00FA1C6A"/>
    <w:rsid w:val="00FA4B00"/>
    <w:rsid w:val="00FA7932"/>
    <w:rsid w:val="00FB5741"/>
    <w:rsid w:val="00FC1121"/>
    <w:rsid w:val="00FC20FE"/>
    <w:rsid w:val="00FC4DCC"/>
    <w:rsid w:val="00FD1E4B"/>
    <w:rsid w:val="00FD22B1"/>
    <w:rsid w:val="00FD33F1"/>
    <w:rsid w:val="00FD3566"/>
    <w:rsid w:val="00FD38BF"/>
    <w:rsid w:val="00FD39A2"/>
    <w:rsid w:val="00FD401E"/>
    <w:rsid w:val="00FD63F0"/>
    <w:rsid w:val="00FE5397"/>
    <w:rsid w:val="00FF3877"/>
    <w:rsid w:val="00FF5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C6A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4479A"/>
    <w:rPr>
      <w:sz w:val="24"/>
      <w:szCs w:val="24"/>
    </w:rPr>
  </w:style>
  <w:style w:type="paragraph" w:styleId="Heading1">
    <w:name w:val="heading 1"/>
    <w:basedOn w:val="BodyText"/>
    <w:next w:val="BodyText"/>
    <w:rsid w:val="0084479A"/>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84479A"/>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84479A"/>
    <w:pPr>
      <w:spacing w:before="560" w:line="320" w:lineRule="exact"/>
      <w:ind w:left="0" w:firstLine="0"/>
      <w:outlineLvl w:val="2"/>
    </w:pPr>
    <w:rPr>
      <w:sz w:val="26"/>
    </w:rPr>
  </w:style>
  <w:style w:type="paragraph" w:styleId="Heading4">
    <w:name w:val="heading 4"/>
    <w:basedOn w:val="Heading3"/>
    <w:next w:val="BodyText"/>
    <w:qFormat/>
    <w:rsid w:val="0084479A"/>
    <w:pPr>
      <w:spacing w:before="480"/>
      <w:outlineLvl w:val="3"/>
    </w:pPr>
    <w:rPr>
      <w:b w:val="0"/>
      <w:sz w:val="24"/>
    </w:rPr>
  </w:style>
  <w:style w:type="paragraph" w:styleId="Heading5">
    <w:name w:val="heading 5"/>
    <w:basedOn w:val="Heading4"/>
    <w:next w:val="BodyText"/>
    <w:link w:val="Heading5Char"/>
    <w:qFormat/>
    <w:rsid w:val="0084479A"/>
    <w:pPr>
      <w:outlineLvl w:val="4"/>
    </w:pPr>
    <w:rPr>
      <w:i/>
      <w:sz w:val="22"/>
    </w:rPr>
  </w:style>
  <w:style w:type="paragraph" w:styleId="Heading6">
    <w:name w:val="heading 6"/>
    <w:basedOn w:val="BodyText"/>
    <w:next w:val="BodyText"/>
    <w:semiHidden/>
    <w:rsid w:val="0084479A"/>
    <w:pPr>
      <w:spacing w:after="60"/>
      <w:jc w:val="left"/>
      <w:outlineLvl w:val="5"/>
    </w:pPr>
    <w:rPr>
      <w:i/>
      <w:sz w:val="22"/>
    </w:rPr>
  </w:style>
  <w:style w:type="paragraph" w:styleId="Heading7">
    <w:name w:val="heading 7"/>
    <w:basedOn w:val="BodyText"/>
    <w:next w:val="BodyText"/>
    <w:semiHidden/>
    <w:rsid w:val="0084479A"/>
    <w:pPr>
      <w:spacing w:after="60" w:line="240" w:lineRule="auto"/>
      <w:jc w:val="left"/>
      <w:outlineLvl w:val="6"/>
    </w:pPr>
    <w:rPr>
      <w:rFonts w:ascii="Arial" w:hAnsi="Arial"/>
      <w:sz w:val="20"/>
    </w:rPr>
  </w:style>
  <w:style w:type="paragraph" w:styleId="Heading8">
    <w:name w:val="heading 8"/>
    <w:basedOn w:val="BodyText"/>
    <w:next w:val="BodyText"/>
    <w:semiHidden/>
    <w:rsid w:val="0084479A"/>
    <w:pPr>
      <w:spacing w:after="60" w:line="240" w:lineRule="auto"/>
      <w:jc w:val="left"/>
      <w:outlineLvl w:val="7"/>
    </w:pPr>
    <w:rPr>
      <w:rFonts w:ascii="Arial" w:hAnsi="Arial"/>
      <w:i/>
      <w:sz w:val="20"/>
    </w:rPr>
  </w:style>
  <w:style w:type="paragraph" w:styleId="Heading9">
    <w:name w:val="heading 9"/>
    <w:basedOn w:val="BodyText"/>
    <w:next w:val="BodyText"/>
    <w:semiHidden/>
    <w:rsid w:val="0084479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8447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479A"/>
  </w:style>
  <w:style w:type="paragraph" w:styleId="BodyText">
    <w:name w:val="Body Text"/>
    <w:link w:val="BodyTextChar"/>
    <w:qFormat/>
    <w:rsid w:val="0084479A"/>
    <w:pPr>
      <w:spacing w:before="240" w:line="300" w:lineRule="atLeast"/>
      <w:jc w:val="both"/>
    </w:pPr>
    <w:rPr>
      <w:sz w:val="24"/>
    </w:rPr>
  </w:style>
  <w:style w:type="paragraph" w:styleId="Footer">
    <w:name w:val="footer"/>
    <w:basedOn w:val="BodyText"/>
    <w:link w:val="FooterChar"/>
    <w:rsid w:val="0084479A"/>
    <w:pPr>
      <w:spacing w:before="80" w:line="200" w:lineRule="exact"/>
      <w:ind w:right="6"/>
      <w:jc w:val="left"/>
    </w:pPr>
    <w:rPr>
      <w:rFonts w:ascii="Arial" w:hAnsi="Arial"/>
      <w:caps/>
      <w:spacing w:val="-4"/>
      <w:sz w:val="16"/>
    </w:rPr>
  </w:style>
  <w:style w:type="paragraph" w:customStyle="1" w:styleId="FooterEnd">
    <w:name w:val="Footer End"/>
    <w:basedOn w:val="Footer"/>
    <w:rsid w:val="0084479A"/>
    <w:pPr>
      <w:spacing w:before="0" w:line="20" w:lineRule="exact"/>
    </w:pPr>
  </w:style>
  <w:style w:type="paragraph" w:styleId="Header">
    <w:name w:val="header"/>
    <w:basedOn w:val="BodyText"/>
    <w:rsid w:val="0084479A"/>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84479A"/>
    <w:pPr>
      <w:spacing w:line="20" w:lineRule="exact"/>
    </w:pPr>
    <w:rPr>
      <w:sz w:val="16"/>
    </w:rPr>
  </w:style>
  <w:style w:type="paragraph" w:customStyle="1" w:styleId="HeaderEven">
    <w:name w:val="Header Even"/>
    <w:basedOn w:val="Header"/>
    <w:semiHidden/>
    <w:rsid w:val="0084479A"/>
  </w:style>
  <w:style w:type="paragraph" w:customStyle="1" w:styleId="HeaderOdd">
    <w:name w:val="Header Odd"/>
    <w:basedOn w:val="Header"/>
    <w:semiHidden/>
    <w:rsid w:val="0084479A"/>
  </w:style>
  <w:style w:type="character" w:styleId="PageNumber">
    <w:name w:val="page number"/>
    <w:basedOn w:val="DefaultParagraphFont"/>
    <w:rsid w:val="0084479A"/>
    <w:rPr>
      <w:rFonts w:ascii="Arial" w:hAnsi="Arial"/>
      <w:b/>
      <w:sz w:val="16"/>
    </w:rPr>
  </w:style>
  <w:style w:type="paragraph" w:customStyle="1" w:styleId="Abbreviation">
    <w:name w:val="Abbreviation"/>
    <w:basedOn w:val="BodyText"/>
    <w:rsid w:val="0084479A"/>
    <w:pPr>
      <w:spacing w:before="120"/>
      <w:ind w:left="2381" w:hanging="2381"/>
      <w:jc w:val="left"/>
    </w:pPr>
  </w:style>
  <w:style w:type="paragraph" w:customStyle="1" w:styleId="Box">
    <w:name w:val="Box"/>
    <w:basedOn w:val="BodyText"/>
    <w:qFormat/>
    <w:rsid w:val="0084479A"/>
    <w:pPr>
      <w:keepNext/>
      <w:spacing w:before="120" w:line="260" w:lineRule="atLeast"/>
    </w:pPr>
    <w:rPr>
      <w:rFonts w:ascii="Arial" w:hAnsi="Arial"/>
      <w:sz w:val="20"/>
    </w:rPr>
  </w:style>
  <w:style w:type="paragraph" w:customStyle="1" w:styleId="BoxContinued">
    <w:name w:val="Box Continued"/>
    <w:basedOn w:val="BodyText"/>
    <w:next w:val="BodyText"/>
    <w:semiHidden/>
    <w:rsid w:val="0084479A"/>
    <w:pPr>
      <w:spacing w:before="180" w:line="220" w:lineRule="exact"/>
      <w:jc w:val="right"/>
    </w:pPr>
    <w:rPr>
      <w:rFonts w:ascii="Arial" w:hAnsi="Arial"/>
      <w:sz w:val="18"/>
    </w:rPr>
  </w:style>
  <w:style w:type="paragraph" w:customStyle="1" w:styleId="BoxHeading1">
    <w:name w:val="Box Heading 1"/>
    <w:basedOn w:val="BodyText"/>
    <w:next w:val="Box"/>
    <w:rsid w:val="0084479A"/>
    <w:pPr>
      <w:keepNext/>
      <w:spacing w:before="200" w:line="280" w:lineRule="atLeast"/>
    </w:pPr>
    <w:rPr>
      <w:rFonts w:ascii="Arial" w:hAnsi="Arial"/>
      <w:b/>
      <w:sz w:val="22"/>
    </w:rPr>
  </w:style>
  <w:style w:type="paragraph" w:customStyle="1" w:styleId="BoxHeading2">
    <w:name w:val="Box Heading 2"/>
    <w:basedOn w:val="BoxHeading1"/>
    <w:next w:val="Normal"/>
    <w:rsid w:val="0084479A"/>
    <w:rPr>
      <w:b w:val="0"/>
      <w:i/>
    </w:rPr>
  </w:style>
  <w:style w:type="paragraph" w:customStyle="1" w:styleId="BoxListBullet">
    <w:name w:val="Box List Bullet"/>
    <w:basedOn w:val="BodyText"/>
    <w:rsid w:val="0084479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4479A"/>
    <w:pPr>
      <w:numPr>
        <w:numId w:val="13"/>
      </w:numPr>
      <w:ind w:left="568" w:hanging="284"/>
    </w:pPr>
  </w:style>
  <w:style w:type="paragraph" w:customStyle="1" w:styleId="BoxListNumber">
    <w:name w:val="Box List Number"/>
    <w:basedOn w:val="BodyText"/>
    <w:rsid w:val="0084479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84479A"/>
    <w:pPr>
      <w:numPr>
        <w:ilvl w:val="1"/>
      </w:numPr>
      <w:ind w:left="681" w:hanging="397"/>
    </w:pPr>
  </w:style>
  <w:style w:type="paragraph" w:customStyle="1" w:styleId="BoxQuote">
    <w:name w:val="Box Quote"/>
    <w:basedOn w:val="BodyText"/>
    <w:next w:val="Box"/>
    <w:qFormat/>
    <w:rsid w:val="0084479A"/>
    <w:pPr>
      <w:keepNext/>
      <w:spacing w:before="60" w:line="240" w:lineRule="exact"/>
      <w:ind w:left="284"/>
    </w:pPr>
    <w:rPr>
      <w:rFonts w:ascii="Arial" w:hAnsi="Arial"/>
      <w:sz w:val="18"/>
    </w:rPr>
  </w:style>
  <w:style w:type="paragraph" w:customStyle="1" w:styleId="Note">
    <w:name w:val="Note"/>
    <w:basedOn w:val="BodyText"/>
    <w:next w:val="BodyText"/>
    <w:rsid w:val="0084479A"/>
    <w:pPr>
      <w:keepLines/>
      <w:spacing w:before="80" w:line="220" w:lineRule="exact"/>
    </w:pPr>
    <w:rPr>
      <w:rFonts w:ascii="Arial" w:hAnsi="Arial"/>
      <w:sz w:val="18"/>
    </w:rPr>
  </w:style>
  <w:style w:type="paragraph" w:customStyle="1" w:styleId="Source">
    <w:name w:val="Source"/>
    <w:basedOn w:val="Normal"/>
    <w:next w:val="BodyText"/>
    <w:rsid w:val="0084479A"/>
    <w:pPr>
      <w:keepLines/>
      <w:spacing w:before="80" w:line="220" w:lineRule="exact"/>
      <w:jc w:val="both"/>
    </w:pPr>
    <w:rPr>
      <w:rFonts w:ascii="Arial" w:hAnsi="Arial"/>
      <w:sz w:val="18"/>
      <w:szCs w:val="20"/>
    </w:rPr>
  </w:style>
  <w:style w:type="paragraph" w:customStyle="1" w:styleId="BoxSource">
    <w:name w:val="Box Source"/>
    <w:basedOn w:val="Source"/>
    <w:next w:val="BodyText"/>
    <w:rsid w:val="0084479A"/>
    <w:pPr>
      <w:spacing w:before="120"/>
    </w:pPr>
  </w:style>
  <w:style w:type="paragraph" w:customStyle="1" w:styleId="BoxSpaceAbove">
    <w:name w:val="Box Space Above"/>
    <w:basedOn w:val="BodyText"/>
    <w:rsid w:val="0084479A"/>
    <w:pPr>
      <w:keepNext/>
      <w:spacing w:before="360" w:line="80" w:lineRule="exact"/>
      <w:jc w:val="left"/>
    </w:pPr>
  </w:style>
  <w:style w:type="paragraph" w:styleId="Caption">
    <w:name w:val="caption"/>
    <w:basedOn w:val="Normal"/>
    <w:next w:val="BodyText"/>
    <w:rsid w:val="0084479A"/>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84479A"/>
    <w:pPr>
      <w:spacing w:before="120" w:after="0"/>
    </w:pPr>
  </w:style>
  <w:style w:type="paragraph" w:customStyle="1" w:styleId="BoxSubtitle">
    <w:name w:val="Box Subtitle"/>
    <w:basedOn w:val="BoxTitle"/>
    <w:next w:val="Normal"/>
    <w:rsid w:val="0084479A"/>
    <w:pPr>
      <w:spacing w:after="80" w:line="200" w:lineRule="exact"/>
      <w:ind w:firstLine="0"/>
    </w:pPr>
    <w:rPr>
      <w:b w:val="0"/>
      <w:sz w:val="20"/>
    </w:rPr>
  </w:style>
  <w:style w:type="paragraph" w:customStyle="1" w:styleId="Chapter">
    <w:name w:val="Chapter"/>
    <w:basedOn w:val="Heading1"/>
    <w:next w:val="BodyText"/>
    <w:semiHidden/>
    <w:rsid w:val="0084479A"/>
    <w:pPr>
      <w:ind w:left="0" w:firstLine="0"/>
      <w:outlineLvl w:val="9"/>
    </w:pPr>
  </w:style>
  <w:style w:type="paragraph" w:customStyle="1" w:styleId="ChapterSummary">
    <w:name w:val="Chapter Summary"/>
    <w:basedOn w:val="BodyText"/>
    <w:rsid w:val="0084479A"/>
    <w:pPr>
      <w:spacing w:line="280" w:lineRule="atLeast"/>
      <w:ind w:left="907"/>
    </w:pPr>
    <w:rPr>
      <w:rFonts w:ascii="Arial" w:hAnsi="Arial"/>
      <w:b/>
      <w:sz w:val="20"/>
    </w:rPr>
  </w:style>
  <w:style w:type="character" w:styleId="CommentReference">
    <w:name w:val="annotation reference"/>
    <w:basedOn w:val="DefaultParagraphFont"/>
    <w:semiHidden/>
    <w:rsid w:val="0084479A"/>
    <w:rPr>
      <w:b/>
      <w:vanish/>
      <w:color w:val="FF00FF"/>
      <w:sz w:val="20"/>
    </w:rPr>
  </w:style>
  <w:style w:type="paragraph" w:styleId="CommentText">
    <w:name w:val="annotation text"/>
    <w:basedOn w:val="Normal"/>
    <w:link w:val="CommentTextChar"/>
    <w:semiHidden/>
    <w:rsid w:val="0084479A"/>
    <w:pPr>
      <w:spacing w:before="120" w:line="240" w:lineRule="atLeast"/>
      <w:ind w:left="567" w:hanging="567"/>
    </w:pPr>
    <w:rPr>
      <w:sz w:val="20"/>
    </w:rPr>
  </w:style>
  <w:style w:type="paragraph" w:customStyle="1" w:styleId="Continued">
    <w:name w:val="Continued"/>
    <w:basedOn w:val="BoxContinued"/>
    <w:next w:val="BodyText"/>
    <w:rsid w:val="0084479A"/>
  </w:style>
  <w:style w:type="character" w:customStyle="1" w:styleId="DocumentInfo">
    <w:name w:val="Document Info"/>
    <w:basedOn w:val="DefaultParagraphFont"/>
    <w:semiHidden/>
    <w:rsid w:val="0084479A"/>
    <w:rPr>
      <w:rFonts w:ascii="Arial" w:hAnsi="Arial"/>
      <w:sz w:val="14"/>
    </w:rPr>
  </w:style>
  <w:style w:type="character" w:customStyle="1" w:styleId="DraftingNote">
    <w:name w:val="Drafting Note"/>
    <w:basedOn w:val="DefaultParagraphFont"/>
    <w:rsid w:val="0084479A"/>
    <w:rPr>
      <w:b/>
      <w:color w:val="FF0000"/>
      <w:sz w:val="24"/>
      <w:u w:val="dotted"/>
    </w:rPr>
  </w:style>
  <w:style w:type="paragraph" w:customStyle="1" w:styleId="Figure">
    <w:name w:val="Figure"/>
    <w:basedOn w:val="BodyText"/>
    <w:rsid w:val="0084479A"/>
    <w:pPr>
      <w:keepNext/>
      <w:spacing w:before="120" w:after="120" w:line="240" w:lineRule="atLeast"/>
      <w:jc w:val="center"/>
    </w:pPr>
  </w:style>
  <w:style w:type="paragraph" w:customStyle="1" w:styleId="FigureTitle">
    <w:name w:val="Figure Title"/>
    <w:basedOn w:val="Caption"/>
    <w:next w:val="Subtitle"/>
    <w:rsid w:val="0084479A"/>
    <w:pPr>
      <w:spacing w:before="120"/>
    </w:pPr>
  </w:style>
  <w:style w:type="paragraph" w:styleId="Subtitle">
    <w:name w:val="Subtitle"/>
    <w:basedOn w:val="Caption"/>
    <w:link w:val="SubtitleChar"/>
    <w:qFormat/>
    <w:rsid w:val="0084479A"/>
    <w:pPr>
      <w:spacing w:before="0" w:line="200" w:lineRule="exact"/>
      <w:ind w:firstLine="0"/>
    </w:pPr>
    <w:rPr>
      <w:b w:val="0"/>
      <w:sz w:val="20"/>
    </w:rPr>
  </w:style>
  <w:style w:type="paragraph" w:customStyle="1" w:styleId="Finding">
    <w:name w:val="Finding"/>
    <w:basedOn w:val="BodyText"/>
    <w:rsid w:val="0084479A"/>
    <w:pPr>
      <w:keepLines/>
      <w:spacing w:before="120" w:line="280" w:lineRule="atLeast"/>
    </w:pPr>
    <w:rPr>
      <w:rFonts w:ascii="Arial" w:hAnsi="Arial"/>
      <w:sz w:val="22"/>
    </w:rPr>
  </w:style>
  <w:style w:type="paragraph" w:customStyle="1" w:styleId="FindingBullet">
    <w:name w:val="Finding Bullet"/>
    <w:basedOn w:val="Finding"/>
    <w:rsid w:val="0084479A"/>
    <w:pPr>
      <w:numPr>
        <w:numId w:val="15"/>
      </w:numPr>
      <w:spacing w:before="80"/>
    </w:pPr>
  </w:style>
  <w:style w:type="paragraph" w:customStyle="1" w:styleId="FindingNoTitle">
    <w:name w:val="Finding NoTitle"/>
    <w:basedOn w:val="Finding"/>
    <w:semiHidden/>
    <w:rsid w:val="0084479A"/>
    <w:pPr>
      <w:spacing w:before="240"/>
    </w:pPr>
  </w:style>
  <w:style w:type="paragraph" w:customStyle="1" w:styleId="RecTitle">
    <w:name w:val="Rec Title"/>
    <w:basedOn w:val="BodyText"/>
    <w:next w:val="Rec"/>
    <w:qFormat/>
    <w:rsid w:val="0084479A"/>
    <w:pPr>
      <w:keepNext/>
      <w:keepLines/>
      <w:spacing w:line="280" w:lineRule="atLeast"/>
    </w:pPr>
    <w:rPr>
      <w:rFonts w:ascii="Arial" w:hAnsi="Arial"/>
      <w:caps/>
      <w:sz w:val="18"/>
    </w:rPr>
  </w:style>
  <w:style w:type="paragraph" w:customStyle="1" w:styleId="FindingTitle">
    <w:name w:val="Finding Title"/>
    <w:basedOn w:val="RecTitle"/>
    <w:next w:val="Finding"/>
    <w:rsid w:val="0084479A"/>
  </w:style>
  <w:style w:type="character" w:styleId="FootnoteReference">
    <w:name w:val="footnote reference"/>
    <w:basedOn w:val="DefaultParagraphFont"/>
    <w:semiHidden/>
    <w:rsid w:val="0084479A"/>
    <w:rPr>
      <w:rFonts w:ascii="Times New Roman" w:hAnsi="Times New Roman"/>
      <w:position w:val="6"/>
      <w:sz w:val="20"/>
      <w:vertAlign w:val="baseline"/>
    </w:rPr>
  </w:style>
  <w:style w:type="paragraph" w:styleId="FootnoteText">
    <w:name w:val="footnote text"/>
    <w:basedOn w:val="BodyText"/>
    <w:rsid w:val="0084479A"/>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84479A"/>
    <w:rPr>
      <w:i/>
    </w:rPr>
  </w:style>
  <w:style w:type="paragraph" w:customStyle="1" w:styleId="Jurisdictioncommentsbodytext">
    <w:name w:val="Jurisdiction comments body text"/>
    <w:rsid w:val="0084479A"/>
    <w:pPr>
      <w:spacing w:after="140"/>
      <w:jc w:val="both"/>
    </w:pPr>
    <w:rPr>
      <w:rFonts w:ascii="Arial" w:hAnsi="Arial"/>
      <w:sz w:val="24"/>
      <w:lang w:eastAsia="en-US"/>
    </w:rPr>
  </w:style>
  <w:style w:type="paragraph" w:customStyle="1" w:styleId="Jurisdictioncommentsheading">
    <w:name w:val="Jurisdiction comments heading"/>
    <w:rsid w:val="0084479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84479A"/>
    <w:pPr>
      <w:numPr>
        <w:numId w:val="2"/>
      </w:numPr>
      <w:spacing w:after="140"/>
      <w:jc w:val="both"/>
    </w:pPr>
    <w:rPr>
      <w:rFonts w:ascii="Arial" w:hAnsi="Arial"/>
      <w:sz w:val="24"/>
      <w:lang w:eastAsia="en-US"/>
    </w:rPr>
  </w:style>
  <w:style w:type="paragraph" w:styleId="ListBullet">
    <w:name w:val="List Bullet"/>
    <w:basedOn w:val="BodyText"/>
    <w:rsid w:val="0084479A"/>
    <w:pPr>
      <w:numPr>
        <w:numId w:val="3"/>
      </w:numPr>
      <w:spacing w:before="120"/>
    </w:pPr>
  </w:style>
  <w:style w:type="paragraph" w:styleId="ListBullet2">
    <w:name w:val="List Bullet 2"/>
    <w:basedOn w:val="BodyText"/>
    <w:rsid w:val="0084479A"/>
    <w:pPr>
      <w:numPr>
        <w:numId w:val="4"/>
      </w:numPr>
      <w:spacing w:before="120"/>
    </w:pPr>
  </w:style>
  <w:style w:type="paragraph" w:styleId="ListBullet3">
    <w:name w:val="List Bullet 3"/>
    <w:basedOn w:val="BodyText"/>
    <w:rsid w:val="0084479A"/>
    <w:pPr>
      <w:numPr>
        <w:numId w:val="5"/>
      </w:numPr>
      <w:spacing w:before="120"/>
      <w:ind w:left="1020" w:hanging="340"/>
    </w:pPr>
  </w:style>
  <w:style w:type="paragraph" w:styleId="ListNumber">
    <w:name w:val="List Number"/>
    <w:basedOn w:val="BodyText"/>
    <w:rsid w:val="0084479A"/>
    <w:pPr>
      <w:numPr>
        <w:numId w:val="9"/>
      </w:numPr>
      <w:spacing w:before="120"/>
    </w:pPr>
  </w:style>
  <w:style w:type="paragraph" w:styleId="ListNumber2">
    <w:name w:val="List Number 2"/>
    <w:basedOn w:val="ListNumber"/>
    <w:rsid w:val="0084479A"/>
    <w:pPr>
      <w:numPr>
        <w:ilvl w:val="1"/>
      </w:numPr>
    </w:pPr>
  </w:style>
  <w:style w:type="paragraph" w:styleId="ListNumber3">
    <w:name w:val="List Number 3"/>
    <w:basedOn w:val="ListNumber2"/>
    <w:rsid w:val="0084479A"/>
    <w:pPr>
      <w:numPr>
        <w:ilvl w:val="2"/>
      </w:numPr>
    </w:pPr>
  </w:style>
  <w:style w:type="character" w:customStyle="1" w:styleId="NoteLabel">
    <w:name w:val="Note Label"/>
    <w:basedOn w:val="DefaultParagraphFont"/>
    <w:rsid w:val="0084479A"/>
    <w:rPr>
      <w:rFonts w:ascii="Arial" w:hAnsi="Arial"/>
      <w:b/>
      <w:position w:val="6"/>
      <w:sz w:val="18"/>
    </w:rPr>
  </w:style>
  <w:style w:type="paragraph" w:customStyle="1" w:styleId="PartDivider">
    <w:name w:val="Part Divider"/>
    <w:basedOn w:val="BodyText"/>
    <w:next w:val="BodyText"/>
    <w:semiHidden/>
    <w:rsid w:val="0084479A"/>
    <w:pPr>
      <w:spacing w:before="0" w:line="40" w:lineRule="exact"/>
      <w:jc w:val="right"/>
    </w:pPr>
    <w:rPr>
      <w:smallCaps/>
      <w:sz w:val="16"/>
    </w:rPr>
  </w:style>
  <w:style w:type="paragraph" w:customStyle="1" w:styleId="PartNumber">
    <w:name w:val="Part Number"/>
    <w:basedOn w:val="BodyText"/>
    <w:next w:val="BodyText"/>
    <w:semiHidden/>
    <w:rsid w:val="0084479A"/>
    <w:pPr>
      <w:spacing w:before="4000" w:line="320" w:lineRule="exact"/>
      <w:ind w:left="6634"/>
      <w:jc w:val="right"/>
    </w:pPr>
    <w:rPr>
      <w:smallCaps/>
      <w:spacing w:val="60"/>
      <w:sz w:val="32"/>
    </w:rPr>
  </w:style>
  <w:style w:type="paragraph" w:customStyle="1" w:styleId="PartTitle">
    <w:name w:val="Part Title"/>
    <w:basedOn w:val="BodyText"/>
    <w:semiHidden/>
    <w:rsid w:val="0084479A"/>
    <w:pPr>
      <w:spacing w:before="160" w:after="1360" w:line="520" w:lineRule="exact"/>
      <w:ind w:right="2381"/>
      <w:jc w:val="right"/>
    </w:pPr>
    <w:rPr>
      <w:smallCaps/>
      <w:sz w:val="52"/>
    </w:rPr>
  </w:style>
  <w:style w:type="paragraph" w:styleId="Quote">
    <w:name w:val="Quote"/>
    <w:basedOn w:val="BodyText"/>
    <w:next w:val="BodyText"/>
    <w:qFormat/>
    <w:rsid w:val="0084479A"/>
    <w:pPr>
      <w:spacing w:before="120" w:line="280" w:lineRule="exact"/>
      <w:ind w:left="340"/>
    </w:pPr>
    <w:rPr>
      <w:sz w:val="22"/>
    </w:rPr>
  </w:style>
  <w:style w:type="paragraph" w:customStyle="1" w:styleId="QuoteBullet">
    <w:name w:val="Quote Bullet"/>
    <w:basedOn w:val="Quote"/>
    <w:rsid w:val="0084479A"/>
    <w:pPr>
      <w:numPr>
        <w:numId w:val="6"/>
      </w:numPr>
    </w:pPr>
  </w:style>
  <w:style w:type="paragraph" w:customStyle="1" w:styleId="Rec">
    <w:name w:val="Rec"/>
    <w:basedOn w:val="BodyText"/>
    <w:qFormat/>
    <w:rsid w:val="0084479A"/>
    <w:pPr>
      <w:keepLines/>
      <w:spacing w:before="120" w:line="280" w:lineRule="atLeast"/>
    </w:pPr>
    <w:rPr>
      <w:rFonts w:ascii="Arial" w:hAnsi="Arial"/>
      <w:sz w:val="22"/>
    </w:rPr>
  </w:style>
  <w:style w:type="paragraph" w:customStyle="1" w:styleId="RecBullet">
    <w:name w:val="Rec Bullet"/>
    <w:basedOn w:val="Rec"/>
    <w:rsid w:val="0084479A"/>
    <w:pPr>
      <w:numPr>
        <w:numId w:val="17"/>
      </w:numPr>
      <w:spacing w:before="80"/>
    </w:pPr>
  </w:style>
  <w:style w:type="paragraph" w:customStyle="1" w:styleId="RecB">
    <w:name w:val="RecB"/>
    <w:basedOn w:val="Normal"/>
    <w:semiHidden/>
    <w:rsid w:val="0084479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84479A"/>
    <w:pPr>
      <w:numPr>
        <w:numId w:val="11"/>
      </w:numPr>
      <w:spacing w:before="80"/>
    </w:pPr>
  </w:style>
  <w:style w:type="paragraph" w:customStyle="1" w:styleId="RecBNoTitle">
    <w:name w:val="RecB NoTitle"/>
    <w:basedOn w:val="RecB"/>
    <w:semiHidden/>
    <w:rsid w:val="0084479A"/>
    <w:pPr>
      <w:spacing w:before="240"/>
    </w:pPr>
  </w:style>
  <w:style w:type="paragraph" w:customStyle="1" w:styleId="Reference">
    <w:name w:val="Reference"/>
    <w:basedOn w:val="BodyText"/>
    <w:rsid w:val="0084479A"/>
    <w:pPr>
      <w:spacing w:before="120"/>
      <w:ind w:left="340" w:hanging="340"/>
    </w:pPr>
  </w:style>
  <w:style w:type="paragraph" w:customStyle="1" w:styleId="SequenceInfo">
    <w:name w:val="Sequence Info"/>
    <w:basedOn w:val="BodyText"/>
    <w:semiHidden/>
    <w:rsid w:val="0084479A"/>
    <w:rPr>
      <w:vanish/>
      <w:sz w:val="16"/>
    </w:rPr>
  </w:style>
  <w:style w:type="paragraph" w:customStyle="1" w:styleId="SideNote">
    <w:name w:val="Side Note"/>
    <w:basedOn w:val="BodyText"/>
    <w:next w:val="BodyText"/>
    <w:semiHidden/>
    <w:rsid w:val="0084479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4479A"/>
    <w:pPr>
      <w:framePr w:wrap="around"/>
      <w:numPr>
        <w:numId w:val="7"/>
      </w:numPr>
      <w:tabs>
        <w:tab w:val="left" w:pos="227"/>
      </w:tabs>
    </w:pPr>
  </w:style>
  <w:style w:type="paragraph" w:customStyle="1" w:styleId="SideNoteGraphic">
    <w:name w:val="Side Note Graphic"/>
    <w:basedOn w:val="SideNote"/>
    <w:next w:val="BodyText"/>
    <w:semiHidden/>
    <w:rsid w:val="0084479A"/>
    <w:pPr>
      <w:framePr w:wrap="around"/>
    </w:pPr>
  </w:style>
  <w:style w:type="paragraph" w:customStyle="1" w:styleId="TableBodyText">
    <w:name w:val="Table Body Text"/>
    <w:basedOn w:val="BodyText"/>
    <w:rsid w:val="0084479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4479A"/>
    <w:pPr>
      <w:numPr>
        <w:numId w:val="8"/>
      </w:numPr>
      <w:jc w:val="left"/>
    </w:pPr>
  </w:style>
  <w:style w:type="paragraph" w:customStyle="1" w:styleId="TableColumnHeading">
    <w:name w:val="Table Column Heading"/>
    <w:basedOn w:val="TableBodyText"/>
    <w:rsid w:val="0084479A"/>
    <w:pPr>
      <w:spacing w:before="80" w:after="80"/>
    </w:pPr>
    <w:rPr>
      <w:i/>
    </w:rPr>
  </w:style>
  <w:style w:type="paragraph" w:styleId="TOC2">
    <w:name w:val="toc 2"/>
    <w:basedOn w:val="TOC1"/>
    <w:rsid w:val="0084479A"/>
    <w:pPr>
      <w:ind w:left="1134" w:hanging="624"/>
    </w:pPr>
    <w:rPr>
      <w:b w:val="0"/>
    </w:rPr>
  </w:style>
  <w:style w:type="paragraph" w:styleId="TOC3">
    <w:name w:val="toc 3"/>
    <w:basedOn w:val="TOC2"/>
    <w:rsid w:val="0084479A"/>
    <w:pPr>
      <w:spacing w:before="60"/>
      <w:ind w:left="1190" w:hanging="680"/>
    </w:pPr>
  </w:style>
  <w:style w:type="paragraph" w:styleId="TableofFigures">
    <w:name w:val="table of figures"/>
    <w:basedOn w:val="TOC3"/>
    <w:next w:val="BodyText"/>
    <w:semiHidden/>
    <w:rsid w:val="0084479A"/>
    <w:pPr>
      <w:ind w:left="737" w:hanging="737"/>
    </w:pPr>
  </w:style>
  <w:style w:type="paragraph" w:customStyle="1" w:styleId="TableTitle">
    <w:name w:val="Table Title"/>
    <w:basedOn w:val="Caption"/>
    <w:next w:val="Subtitle"/>
    <w:qFormat/>
    <w:rsid w:val="0084479A"/>
    <w:pPr>
      <w:spacing w:before="120"/>
    </w:pPr>
  </w:style>
  <w:style w:type="paragraph" w:customStyle="1" w:styleId="TableUnitsRow">
    <w:name w:val="Table Units Row"/>
    <w:basedOn w:val="TableBodyText"/>
    <w:rsid w:val="0084479A"/>
    <w:pPr>
      <w:spacing w:before="40"/>
    </w:pPr>
  </w:style>
  <w:style w:type="paragraph" w:styleId="TOC1">
    <w:name w:val="toc 1"/>
    <w:basedOn w:val="Normal"/>
    <w:next w:val="TOC2"/>
    <w:link w:val="TOC1Char"/>
    <w:rsid w:val="0084479A"/>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84479A"/>
    <w:pPr>
      <w:ind w:left="1191" w:firstLine="0"/>
    </w:pPr>
  </w:style>
  <w:style w:type="paragraph" w:customStyle="1" w:styleId="RecBBullet2">
    <w:name w:val="RecB Bullet 2"/>
    <w:basedOn w:val="ListBullet2"/>
    <w:semiHidden/>
    <w:rsid w:val="0084479A"/>
    <w:pPr>
      <w:pBdr>
        <w:left w:val="single" w:sz="24" w:space="29" w:color="C0C0C0"/>
      </w:pBdr>
    </w:pPr>
    <w:rPr>
      <w:b/>
      <w:i/>
    </w:rPr>
  </w:style>
  <w:style w:type="paragraph" w:styleId="BalloonText">
    <w:name w:val="Balloon Text"/>
    <w:basedOn w:val="Normal"/>
    <w:link w:val="BalloonTextChar"/>
    <w:rsid w:val="0084479A"/>
    <w:rPr>
      <w:rFonts w:ascii="Tahoma" w:hAnsi="Tahoma" w:cs="Tahoma"/>
      <w:sz w:val="16"/>
      <w:szCs w:val="16"/>
    </w:rPr>
  </w:style>
  <w:style w:type="character" w:customStyle="1" w:styleId="BalloonTextChar">
    <w:name w:val="Balloon Text Char"/>
    <w:basedOn w:val="DefaultParagraphFont"/>
    <w:link w:val="BalloonText"/>
    <w:rsid w:val="0084479A"/>
    <w:rPr>
      <w:rFonts w:ascii="Tahoma" w:hAnsi="Tahoma" w:cs="Tahoma"/>
      <w:sz w:val="16"/>
      <w:szCs w:val="16"/>
    </w:rPr>
  </w:style>
  <w:style w:type="character" w:customStyle="1" w:styleId="SubtitleChar">
    <w:name w:val="Subtitle Char"/>
    <w:basedOn w:val="DefaultParagraphFont"/>
    <w:link w:val="Subtitle"/>
    <w:rsid w:val="0084479A"/>
    <w:rPr>
      <w:rFonts w:ascii="Arial" w:hAnsi="Arial"/>
      <w:szCs w:val="24"/>
    </w:rPr>
  </w:style>
  <w:style w:type="paragraph" w:customStyle="1" w:styleId="BoxListBullet3">
    <w:name w:val="Box List Bullet 3"/>
    <w:basedOn w:val="ListBullet3"/>
    <w:rsid w:val="0084479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84479A"/>
    <w:rPr>
      <w:i/>
      <w:iCs/>
    </w:rPr>
  </w:style>
  <w:style w:type="paragraph" w:customStyle="1" w:styleId="BoxQuoteBullet">
    <w:name w:val="Box Quote Bullet"/>
    <w:basedOn w:val="BoxQuote"/>
    <w:next w:val="Box"/>
    <w:rsid w:val="0084479A"/>
    <w:pPr>
      <w:numPr>
        <w:numId w:val="12"/>
      </w:numPr>
      <w:ind w:left="568" w:hanging="284"/>
    </w:pPr>
  </w:style>
  <w:style w:type="paragraph" w:customStyle="1" w:styleId="InformationRequestBullet">
    <w:name w:val="Information Request Bullet"/>
    <w:basedOn w:val="ListBullet"/>
    <w:next w:val="BodyText"/>
    <w:rsid w:val="0084479A"/>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84479A"/>
    <w:pPr>
      <w:keepNext w:val="0"/>
      <w:spacing w:before="60" w:after="60" w:line="80" w:lineRule="exact"/>
    </w:pPr>
    <w:rPr>
      <w:sz w:val="14"/>
    </w:rPr>
  </w:style>
  <w:style w:type="paragraph" w:customStyle="1" w:styleId="KeyPointsListBullet">
    <w:name w:val="Key Points List Bullet"/>
    <w:basedOn w:val="Normal"/>
    <w:qFormat/>
    <w:rsid w:val="0084479A"/>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4479A"/>
    <w:pPr>
      <w:numPr>
        <w:numId w:val="21"/>
      </w:numPr>
      <w:ind w:left="568" w:hanging="284"/>
    </w:pPr>
  </w:style>
  <w:style w:type="paragraph" w:customStyle="1" w:styleId="InformationRequestTitle">
    <w:name w:val="Information Request Title"/>
    <w:basedOn w:val="FindingTitle"/>
    <w:next w:val="InformationRequest"/>
    <w:rsid w:val="0084479A"/>
    <w:rPr>
      <w:i/>
    </w:rPr>
  </w:style>
  <w:style w:type="paragraph" w:customStyle="1" w:styleId="Space">
    <w:name w:val="Space"/>
    <w:basedOn w:val="Normal"/>
    <w:rsid w:val="0084479A"/>
    <w:pPr>
      <w:keepNext/>
      <w:spacing w:line="120" w:lineRule="exact"/>
      <w:jc w:val="both"/>
    </w:pPr>
    <w:rPr>
      <w:rFonts w:ascii="Arial" w:hAnsi="Arial"/>
      <w:sz w:val="20"/>
      <w:szCs w:val="20"/>
    </w:rPr>
  </w:style>
  <w:style w:type="paragraph" w:customStyle="1" w:styleId="Heading1nochapterno">
    <w:name w:val="Heading 1 (no chapter no.)"/>
    <w:basedOn w:val="Heading1"/>
    <w:rsid w:val="0084479A"/>
    <w:pPr>
      <w:spacing w:before="0"/>
      <w:ind w:left="0" w:firstLine="0"/>
    </w:pPr>
  </w:style>
  <w:style w:type="paragraph" w:customStyle="1" w:styleId="Heading2nosectionno">
    <w:name w:val="Heading 2 (no section no.)"/>
    <w:basedOn w:val="Heading2"/>
    <w:rsid w:val="0084479A"/>
    <w:pPr>
      <w:ind w:left="0" w:firstLine="0"/>
    </w:pPr>
  </w:style>
  <w:style w:type="character" w:customStyle="1" w:styleId="Heading5Char">
    <w:name w:val="Heading 5 Char"/>
    <w:basedOn w:val="DefaultParagraphFont"/>
    <w:link w:val="Heading5"/>
    <w:rsid w:val="0084479A"/>
    <w:rPr>
      <w:rFonts w:ascii="Arial" w:hAnsi="Arial"/>
      <w:i/>
      <w:sz w:val="22"/>
    </w:rPr>
  </w:style>
  <w:style w:type="paragraph" w:customStyle="1" w:styleId="Figurespace">
    <w:name w:val="Figure space"/>
    <w:basedOn w:val="Box"/>
    <w:rsid w:val="0084479A"/>
    <w:pPr>
      <w:spacing w:before="0" w:line="120" w:lineRule="exact"/>
    </w:pPr>
  </w:style>
  <w:style w:type="paragraph" w:customStyle="1" w:styleId="FooterDraftReport">
    <w:name w:val="FooterDraftReport"/>
    <w:basedOn w:val="Footer"/>
    <w:link w:val="FooterDraftReportChar"/>
    <w:rsid w:val="0084479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84479A"/>
    <w:rPr>
      <w:sz w:val="24"/>
    </w:rPr>
  </w:style>
  <w:style w:type="character" w:customStyle="1" w:styleId="FooterChar">
    <w:name w:val="Footer Char"/>
    <w:basedOn w:val="BodyTextChar"/>
    <w:link w:val="Footer"/>
    <w:rsid w:val="0084479A"/>
    <w:rPr>
      <w:rFonts w:ascii="Arial" w:hAnsi="Arial"/>
      <w:caps/>
      <w:spacing w:val="-4"/>
      <w:sz w:val="16"/>
    </w:rPr>
  </w:style>
  <w:style w:type="character" w:customStyle="1" w:styleId="FooterDraftReportChar">
    <w:name w:val="FooterDraftReport Char"/>
    <w:basedOn w:val="FooterChar"/>
    <w:link w:val="FooterDraftReport"/>
    <w:rsid w:val="0084479A"/>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84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84479A"/>
    <w:rPr>
      <w:rFonts w:ascii="Arial" w:hAnsi="Arial"/>
      <w:b/>
      <w:sz w:val="26"/>
      <w:szCs w:val="26"/>
      <w:lang w:eastAsia="en-US"/>
    </w:rPr>
  </w:style>
  <w:style w:type="paragraph" w:styleId="CommentSubject">
    <w:name w:val="annotation subject"/>
    <w:basedOn w:val="CommentText"/>
    <w:next w:val="CommentText"/>
    <w:link w:val="CommentSubjectChar"/>
    <w:rsid w:val="000C45B3"/>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0C45B3"/>
    <w:rPr>
      <w:szCs w:val="24"/>
    </w:rPr>
  </w:style>
  <w:style w:type="character" w:customStyle="1" w:styleId="CommentSubjectChar">
    <w:name w:val="Comment Subject Char"/>
    <w:basedOn w:val="CommentTextChar"/>
    <w:link w:val="CommentSubject"/>
    <w:rsid w:val="000C45B3"/>
    <w:rPr>
      <w:b/>
      <w:bCs/>
      <w:szCs w:val="24"/>
    </w:rPr>
  </w:style>
  <w:style w:type="paragraph" w:styleId="Bibliography">
    <w:name w:val="Bibliography"/>
    <w:basedOn w:val="Normal"/>
    <w:next w:val="Normal"/>
    <w:uiPriority w:val="37"/>
    <w:unhideWhenUsed/>
    <w:rsid w:val="0068413F"/>
    <w:pPr>
      <w:spacing w:after="240"/>
      <w:ind w:left="720" w:hanging="720"/>
    </w:pPr>
  </w:style>
  <w:style w:type="character" w:customStyle="1" w:styleId="Continuedintitle">
    <w:name w:val="Continued (in title)"/>
    <w:basedOn w:val="DefaultParagraphFont"/>
    <w:rsid w:val="0084479A"/>
    <w:rPr>
      <w:rFonts w:ascii="Arial" w:hAnsi="Arial"/>
      <w:b/>
      <w:sz w:val="18"/>
    </w:rPr>
  </w:style>
  <w:style w:type="paragraph" w:customStyle="1" w:styleId="Copyrightheading">
    <w:name w:val="Copyright heading"/>
    <w:basedOn w:val="TOC1"/>
    <w:link w:val="CopyrightheadingChar"/>
    <w:qFormat/>
    <w:rsid w:val="003B25A2"/>
    <w:pPr>
      <w:spacing w:line="300" w:lineRule="exact"/>
    </w:pPr>
    <w:rPr>
      <w:sz w:val="22"/>
    </w:rPr>
  </w:style>
  <w:style w:type="character" w:customStyle="1" w:styleId="CopyrightheadingChar">
    <w:name w:val="Copyright heading Char"/>
    <w:basedOn w:val="TOC1Char"/>
    <w:link w:val="Copyrightheading"/>
    <w:rsid w:val="003B25A2"/>
    <w:rPr>
      <w:rFonts w:ascii="Arial" w:hAnsi="Arial"/>
      <w:b/>
      <w:sz w:val="22"/>
      <w:szCs w:val="26"/>
      <w:lang w:eastAsia="en-US"/>
    </w:rPr>
  </w:style>
  <w:style w:type="paragraph" w:customStyle="1" w:styleId="Copyrightsubtitle">
    <w:name w:val="Copyright subtitle"/>
    <w:basedOn w:val="BodyText"/>
    <w:rsid w:val="003B25A2"/>
    <w:rPr>
      <w:rFonts w:ascii="Arial" w:hAnsi="Arial"/>
      <w:b/>
      <w:sz w:val="22"/>
      <w:szCs w:val="25"/>
    </w:rPr>
  </w:style>
  <w:style w:type="paragraph" w:customStyle="1" w:styleId="Copyrightbodytext">
    <w:name w:val="Copyright bodytext"/>
    <w:basedOn w:val="BodyText"/>
    <w:link w:val="CopyrightbodytextChar"/>
    <w:qFormat/>
    <w:rsid w:val="003B25A2"/>
    <w:pPr>
      <w:spacing w:before="60"/>
    </w:pPr>
  </w:style>
  <w:style w:type="character" w:customStyle="1" w:styleId="CopyrightbodytextChar">
    <w:name w:val="Copyright bodytext Char"/>
    <w:basedOn w:val="BodyTextChar"/>
    <w:link w:val="Copyrightbodytext"/>
    <w:rsid w:val="003B25A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4479A"/>
    <w:rPr>
      <w:sz w:val="24"/>
      <w:szCs w:val="24"/>
    </w:rPr>
  </w:style>
  <w:style w:type="paragraph" w:styleId="Heading1">
    <w:name w:val="heading 1"/>
    <w:basedOn w:val="BodyText"/>
    <w:next w:val="BodyText"/>
    <w:rsid w:val="0084479A"/>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84479A"/>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84479A"/>
    <w:pPr>
      <w:spacing w:before="560" w:line="320" w:lineRule="exact"/>
      <w:ind w:left="0" w:firstLine="0"/>
      <w:outlineLvl w:val="2"/>
    </w:pPr>
    <w:rPr>
      <w:sz w:val="26"/>
    </w:rPr>
  </w:style>
  <w:style w:type="paragraph" w:styleId="Heading4">
    <w:name w:val="heading 4"/>
    <w:basedOn w:val="Heading3"/>
    <w:next w:val="BodyText"/>
    <w:qFormat/>
    <w:rsid w:val="0084479A"/>
    <w:pPr>
      <w:spacing w:before="480"/>
      <w:outlineLvl w:val="3"/>
    </w:pPr>
    <w:rPr>
      <w:b w:val="0"/>
      <w:sz w:val="24"/>
    </w:rPr>
  </w:style>
  <w:style w:type="paragraph" w:styleId="Heading5">
    <w:name w:val="heading 5"/>
    <w:basedOn w:val="Heading4"/>
    <w:next w:val="BodyText"/>
    <w:link w:val="Heading5Char"/>
    <w:qFormat/>
    <w:rsid w:val="0084479A"/>
    <w:pPr>
      <w:outlineLvl w:val="4"/>
    </w:pPr>
    <w:rPr>
      <w:i/>
      <w:sz w:val="22"/>
    </w:rPr>
  </w:style>
  <w:style w:type="paragraph" w:styleId="Heading6">
    <w:name w:val="heading 6"/>
    <w:basedOn w:val="BodyText"/>
    <w:next w:val="BodyText"/>
    <w:semiHidden/>
    <w:rsid w:val="0084479A"/>
    <w:pPr>
      <w:spacing w:after="60"/>
      <w:jc w:val="left"/>
      <w:outlineLvl w:val="5"/>
    </w:pPr>
    <w:rPr>
      <w:i/>
      <w:sz w:val="22"/>
    </w:rPr>
  </w:style>
  <w:style w:type="paragraph" w:styleId="Heading7">
    <w:name w:val="heading 7"/>
    <w:basedOn w:val="BodyText"/>
    <w:next w:val="BodyText"/>
    <w:semiHidden/>
    <w:rsid w:val="0084479A"/>
    <w:pPr>
      <w:spacing w:after="60" w:line="240" w:lineRule="auto"/>
      <w:jc w:val="left"/>
      <w:outlineLvl w:val="6"/>
    </w:pPr>
    <w:rPr>
      <w:rFonts w:ascii="Arial" w:hAnsi="Arial"/>
      <w:sz w:val="20"/>
    </w:rPr>
  </w:style>
  <w:style w:type="paragraph" w:styleId="Heading8">
    <w:name w:val="heading 8"/>
    <w:basedOn w:val="BodyText"/>
    <w:next w:val="BodyText"/>
    <w:semiHidden/>
    <w:rsid w:val="0084479A"/>
    <w:pPr>
      <w:spacing w:after="60" w:line="240" w:lineRule="auto"/>
      <w:jc w:val="left"/>
      <w:outlineLvl w:val="7"/>
    </w:pPr>
    <w:rPr>
      <w:rFonts w:ascii="Arial" w:hAnsi="Arial"/>
      <w:i/>
      <w:sz w:val="20"/>
    </w:rPr>
  </w:style>
  <w:style w:type="paragraph" w:styleId="Heading9">
    <w:name w:val="heading 9"/>
    <w:basedOn w:val="BodyText"/>
    <w:next w:val="BodyText"/>
    <w:semiHidden/>
    <w:rsid w:val="0084479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8447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479A"/>
  </w:style>
  <w:style w:type="paragraph" w:styleId="BodyText">
    <w:name w:val="Body Text"/>
    <w:link w:val="BodyTextChar"/>
    <w:qFormat/>
    <w:rsid w:val="0084479A"/>
    <w:pPr>
      <w:spacing w:before="240" w:line="300" w:lineRule="atLeast"/>
      <w:jc w:val="both"/>
    </w:pPr>
    <w:rPr>
      <w:sz w:val="24"/>
    </w:rPr>
  </w:style>
  <w:style w:type="paragraph" w:styleId="Footer">
    <w:name w:val="footer"/>
    <w:basedOn w:val="BodyText"/>
    <w:link w:val="FooterChar"/>
    <w:rsid w:val="0084479A"/>
    <w:pPr>
      <w:spacing w:before="80" w:line="200" w:lineRule="exact"/>
      <w:ind w:right="6"/>
      <w:jc w:val="left"/>
    </w:pPr>
    <w:rPr>
      <w:rFonts w:ascii="Arial" w:hAnsi="Arial"/>
      <w:caps/>
      <w:spacing w:val="-4"/>
      <w:sz w:val="16"/>
    </w:rPr>
  </w:style>
  <w:style w:type="paragraph" w:customStyle="1" w:styleId="FooterEnd">
    <w:name w:val="Footer End"/>
    <w:basedOn w:val="Footer"/>
    <w:rsid w:val="0084479A"/>
    <w:pPr>
      <w:spacing w:before="0" w:line="20" w:lineRule="exact"/>
    </w:pPr>
  </w:style>
  <w:style w:type="paragraph" w:styleId="Header">
    <w:name w:val="header"/>
    <w:basedOn w:val="BodyText"/>
    <w:rsid w:val="0084479A"/>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84479A"/>
    <w:pPr>
      <w:spacing w:line="20" w:lineRule="exact"/>
    </w:pPr>
    <w:rPr>
      <w:sz w:val="16"/>
    </w:rPr>
  </w:style>
  <w:style w:type="paragraph" w:customStyle="1" w:styleId="HeaderEven">
    <w:name w:val="Header Even"/>
    <w:basedOn w:val="Header"/>
    <w:semiHidden/>
    <w:rsid w:val="0084479A"/>
  </w:style>
  <w:style w:type="paragraph" w:customStyle="1" w:styleId="HeaderOdd">
    <w:name w:val="Header Odd"/>
    <w:basedOn w:val="Header"/>
    <w:semiHidden/>
    <w:rsid w:val="0084479A"/>
  </w:style>
  <w:style w:type="character" w:styleId="PageNumber">
    <w:name w:val="page number"/>
    <w:basedOn w:val="DefaultParagraphFont"/>
    <w:rsid w:val="0084479A"/>
    <w:rPr>
      <w:rFonts w:ascii="Arial" w:hAnsi="Arial"/>
      <w:b/>
      <w:sz w:val="16"/>
    </w:rPr>
  </w:style>
  <w:style w:type="paragraph" w:customStyle="1" w:styleId="Abbreviation">
    <w:name w:val="Abbreviation"/>
    <w:basedOn w:val="BodyText"/>
    <w:rsid w:val="0084479A"/>
    <w:pPr>
      <w:spacing w:before="120"/>
      <w:ind w:left="2381" w:hanging="2381"/>
      <w:jc w:val="left"/>
    </w:pPr>
  </w:style>
  <w:style w:type="paragraph" w:customStyle="1" w:styleId="Box">
    <w:name w:val="Box"/>
    <w:basedOn w:val="BodyText"/>
    <w:qFormat/>
    <w:rsid w:val="0084479A"/>
    <w:pPr>
      <w:keepNext/>
      <w:spacing w:before="120" w:line="260" w:lineRule="atLeast"/>
    </w:pPr>
    <w:rPr>
      <w:rFonts w:ascii="Arial" w:hAnsi="Arial"/>
      <w:sz w:val="20"/>
    </w:rPr>
  </w:style>
  <w:style w:type="paragraph" w:customStyle="1" w:styleId="BoxContinued">
    <w:name w:val="Box Continued"/>
    <w:basedOn w:val="BodyText"/>
    <w:next w:val="BodyText"/>
    <w:semiHidden/>
    <w:rsid w:val="0084479A"/>
    <w:pPr>
      <w:spacing w:before="180" w:line="220" w:lineRule="exact"/>
      <w:jc w:val="right"/>
    </w:pPr>
    <w:rPr>
      <w:rFonts w:ascii="Arial" w:hAnsi="Arial"/>
      <w:sz w:val="18"/>
    </w:rPr>
  </w:style>
  <w:style w:type="paragraph" w:customStyle="1" w:styleId="BoxHeading1">
    <w:name w:val="Box Heading 1"/>
    <w:basedOn w:val="BodyText"/>
    <w:next w:val="Box"/>
    <w:rsid w:val="0084479A"/>
    <w:pPr>
      <w:keepNext/>
      <w:spacing w:before="200" w:line="280" w:lineRule="atLeast"/>
    </w:pPr>
    <w:rPr>
      <w:rFonts w:ascii="Arial" w:hAnsi="Arial"/>
      <w:b/>
      <w:sz w:val="22"/>
    </w:rPr>
  </w:style>
  <w:style w:type="paragraph" w:customStyle="1" w:styleId="BoxHeading2">
    <w:name w:val="Box Heading 2"/>
    <w:basedOn w:val="BoxHeading1"/>
    <w:next w:val="Normal"/>
    <w:rsid w:val="0084479A"/>
    <w:rPr>
      <w:b w:val="0"/>
      <w:i/>
    </w:rPr>
  </w:style>
  <w:style w:type="paragraph" w:customStyle="1" w:styleId="BoxListBullet">
    <w:name w:val="Box List Bullet"/>
    <w:basedOn w:val="BodyText"/>
    <w:rsid w:val="0084479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4479A"/>
    <w:pPr>
      <w:numPr>
        <w:numId w:val="13"/>
      </w:numPr>
      <w:ind w:left="568" w:hanging="284"/>
    </w:pPr>
  </w:style>
  <w:style w:type="paragraph" w:customStyle="1" w:styleId="BoxListNumber">
    <w:name w:val="Box List Number"/>
    <w:basedOn w:val="BodyText"/>
    <w:rsid w:val="0084479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84479A"/>
    <w:pPr>
      <w:numPr>
        <w:ilvl w:val="1"/>
      </w:numPr>
      <w:ind w:left="681" w:hanging="397"/>
    </w:pPr>
  </w:style>
  <w:style w:type="paragraph" w:customStyle="1" w:styleId="BoxQuote">
    <w:name w:val="Box Quote"/>
    <w:basedOn w:val="BodyText"/>
    <w:next w:val="Box"/>
    <w:qFormat/>
    <w:rsid w:val="0084479A"/>
    <w:pPr>
      <w:keepNext/>
      <w:spacing w:before="60" w:line="240" w:lineRule="exact"/>
      <w:ind w:left="284"/>
    </w:pPr>
    <w:rPr>
      <w:rFonts w:ascii="Arial" w:hAnsi="Arial"/>
      <w:sz w:val="18"/>
    </w:rPr>
  </w:style>
  <w:style w:type="paragraph" w:customStyle="1" w:styleId="Note">
    <w:name w:val="Note"/>
    <w:basedOn w:val="BodyText"/>
    <w:next w:val="BodyText"/>
    <w:rsid w:val="0084479A"/>
    <w:pPr>
      <w:keepLines/>
      <w:spacing w:before="80" w:line="220" w:lineRule="exact"/>
    </w:pPr>
    <w:rPr>
      <w:rFonts w:ascii="Arial" w:hAnsi="Arial"/>
      <w:sz w:val="18"/>
    </w:rPr>
  </w:style>
  <w:style w:type="paragraph" w:customStyle="1" w:styleId="Source">
    <w:name w:val="Source"/>
    <w:basedOn w:val="Normal"/>
    <w:next w:val="BodyText"/>
    <w:rsid w:val="0084479A"/>
    <w:pPr>
      <w:keepLines/>
      <w:spacing w:before="80" w:line="220" w:lineRule="exact"/>
      <w:jc w:val="both"/>
    </w:pPr>
    <w:rPr>
      <w:rFonts w:ascii="Arial" w:hAnsi="Arial"/>
      <w:sz w:val="18"/>
      <w:szCs w:val="20"/>
    </w:rPr>
  </w:style>
  <w:style w:type="paragraph" w:customStyle="1" w:styleId="BoxSource">
    <w:name w:val="Box Source"/>
    <w:basedOn w:val="Source"/>
    <w:next w:val="BodyText"/>
    <w:rsid w:val="0084479A"/>
    <w:pPr>
      <w:spacing w:before="120"/>
    </w:pPr>
  </w:style>
  <w:style w:type="paragraph" w:customStyle="1" w:styleId="BoxSpaceAbove">
    <w:name w:val="Box Space Above"/>
    <w:basedOn w:val="BodyText"/>
    <w:rsid w:val="0084479A"/>
    <w:pPr>
      <w:keepNext/>
      <w:spacing w:before="360" w:line="80" w:lineRule="exact"/>
      <w:jc w:val="left"/>
    </w:pPr>
  </w:style>
  <w:style w:type="paragraph" w:styleId="Caption">
    <w:name w:val="caption"/>
    <w:basedOn w:val="Normal"/>
    <w:next w:val="BodyText"/>
    <w:rsid w:val="0084479A"/>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84479A"/>
    <w:pPr>
      <w:spacing w:before="120" w:after="0"/>
    </w:pPr>
  </w:style>
  <w:style w:type="paragraph" w:customStyle="1" w:styleId="BoxSubtitle">
    <w:name w:val="Box Subtitle"/>
    <w:basedOn w:val="BoxTitle"/>
    <w:next w:val="Normal"/>
    <w:rsid w:val="0084479A"/>
    <w:pPr>
      <w:spacing w:after="80" w:line="200" w:lineRule="exact"/>
      <w:ind w:firstLine="0"/>
    </w:pPr>
    <w:rPr>
      <w:b w:val="0"/>
      <w:sz w:val="20"/>
    </w:rPr>
  </w:style>
  <w:style w:type="paragraph" w:customStyle="1" w:styleId="Chapter">
    <w:name w:val="Chapter"/>
    <w:basedOn w:val="Heading1"/>
    <w:next w:val="BodyText"/>
    <w:semiHidden/>
    <w:rsid w:val="0084479A"/>
    <w:pPr>
      <w:ind w:left="0" w:firstLine="0"/>
      <w:outlineLvl w:val="9"/>
    </w:pPr>
  </w:style>
  <w:style w:type="paragraph" w:customStyle="1" w:styleId="ChapterSummary">
    <w:name w:val="Chapter Summary"/>
    <w:basedOn w:val="BodyText"/>
    <w:rsid w:val="0084479A"/>
    <w:pPr>
      <w:spacing w:line="280" w:lineRule="atLeast"/>
      <w:ind w:left="907"/>
    </w:pPr>
    <w:rPr>
      <w:rFonts w:ascii="Arial" w:hAnsi="Arial"/>
      <w:b/>
      <w:sz w:val="20"/>
    </w:rPr>
  </w:style>
  <w:style w:type="character" w:styleId="CommentReference">
    <w:name w:val="annotation reference"/>
    <w:basedOn w:val="DefaultParagraphFont"/>
    <w:semiHidden/>
    <w:rsid w:val="0084479A"/>
    <w:rPr>
      <w:b/>
      <w:vanish/>
      <w:color w:val="FF00FF"/>
      <w:sz w:val="20"/>
    </w:rPr>
  </w:style>
  <w:style w:type="paragraph" w:styleId="CommentText">
    <w:name w:val="annotation text"/>
    <w:basedOn w:val="Normal"/>
    <w:link w:val="CommentTextChar"/>
    <w:semiHidden/>
    <w:rsid w:val="0084479A"/>
    <w:pPr>
      <w:spacing w:before="120" w:line="240" w:lineRule="atLeast"/>
      <w:ind w:left="567" w:hanging="567"/>
    </w:pPr>
    <w:rPr>
      <w:sz w:val="20"/>
    </w:rPr>
  </w:style>
  <w:style w:type="paragraph" w:customStyle="1" w:styleId="Continued">
    <w:name w:val="Continued"/>
    <w:basedOn w:val="BoxContinued"/>
    <w:next w:val="BodyText"/>
    <w:rsid w:val="0084479A"/>
  </w:style>
  <w:style w:type="character" w:customStyle="1" w:styleId="DocumentInfo">
    <w:name w:val="Document Info"/>
    <w:basedOn w:val="DefaultParagraphFont"/>
    <w:semiHidden/>
    <w:rsid w:val="0084479A"/>
    <w:rPr>
      <w:rFonts w:ascii="Arial" w:hAnsi="Arial"/>
      <w:sz w:val="14"/>
    </w:rPr>
  </w:style>
  <w:style w:type="character" w:customStyle="1" w:styleId="DraftingNote">
    <w:name w:val="Drafting Note"/>
    <w:basedOn w:val="DefaultParagraphFont"/>
    <w:rsid w:val="0084479A"/>
    <w:rPr>
      <w:b/>
      <w:color w:val="FF0000"/>
      <w:sz w:val="24"/>
      <w:u w:val="dotted"/>
    </w:rPr>
  </w:style>
  <w:style w:type="paragraph" w:customStyle="1" w:styleId="Figure">
    <w:name w:val="Figure"/>
    <w:basedOn w:val="BodyText"/>
    <w:rsid w:val="0084479A"/>
    <w:pPr>
      <w:keepNext/>
      <w:spacing w:before="120" w:after="120" w:line="240" w:lineRule="atLeast"/>
      <w:jc w:val="center"/>
    </w:pPr>
  </w:style>
  <w:style w:type="paragraph" w:customStyle="1" w:styleId="FigureTitle">
    <w:name w:val="Figure Title"/>
    <w:basedOn w:val="Caption"/>
    <w:next w:val="Subtitle"/>
    <w:rsid w:val="0084479A"/>
    <w:pPr>
      <w:spacing w:before="120"/>
    </w:pPr>
  </w:style>
  <w:style w:type="paragraph" w:styleId="Subtitle">
    <w:name w:val="Subtitle"/>
    <w:basedOn w:val="Caption"/>
    <w:link w:val="SubtitleChar"/>
    <w:qFormat/>
    <w:rsid w:val="0084479A"/>
    <w:pPr>
      <w:spacing w:before="0" w:line="200" w:lineRule="exact"/>
      <w:ind w:firstLine="0"/>
    </w:pPr>
    <w:rPr>
      <w:b w:val="0"/>
      <w:sz w:val="20"/>
    </w:rPr>
  </w:style>
  <w:style w:type="paragraph" w:customStyle="1" w:styleId="Finding">
    <w:name w:val="Finding"/>
    <w:basedOn w:val="BodyText"/>
    <w:rsid w:val="0084479A"/>
    <w:pPr>
      <w:keepLines/>
      <w:spacing w:before="120" w:line="280" w:lineRule="atLeast"/>
    </w:pPr>
    <w:rPr>
      <w:rFonts w:ascii="Arial" w:hAnsi="Arial"/>
      <w:sz w:val="22"/>
    </w:rPr>
  </w:style>
  <w:style w:type="paragraph" w:customStyle="1" w:styleId="FindingBullet">
    <w:name w:val="Finding Bullet"/>
    <w:basedOn w:val="Finding"/>
    <w:rsid w:val="0084479A"/>
    <w:pPr>
      <w:numPr>
        <w:numId w:val="15"/>
      </w:numPr>
      <w:spacing w:before="80"/>
    </w:pPr>
  </w:style>
  <w:style w:type="paragraph" w:customStyle="1" w:styleId="FindingNoTitle">
    <w:name w:val="Finding NoTitle"/>
    <w:basedOn w:val="Finding"/>
    <w:semiHidden/>
    <w:rsid w:val="0084479A"/>
    <w:pPr>
      <w:spacing w:before="240"/>
    </w:pPr>
  </w:style>
  <w:style w:type="paragraph" w:customStyle="1" w:styleId="RecTitle">
    <w:name w:val="Rec Title"/>
    <w:basedOn w:val="BodyText"/>
    <w:next w:val="Rec"/>
    <w:qFormat/>
    <w:rsid w:val="0084479A"/>
    <w:pPr>
      <w:keepNext/>
      <w:keepLines/>
      <w:spacing w:line="280" w:lineRule="atLeast"/>
    </w:pPr>
    <w:rPr>
      <w:rFonts w:ascii="Arial" w:hAnsi="Arial"/>
      <w:caps/>
      <w:sz w:val="18"/>
    </w:rPr>
  </w:style>
  <w:style w:type="paragraph" w:customStyle="1" w:styleId="FindingTitle">
    <w:name w:val="Finding Title"/>
    <w:basedOn w:val="RecTitle"/>
    <w:next w:val="Finding"/>
    <w:rsid w:val="0084479A"/>
  </w:style>
  <w:style w:type="character" w:styleId="FootnoteReference">
    <w:name w:val="footnote reference"/>
    <w:basedOn w:val="DefaultParagraphFont"/>
    <w:semiHidden/>
    <w:rsid w:val="0084479A"/>
    <w:rPr>
      <w:rFonts w:ascii="Times New Roman" w:hAnsi="Times New Roman"/>
      <w:position w:val="6"/>
      <w:sz w:val="20"/>
      <w:vertAlign w:val="baseline"/>
    </w:rPr>
  </w:style>
  <w:style w:type="paragraph" w:styleId="FootnoteText">
    <w:name w:val="footnote text"/>
    <w:basedOn w:val="BodyText"/>
    <w:rsid w:val="0084479A"/>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84479A"/>
    <w:rPr>
      <w:i/>
    </w:rPr>
  </w:style>
  <w:style w:type="paragraph" w:customStyle="1" w:styleId="Jurisdictioncommentsbodytext">
    <w:name w:val="Jurisdiction comments body text"/>
    <w:rsid w:val="0084479A"/>
    <w:pPr>
      <w:spacing w:after="140"/>
      <w:jc w:val="both"/>
    </w:pPr>
    <w:rPr>
      <w:rFonts w:ascii="Arial" w:hAnsi="Arial"/>
      <w:sz w:val="24"/>
      <w:lang w:eastAsia="en-US"/>
    </w:rPr>
  </w:style>
  <w:style w:type="paragraph" w:customStyle="1" w:styleId="Jurisdictioncommentsheading">
    <w:name w:val="Jurisdiction comments heading"/>
    <w:rsid w:val="0084479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84479A"/>
    <w:pPr>
      <w:numPr>
        <w:numId w:val="2"/>
      </w:numPr>
      <w:spacing w:after="140"/>
      <w:jc w:val="both"/>
    </w:pPr>
    <w:rPr>
      <w:rFonts w:ascii="Arial" w:hAnsi="Arial"/>
      <w:sz w:val="24"/>
      <w:lang w:eastAsia="en-US"/>
    </w:rPr>
  </w:style>
  <w:style w:type="paragraph" w:styleId="ListBullet">
    <w:name w:val="List Bullet"/>
    <w:basedOn w:val="BodyText"/>
    <w:rsid w:val="0084479A"/>
    <w:pPr>
      <w:numPr>
        <w:numId w:val="3"/>
      </w:numPr>
      <w:spacing w:before="120"/>
    </w:pPr>
  </w:style>
  <w:style w:type="paragraph" w:styleId="ListBullet2">
    <w:name w:val="List Bullet 2"/>
    <w:basedOn w:val="BodyText"/>
    <w:rsid w:val="0084479A"/>
    <w:pPr>
      <w:numPr>
        <w:numId w:val="4"/>
      </w:numPr>
      <w:spacing w:before="120"/>
    </w:pPr>
  </w:style>
  <w:style w:type="paragraph" w:styleId="ListBullet3">
    <w:name w:val="List Bullet 3"/>
    <w:basedOn w:val="BodyText"/>
    <w:rsid w:val="0084479A"/>
    <w:pPr>
      <w:numPr>
        <w:numId w:val="5"/>
      </w:numPr>
      <w:spacing w:before="120"/>
      <w:ind w:left="1020" w:hanging="340"/>
    </w:pPr>
  </w:style>
  <w:style w:type="paragraph" w:styleId="ListNumber">
    <w:name w:val="List Number"/>
    <w:basedOn w:val="BodyText"/>
    <w:rsid w:val="0084479A"/>
    <w:pPr>
      <w:numPr>
        <w:numId w:val="9"/>
      </w:numPr>
      <w:spacing w:before="120"/>
    </w:pPr>
  </w:style>
  <w:style w:type="paragraph" w:styleId="ListNumber2">
    <w:name w:val="List Number 2"/>
    <w:basedOn w:val="ListNumber"/>
    <w:rsid w:val="0084479A"/>
    <w:pPr>
      <w:numPr>
        <w:ilvl w:val="1"/>
      </w:numPr>
    </w:pPr>
  </w:style>
  <w:style w:type="paragraph" w:styleId="ListNumber3">
    <w:name w:val="List Number 3"/>
    <w:basedOn w:val="ListNumber2"/>
    <w:rsid w:val="0084479A"/>
    <w:pPr>
      <w:numPr>
        <w:ilvl w:val="2"/>
      </w:numPr>
    </w:pPr>
  </w:style>
  <w:style w:type="character" w:customStyle="1" w:styleId="NoteLabel">
    <w:name w:val="Note Label"/>
    <w:basedOn w:val="DefaultParagraphFont"/>
    <w:rsid w:val="0084479A"/>
    <w:rPr>
      <w:rFonts w:ascii="Arial" w:hAnsi="Arial"/>
      <w:b/>
      <w:position w:val="6"/>
      <w:sz w:val="18"/>
    </w:rPr>
  </w:style>
  <w:style w:type="paragraph" w:customStyle="1" w:styleId="PartDivider">
    <w:name w:val="Part Divider"/>
    <w:basedOn w:val="BodyText"/>
    <w:next w:val="BodyText"/>
    <w:semiHidden/>
    <w:rsid w:val="0084479A"/>
    <w:pPr>
      <w:spacing w:before="0" w:line="40" w:lineRule="exact"/>
      <w:jc w:val="right"/>
    </w:pPr>
    <w:rPr>
      <w:smallCaps/>
      <w:sz w:val="16"/>
    </w:rPr>
  </w:style>
  <w:style w:type="paragraph" w:customStyle="1" w:styleId="PartNumber">
    <w:name w:val="Part Number"/>
    <w:basedOn w:val="BodyText"/>
    <w:next w:val="BodyText"/>
    <w:semiHidden/>
    <w:rsid w:val="0084479A"/>
    <w:pPr>
      <w:spacing w:before="4000" w:line="320" w:lineRule="exact"/>
      <w:ind w:left="6634"/>
      <w:jc w:val="right"/>
    </w:pPr>
    <w:rPr>
      <w:smallCaps/>
      <w:spacing w:val="60"/>
      <w:sz w:val="32"/>
    </w:rPr>
  </w:style>
  <w:style w:type="paragraph" w:customStyle="1" w:styleId="PartTitle">
    <w:name w:val="Part Title"/>
    <w:basedOn w:val="BodyText"/>
    <w:semiHidden/>
    <w:rsid w:val="0084479A"/>
    <w:pPr>
      <w:spacing w:before="160" w:after="1360" w:line="520" w:lineRule="exact"/>
      <w:ind w:right="2381"/>
      <w:jc w:val="right"/>
    </w:pPr>
    <w:rPr>
      <w:smallCaps/>
      <w:sz w:val="52"/>
    </w:rPr>
  </w:style>
  <w:style w:type="paragraph" w:styleId="Quote">
    <w:name w:val="Quote"/>
    <w:basedOn w:val="BodyText"/>
    <w:next w:val="BodyText"/>
    <w:qFormat/>
    <w:rsid w:val="0084479A"/>
    <w:pPr>
      <w:spacing w:before="120" w:line="280" w:lineRule="exact"/>
      <w:ind w:left="340"/>
    </w:pPr>
    <w:rPr>
      <w:sz w:val="22"/>
    </w:rPr>
  </w:style>
  <w:style w:type="paragraph" w:customStyle="1" w:styleId="QuoteBullet">
    <w:name w:val="Quote Bullet"/>
    <w:basedOn w:val="Quote"/>
    <w:rsid w:val="0084479A"/>
    <w:pPr>
      <w:numPr>
        <w:numId w:val="6"/>
      </w:numPr>
    </w:pPr>
  </w:style>
  <w:style w:type="paragraph" w:customStyle="1" w:styleId="Rec">
    <w:name w:val="Rec"/>
    <w:basedOn w:val="BodyText"/>
    <w:qFormat/>
    <w:rsid w:val="0084479A"/>
    <w:pPr>
      <w:keepLines/>
      <w:spacing w:before="120" w:line="280" w:lineRule="atLeast"/>
    </w:pPr>
    <w:rPr>
      <w:rFonts w:ascii="Arial" w:hAnsi="Arial"/>
      <w:sz w:val="22"/>
    </w:rPr>
  </w:style>
  <w:style w:type="paragraph" w:customStyle="1" w:styleId="RecBullet">
    <w:name w:val="Rec Bullet"/>
    <w:basedOn w:val="Rec"/>
    <w:rsid w:val="0084479A"/>
    <w:pPr>
      <w:numPr>
        <w:numId w:val="17"/>
      </w:numPr>
      <w:spacing w:before="80"/>
    </w:pPr>
  </w:style>
  <w:style w:type="paragraph" w:customStyle="1" w:styleId="RecB">
    <w:name w:val="RecB"/>
    <w:basedOn w:val="Normal"/>
    <w:semiHidden/>
    <w:rsid w:val="0084479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84479A"/>
    <w:pPr>
      <w:numPr>
        <w:numId w:val="11"/>
      </w:numPr>
      <w:spacing w:before="80"/>
    </w:pPr>
  </w:style>
  <w:style w:type="paragraph" w:customStyle="1" w:styleId="RecBNoTitle">
    <w:name w:val="RecB NoTitle"/>
    <w:basedOn w:val="RecB"/>
    <w:semiHidden/>
    <w:rsid w:val="0084479A"/>
    <w:pPr>
      <w:spacing w:before="240"/>
    </w:pPr>
  </w:style>
  <w:style w:type="paragraph" w:customStyle="1" w:styleId="Reference">
    <w:name w:val="Reference"/>
    <w:basedOn w:val="BodyText"/>
    <w:rsid w:val="0084479A"/>
    <w:pPr>
      <w:spacing w:before="120"/>
      <w:ind w:left="340" w:hanging="340"/>
    </w:pPr>
  </w:style>
  <w:style w:type="paragraph" w:customStyle="1" w:styleId="SequenceInfo">
    <w:name w:val="Sequence Info"/>
    <w:basedOn w:val="BodyText"/>
    <w:semiHidden/>
    <w:rsid w:val="0084479A"/>
    <w:rPr>
      <w:vanish/>
      <w:sz w:val="16"/>
    </w:rPr>
  </w:style>
  <w:style w:type="paragraph" w:customStyle="1" w:styleId="SideNote">
    <w:name w:val="Side Note"/>
    <w:basedOn w:val="BodyText"/>
    <w:next w:val="BodyText"/>
    <w:semiHidden/>
    <w:rsid w:val="0084479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4479A"/>
    <w:pPr>
      <w:framePr w:wrap="around"/>
      <w:numPr>
        <w:numId w:val="7"/>
      </w:numPr>
      <w:tabs>
        <w:tab w:val="left" w:pos="227"/>
      </w:tabs>
    </w:pPr>
  </w:style>
  <w:style w:type="paragraph" w:customStyle="1" w:styleId="SideNoteGraphic">
    <w:name w:val="Side Note Graphic"/>
    <w:basedOn w:val="SideNote"/>
    <w:next w:val="BodyText"/>
    <w:semiHidden/>
    <w:rsid w:val="0084479A"/>
    <w:pPr>
      <w:framePr w:wrap="around"/>
    </w:pPr>
  </w:style>
  <w:style w:type="paragraph" w:customStyle="1" w:styleId="TableBodyText">
    <w:name w:val="Table Body Text"/>
    <w:basedOn w:val="BodyText"/>
    <w:rsid w:val="0084479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4479A"/>
    <w:pPr>
      <w:numPr>
        <w:numId w:val="8"/>
      </w:numPr>
      <w:jc w:val="left"/>
    </w:pPr>
  </w:style>
  <w:style w:type="paragraph" w:customStyle="1" w:styleId="TableColumnHeading">
    <w:name w:val="Table Column Heading"/>
    <w:basedOn w:val="TableBodyText"/>
    <w:rsid w:val="0084479A"/>
    <w:pPr>
      <w:spacing w:before="80" w:after="80"/>
    </w:pPr>
    <w:rPr>
      <w:i/>
    </w:rPr>
  </w:style>
  <w:style w:type="paragraph" w:styleId="TOC2">
    <w:name w:val="toc 2"/>
    <w:basedOn w:val="TOC1"/>
    <w:rsid w:val="0084479A"/>
    <w:pPr>
      <w:ind w:left="1134" w:hanging="624"/>
    </w:pPr>
    <w:rPr>
      <w:b w:val="0"/>
    </w:rPr>
  </w:style>
  <w:style w:type="paragraph" w:styleId="TOC3">
    <w:name w:val="toc 3"/>
    <w:basedOn w:val="TOC2"/>
    <w:rsid w:val="0084479A"/>
    <w:pPr>
      <w:spacing w:before="60"/>
      <w:ind w:left="1190" w:hanging="680"/>
    </w:pPr>
  </w:style>
  <w:style w:type="paragraph" w:styleId="TableofFigures">
    <w:name w:val="table of figures"/>
    <w:basedOn w:val="TOC3"/>
    <w:next w:val="BodyText"/>
    <w:semiHidden/>
    <w:rsid w:val="0084479A"/>
    <w:pPr>
      <w:ind w:left="737" w:hanging="737"/>
    </w:pPr>
  </w:style>
  <w:style w:type="paragraph" w:customStyle="1" w:styleId="TableTitle">
    <w:name w:val="Table Title"/>
    <w:basedOn w:val="Caption"/>
    <w:next w:val="Subtitle"/>
    <w:qFormat/>
    <w:rsid w:val="0084479A"/>
    <w:pPr>
      <w:spacing w:before="120"/>
    </w:pPr>
  </w:style>
  <w:style w:type="paragraph" w:customStyle="1" w:styleId="TableUnitsRow">
    <w:name w:val="Table Units Row"/>
    <w:basedOn w:val="TableBodyText"/>
    <w:rsid w:val="0084479A"/>
    <w:pPr>
      <w:spacing w:before="40"/>
    </w:pPr>
  </w:style>
  <w:style w:type="paragraph" w:styleId="TOC1">
    <w:name w:val="toc 1"/>
    <w:basedOn w:val="Normal"/>
    <w:next w:val="TOC2"/>
    <w:link w:val="TOC1Char"/>
    <w:rsid w:val="0084479A"/>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84479A"/>
    <w:pPr>
      <w:ind w:left="1191" w:firstLine="0"/>
    </w:pPr>
  </w:style>
  <w:style w:type="paragraph" w:customStyle="1" w:styleId="RecBBullet2">
    <w:name w:val="RecB Bullet 2"/>
    <w:basedOn w:val="ListBullet2"/>
    <w:semiHidden/>
    <w:rsid w:val="0084479A"/>
    <w:pPr>
      <w:pBdr>
        <w:left w:val="single" w:sz="24" w:space="29" w:color="C0C0C0"/>
      </w:pBdr>
    </w:pPr>
    <w:rPr>
      <w:b/>
      <w:i/>
    </w:rPr>
  </w:style>
  <w:style w:type="paragraph" w:styleId="BalloonText">
    <w:name w:val="Balloon Text"/>
    <w:basedOn w:val="Normal"/>
    <w:link w:val="BalloonTextChar"/>
    <w:rsid w:val="0084479A"/>
    <w:rPr>
      <w:rFonts w:ascii="Tahoma" w:hAnsi="Tahoma" w:cs="Tahoma"/>
      <w:sz w:val="16"/>
      <w:szCs w:val="16"/>
    </w:rPr>
  </w:style>
  <w:style w:type="character" w:customStyle="1" w:styleId="BalloonTextChar">
    <w:name w:val="Balloon Text Char"/>
    <w:basedOn w:val="DefaultParagraphFont"/>
    <w:link w:val="BalloonText"/>
    <w:rsid w:val="0084479A"/>
    <w:rPr>
      <w:rFonts w:ascii="Tahoma" w:hAnsi="Tahoma" w:cs="Tahoma"/>
      <w:sz w:val="16"/>
      <w:szCs w:val="16"/>
    </w:rPr>
  </w:style>
  <w:style w:type="character" w:customStyle="1" w:styleId="SubtitleChar">
    <w:name w:val="Subtitle Char"/>
    <w:basedOn w:val="DefaultParagraphFont"/>
    <w:link w:val="Subtitle"/>
    <w:rsid w:val="0084479A"/>
    <w:rPr>
      <w:rFonts w:ascii="Arial" w:hAnsi="Arial"/>
      <w:szCs w:val="24"/>
    </w:rPr>
  </w:style>
  <w:style w:type="paragraph" w:customStyle="1" w:styleId="BoxListBullet3">
    <w:name w:val="Box List Bullet 3"/>
    <w:basedOn w:val="ListBullet3"/>
    <w:rsid w:val="0084479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84479A"/>
    <w:rPr>
      <w:i/>
      <w:iCs/>
    </w:rPr>
  </w:style>
  <w:style w:type="paragraph" w:customStyle="1" w:styleId="BoxQuoteBullet">
    <w:name w:val="Box Quote Bullet"/>
    <w:basedOn w:val="BoxQuote"/>
    <w:next w:val="Box"/>
    <w:rsid w:val="0084479A"/>
    <w:pPr>
      <w:numPr>
        <w:numId w:val="12"/>
      </w:numPr>
      <w:ind w:left="568" w:hanging="284"/>
    </w:pPr>
  </w:style>
  <w:style w:type="paragraph" w:customStyle="1" w:styleId="InformationRequestBullet">
    <w:name w:val="Information Request Bullet"/>
    <w:basedOn w:val="ListBullet"/>
    <w:next w:val="BodyText"/>
    <w:rsid w:val="0084479A"/>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84479A"/>
    <w:pPr>
      <w:keepNext w:val="0"/>
      <w:spacing w:before="60" w:after="60" w:line="80" w:lineRule="exact"/>
    </w:pPr>
    <w:rPr>
      <w:sz w:val="14"/>
    </w:rPr>
  </w:style>
  <w:style w:type="paragraph" w:customStyle="1" w:styleId="KeyPointsListBullet">
    <w:name w:val="Key Points List Bullet"/>
    <w:basedOn w:val="Normal"/>
    <w:qFormat/>
    <w:rsid w:val="0084479A"/>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4479A"/>
    <w:pPr>
      <w:numPr>
        <w:numId w:val="21"/>
      </w:numPr>
      <w:ind w:left="568" w:hanging="284"/>
    </w:pPr>
  </w:style>
  <w:style w:type="paragraph" w:customStyle="1" w:styleId="InformationRequestTitle">
    <w:name w:val="Information Request Title"/>
    <w:basedOn w:val="FindingTitle"/>
    <w:next w:val="InformationRequest"/>
    <w:rsid w:val="0084479A"/>
    <w:rPr>
      <w:i/>
    </w:rPr>
  </w:style>
  <w:style w:type="paragraph" w:customStyle="1" w:styleId="Space">
    <w:name w:val="Space"/>
    <w:basedOn w:val="Normal"/>
    <w:rsid w:val="0084479A"/>
    <w:pPr>
      <w:keepNext/>
      <w:spacing w:line="120" w:lineRule="exact"/>
      <w:jc w:val="both"/>
    </w:pPr>
    <w:rPr>
      <w:rFonts w:ascii="Arial" w:hAnsi="Arial"/>
      <w:sz w:val="20"/>
      <w:szCs w:val="20"/>
    </w:rPr>
  </w:style>
  <w:style w:type="paragraph" w:customStyle="1" w:styleId="Heading1nochapterno">
    <w:name w:val="Heading 1 (no chapter no.)"/>
    <w:basedOn w:val="Heading1"/>
    <w:rsid w:val="0084479A"/>
    <w:pPr>
      <w:spacing w:before="0"/>
      <w:ind w:left="0" w:firstLine="0"/>
    </w:pPr>
  </w:style>
  <w:style w:type="paragraph" w:customStyle="1" w:styleId="Heading2nosectionno">
    <w:name w:val="Heading 2 (no section no.)"/>
    <w:basedOn w:val="Heading2"/>
    <w:rsid w:val="0084479A"/>
    <w:pPr>
      <w:ind w:left="0" w:firstLine="0"/>
    </w:pPr>
  </w:style>
  <w:style w:type="character" w:customStyle="1" w:styleId="Heading5Char">
    <w:name w:val="Heading 5 Char"/>
    <w:basedOn w:val="DefaultParagraphFont"/>
    <w:link w:val="Heading5"/>
    <w:rsid w:val="0084479A"/>
    <w:rPr>
      <w:rFonts w:ascii="Arial" w:hAnsi="Arial"/>
      <w:i/>
      <w:sz w:val="22"/>
    </w:rPr>
  </w:style>
  <w:style w:type="paragraph" w:customStyle="1" w:styleId="Figurespace">
    <w:name w:val="Figure space"/>
    <w:basedOn w:val="Box"/>
    <w:rsid w:val="0084479A"/>
    <w:pPr>
      <w:spacing w:before="0" w:line="120" w:lineRule="exact"/>
    </w:pPr>
  </w:style>
  <w:style w:type="paragraph" w:customStyle="1" w:styleId="FooterDraftReport">
    <w:name w:val="FooterDraftReport"/>
    <w:basedOn w:val="Footer"/>
    <w:link w:val="FooterDraftReportChar"/>
    <w:rsid w:val="0084479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84479A"/>
    <w:rPr>
      <w:sz w:val="24"/>
    </w:rPr>
  </w:style>
  <w:style w:type="character" w:customStyle="1" w:styleId="FooterChar">
    <w:name w:val="Footer Char"/>
    <w:basedOn w:val="BodyTextChar"/>
    <w:link w:val="Footer"/>
    <w:rsid w:val="0084479A"/>
    <w:rPr>
      <w:rFonts w:ascii="Arial" w:hAnsi="Arial"/>
      <w:caps/>
      <w:spacing w:val="-4"/>
      <w:sz w:val="16"/>
    </w:rPr>
  </w:style>
  <w:style w:type="character" w:customStyle="1" w:styleId="FooterDraftReportChar">
    <w:name w:val="FooterDraftReport Char"/>
    <w:basedOn w:val="FooterChar"/>
    <w:link w:val="FooterDraftReport"/>
    <w:rsid w:val="0084479A"/>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84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84479A"/>
    <w:rPr>
      <w:rFonts w:ascii="Arial" w:hAnsi="Arial"/>
      <w:b/>
      <w:sz w:val="26"/>
      <w:szCs w:val="26"/>
      <w:lang w:eastAsia="en-US"/>
    </w:rPr>
  </w:style>
  <w:style w:type="paragraph" w:styleId="CommentSubject">
    <w:name w:val="annotation subject"/>
    <w:basedOn w:val="CommentText"/>
    <w:next w:val="CommentText"/>
    <w:link w:val="CommentSubjectChar"/>
    <w:rsid w:val="000C45B3"/>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0C45B3"/>
    <w:rPr>
      <w:szCs w:val="24"/>
    </w:rPr>
  </w:style>
  <w:style w:type="character" w:customStyle="1" w:styleId="CommentSubjectChar">
    <w:name w:val="Comment Subject Char"/>
    <w:basedOn w:val="CommentTextChar"/>
    <w:link w:val="CommentSubject"/>
    <w:rsid w:val="000C45B3"/>
    <w:rPr>
      <w:b/>
      <w:bCs/>
      <w:szCs w:val="24"/>
    </w:rPr>
  </w:style>
  <w:style w:type="paragraph" w:styleId="Bibliography">
    <w:name w:val="Bibliography"/>
    <w:basedOn w:val="Normal"/>
    <w:next w:val="Normal"/>
    <w:uiPriority w:val="37"/>
    <w:unhideWhenUsed/>
    <w:rsid w:val="0068413F"/>
    <w:pPr>
      <w:spacing w:after="240"/>
      <w:ind w:left="720" w:hanging="720"/>
    </w:pPr>
  </w:style>
  <w:style w:type="character" w:customStyle="1" w:styleId="Continuedintitle">
    <w:name w:val="Continued (in title)"/>
    <w:basedOn w:val="DefaultParagraphFont"/>
    <w:rsid w:val="0084479A"/>
    <w:rPr>
      <w:rFonts w:ascii="Arial" w:hAnsi="Arial"/>
      <w:b/>
      <w:sz w:val="18"/>
    </w:rPr>
  </w:style>
  <w:style w:type="paragraph" w:customStyle="1" w:styleId="Copyrightheading">
    <w:name w:val="Copyright heading"/>
    <w:basedOn w:val="TOC1"/>
    <w:link w:val="CopyrightheadingChar"/>
    <w:qFormat/>
    <w:rsid w:val="003B25A2"/>
    <w:pPr>
      <w:spacing w:line="300" w:lineRule="exact"/>
    </w:pPr>
    <w:rPr>
      <w:sz w:val="22"/>
    </w:rPr>
  </w:style>
  <w:style w:type="character" w:customStyle="1" w:styleId="CopyrightheadingChar">
    <w:name w:val="Copyright heading Char"/>
    <w:basedOn w:val="TOC1Char"/>
    <w:link w:val="Copyrightheading"/>
    <w:rsid w:val="003B25A2"/>
    <w:rPr>
      <w:rFonts w:ascii="Arial" w:hAnsi="Arial"/>
      <w:b/>
      <w:sz w:val="22"/>
      <w:szCs w:val="26"/>
      <w:lang w:eastAsia="en-US"/>
    </w:rPr>
  </w:style>
  <w:style w:type="paragraph" w:customStyle="1" w:styleId="Copyrightsubtitle">
    <w:name w:val="Copyright subtitle"/>
    <w:basedOn w:val="BodyText"/>
    <w:rsid w:val="003B25A2"/>
    <w:rPr>
      <w:rFonts w:ascii="Arial" w:hAnsi="Arial"/>
      <w:b/>
      <w:sz w:val="22"/>
      <w:szCs w:val="25"/>
    </w:rPr>
  </w:style>
  <w:style w:type="paragraph" w:customStyle="1" w:styleId="Copyrightbodytext">
    <w:name w:val="Copyright bodytext"/>
    <w:basedOn w:val="BodyText"/>
    <w:link w:val="CopyrightbodytextChar"/>
    <w:qFormat/>
    <w:rsid w:val="003B25A2"/>
    <w:pPr>
      <w:spacing w:before="60"/>
    </w:pPr>
  </w:style>
  <w:style w:type="character" w:customStyle="1" w:styleId="CopyrightbodytextChar">
    <w:name w:val="Copyright bodytext Char"/>
    <w:basedOn w:val="BodyTextChar"/>
    <w:link w:val="Copyrightbodytext"/>
    <w:rsid w:val="003B25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itsanhonour.gov.au/coat-arms/index.cfm"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image" Target="media/image6.e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1.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9.emf"/><Relationship Id="rId10" Type="http://schemas.openxmlformats.org/officeDocument/2006/relationships/settings" Target="settings.xml"/><Relationship Id="rId19" Type="http://schemas.openxmlformats.org/officeDocument/2006/relationships/hyperlink" Target="http://www.itsanhonour.gov.au" TargetMode="External"/><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Briefings" ma:contentTypeID="0x0101005D8B35F5120D954F8F8E5325D53E4EE01200DA494AA9C857B54DA4959B8E36014A13" ma:contentTypeVersion="7" ma:contentTypeDescription="" ma:contentTypeScope="" ma:versionID="01a1dde6d369d82d26ceddaa9628396f">
  <xsd:schema xmlns:xsd="http://www.w3.org/2001/XMLSchema" xmlns:xs="http://www.w3.org/2001/XMLSchema" xmlns:p="http://schemas.microsoft.com/office/2006/metadata/properties" xmlns:ns2="3f4bcce7-ac1a-4c9d-aa3e-7e77695652db" xmlns:ns3="fa518fac-296c-4bda-9fd0-5be7b29134f5" targetNamespace="http://schemas.microsoft.com/office/2006/metadata/properties" ma:root="true" ma:fieldsID="41146774b12bab746dcd4b6f16e33223" ns2:_="" ns3:_="">
    <xsd:import namespace="3f4bcce7-ac1a-4c9d-aa3e-7e77695652db"/>
    <xsd:import namespace="fa518fac-296c-4bda-9fd0-5be7b29134f5"/>
    <xsd:element name="properties">
      <xsd:complexType>
        <xsd:sequence>
          <xsd:element name="documentManagement">
            <xsd:complexType>
              <xsd:all>
                <xsd:element ref="ns2:TaxCatchAll" minOccurs="0"/>
                <xsd:element ref="ns2:TaxCatchAllLabel" minOccurs="0"/>
                <xsd:element ref="ns3:h7f5eaef2248461c91cd262ee36682e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518fac-296c-4bda-9fd0-5be7b29134f5" elementFormDefault="qualified">
    <xsd:import namespace="http://schemas.microsoft.com/office/2006/documentManagement/types"/>
    <xsd:import namespace="http://schemas.microsoft.com/office/infopath/2007/PartnerControls"/>
    <xsd:element name="h7f5eaef2248461c91cd262ee36682e3" ma:index="11" nillable="true" ma:taxonomy="true" ma:internalName="h7f5eaef2248461c91cd262ee36682e3" ma:taxonomyFieldName="Record" ma:displayName="Record" ma:default="226;#Reporting|ddb653f1-8a2b-466c-9640-19b72d588baa" ma:fieldId="{17f5eaef-2248-461c-91cd-262ee36682e3}" ma:sspId="70da5c63-8548-4ac8-9616-83b0f373280e" ma:termSetId="e99b77ca-c000-4e3f-a77f-a64077d5e2f2" ma:anchorId="609e2780-d171-4fcc-ba6e-ba515af27ff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7f5eaef2248461c91cd262ee36682e3 xmlns="fa518fac-296c-4bda-9fd0-5be7b29134f5">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ddb653f1-8a2b-466c-9640-19b72d588baa</TermId>
        </TermInfo>
      </Terms>
    </h7f5eaef2248461c91cd262ee36682e3>
    <TaxCatchAll xmlns="3f4bcce7-ac1a-4c9d-aa3e-7e77695652db">
      <Value>226</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7AFD-45C8-4809-A2DD-878E7703350F}">
  <ds:schemaRefs>
    <ds:schemaRef ds:uri="Microsoft.SharePoint.Taxonomy.ContentTypeSync"/>
  </ds:schemaRefs>
</ds:datastoreItem>
</file>

<file path=customXml/itemProps2.xml><?xml version="1.0" encoding="utf-8"?>
<ds:datastoreItem xmlns:ds="http://schemas.openxmlformats.org/officeDocument/2006/customXml" ds:itemID="{48ED2FA9-99CF-4368-B4F1-1C07C5660F75}">
  <ds:schemaRefs>
    <ds:schemaRef ds:uri="http://schemas.microsoft.com/office/2006/metadata/customXsn"/>
  </ds:schemaRefs>
</ds:datastoreItem>
</file>

<file path=customXml/itemProps3.xml><?xml version="1.0" encoding="utf-8"?>
<ds:datastoreItem xmlns:ds="http://schemas.openxmlformats.org/officeDocument/2006/customXml" ds:itemID="{207466A4-FE92-415C-8B6F-03695FC20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fa518fac-296c-4bda-9fd0-5be7b2913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42EF8-6200-4BEC-BB54-E7B5F80CAB95}">
  <ds:schemaRefs>
    <ds:schemaRef ds:uri="http://schemas.microsoft.com/sharepoint/v3/contenttype/forms"/>
  </ds:schemaRefs>
</ds:datastoreItem>
</file>

<file path=customXml/itemProps5.xml><?xml version="1.0" encoding="utf-8"?>
<ds:datastoreItem xmlns:ds="http://schemas.openxmlformats.org/officeDocument/2006/customXml" ds:itemID="{2ED1148E-2519-4839-9BE0-289879C4DB28}">
  <ds:schemaRefs>
    <ds:schemaRef ds:uri="fa518fac-296c-4bda-9fd0-5be7b29134f5"/>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3f4bcce7-ac1a-4c9d-aa3e-7e77695652db"/>
    <ds:schemaRef ds:uri="http://purl.org/dc/elements/1.1/"/>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FBBC1892-789D-4A65-BC31-CF7AA19F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1668</TotalTime>
  <Pages>31</Pages>
  <Words>9411</Words>
  <Characters>55004</Characters>
  <Application>Microsoft Office Word</Application>
  <DocSecurity>0</DocSecurity>
  <Lines>1571</Lines>
  <Paragraphs>836</Paragraphs>
  <ScaleCrop>false</ScaleCrop>
  <HeadingPairs>
    <vt:vector size="2" baseType="variant">
      <vt:variant>
        <vt:lpstr>Title</vt:lpstr>
      </vt:variant>
      <vt:variant>
        <vt:i4>1</vt:i4>
      </vt:variant>
    </vt:vector>
  </HeadingPairs>
  <TitlesOfParts>
    <vt:vector size="1" baseType="lpstr">
      <vt:lpstr>Modelling immigrants’ fiscal impacts - Technical Supplement D - Migrant Intake into Australia</vt:lpstr>
    </vt:vector>
  </TitlesOfParts>
  <Company>Productivity Commission</Company>
  <LinksUpToDate>false</LinksUpToDate>
  <CharactersWithSpaces>63579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Modelling immigrants’ fiscal impacts - Technical Supplement D - Migrant Intake into Australia</dc:title>
  <dc:subject/>
  <dc:creator>Productivity Commission</dc:creator>
  <dc:description>1.</dc:description>
  <cp:lastModifiedBy>Michelle Cross</cp:lastModifiedBy>
  <cp:revision>47</cp:revision>
  <cp:lastPrinted>2016-04-01T04:41:00Z</cp:lastPrinted>
  <dcterms:created xsi:type="dcterms:W3CDTF">2016-04-11T06:01:00Z</dcterms:created>
  <dcterms:modified xsi:type="dcterms:W3CDTF">2016-10-06T02:48:00Z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id="fGYYcUm0"/&gt;&lt;style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y fmtid="{D5CDD505-2E9C-101B-9397-08002B2CF9AE}" pid="4" name="ContentTypeId">
    <vt:lpwstr>0x0101005D8B35F5120D954F8F8E5325D53E4EE01200DA494AA9C857B54DA4959B8E36014A13</vt:lpwstr>
  </property>
  <property fmtid="{D5CDD505-2E9C-101B-9397-08002B2CF9AE}" pid="5" name="Record">
    <vt:lpwstr>226;#Reporting|ddb653f1-8a2b-466c-9640-19b72d588baa</vt:lpwstr>
  </property>
</Properties>
</file>