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B7" w:rsidRPr="00EE61C4" w:rsidRDefault="004613B7" w:rsidP="004613B7">
      <w:pPr>
        <w:pStyle w:val="Heading1"/>
        <w:rPr>
          <w:sz w:val="16"/>
          <w:szCs w:val="16"/>
        </w:rPr>
      </w:pPr>
      <w:bookmarkStart w:id="0" w:name="ChapterTitle"/>
      <w:r w:rsidRPr="00EE61C4">
        <w:rPr>
          <w:noProof/>
          <w:sz w:val="16"/>
          <w:szCs w:val="16"/>
        </w:rPr>
        <w:drawing>
          <wp:anchor distT="0" distB="0" distL="114300" distR="114300" simplePos="0" relativeHeight="251659264" behindDoc="0" locked="0" layoutInCell="1" allowOverlap="1" wp14:anchorId="2970EC5E" wp14:editId="6C2898CE">
            <wp:simplePos x="0" y="0"/>
            <wp:positionH relativeFrom="page">
              <wp:align>center</wp:align>
            </wp:positionH>
            <wp:positionV relativeFrom="page">
              <wp:posOffset>-12700</wp:posOffset>
            </wp:positionV>
            <wp:extent cx="7563599" cy="10698834"/>
            <wp:effectExtent l="0" t="0" r="0" b="7620"/>
            <wp:wrapNone/>
            <wp:docPr id="8" name="Picture 8" descr="Cover for: Modelling immigrants’ fiscal impacts - Part 2 - Technical Supplement D - Migrant Intake into Australia Inquiry Report, April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cal-supplement-D-cover.png"/>
                    <pic:cNvPicPr/>
                  </pic:nvPicPr>
                  <pic:blipFill>
                    <a:blip r:embed="rId9">
                      <a:extLst>
                        <a:ext uri="{28A0092B-C50C-407E-A947-70E740481C1C}">
                          <a14:useLocalDpi xmlns:a14="http://schemas.microsoft.com/office/drawing/2010/main" val="0"/>
                        </a:ext>
                      </a:extLst>
                    </a:blip>
                    <a:stretch>
                      <a:fillRect/>
                    </a:stretch>
                  </pic:blipFill>
                  <pic:spPr>
                    <a:xfrm>
                      <a:off x="0" y="0"/>
                      <a:ext cx="7563599" cy="10698834"/>
                    </a:xfrm>
                    <a:prstGeom prst="rect">
                      <a:avLst/>
                    </a:prstGeom>
                  </pic:spPr>
                </pic:pic>
              </a:graphicData>
            </a:graphic>
            <wp14:sizeRelH relativeFrom="margin">
              <wp14:pctWidth>0</wp14:pctWidth>
            </wp14:sizeRelH>
            <wp14:sizeRelV relativeFrom="margin">
              <wp14:pctHeight>0</wp14:pctHeight>
            </wp14:sizeRelV>
          </wp:anchor>
        </w:drawing>
      </w:r>
      <w:r w:rsidRPr="00EE61C4">
        <w:rPr>
          <w:sz w:val="16"/>
          <w:szCs w:val="16"/>
        </w:rPr>
        <w:t>Modelling immigrants’ fiscal impacts</w:t>
      </w:r>
      <w:r w:rsidRPr="00EE61C4">
        <w:rPr>
          <w:noProof/>
          <w:sz w:val="16"/>
          <w:szCs w:val="16"/>
        </w:rPr>
        <w:t xml:space="preserve">  — Part </w:t>
      </w:r>
      <w:r w:rsidR="00EE61C4">
        <w:rPr>
          <w:noProof/>
          <w:sz w:val="16"/>
          <w:szCs w:val="16"/>
        </w:rPr>
        <w:t>2</w:t>
      </w:r>
    </w:p>
    <w:p w:rsidR="004613B7" w:rsidRDefault="004613B7" w:rsidP="004613B7">
      <w:pPr>
        <w:rPr>
          <w:rFonts w:ascii="Arial" w:hAnsi="Arial"/>
          <w:b/>
          <w:sz w:val="22"/>
          <w:szCs w:val="26"/>
          <w:lang w:eastAsia="en-US"/>
        </w:rPr>
      </w:pPr>
      <w:r>
        <w:br w:type="page"/>
      </w:r>
    </w:p>
    <w:p w:rsidR="004613B7" w:rsidRDefault="004613B7" w:rsidP="004613B7">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2016</w:t>
      </w:r>
    </w:p>
    <w:p w:rsidR="004613B7" w:rsidRDefault="004613B7" w:rsidP="004613B7">
      <w:pPr>
        <w:pStyle w:val="BodyText"/>
        <w:spacing w:after="120"/>
      </w:pPr>
      <w:bookmarkStart w:id="1" w:name="ISSN"/>
      <w:bookmarkEnd w:id="1"/>
      <w:r w:rsidRPr="00862D8F">
        <w:rPr>
          <w:noProof/>
          <w:sz w:val="22"/>
          <w:szCs w:val="22"/>
        </w:rPr>
        <w:drawing>
          <wp:inline distT="0" distB="0" distL="0" distR="0" wp14:anchorId="70098990" wp14:editId="38EF4C67">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4613B7" w:rsidRPr="008A3857" w:rsidRDefault="004613B7" w:rsidP="004613B7">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1" w:history="1">
        <w:hyperlink r:id="rId12"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4613B7" w:rsidRPr="008A3857" w:rsidRDefault="004613B7" w:rsidP="004613B7">
      <w:pPr>
        <w:pStyle w:val="Copyrightsubtitle"/>
      </w:pPr>
      <w:r w:rsidRPr="008A3857">
        <w:t>Use of the Commonwealth Coat of Arms</w:t>
      </w:r>
    </w:p>
    <w:p w:rsidR="004613B7" w:rsidRPr="008A3857" w:rsidRDefault="004613B7" w:rsidP="004613B7">
      <w:pPr>
        <w:pStyle w:val="Copyrightbodytext"/>
      </w:pPr>
      <w:r w:rsidRPr="008A3857">
        <w:t>For terms of use of the Coat of Arms visit the ‘</w:t>
      </w:r>
      <w:hyperlink r:id="rId13" w:history="1">
        <w:r w:rsidRPr="00805FD7">
          <w:t>It’s an Honour</w:t>
        </w:r>
      </w:hyperlink>
      <w:r w:rsidRPr="008A3857">
        <w:t>’ website</w:t>
      </w:r>
      <w:r w:rsidRPr="00BA0B81">
        <w:t xml:space="preserve">: </w:t>
      </w:r>
      <w:hyperlink r:id="rId14" w:history="1">
        <w:r w:rsidRPr="00805FD7">
          <w:t>http://</w:t>
        </w:r>
        <w:proofErr w:type="spellStart"/>
        <w:r w:rsidRPr="00805FD7">
          <w:t>www.itsanhonour.gov.au</w:t>
        </w:r>
        <w:proofErr w:type="spellEnd"/>
      </w:hyperlink>
    </w:p>
    <w:p w:rsidR="004613B7" w:rsidRPr="008A3857" w:rsidRDefault="004613B7" w:rsidP="004613B7">
      <w:pPr>
        <w:pStyle w:val="Copyrightsubtitle"/>
      </w:pPr>
      <w:r w:rsidRPr="008A3857">
        <w:t>Third party copyright</w:t>
      </w:r>
    </w:p>
    <w:p w:rsidR="004613B7" w:rsidRPr="008A3857" w:rsidRDefault="004613B7" w:rsidP="004613B7">
      <w:pPr>
        <w:pStyle w:val="Copyrightbodytext"/>
      </w:pPr>
      <w:r w:rsidRPr="008A3857">
        <w:t>Wherever a third party holds copyright in this material, the copyright remains with that party. Their permission may be required to use the material, please contact them directly.</w:t>
      </w:r>
    </w:p>
    <w:p w:rsidR="004613B7" w:rsidRPr="008A3857" w:rsidRDefault="004613B7" w:rsidP="004613B7">
      <w:pPr>
        <w:pStyle w:val="Copyrightsubtitle"/>
      </w:pPr>
      <w:r w:rsidRPr="008A3857">
        <w:t xml:space="preserve">An appropriate </w:t>
      </w:r>
      <w:r>
        <w:t>reference</w:t>
      </w:r>
      <w:r w:rsidRPr="008A3857">
        <w:t xml:space="preserve"> for this publication is:</w:t>
      </w:r>
    </w:p>
    <w:p w:rsidR="004613B7" w:rsidRPr="008A3857" w:rsidRDefault="004613B7" w:rsidP="004613B7">
      <w:pPr>
        <w:pStyle w:val="Copyrightbodytext"/>
      </w:pPr>
      <w:r>
        <w:t xml:space="preserve">Productivity Commission </w:t>
      </w:r>
      <w:r w:rsidRPr="003B25A2">
        <w:t>201</w:t>
      </w:r>
      <w:r>
        <w:t>6</w:t>
      </w:r>
      <w:r w:rsidRPr="003B25A2">
        <w:t>, ‘</w:t>
      </w:r>
      <w:r w:rsidRPr="003B25A2">
        <w:rPr>
          <w:i/>
        </w:rPr>
        <w:t>Modelling immigrants’ fiscal impacts</w:t>
      </w:r>
      <w:r>
        <w:rPr>
          <w:i/>
        </w:rPr>
        <w:t xml:space="preserve"> — Part 2</w:t>
      </w:r>
      <w:r w:rsidRPr="003B25A2">
        <w:t xml:space="preserve">’, </w:t>
      </w:r>
      <w:r>
        <w:t xml:space="preserve">Migrant Intake into Australia </w:t>
      </w:r>
      <w:r w:rsidRPr="003B25A2">
        <w:t>—Technical Supplement</w:t>
      </w:r>
      <w:r>
        <w:t xml:space="preserve"> D</w:t>
      </w:r>
      <w:r w:rsidRPr="003B25A2">
        <w:t>, Canberra.</w:t>
      </w:r>
    </w:p>
    <w:p w:rsidR="004613B7" w:rsidRPr="008A3857" w:rsidRDefault="004613B7" w:rsidP="004613B7">
      <w:pPr>
        <w:pStyle w:val="Copyrightsubtitle"/>
      </w:pPr>
      <w:bookmarkStart w:id="2" w:name="JEL"/>
      <w:bookmarkEnd w:id="2"/>
      <w:r w:rsidRPr="008A3857">
        <w:t>Publications enquiries</w:t>
      </w:r>
    </w:p>
    <w:p w:rsidR="004613B7" w:rsidRDefault="004613B7" w:rsidP="004613B7">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rsidR="004613B7" w:rsidRDefault="004613B7" w:rsidP="004613B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613B7" w:rsidTr="00545C03">
        <w:tc>
          <w:tcPr>
            <w:tcW w:w="8771" w:type="dxa"/>
            <w:tcBorders>
              <w:top w:val="single" w:sz="6" w:space="0" w:color="78A22F"/>
              <w:left w:val="nil"/>
              <w:bottom w:val="nil"/>
              <w:right w:val="nil"/>
            </w:tcBorders>
            <w:shd w:val="clear" w:color="auto" w:fill="F2F2F2" w:themeFill="background1" w:themeFillShade="F2"/>
          </w:tcPr>
          <w:p w:rsidR="004613B7" w:rsidRPr="008A3857" w:rsidRDefault="004613B7" w:rsidP="00545C03">
            <w:pPr>
              <w:pStyle w:val="BoxTitle"/>
              <w:rPr>
                <w:sz w:val="22"/>
                <w:szCs w:val="22"/>
              </w:rPr>
            </w:pPr>
            <w:r w:rsidRPr="008A3857">
              <w:rPr>
                <w:sz w:val="22"/>
                <w:szCs w:val="22"/>
              </w:rPr>
              <w:t>The Productivity Commission</w:t>
            </w:r>
          </w:p>
        </w:tc>
      </w:tr>
      <w:tr w:rsidR="004613B7" w:rsidTr="00545C03">
        <w:tc>
          <w:tcPr>
            <w:tcW w:w="8771" w:type="dxa"/>
            <w:tcBorders>
              <w:top w:val="nil"/>
              <w:left w:val="nil"/>
              <w:bottom w:val="nil"/>
              <w:right w:val="nil"/>
            </w:tcBorders>
            <w:shd w:val="clear" w:color="auto" w:fill="F2F2F2" w:themeFill="background1" w:themeFillShade="F2"/>
          </w:tcPr>
          <w:p w:rsidR="004613B7" w:rsidRDefault="004613B7" w:rsidP="00545C03">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613B7" w:rsidRDefault="004613B7" w:rsidP="00545C03">
            <w:pPr>
              <w:pStyle w:val="Box"/>
            </w:pPr>
            <w:r w:rsidRPr="00BB5DCF">
              <w:t>The Commission’s independence is underpinned by an Act of Parliament. Its processes and outputs are open to public scrutiny and are driven by concern for the wellbeing of the community as a whole.</w:t>
            </w:r>
          </w:p>
          <w:p w:rsidR="004613B7" w:rsidRDefault="004613B7" w:rsidP="00545C03">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4613B7" w:rsidTr="00545C03">
        <w:tc>
          <w:tcPr>
            <w:tcW w:w="8771" w:type="dxa"/>
            <w:tcBorders>
              <w:top w:val="nil"/>
              <w:left w:val="nil"/>
              <w:bottom w:val="single" w:sz="6" w:space="0" w:color="78A22F"/>
              <w:right w:val="nil"/>
            </w:tcBorders>
            <w:shd w:val="clear" w:color="auto" w:fill="F2F2F2" w:themeFill="background1" w:themeFillShade="F2"/>
          </w:tcPr>
          <w:p w:rsidR="004613B7" w:rsidRDefault="004613B7" w:rsidP="00545C03">
            <w:pPr>
              <w:pStyle w:val="Box"/>
              <w:spacing w:before="0" w:line="120" w:lineRule="exact"/>
            </w:pPr>
          </w:p>
        </w:tc>
      </w:tr>
    </w:tbl>
    <w:p w:rsidR="004613B7" w:rsidRDefault="004613B7" w:rsidP="004613B7">
      <w:pPr>
        <w:pStyle w:val="Chapter"/>
        <w:ind w:left="907" w:hanging="907"/>
        <w:sectPr w:rsidR="004613B7" w:rsidSect="00F0289A">
          <w:headerReference w:type="default" r:id="rId15"/>
          <w:footerReference w:type="default" r:id="rId16"/>
          <w:pgSz w:w="11907" w:h="16840" w:code="9"/>
          <w:pgMar w:top="1984" w:right="1304" w:bottom="1247" w:left="1814" w:header="1701" w:footer="397" w:gutter="0"/>
          <w:pgNumType w:start="1" w:chapSep="period"/>
          <w:cols w:space="720"/>
          <w:docGrid w:linePitch="326"/>
        </w:sectPr>
      </w:pPr>
    </w:p>
    <w:p w:rsidR="00245A4D" w:rsidRDefault="00245A4D" w:rsidP="00EE61C4">
      <w:pPr>
        <w:pStyle w:val="Chapter"/>
      </w:pPr>
      <w:r>
        <w:lastRenderedPageBreak/>
        <w:t>Modelling immigrants</w:t>
      </w:r>
      <w:r w:rsidR="0048396A">
        <w:t>’</w:t>
      </w:r>
      <w:r>
        <w:t xml:space="preserve"> fiscal impacts</w:t>
      </w:r>
      <w:bookmarkEnd w:id="0"/>
      <w:r w:rsidR="00DB3542">
        <w:t xml:space="preserve"> </w:t>
      </w:r>
      <w:r w:rsidR="00EE61C4">
        <w:br/>
      </w:r>
      <w:r w:rsidR="00DB3542">
        <w:t>– Part 2</w:t>
      </w:r>
    </w:p>
    <w:p w:rsidR="00DB3542" w:rsidRDefault="00567B9A" w:rsidP="00EB2C1B">
      <w:pPr>
        <w:pStyle w:val="BodyText"/>
      </w:pPr>
      <w:bookmarkStart w:id="3" w:name="begin"/>
      <w:bookmarkEnd w:id="3"/>
      <w:r>
        <w:t>Technical Supplement</w:t>
      </w:r>
      <w:r w:rsidR="00B34C4F">
        <w:t> </w:t>
      </w:r>
      <w:r>
        <w:t xml:space="preserve">D </w:t>
      </w:r>
      <w:r w:rsidR="00811D3C">
        <w:t xml:space="preserve">(Part 1) </w:t>
      </w:r>
      <w:r>
        <w:t xml:space="preserve">to the </w:t>
      </w:r>
      <w:r w:rsidRPr="00567B9A">
        <w:rPr>
          <w:i/>
        </w:rPr>
        <w:t>Migrant Intake into Australia</w:t>
      </w:r>
      <w:r>
        <w:t xml:space="preserve"> inquir</w:t>
      </w:r>
      <w:r w:rsidR="00703782">
        <w:t xml:space="preserve">y details the conceptual framework </w:t>
      </w:r>
      <w:r w:rsidR="007C14CC">
        <w:t xml:space="preserve">and </w:t>
      </w:r>
      <w:r w:rsidR="00B34C4F">
        <w:t xml:space="preserve">key </w:t>
      </w:r>
      <w:r w:rsidR="007C14CC">
        <w:t xml:space="preserve">results </w:t>
      </w:r>
      <w:r w:rsidR="00703782">
        <w:t>of a model used to derive net present value</w:t>
      </w:r>
      <w:r w:rsidR="00B34C4F">
        <w:t xml:space="preserve"> (</w:t>
      </w:r>
      <w:proofErr w:type="spellStart"/>
      <w:r w:rsidR="00B34C4F">
        <w:t>NPV</w:t>
      </w:r>
      <w:proofErr w:type="spellEnd"/>
      <w:r w:rsidR="00B34C4F">
        <w:t>)</w:t>
      </w:r>
      <w:r w:rsidR="00703782">
        <w:t xml:space="preserve"> estimates of immigrants’ lifetime </w:t>
      </w:r>
      <w:r w:rsidR="00DF4993">
        <w:t xml:space="preserve">net </w:t>
      </w:r>
      <w:r w:rsidR="00703782">
        <w:t xml:space="preserve">fiscal impacts </w:t>
      </w:r>
      <w:r w:rsidR="00B34C4F">
        <w:t>(</w:t>
      </w:r>
      <w:r w:rsidR="00703782">
        <w:t xml:space="preserve">included in </w:t>
      </w:r>
      <w:r>
        <w:t>chapter </w:t>
      </w:r>
      <w:r w:rsidRPr="00567B9A">
        <w:t>9 of the inquiry report</w:t>
      </w:r>
      <w:r w:rsidR="00B34C4F">
        <w:t>)</w:t>
      </w:r>
      <w:r w:rsidR="00703782">
        <w:t xml:space="preserve">. </w:t>
      </w:r>
      <w:r w:rsidR="00803421">
        <w:t xml:space="preserve">These outputs meet a core objective of the model, namely to estimate what the </w:t>
      </w:r>
      <w:r w:rsidR="00803421">
        <w:rPr>
          <w:i/>
        </w:rPr>
        <w:t>per </w:t>
      </w:r>
      <w:r w:rsidR="00803421" w:rsidRPr="00E50D8F">
        <w:rPr>
          <w:i/>
        </w:rPr>
        <w:t>person</w:t>
      </w:r>
      <w:r w:rsidR="00803421">
        <w:t xml:space="preserve"> net fiscal impacts of immigrants by visa category are, on average, based on assumptions about immigrants’ characteristics. </w:t>
      </w:r>
    </w:p>
    <w:p w:rsidR="0028194A" w:rsidRDefault="00803421" w:rsidP="00EB2C1B">
      <w:pPr>
        <w:pStyle w:val="BodyText"/>
      </w:pPr>
      <w:r>
        <w:t xml:space="preserve">Technical Supplement D (Part 2) </w:t>
      </w:r>
      <w:r w:rsidR="00593F0C">
        <w:t>presents the mathematics underlying the model as well as some illustrative model outputs based on the assumptions outlined in</w:t>
      </w:r>
      <w:r>
        <w:t xml:space="preserve"> the inquiry report (PC </w:t>
      </w:r>
      <w:proofErr w:type="spellStart"/>
      <w:r>
        <w:t>2016a</w:t>
      </w:r>
      <w:proofErr w:type="spellEnd"/>
      <w:r>
        <w:t>)</w:t>
      </w:r>
      <w:r w:rsidR="00593F0C">
        <w:t xml:space="preserve">. </w:t>
      </w:r>
      <w:r w:rsidR="00CD43F9">
        <w:t xml:space="preserve">These outputs are based on a single intake of immigrants (characterised as net overseas migration, or NOM). </w:t>
      </w:r>
    </w:p>
    <w:p w:rsidR="0028194A" w:rsidRDefault="001D58FE" w:rsidP="00EB2C1B">
      <w:pPr>
        <w:pStyle w:val="BodyText"/>
      </w:pPr>
      <w:r>
        <w:t>The fiscal model was developed to enhance the evidence base for migration policy. It has been designed specifically to highlight the differences in fiscal impacts arising from immigrants’ characteristics (such as visa category, age on arrival and labour force characteristics).</w:t>
      </w:r>
    </w:p>
    <w:p w:rsidR="001D58FE" w:rsidRDefault="001D58FE" w:rsidP="00EB2C1B">
      <w:pPr>
        <w:pStyle w:val="BodyText"/>
      </w:pPr>
      <w:r>
        <w:t xml:space="preserve">The fiscal outcome associated with immigration depends on </w:t>
      </w:r>
      <w:r w:rsidR="00DB3542">
        <w:t>im</w:t>
      </w:r>
      <w:r>
        <w:t>migrants’ entitlements to social welfare and other services (such as Medicare) as well as the taxes paid by migrants as they work and consume. It also depends on the underlying structural fiscal balance which reflects the general eligibility rules for access to transfer payments and the nature of the taxation regime. These polic</w:t>
      </w:r>
      <w:r w:rsidR="00F41159">
        <w:t>i</w:t>
      </w:r>
      <w:r>
        <w:t xml:space="preserve">es </w:t>
      </w:r>
      <w:r w:rsidR="00DB3542">
        <w:t>were</w:t>
      </w:r>
      <w:r>
        <w:t xml:space="preserve"> taken as given for the modelling exercise.</w:t>
      </w:r>
    </w:p>
    <w:p w:rsidR="00E64627" w:rsidRDefault="00E64627" w:rsidP="00EB2C1B">
      <w:pPr>
        <w:pStyle w:val="BodyText"/>
      </w:pPr>
      <w:r>
        <w:t>Fiscal outcomes are not the only driver of immigration policy. There are broader economic, social and environmental considerations that should shape immigration policy. However, it is important to recognise that any additional fiscal outlays associated with immigration require either raising additional taxes or forgoing government expenditure in other areas.</w:t>
      </w:r>
    </w:p>
    <w:p w:rsidR="000740E9" w:rsidRDefault="000740E9" w:rsidP="00EB2C1B">
      <w:pPr>
        <w:pStyle w:val="BodyText"/>
      </w:pPr>
      <w:r>
        <w:t>For a detailed overview of the model’s data sources, conceptual framework</w:t>
      </w:r>
      <w:r w:rsidR="00DB3542">
        <w:t xml:space="preserve">, </w:t>
      </w:r>
      <w:r>
        <w:t>assumptions</w:t>
      </w:r>
      <w:r w:rsidR="00F909F2">
        <w:t xml:space="preserve"> and</w:t>
      </w:r>
      <w:r>
        <w:t xml:space="preserve"> limitations</w:t>
      </w:r>
      <w:r w:rsidR="00F909F2">
        <w:t>,</w:t>
      </w:r>
      <w:r>
        <w:t xml:space="preserve"> and the per person </w:t>
      </w:r>
      <w:proofErr w:type="spellStart"/>
      <w:r>
        <w:t>NPV</w:t>
      </w:r>
      <w:proofErr w:type="spellEnd"/>
      <w:r>
        <w:t xml:space="preserve"> results, please refer to sections </w:t>
      </w:r>
      <w:proofErr w:type="spellStart"/>
      <w:r w:rsidR="00F909F2">
        <w:t>D</w:t>
      </w:r>
      <w:r>
        <w:t>.3</w:t>
      </w:r>
      <w:proofErr w:type="spellEnd"/>
      <w:r>
        <w:t xml:space="preserve">, </w:t>
      </w:r>
      <w:proofErr w:type="spellStart"/>
      <w:r w:rsidR="00F909F2">
        <w:t>D</w:t>
      </w:r>
      <w:r>
        <w:t>.4</w:t>
      </w:r>
      <w:proofErr w:type="spellEnd"/>
      <w:r>
        <w:t xml:space="preserve"> and </w:t>
      </w:r>
      <w:proofErr w:type="spellStart"/>
      <w:r w:rsidR="00F909F2">
        <w:t>D</w:t>
      </w:r>
      <w:r>
        <w:t>.5</w:t>
      </w:r>
      <w:proofErr w:type="spellEnd"/>
      <w:r>
        <w:t xml:space="preserve"> of </w:t>
      </w:r>
      <w:r w:rsidR="00803421">
        <w:t>Technical Supplement D (Part 1) (</w:t>
      </w:r>
      <w:r>
        <w:t>PC </w:t>
      </w:r>
      <w:proofErr w:type="spellStart"/>
      <w:r>
        <w:t>2016</w:t>
      </w:r>
      <w:r w:rsidR="00803421">
        <w:t>b</w:t>
      </w:r>
      <w:proofErr w:type="spellEnd"/>
      <w:r>
        <w:t xml:space="preserve">). The model files are available </w:t>
      </w:r>
      <w:r w:rsidR="00803421">
        <w:t>upon</w:t>
      </w:r>
      <w:r>
        <w:t xml:space="preserve"> request and can be used to explore the implications of a different set of assumptions to those adopted by the Commission.</w:t>
      </w:r>
    </w:p>
    <w:p w:rsidR="008548F4" w:rsidRDefault="00E64627" w:rsidP="00EB2C1B">
      <w:pPr>
        <w:pStyle w:val="BodyText"/>
      </w:pPr>
      <w:r>
        <w:t>The rest of this technical supplement is</w:t>
      </w:r>
      <w:r w:rsidR="005905FD">
        <w:t xml:space="preserve"> structured as follows. Section </w:t>
      </w:r>
      <w:proofErr w:type="spellStart"/>
      <w:r w:rsidR="00803421">
        <w:t>D</w:t>
      </w:r>
      <w:r>
        <w:t>.1</w:t>
      </w:r>
      <w:proofErr w:type="spellEnd"/>
      <w:r>
        <w:t xml:space="preserve"> details the key model equations</w:t>
      </w:r>
      <w:r w:rsidR="00FC6909">
        <w:t xml:space="preserve">, </w:t>
      </w:r>
      <w:r>
        <w:t>section </w:t>
      </w:r>
      <w:proofErr w:type="spellStart"/>
      <w:r w:rsidR="00803421">
        <w:t>D</w:t>
      </w:r>
      <w:r>
        <w:t>.2</w:t>
      </w:r>
      <w:proofErr w:type="spellEnd"/>
      <w:r>
        <w:t xml:space="preserve"> </w:t>
      </w:r>
      <w:r w:rsidR="005905FD">
        <w:t>presents illustrative</w:t>
      </w:r>
      <w:r>
        <w:t xml:space="preserve"> aggregate fiscal projections</w:t>
      </w:r>
      <w:r w:rsidR="00FC6909">
        <w:t xml:space="preserve">, and </w:t>
      </w:r>
      <w:r w:rsidR="00FC6909">
        <w:lastRenderedPageBreak/>
        <w:t>section </w:t>
      </w:r>
      <w:proofErr w:type="spellStart"/>
      <w:r w:rsidR="00FC6909">
        <w:t>D.3</w:t>
      </w:r>
      <w:proofErr w:type="spellEnd"/>
      <w:r w:rsidR="00FC6909">
        <w:t xml:space="preserve"> discusses the fiscal model’s additional functionality</w:t>
      </w:r>
      <w:r>
        <w:t xml:space="preserve">. </w:t>
      </w:r>
      <w:r w:rsidR="00811D3C">
        <w:t>Data confidentiality issues are addressed in appendix A.</w:t>
      </w:r>
    </w:p>
    <w:p w:rsidR="00B00EE9" w:rsidRPr="00111781" w:rsidRDefault="00803421" w:rsidP="00111781">
      <w:pPr>
        <w:pStyle w:val="Heading2"/>
      </w:pPr>
      <w:proofErr w:type="spellStart"/>
      <w:r>
        <w:t>D.</w:t>
      </w:r>
      <w:r>
        <w:rPr>
          <w:noProof/>
        </w:rPr>
        <w:t>1</w:t>
      </w:r>
      <w:proofErr w:type="spellEnd"/>
      <w:r>
        <w:tab/>
      </w:r>
      <w:r w:rsidR="008764F1">
        <w:t>Key equations in</w:t>
      </w:r>
      <w:r w:rsidR="00473207">
        <w:t xml:space="preserve"> the model</w:t>
      </w:r>
    </w:p>
    <w:p w:rsidR="00D649F4" w:rsidRDefault="007626A0" w:rsidP="00473207">
      <w:pPr>
        <w:pStyle w:val="BodyText"/>
      </w:pPr>
      <w:r>
        <w:t>T</w:t>
      </w:r>
      <w:r w:rsidR="0073362F">
        <w:t xml:space="preserve">he model </w:t>
      </w:r>
      <w:r>
        <w:t>is divided into</w:t>
      </w:r>
      <w:r w:rsidR="00111781">
        <w:t xml:space="preserve"> </w:t>
      </w:r>
      <w:r w:rsidR="00E66FAE">
        <w:t xml:space="preserve">four modules covering </w:t>
      </w:r>
      <w:r w:rsidR="00522D25">
        <w:t xml:space="preserve">immigrant flows and </w:t>
      </w:r>
      <w:r w:rsidR="00D649F4">
        <w:t>demographics</w:t>
      </w:r>
      <w:r w:rsidR="00E66FAE">
        <w:t>,</w:t>
      </w:r>
      <w:r w:rsidR="00B5608B">
        <w:t xml:space="preserve"> </w:t>
      </w:r>
      <w:r w:rsidR="00D649F4">
        <w:t>expenditures</w:t>
      </w:r>
      <w:r w:rsidR="00E66FAE">
        <w:t>,</w:t>
      </w:r>
      <w:r w:rsidR="00B5608B">
        <w:t xml:space="preserve"> </w:t>
      </w:r>
      <w:r w:rsidR="00E66FAE">
        <w:t xml:space="preserve">the </w:t>
      </w:r>
      <w:r w:rsidR="00111781">
        <w:t xml:space="preserve">labour market and </w:t>
      </w:r>
      <w:r w:rsidR="00522D25">
        <w:t>revenues</w:t>
      </w:r>
      <w:r w:rsidR="00E66FAE">
        <w:t xml:space="preserve"> and </w:t>
      </w:r>
      <w:r w:rsidR="00111781">
        <w:t>immigrants’ net fiscal impacts</w:t>
      </w:r>
      <w:r w:rsidR="00E66FAE">
        <w:t xml:space="preserve"> (expressed in</w:t>
      </w:r>
      <w:r w:rsidR="00FC31BD">
        <w:t xml:space="preserve"> aggregate terms or in</w:t>
      </w:r>
      <w:r w:rsidR="00E66FAE">
        <w:t xml:space="preserve"> per person </w:t>
      </w:r>
      <w:proofErr w:type="spellStart"/>
      <w:r w:rsidR="00E66FAE">
        <w:t>NPVs</w:t>
      </w:r>
      <w:proofErr w:type="spellEnd"/>
      <w:r w:rsidR="00E66FAE">
        <w:t>)</w:t>
      </w:r>
      <w:r w:rsidR="00111781">
        <w:t xml:space="preserve">. </w:t>
      </w:r>
      <w:r w:rsidR="00D37B3B">
        <w:t>This section details the key sets within the model</w:t>
      </w:r>
      <w:r w:rsidR="00B5608B">
        <w:t xml:space="preserve"> (table </w:t>
      </w:r>
      <w:proofErr w:type="spellStart"/>
      <w:r w:rsidR="006C696E">
        <w:t>D.</w:t>
      </w:r>
      <w:r w:rsidR="00B5608B">
        <w:t>1</w:t>
      </w:r>
      <w:proofErr w:type="spellEnd"/>
      <w:r w:rsidR="00522D25">
        <w:t>)</w:t>
      </w:r>
      <w:r w:rsidR="00D37B3B">
        <w:t xml:space="preserve">, and the </w:t>
      </w:r>
      <w:r w:rsidR="008764F1">
        <w:t>key</w:t>
      </w:r>
      <w:r w:rsidR="00D37B3B">
        <w:t xml:space="preserve"> equations in each of the model’s four</w:t>
      </w:r>
      <w:r w:rsidR="006C696E">
        <w:t xml:space="preserve"> main</w:t>
      </w:r>
      <w:r w:rsidR="00D37B3B">
        <w:t xml:space="preserve"> modules. </w:t>
      </w:r>
    </w:p>
    <w:p w:rsidR="00DB3542" w:rsidRDefault="00DB3542" w:rsidP="00F41159">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73"/>
      </w:tblGrid>
      <w:tr w:rsidR="00DB3542" w:rsidTr="006C696E">
        <w:tc>
          <w:tcPr>
            <w:tcW w:w="8773" w:type="dxa"/>
            <w:tcBorders>
              <w:top w:val="single" w:sz="6" w:space="0" w:color="78A22F"/>
              <w:left w:val="nil"/>
              <w:bottom w:val="nil"/>
              <w:right w:val="nil"/>
            </w:tcBorders>
            <w:shd w:val="clear" w:color="auto" w:fill="auto"/>
          </w:tcPr>
          <w:p w:rsidR="00DB3542" w:rsidRPr="00784A05" w:rsidRDefault="00DB3542" w:rsidP="00DB3542">
            <w:pPr>
              <w:pStyle w:val="TableTitle"/>
            </w:pPr>
            <w:r>
              <w:rPr>
                <w:b w:val="0"/>
              </w:rPr>
              <w:t xml:space="preserve">Table </w:t>
            </w:r>
            <w:proofErr w:type="spellStart"/>
            <w:r>
              <w:rPr>
                <w:b w:val="0"/>
              </w:rPr>
              <w:t>D.</w:t>
            </w:r>
            <w:r>
              <w:rPr>
                <w:b w:val="0"/>
                <w:noProof/>
              </w:rPr>
              <w:t>1</w:t>
            </w:r>
            <w:proofErr w:type="spellEnd"/>
            <w:r>
              <w:tab/>
              <w:t>Key sets in the model and model equations</w:t>
            </w:r>
          </w:p>
        </w:tc>
      </w:tr>
      <w:tr w:rsidR="00DB3542" w:rsidTr="006C696E">
        <w:tc>
          <w:tcPr>
            <w:tcW w:w="8773" w:type="dxa"/>
            <w:tcBorders>
              <w:top w:val="nil"/>
              <w:left w:val="nil"/>
              <w:bottom w:val="nil"/>
              <w:right w:val="nil"/>
            </w:tcBorders>
            <w:shd w:val="clear" w:color="auto" w:fill="auto"/>
          </w:tcPr>
          <w:tbl>
            <w:tblPr>
              <w:tblW w:w="8489" w:type="dxa"/>
              <w:tblCellMar>
                <w:top w:w="28" w:type="dxa"/>
                <w:left w:w="0" w:type="dxa"/>
                <w:right w:w="0" w:type="dxa"/>
              </w:tblCellMar>
              <w:tblLook w:val="0000" w:firstRow="0" w:lastRow="0" w:firstColumn="0" w:lastColumn="0" w:noHBand="0" w:noVBand="0"/>
            </w:tblPr>
            <w:tblGrid>
              <w:gridCol w:w="1962"/>
              <w:gridCol w:w="1985"/>
              <w:gridCol w:w="4542"/>
            </w:tblGrid>
            <w:tr w:rsidR="00DB3542" w:rsidTr="00F41159">
              <w:tc>
                <w:tcPr>
                  <w:tcW w:w="1156" w:type="pct"/>
                  <w:tcBorders>
                    <w:top w:val="single" w:sz="6" w:space="0" w:color="BFBFBF"/>
                    <w:bottom w:val="single" w:sz="6" w:space="0" w:color="BFBFBF"/>
                  </w:tcBorders>
                  <w:shd w:val="clear" w:color="auto" w:fill="auto"/>
                  <w:tcMar>
                    <w:top w:w="28" w:type="dxa"/>
                  </w:tcMar>
                </w:tcPr>
                <w:p w:rsidR="00DB3542" w:rsidRDefault="00DB3542" w:rsidP="00F41159">
                  <w:pPr>
                    <w:pStyle w:val="TableColumnHeading"/>
                    <w:jc w:val="left"/>
                  </w:pPr>
                  <w:r>
                    <w:t>Set</w:t>
                  </w:r>
                </w:p>
              </w:tc>
              <w:tc>
                <w:tcPr>
                  <w:tcW w:w="1169" w:type="pct"/>
                  <w:tcBorders>
                    <w:top w:val="single" w:sz="6" w:space="0" w:color="BFBFBF"/>
                    <w:bottom w:val="single" w:sz="6" w:space="0" w:color="BFBFBF"/>
                  </w:tcBorders>
                  <w:shd w:val="clear" w:color="auto" w:fill="auto"/>
                  <w:tcMar>
                    <w:top w:w="28" w:type="dxa"/>
                  </w:tcMar>
                </w:tcPr>
                <w:p w:rsidR="00DB3542" w:rsidRDefault="00DB3542" w:rsidP="00F41159">
                  <w:pPr>
                    <w:pStyle w:val="TableColumnHeading"/>
                    <w:jc w:val="left"/>
                  </w:pPr>
                  <w:r>
                    <w:t xml:space="preserve">Mnemonic </w:t>
                  </w:r>
                </w:p>
              </w:tc>
              <w:tc>
                <w:tcPr>
                  <w:tcW w:w="2675" w:type="pct"/>
                  <w:tcBorders>
                    <w:top w:val="single" w:sz="6" w:space="0" w:color="BFBFBF"/>
                    <w:bottom w:val="single" w:sz="6" w:space="0" w:color="BFBFBF"/>
                  </w:tcBorders>
                </w:tcPr>
                <w:p w:rsidR="00DB3542" w:rsidRDefault="00DB3542" w:rsidP="00F41159">
                  <w:pPr>
                    <w:pStyle w:val="TableColumnHeading"/>
                    <w:jc w:val="left"/>
                  </w:pPr>
                  <w:r>
                    <w:t>Elements</w:t>
                  </w:r>
                </w:p>
              </w:tc>
            </w:tr>
            <w:tr w:rsidR="00DB3542" w:rsidTr="00F41159">
              <w:tc>
                <w:tcPr>
                  <w:tcW w:w="1156" w:type="pct"/>
                  <w:tcBorders>
                    <w:top w:val="single" w:sz="6" w:space="0" w:color="BFBFBF"/>
                  </w:tcBorders>
                </w:tcPr>
                <w:p w:rsidR="00DB3542" w:rsidRDefault="00DB3542" w:rsidP="00F41159">
                  <w:pPr>
                    <w:pStyle w:val="TableUnitsRow"/>
                    <w:jc w:val="left"/>
                  </w:pPr>
                  <w:r>
                    <w:t>Visa category</w:t>
                  </w:r>
                </w:p>
              </w:tc>
              <w:tc>
                <w:tcPr>
                  <w:tcW w:w="1169" w:type="pct"/>
                  <w:tcBorders>
                    <w:top w:val="single" w:sz="6" w:space="0" w:color="BFBFBF"/>
                  </w:tcBorders>
                </w:tcPr>
                <w:p w:rsidR="00DB3542" w:rsidRDefault="00DB3542" w:rsidP="00F41159">
                  <w:pPr>
                    <w:pStyle w:val="TableUnitsRow"/>
                    <w:jc w:val="left"/>
                  </w:pPr>
                  <w:r>
                    <w:t>v</w:t>
                  </w:r>
                </w:p>
              </w:tc>
              <w:tc>
                <w:tcPr>
                  <w:tcW w:w="2675" w:type="pct"/>
                  <w:tcBorders>
                    <w:top w:val="single" w:sz="6" w:space="0" w:color="BFBFBF"/>
                  </w:tcBorders>
                </w:tcPr>
                <w:p w:rsidR="00DB3542" w:rsidRDefault="00DB3542" w:rsidP="00F41159">
                  <w:pPr>
                    <w:pStyle w:val="TableUnitsRow"/>
                    <w:jc w:val="left"/>
                  </w:pPr>
                  <w:r>
                    <w:t>Temporary Student</w:t>
                  </w:r>
                  <w:r>
                    <w:br/>
                    <w:t>Temporary Skilled</w:t>
                  </w:r>
                  <w:r>
                    <w:br/>
                    <w:t>Temporary Visitor</w:t>
                  </w:r>
                  <w:r>
                    <w:br/>
                    <w:t>Temporary Working Holiday Maker</w:t>
                  </w:r>
                  <w:r>
                    <w:br/>
                    <w:t>New Zealand citizens (Special Category visa)</w:t>
                  </w:r>
                  <w:r>
                    <w:br/>
                    <w:t>Permanent Skill (Points Tested)</w:t>
                  </w:r>
                  <w:r>
                    <w:br/>
                  </w:r>
                  <w:r w:rsidRPr="00DF54E5">
                    <w:t>Permanent Skill (Employer Sponsored)</w:t>
                  </w:r>
                  <w:r>
                    <w:br/>
                    <w:t>Permanent Skill (Business Innovation and Investment)</w:t>
                  </w:r>
                  <w:r>
                    <w:br/>
                    <w:t>Permanent Skill (Other)</w:t>
                  </w:r>
                  <w:r>
                    <w:br/>
                    <w:t>Permanent Family (Partner)</w:t>
                  </w:r>
                  <w:r>
                    <w:br/>
                    <w:t>Permanent Family (Parent)</w:t>
                  </w:r>
                  <w:r>
                    <w:br/>
                    <w:t>Permanent Family (Dependent Child)</w:t>
                  </w:r>
                  <w:r>
                    <w:br/>
                    <w:t>Permanent Family (Contributory Parent)</w:t>
                  </w:r>
                  <w:r>
                    <w:br/>
                    <w:t>Permanent Family (Other)</w:t>
                  </w:r>
                  <w:r>
                    <w:br/>
                    <w:t>Permanent (Humanitarian)</w:t>
                  </w:r>
                  <w:r>
                    <w:br/>
                    <w:t>Permanent (Special Eligibility)</w:t>
                  </w:r>
                  <w:r>
                    <w:br/>
                    <w:t>Permanent (Other)</w:t>
                  </w:r>
                  <w:r>
                    <w:br/>
                    <w:t>Australian citizens</w:t>
                  </w:r>
                </w:p>
              </w:tc>
            </w:tr>
            <w:tr w:rsidR="00DB3542" w:rsidTr="00F41159">
              <w:tc>
                <w:tcPr>
                  <w:tcW w:w="1156" w:type="pct"/>
                </w:tcPr>
                <w:p w:rsidR="00DB3542" w:rsidRDefault="00DB3542" w:rsidP="00F41159">
                  <w:pPr>
                    <w:pStyle w:val="TableBodyText"/>
                    <w:jc w:val="left"/>
                  </w:pPr>
                  <w:r>
                    <w:t>Age</w:t>
                  </w:r>
                </w:p>
              </w:tc>
              <w:tc>
                <w:tcPr>
                  <w:tcW w:w="1169" w:type="pct"/>
                </w:tcPr>
                <w:p w:rsidR="00DB3542" w:rsidRDefault="00DB3542" w:rsidP="00F41159">
                  <w:pPr>
                    <w:pStyle w:val="TableBodyText"/>
                    <w:jc w:val="left"/>
                  </w:pPr>
                  <w:r>
                    <w:t>a</w:t>
                  </w:r>
                </w:p>
              </w:tc>
              <w:tc>
                <w:tcPr>
                  <w:tcW w:w="2675" w:type="pct"/>
                </w:tcPr>
                <w:p w:rsidR="00DB3542" w:rsidRDefault="00DB3542" w:rsidP="00F41159">
                  <w:pPr>
                    <w:pStyle w:val="TableBodyText"/>
                    <w:jc w:val="left"/>
                  </w:pPr>
                  <w:r>
                    <w:t>Single year, ages 0-95+</w:t>
                  </w:r>
                </w:p>
              </w:tc>
            </w:tr>
            <w:tr w:rsidR="00DB3542" w:rsidTr="00F41159">
              <w:tc>
                <w:tcPr>
                  <w:tcW w:w="1156" w:type="pct"/>
                </w:tcPr>
                <w:p w:rsidR="00DB3542" w:rsidRDefault="00DB3542" w:rsidP="00F41159">
                  <w:pPr>
                    <w:pStyle w:val="TableBodyText"/>
                    <w:jc w:val="left"/>
                  </w:pPr>
                  <w:r>
                    <w:t>Gender</w:t>
                  </w:r>
                </w:p>
              </w:tc>
              <w:tc>
                <w:tcPr>
                  <w:tcW w:w="1169" w:type="pct"/>
                </w:tcPr>
                <w:p w:rsidR="00DB3542" w:rsidRDefault="00DB3542" w:rsidP="00F41159">
                  <w:pPr>
                    <w:pStyle w:val="TableBodyText"/>
                    <w:jc w:val="left"/>
                  </w:pPr>
                  <w:r>
                    <w:t>g</w:t>
                  </w:r>
                </w:p>
              </w:tc>
              <w:tc>
                <w:tcPr>
                  <w:tcW w:w="2675" w:type="pct"/>
                </w:tcPr>
                <w:p w:rsidR="00DB3542" w:rsidRDefault="00DB3542" w:rsidP="00F41159">
                  <w:pPr>
                    <w:pStyle w:val="TableBodyText"/>
                    <w:jc w:val="left"/>
                  </w:pPr>
                  <w:r>
                    <w:t>Male (M)</w:t>
                  </w:r>
                  <w:r>
                    <w:br/>
                    <w:t>Female (F)</w:t>
                  </w:r>
                </w:p>
              </w:tc>
            </w:tr>
            <w:tr w:rsidR="00DB3542" w:rsidTr="00F41159">
              <w:tc>
                <w:tcPr>
                  <w:tcW w:w="1156" w:type="pct"/>
                </w:tcPr>
                <w:p w:rsidR="00DB3542" w:rsidRDefault="00DB3542" w:rsidP="00F41159">
                  <w:pPr>
                    <w:pStyle w:val="TableBodyText"/>
                    <w:jc w:val="left"/>
                  </w:pPr>
                  <w:r>
                    <w:t>Immigrant category</w:t>
                  </w:r>
                </w:p>
              </w:tc>
              <w:tc>
                <w:tcPr>
                  <w:tcW w:w="1169" w:type="pct"/>
                </w:tcPr>
                <w:p w:rsidR="00DB3542" w:rsidRDefault="00DB3542" w:rsidP="00F41159">
                  <w:pPr>
                    <w:pStyle w:val="TableBodyText"/>
                    <w:jc w:val="left"/>
                  </w:pPr>
                  <w:r>
                    <w:t>m</w:t>
                  </w:r>
                </w:p>
              </w:tc>
              <w:tc>
                <w:tcPr>
                  <w:tcW w:w="2675" w:type="pct"/>
                </w:tcPr>
                <w:p w:rsidR="00DB3542" w:rsidRDefault="00DB3542" w:rsidP="00F41159">
                  <w:pPr>
                    <w:pStyle w:val="TableBodyText"/>
                    <w:jc w:val="left"/>
                  </w:pPr>
                  <w:r>
                    <w:t>Representative intake of NOM (Rep.)</w:t>
                  </w:r>
                </w:p>
                <w:p w:rsidR="00DB3542" w:rsidRDefault="00DB3542" w:rsidP="00F41159">
                  <w:pPr>
                    <w:pStyle w:val="TableBodyText"/>
                    <w:jc w:val="left"/>
                  </w:pPr>
                  <w:r>
                    <w:t>Representative intake of NOM, Births (Rep. (Births))</w:t>
                  </w:r>
                </w:p>
              </w:tc>
            </w:tr>
            <w:tr w:rsidR="00DB3542" w:rsidTr="00F41159">
              <w:tc>
                <w:tcPr>
                  <w:tcW w:w="1156" w:type="pct"/>
                </w:tcPr>
                <w:p w:rsidR="00DB3542" w:rsidRDefault="00DB3542" w:rsidP="00F41159">
                  <w:pPr>
                    <w:pStyle w:val="TableBodyText"/>
                    <w:jc w:val="left"/>
                  </w:pPr>
                  <w:r>
                    <w:t>Revenues</w:t>
                  </w:r>
                </w:p>
              </w:tc>
              <w:tc>
                <w:tcPr>
                  <w:tcW w:w="1169" w:type="pct"/>
                </w:tcPr>
                <w:p w:rsidR="00DB3542" w:rsidRDefault="00DB3542" w:rsidP="00F41159">
                  <w:pPr>
                    <w:pStyle w:val="TableBodyText"/>
                    <w:jc w:val="left"/>
                  </w:pPr>
                  <w:r>
                    <w:t xml:space="preserve">r </w:t>
                  </w:r>
                </w:p>
              </w:tc>
              <w:tc>
                <w:tcPr>
                  <w:tcW w:w="2675" w:type="pct"/>
                </w:tcPr>
                <w:p w:rsidR="00DB3542" w:rsidRDefault="00DB3542" w:rsidP="00F41159">
                  <w:pPr>
                    <w:pStyle w:val="TableBodyText"/>
                    <w:jc w:val="left"/>
                  </w:pPr>
                  <w:r>
                    <w:t>Income tax</w:t>
                  </w:r>
                  <w:r>
                    <w:br/>
                    <w:t>Excises and levies</w:t>
                  </w:r>
                  <w:r>
                    <w:br/>
                    <w:t>Company tax</w:t>
                  </w:r>
                  <w:r>
                    <w:br/>
                    <w:t>GST</w:t>
                  </w:r>
                  <w:r>
                    <w:br/>
                    <w:t>An aggregate for other Australian Government taxes</w:t>
                  </w:r>
                  <w:r>
                    <w:br/>
                    <w:t>An aggregate for other state and territory taxes</w:t>
                  </w:r>
                </w:p>
              </w:tc>
            </w:tr>
          </w:tbl>
          <w:p w:rsidR="00DB3542" w:rsidRDefault="00DB3542" w:rsidP="00F41159">
            <w:pPr>
              <w:pStyle w:val="Box"/>
            </w:pPr>
          </w:p>
        </w:tc>
      </w:tr>
      <w:tr w:rsidR="00DB3542" w:rsidTr="006C696E">
        <w:tc>
          <w:tcPr>
            <w:tcW w:w="8773" w:type="dxa"/>
            <w:tcBorders>
              <w:top w:val="nil"/>
              <w:left w:val="nil"/>
              <w:bottom w:val="nil"/>
              <w:right w:val="nil"/>
            </w:tcBorders>
            <w:shd w:val="clear" w:color="auto" w:fill="auto"/>
          </w:tcPr>
          <w:p w:rsidR="00DB3542" w:rsidRDefault="006C696E" w:rsidP="006C696E">
            <w:pPr>
              <w:pStyle w:val="Source"/>
              <w:jc w:val="right"/>
            </w:pPr>
            <w:r>
              <w:rPr>
                <w:i/>
              </w:rPr>
              <w:t>(continued next page)</w:t>
            </w:r>
          </w:p>
        </w:tc>
      </w:tr>
      <w:tr w:rsidR="00DB3542" w:rsidTr="006C696E">
        <w:tc>
          <w:tcPr>
            <w:tcW w:w="8773" w:type="dxa"/>
            <w:tcBorders>
              <w:top w:val="nil"/>
              <w:left w:val="nil"/>
              <w:bottom w:val="single" w:sz="6" w:space="0" w:color="78A22F"/>
              <w:right w:val="nil"/>
            </w:tcBorders>
            <w:shd w:val="clear" w:color="auto" w:fill="auto"/>
          </w:tcPr>
          <w:p w:rsidR="00DB3542" w:rsidRDefault="00DB3542" w:rsidP="00F41159">
            <w:pPr>
              <w:pStyle w:val="Box"/>
              <w:spacing w:before="0" w:line="120" w:lineRule="exact"/>
            </w:pPr>
          </w:p>
        </w:tc>
      </w:tr>
      <w:tr w:rsidR="00DB3542" w:rsidRPr="000863A5" w:rsidTr="006C696E">
        <w:tc>
          <w:tcPr>
            <w:tcW w:w="8773" w:type="dxa"/>
            <w:tcBorders>
              <w:top w:val="single" w:sz="6" w:space="0" w:color="78A22F"/>
              <w:left w:val="nil"/>
              <w:bottom w:val="nil"/>
              <w:right w:val="nil"/>
            </w:tcBorders>
          </w:tcPr>
          <w:p w:rsidR="00DB3542" w:rsidRPr="00626D32" w:rsidRDefault="00DB3542" w:rsidP="00F41159">
            <w:pPr>
              <w:pStyle w:val="BoxSpaceBelow"/>
            </w:pPr>
          </w:p>
        </w:tc>
      </w:tr>
    </w:tbl>
    <w:p w:rsidR="00DB3542" w:rsidRDefault="00DB3542" w:rsidP="00473207">
      <w:pPr>
        <w:pStyle w:val="BodyText"/>
      </w:pPr>
    </w:p>
    <w:p w:rsidR="00DB3542" w:rsidRDefault="00DB3542" w:rsidP="00F41159">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73"/>
      </w:tblGrid>
      <w:tr w:rsidR="00DB3542" w:rsidTr="006C696E">
        <w:tc>
          <w:tcPr>
            <w:tcW w:w="8773" w:type="dxa"/>
            <w:tcBorders>
              <w:top w:val="single" w:sz="6" w:space="0" w:color="78A22F"/>
              <w:left w:val="nil"/>
              <w:bottom w:val="nil"/>
              <w:right w:val="nil"/>
            </w:tcBorders>
            <w:shd w:val="clear" w:color="auto" w:fill="auto"/>
          </w:tcPr>
          <w:p w:rsidR="00DB3542" w:rsidRPr="00784A05" w:rsidRDefault="00DB3542" w:rsidP="006C696E">
            <w:pPr>
              <w:pStyle w:val="TableTitle"/>
            </w:pPr>
            <w:r>
              <w:rPr>
                <w:b w:val="0"/>
              </w:rPr>
              <w:t xml:space="preserve">Table </w:t>
            </w:r>
            <w:proofErr w:type="spellStart"/>
            <w:r>
              <w:rPr>
                <w:b w:val="0"/>
              </w:rPr>
              <w:t>D</w:t>
            </w:r>
            <w:r w:rsidR="006C696E">
              <w:rPr>
                <w:b w:val="0"/>
              </w:rPr>
              <w:t>.1</w:t>
            </w:r>
            <w:proofErr w:type="spellEnd"/>
            <w:r>
              <w:tab/>
            </w:r>
            <w:r w:rsidRPr="00DB3542">
              <w:rPr>
                <w:b w:val="0"/>
                <w:sz w:val="20"/>
                <w:szCs w:val="20"/>
              </w:rPr>
              <w:t>(continued)</w:t>
            </w:r>
          </w:p>
        </w:tc>
      </w:tr>
      <w:tr w:rsidR="00DB3542" w:rsidTr="006C696E">
        <w:tc>
          <w:tcPr>
            <w:tcW w:w="8773" w:type="dxa"/>
            <w:tcBorders>
              <w:top w:val="nil"/>
              <w:left w:val="nil"/>
              <w:bottom w:val="nil"/>
              <w:right w:val="nil"/>
            </w:tcBorders>
            <w:shd w:val="clear" w:color="auto" w:fill="auto"/>
          </w:tcPr>
          <w:tbl>
            <w:tblPr>
              <w:tblW w:w="8489" w:type="dxa"/>
              <w:tblCellMar>
                <w:top w:w="28" w:type="dxa"/>
                <w:left w:w="0" w:type="dxa"/>
                <w:right w:w="0" w:type="dxa"/>
              </w:tblCellMar>
              <w:tblLook w:val="0000" w:firstRow="0" w:lastRow="0" w:firstColumn="0" w:lastColumn="0" w:noHBand="0" w:noVBand="0"/>
            </w:tblPr>
            <w:tblGrid>
              <w:gridCol w:w="1962"/>
              <w:gridCol w:w="1985"/>
              <w:gridCol w:w="4542"/>
            </w:tblGrid>
            <w:tr w:rsidR="006C696E" w:rsidTr="00F41159">
              <w:tc>
                <w:tcPr>
                  <w:tcW w:w="1156" w:type="pct"/>
                  <w:tcBorders>
                    <w:top w:val="single" w:sz="6" w:space="0" w:color="BFBFBF"/>
                    <w:bottom w:val="single" w:sz="6" w:space="0" w:color="BFBFBF"/>
                  </w:tcBorders>
                  <w:shd w:val="clear" w:color="auto" w:fill="auto"/>
                  <w:tcMar>
                    <w:top w:w="28" w:type="dxa"/>
                  </w:tcMar>
                </w:tcPr>
                <w:p w:rsidR="006C696E" w:rsidRDefault="006C696E" w:rsidP="00F41159">
                  <w:pPr>
                    <w:pStyle w:val="TableColumnHeading"/>
                    <w:jc w:val="left"/>
                  </w:pPr>
                  <w:r>
                    <w:t>Set</w:t>
                  </w:r>
                </w:p>
              </w:tc>
              <w:tc>
                <w:tcPr>
                  <w:tcW w:w="1169" w:type="pct"/>
                  <w:tcBorders>
                    <w:top w:val="single" w:sz="6" w:space="0" w:color="BFBFBF"/>
                    <w:bottom w:val="single" w:sz="6" w:space="0" w:color="BFBFBF"/>
                  </w:tcBorders>
                  <w:shd w:val="clear" w:color="auto" w:fill="auto"/>
                  <w:tcMar>
                    <w:top w:w="28" w:type="dxa"/>
                  </w:tcMar>
                </w:tcPr>
                <w:p w:rsidR="006C696E" w:rsidRDefault="006C696E" w:rsidP="00F41159">
                  <w:pPr>
                    <w:pStyle w:val="TableColumnHeading"/>
                    <w:jc w:val="left"/>
                  </w:pPr>
                  <w:r>
                    <w:t xml:space="preserve">Mnemonic </w:t>
                  </w:r>
                </w:p>
              </w:tc>
              <w:tc>
                <w:tcPr>
                  <w:tcW w:w="2675" w:type="pct"/>
                  <w:tcBorders>
                    <w:top w:val="single" w:sz="6" w:space="0" w:color="BFBFBF"/>
                    <w:bottom w:val="single" w:sz="6" w:space="0" w:color="BFBFBF"/>
                  </w:tcBorders>
                </w:tcPr>
                <w:p w:rsidR="006C696E" w:rsidRDefault="006C696E" w:rsidP="00F41159">
                  <w:pPr>
                    <w:pStyle w:val="TableColumnHeading"/>
                    <w:jc w:val="left"/>
                  </w:pPr>
                  <w:r>
                    <w:t>Elements</w:t>
                  </w:r>
                </w:p>
              </w:tc>
            </w:tr>
            <w:tr w:rsidR="006C696E" w:rsidTr="00F41159">
              <w:tc>
                <w:tcPr>
                  <w:tcW w:w="1156" w:type="pct"/>
                  <w:tcBorders>
                    <w:top w:val="single" w:sz="6" w:space="0" w:color="BFBFBF"/>
                  </w:tcBorders>
                </w:tcPr>
                <w:p w:rsidR="006C696E" w:rsidRDefault="006C696E" w:rsidP="00F41159">
                  <w:pPr>
                    <w:pStyle w:val="TableBodyText"/>
                    <w:jc w:val="left"/>
                  </w:pPr>
                  <w:r>
                    <w:t>Expenditure</w:t>
                  </w:r>
                </w:p>
              </w:tc>
              <w:tc>
                <w:tcPr>
                  <w:tcW w:w="1169" w:type="pct"/>
                  <w:tcBorders>
                    <w:top w:val="single" w:sz="6" w:space="0" w:color="BFBFBF"/>
                  </w:tcBorders>
                </w:tcPr>
                <w:p w:rsidR="006C696E" w:rsidRDefault="006C696E" w:rsidP="00F41159">
                  <w:pPr>
                    <w:pStyle w:val="TableBodyText"/>
                    <w:jc w:val="left"/>
                  </w:pPr>
                  <w:r>
                    <w:t>e</w:t>
                  </w:r>
                </w:p>
              </w:tc>
              <w:tc>
                <w:tcPr>
                  <w:tcW w:w="2675" w:type="pct"/>
                  <w:tcBorders>
                    <w:top w:val="single" w:sz="6" w:space="0" w:color="BFBFBF"/>
                  </w:tcBorders>
                </w:tcPr>
                <w:p w:rsidR="006C696E" w:rsidRDefault="006C696E" w:rsidP="00F41159">
                  <w:pPr>
                    <w:pStyle w:val="TableBodyText"/>
                    <w:jc w:val="left"/>
                  </w:pPr>
                  <w:r>
                    <w:t>Pharmaceutical Benefits Scheme (</w:t>
                  </w:r>
                  <w:proofErr w:type="spellStart"/>
                  <w:r>
                    <w:t>s85</w:t>
                  </w:r>
                  <w:proofErr w:type="spellEnd"/>
                  <w:r>
                    <w:t>)</w:t>
                  </w:r>
                  <w:r>
                    <w:br/>
                    <w:t>Medicare</w:t>
                  </w:r>
                  <w:r>
                    <w:br/>
                    <w:t>Hospitals</w:t>
                  </w:r>
                  <w:r>
                    <w:br/>
                    <w:t>Private Health Insurance rebate</w:t>
                  </w:r>
                  <w:r>
                    <w:br/>
                    <w:t>Pre-school</w:t>
                  </w:r>
                  <w:r>
                    <w:br/>
                    <w:t>Primary and secondary school</w:t>
                  </w:r>
                  <w:r>
                    <w:br/>
                    <w:t>University</w:t>
                  </w:r>
                  <w:r>
                    <w:br/>
                    <w:t>Tertiary and Further Education</w:t>
                  </w:r>
                  <w:r>
                    <w:br/>
                    <w:t>Education (not elsewhere classified)</w:t>
                  </w:r>
                  <w:r>
                    <w:br/>
                    <w:t>Aged cage</w:t>
                  </w:r>
                  <w:r>
                    <w:br/>
                    <w:t>Disability Support Pension</w:t>
                  </w:r>
                  <w:r>
                    <w:br/>
                    <w:t>Age Pension</w:t>
                  </w:r>
                  <w:r>
                    <w:br/>
                    <w:t>Family Tax Benefit (Parts A and B)</w:t>
                  </w:r>
                  <w:r>
                    <w:br/>
                    <w:t>Unemployment benefits</w:t>
                  </w:r>
                </w:p>
              </w:tc>
            </w:tr>
            <w:tr w:rsidR="006C696E" w:rsidTr="006C696E">
              <w:tc>
                <w:tcPr>
                  <w:tcW w:w="1156" w:type="pct"/>
                </w:tcPr>
                <w:p w:rsidR="006C696E" w:rsidRDefault="006C696E" w:rsidP="00F41159">
                  <w:pPr>
                    <w:pStyle w:val="TableBodyText"/>
                    <w:jc w:val="left"/>
                  </w:pPr>
                  <w:r>
                    <w:t>NOM intake</w:t>
                  </w:r>
                </w:p>
              </w:tc>
              <w:tc>
                <w:tcPr>
                  <w:tcW w:w="1169" w:type="pct"/>
                </w:tcPr>
                <w:p w:rsidR="006C696E" w:rsidRDefault="006C696E" w:rsidP="00F41159">
                  <w:pPr>
                    <w:pStyle w:val="TableBodyText"/>
                    <w:jc w:val="left"/>
                  </w:pPr>
                  <w:r>
                    <w:t>NOM</w:t>
                  </w:r>
                </w:p>
              </w:tc>
              <w:tc>
                <w:tcPr>
                  <w:tcW w:w="2675" w:type="pct"/>
                </w:tcPr>
                <w:p w:rsidR="006C696E" w:rsidRDefault="006C696E" w:rsidP="00F41159">
                  <w:pPr>
                    <w:pStyle w:val="TableBodyText"/>
                    <w:jc w:val="left"/>
                  </w:pPr>
                  <w:r>
                    <w:t>Annual intakes, time periods 1 to 100.</w:t>
                  </w:r>
                </w:p>
              </w:tc>
            </w:tr>
            <w:tr w:rsidR="006C696E" w:rsidTr="006C696E">
              <w:tc>
                <w:tcPr>
                  <w:tcW w:w="1156" w:type="pct"/>
                  <w:tcBorders>
                    <w:bottom w:val="single" w:sz="4" w:space="0" w:color="D9D9D9" w:themeColor="background1" w:themeShade="D9"/>
                  </w:tcBorders>
                </w:tcPr>
                <w:p w:rsidR="006C696E" w:rsidRDefault="006C696E" w:rsidP="00F41159">
                  <w:pPr>
                    <w:pStyle w:val="TableBodyText"/>
                    <w:jc w:val="left"/>
                  </w:pPr>
                  <w:r>
                    <w:t>Year</w:t>
                  </w:r>
                </w:p>
              </w:tc>
              <w:tc>
                <w:tcPr>
                  <w:tcW w:w="1169" w:type="pct"/>
                  <w:tcBorders>
                    <w:bottom w:val="single" w:sz="4" w:space="0" w:color="D9D9D9" w:themeColor="background1" w:themeShade="D9"/>
                  </w:tcBorders>
                </w:tcPr>
                <w:p w:rsidR="006C696E" w:rsidRDefault="006C696E" w:rsidP="00F41159">
                  <w:pPr>
                    <w:pStyle w:val="TableBodyText"/>
                    <w:jc w:val="left"/>
                  </w:pPr>
                  <w:r>
                    <w:t>t</w:t>
                  </w:r>
                </w:p>
              </w:tc>
              <w:tc>
                <w:tcPr>
                  <w:tcW w:w="2675" w:type="pct"/>
                  <w:tcBorders>
                    <w:bottom w:val="single" w:sz="4" w:space="0" w:color="D9D9D9" w:themeColor="background1" w:themeShade="D9"/>
                  </w:tcBorders>
                </w:tcPr>
                <w:p w:rsidR="006C696E" w:rsidRDefault="006C696E" w:rsidP="00F41159">
                  <w:pPr>
                    <w:pStyle w:val="TableBodyText"/>
                    <w:jc w:val="left"/>
                  </w:pPr>
                  <w:r>
                    <w:t xml:space="preserve">Financial years, time periods 1 to 100. </w:t>
                  </w:r>
                </w:p>
              </w:tc>
            </w:tr>
          </w:tbl>
          <w:p w:rsidR="00DB3542" w:rsidRDefault="00DB3542" w:rsidP="00F41159">
            <w:pPr>
              <w:pStyle w:val="Box"/>
            </w:pPr>
          </w:p>
        </w:tc>
      </w:tr>
      <w:tr w:rsidR="00DB3542" w:rsidTr="006C696E">
        <w:tc>
          <w:tcPr>
            <w:tcW w:w="8773" w:type="dxa"/>
            <w:tcBorders>
              <w:top w:val="nil"/>
              <w:left w:val="nil"/>
              <w:bottom w:val="nil"/>
              <w:right w:val="nil"/>
            </w:tcBorders>
            <w:shd w:val="clear" w:color="auto" w:fill="auto"/>
          </w:tcPr>
          <w:p w:rsidR="00DB3542" w:rsidRDefault="006C696E" w:rsidP="006C696E">
            <w:pPr>
              <w:pStyle w:val="Source"/>
            </w:pPr>
            <w:r>
              <w:rPr>
                <w:i/>
              </w:rPr>
              <w:t>Source</w:t>
            </w:r>
            <w:r w:rsidR="00DB3542" w:rsidRPr="00167F06">
              <w:t>:</w:t>
            </w:r>
            <w:r>
              <w:t xml:space="preserve"> Productivity Commission</w:t>
            </w:r>
            <w:r w:rsidR="00DB3542">
              <w:t>.</w:t>
            </w:r>
          </w:p>
        </w:tc>
      </w:tr>
      <w:tr w:rsidR="00DB3542" w:rsidTr="006C696E">
        <w:tc>
          <w:tcPr>
            <w:tcW w:w="8773" w:type="dxa"/>
            <w:tcBorders>
              <w:top w:val="nil"/>
              <w:left w:val="nil"/>
              <w:bottom w:val="single" w:sz="6" w:space="0" w:color="78A22F"/>
              <w:right w:val="nil"/>
            </w:tcBorders>
            <w:shd w:val="clear" w:color="auto" w:fill="auto"/>
          </w:tcPr>
          <w:p w:rsidR="00DB3542" w:rsidRDefault="00DB3542" w:rsidP="00F41159">
            <w:pPr>
              <w:pStyle w:val="Box"/>
              <w:spacing w:before="0" w:line="120" w:lineRule="exact"/>
            </w:pPr>
          </w:p>
        </w:tc>
      </w:tr>
      <w:tr w:rsidR="00DB3542" w:rsidRPr="000863A5" w:rsidTr="006C696E">
        <w:tc>
          <w:tcPr>
            <w:tcW w:w="8773" w:type="dxa"/>
            <w:tcBorders>
              <w:top w:val="single" w:sz="6" w:space="0" w:color="78A22F"/>
              <w:left w:val="nil"/>
              <w:bottom w:val="nil"/>
              <w:right w:val="nil"/>
            </w:tcBorders>
          </w:tcPr>
          <w:p w:rsidR="00DB3542" w:rsidRPr="00626D32" w:rsidRDefault="00DB3542" w:rsidP="00F41159">
            <w:pPr>
              <w:pStyle w:val="BoxSpaceBelow"/>
            </w:pPr>
          </w:p>
        </w:tc>
      </w:tr>
    </w:tbl>
    <w:p w:rsidR="00E65FF6" w:rsidRDefault="00F31996" w:rsidP="00F31996">
      <w:pPr>
        <w:pStyle w:val="Heading3"/>
      </w:pPr>
      <w:r>
        <w:t>Immigrant flows and d</w:t>
      </w:r>
      <w:r w:rsidR="0002210A">
        <w:t>emographics</w:t>
      </w:r>
    </w:p>
    <w:p w:rsidR="00332E91" w:rsidRDefault="00513209" w:rsidP="00473207">
      <w:pPr>
        <w:pStyle w:val="BodyText"/>
      </w:pPr>
      <w:r>
        <w:t>The approach to modelling immigrants’ demographics is similar to the cohort</w:t>
      </w:r>
      <w:r>
        <w:noBreakHyphen/>
        <w:t xml:space="preserve">component models used </w:t>
      </w:r>
      <w:r w:rsidR="00FC357C">
        <w:t>by the A</w:t>
      </w:r>
      <w:r w:rsidR="00062942">
        <w:t xml:space="preserve">ustralian </w:t>
      </w:r>
      <w:r w:rsidR="00FC357C">
        <w:t>B</w:t>
      </w:r>
      <w:r w:rsidR="00062942">
        <w:t xml:space="preserve">ureau of </w:t>
      </w:r>
      <w:r w:rsidR="00FC357C">
        <w:t>S</w:t>
      </w:r>
      <w:r w:rsidR="00062942">
        <w:t>tatistics</w:t>
      </w:r>
      <w:r w:rsidR="00FC357C">
        <w:t xml:space="preserve"> and </w:t>
      </w:r>
      <w:r>
        <w:t xml:space="preserve">in previous </w:t>
      </w:r>
      <w:r w:rsidR="000046BA">
        <w:t xml:space="preserve">Commission </w:t>
      </w:r>
      <w:r>
        <w:t>demographic modelling exercises</w:t>
      </w:r>
      <w:r w:rsidR="00C40FBD">
        <w:t xml:space="preserve"> </w:t>
      </w:r>
      <w:r w:rsidR="000A1C03">
        <w:t>(</w:t>
      </w:r>
      <w:r w:rsidR="00E240BB">
        <w:t xml:space="preserve">ABS 2013, </w:t>
      </w:r>
      <w:r w:rsidR="00036ADD">
        <w:t>PC</w:t>
      </w:r>
      <w:r w:rsidR="008305AD">
        <w:t> </w:t>
      </w:r>
      <w:r w:rsidR="008305AD" w:rsidRPr="008305AD">
        <w:t>2005, 2013)</w:t>
      </w:r>
      <w:r w:rsidR="008305AD">
        <w:t>.</w:t>
      </w:r>
      <w:r w:rsidR="00036ADD">
        <w:t xml:space="preserve"> </w:t>
      </w:r>
      <w:r w:rsidR="006D28C2">
        <w:t xml:space="preserve">These models account for growth in an observed population through natural increase (annual flows of births and deaths) and NOM (treated as a permanent </w:t>
      </w:r>
      <w:r w:rsidR="00C51FD6">
        <w:t>addition to the population). This</w:t>
      </w:r>
      <w:r w:rsidR="006D28C2">
        <w:t xml:space="preserve"> model</w:t>
      </w:r>
      <w:r w:rsidR="00036ADD">
        <w:t xml:space="preserve"> differs to these approaches i</w:t>
      </w:r>
      <w:r w:rsidR="006D28C2">
        <w:t>n</w:t>
      </w:r>
      <w:r w:rsidR="00036ADD">
        <w:t xml:space="preserve"> that it</w:t>
      </w:r>
      <w:r w:rsidR="00E33EB1">
        <w:t>s</w:t>
      </w:r>
      <w:r w:rsidR="00332E91">
        <w:t xml:space="preserve"> demographic</w:t>
      </w:r>
      <w:r w:rsidR="00E33EB1">
        <w:t xml:space="preserve"> projections are not based on</w:t>
      </w:r>
      <w:r w:rsidR="00036ADD">
        <w:t xml:space="preserve"> an observed </w:t>
      </w:r>
      <w:r w:rsidR="00E33EB1">
        <w:t xml:space="preserve">initial </w:t>
      </w:r>
      <w:r w:rsidR="00C51FD6">
        <w:t>population</w:t>
      </w:r>
      <w:r w:rsidR="00036ADD">
        <w:t xml:space="preserve"> of immigrants</w:t>
      </w:r>
      <w:r w:rsidR="00332E91">
        <w:t>,</w:t>
      </w:r>
      <w:r w:rsidR="00036ADD">
        <w:t xml:space="preserve"> </w:t>
      </w:r>
      <w:r w:rsidR="00E33EB1">
        <w:t>or</w:t>
      </w:r>
      <w:r w:rsidR="0024036B">
        <w:t xml:space="preserve"> of</w:t>
      </w:r>
      <w:r w:rsidR="00E33EB1">
        <w:t xml:space="preserve"> </w:t>
      </w:r>
      <w:r w:rsidR="00036ADD">
        <w:t xml:space="preserve">the </w:t>
      </w:r>
      <w:r w:rsidR="00C51FD6">
        <w:t xml:space="preserve">Australian </w:t>
      </w:r>
      <w:r w:rsidR="00036ADD">
        <w:t>population.</w:t>
      </w:r>
      <w:r w:rsidR="006D28C2">
        <w:t xml:space="preserve"> </w:t>
      </w:r>
      <w:r w:rsidR="00332E91" w:rsidRPr="00332E91">
        <w:t>This is partly due to the inherent difficulty in defining what a population concept of immigrants actually constitutes, but moreover reflects an interest in estimating the fiscal impacts of policy change</w:t>
      </w:r>
      <w:r w:rsidR="00332E91">
        <w:t>s</w:t>
      </w:r>
      <w:r w:rsidR="00332E91" w:rsidRPr="00332E91">
        <w:t xml:space="preserve"> (which </w:t>
      </w:r>
      <w:r w:rsidR="00332E91">
        <w:t>are</w:t>
      </w:r>
      <w:r w:rsidR="00332E91" w:rsidRPr="00332E91">
        <w:t xml:space="preserve"> unlikely to be retrospective in nature). </w:t>
      </w:r>
    </w:p>
    <w:p w:rsidR="00D313FE" w:rsidRDefault="006D28C2" w:rsidP="00473207">
      <w:pPr>
        <w:pStyle w:val="BodyText"/>
      </w:pPr>
      <w:r>
        <w:t>T</w:t>
      </w:r>
      <w:r w:rsidR="00036ADD">
        <w:t xml:space="preserve">he model </w:t>
      </w:r>
      <w:r w:rsidR="00332E91">
        <w:t xml:space="preserve">therefore </w:t>
      </w:r>
      <w:r w:rsidR="00036ADD">
        <w:t>account</w:t>
      </w:r>
      <w:r w:rsidR="0024036B">
        <w:t>s</w:t>
      </w:r>
      <w:r w:rsidR="00036ADD">
        <w:t xml:space="preserve"> for the </w:t>
      </w:r>
      <w:r w:rsidR="00A440A7" w:rsidRPr="00A440A7">
        <w:rPr>
          <w:i/>
        </w:rPr>
        <w:t>future</w:t>
      </w:r>
      <w:r w:rsidR="00A440A7">
        <w:t xml:space="preserve"> flows</w:t>
      </w:r>
      <w:r w:rsidR="00036ADD">
        <w:t xml:space="preserve"> of </w:t>
      </w:r>
      <w:r w:rsidR="000E31BD">
        <w:t>im</w:t>
      </w:r>
      <w:r w:rsidR="00036ADD">
        <w:t>migrants in</w:t>
      </w:r>
      <w:r w:rsidR="00A440A7">
        <w:t>to</w:t>
      </w:r>
      <w:r w:rsidR="00036ADD">
        <w:t xml:space="preserve"> the country,</w:t>
      </w:r>
      <w:r w:rsidR="000E31BD">
        <w:t xml:space="preserve"> what type of immigrant they are (their visa type and personal characteristics), and the period </w:t>
      </w:r>
      <w:r>
        <w:t>over</w:t>
      </w:r>
      <w:r w:rsidR="000E31BD">
        <w:t xml:space="preserve"> which they are resident in the country.</w:t>
      </w:r>
      <w:r w:rsidR="000E31BD">
        <w:rPr>
          <w:rStyle w:val="FootnoteReference"/>
        </w:rPr>
        <w:footnoteReference w:id="1"/>
      </w:r>
      <w:r w:rsidR="00E33EB1">
        <w:t xml:space="preserve"> </w:t>
      </w:r>
      <w:r w:rsidR="000F61F2">
        <w:t xml:space="preserve">As </w:t>
      </w:r>
      <w:r w:rsidR="00E33EB1">
        <w:t xml:space="preserve">the model </w:t>
      </w:r>
      <w:r>
        <w:t xml:space="preserve">only </w:t>
      </w:r>
      <w:r w:rsidR="00E33EB1">
        <w:t xml:space="preserve">projects </w:t>
      </w:r>
      <w:r w:rsidR="00E33EB1" w:rsidRPr="00A440A7">
        <w:t>future</w:t>
      </w:r>
      <w:r w:rsidR="00E33EB1">
        <w:t xml:space="preserve"> NOM flows, the number of immigrants in the country builds from an initial value of zero in </w:t>
      </w:r>
      <w:r w:rsidR="00E33EB1" w:rsidRPr="00E33EB1">
        <w:rPr>
          <w:i/>
        </w:rPr>
        <w:t>t=0</w:t>
      </w:r>
      <w:r w:rsidR="00E33EB1">
        <w:t>.</w:t>
      </w:r>
      <w:r w:rsidR="00EF08E0">
        <w:t xml:space="preserve"> </w:t>
      </w:r>
      <w:r w:rsidR="00146242">
        <w:t>The model therefore</w:t>
      </w:r>
      <w:r w:rsidR="00513209">
        <w:t xml:space="preserve"> accounts for </w:t>
      </w:r>
      <w:r w:rsidR="00146242">
        <w:t xml:space="preserve">immigrant </w:t>
      </w:r>
      <w:r w:rsidR="00513209">
        <w:t>flows</w:t>
      </w:r>
      <w:r w:rsidR="00146242">
        <w:t xml:space="preserve"> (based on NOM)</w:t>
      </w:r>
      <w:r w:rsidR="00513209">
        <w:t xml:space="preserve"> into and out of the </w:t>
      </w:r>
      <w:r w:rsidR="00146242">
        <w:t>country based on assumptions about the size of future NOM, outward flows (based on mor</w:t>
      </w:r>
      <w:r w:rsidR="00A440A7">
        <w:t xml:space="preserve">tality and average emigration rates), and births of immigrants (based on assumed fertility rates). </w:t>
      </w:r>
      <w:r w:rsidR="00D313FE">
        <w:t xml:space="preserve">This section </w:t>
      </w:r>
      <w:r w:rsidR="000F61F2">
        <w:t>describes</w:t>
      </w:r>
      <w:r w:rsidR="00D313FE">
        <w:t xml:space="preserve"> each of these in turn.</w:t>
      </w:r>
    </w:p>
    <w:p w:rsidR="001539CB" w:rsidRDefault="001539CB" w:rsidP="001539CB">
      <w:pPr>
        <w:pStyle w:val="Heading4"/>
      </w:pPr>
      <w:r>
        <w:lastRenderedPageBreak/>
        <w:t xml:space="preserve">NOM </w:t>
      </w:r>
      <w:r w:rsidR="008764F1">
        <w:t xml:space="preserve">flows </w:t>
      </w:r>
      <w:r w:rsidR="00206D81">
        <w:t xml:space="preserve">and visa category </w:t>
      </w:r>
      <w:r>
        <w:t>projections</w:t>
      </w:r>
    </w:p>
    <w:p w:rsidR="00831970" w:rsidRDefault="001539CB" w:rsidP="001539CB">
      <w:pPr>
        <w:pStyle w:val="BodyText"/>
      </w:pPr>
      <w:r>
        <w:t xml:space="preserve">NOM projections </w:t>
      </w:r>
      <w:r w:rsidR="00A440A7">
        <w:t>are</w:t>
      </w:r>
      <w:r>
        <w:t xml:space="preserve"> specified according</w:t>
      </w:r>
      <w:r w:rsidR="008764F1">
        <w:t xml:space="preserve"> to one of two policy scenarios — either </w:t>
      </w:r>
      <w:r w:rsidR="00021A79">
        <w:t>some</w:t>
      </w:r>
      <w:r>
        <w:t xml:space="preserve"> f</w:t>
      </w:r>
      <w:r w:rsidR="00322F6E">
        <w:t>ixed level</w:t>
      </w:r>
      <w:r w:rsidR="00FC31BD">
        <w:t xml:space="preserve"> </w:t>
      </w:r>
      <w:r w:rsidR="00EF08E0">
        <w:t xml:space="preserve">(1) </w:t>
      </w:r>
      <w:r>
        <w:t>or a ratio to the overall population</w:t>
      </w:r>
      <w:r w:rsidR="00EF08E0">
        <w:t xml:space="preserve"> (2)</w:t>
      </w:r>
      <w:r>
        <w:t>.</w:t>
      </w:r>
      <w:r w:rsidR="00884881">
        <w:t xml:space="preserve"> </w:t>
      </w:r>
      <w:r w:rsidR="00716480">
        <w:t xml:space="preserve">The </w:t>
      </w:r>
      <w:r w:rsidR="00884881">
        <w:t xml:space="preserve">NOM projections account </w:t>
      </w:r>
      <w:r w:rsidR="00263F33">
        <w:t>for</w:t>
      </w:r>
      <w:r w:rsidR="00884881">
        <w:t xml:space="preserve"> any difference between </w:t>
      </w:r>
      <w:r w:rsidR="004651AC">
        <w:t xml:space="preserve">the initial </w:t>
      </w:r>
      <w:r w:rsidR="00884881">
        <w:t xml:space="preserve">observed NOM (based </w:t>
      </w:r>
      <w:r w:rsidR="00263F33">
        <w:t xml:space="preserve">on </w:t>
      </w:r>
      <w:r w:rsidR="00A440A7">
        <w:t xml:space="preserve">observed </w:t>
      </w:r>
      <w:r w:rsidR="00263F33">
        <w:t xml:space="preserve">data) and the policy target, and the duration of the assumed transition period </w:t>
      </w:r>
      <m:oMath>
        <m:r>
          <w:rPr>
            <w:rFonts w:ascii="Cambria Math" w:hAnsi="Cambria Math"/>
          </w:rPr>
          <m:t>d</m:t>
        </m:r>
      </m:oMath>
      <w:r w:rsidR="00A440A7">
        <w:t xml:space="preserve"> to that target.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4428"/>
        <w:gridCol w:w="614"/>
      </w:tblGrid>
      <w:tr w:rsidR="00A61F90" w:rsidTr="00A61F90">
        <w:tc>
          <w:tcPr>
            <w:tcW w:w="6912" w:type="dxa"/>
          </w:tcPr>
          <w:p w:rsidR="00A61F90" w:rsidRDefault="00CC0BF3" w:rsidP="0078326D">
            <w:pPr>
              <w:pStyle w:val="BodyText"/>
            </w:pPr>
            <m:oMathPara>
              <m:oMath>
                <m:sSubSup>
                  <m:sSubSupPr>
                    <m:ctrlPr>
                      <w:rPr>
                        <w:rFonts w:ascii="Cambria Math" w:hAnsi="Cambria Math"/>
                        <w:i/>
                      </w:rPr>
                    </m:ctrlPr>
                  </m:sSubSupPr>
                  <m:e>
                    <m:r>
                      <w:rPr>
                        <w:rFonts w:ascii="Cambria Math" w:hAnsi="Cambria Math"/>
                      </w:rPr>
                      <m:t>NOM</m:t>
                    </m:r>
                  </m:e>
                  <m:sub>
                    <m:r>
                      <w:rPr>
                        <w:rFonts w:ascii="Cambria Math" w:hAnsi="Cambria Math"/>
                      </w:rPr>
                      <m:t>t</m:t>
                    </m:r>
                  </m:sub>
                  <m:sup>
                    <m:r>
                      <w:rPr>
                        <w:rFonts w:ascii="Cambria Math" w:hAnsi="Cambria Math"/>
                      </w:rPr>
                      <m:t>α</m:t>
                    </m:r>
                  </m:sup>
                </m:sSubSup>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if t&lt;d</m:t>
                        </m:r>
                      </m:e>
                      <m:e>
                        <m:r>
                          <w:rPr>
                            <w:rFonts w:ascii="Cambria Math" w:hAnsi="Cambria Math"/>
                          </w:rPr>
                          <m:t>if t=d</m:t>
                        </m:r>
                      </m:e>
                      <m:e>
                        <m:r>
                          <w:rPr>
                            <w:rFonts w:ascii="Cambria Math" w:hAnsi="Cambria Math"/>
                          </w:rPr>
                          <m:t>if t&gt;d</m:t>
                        </m:r>
                      </m:e>
                    </m:eqArr>
                  </m:e>
                </m:d>
              </m:oMath>
            </m:oMathPara>
          </w:p>
        </w:tc>
        <w:tc>
          <w:tcPr>
            <w:tcW w:w="1311" w:type="dxa"/>
          </w:tcPr>
          <w:p w:rsidR="00A61F90" w:rsidRDefault="00CC0BF3" w:rsidP="00BE0CFF">
            <w:pPr>
              <w:pStyle w:val="BodyText"/>
            </w:pPr>
            <m:oMathPara>
              <m:oMath>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 xml:space="preserve">NOM </m:t>
                          </m:r>
                        </m:e>
                        <m:sub>
                          <m:r>
                            <w:rPr>
                              <w:rFonts w:ascii="Cambria Math" w:hAnsi="Cambria Math"/>
                            </w:rPr>
                            <m:t>t=1</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 xml:space="preserve">NOM </m:t>
                          </m:r>
                        </m:e>
                        <m:sub>
                          <m:r>
                            <w:rPr>
                              <w:rFonts w:ascii="Cambria Math" w:hAnsi="Cambria Math"/>
                            </w:rPr>
                            <m:t>t=1</m:t>
                          </m:r>
                        </m:sub>
                      </m:sSub>
                      <m:r>
                        <w:rPr>
                          <w:rFonts w:ascii="Cambria Math" w:hAnsi="Cambria Math"/>
                        </w:rPr>
                        <m:t>-α)</m:t>
                      </m:r>
                    </m:e>
                  </m:mr>
                  <m:mr>
                    <m:e>
                      <m:r>
                        <w:rPr>
                          <w:rFonts w:ascii="Cambria Math" w:hAnsi="Cambria Math"/>
                        </w:rPr>
                        <m:t>= α</m:t>
                      </m:r>
                    </m:e>
                  </m:mr>
                  <m:mr>
                    <m:e>
                      <m:r>
                        <w:rPr>
                          <w:rFonts w:ascii="Cambria Math" w:hAnsi="Cambria Math"/>
                        </w:rPr>
                        <m:t>=</m:t>
                      </m:r>
                      <m:sSub>
                        <m:sSubPr>
                          <m:ctrlPr>
                            <w:rPr>
                              <w:rFonts w:ascii="Cambria Math" w:hAnsi="Cambria Math"/>
                              <w:i/>
                            </w:rPr>
                          </m:ctrlPr>
                        </m:sSubPr>
                        <m:e>
                          <m:r>
                            <w:rPr>
                              <w:rFonts w:ascii="Cambria Math" w:hAnsi="Cambria Math"/>
                            </w:rPr>
                            <m:t>NOM</m:t>
                          </m:r>
                        </m:e>
                        <m:sub>
                          <m:r>
                            <w:rPr>
                              <w:rFonts w:ascii="Cambria Math" w:hAnsi="Cambria Math"/>
                            </w:rPr>
                            <m:t>t-1</m:t>
                          </m:r>
                        </m:sub>
                      </m:sSub>
                      <m:r>
                        <w:rPr>
                          <w:rFonts w:ascii="Cambria Math" w:hAnsi="Cambria Math"/>
                        </w:rPr>
                        <m:t>.(1+</m:t>
                      </m:r>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m:t>
                      </m:r>
                    </m:e>
                  </m:mr>
                </m:m>
              </m:oMath>
            </m:oMathPara>
          </w:p>
        </w:tc>
        <w:tc>
          <w:tcPr>
            <w:tcW w:w="782" w:type="dxa"/>
          </w:tcPr>
          <w:p w:rsidR="00A61F90" w:rsidRDefault="00A61F90" w:rsidP="00851FCB">
            <w:pPr>
              <w:pStyle w:val="BodyText"/>
            </w:pPr>
            <w:r>
              <w:t>(</w:t>
            </w:r>
            <w:r w:rsidR="00851FCB">
              <w:t>1</w:t>
            </w:r>
            <w:r>
              <w:t>)</w:t>
            </w:r>
          </w:p>
        </w:tc>
      </w:tr>
      <w:tr w:rsidR="00A61F90" w:rsidTr="00A61F90">
        <w:tc>
          <w:tcPr>
            <w:tcW w:w="6912" w:type="dxa"/>
          </w:tcPr>
          <w:p w:rsidR="00A61F90" w:rsidRDefault="00CC0BF3" w:rsidP="00E403EE">
            <w:pPr>
              <w:pStyle w:val="BodyText"/>
            </w:pPr>
            <m:oMathPara>
              <m:oMath>
                <m:sSubSup>
                  <m:sSubSupPr>
                    <m:ctrlPr>
                      <w:rPr>
                        <w:rFonts w:ascii="Cambria Math" w:hAnsi="Cambria Math"/>
                        <w:i/>
                      </w:rPr>
                    </m:ctrlPr>
                  </m:sSubSupPr>
                  <m:e>
                    <m:r>
                      <w:rPr>
                        <w:rFonts w:ascii="Cambria Math" w:hAnsi="Cambria Math"/>
                      </w:rPr>
                      <m:t>NOM</m:t>
                    </m:r>
                  </m:e>
                  <m:sub>
                    <m:r>
                      <w:rPr>
                        <w:rFonts w:ascii="Cambria Math" w:hAnsi="Cambria Math"/>
                      </w:rPr>
                      <m:t>t</m:t>
                    </m:r>
                  </m:sub>
                  <m:sup>
                    <m:r>
                      <w:rPr>
                        <w:rFonts w:ascii="Cambria Math" w:hAnsi="Cambria Math"/>
                      </w:rPr>
                      <m:t>β</m:t>
                    </m:r>
                  </m:sup>
                </m:sSubSup>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if t&lt;d</m:t>
                        </m:r>
                      </m:e>
                      <m:e>
                        <m:r>
                          <w:rPr>
                            <w:rFonts w:ascii="Cambria Math" w:hAnsi="Cambria Math"/>
                          </w:rPr>
                          <m:t>if t=d</m:t>
                        </m:r>
                      </m:e>
                      <m:e>
                        <m:r>
                          <w:rPr>
                            <w:rFonts w:ascii="Cambria Math" w:hAnsi="Cambria Math"/>
                          </w:rPr>
                          <m:t>if t&gt;d</m:t>
                        </m:r>
                      </m:e>
                    </m:eqArr>
                  </m:e>
                </m:d>
              </m:oMath>
            </m:oMathPara>
          </w:p>
        </w:tc>
        <w:tc>
          <w:tcPr>
            <w:tcW w:w="1311" w:type="dxa"/>
          </w:tcPr>
          <w:p w:rsidR="00A61F90" w:rsidRDefault="00CC0BF3" w:rsidP="00A61F90">
            <w:pPr>
              <w:pStyle w:val="BodyText"/>
            </w:pPr>
            <m:oMathPara>
              <m:oMath>
                <m:m>
                  <m:mPr>
                    <m:mcs>
                      <m:mc>
                        <m:mcPr>
                          <m:count m:val="1"/>
                          <m:mcJc m:val="center"/>
                        </m:mcPr>
                      </m:mc>
                    </m:mcs>
                    <m:ctrlPr>
                      <w:rPr>
                        <w:rFonts w:ascii="Cambria Math" w:hAnsi="Cambria Math"/>
                        <w:i/>
                      </w:rPr>
                    </m:ctrlPr>
                  </m:mPr>
                  <m:mr>
                    <m:e>
                      <m:r>
                        <w:rPr>
                          <w:rFonts w:ascii="Cambria Math" w:hAnsi="Cambria Math"/>
                        </w:rPr>
                        <m:t xml:space="preserve">= </m:t>
                      </m:r>
                      <m:sSub>
                        <m:sSubPr>
                          <m:ctrlPr>
                            <w:rPr>
                              <w:rFonts w:ascii="Cambria Math" w:hAnsi="Cambria Math"/>
                              <w:i/>
                            </w:rPr>
                          </m:ctrlPr>
                        </m:sSubPr>
                        <m:e>
                          <m:r>
                            <w:rPr>
                              <w:rFonts w:ascii="Cambria Math" w:hAnsi="Cambria Math"/>
                            </w:rPr>
                            <m:t xml:space="preserve">NOM </m:t>
                          </m:r>
                        </m:e>
                        <m:sub>
                          <m:r>
                            <w:rPr>
                              <w:rFonts w:ascii="Cambria Math" w:hAnsi="Cambria Math"/>
                            </w:rPr>
                            <m:t>t=1</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t</m:t>
                          </m:r>
                        </m:sub>
                      </m:sSub>
                      <m:d>
                        <m:dPr>
                          <m:ctrlPr>
                            <w:rPr>
                              <w:rFonts w:ascii="Cambria Math" w:hAnsi="Cambria Math"/>
                              <w:i/>
                            </w:rPr>
                          </m:ctrlPr>
                        </m:dPr>
                        <m:e>
                          <m:sSub>
                            <m:sSubPr>
                              <m:ctrlPr>
                                <w:rPr>
                                  <w:rFonts w:ascii="Cambria Math" w:hAnsi="Cambria Math"/>
                                  <w:i/>
                                </w:rPr>
                              </m:ctrlPr>
                            </m:sSubPr>
                            <m:e>
                              <m:r>
                                <w:rPr>
                                  <w:rFonts w:ascii="Cambria Math" w:hAnsi="Cambria Math"/>
                                </w:rPr>
                                <m:t xml:space="preserve">NOM </m:t>
                              </m:r>
                            </m:e>
                            <m:sub>
                              <m:r>
                                <w:rPr>
                                  <w:rFonts w:ascii="Cambria Math" w:hAnsi="Cambria Math"/>
                                </w:rPr>
                                <m:t>t=1</m:t>
                              </m:r>
                            </m:sub>
                          </m:sSub>
                          <m:r>
                            <w:rPr>
                              <w:rFonts w:ascii="Cambria Math" w:hAnsi="Cambria Math"/>
                            </w:rPr>
                            <m:t>- β.</m:t>
                          </m:r>
                          <m:sSub>
                            <m:sSubPr>
                              <m:ctrlPr>
                                <w:rPr>
                                  <w:rFonts w:ascii="Cambria Math" w:hAnsi="Cambria Math"/>
                                  <w:i/>
                                </w:rPr>
                              </m:ctrlPr>
                            </m:sSubPr>
                            <m:e>
                              <m:r>
                                <w:rPr>
                                  <w:rFonts w:ascii="Cambria Math" w:hAnsi="Cambria Math"/>
                                </w:rPr>
                                <m:t>POP</m:t>
                              </m:r>
                            </m:e>
                            <m:sub>
                              <m:r>
                                <w:rPr>
                                  <w:rFonts w:ascii="Cambria Math" w:hAnsi="Cambria Math"/>
                                </w:rPr>
                                <m:t>t=d</m:t>
                              </m:r>
                            </m:sub>
                          </m:sSub>
                        </m:e>
                      </m:d>
                    </m:e>
                  </m:mr>
                  <m:mr>
                    <m:e>
                      <m:r>
                        <w:rPr>
                          <w:rFonts w:ascii="Cambria Math" w:hAnsi="Cambria Math"/>
                        </w:rPr>
                        <m:t>= β.</m:t>
                      </m:r>
                      <m:sSub>
                        <m:sSubPr>
                          <m:ctrlPr>
                            <w:rPr>
                              <w:rFonts w:ascii="Cambria Math" w:hAnsi="Cambria Math"/>
                              <w:i/>
                            </w:rPr>
                          </m:ctrlPr>
                        </m:sSubPr>
                        <m:e>
                          <m:r>
                            <w:rPr>
                              <w:rFonts w:ascii="Cambria Math" w:hAnsi="Cambria Math"/>
                            </w:rPr>
                            <m:t>POP</m:t>
                          </m:r>
                        </m:e>
                        <m:sub>
                          <m:r>
                            <w:rPr>
                              <w:rFonts w:ascii="Cambria Math" w:hAnsi="Cambria Math"/>
                            </w:rPr>
                            <m:t>t=d</m:t>
                          </m:r>
                        </m:sub>
                      </m:sSub>
                    </m:e>
                  </m:mr>
                  <m:mr>
                    <m:e>
                      <m:r>
                        <w:rPr>
                          <w:rFonts w:ascii="Cambria Math" w:hAnsi="Cambria Math"/>
                        </w:rPr>
                        <m:t>=</m:t>
                      </m:r>
                      <m:sSub>
                        <m:sSubPr>
                          <m:ctrlPr>
                            <w:rPr>
                              <w:rFonts w:ascii="Cambria Math" w:hAnsi="Cambria Math"/>
                              <w:i/>
                            </w:rPr>
                          </m:ctrlPr>
                        </m:sSubPr>
                        <m:e>
                          <m:r>
                            <w:rPr>
                              <w:rFonts w:ascii="Cambria Math" w:hAnsi="Cambria Math"/>
                            </w:rPr>
                            <m:t>NOM</m:t>
                          </m:r>
                        </m:e>
                        <m:sub>
                          <m:r>
                            <w:rPr>
                              <w:rFonts w:ascii="Cambria Math" w:hAnsi="Cambria Math"/>
                            </w:rPr>
                            <m:t>t-1</m:t>
                          </m:r>
                        </m:sub>
                      </m:sSub>
                      <m:r>
                        <w:rPr>
                          <w:rFonts w:ascii="Cambria Math" w:hAnsi="Cambria Math"/>
                        </w:rPr>
                        <m:t>.(1+</m:t>
                      </m:r>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m:t>
                      </m:r>
                    </m:e>
                  </m:mr>
                </m:m>
              </m:oMath>
            </m:oMathPara>
          </w:p>
        </w:tc>
        <w:tc>
          <w:tcPr>
            <w:tcW w:w="782" w:type="dxa"/>
          </w:tcPr>
          <w:p w:rsidR="00A61F90" w:rsidRDefault="00A61F90" w:rsidP="00851FCB">
            <w:pPr>
              <w:pStyle w:val="BodyText"/>
            </w:pPr>
            <w:r>
              <w:t>(</w:t>
            </w:r>
            <w:r w:rsidR="00851FCB">
              <w:t>2</w:t>
            </w:r>
            <w:r>
              <w:t>)</w:t>
            </w:r>
          </w:p>
        </w:tc>
      </w:tr>
    </w:tbl>
    <w:p w:rsidR="00CB7FC1" w:rsidRDefault="00AA26F5" w:rsidP="001539CB">
      <w:pPr>
        <w:pStyle w:val="BodyText"/>
      </w:pPr>
      <w:r>
        <w:t>Where</w:t>
      </w:r>
      <w:r w:rsidR="00EF08E0">
        <w:t xml:space="preserve"> α is some fixed NOM level (for example 190,000 persons per year), β is some ratio of NOM to the population (for example 0.6 per cent),</w:t>
      </w:r>
      <w:r w:rsidR="00E05053">
        <w:t xml:space="preserv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t xml:space="preserve"> is a</w:t>
      </w:r>
      <w:r w:rsidR="00CB7FC1">
        <w:t xml:space="preserve"> user defined</w:t>
      </w:r>
      <w:r>
        <w:t xml:space="preserve"> linear convergence parameter </w:t>
      </w:r>
      <w:r w:rsidR="00CB7FC1">
        <w:t>to account for any diffe</w:t>
      </w:r>
      <w:r w:rsidR="00A440A7">
        <w:t>rence in the initial NOM value</w:t>
      </w:r>
      <w:r w:rsidR="00B911A6">
        <w:t xml:space="preserve"> and the policy target,</w:t>
      </w:r>
      <w:r w:rsidR="00021A79">
        <w:t xml:space="preserve"> and</w:t>
      </w:r>
      <w:r w:rsidR="00B911A6">
        <w:t xml:space="preserve"> </w:t>
      </w:r>
      <m:oMath>
        <m:r>
          <w:rPr>
            <w:rFonts w:ascii="Cambria Math" w:hAnsi="Cambria Math"/>
          </w:rPr>
          <m:t>θ</m:t>
        </m:r>
      </m:oMath>
      <w:r w:rsidR="00B911A6">
        <w:t xml:space="preserve"> is the aggregate NOM growth rate</w:t>
      </w:r>
      <w:r w:rsidR="00CB7FC1">
        <w:t xml:space="preserve"> </w:t>
      </w:r>
      <w:r w:rsidR="00B911A6">
        <w:t xml:space="preserve">implied by the </w:t>
      </w:r>
      <w:r w:rsidR="00021A79">
        <w:t>policy scenario being modelled</w:t>
      </w:r>
      <w:r w:rsidR="00D37B3B">
        <w:t xml:space="preserve"> (either zero if modelling α, or the population growth rate if modelling β</w:t>
      </w:r>
      <w:r w:rsidR="00EF08E0">
        <w:t>)</w:t>
      </w:r>
      <w:r w:rsidR="00884881">
        <w:t>.</w:t>
      </w:r>
      <w:r w:rsidR="00021A79">
        <w:t xml:space="preserve"> </w:t>
      </w:r>
    </w:p>
    <w:p w:rsidR="007C717E" w:rsidRPr="001539CB" w:rsidRDefault="00716480" w:rsidP="001539CB">
      <w:pPr>
        <w:pStyle w:val="BodyText"/>
      </w:pPr>
      <w:r>
        <w:t xml:space="preserve">To project NOM flows </w:t>
      </w:r>
      <w:r w:rsidR="00606F6F">
        <w:t>in</w:t>
      </w:r>
      <w:r>
        <w:t xml:space="preserve"> each visa category of the model,</w:t>
      </w:r>
      <w:r w:rsidR="00851FCB">
        <w:t xml:space="preserve"> the</w:t>
      </w:r>
      <w:r w:rsidR="0007326D">
        <w:t xml:space="preserve"> change in N</w:t>
      </w:r>
      <w:r w:rsidR="00EF08E0">
        <w:t>OM</w:t>
      </w:r>
      <w:r>
        <w:t xml:space="preserve"> </w:t>
      </w:r>
      <w:r w:rsidR="0007326D">
        <w:t>(</w:t>
      </w:r>
      <m:oMath>
        <m:sSub>
          <m:sSubPr>
            <m:ctrlPr>
              <w:rPr>
                <w:rFonts w:ascii="Cambria Math" w:hAnsi="Cambria Math"/>
                <w:i/>
              </w:rPr>
            </m:ctrlPr>
          </m:sSubPr>
          <m:e>
            <m:r>
              <w:rPr>
                <w:rFonts w:ascii="Cambria Math" w:hAnsi="Cambria Math"/>
              </w:rPr>
              <m:t>∆NOM</m:t>
            </m:r>
          </m:e>
          <m:sub>
            <m:r>
              <w:rPr>
                <w:rFonts w:ascii="Cambria Math" w:hAnsi="Cambria Math"/>
              </w:rPr>
              <m:t>t</m:t>
            </m:r>
          </m:sub>
        </m:sSub>
      </m:oMath>
      <w:r w:rsidR="0007326D">
        <w:t>,</w:t>
      </w:r>
      <w:r>
        <w:t xml:space="preserve"> from </w:t>
      </w:r>
      <w:r w:rsidR="007C717E" w:rsidRPr="007C717E">
        <w:rPr>
          <w:i/>
        </w:rPr>
        <w:t>t=1</w:t>
      </w:r>
      <w:r w:rsidR="007C717E">
        <w:t xml:space="preserve"> to </w:t>
      </w:r>
      <w:r w:rsidR="007C717E" w:rsidRPr="007C717E">
        <w:rPr>
          <w:i/>
        </w:rPr>
        <w:t>100</w:t>
      </w:r>
      <w:r w:rsidR="007C717E">
        <w:t xml:space="preserve">) from </w:t>
      </w:r>
      <w:r w:rsidR="00851FCB">
        <w:t xml:space="preserve">either </w:t>
      </w:r>
      <w:r w:rsidR="007C717E">
        <w:t>(</w:t>
      </w:r>
      <w:r w:rsidR="00851FCB">
        <w:t>1</w:t>
      </w:r>
      <w:r w:rsidR="007C717E">
        <w:t>)</w:t>
      </w:r>
      <w:r w:rsidR="00851FCB">
        <w:t xml:space="preserve"> or (2)</w:t>
      </w:r>
      <w:r w:rsidR="007C717E">
        <w:t xml:space="preserve"> is applied to the </w:t>
      </w:r>
      <w:r>
        <w:t>initial</w:t>
      </w:r>
      <w:r w:rsidR="007C717E">
        <w:t xml:space="preserve"> NOM </w:t>
      </w:r>
      <w:r>
        <w:t>value</w:t>
      </w:r>
      <w:r w:rsidR="007C717E">
        <w:t xml:space="preserve"> for each </w:t>
      </w:r>
      <w:r w:rsidR="00EF08E0">
        <w:t xml:space="preserve">visa category </w:t>
      </w:r>
      <w:r w:rsidR="007C717E">
        <w:t>in the model</w:t>
      </w:r>
      <w:r>
        <w:t>. This implies that the composition of NOM remains constant over th</w:t>
      </w:r>
      <w:r w:rsidR="00FC31BD">
        <w:t>e projection</w:t>
      </w:r>
      <w:r>
        <w:t xml:space="preserve"> period regardless of whether NOM is being modelled according to </w:t>
      </w:r>
      <w:r w:rsidR="00831970">
        <w:t>α</w:t>
      </w:r>
      <w:r>
        <w:t xml:space="preserve"> or</w:t>
      </w:r>
      <w:r w:rsidR="00831970">
        <w:t xml:space="preserve"> β</w:t>
      </w:r>
      <w:r>
        <w:t xml:space="preserve">. </w:t>
      </w:r>
      <w:r w:rsidR="00831970">
        <w:t>S</w:t>
      </w:r>
      <w:r>
        <w:t>ection 1.3 details results for a simulation where this assumption is relaxed.</w:t>
      </w:r>
    </w:p>
    <w:p w:rsidR="00D313FE" w:rsidRDefault="0024036B" w:rsidP="00D313FE">
      <w:pPr>
        <w:pStyle w:val="Heading4"/>
      </w:pPr>
      <w:r>
        <w:t>Mortality</w:t>
      </w:r>
      <w:r w:rsidR="005727D0">
        <w:t xml:space="preserve"> and emigration</w:t>
      </w:r>
      <w:r w:rsidR="008764F1">
        <w:t xml:space="preserve"> </w:t>
      </w:r>
    </w:p>
    <w:p w:rsidR="005C3C33" w:rsidRDefault="00606F6F" w:rsidP="00473207">
      <w:pPr>
        <w:pStyle w:val="BodyText"/>
      </w:pPr>
      <w:r>
        <w:t>I</w:t>
      </w:r>
      <w:r w:rsidR="007C717E">
        <w:t>nitial NOM flow</w:t>
      </w:r>
      <w:r>
        <w:t>s</w:t>
      </w:r>
      <w:r w:rsidR="00FC31BD">
        <w:t xml:space="preserve"> for each visa category</w:t>
      </w:r>
      <w:r w:rsidR="007C717E">
        <w:t xml:space="preserve"> can be represented </w:t>
      </w:r>
      <w:r w:rsidR="00FC31BD">
        <w:t>in</w:t>
      </w:r>
      <w:r w:rsidR="007C717E">
        <w:t xml:space="preserve"> a distribution by </w:t>
      </w:r>
      <w:r w:rsidR="00584801" w:rsidRPr="00EF08E0">
        <w:t xml:space="preserve">age </w:t>
      </w:r>
      <w:r w:rsidR="007C717E" w:rsidRPr="00EF08E0">
        <w:t>and g</w:t>
      </w:r>
      <w:r w:rsidR="00584801" w:rsidRPr="00EF08E0">
        <w:t>ender</w:t>
      </w:r>
      <w:r w:rsidR="007C717E">
        <w:t xml:space="preserve">, with the projected </w:t>
      </w:r>
      <w:r w:rsidR="00D313FE">
        <w:t>number of immigrants</w:t>
      </w:r>
      <w:r w:rsidR="00E54E29">
        <w:t xml:space="preserve"> in the representative intake </w:t>
      </w:r>
      <w:r w:rsidR="007C717E">
        <w:t>given by (</w:t>
      </w:r>
      <w:r w:rsidR="00851FCB">
        <w:t>3</w:t>
      </w:r>
      <w:r w:rsidR="00FC31BD">
        <w:t>).</w:t>
      </w:r>
      <w:r w:rsidR="00697A60">
        <w:rPr>
          <w:rStyle w:val="FootnoteReference"/>
        </w:rPr>
        <w:footnoteReference w:id="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5C3C33" w:rsidTr="005C3C33">
        <w:tc>
          <w:tcPr>
            <w:tcW w:w="8046" w:type="dxa"/>
          </w:tcPr>
          <w:p w:rsidR="005C3C33" w:rsidRDefault="00CC0BF3" w:rsidP="00BE0CFF">
            <w:pPr>
              <w:pStyle w:val="BodyText"/>
            </w:pPr>
            <m:oMathPara>
              <m:oMath>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v,a-1,g,t-1</m:t>
                    </m:r>
                  </m:sub>
                  <m:sup>
                    <m:r>
                      <w:rPr>
                        <w:rFonts w:ascii="Cambria Math" w:hAnsi="Cambria Math"/>
                      </w:rPr>
                      <m:t>Rep.</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1-ε</m:t>
                        </m:r>
                      </m:e>
                      <m:sub>
                        <m:r>
                          <w:rPr>
                            <w:rFonts w:ascii="Cambria Math" w:hAnsi="Cambria Math"/>
                          </w:rPr>
                          <m:t>v,t</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Q</m:t>
                        </m:r>
                      </m:e>
                      <m:sub>
                        <m:r>
                          <w:rPr>
                            <w:rFonts w:ascii="Cambria Math" w:hAnsi="Cambria Math"/>
                          </w:rPr>
                          <m:t>a,g,t</m:t>
                        </m:r>
                      </m:sub>
                    </m:sSub>
                  </m:e>
                </m:d>
                <m:r>
                  <w:rPr>
                    <w:rFonts w:ascii="Cambria Math" w:hAnsi="Cambria Math"/>
                  </w:rPr>
                  <m:t xml:space="preserve"> </m:t>
                </m:r>
              </m:oMath>
            </m:oMathPara>
          </w:p>
        </w:tc>
        <w:tc>
          <w:tcPr>
            <w:tcW w:w="959" w:type="dxa"/>
          </w:tcPr>
          <w:p w:rsidR="005C3C33" w:rsidRDefault="005C3C33" w:rsidP="00851FCB">
            <w:pPr>
              <w:pStyle w:val="BodyText"/>
            </w:pPr>
            <w:r>
              <w:t>(</w:t>
            </w:r>
            <w:r w:rsidR="00851FCB">
              <w:t>3</w:t>
            </w:r>
            <w:r>
              <w:t>)</w:t>
            </w:r>
          </w:p>
        </w:tc>
      </w:tr>
    </w:tbl>
    <w:p w:rsidR="00522D25" w:rsidRDefault="00D42A72" w:rsidP="00522D25">
      <w:pPr>
        <w:pStyle w:val="BodyText"/>
      </w:pPr>
      <w:r>
        <w:t>Where</w:t>
      </w:r>
      <w:r w:rsidR="006D34F6">
        <w:t xml:space="preserve"> </w:t>
      </w:r>
      <m:oMath>
        <m:sSub>
          <m:sSubPr>
            <m:ctrlPr>
              <w:rPr>
                <w:rFonts w:ascii="Cambria Math" w:hAnsi="Cambria Math"/>
                <w:i/>
              </w:rPr>
            </m:ctrlPr>
          </m:sSubPr>
          <m:e>
            <m:r>
              <w:rPr>
                <w:rFonts w:ascii="Cambria Math" w:hAnsi="Cambria Math"/>
              </w:rPr>
              <m:t>ε</m:t>
            </m:r>
          </m:e>
          <m:sub>
            <m:r>
              <w:rPr>
                <w:rFonts w:ascii="Cambria Math" w:hAnsi="Cambria Math"/>
              </w:rPr>
              <m:t>v,t</m:t>
            </m:r>
          </m:sub>
        </m:sSub>
      </m:oMath>
      <w:r w:rsidR="006D34F6">
        <w:t xml:space="preserve"> is a visa</w:t>
      </w:r>
      <w:r w:rsidR="006D34F6">
        <w:noBreakHyphen/>
        <w:t>specific rate of emigration per year, and</w:t>
      </w:r>
      <w:r>
        <w:t xml:space="preserve"> </w:t>
      </w:r>
      <m:oMath>
        <m:sSub>
          <m:sSubPr>
            <m:ctrlPr>
              <w:rPr>
                <w:rFonts w:ascii="Cambria Math" w:hAnsi="Cambria Math"/>
                <w:i/>
              </w:rPr>
            </m:ctrlPr>
          </m:sSubPr>
          <m:e>
            <m:r>
              <w:rPr>
                <w:rFonts w:ascii="Cambria Math" w:hAnsi="Cambria Math"/>
              </w:rPr>
              <m:t>Q</m:t>
            </m:r>
          </m:e>
          <m:sub>
            <m:r>
              <w:rPr>
                <w:rFonts w:ascii="Cambria Math" w:hAnsi="Cambria Math"/>
              </w:rPr>
              <m:t>a,g,t</m:t>
            </m:r>
          </m:sub>
        </m:sSub>
      </m:oMath>
      <w:r>
        <w:t xml:space="preserve"> are projected age</w:t>
      </w:r>
      <w:r>
        <w:noBreakHyphen/>
        <w:t xml:space="preserve"> and gender</w:t>
      </w:r>
      <w:r>
        <w:noBreakHyphen/>
        <w:t xml:space="preserve">specific probabilities that someone aged </w:t>
      </w:r>
      <w:r w:rsidRPr="00D42A72">
        <w:rPr>
          <w:i/>
        </w:rPr>
        <w:t>a</w:t>
      </w:r>
      <w:r w:rsidR="00A440A7">
        <w:rPr>
          <w:i/>
        </w:rPr>
        <w:t xml:space="preserve">, </w:t>
      </w:r>
      <w:r w:rsidR="00A440A7" w:rsidRPr="00A440A7">
        <w:t>of gender</w:t>
      </w:r>
      <w:r w:rsidR="00A440A7">
        <w:rPr>
          <w:i/>
        </w:rPr>
        <w:t xml:space="preserve"> g,</w:t>
      </w:r>
      <w:r>
        <w:t xml:space="preserve"> in year </w:t>
      </w:r>
      <w:r w:rsidRPr="00D42A72">
        <w:rPr>
          <w:i/>
        </w:rPr>
        <w:t>t</w:t>
      </w:r>
      <w:r>
        <w:t xml:space="preserve"> will die over the course of </w:t>
      </w:r>
      <w:r w:rsidR="00777219">
        <w:t>that</w:t>
      </w:r>
      <w:r>
        <w:t xml:space="preserve"> </w:t>
      </w:r>
      <w:r w:rsidR="006D34F6">
        <w:t xml:space="preserve">financial </w:t>
      </w:r>
      <w:r>
        <w:t>year</w:t>
      </w:r>
      <w:r w:rsidR="005159D7">
        <w:t xml:space="preserve">. </w:t>
      </w:r>
      <w:r w:rsidR="00FC31BD">
        <w:t xml:space="preserve">Note that </w:t>
      </w:r>
      <m:oMath>
        <m:sSub>
          <m:sSubPr>
            <m:ctrlPr>
              <w:rPr>
                <w:rFonts w:ascii="Cambria Math" w:hAnsi="Cambria Math"/>
                <w:i/>
              </w:rPr>
            </m:ctrlPr>
          </m:sSubPr>
          <m:e>
            <m:r>
              <w:rPr>
                <w:rFonts w:ascii="Cambria Math" w:hAnsi="Cambria Math"/>
              </w:rPr>
              <m:t>ε</m:t>
            </m:r>
          </m:e>
          <m:sub>
            <m:r>
              <w:rPr>
                <w:rFonts w:ascii="Cambria Math" w:hAnsi="Cambria Math"/>
              </w:rPr>
              <m:t>v,t</m:t>
            </m:r>
          </m:sub>
        </m:sSub>
      </m:oMath>
      <w:r w:rsidR="00FC31BD">
        <w:t xml:space="preserve"> is assumed to be constant over </w:t>
      </w:r>
      <w:r w:rsidR="00FC31BD" w:rsidRPr="00FC31BD">
        <w:rPr>
          <w:i/>
        </w:rPr>
        <w:t>a</w:t>
      </w:r>
      <w:r w:rsidR="00FC31BD">
        <w:t xml:space="preserve"> and </w:t>
      </w:r>
      <w:r w:rsidR="00FC31BD" w:rsidRPr="00FC31BD">
        <w:rPr>
          <w:i/>
        </w:rPr>
        <w:t>g</w:t>
      </w:r>
      <w:r w:rsidR="00FC31BD">
        <w:t xml:space="preserve">. </w:t>
      </w:r>
    </w:p>
    <w:p w:rsidR="00D313FE" w:rsidRDefault="0024036B" w:rsidP="00522D25">
      <w:pPr>
        <w:pStyle w:val="Heading4"/>
      </w:pPr>
      <w:r>
        <w:lastRenderedPageBreak/>
        <w:t>Fertility</w:t>
      </w:r>
    </w:p>
    <w:p w:rsidR="00111781" w:rsidRDefault="0024036B" w:rsidP="00473207">
      <w:pPr>
        <w:pStyle w:val="BodyText"/>
      </w:pPr>
      <w:r>
        <w:t xml:space="preserve">Having accounted for mortality and emigration, </w:t>
      </w:r>
      <w:r w:rsidR="00D649F4">
        <w:t xml:space="preserve">births are derived for </w:t>
      </w:r>
      <w:r w:rsidR="00FC31BD">
        <w:t xml:space="preserve">those </w:t>
      </w:r>
      <w:r w:rsidR="00D649F4">
        <w:t xml:space="preserve">immigrants remaining in the country. </w:t>
      </w:r>
      <w:r w:rsidR="00BE0CFF">
        <w:t>Total b</w:t>
      </w:r>
      <w:r w:rsidR="00716480">
        <w:t xml:space="preserve">irths are denoted by </w:t>
      </w:r>
      <m:oMath>
        <m:sSubSup>
          <m:sSubSupPr>
            <m:ctrlPr>
              <w:rPr>
                <w:rFonts w:ascii="Cambria Math" w:hAnsi="Cambria Math"/>
                <w:i/>
              </w:rPr>
            </m:ctrlPr>
          </m:sSubSupPr>
          <m:e>
            <m:r>
              <w:rPr>
                <w:rFonts w:ascii="Cambria Math" w:hAnsi="Cambria Math"/>
              </w:rPr>
              <m:t>M</m:t>
            </m:r>
          </m:e>
          <m:sub>
            <m:r>
              <w:rPr>
                <w:rFonts w:ascii="Cambria Math" w:hAnsi="Cambria Math"/>
              </w:rPr>
              <m:t>v,a,t</m:t>
            </m:r>
          </m:sub>
          <m:sup>
            <m:r>
              <w:rPr>
                <w:rFonts w:ascii="Cambria Math" w:hAnsi="Cambria Math"/>
              </w:rPr>
              <m:t>Rep. (Births)</m:t>
            </m:r>
          </m:sup>
        </m:sSubSup>
      </m:oMath>
      <w:r w:rsidR="00716480">
        <w:t xml:space="preserve"> and are derived according to (</w:t>
      </w:r>
      <w:r w:rsidR="00851FCB">
        <w:t>4</w:t>
      </w:r>
      <w:r w:rsidR="00716480">
        <w:t>).</w:t>
      </w:r>
      <w:r w:rsidR="00716480">
        <w:rPr>
          <w:rStyle w:val="FootnoteReference"/>
        </w:rPr>
        <w:footnoteReference w:id="3"/>
      </w:r>
      <w:r w:rsidR="00716480">
        <w:t xml:space="preserve"> </w:t>
      </w:r>
      <w:r w:rsidR="00D649F4">
        <w:t xml:space="preserve">In </w:t>
      </w:r>
      <w:r w:rsidR="00716480">
        <w:t>(</w:t>
      </w:r>
      <w:r w:rsidR="00BE0CFF">
        <w:t>4</w:t>
      </w:r>
      <w:r w:rsidR="00716480">
        <w:t>)</w:t>
      </w:r>
      <w:r w:rsidR="00D649F4">
        <w:t xml:space="preserve">, </w:t>
      </w:r>
      <w:r w:rsidR="00D649F4" w:rsidRPr="006C288F">
        <w:rPr>
          <w:i/>
        </w:rPr>
        <w:t>v</w:t>
      </w:r>
      <w:r w:rsidR="00D649F4">
        <w:t xml:space="preserve"> is a limited set of visa types, with temporary and permanent family stream </w:t>
      </w:r>
      <w:r w:rsidR="00D649F4" w:rsidRPr="00EF08E0">
        <w:rPr>
          <w:i/>
        </w:rPr>
        <w:t>parent</w:t>
      </w:r>
      <w:r w:rsidR="00D649F4">
        <w:t xml:space="preserve"> immigrants assumed not to </w:t>
      </w:r>
      <w:r w:rsidR="00706E5D">
        <w:t xml:space="preserve">give birth in Australian </w:t>
      </w:r>
      <w:r w:rsidR="003F17D6">
        <w:t xml:space="preserve">in </w:t>
      </w:r>
      <w:r w:rsidR="00706E5D">
        <w:t xml:space="preserve">view of </w:t>
      </w:r>
      <w:r w:rsidR="00AD4C07">
        <w:t>their older age profile</w:t>
      </w:r>
      <w:r w:rsidR="003F17D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5C3C33" w:rsidTr="00BE29B0">
        <w:tc>
          <w:tcPr>
            <w:tcW w:w="8046" w:type="dxa"/>
          </w:tcPr>
          <w:p w:rsidR="005C3C33" w:rsidRDefault="00CC0BF3" w:rsidP="00D42A72">
            <w:pPr>
              <w:pStyle w:val="BodyText"/>
            </w:pPr>
            <m:oMathPara>
              <m:oMath>
                <m:sSubSup>
                  <m:sSubSupPr>
                    <m:ctrlPr>
                      <w:rPr>
                        <w:rFonts w:ascii="Cambria Math" w:hAnsi="Cambria Math"/>
                        <w:i/>
                      </w:rPr>
                    </m:ctrlPr>
                  </m:sSubSupPr>
                  <m:e>
                    <m:r>
                      <w:rPr>
                        <w:rFonts w:ascii="Cambria Math" w:hAnsi="Cambria Math"/>
                      </w:rPr>
                      <m:t>M</m:t>
                    </m:r>
                  </m:e>
                  <m:sub>
                    <m:r>
                      <w:rPr>
                        <w:rFonts w:ascii="Cambria Math" w:hAnsi="Cambria Math"/>
                      </w:rPr>
                      <m:t>v,a,t</m:t>
                    </m:r>
                  </m:sub>
                  <m:sup>
                    <m:r>
                      <w:rPr>
                        <w:rFonts w:ascii="Cambria Math" w:hAnsi="Cambria Math"/>
                      </w:rPr>
                      <m:t>Rep. (Births)</m:t>
                    </m:r>
                  </m:sup>
                </m:sSubSup>
                <m:r>
                  <w:rPr>
                    <w:rFonts w:ascii="Cambria Math" w:hAnsi="Cambria Math"/>
                  </w:rPr>
                  <m:t xml:space="preserve">= </m:t>
                </m:r>
                <m:d>
                  <m:dPr>
                    <m:ctrlPr>
                      <w:rPr>
                        <w:rFonts w:ascii="Cambria Math" w:hAnsi="Cambria Math"/>
                        <w:i/>
                      </w:rPr>
                    </m:ctrlPr>
                  </m:dPr>
                  <m:e>
                    <m:nary>
                      <m:naryPr>
                        <m:chr m:val="∑"/>
                        <m:ctrlPr>
                          <w:rPr>
                            <w:rFonts w:ascii="Cambria Math" w:hAnsi="Cambria Math"/>
                            <w:i/>
                          </w:rPr>
                        </m:ctrlPr>
                      </m:naryPr>
                      <m:sub>
                        <m:r>
                          <w:rPr>
                            <w:rFonts w:ascii="Cambria Math" w:hAnsi="Cambria Math"/>
                          </w:rPr>
                          <m:t>a=15</m:t>
                        </m:r>
                      </m:sub>
                      <m:sup>
                        <m:r>
                          <w:rPr>
                            <w:rFonts w:ascii="Cambria Math" w:hAnsi="Cambria Math"/>
                          </w:rPr>
                          <m:t>49</m:t>
                        </m:r>
                      </m:sup>
                      <m:e>
                        <m:sSub>
                          <m:sSubPr>
                            <m:ctrlPr>
                              <w:rPr>
                                <w:rFonts w:ascii="Cambria Math" w:hAnsi="Cambria Math"/>
                                <w:i/>
                              </w:rPr>
                            </m:ctrlPr>
                          </m:sSubPr>
                          <m:e>
                            <m:r>
                              <w:rPr>
                                <w:rFonts w:ascii="Cambria Math" w:hAnsi="Cambria Math"/>
                              </w:rPr>
                              <m:t>M</m:t>
                            </m:r>
                          </m:e>
                          <m:sub>
                            <m:r>
                              <w:rPr>
                                <w:rFonts w:ascii="Cambria Math" w:hAnsi="Cambria Math"/>
                              </w:rPr>
                              <m:t>v,a,g=F,t</m:t>
                            </m:r>
                          </m:sub>
                        </m:sSub>
                      </m:e>
                    </m:nary>
                    <m:r>
                      <w:rPr>
                        <w:rFonts w:ascii="Cambria Math" w:hAnsi="Cambria Math"/>
                      </w:rPr>
                      <m:t xml:space="preserve"> . </m:t>
                    </m:r>
                    <m:sSub>
                      <m:sSubPr>
                        <m:ctrlPr>
                          <w:rPr>
                            <w:rFonts w:ascii="Cambria Math" w:hAnsi="Cambria Math"/>
                            <w:i/>
                          </w:rPr>
                        </m:ctrlPr>
                      </m:sSubPr>
                      <m:e>
                        <m:r>
                          <w:rPr>
                            <w:rFonts w:ascii="Cambria Math" w:hAnsi="Cambria Math"/>
                          </w:rPr>
                          <m:t>φ</m:t>
                        </m:r>
                      </m:e>
                      <m:sub>
                        <m:r>
                          <w:rPr>
                            <w:rFonts w:ascii="Cambria Math" w:hAnsi="Cambria Math"/>
                          </w:rPr>
                          <m:t>a,t</m:t>
                        </m:r>
                      </m:sub>
                    </m:sSub>
                  </m:e>
                </m:d>
                <m:r>
                  <w:rPr>
                    <w:rFonts w:ascii="Cambria Math" w:hAnsi="Cambria Math"/>
                  </w:rPr>
                  <m:t>/1000</m:t>
                </m:r>
              </m:oMath>
            </m:oMathPara>
          </w:p>
        </w:tc>
        <w:tc>
          <w:tcPr>
            <w:tcW w:w="959" w:type="dxa"/>
          </w:tcPr>
          <w:p w:rsidR="005C3C33" w:rsidRDefault="005C3C33" w:rsidP="00851FCB">
            <w:pPr>
              <w:pStyle w:val="BodyText"/>
            </w:pPr>
            <w:r>
              <w:t>(</w:t>
            </w:r>
            <w:r w:rsidR="00851FCB">
              <w:t>4</w:t>
            </w:r>
            <w:r>
              <w:t>)</w:t>
            </w:r>
          </w:p>
        </w:tc>
      </w:tr>
    </w:tbl>
    <w:p w:rsidR="00920C39" w:rsidRDefault="00CC0BF3" w:rsidP="00473207">
      <w:pPr>
        <w:pStyle w:val="BodyText"/>
      </w:pPr>
      <m:oMath>
        <m:sSub>
          <m:sSubPr>
            <m:ctrlPr>
              <w:rPr>
                <w:rFonts w:ascii="Cambria Math" w:hAnsi="Cambria Math"/>
                <w:i/>
              </w:rPr>
            </m:ctrlPr>
          </m:sSubPr>
          <m:e>
            <m:r>
              <w:rPr>
                <w:rFonts w:ascii="Cambria Math" w:hAnsi="Cambria Math"/>
              </w:rPr>
              <m:t>φ</m:t>
            </m:r>
          </m:e>
          <m:sub>
            <m:r>
              <w:rPr>
                <w:rFonts w:ascii="Cambria Math" w:hAnsi="Cambria Math"/>
              </w:rPr>
              <m:t>a,t</m:t>
            </m:r>
          </m:sub>
        </m:sSub>
      </m:oMath>
      <w:r w:rsidR="009F7906">
        <w:t xml:space="preserve"> </w:t>
      </w:r>
      <w:r w:rsidR="001F2D7D">
        <w:t xml:space="preserve">are </w:t>
      </w:r>
      <w:r w:rsidR="00AC0642">
        <w:t xml:space="preserve">the </w:t>
      </w:r>
      <w:r w:rsidR="001F2D7D">
        <w:t>projected age</w:t>
      </w:r>
      <w:r w:rsidR="00697A60">
        <w:noBreakHyphen/>
      </w:r>
      <w:r w:rsidR="001F2D7D">
        <w:t xml:space="preserve">specific fertility rates </w:t>
      </w:r>
      <w:r w:rsidR="00D42A72">
        <w:t>per thousand females</w:t>
      </w:r>
      <w:r w:rsidR="00A25D18">
        <w:t xml:space="preserve"> from ages 15 to 49</w:t>
      </w:r>
      <w:r w:rsidR="00AC0642">
        <w:t xml:space="preserve"> at any time </w:t>
      </w:r>
      <w:r w:rsidR="00AC0642" w:rsidRPr="001B01CB">
        <w:rPr>
          <w:i/>
        </w:rPr>
        <w:t>t</w:t>
      </w:r>
      <w:r w:rsidR="00D42A72">
        <w:t xml:space="preserve">. </w:t>
      </w:r>
      <w:r w:rsidR="006C288F">
        <w:t>Thes</w:t>
      </w:r>
      <w:r w:rsidR="005727D0">
        <w:t>e fertility rates are average</w:t>
      </w:r>
      <w:r w:rsidR="006C288F">
        <w:t xml:space="preserve"> fertility rates for the</w:t>
      </w:r>
      <w:r w:rsidR="00A21DA5">
        <w:t xml:space="preserve"> Australian</w:t>
      </w:r>
      <w:r w:rsidR="006C288F">
        <w:t xml:space="preserve"> population and are assumed </w:t>
      </w:r>
      <w:r w:rsidR="00D649F4">
        <w:t>not</w:t>
      </w:r>
      <w:r w:rsidR="00A21DA5">
        <w:t xml:space="preserve"> to</w:t>
      </w:r>
      <w:r w:rsidR="00D649F4">
        <w:t xml:space="preserve"> </w:t>
      </w:r>
      <w:r w:rsidR="006C288F">
        <w:t>dif</w:t>
      </w:r>
      <w:r w:rsidR="00D649F4">
        <w:t xml:space="preserve">fer between immigrant types. </w:t>
      </w:r>
      <w:r w:rsidR="00FF39D9">
        <w:t>The gender of</w:t>
      </w:r>
      <w:r w:rsidR="00AA1334">
        <w:t xml:space="preserve"> </w:t>
      </w:r>
      <w:r w:rsidR="00FF39D9">
        <w:t xml:space="preserve">immigrants’ </w:t>
      </w:r>
      <w:r w:rsidR="00AA1334">
        <w:t xml:space="preserve">births </w:t>
      </w:r>
      <w:r w:rsidR="003F17D6">
        <w:t xml:space="preserve">is </w:t>
      </w:r>
      <w:r w:rsidR="00AA1334">
        <w:t xml:space="preserve">subsequently calculated </w:t>
      </w:r>
      <w:r w:rsidR="009403F5">
        <w:t xml:space="preserve">according to </w:t>
      </w:r>
      <w:r w:rsidR="00920C39">
        <w:t>an assumed</w:t>
      </w:r>
      <w:r w:rsidR="006D34F6">
        <w:t xml:space="preserve"> </w:t>
      </w:r>
      <w:r w:rsidR="009403F5">
        <w:t>gender ratio</w:t>
      </w:r>
      <w:r w:rsidR="00920C39">
        <w:t xml:space="preserve"> of</w:t>
      </w:r>
      <w:r w:rsidR="009403F5">
        <w:t xml:space="preserve"> 0.5</w:t>
      </w:r>
      <w:r w:rsidR="00FC31BD">
        <w:t>, which</w:t>
      </w:r>
      <w:r w:rsidR="009403F5">
        <w:t xml:space="preserve"> is </w:t>
      </w:r>
      <w:r w:rsidR="00920C39">
        <w:t xml:space="preserve">treated as </w:t>
      </w:r>
      <w:r w:rsidR="009403F5">
        <w:t>invariant to time and visa category.</w:t>
      </w:r>
      <w:r w:rsidR="00920C39" w:rsidRPr="00920C39">
        <w:t xml:space="preserve"> </w:t>
      </w:r>
      <w:r w:rsidR="00AC0642">
        <w:t xml:space="preserve">Children born in Australia to an immigrant mother </w:t>
      </w:r>
      <w:r w:rsidR="00920C39">
        <w:t>are assumed not to emigrate and remain resident in the country over the</w:t>
      </w:r>
      <w:r w:rsidR="00FF39D9">
        <w:t xml:space="preserve"> 100 year</w:t>
      </w:r>
      <w:r w:rsidR="00920C39">
        <w:t xml:space="preserve"> projection period. Overall, four generations of births are modelled, and attributed to their corresponding visa category.</w:t>
      </w:r>
      <w:r w:rsidR="00920C39">
        <w:rPr>
          <w:rStyle w:val="FootnoteReference"/>
        </w:rPr>
        <w:footnoteReference w:id="4"/>
      </w:r>
    </w:p>
    <w:p w:rsidR="009403F5" w:rsidRDefault="00920C39" w:rsidP="00473207">
      <w:pPr>
        <w:pStyle w:val="BodyText"/>
      </w:pPr>
      <w:r>
        <w:t xml:space="preserve">The resultant </w:t>
      </w:r>
      <m:oMath>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 (Births)</m:t>
            </m:r>
          </m:sup>
        </m:sSubSup>
      </m:oMath>
      <w:r w:rsidR="009403F5">
        <w:t xml:space="preserve"> </w:t>
      </w:r>
      <w:r>
        <w:t xml:space="preserve">in (5) </w:t>
      </w:r>
      <w:r w:rsidR="00AD4C07">
        <w:t>represents</w:t>
      </w:r>
      <w:r w:rsidR="00833B3A">
        <w:t xml:space="preserve"> </w:t>
      </w:r>
      <w:r>
        <w:t>the sum of births</w:t>
      </w:r>
      <w:r w:rsidR="00AD4C07">
        <w:t xml:space="preserve"> for each visa category</w:t>
      </w:r>
      <w:r>
        <w:t xml:space="preserve">, </w:t>
      </w:r>
      <w:r w:rsidR="00AD4C07">
        <w:t xml:space="preserve">and </w:t>
      </w:r>
      <w:r w:rsidR="00833B3A">
        <w:t xml:space="preserve">accounts for mortality in the same fashion as the </w:t>
      </w:r>
      <w:r>
        <w:t>representative</w:t>
      </w:r>
      <w:r w:rsidR="00833B3A">
        <w:t xml:space="preserve"> intake.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AA1334" w:rsidTr="00BE29B0">
        <w:tc>
          <w:tcPr>
            <w:tcW w:w="8046" w:type="dxa"/>
          </w:tcPr>
          <w:p w:rsidR="00AA1334" w:rsidRPr="00833B3A" w:rsidRDefault="00CC0BF3" w:rsidP="00920C39">
            <w:pPr>
              <w:pStyle w:val="BodyText"/>
            </w:pPr>
            <m:oMathPara>
              <m:oMathParaPr>
                <m:jc m:val="center"/>
              </m:oMathParaPr>
              <m:oMath>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 (Births)</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v,a-1,g,t-1</m:t>
                    </m:r>
                  </m:sub>
                  <m:sup>
                    <m:r>
                      <w:rPr>
                        <w:rFonts w:ascii="Cambria Math" w:hAnsi="Cambria Math"/>
                      </w:rPr>
                      <m:t>Rep. (Births)</m:t>
                    </m:r>
                  </m:sup>
                </m:sSub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Q</m:t>
                        </m:r>
                      </m:e>
                      <m:sub>
                        <m:r>
                          <w:rPr>
                            <w:rFonts w:ascii="Cambria Math" w:hAnsi="Cambria Math"/>
                          </w:rPr>
                          <m:t>a,g,t</m:t>
                        </m:r>
                      </m:sub>
                    </m:sSub>
                  </m:e>
                </m:d>
              </m:oMath>
            </m:oMathPara>
          </w:p>
        </w:tc>
        <w:tc>
          <w:tcPr>
            <w:tcW w:w="959" w:type="dxa"/>
          </w:tcPr>
          <w:p w:rsidR="00AA1334" w:rsidRDefault="00AA1334" w:rsidP="00851FCB">
            <w:pPr>
              <w:pStyle w:val="BodyText"/>
            </w:pPr>
            <w:r>
              <w:t>(</w:t>
            </w:r>
            <w:r w:rsidR="00851FCB">
              <w:t>5</w:t>
            </w:r>
            <w:r>
              <w:t>)</w:t>
            </w:r>
            <w:r w:rsidR="00697A60">
              <w:rPr>
                <w:rStyle w:val="FootnoteReference"/>
              </w:rPr>
              <w:footnoteReference w:id="5"/>
            </w:r>
          </w:p>
        </w:tc>
      </w:tr>
    </w:tbl>
    <w:p w:rsidR="00D313FE" w:rsidRDefault="00220445" w:rsidP="00473207">
      <w:pPr>
        <w:pStyle w:val="BodyText"/>
      </w:pPr>
      <w:r>
        <w:t xml:space="preserve">In reality, some fraction of male immigrants </w:t>
      </w:r>
      <w:r w:rsidR="003F17D6">
        <w:t xml:space="preserve">is </w:t>
      </w:r>
      <w:r>
        <w:t xml:space="preserve">likely to partner and have children with </w:t>
      </w:r>
      <w:r w:rsidR="00623F59">
        <w:t xml:space="preserve">partners </w:t>
      </w:r>
      <w:r>
        <w:t>already resident in the country.</w:t>
      </w:r>
      <w:r w:rsidRPr="00220445">
        <w:t xml:space="preserve"> </w:t>
      </w:r>
      <w:r>
        <w:t xml:space="preserve">However, this is difficult to capture in a model which does not explicitly account for the </w:t>
      </w:r>
      <w:r w:rsidR="00623F59">
        <w:t xml:space="preserve">female </w:t>
      </w:r>
      <w:r>
        <w:t xml:space="preserve">resident population. One method to account for this </w:t>
      </w:r>
      <w:r w:rsidRPr="00286FC9">
        <w:t>is to attribute a ‘fe</w:t>
      </w:r>
      <w:r>
        <w:t xml:space="preserve">rtility’ rate to male immigrants </w:t>
      </w:r>
      <w:r w:rsidRPr="00286FC9">
        <w:t xml:space="preserve">at some fraction of the </w:t>
      </w:r>
      <w:r>
        <w:t xml:space="preserve">rate attributable to female immigrants (for example Deloitte Access Economics </w:t>
      </w:r>
      <w:r w:rsidRPr="00697A60">
        <w:rPr>
          <w:szCs w:val="24"/>
        </w:rPr>
        <w:t>(forthcoming)</w:t>
      </w:r>
      <w:r>
        <w:t>)</w:t>
      </w:r>
      <w:r w:rsidRPr="00286FC9">
        <w:t>.</w:t>
      </w:r>
      <w:r>
        <w:t xml:space="preserve"> </w:t>
      </w:r>
      <w:r w:rsidR="00286FC9" w:rsidRPr="00286FC9">
        <w:t xml:space="preserve">This method is not employed </w:t>
      </w:r>
      <w:r>
        <w:t>in the Commission model</w:t>
      </w:r>
      <w:r w:rsidR="00286FC9" w:rsidRPr="00286FC9">
        <w:t xml:space="preserve"> because </w:t>
      </w:r>
      <w:r>
        <w:t>it</w:t>
      </w:r>
      <w:r w:rsidR="00286FC9" w:rsidRPr="00286FC9">
        <w:t xml:space="preserve"> does not account for </w:t>
      </w:r>
      <w:r w:rsidR="00286FC9">
        <w:t xml:space="preserve">immigrants’ household structure, i.e. the </w:t>
      </w:r>
      <w:r w:rsidR="00286FC9" w:rsidRPr="00286FC9">
        <w:t>proportion of immigrants, by visa, who are single or already have children.</w:t>
      </w:r>
    </w:p>
    <w:p w:rsidR="00D313FE" w:rsidRDefault="006D34F6" w:rsidP="004651AC">
      <w:pPr>
        <w:pStyle w:val="Heading4"/>
      </w:pPr>
      <w:r>
        <w:t xml:space="preserve">Representative </w:t>
      </w:r>
      <w:r w:rsidR="00A439B6">
        <w:t>intake projections</w:t>
      </w:r>
    </w:p>
    <w:p w:rsidR="00522D25" w:rsidRDefault="00522D25" w:rsidP="00522D25">
      <w:pPr>
        <w:pStyle w:val="BodyText"/>
      </w:pPr>
      <w:r>
        <w:t xml:space="preserve">The projected </w:t>
      </w:r>
      <w:r w:rsidR="00833B3A">
        <w:t xml:space="preserve">aggregate </w:t>
      </w:r>
      <w:r>
        <w:t xml:space="preserve">representative intake </w:t>
      </w:r>
      <w:r w:rsidR="00AE70CE">
        <w:t xml:space="preserve">and births </w:t>
      </w:r>
      <w:r>
        <w:t>for each visa category is derived</w:t>
      </w:r>
      <w:r w:rsidR="00D649F4">
        <w:t xml:space="preserve"> </w:t>
      </w:r>
      <w:r w:rsidR="00833B3A">
        <w:t xml:space="preserve">by summing over age and gender </w:t>
      </w:r>
      <w:r w:rsidR="00D649F4">
        <w:t>according to (</w:t>
      </w:r>
      <w:r w:rsidR="00851FCB">
        <w:t>6</w:t>
      </w:r>
      <w:r w:rsidR="00D649F4">
        <w:t>)</w:t>
      </w:r>
      <w:r w:rsidR="00AE70CE">
        <w:t xml:space="preserve"> and (7)</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522D25" w:rsidTr="00576DA3">
        <w:tc>
          <w:tcPr>
            <w:tcW w:w="8046" w:type="dxa"/>
          </w:tcPr>
          <w:p w:rsidR="00522D25" w:rsidRDefault="00CC0BF3" w:rsidP="00777219">
            <w:pPr>
              <w:pStyle w:val="BodyText"/>
            </w:pPr>
            <m:oMathPara>
              <m:oMath>
                <m:sSubSup>
                  <m:sSubSupPr>
                    <m:ctrlPr>
                      <w:rPr>
                        <w:rFonts w:ascii="Cambria Math" w:hAnsi="Cambria Math"/>
                        <w:i/>
                      </w:rPr>
                    </m:ctrlPr>
                  </m:sSubSupPr>
                  <m:e>
                    <m:r>
                      <w:rPr>
                        <w:rFonts w:ascii="Cambria Math" w:hAnsi="Cambria Math"/>
                      </w:rPr>
                      <m:t>M</m:t>
                    </m:r>
                  </m:e>
                  <m:sub>
                    <m:r>
                      <w:rPr>
                        <w:rFonts w:ascii="Cambria Math" w:hAnsi="Cambria Math"/>
                      </w:rPr>
                      <m:t>v,t</m:t>
                    </m:r>
                  </m:sub>
                  <m:sup>
                    <m:r>
                      <w:rPr>
                        <w:rFonts w:ascii="Cambria Math" w:hAnsi="Cambria Math"/>
                      </w:rPr>
                      <m:t>Rep.</m:t>
                    </m:r>
                  </m:sup>
                </m:sSubSup>
                <m:r>
                  <w:rPr>
                    <w:rFonts w:ascii="Cambria Math" w:hAnsi="Cambria Math"/>
                  </w:rPr>
                  <m:t>=</m:t>
                </m:r>
                <m:nary>
                  <m:naryPr>
                    <m:chr m:val="∑"/>
                    <m:ctrlPr>
                      <w:rPr>
                        <w:rFonts w:ascii="Cambria Math" w:hAnsi="Cambria Math"/>
                        <w:i/>
                      </w:rPr>
                    </m:ctrlPr>
                  </m:naryPr>
                  <m:sub>
                    <m:r>
                      <w:rPr>
                        <w:rFonts w:ascii="Cambria Math" w:hAnsi="Cambria Math"/>
                      </w:rPr>
                      <m:t>g</m:t>
                    </m:r>
                  </m:sub>
                  <m:sup>
                    <m:r>
                      <w:rPr>
                        <w:rFonts w:ascii="Cambria Math" w:hAnsi="Cambria Math"/>
                      </w:rPr>
                      <m:t>M,F</m:t>
                    </m:r>
                  </m:sup>
                  <m:e>
                    <m:nary>
                      <m:naryPr>
                        <m:chr m:val="∑"/>
                        <m:ctrlPr>
                          <w:rPr>
                            <w:rFonts w:ascii="Cambria Math" w:hAnsi="Cambria Math"/>
                            <w:i/>
                          </w:rPr>
                        </m:ctrlPr>
                      </m:naryPr>
                      <m:sub>
                        <m:r>
                          <w:rPr>
                            <w:rFonts w:ascii="Cambria Math" w:hAnsi="Cambria Math"/>
                          </w:rPr>
                          <m:t>a=0</m:t>
                        </m:r>
                      </m:sub>
                      <m:sup>
                        <m:r>
                          <w:rPr>
                            <w:rFonts w:ascii="Cambria Math" w:hAnsi="Cambria Math"/>
                          </w:rPr>
                          <m:t>95+</m:t>
                        </m:r>
                      </m:sup>
                      <m:e>
                        <m:sSub>
                          <m:sSubPr>
                            <m:ctrlPr>
                              <w:rPr>
                                <w:rFonts w:ascii="Cambria Math" w:hAnsi="Cambria Math"/>
                                <w:i/>
                              </w:rPr>
                            </m:ctrlPr>
                          </m:sSubPr>
                          <m:e>
                            <m:r>
                              <w:rPr>
                                <w:rFonts w:ascii="Cambria Math" w:hAnsi="Cambria Math"/>
                              </w:rPr>
                              <m:t>M</m:t>
                            </m:r>
                          </m:e>
                          <m:sub>
                            <m:r>
                              <w:rPr>
                                <w:rFonts w:ascii="Cambria Math" w:hAnsi="Cambria Math"/>
                              </w:rPr>
                              <m:t>v,a,g,t</m:t>
                            </m:r>
                          </m:sub>
                        </m:sSub>
                      </m:e>
                    </m:nary>
                    <m:r>
                      <w:rPr>
                        <w:rFonts w:ascii="Cambria Math" w:hAnsi="Cambria Math"/>
                      </w:rPr>
                      <m:t xml:space="preserve">    ∀ v</m:t>
                    </m:r>
                  </m:e>
                </m:nary>
              </m:oMath>
            </m:oMathPara>
          </w:p>
        </w:tc>
        <w:tc>
          <w:tcPr>
            <w:tcW w:w="959" w:type="dxa"/>
          </w:tcPr>
          <w:p w:rsidR="00522D25" w:rsidRDefault="00522D25" w:rsidP="00851FCB">
            <w:pPr>
              <w:pStyle w:val="BodyText"/>
            </w:pPr>
            <w:r>
              <w:t>(</w:t>
            </w:r>
            <w:r w:rsidR="00851FCB">
              <w:t>6</w:t>
            </w:r>
            <w:r>
              <w:t>)</w:t>
            </w:r>
          </w:p>
        </w:tc>
      </w:tr>
      <w:tr w:rsidR="00AE70CE" w:rsidTr="00AE70CE">
        <w:tc>
          <w:tcPr>
            <w:tcW w:w="8046" w:type="dxa"/>
          </w:tcPr>
          <w:p w:rsidR="00AE70CE" w:rsidRDefault="00CC0BF3" w:rsidP="00FC31BD">
            <w:pPr>
              <w:pStyle w:val="BodyText"/>
            </w:pPr>
            <m:oMathPara>
              <m:oMath>
                <m:sSubSup>
                  <m:sSubSupPr>
                    <m:ctrlPr>
                      <w:rPr>
                        <w:rFonts w:ascii="Cambria Math" w:hAnsi="Cambria Math"/>
                        <w:i/>
                      </w:rPr>
                    </m:ctrlPr>
                  </m:sSubSupPr>
                  <m:e>
                    <m:r>
                      <w:rPr>
                        <w:rFonts w:ascii="Cambria Math" w:hAnsi="Cambria Math"/>
                      </w:rPr>
                      <m:t>M</m:t>
                    </m:r>
                  </m:e>
                  <m:sub>
                    <m:r>
                      <w:rPr>
                        <w:rFonts w:ascii="Cambria Math" w:hAnsi="Cambria Math"/>
                      </w:rPr>
                      <m:t>v,t</m:t>
                    </m:r>
                  </m:sub>
                  <m:sup>
                    <m:r>
                      <w:rPr>
                        <w:rFonts w:ascii="Cambria Math" w:hAnsi="Cambria Math"/>
                      </w:rPr>
                      <m:t>Rep.  (Births)</m:t>
                    </m:r>
                  </m:sup>
                </m:sSubSup>
                <m:r>
                  <w:rPr>
                    <w:rFonts w:ascii="Cambria Math" w:hAnsi="Cambria Math"/>
                  </w:rPr>
                  <m:t>=</m:t>
                </m:r>
                <m:nary>
                  <m:naryPr>
                    <m:chr m:val="∑"/>
                    <m:ctrlPr>
                      <w:rPr>
                        <w:rFonts w:ascii="Cambria Math" w:hAnsi="Cambria Math"/>
                        <w:i/>
                      </w:rPr>
                    </m:ctrlPr>
                  </m:naryPr>
                  <m:sub>
                    <m:r>
                      <w:rPr>
                        <w:rFonts w:ascii="Cambria Math" w:hAnsi="Cambria Math"/>
                      </w:rPr>
                      <m:t>g</m:t>
                    </m:r>
                  </m:sub>
                  <m:sup>
                    <m:r>
                      <w:rPr>
                        <w:rFonts w:ascii="Cambria Math" w:hAnsi="Cambria Math"/>
                      </w:rPr>
                      <m:t>M,F</m:t>
                    </m:r>
                  </m:sup>
                  <m:e>
                    <m:nary>
                      <m:naryPr>
                        <m:chr m:val="∑"/>
                        <m:ctrlPr>
                          <w:rPr>
                            <w:rFonts w:ascii="Cambria Math" w:hAnsi="Cambria Math"/>
                            <w:i/>
                          </w:rPr>
                        </m:ctrlPr>
                      </m:naryPr>
                      <m:sub>
                        <m:r>
                          <w:rPr>
                            <w:rFonts w:ascii="Cambria Math" w:hAnsi="Cambria Math"/>
                          </w:rPr>
                          <m:t>a=0</m:t>
                        </m:r>
                      </m:sub>
                      <m:sup>
                        <m:r>
                          <w:rPr>
                            <w:rFonts w:ascii="Cambria Math" w:hAnsi="Cambria Math"/>
                          </w:rPr>
                          <m:t>95+</m:t>
                        </m:r>
                      </m:sup>
                      <m:e>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 (Births)</m:t>
                            </m:r>
                          </m:sup>
                        </m:sSubSup>
                      </m:e>
                    </m:nary>
                    <m:r>
                      <w:rPr>
                        <w:rFonts w:ascii="Cambria Math" w:hAnsi="Cambria Math"/>
                      </w:rPr>
                      <m:t xml:space="preserve">    ∀ v</m:t>
                    </m:r>
                  </m:e>
                </m:nary>
              </m:oMath>
            </m:oMathPara>
          </w:p>
        </w:tc>
        <w:tc>
          <w:tcPr>
            <w:tcW w:w="959" w:type="dxa"/>
          </w:tcPr>
          <w:p w:rsidR="00AE70CE" w:rsidRDefault="00AE70CE" w:rsidP="00AE70CE">
            <w:pPr>
              <w:pStyle w:val="BodyText"/>
            </w:pPr>
            <w:r>
              <w:t>(7)</w:t>
            </w:r>
          </w:p>
        </w:tc>
      </w:tr>
    </w:tbl>
    <w:p w:rsidR="00A439B6" w:rsidRDefault="0042177B" w:rsidP="00473207">
      <w:pPr>
        <w:pStyle w:val="BodyText"/>
      </w:pPr>
      <w:r>
        <w:t xml:space="preserve">Note that </w:t>
      </w:r>
      <m:oMath>
        <m:sSubSup>
          <m:sSubSupPr>
            <m:ctrlPr>
              <w:rPr>
                <w:rFonts w:ascii="Cambria Math" w:hAnsi="Cambria Math"/>
                <w:i/>
              </w:rPr>
            </m:ctrlPr>
          </m:sSubSupPr>
          <m:e>
            <m:r>
              <w:rPr>
                <w:rFonts w:ascii="Cambria Math" w:hAnsi="Cambria Math"/>
              </w:rPr>
              <m:t>M</m:t>
            </m:r>
          </m:e>
          <m:sub>
            <m:r>
              <w:rPr>
                <w:rFonts w:ascii="Cambria Math" w:hAnsi="Cambria Math"/>
              </w:rPr>
              <m:t>v,t</m:t>
            </m:r>
          </m:sub>
          <m:sup>
            <m:r>
              <w:rPr>
                <w:rFonts w:ascii="Cambria Math" w:hAnsi="Cambria Math"/>
              </w:rPr>
              <m:t>Rep.</m:t>
            </m:r>
          </m:sup>
        </m:sSubSup>
      </m:oMath>
      <w:r w:rsidR="00AE70CE">
        <w:t xml:space="preserve"> and </w:t>
      </w:r>
      <m:oMath>
        <m:sSubSup>
          <m:sSubSupPr>
            <m:ctrlPr>
              <w:rPr>
                <w:rFonts w:ascii="Cambria Math" w:hAnsi="Cambria Math"/>
                <w:i/>
              </w:rPr>
            </m:ctrlPr>
          </m:sSubSupPr>
          <m:e>
            <m:r>
              <w:rPr>
                <w:rFonts w:ascii="Cambria Math" w:hAnsi="Cambria Math"/>
              </w:rPr>
              <m:t>M</m:t>
            </m:r>
          </m:e>
          <m:sub>
            <m:r>
              <w:rPr>
                <w:rFonts w:ascii="Cambria Math" w:hAnsi="Cambria Math"/>
              </w:rPr>
              <m:t>v,t</m:t>
            </m:r>
          </m:sub>
          <m:sup>
            <m:r>
              <w:rPr>
                <w:rFonts w:ascii="Cambria Math" w:hAnsi="Cambria Math"/>
              </w:rPr>
              <m:t>Rep.  (Births)</m:t>
            </m:r>
          </m:sup>
        </m:sSubSup>
      </m:oMath>
      <w:r w:rsidR="00AE70CE">
        <w:t xml:space="preserve"> are</w:t>
      </w:r>
      <w:r>
        <w:t xml:space="preserve"> equivalent to projection</w:t>
      </w:r>
      <w:r w:rsidR="00AE70CE">
        <w:t>s</w:t>
      </w:r>
      <w:r>
        <w:t xml:space="preserve"> from </w:t>
      </w:r>
      <w:r w:rsidRPr="0042177B">
        <w:rPr>
          <w:i/>
        </w:rPr>
        <w:t>t=1…100</w:t>
      </w:r>
      <w:r>
        <w:t xml:space="preserve"> of the number of immigrants </w:t>
      </w:r>
      <w:r w:rsidR="00AE70CE">
        <w:t xml:space="preserve">and births </w:t>
      </w:r>
      <w:r w:rsidR="00B67C31">
        <w:t xml:space="preserve">within each visa </w:t>
      </w:r>
      <w:r w:rsidR="00AE70CE">
        <w:t xml:space="preserve">category </w:t>
      </w:r>
      <w:r w:rsidR="00AE70CE">
        <w:rPr>
          <w:i/>
        </w:rPr>
        <w:t>for</w:t>
      </w:r>
      <w:r w:rsidR="00AE70CE" w:rsidRPr="00AE70CE">
        <w:rPr>
          <w:i/>
        </w:rPr>
        <w:t xml:space="preserve"> </w:t>
      </w:r>
      <m:oMath>
        <m:sSub>
          <m:sSubPr>
            <m:ctrlPr>
              <w:rPr>
                <w:rFonts w:ascii="Cambria Math" w:hAnsi="Cambria Math"/>
                <w:i/>
              </w:rPr>
            </m:ctrlPr>
          </m:sSubPr>
          <m:e>
            <m:r>
              <w:rPr>
                <w:rFonts w:ascii="Cambria Math" w:hAnsi="Cambria Math"/>
              </w:rPr>
              <m:t>NOM</m:t>
            </m:r>
          </m:e>
          <m:sub>
            <m:r>
              <w:rPr>
                <w:rFonts w:ascii="Cambria Math" w:hAnsi="Cambria Math"/>
              </w:rPr>
              <m:t>t=1</m:t>
            </m:r>
          </m:sub>
        </m:sSub>
      </m:oMath>
      <w:r w:rsidR="00AE70CE" w:rsidRPr="00AE70CE">
        <w:rPr>
          <w:i/>
        </w:rPr>
        <w:t xml:space="preserve"> only</w:t>
      </w:r>
      <w:r w:rsidR="00B67C31">
        <w:t>.</w:t>
      </w:r>
      <w:r>
        <w:t xml:space="preserve"> In </w:t>
      </w:r>
      <w:r w:rsidR="00AE70CE">
        <w:t>the model</w:t>
      </w:r>
      <w:r>
        <w:t>, there is a</w:t>
      </w:r>
      <w:r w:rsidR="00B67C31">
        <w:t>n equivalent</w:t>
      </w:r>
      <w:r w:rsidR="00AE70CE">
        <w:t xml:space="preserve"> set of projections</w:t>
      </w:r>
      <w:r>
        <w:t xml:space="preserve"> for all subsequent</w:t>
      </w:r>
      <w:r w:rsidR="00AE70CE">
        <w:t xml:space="preserve"> </w:t>
      </w:r>
      <m:oMath>
        <m:sSub>
          <m:sSubPr>
            <m:ctrlPr>
              <w:rPr>
                <w:rFonts w:ascii="Cambria Math" w:hAnsi="Cambria Math"/>
                <w:i/>
              </w:rPr>
            </m:ctrlPr>
          </m:sSubPr>
          <m:e>
            <m:r>
              <w:rPr>
                <w:rFonts w:ascii="Cambria Math" w:hAnsi="Cambria Math"/>
              </w:rPr>
              <m:t>NOM</m:t>
            </m:r>
          </m:e>
          <m:sub>
            <m:r>
              <w:rPr>
                <w:rFonts w:ascii="Cambria Math" w:hAnsi="Cambria Math"/>
              </w:rPr>
              <m:t>t=2…100</m:t>
            </m:r>
          </m:sub>
        </m:sSub>
      </m:oMath>
      <w:r>
        <w:t xml:space="preserve">. </w:t>
      </w:r>
    </w:p>
    <w:p w:rsidR="003E221C" w:rsidRDefault="003E221C" w:rsidP="00302CCB">
      <w:pPr>
        <w:pStyle w:val="Heading3"/>
      </w:pPr>
      <w:r>
        <w:t>Expenditure</w:t>
      </w:r>
    </w:p>
    <w:p w:rsidR="0082228C" w:rsidRDefault="002237A2" w:rsidP="00473207">
      <w:pPr>
        <w:pStyle w:val="BodyText"/>
      </w:pPr>
      <w:r>
        <w:t xml:space="preserve">The total costs attributable to a visa category </w:t>
      </w:r>
      <w:r w:rsidR="00F370C2">
        <w:t xml:space="preserve">in the representative intake </w:t>
      </w:r>
      <w:r>
        <w:t xml:space="preserve">are a function of </w:t>
      </w:r>
      <w:r w:rsidR="00E22FD4">
        <w:t xml:space="preserve">the projected </w:t>
      </w:r>
      <w:r w:rsidR="00FA20BC">
        <w:t xml:space="preserve">average per person </w:t>
      </w:r>
      <w:r w:rsidR="00F370C2">
        <w:t>expenditure</w:t>
      </w:r>
      <w:r w:rsidR="00FA20BC">
        <w:t xml:space="preserve"> </w:t>
      </w:r>
      <w:r w:rsidR="00E22FD4">
        <w:t>for each government</w:t>
      </w:r>
      <w:r w:rsidR="00E22FD4">
        <w:noBreakHyphen/>
        <w:t xml:space="preserve">funded service or benefit </w:t>
      </w:r>
      <w:r w:rsidR="00E22FD4" w:rsidRPr="00E22FD4">
        <w:rPr>
          <w:i/>
        </w:rPr>
        <w:t>e</w:t>
      </w:r>
      <w:r w:rsidR="00F621B1">
        <w:t xml:space="preserve"> (based on PC </w:t>
      </w:r>
      <w:r w:rsidR="001F5E32" w:rsidRPr="001F5E32">
        <w:t>(2013)</w:t>
      </w:r>
      <w:r w:rsidR="00F621B1">
        <w:t xml:space="preserve"> and </w:t>
      </w:r>
      <w:r w:rsidR="00FA20BC">
        <w:t>updated to 2014 dollars)</w:t>
      </w:r>
      <w:r w:rsidR="00E22FD4">
        <w:t xml:space="preserve">, and the projected number of immigrants </w:t>
      </w:r>
      <w:r w:rsidR="0082228C">
        <w:t xml:space="preserve">in the representative intake </w:t>
      </w:r>
      <w:r w:rsidR="00E22FD4">
        <w:t>consuming each government</w:t>
      </w:r>
      <w:r w:rsidR="00E22FD4">
        <w:noBreakHyphen/>
        <w:t>funded service or benefit</w:t>
      </w:r>
      <w:r w:rsidR="00FA20BC">
        <w:t>.</w:t>
      </w:r>
      <w:r w:rsidR="00E22FD4">
        <w:t xml:space="preserve"> </w:t>
      </w:r>
    </w:p>
    <w:p w:rsidR="00E22FD4" w:rsidRDefault="00E22FD4" w:rsidP="00473207">
      <w:pPr>
        <w:pStyle w:val="BodyText"/>
      </w:pPr>
      <w:r>
        <w:t xml:space="preserve">Projected average per person </w:t>
      </w:r>
      <w:r w:rsidR="00F621B1">
        <w:t>expenditure</w:t>
      </w:r>
      <w:r>
        <w:t xml:space="preserve"> </w:t>
      </w:r>
      <w:r w:rsidR="003932E0">
        <w:t xml:space="preserve">(E) </w:t>
      </w:r>
      <w:r>
        <w:t>for each government</w:t>
      </w:r>
      <w:r>
        <w:noBreakHyphen/>
        <w:t xml:space="preserve">funded service or benefit </w:t>
      </w:r>
      <w:r w:rsidRPr="00E22FD4">
        <w:rPr>
          <w:i/>
        </w:rPr>
        <w:t>e</w:t>
      </w:r>
      <w:r w:rsidRPr="00E22FD4">
        <w:t xml:space="preserve"> </w:t>
      </w:r>
      <w:r>
        <w:t>are given by (</w:t>
      </w:r>
      <w:r w:rsidR="002D731F">
        <w:t>8</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99300F" w:rsidTr="008764F1">
        <w:tc>
          <w:tcPr>
            <w:tcW w:w="8046" w:type="dxa"/>
          </w:tcPr>
          <w:p w:rsidR="0099300F" w:rsidRDefault="00CC0BF3" w:rsidP="00287CC5">
            <w:pPr>
              <w:pStyle w:val="BodyText"/>
            </w:pPr>
            <m:oMathPara>
              <m:oMath>
                <m:sSubSup>
                  <m:sSubSupPr>
                    <m:ctrlPr>
                      <w:rPr>
                        <w:rFonts w:ascii="Cambria Math" w:hAnsi="Cambria Math"/>
                        <w:i/>
                      </w:rPr>
                    </m:ctrlPr>
                  </m:sSubSupPr>
                  <m:e>
                    <m:r>
                      <w:rPr>
                        <w:rFonts w:ascii="Cambria Math" w:hAnsi="Cambria Math"/>
                      </w:rPr>
                      <m:t>E</m:t>
                    </m:r>
                  </m:e>
                  <m:sub>
                    <m:r>
                      <w:rPr>
                        <w:rFonts w:ascii="Cambria Math" w:hAnsi="Cambria Math"/>
                      </w:rPr>
                      <m:t>a,g,t</m:t>
                    </m:r>
                  </m:sub>
                  <m:sup>
                    <m:r>
                      <w:rPr>
                        <w:rFonts w:ascii="Cambria Math" w:hAnsi="Cambria Math"/>
                      </w:rPr>
                      <m:t>e</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a,g,t-1</m:t>
                    </m:r>
                  </m:sub>
                  <m:sup>
                    <m:r>
                      <w:rPr>
                        <w:rFonts w:ascii="Cambria Math" w:hAnsi="Cambria Math"/>
                      </w:rPr>
                      <m:t>e</m:t>
                    </m:r>
                  </m:sup>
                </m:sSubSup>
                <m:r>
                  <w:rPr>
                    <w:rFonts w:ascii="Cambria Math" w:hAnsi="Cambria Math"/>
                  </w:rPr>
                  <m:t>. (1+</m:t>
                </m:r>
                <m:sSub>
                  <m:sSubPr>
                    <m:ctrlPr>
                      <w:rPr>
                        <w:rFonts w:ascii="Cambria Math" w:hAnsi="Cambria Math"/>
                        <w:i/>
                      </w:rPr>
                    </m:ctrlPr>
                  </m:sSubPr>
                  <m:e>
                    <m:r>
                      <w:rPr>
                        <w:rFonts w:ascii="Cambria Math" w:hAnsi="Cambria Math"/>
                      </w:rPr>
                      <m:t>μ</m:t>
                    </m:r>
                  </m:e>
                  <m:sub>
                    <m:r>
                      <w:rPr>
                        <w:rFonts w:ascii="Cambria Math" w:hAnsi="Cambria Math"/>
                      </w:rPr>
                      <m:t>e,t</m:t>
                    </m:r>
                  </m:sub>
                </m:sSub>
                <m:r>
                  <w:rPr>
                    <w:rFonts w:ascii="Cambria Math" w:hAnsi="Cambria Math"/>
                  </w:rPr>
                  <m:t>)</m:t>
                </m:r>
              </m:oMath>
            </m:oMathPara>
          </w:p>
        </w:tc>
        <w:tc>
          <w:tcPr>
            <w:tcW w:w="959" w:type="dxa"/>
          </w:tcPr>
          <w:p w:rsidR="0099300F" w:rsidRDefault="0099300F" w:rsidP="002D731F">
            <w:pPr>
              <w:pStyle w:val="BodyText"/>
            </w:pPr>
            <w:r>
              <w:t>(</w:t>
            </w:r>
            <w:r w:rsidR="002D731F">
              <w:t>8</w:t>
            </w:r>
            <w:r>
              <w:t>)</w:t>
            </w:r>
          </w:p>
        </w:tc>
      </w:tr>
    </w:tbl>
    <w:p w:rsidR="002710D3" w:rsidRDefault="002710D3" w:rsidP="00473207">
      <w:pPr>
        <w:pStyle w:val="BodyText"/>
      </w:pPr>
      <w:r>
        <w:t>w</w:t>
      </w:r>
      <w:r w:rsidR="00C67D01">
        <w:t xml:space="preserve">here </w:t>
      </w:r>
      <m:oMath>
        <m:sSub>
          <m:sSubPr>
            <m:ctrlPr>
              <w:rPr>
                <w:rFonts w:ascii="Cambria Math" w:hAnsi="Cambria Math"/>
                <w:i/>
              </w:rPr>
            </m:ctrlPr>
          </m:sSubPr>
          <m:e>
            <m:r>
              <w:rPr>
                <w:rFonts w:ascii="Cambria Math" w:hAnsi="Cambria Math"/>
              </w:rPr>
              <m:t>μ</m:t>
            </m:r>
          </m:e>
          <m:sub>
            <m:r>
              <w:rPr>
                <w:rFonts w:ascii="Cambria Math" w:hAnsi="Cambria Math"/>
              </w:rPr>
              <m:t>e,t</m:t>
            </m:r>
          </m:sub>
        </m:sSub>
        <m:r>
          <w:rPr>
            <w:rFonts w:ascii="Cambria Math" w:hAnsi="Cambria Math"/>
          </w:rPr>
          <m:t>≥0</m:t>
        </m:r>
      </m:oMath>
      <w:r w:rsidR="0082228C">
        <w:t xml:space="preserve"> is</w:t>
      </w:r>
      <w:r w:rsidR="00C67D01">
        <w:t xml:space="preserve"> projected </w:t>
      </w:r>
      <w:r>
        <w:t xml:space="preserve">growth in </w:t>
      </w:r>
      <w:r w:rsidR="00C67D01">
        <w:t>expenditure</w:t>
      </w:r>
      <w:r w:rsidR="00C67D01">
        <w:noBreakHyphen/>
        <w:t xml:space="preserve">specific </w:t>
      </w:r>
      <w:r w:rsidR="0082228C">
        <w:t>real cost</w:t>
      </w:r>
      <w:r w:rsidR="008C0419">
        <w:t>s</w:t>
      </w:r>
      <w:r w:rsidR="0082228C">
        <w:t>.</w:t>
      </w:r>
      <w:r w:rsidR="00295291">
        <w:t xml:space="preserve"> </w:t>
      </w:r>
    </w:p>
    <w:p w:rsidR="0099300F" w:rsidRDefault="00295291" w:rsidP="00473207">
      <w:pPr>
        <w:pStyle w:val="BodyText"/>
      </w:pPr>
      <w:r>
        <w:t>These per person expenditures are averages for the population and</w:t>
      </w:r>
      <w:r w:rsidR="00181CF2">
        <w:t>,</w:t>
      </w:r>
      <w:r>
        <w:t xml:space="preserve"> in the majority of cases, change with age and gender, reflecting the </w:t>
      </w:r>
      <w:r w:rsidR="00664FFD">
        <w:t xml:space="preserve">different </w:t>
      </w:r>
      <w:r>
        <w:t>probabilit</w:t>
      </w:r>
      <w:r w:rsidR="00664FFD">
        <w:t>ies</w:t>
      </w:r>
      <w:r>
        <w:t xml:space="preserve"> that someone in that age group or gender will be incurring that form of expenditure. </w:t>
      </w:r>
      <w:r w:rsidR="003C3BFA">
        <w:t xml:space="preserve">Furthermore, some </w:t>
      </w:r>
      <w:r w:rsidR="002710D3">
        <w:t xml:space="preserve">forms of </w:t>
      </w:r>
      <w:r w:rsidR="003C3BFA">
        <w:t>expenditure are positive for certain age-groups only, and zero otherwise, reflecting their being specific to certain ages</w:t>
      </w:r>
      <w:r w:rsidR="007256C1">
        <w:t xml:space="preserve"> (for example the </w:t>
      </w:r>
      <w:r w:rsidR="00664FFD">
        <w:t>age pension</w:t>
      </w:r>
      <w:r w:rsidR="007256C1">
        <w:t>)</w:t>
      </w:r>
      <w:r w:rsidR="003C3BFA">
        <w:t>, or are constant across all ages</w:t>
      </w:r>
      <w:r>
        <w:t xml:space="preserve"> (for example ‘other’ education expenditure). </w:t>
      </w:r>
    </w:p>
    <w:p w:rsidR="0082228C" w:rsidRDefault="0082228C" w:rsidP="0082228C">
      <w:pPr>
        <w:pStyle w:val="BodyText"/>
      </w:pPr>
      <w:r>
        <w:t xml:space="preserve">The projected number of immigrants </w:t>
      </w:r>
      <w:r w:rsidR="00F621B1">
        <w:t xml:space="preserve">eligible </w:t>
      </w:r>
      <w:r w:rsidR="00181CF2">
        <w:t>to consume</w:t>
      </w:r>
      <w:r>
        <w:t xml:space="preserve"> each government</w:t>
      </w:r>
      <w:r>
        <w:noBreakHyphen/>
        <w:t xml:space="preserve">funded service or benefit </w:t>
      </w:r>
      <w:r w:rsidR="00A439B6">
        <w:t xml:space="preserve">in the representative intake </w:t>
      </w:r>
      <w:r>
        <w:t xml:space="preserve">is </w:t>
      </w:r>
      <w:r w:rsidR="005F6701">
        <w:t xml:space="preserve">given by multiplying </w:t>
      </w:r>
      <m:oMath>
        <m:sSub>
          <m:sSubPr>
            <m:ctrlPr>
              <w:rPr>
                <w:rFonts w:ascii="Cambria Math" w:hAnsi="Cambria Math"/>
                <w:i/>
              </w:rPr>
            </m:ctrlPr>
          </m:sSubPr>
          <m:e>
            <m:r>
              <w:rPr>
                <w:rFonts w:ascii="Cambria Math" w:hAnsi="Cambria Math"/>
              </w:rPr>
              <m:t>M</m:t>
            </m:r>
          </m:e>
          <m:sub>
            <m:r>
              <w:rPr>
                <w:rFonts w:ascii="Cambria Math" w:hAnsi="Cambria Math"/>
              </w:rPr>
              <m:t>v,a,g,t</m:t>
            </m:r>
          </m:sub>
        </m:sSub>
      </m:oMath>
      <w:r w:rsidR="00181CF2">
        <w:t xml:space="preserve"> by immigrants’ assumed aggregate uptake rates of each government</w:t>
      </w:r>
      <w:r w:rsidR="00181CF2">
        <w:noBreakHyphen/>
        <w:t xml:space="preserve">funded service and benefit, </w:t>
      </w:r>
      <m:oMath>
        <m:sSub>
          <m:sSubPr>
            <m:ctrlPr>
              <w:rPr>
                <w:rFonts w:ascii="Cambria Math" w:hAnsi="Cambria Math"/>
                <w:i/>
              </w:rPr>
            </m:ctrlPr>
          </m:sSubPr>
          <m:e>
            <m:r>
              <w:rPr>
                <w:rFonts w:ascii="Cambria Math" w:hAnsi="Cambria Math"/>
              </w:rPr>
              <m:t>u</m:t>
            </m:r>
          </m:e>
          <m:sub>
            <m:r>
              <w:rPr>
                <w:rFonts w:ascii="Cambria Math" w:hAnsi="Cambria Math"/>
              </w:rPr>
              <m:t>v,e,t</m:t>
            </m:r>
          </m:sub>
        </m:sSub>
      </m:oMath>
      <w:r w:rsidR="00181CF2">
        <w:t>, which is</w:t>
      </w:r>
      <w:r w:rsidR="008A1109">
        <w:t xml:space="preserve"> greater than zero</w:t>
      </w:r>
      <w:r w:rsidR="00181CF2">
        <w:t xml:space="preserve"> if and only if the immigrant is eligible and has</w:t>
      </w:r>
      <w:r w:rsidR="008A1109">
        <w:t xml:space="preserve"> served the relevant waiting period</w:t>
      </w:r>
      <w:r w:rsidR="00181CF2">
        <w:t>. The calculation of immigrants</w:t>
      </w:r>
      <w:r w:rsidR="00455D95">
        <w:t>’</w:t>
      </w:r>
      <w:r w:rsidR="00181CF2">
        <w:t xml:space="preserve"> initial uptake rates is discussed in </w:t>
      </w:r>
      <w:r w:rsidR="00EB2C1B">
        <w:t>Part 1</w:t>
      </w:r>
      <w:r w:rsidR="00181CF2">
        <w:t>, with all uptake rates</w:t>
      </w:r>
      <w:r>
        <w:t xml:space="preserve"> </w:t>
      </w:r>
      <w:r w:rsidR="00181CF2">
        <w:t xml:space="preserve">assumed to </w:t>
      </w:r>
      <w:r>
        <w:t>converge</w:t>
      </w:r>
      <w:r w:rsidR="00181CF2">
        <w:t xml:space="preserve"> </w:t>
      </w:r>
      <w:r>
        <w:t xml:space="preserve">to the Australian average uptake rate for each </w:t>
      </w:r>
      <w:r w:rsidR="00664FFD">
        <w:t xml:space="preserve">expenditure category </w:t>
      </w:r>
      <w:r w:rsidRPr="00181CF2">
        <w:rPr>
          <w:i/>
        </w:rPr>
        <w:t>e</w:t>
      </w:r>
      <w:r>
        <w:t xml:space="preserve"> over a period of 10 years. </w:t>
      </w:r>
    </w:p>
    <w:p w:rsidR="00181CF2" w:rsidRDefault="00FC31BD" w:rsidP="0082228C">
      <w:pPr>
        <w:pStyle w:val="BodyText"/>
      </w:pPr>
      <w:r>
        <w:t>A series of projected t</w:t>
      </w:r>
      <w:r w:rsidR="00181CF2">
        <w:t>otal expenditures</w:t>
      </w:r>
      <w:r w:rsidR="003932E0">
        <w:t xml:space="preserve"> (</w:t>
      </w:r>
      <w:proofErr w:type="spellStart"/>
      <w:r w:rsidR="003932E0">
        <w:t>TE</w:t>
      </w:r>
      <w:proofErr w:type="spellEnd"/>
      <w:r w:rsidR="003932E0">
        <w:t>)</w:t>
      </w:r>
      <w:r w:rsidR="00181CF2">
        <w:t xml:space="preserve"> for</w:t>
      </w:r>
      <w:r w:rsidR="003932E0">
        <w:t xml:space="preserve"> </w:t>
      </w:r>
      <w:r w:rsidR="00181CF2">
        <w:t>the representative intake are therefore given by (</w:t>
      </w:r>
      <w:r w:rsidR="002D731F">
        <w:t>9</w:t>
      </w:r>
      <w:r w:rsidR="00455D95">
        <w:t xml:space="preserve">), where </w:t>
      </w:r>
      <w:r w:rsidR="00455D95" w:rsidRPr="00455D95">
        <w:rPr>
          <w:i/>
        </w:rPr>
        <w:t>E</w:t>
      </w:r>
      <w:r w:rsidR="00455D95">
        <w:t xml:space="preserve"> </w:t>
      </w:r>
      <w:r w:rsidR="00C23CFE">
        <w:t>(from (</w:t>
      </w:r>
      <w:r w:rsidR="002D731F">
        <w:t>8</w:t>
      </w:r>
      <w:r w:rsidR="00C23CFE">
        <w:t xml:space="preserve">)) </w:t>
      </w:r>
      <w:r w:rsidR="00455D95">
        <w:t>is a limited set of expenditures determined by the model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82228C" w:rsidTr="008764F1">
        <w:tc>
          <w:tcPr>
            <w:tcW w:w="8046" w:type="dxa"/>
          </w:tcPr>
          <w:p w:rsidR="0082228C" w:rsidRDefault="00CC0BF3" w:rsidP="007256C1">
            <w:pPr>
              <w:pStyle w:val="BodyText"/>
            </w:pPr>
            <m:oMathPara>
              <m:oMath>
                <m:sSubSup>
                  <m:sSubSupPr>
                    <m:ctrlPr>
                      <w:rPr>
                        <w:rFonts w:ascii="Cambria Math" w:hAnsi="Cambria Math"/>
                        <w:i/>
                      </w:rPr>
                    </m:ctrlPr>
                  </m:sSubSupPr>
                  <m:e>
                    <m:r>
                      <w:rPr>
                        <w:rFonts w:ascii="Cambria Math" w:hAnsi="Cambria Math"/>
                      </w:rPr>
                      <m:t>TE</m:t>
                    </m:r>
                  </m:e>
                  <m:sub>
                    <m:r>
                      <w:rPr>
                        <w:rFonts w:ascii="Cambria Math" w:hAnsi="Cambria Math"/>
                      </w:rPr>
                      <m:t>e,v,t</m:t>
                    </m:r>
                  </m:sub>
                  <m:sup>
                    <m:r>
                      <w:rPr>
                        <w:rFonts w:ascii="Cambria Math" w:hAnsi="Cambria Math"/>
                      </w:rPr>
                      <m:t>Rep.</m:t>
                    </m:r>
                  </m:sup>
                </m:sSubSup>
                <m:r>
                  <w:rPr>
                    <w:rFonts w:ascii="Cambria Math" w:hAnsi="Cambria Math"/>
                  </w:rPr>
                  <m:t>=</m:t>
                </m:r>
                <m:nary>
                  <m:naryPr>
                    <m:chr m:val="∑"/>
                    <m:limLoc m:val="undOvr"/>
                    <m:ctrlPr>
                      <w:rPr>
                        <w:rFonts w:ascii="Cambria Math" w:hAnsi="Cambria Math"/>
                        <w:i/>
                      </w:rPr>
                    </m:ctrlPr>
                  </m:naryPr>
                  <m:sub>
                    <m:r>
                      <w:rPr>
                        <w:rFonts w:ascii="Cambria Math" w:hAnsi="Cambria Math"/>
                      </w:rPr>
                      <m:t>g</m:t>
                    </m:r>
                  </m:sub>
                  <m:sup>
                    <m:r>
                      <w:rPr>
                        <w:rFonts w:ascii="Cambria Math" w:hAnsi="Cambria Math"/>
                      </w:rPr>
                      <m:t>M,F</m:t>
                    </m:r>
                  </m:sup>
                  <m:e>
                    <m:nary>
                      <m:naryPr>
                        <m:chr m:val="∑"/>
                        <m:limLoc m:val="undOvr"/>
                        <m:ctrlPr>
                          <w:rPr>
                            <w:rFonts w:ascii="Cambria Math" w:hAnsi="Cambria Math"/>
                            <w:i/>
                          </w:rPr>
                        </m:ctrlPr>
                      </m:naryPr>
                      <m:sub>
                        <m:r>
                          <w:rPr>
                            <w:rFonts w:ascii="Cambria Math" w:hAnsi="Cambria Math"/>
                          </w:rPr>
                          <m:t>a=0</m:t>
                        </m:r>
                      </m:sub>
                      <m:sup>
                        <m:r>
                          <w:rPr>
                            <w:rFonts w:ascii="Cambria Math" w:hAnsi="Cambria Math"/>
                          </w:rPr>
                          <m:t>95+</m:t>
                        </m:r>
                      </m:sup>
                      <m:e>
                        <m:sSubSup>
                          <m:sSubSupPr>
                            <m:ctrlPr>
                              <w:rPr>
                                <w:rFonts w:ascii="Cambria Math" w:hAnsi="Cambria Math"/>
                                <w:i/>
                              </w:rPr>
                            </m:ctrlPr>
                          </m:sSubSupPr>
                          <m:e>
                            <m:r>
                              <w:rPr>
                                <w:rFonts w:ascii="Cambria Math" w:hAnsi="Cambria Math"/>
                              </w:rPr>
                              <m:t>E</m:t>
                            </m:r>
                          </m:e>
                          <m:sub>
                            <m:r>
                              <w:rPr>
                                <w:rFonts w:ascii="Cambria Math" w:hAnsi="Cambria Math"/>
                              </w:rPr>
                              <m:t>a,g,t</m:t>
                            </m:r>
                          </m:sub>
                          <m:sup>
                            <m:r>
                              <w:rPr>
                                <w:rFonts w:ascii="Cambria Math" w:hAnsi="Cambria Math"/>
                              </w:rPr>
                              <m:t>e</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v,e,t</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m:t>
                                </m:r>
                              </m:sup>
                            </m:sSubSup>
                          </m:e>
                        </m:d>
                      </m:e>
                    </m:nary>
                  </m:e>
                </m:nary>
                <m:r>
                  <w:rPr>
                    <w:rFonts w:ascii="Cambria Math" w:hAnsi="Cambria Math"/>
                  </w:rPr>
                  <m:t xml:space="preserve">    ∀ e,v</m:t>
                </m:r>
              </m:oMath>
            </m:oMathPara>
          </w:p>
        </w:tc>
        <w:tc>
          <w:tcPr>
            <w:tcW w:w="959" w:type="dxa"/>
          </w:tcPr>
          <w:p w:rsidR="0082228C" w:rsidRDefault="0082228C" w:rsidP="002D731F">
            <w:pPr>
              <w:pStyle w:val="BodyText"/>
            </w:pPr>
            <w:r>
              <w:t>(</w:t>
            </w:r>
            <w:r w:rsidR="002D731F">
              <w:t>9</w:t>
            </w:r>
            <w:r>
              <w:t>)</w:t>
            </w:r>
          </w:p>
        </w:tc>
      </w:tr>
    </w:tbl>
    <w:p w:rsidR="00DA5E6C" w:rsidRDefault="005F6701" w:rsidP="00473207">
      <w:pPr>
        <w:pStyle w:val="BodyText"/>
      </w:pPr>
      <w:r>
        <w:t xml:space="preserve">Where </w:t>
      </w:r>
      <w:r w:rsidR="00181CF2">
        <w:t xml:space="preserve">the term in parenthesis is equivalent to a projected number of </w:t>
      </w:r>
      <w:r w:rsidR="003C3BFA">
        <w:t xml:space="preserve">eligible </w:t>
      </w:r>
      <w:r w:rsidR="00851FCB">
        <w:t>‘</w:t>
      </w:r>
      <w:r w:rsidR="00181CF2">
        <w:t>claimants</w:t>
      </w:r>
      <w:r w:rsidR="00851FCB">
        <w:t>’</w:t>
      </w:r>
      <w:r w:rsidR="003C3BFA">
        <w:t xml:space="preserve"> (</w:t>
      </w:r>
      <w:r w:rsidR="003F6F60">
        <w:t>by age and gender</w:t>
      </w:r>
      <w:r w:rsidR="003C3BFA">
        <w:t>)</w:t>
      </w:r>
      <w:r w:rsidR="00181CF2">
        <w:t xml:space="preserve"> of </w:t>
      </w:r>
      <w:r w:rsidR="00851FCB">
        <w:t>various expenditures</w:t>
      </w:r>
      <w:r w:rsidR="00181CF2">
        <w:t>.</w:t>
      </w:r>
      <w:r w:rsidR="003C3BFA">
        <w:rPr>
          <w:rStyle w:val="FootnoteReference"/>
        </w:rPr>
        <w:footnoteReference w:id="6"/>
      </w:r>
      <w:r w:rsidR="00181CF2">
        <w:t xml:space="preserve"> </w:t>
      </w:r>
      <w:r w:rsidR="0082228C">
        <w:t xml:space="preserve">Note that </w:t>
      </w:r>
      <w:r w:rsidR="00851FCB">
        <w:t>estimates of ‘claimants’ of</w:t>
      </w:r>
      <w:r w:rsidR="0082228C">
        <w:t xml:space="preserve"> </w:t>
      </w:r>
      <w:r w:rsidR="00851FCB">
        <w:t xml:space="preserve">unemployment </w:t>
      </w:r>
      <w:r w:rsidR="0082228C">
        <w:t xml:space="preserve">benefits are estimated </w:t>
      </w:r>
      <w:r w:rsidR="00E15AD9">
        <w:t xml:space="preserve">separately </w:t>
      </w:r>
      <w:r w:rsidR="0082228C">
        <w:t xml:space="preserve">within the labour market and revenue module. </w:t>
      </w:r>
      <w:r w:rsidR="00DA5E6C">
        <w:t>A similar procedure is undertaken for births of the representative intake</w:t>
      </w:r>
      <w:r w:rsidR="00C23CFE">
        <w:t xml:space="preserve"> (</w:t>
      </w:r>
      <w:r w:rsidR="002D731F">
        <w:t>10</w:t>
      </w:r>
      <w:r w:rsidR="00C23CFE">
        <w:t>)</w:t>
      </w:r>
      <w:r w:rsidR="00DA5E6C">
        <w:t xml:space="preserve">, with </w:t>
      </w:r>
      <w:r w:rsidR="002877C5">
        <w:t xml:space="preserve">all children </w:t>
      </w:r>
      <w:r w:rsidR="00DA5E6C">
        <w:t xml:space="preserve">assumed </w:t>
      </w:r>
      <w:r w:rsidR="00E15AD9">
        <w:t xml:space="preserve">fully eligible for </w:t>
      </w:r>
      <w:r w:rsidR="00DA5E6C">
        <w:t>all forms of government</w:t>
      </w:r>
      <w:r w:rsidR="00DA5E6C">
        <w:noBreakHyphen/>
        <w:t xml:space="preserve">funded services and benefits with no waiting periods.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F52F32" w:rsidTr="00BE0CFF">
        <w:tc>
          <w:tcPr>
            <w:tcW w:w="8046" w:type="dxa"/>
          </w:tcPr>
          <w:p w:rsidR="00F52F32" w:rsidRDefault="00CC0BF3" w:rsidP="00F52F32">
            <w:pPr>
              <w:pStyle w:val="BodyText"/>
            </w:pPr>
            <m:oMathPara>
              <m:oMath>
                <m:sSubSup>
                  <m:sSubSupPr>
                    <m:ctrlPr>
                      <w:rPr>
                        <w:rFonts w:ascii="Cambria Math" w:hAnsi="Cambria Math"/>
                        <w:i/>
                      </w:rPr>
                    </m:ctrlPr>
                  </m:sSubSupPr>
                  <m:e>
                    <m:r>
                      <w:rPr>
                        <w:rFonts w:ascii="Cambria Math" w:hAnsi="Cambria Math"/>
                      </w:rPr>
                      <m:t>TE</m:t>
                    </m:r>
                  </m:e>
                  <m:sub>
                    <m:r>
                      <w:rPr>
                        <w:rFonts w:ascii="Cambria Math" w:hAnsi="Cambria Math"/>
                      </w:rPr>
                      <m:t>e,v,t</m:t>
                    </m:r>
                  </m:sub>
                  <m:sup>
                    <m:r>
                      <w:rPr>
                        <w:rFonts w:ascii="Cambria Math" w:hAnsi="Cambria Math"/>
                      </w:rPr>
                      <m:t>Births</m:t>
                    </m:r>
                  </m:sup>
                </m:sSubSup>
                <m:r>
                  <w:rPr>
                    <w:rFonts w:ascii="Cambria Math" w:hAnsi="Cambria Math"/>
                  </w:rPr>
                  <m:t>=</m:t>
                </m:r>
                <m:nary>
                  <m:naryPr>
                    <m:chr m:val="∑"/>
                    <m:limLoc m:val="undOvr"/>
                    <m:ctrlPr>
                      <w:rPr>
                        <w:rFonts w:ascii="Cambria Math" w:hAnsi="Cambria Math"/>
                        <w:i/>
                      </w:rPr>
                    </m:ctrlPr>
                  </m:naryPr>
                  <m:sub>
                    <m:r>
                      <w:rPr>
                        <w:rFonts w:ascii="Cambria Math" w:hAnsi="Cambria Math"/>
                      </w:rPr>
                      <m:t>g</m:t>
                    </m:r>
                  </m:sub>
                  <m:sup>
                    <m:r>
                      <w:rPr>
                        <w:rFonts w:ascii="Cambria Math" w:hAnsi="Cambria Math"/>
                      </w:rPr>
                      <m:t>M,F</m:t>
                    </m:r>
                  </m:sup>
                  <m:e>
                    <m:nary>
                      <m:naryPr>
                        <m:chr m:val="∑"/>
                        <m:limLoc m:val="undOvr"/>
                        <m:ctrlPr>
                          <w:rPr>
                            <w:rFonts w:ascii="Cambria Math" w:hAnsi="Cambria Math"/>
                            <w:i/>
                          </w:rPr>
                        </m:ctrlPr>
                      </m:naryPr>
                      <m:sub>
                        <m:r>
                          <w:rPr>
                            <w:rFonts w:ascii="Cambria Math" w:hAnsi="Cambria Math"/>
                          </w:rPr>
                          <m:t>a=0</m:t>
                        </m:r>
                      </m:sub>
                      <m:sup>
                        <m:r>
                          <w:rPr>
                            <w:rFonts w:ascii="Cambria Math" w:hAnsi="Cambria Math"/>
                          </w:rPr>
                          <m:t>95+</m:t>
                        </m:r>
                      </m:sup>
                      <m:e>
                        <m:sSubSup>
                          <m:sSubSupPr>
                            <m:ctrlPr>
                              <w:rPr>
                                <w:rFonts w:ascii="Cambria Math" w:hAnsi="Cambria Math"/>
                                <w:i/>
                              </w:rPr>
                            </m:ctrlPr>
                          </m:sSubSupPr>
                          <m:e>
                            <m:r>
                              <w:rPr>
                                <w:rFonts w:ascii="Cambria Math" w:hAnsi="Cambria Math"/>
                              </w:rPr>
                              <m:t>E</m:t>
                            </m:r>
                          </m:e>
                          <m:sub>
                            <m:r>
                              <w:rPr>
                                <w:rFonts w:ascii="Cambria Math" w:hAnsi="Cambria Math"/>
                              </w:rPr>
                              <m:t>a,g,t</m:t>
                            </m:r>
                          </m:sub>
                          <m:sup>
                            <m:r>
                              <w:rPr>
                                <w:rFonts w:ascii="Cambria Math" w:hAnsi="Cambria Math"/>
                              </w:rPr>
                              <m:t>e</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e,t</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  (Births)</m:t>
                                </m:r>
                              </m:sup>
                            </m:sSubSup>
                          </m:e>
                        </m:d>
                      </m:e>
                    </m:nary>
                  </m:e>
                </m:nary>
                <m:r>
                  <w:rPr>
                    <w:rFonts w:ascii="Cambria Math" w:hAnsi="Cambria Math"/>
                  </w:rPr>
                  <m:t xml:space="preserve">    ∀ e,v</m:t>
                </m:r>
              </m:oMath>
            </m:oMathPara>
          </w:p>
        </w:tc>
        <w:tc>
          <w:tcPr>
            <w:tcW w:w="959" w:type="dxa"/>
          </w:tcPr>
          <w:p w:rsidR="00F52F32" w:rsidRDefault="00F52F32" w:rsidP="002D731F">
            <w:pPr>
              <w:pStyle w:val="BodyText"/>
            </w:pPr>
            <w:r>
              <w:t>(</w:t>
            </w:r>
            <w:r w:rsidR="002D731F">
              <w:t>10</w:t>
            </w:r>
            <w:r>
              <w:t>)</w:t>
            </w:r>
          </w:p>
        </w:tc>
      </w:tr>
    </w:tbl>
    <w:p w:rsidR="00111781" w:rsidRDefault="003E221C" w:rsidP="00302CCB">
      <w:pPr>
        <w:pStyle w:val="Heading3"/>
      </w:pPr>
      <w:r>
        <w:t>Labour market and revenue</w:t>
      </w:r>
    </w:p>
    <w:p w:rsidR="00AB34DA" w:rsidRDefault="005B162C" w:rsidP="003320FE">
      <w:pPr>
        <w:pStyle w:val="BodyText"/>
        <w:tabs>
          <w:tab w:val="left" w:pos="1665"/>
        </w:tabs>
      </w:pPr>
      <w:r>
        <w:t xml:space="preserve">The </w:t>
      </w:r>
      <w:r w:rsidR="00A15DE6">
        <w:t xml:space="preserve">labour market module </w:t>
      </w:r>
      <w:r w:rsidR="002877C5">
        <w:t xml:space="preserve">is based on </w:t>
      </w:r>
      <w:r w:rsidR="00AB34DA">
        <w:t>the number of immigrants in the representative</w:t>
      </w:r>
      <w:r w:rsidR="00C43D4F">
        <w:t xml:space="preserve"> intake</w:t>
      </w:r>
      <w:r w:rsidR="00615424">
        <w:t>,</w:t>
      </w:r>
      <w:r w:rsidR="000B5E8F">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m:t>
            </m:r>
          </m:sup>
        </m:sSubSup>
      </m:oMath>
      <w:r>
        <w:t xml:space="preserve"> </w:t>
      </w:r>
      <w:r w:rsidR="00AB34DA">
        <w:t xml:space="preserve">and </w:t>
      </w:r>
      <w:r w:rsidR="00A15DE6">
        <w:t xml:space="preserve">their </w:t>
      </w:r>
      <w:r w:rsidR="00AB34DA">
        <w:t>births</w:t>
      </w:r>
      <w:r w:rsidR="00615424">
        <w:t>,</w:t>
      </w:r>
      <w:r w:rsidR="00AB34DA">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  (Births)</m:t>
            </m:r>
          </m:sup>
        </m:sSubSup>
      </m:oMath>
      <w:r w:rsidR="000B5E8F">
        <w:t>and</w:t>
      </w:r>
      <w:r w:rsidR="00AB34DA">
        <w:t>:</w:t>
      </w:r>
    </w:p>
    <w:p w:rsidR="00C43D4F" w:rsidRDefault="000B5E8F" w:rsidP="00AB34DA">
      <w:pPr>
        <w:pStyle w:val="ListBullet"/>
      </w:pPr>
      <w:r>
        <w:t>multiplies them by assumed labour force participation (</w:t>
      </w:r>
      <m:oMath>
        <m:sSub>
          <m:sSubPr>
            <m:ctrlPr>
              <w:rPr>
                <w:rFonts w:ascii="Cambria Math" w:hAnsi="Cambria Math"/>
                <w:i/>
              </w:rPr>
            </m:ctrlPr>
          </m:sSubPr>
          <m:e>
            <m:r>
              <w:rPr>
                <w:rFonts w:ascii="Cambria Math" w:hAnsi="Cambria Math"/>
              </w:rPr>
              <m:t>LFP</m:t>
            </m:r>
          </m:e>
          <m:sub>
            <m:r>
              <w:rPr>
                <w:rFonts w:ascii="Cambria Math" w:hAnsi="Cambria Math"/>
              </w:rPr>
              <m:t>v,a,g,t</m:t>
            </m:r>
          </m:sub>
        </m:sSub>
      </m:oMath>
      <w:r>
        <w:t xml:space="preserve">) rates and employment rates </w:t>
      </w:r>
      <w:r w:rsidR="00244925">
        <w:t>(1 less the unemployment rate</w:t>
      </w:r>
      <w:r w:rsidR="00AB34DA">
        <w:t xml:space="preserve"> </w:t>
      </w:r>
      <m:oMath>
        <m:sSub>
          <m:sSubPr>
            <m:ctrlPr>
              <w:rPr>
                <w:rFonts w:ascii="Cambria Math" w:hAnsi="Cambria Math"/>
                <w:i/>
              </w:rPr>
            </m:ctrlPr>
          </m:sSubPr>
          <m:e>
            <m:r>
              <w:rPr>
                <w:rFonts w:ascii="Cambria Math" w:hAnsi="Cambria Math"/>
              </w:rPr>
              <m:t>U</m:t>
            </m:r>
          </m:e>
          <m:sub>
            <m:r>
              <w:rPr>
                <w:rFonts w:ascii="Cambria Math" w:hAnsi="Cambria Math"/>
              </w:rPr>
              <m:t>v,a,g,t</m:t>
            </m:r>
          </m:sub>
        </m:sSub>
      </m:oMath>
      <w:r w:rsidR="00244925">
        <w:t>)</w:t>
      </w:r>
      <w:r w:rsidR="00664FFD">
        <w:t xml:space="preserve"> which vary by visa category, age, and gender</w:t>
      </w:r>
      <w:r>
        <w:t xml:space="preserve">. </w:t>
      </w:r>
    </w:p>
    <w:p w:rsidR="00C43D4F" w:rsidRDefault="000B5E8F" w:rsidP="00C43D4F">
      <w:pPr>
        <w:pStyle w:val="ListBullet2"/>
      </w:pPr>
      <w:proofErr w:type="spellStart"/>
      <w:r>
        <w:t>LFP</w:t>
      </w:r>
      <w:proofErr w:type="spellEnd"/>
      <w:r w:rsidR="00A439B6">
        <w:t xml:space="preserve"> and unemployment rates</w:t>
      </w:r>
      <w:r>
        <w:t xml:space="preserve"> </w:t>
      </w:r>
      <w:r w:rsidR="00C43D4F">
        <w:t xml:space="preserve">for the representative intake </w:t>
      </w:r>
      <w:r>
        <w:t>are assumed to converge to the age</w:t>
      </w:r>
      <w:r>
        <w:noBreakHyphen/>
        <w:t xml:space="preserve"> and gender</w:t>
      </w:r>
      <w:r>
        <w:noBreakHyphen/>
        <w:t xml:space="preserve">specific </w:t>
      </w:r>
      <w:r w:rsidR="00C43D4F">
        <w:t xml:space="preserve">labour force characteristics of the </w:t>
      </w:r>
      <w:r>
        <w:t>Aust</w:t>
      </w:r>
      <w:r w:rsidR="00A439B6">
        <w:t>ralian population averages over</w:t>
      </w:r>
      <w:r>
        <w:t xml:space="preserve"> period</w:t>
      </w:r>
      <w:r w:rsidR="00A439B6">
        <w:t>s</w:t>
      </w:r>
      <w:r>
        <w:t xml:space="preserve"> defined by the user</w:t>
      </w:r>
      <w:r w:rsidR="00A439B6">
        <w:t>.</w:t>
      </w:r>
      <w:r w:rsidR="00A439B6">
        <w:rPr>
          <w:rStyle w:val="FootnoteReference"/>
        </w:rPr>
        <w:footnoteReference w:id="7"/>
      </w:r>
      <w:r>
        <w:t xml:space="preserve"> </w:t>
      </w:r>
      <w:r w:rsidR="00C43D4F">
        <w:t>Births are assumed to adopt the age</w:t>
      </w:r>
      <w:r w:rsidR="00C43D4F">
        <w:noBreakHyphen/>
        <w:t xml:space="preserve"> and gender</w:t>
      </w:r>
      <w:r w:rsidR="00C43D4F">
        <w:noBreakHyphen/>
        <w:t>specific labour force characteristics of the Australian population</w:t>
      </w:r>
      <w:r w:rsidR="00C43D4F" w:rsidRPr="00C43D4F">
        <w:t xml:space="preserve"> </w:t>
      </w:r>
      <w:r w:rsidR="00C43D4F">
        <w:t xml:space="preserve">averages. </w:t>
      </w:r>
    </w:p>
    <w:p w:rsidR="00AB34DA" w:rsidRDefault="003D00E7" w:rsidP="00C43D4F">
      <w:pPr>
        <w:pStyle w:val="ListBullet2"/>
      </w:pPr>
      <w:r>
        <w:t xml:space="preserve">The resulting </w:t>
      </w:r>
      <w:r w:rsidR="00041731">
        <w:t>estimates</w:t>
      </w:r>
      <w:r>
        <w:t xml:space="preserve"> of employment </w:t>
      </w:r>
      <w:r w:rsidR="00230DF0">
        <w:t xml:space="preserve">(persons) </w:t>
      </w:r>
      <w:r>
        <w:t xml:space="preserve">by </w:t>
      </w:r>
      <w:r w:rsidR="00615424">
        <w:t xml:space="preserve">age, </w:t>
      </w:r>
      <w:r>
        <w:t xml:space="preserve">and </w:t>
      </w:r>
      <w:r w:rsidR="00615424">
        <w:t xml:space="preserve">gender, </w:t>
      </w:r>
      <w:r>
        <w:t>and</w:t>
      </w:r>
      <w:r w:rsidR="00394968">
        <w:t xml:space="preserve"> all time-periods, </w:t>
      </w:r>
      <w:r>
        <w:t xml:space="preserve">for all </w:t>
      </w:r>
      <w:r w:rsidR="00394968">
        <w:t xml:space="preserve">visa categories, </w:t>
      </w:r>
      <w:r w:rsidR="00C43D4F">
        <w:t xml:space="preserve">are multiplied by projections of median income tax revenue to derive </w:t>
      </w:r>
      <w:r w:rsidR="00230DF0">
        <w:t>visa</w:t>
      </w:r>
      <w:r w:rsidR="00230DF0">
        <w:noBreakHyphen/>
        <w:t xml:space="preserve">specific </w:t>
      </w:r>
      <w:r>
        <w:t>estimates of income tax revenue</w:t>
      </w:r>
      <w:r w:rsidR="00A15DE6">
        <w:t xml:space="preserve"> by </w:t>
      </w:r>
      <w:r w:rsidR="00A229E9">
        <w:t>age</w:t>
      </w:r>
      <w:r w:rsidR="00A15DE6">
        <w:t xml:space="preserve"> and </w:t>
      </w:r>
      <w:r w:rsidR="00394968">
        <w:t>gender</w:t>
      </w:r>
      <w:r w:rsidR="00AB34DA">
        <w:t xml:space="preserve">. </w:t>
      </w:r>
    </w:p>
    <w:p w:rsidR="000B5E8F" w:rsidRDefault="00041731" w:rsidP="00AB34DA">
      <w:pPr>
        <w:pStyle w:val="ListBullet"/>
      </w:pPr>
      <w:r>
        <w:t xml:space="preserve">because </w:t>
      </w:r>
      <w:r w:rsidR="00230DF0">
        <w:t>all other revenues in the model are estimated on a</w:t>
      </w:r>
      <w:r w:rsidR="00AB34DA">
        <w:t>n equal</w:t>
      </w:r>
      <w:r w:rsidR="00230DF0">
        <w:t xml:space="preserve"> per person basis, </w:t>
      </w:r>
      <m:oMath>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m:t>
            </m:r>
          </m:sup>
        </m:sSubSup>
      </m:oMath>
      <w:r w:rsidR="00A15DE6">
        <w:t xml:space="preserve"> and </w:t>
      </w:r>
      <m:oMath>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  (Births)</m:t>
            </m:r>
          </m:sup>
        </m:sSubSup>
      </m:oMath>
      <w:r w:rsidR="00230DF0">
        <w:t xml:space="preserve"> are simply multiplied by projected per person revenues </w:t>
      </w:r>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r</m:t>
            </m:r>
          </m:sup>
        </m:sSubSup>
      </m:oMath>
      <w:r w:rsidR="005C7071">
        <w:t xml:space="preserve">, which are constant over </w:t>
      </w:r>
      <w:r w:rsidR="00A229E9">
        <w:t>age, gender and visa category.</w:t>
      </w:r>
      <w:r w:rsidR="005C7071">
        <w:t xml:space="preserve"> </w:t>
      </w:r>
    </w:p>
    <w:p w:rsidR="000B5E8F" w:rsidRDefault="00230DF0" w:rsidP="003320FE">
      <w:pPr>
        <w:pStyle w:val="BodyText"/>
        <w:tabs>
          <w:tab w:val="left" w:pos="1665"/>
        </w:tabs>
      </w:pPr>
      <w:r>
        <w:t xml:space="preserve">Similarly, </w:t>
      </w:r>
      <w:r w:rsidR="005C7071">
        <w:t xml:space="preserve">the module derives </w:t>
      </w:r>
      <w:r w:rsidR="00041731">
        <w:t xml:space="preserve">estimates </w:t>
      </w:r>
      <w:r w:rsidR="005C7071">
        <w:t xml:space="preserve">of unemployment (persons) by </w:t>
      </w:r>
      <w:r w:rsidR="00A229E9">
        <w:t xml:space="preserve">age and gender, for all time periods and </w:t>
      </w:r>
      <w:r w:rsidR="005C7071">
        <w:t xml:space="preserve">for all </w:t>
      </w:r>
      <w:r w:rsidR="00A229E9">
        <w:t>visa categories</w:t>
      </w:r>
      <w:r w:rsidR="005C7071">
        <w:t xml:space="preserve">, which is used as an input to the expenditure </w:t>
      </w:r>
      <w:r w:rsidR="005C7071">
        <w:lastRenderedPageBreak/>
        <w:t>module as the basis for visa</w:t>
      </w:r>
      <w:r w:rsidR="005C7071">
        <w:noBreakHyphen/>
        <w:t>specific estimates of unemployment benefits.</w:t>
      </w:r>
      <w:r w:rsidR="00851FCB">
        <w:rPr>
          <w:rStyle w:val="FootnoteReference"/>
        </w:rPr>
        <w:footnoteReference w:id="8"/>
      </w:r>
      <w:r w:rsidR="005C7071">
        <w:t xml:space="preserve"> </w:t>
      </w:r>
      <w:r w:rsidR="001B4020">
        <w:t xml:space="preserve">These calculations account for waiting periods for immigrants to be eligible for unemployment benefits. </w:t>
      </w:r>
    </w:p>
    <w:p w:rsidR="00FA056C" w:rsidRDefault="001B4020" w:rsidP="00FA056C">
      <w:pPr>
        <w:pStyle w:val="BodyText"/>
      </w:pPr>
      <w:r>
        <w:t>A</w:t>
      </w:r>
      <w:r w:rsidR="00FA056C">
        <w:t xml:space="preserve">verage per person </w:t>
      </w:r>
      <w:r w:rsidR="00244925">
        <w:t>revenue</w:t>
      </w:r>
      <w:r w:rsidR="00C43D4F">
        <w:t>s</w:t>
      </w:r>
      <w:r>
        <w:t xml:space="preserve"> (in 2014 dollars) </w:t>
      </w:r>
      <w:r w:rsidR="00FA056C">
        <w:t xml:space="preserve">for </w:t>
      </w:r>
      <w:r w:rsidR="00966C72">
        <w:t>income tax</w:t>
      </w:r>
      <w:r w:rsidR="00FA056C">
        <w:t xml:space="preserve"> revenue</w:t>
      </w:r>
      <w:r w:rsidR="00966C72">
        <w:t xml:space="preserve"> (</w:t>
      </w:r>
      <w:r w:rsidR="00966C72" w:rsidRPr="009F583E">
        <w:rPr>
          <w:i/>
        </w:rPr>
        <w:t>Inc</w:t>
      </w:r>
      <w:r w:rsidR="00966C72">
        <w:t>.) and other revenues (</w:t>
      </w:r>
      <w:proofErr w:type="spellStart"/>
      <w:r w:rsidR="00966C72" w:rsidRPr="009F583E">
        <w:rPr>
          <w:i/>
        </w:rPr>
        <w:t>Oth</w:t>
      </w:r>
      <w:proofErr w:type="spellEnd"/>
      <w:r w:rsidR="00966C72">
        <w:t>.)</w:t>
      </w:r>
      <w:r w:rsidR="00FA056C">
        <w:t xml:space="preserve"> are </w:t>
      </w:r>
      <w:r>
        <w:t xml:space="preserve">projected according to the </w:t>
      </w:r>
      <w:r w:rsidR="00311713">
        <w:t xml:space="preserve">annual </w:t>
      </w:r>
      <w:r>
        <w:t xml:space="preserve">rate of </w:t>
      </w:r>
      <w:r w:rsidR="00311713">
        <w:t xml:space="preserve">real </w:t>
      </w:r>
      <w:r w:rsidR="00966C72">
        <w:t xml:space="preserve">output </w:t>
      </w:r>
      <w:r>
        <w:t xml:space="preserve">growth in the </w:t>
      </w:r>
      <w:proofErr w:type="spellStart"/>
      <w:r>
        <w:t>economywide</w:t>
      </w:r>
      <w:proofErr w:type="spellEnd"/>
      <w:r>
        <w:t xml:space="preserve"> modelling </w:t>
      </w:r>
      <w:r w:rsidR="00FA056C">
        <w:t>(</w:t>
      </w:r>
      <w:r w:rsidR="00311713">
        <w:t>1</w:t>
      </w:r>
      <w:r w:rsidR="002D731F">
        <w:t>1</w:t>
      </w:r>
      <w:r w:rsidR="00FA056C">
        <w:t>)</w:t>
      </w:r>
      <w:r w:rsidR="00311713">
        <w:t xml:space="preserve"> and (1</w:t>
      </w:r>
      <w:r w:rsidR="002D731F">
        <w:t>2</w:t>
      </w:r>
      <w:r w:rsidR="00311713">
        <w:t>)</w:t>
      </w:r>
      <w:r w:rsidR="00FA056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FA056C" w:rsidTr="00576DA3">
        <w:tc>
          <w:tcPr>
            <w:tcW w:w="8046" w:type="dxa"/>
          </w:tcPr>
          <w:p w:rsidR="00FA056C" w:rsidRDefault="00CC0BF3" w:rsidP="00C43D4F">
            <w:pPr>
              <w:pStyle w:val="BodyText"/>
            </w:pPr>
            <m:oMathPara>
              <m:oMath>
                <m:sSubSup>
                  <m:sSubSupPr>
                    <m:ctrlPr>
                      <w:rPr>
                        <w:rFonts w:ascii="Cambria Math" w:hAnsi="Cambria Math"/>
                        <w:i/>
                      </w:rPr>
                    </m:ctrlPr>
                  </m:sSubSupPr>
                  <m:e>
                    <m:r>
                      <w:rPr>
                        <w:rFonts w:ascii="Cambria Math" w:hAnsi="Cambria Math"/>
                      </w:rPr>
                      <m:t>R</m:t>
                    </m:r>
                  </m:e>
                  <m:sub>
                    <m:r>
                      <w:rPr>
                        <w:rFonts w:ascii="Cambria Math" w:hAnsi="Cambria Math"/>
                      </w:rPr>
                      <m:t>a,g,t</m:t>
                    </m:r>
                  </m:sub>
                  <m:sup>
                    <m:r>
                      <w:rPr>
                        <w:rFonts w:ascii="Cambria Math" w:hAnsi="Cambria Math"/>
                      </w:rPr>
                      <m:t>r=Inc.</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a,g,t-1</m:t>
                    </m:r>
                  </m:sub>
                  <m:sup>
                    <m:r>
                      <w:rPr>
                        <w:rFonts w:ascii="Cambria Math" w:hAnsi="Cambria Math"/>
                      </w:rPr>
                      <m:t>r=Inc.</m:t>
                    </m:r>
                  </m:sup>
                </m:sSubSup>
                <m:r>
                  <w:rPr>
                    <w:rFonts w:ascii="Cambria Math" w:hAnsi="Cambria Math"/>
                  </w:rPr>
                  <m:t>. (1+</m:t>
                </m:r>
                <m:sSub>
                  <m:sSubPr>
                    <m:ctrlPr>
                      <w:rPr>
                        <w:rFonts w:ascii="Cambria Math" w:hAnsi="Cambria Math"/>
                        <w:i/>
                      </w:rPr>
                    </m:ctrlPr>
                  </m:sSubPr>
                  <m:e>
                    <m:r>
                      <w:rPr>
                        <w:rFonts w:ascii="Cambria Math" w:hAnsi="Cambria Math"/>
                      </w:rPr>
                      <m:t>∆GDP</m:t>
                    </m:r>
                  </m:e>
                  <m:sub>
                    <m:r>
                      <w:rPr>
                        <w:rFonts w:ascii="Cambria Math" w:hAnsi="Cambria Math"/>
                      </w:rPr>
                      <m:t>t</m:t>
                    </m:r>
                  </m:sub>
                </m:sSub>
                <m:r>
                  <w:rPr>
                    <w:rFonts w:ascii="Cambria Math" w:hAnsi="Cambria Math"/>
                  </w:rPr>
                  <m:t>)</m:t>
                </m:r>
              </m:oMath>
            </m:oMathPara>
          </w:p>
        </w:tc>
        <w:tc>
          <w:tcPr>
            <w:tcW w:w="959" w:type="dxa"/>
          </w:tcPr>
          <w:p w:rsidR="00FA056C" w:rsidRDefault="00FA056C" w:rsidP="002D731F">
            <w:pPr>
              <w:pStyle w:val="BodyText"/>
            </w:pPr>
            <w:r>
              <w:t>(</w:t>
            </w:r>
            <w:r w:rsidR="00311713">
              <w:t>1</w:t>
            </w:r>
            <w:r w:rsidR="002D731F">
              <w:t>1</w:t>
            </w:r>
            <w:r>
              <w:t>)</w:t>
            </w:r>
          </w:p>
        </w:tc>
      </w:tr>
      <w:tr w:rsidR="00966C72" w:rsidTr="00966C72">
        <w:tc>
          <w:tcPr>
            <w:tcW w:w="8046" w:type="dxa"/>
          </w:tcPr>
          <w:p w:rsidR="00966C72" w:rsidRDefault="00CC0BF3" w:rsidP="00FC31BD">
            <w:pPr>
              <w:pStyle w:val="BodyText"/>
            </w:pPr>
            <m:oMathPara>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r=Oth.</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t-1</m:t>
                    </m:r>
                  </m:sub>
                  <m:sup>
                    <m:r>
                      <w:rPr>
                        <w:rFonts w:ascii="Cambria Math" w:hAnsi="Cambria Math"/>
                      </w:rPr>
                      <m:t>r=Oth.</m:t>
                    </m:r>
                  </m:sup>
                </m:sSubSup>
                <m:r>
                  <w:rPr>
                    <w:rFonts w:ascii="Cambria Math" w:hAnsi="Cambria Math"/>
                  </w:rPr>
                  <m:t>. (1+</m:t>
                </m:r>
                <m:sSub>
                  <m:sSubPr>
                    <m:ctrlPr>
                      <w:rPr>
                        <w:rFonts w:ascii="Cambria Math" w:hAnsi="Cambria Math"/>
                        <w:i/>
                      </w:rPr>
                    </m:ctrlPr>
                  </m:sSubPr>
                  <m:e>
                    <m:r>
                      <w:rPr>
                        <w:rFonts w:ascii="Cambria Math" w:hAnsi="Cambria Math"/>
                      </w:rPr>
                      <m:t>∆GDP</m:t>
                    </m:r>
                  </m:e>
                  <m:sub>
                    <m:r>
                      <w:rPr>
                        <w:rFonts w:ascii="Cambria Math" w:hAnsi="Cambria Math"/>
                      </w:rPr>
                      <m:t>t</m:t>
                    </m:r>
                  </m:sub>
                </m:sSub>
                <m:r>
                  <w:rPr>
                    <w:rFonts w:ascii="Cambria Math" w:hAnsi="Cambria Math"/>
                  </w:rPr>
                  <m:t>)</m:t>
                </m:r>
              </m:oMath>
            </m:oMathPara>
          </w:p>
        </w:tc>
        <w:tc>
          <w:tcPr>
            <w:tcW w:w="959" w:type="dxa"/>
          </w:tcPr>
          <w:p w:rsidR="00966C72" w:rsidRDefault="00966C72" w:rsidP="002D731F">
            <w:pPr>
              <w:pStyle w:val="BodyText"/>
            </w:pPr>
            <w:r>
              <w:t>(</w:t>
            </w:r>
            <w:r w:rsidR="00311713">
              <w:t>1</w:t>
            </w:r>
            <w:r w:rsidR="002D731F">
              <w:t>2</w:t>
            </w:r>
            <w:r>
              <w:t>)</w:t>
            </w:r>
          </w:p>
        </w:tc>
      </w:tr>
    </w:tbl>
    <w:p w:rsidR="0084618A" w:rsidRDefault="001B4020" w:rsidP="003320FE">
      <w:pPr>
        <w:pStyle w:val="BodyText"/>
        <w:tabs>
          <w:tab w:val="left" w:pos="1665"/>
        </w:tabs>
      </w:pPr>
      <w:r>
        <w:t xml:space="preserve">In respect of income tax, total revenues are therefore derived </w:t>
      </w:r>
      <w:r w:rsidR="00311713">
        <w:t>on the basis of growth in per person income tax revenues from (1</w:t>
      </w:r>
      <w:r w:rsidR="002D731F">
        <w:t>1</w:t>
      </w:r>
      <w:r w:rsidR="00311713">
        <w:t xml:space="preserve">), and employment estimates </w:t>
      </w:r>
      <w:r>
        <w:t>according to (</w:t>
      </w:r>
      <w:r w:rsidR="00311713">
        <w:t>1</w:t>
      </w:r>
      <w:r w:rsidR="002D731F">
        <w:t>3</w:t>
      </w:r>
      <w:r>
        <w:t>)</w:t>
      </w:r>
      <w:r w:rsidR="00311713">
        <w:t xml:space="preserve"> for the representative intake</w:t>
      </w:r>
      <w:r w:rsidR="00156C7E">
        <w:t xml:space="preserve">, and </w:t>
      </w:r>
      <w:r w:rsidR="00311713">
        <w:t>(1</w:t>
      </w:r>
      <w:r w:rsidR="002D731F">
        <w:t>4</w:t>
      </w:r>
      <w:r w:rsidR="00311713">
        <w:t xml:space="preserve">) </w:t>
      </w:r>
      <w:r w:rsidR="00156C7E">
        <w:t>for births</w:t>
      </w:r>
      <w:r w:rsidR="0031171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1B4020" w:rsidTr="00FC31BD">
        <w:tc>
          <w:tcPr>
            <w:tcW w:w="8046" w:type="dxa"/>
          </w:tcPr>
          <w:p w:rsidR="001B4020" w:rsidRDefault="00CC0BF3" w:rsidP="00966C72">
            <w:pPr>
              <w:pStyle w:val="BodyText"/>
            </w:pPr>
            <m:oMathPara>
              <m:oMath>
                <m:sSubSup>
                  <m:sSubSupPr>
                    <m:ctrlPr>
                      <w:rPr>
                        <w:rFonts w:ascii="Cambria Math" w:hAnsi="Cambria Math"/>
                        <w:i/>
                      </w:rPr>
                    </m:ctrlPr>
                  </m:sSubSupPr>
                  <m:e>
                    <m:r>
                      <w:rPr>
                        <w:rFonts w:ascii="Cambria Math" w:hAnsi="Cambria Math"/>
                      </w:rPr>
                      <m:t>TR</m:t>
                    </m:r>
                  </m:e>
                  <m:sub>
                    <m:r>
                      <w:rPr>
                        <w:rFonts w:ascii="Cambria Math" w:hAnsi="Cambria Math"/>
                      </w:rPr>
                      <m:t>a,g,t</m:t>
                    </m:r>
                  </m:sub>
                  <m:sup>
                    <m:r>
                      <w:rPr>
                        <w:rFonts w:ascii="Cambria Math" w:hAnsi="Cambria Math"/>
                      </w:rPr>
                      <m:t>r=Inc. (Rep.)</m:t>
                    </m:r>
                  </m:sup>
                </m:sSub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a,g,t</m:t>
                    </m:r>
                  </m:sub>
                  <m:sup>
                    <m:r>
                      <w:rPr>
                        <w:rFonts w:ascii="Cambria Math" w:hAnsi="Cambria Math"/>
                      </w:rPr>
                      <m:t>r=Inc.</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m:t>
                    </m:r>
                  </m:sup>
                </m:sSub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LFP</m:t>
                        </m:r>
                      </m:e>
                      <m:sub>
                        <m:r>
                          <w:rPr>
                            <w:rFonts w:ascii="Cambria Math" w:hAnsi="Cambria Math"/>
                          </w:rPr>
                          <m:t>v,a,g,t</m:t>
                        </m:r>
                      </m:sub>
                    </m:sSub>
                  </m:e>
                </m:d>
                <m:r>
                  <w:rPr>
                    <w:rFonts w:ascii="Cambria Math" w:hAnsi="Cambria Math"/>
                  </w:rPr>
                  <m:t>.(1-</m:t>
                </m:r>
                <m:sSub>
                  <m:sSubPr>
                    <m:ctrlPr>
                      <w:rPr>
                        <w:rFonts w:ascii="Cambria Math" w:hAnsi="Cambria Math"/>
                        <w:i/>
                      </w:rPr>
                    </m:ctrlPr>
                  </m:sSubPr>
                  <m:e>
                    <m:r>
                      <w:rPr>
                        <w:rFonts w:ascii="Cambria Math" w:hAnsi="Cambria Math"/>
                      </w:rPr>
                      <m:t>U</m:t>
                    </m:r>
                  </m:e>
                  <m:sub>
                    <m:r>
                      <w:rPr>
                        <w:rFonts w:ascii="Cambria Math" w:hAnsi="Cambria Math"/>
                      </w:rPr>
                      <m:t>v,a,g,t</m:t>
                    </m:r>
                  </m:sub>
                </m:sSub>
                <m:r>
                  <w:rPr>
                    <w:rFonts w:ascii="Cambria Math" w:hAnsi="Cambria Math"/>
                  </w:rPr>
                  <m:t>)</m:t>
                </m:r>
              </m:oMath>
            </m:oMathPara>
          </w:p>
        </w:tc>
        <w:tc>
          <w:tcPr>
            <w:tcW w:w="959" w:type="dxa"/>
          </w:tcPr>
          <w:p w:rsidR="001B4020" w:rsidRDefault="001B4020" w:rsidP="002D731F">
            <w:pPr>
              <w:pStyle w:val="BodyText"/>
            </w:pPr>
            <w:r>
              <w:t>(</w:t>
            </w:r>
            <w:r w:rsidR="00311713">
              <w:t>1</w:t>
            </w:r>
            <w:r w:rsidR="002D731F">
              <w:t>3</w:t>
            </w:r>
            <w:r>
              <w:t>)</w:t>
            </w:r>
          </w:p>
        </w:tc>
      </w:tr>
      <w:tr w:rsidR="00966C72" w:rsidTr="00FC31BD">
        <w:tc>
          <w:tcPr>
            <w:tcW w:w="8046" w:type="dxa"/>
          </w:tcPr>
          <w:p w:rsidR="00966C72" w:rsidRDefault="00CC0BF3" w:rsidP="00FC31BD">
            <w:pPr>
              <w:pStyle w:val="BodyText"/>
            </w:pPr>
            <m:oMathPara>
              <m:oMath>
                <m:sSubSup>
                  <m:sSubSupPr>
                    <m:ctrlPr>
                      <w:rPr>
                        <w:rFonts w:ascii="Cambria Math" w:hAnsi="Cambria Math"/>
                        <w:i/>
                      </w:rPr>
                    </m:ctrlPr>
                  </m:sSubSupPr>
                  <m:e>
                    <m:r>
                      <w:rPr>
                        <w:rFonts w:ascii="Cambria Math" w:hAnsi="Cambria Math"/>
                      </w:rPr>
                      <m:t>TR</m:t>
                    </m:r>
                  </m:e>
                  <m:sub>
                    <m:r>
                      <w:rPr>
                        <w:rFonts w:ascii="Cambria Math" w:hAnsi="Cambria Math"/>
                      </w:rPr>
                      <m:t>a,g,t</m:t>
                    </m:r>
                  </m:sub>
                  <m:sup>
                    <m:r>
                      <w:rPr>
                        <w:rFonts w:ascii="Cambria Math" w:hAnsi="Cambria Math"/>
                      </w:rPr>
                      <m:t>r=Inc. (Births)</m:t>
                    </m:r>
                  </m:sup>
                </m:sSub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a,g,t</m:t>
                    </m:r>
                  </m:sub>
                  <m:sup>
                    <m:r>
                      <w:rPr>
                        <w:rFonts w:ascii="Cambria Math" w:hAnsi="Cambria Math"/>
                      </w:rPr>
                      <m:t>r=Inc.</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 (Births)</m:t>
                    </m:r>
                  </m:sup>
                </m:sSub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LFP</m:t>
                        </m:r>
                      </m:e>
                      <m:sub>
                        <m:r>
                          <w:rPr>
                            <w:rFonts w:ascii="Cambria Math" w:hAnsi="Cambria Math"/>
                          </w:rPr>
                          <m:t>a,g,t</m:t>
                        </m:r>
                      </m:sub>
                    </m:sSub>
                  </m:e>
                </m:d>
                <m:r>
                  <w:rPr>
                    <w:rFonts w:ascii="Cambria Math" w:hAnsi="Cambria Math"/>
                  </w:rPr>
                  <m:t>.(1-</m:t>
                </m:r>
                <m:sSub>
                  <m:sSubPr>
                    <m:ctrlPr>
                      <w:rPr>
                        <w:rFonts w:ascii="Cambria Math" w:hAnsi="Cambria Math"/>
                        <w:i/>
                      </w:rPr>
                    </m:ctrlPr>
                  </m:sSubPr>
                  <m:e>
                    <m:r>
                      <w:rPr>
                        <w:rFonts w:ascii="Cambria Math" w:hAnsi="Cambria Math"/>
                      </w:rPr>
                      <m:t>U</m:t>
                    </m:r>
                  </m:e>
                  <m:sub>
                    <m:r>
                      <w:rPr>
                        <w:rFonts w:ascii="Cambria Math" w:hAnsi="Cambria Math"/>
                      </w:rPr>
                      <m:t>a,g,t</m:t>
                    </m:r>
                  </m:sub>
                </m:sSub>
                <m:r>
                  <w:rPr>
                    <w:rFonts w:ascii="Cambria Math" w:hAnsi="Cambria Math"/>
                  </w:rPr>
                  <m:t>)</m:t>
                </m:r>
              </m:oMath>
            </m:oMathPara>
          </w:p>
        </w:tc>
        <w:tc>
          <w:tcPr>
            <w:tcW w:w="959" w:type="dxa"/>
          </w:tcPr>
          <w:p w:rsidR="00966C72" w:rsidRDefault="00966C72" w:rsidP="002D731F">
            <w:pPr>
              <w:pStyle w:val="BodyText"/>
            </w:pPr>
            <w:r>
              <w:t>(</w:t>
            </w:r>
            <w:r w:rsidR="00311713">
              <w:t>1</w:t>
            </w:r>
            <w:r w:rsidR="002D731F">
              <w:t>4</w:t>
            </w:r>
            <w:r>
              <w:t>)</w:t>
            </w:r>
          </w:p>
        </w:tc>
      </w:tr>
    </w:tbl>
    <w:p w:rsidR="009F583E" w:rsidRDefault="009F583E" w:rsidP="009F583E">
      <w:pPr>
        <w:pStyle w:val="BodyText"/>
        <w:tabs>
          <w:tab w:val="left" w:pos="1665"/>
        </w:tabs>
      </w:pPr>
      <w:r>
        <w:t xml:space="preserve">In respect of other taxes, total revenues </w:t>
      </w:r>
      <w:r w:rsidR="00311713">
        <w:t>are therefore derived on the basis of growth in per pe</w:t>
      </w:r>
      <w:r w:rsidR="001A3DCA">
        <w:t>rson other tax revenues from (12</w:t>
      </w:r>
      <w:r w:rsidR="00311713">
        <w:t xml:space="preserve">), and the total number of immigrants from (6) and (7). Other revenues </w:t>
      </w:r>
      <w:r>
        <w:t>for the representative intake are therefore derived according to (</w:t>
      </w:r>
      <w:r w:rsidR="001A3DCA">
        <w:t>15</w:t>
      </w:r>
      <w:r>
        <w:t>)</w:t>
      </w:r>
      <w:r w:rsidR="00156C7E">
        <w:t>, and for births are derived according to (</w:t>
      </w:r>
      <w:r w:rsidR="001A3DCA">
        <w:t>16</w:t>
      </w:r>
      <w:r w:rsidR="00156C7E">
        <w:t>).</w:t>
      </w:r>
      <w:r w:rsidR="00455D95">
        <w:t xml:space="preserve"> For other taxes, R is a limited set of revenues depending on the model specification.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9F583E" w:rsidTr="00FC31BD">
        <w:tc>
          <w:tcPr>
            <w:tcW w:w="8046" w:type="dxa"/>
          </w:tcPr>
          <w:p w:rsidR="009F583E" w:rsidRDefault="00CC0BF3" w:rsidP="007131D3">
            <w:pPr>
              <w:pStyle w:val="BodyText"/>
            </w:pPr>
            <m:oMathPara>
              <m:oMath>
                <m:sSubSup>
                  <m:sSubSupPr>
                    <m:ctrlPr>
                      <w:rPr>
                        <w:rFonts w:ascii="Cambria Math" w:hAnsi="Cambria Math"/>
                        <w:i/>
                      </w:rPr>
                    </m:ctrlPr>
                  </m:sSubSupPr>
                  <m:e>
                    <m:r>
                      <w:rPr>
                        <w:rFonts w:ascii="Cambria Math" w:hAnsi="Cambria Math"/>
                      </w:rPr>
                      <m:t>TR</m:t>
                    </m:r>
                  </m:e>
                  <m:sub>
                    <m:r>
                      <w:rPr>
                        <w:rFonts w:ascii="Cambria Math" w:hAnsi="Cambria Math"/>
                      </w:rPr>
                      <m:t>a,g,t</m:t>
                    </m:r>
                  </m:sub>
                  <m:sup>
                    <m:r>
                      <w:rPr>
                        <w:rFonts w:ascii="Cambria Math" w:hAnsi="Cambria Math"/>
                      </w:rPr>
                      <m:t>r=Oth. (Rep.)</m:t>
                    </m:r>
                  </m:sup>
                </m:sSub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r=Oth.</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m:t>
                    </m:r>
                  </m:sup>
                </m:sSubSup>
              </m:oMath>
            </m:oMathPara>
          </w:p>
        </w:tc>
        <w:tc>
          <w:tcPr>
            <w:tcW w:w="959" w:type="dxa"/>
          </w:tcPr>
          <w:p w:rsidR="009F583E" w:rsidRDefault="009F583E" w:rsidP="001A3DCA">
            <w:pPr>
              <w:pStyle w:val="BodyText"/>
            </w:pPr>
            <w:r>
              <w:t>(</w:t>
            </w:r>
            <w:r w:rsidR="00311713">
              <w:t>1</w:t>
            </w:r>
            <w:r w:rsidR="001A3DCA">
              <w:t>5</w:t>
            </w:r>
            <w:r>
              <w:t>)</w:t>
            </w:r>
          </w:p>
        </w:tc>
      </w:tr>
      <w:tr w:rsidR="009F583E" w:rsidTr="00FC31BD">
        <w:tc>
          <w:tcPr>
            <w:tcW w:w="8046" w:type="dxa"/>
          </w:tcPr>
          <w:p w:rsidR="009F583E" w:rsidRDefault="00CC0BF3" w:rsidP="009F583E">
            <w:pPr>
              <w:pStyle w:val="BodyText"/>
            </w:pPr>
            <m:oMathPara>
              <m:oMath>
                <m:sSubSup>
                  <m:sSubSupPr>
                    <m:ctrlPr>
                      <w:rPr>
                        <w:rFonts w:ascii="Cambria Math" w:hAnsi="Cambria Math"/>
                        <w:i/>
                      </w:rPr>
                    </m:ctrlPr>
                  </m:sSubSupPr>
                  <m:e>
                    <m:r>
                      <w:rPr>
                        <w:rFonts w:ascii="Cambria Math" w:hAnsi="Cambria Math"/>
                      </w:rPr>
                      <m:t>TR</m:t>
                    </m:r>
                  </m:e>
                  <m:sub>
                    <m:r>
                      <w:rPr>
                        <w:rFonts w:ascii="Cambria Math" w:hAnsi="Cambria Math"/>
                      </w:rPr>
                      <m:t>a,g,t</m:t>
                    </m:r>
                  </m:sub>
                  <m:sup>
                    <m:r>
                      <w:rPr>
                        <w:rFonts w:ascii="Cambria Math" w:hAnsi="Cambria Math"/>
                      </w:rPr>
                      <m:t>r=Oth. (Births)</m:t>
                    </m:r>
                  </m:sup>
                </m:sSub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r=Oth.</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v,a,g,t</m:t>
                    </m:r>
                  </m:sub>
                  <m:sup>
                    <m:r>
                      <w:rPr>
                        <w:rFonts w:ascii="Cambria Math" w:hAnsi="Cambria Math"/>
                      </w:rPr>
                      <m:t>Rep. (Births)</m:t>
                    </m:r>
                  </m:sup>
                </m:sSubSup>
              </m:oMath>
            </m:oMathPara>
          </w:p>
        </w:tc>
        <w:tc>
          <w:tcPr>
            <w:tcW w:w="959" w:type="dxa"/>
          </w:tcPr>
          <w:p w:rsidR="009F583E" w:rsidRDefault="009F583E" w:rsidP="001A3DCA">
            <w:pPr>
              <w:pStyle w:val="BodyText"/>
            </w:pPr>
            <w:r>
              <w:t>(</w:t>
            </w:r>
            <w:r w:rsidR="001A3DCA">
              <w:t>16</w:t>
            </w:r>
            <w:r>
              <w:t>)</w:t>
            </w:r>
          </w:p>
        </w:tc>
      </w:tr>
    </w:tbl>
    <w:p w:rsidR="00FA056C" w:rsidRDefault="001B4020" w:rsidP="00311713">
      <w:pPr>
        <w:pStyle w:val="BodyText"/>
        <w:keepNext/>
        <w:tabs>
          <w:tab w:val="left" w:pos="1665"/>
        </w:tabs>
      </w:pPr>
      <w:r>
        <w:t xml:space="preserve">Total </w:t>
      </w:r>
      <w:r w:rsidR="009F583E">
        <w:t xml:space="preserve">projected </w:t>
      </w:r>
      <w:r>
        <w:t>revenues for the representative intake are therefore given by (</w:t>
      </w:r>
      <w:r w:rsidR="001A3DCA">
        <w:t>17</w:t>
      </w:r>
      <w:r>
        <w:t>)</w:t>
      </w:r>
      <w:r w:rsidR="00F71739">
        <w:t>, and for births by (</w:t>
      </w:r>
      <w:r w:rsidR="001A3DCA">
        <w:t>18</w:t>
      </w:r>
      <w:r w:rsidR="00F7173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82228C" w:rsidTr="008764F1">
        <w:tc>
          <w:tcPr>
            <w:tcW w:w="8046" w:type="dxa"/>
          </w:tcPr>
          <w:p w:rsidR="0082228C" w:rsidRDefault="00CC0BF3" w:rsidP="009F583E">
            <w:pPr>
              <w:pStyle w:val="BodyText"/>
            </w:pPr>
            <m:oMathPara>
              <m:oMath>
                <m:sSubSup>
                  <m:sSubSupPr>
                    <m:ctrlPr>
                      <w:rPr>
                        <w:rFonts w:ascii="Cambria Math" w:hAnsi="Cambria Math"/>
                        <w:i/>
                      </w:rPr>
                    </m:ctrlPr>
                  </m:sSubSupPr>
                  <m:e>
                    <m:r>
                      <w:rPr>
                        <w:rFonts w:ascii="Cambria Math" w:hAnsi="Cambria Math"/>
                      </w:rPr>
                      <m:t>TR</m:t>
                    </m:r>
                  </m:e>
                  <m:sub>
                    <m:r>
                      <w:rPr>
                        <w:rFonts w:ascii="Cambria Math" w:hAnsi="Cambria Math"/>
                      </w:rPr>
                      <m:t>r,v,t</m:t>
                    </m:r>
                  </m:sub>
                  <m:sup>
                    <m:r>
                      <w:rPr>
                        <w:rFonts w:ascii="Cambria Math" w:hAnsi="Cambria Math"/>
                      </w:rPr>
                      <m:t>Rep.</m:t>
                    </m:r>
                  </m:sup>
                </m:sSubSup>
                <m:r>
                  <w:rPr>
                    <w:rFonts w:ascii="Cambria Math" w:hAnsi="Cambria Math"/>
                  </w:rPr>
                  <m:t>=</m:t>
                </m:r>
                <m:nary>
                  <m:naryPr>
                    <m:chr m:val="∑"/>
                    <m:limLoc m:val="undOvr"/>
                    <m:ctrlPr>
                      <w:rPr>
                        <w:rFonts w:ascii="Cambria Math" w:hAnsi="Cambria Math"/>
                        <w:i/>
                      </w:rPr>
                    </m:ctrlPr>
                  </m:naryPr>
                  <m:sub>
                    <m:r>
                      <w:rPr>
                        <w:rFonts w:ascii="Cambria Math" w:hAnsi="Cambria Math"/>
                      </w:rPr>
                      <m:t>g</m:t>
                    </m:r>
                  </m:sub>
                  <m:sup>
                    <m:r>
                      <w:rPr>
                        <w:rFonts w:ascii="Cambria Math" w:hAnsi="Cambria Math"/>
                      </w:rPr>
                      <m:t>M,F</m:t>
                    </m:r>
                  </m:sup>
                  <m:e>
                    <m:nary>
                      <m:naryPr>
                        <m:chr m:val="∑"/>
                        <m:limLoc m:val="undOvr"/>
                        <m:ctrlPr>
                          <w:rPr>
                            <w:rFonts w:ascii="Cambria Math" w:hAnsi="Cambria Math"/>
                            <w:i/>
                          </w:rPr>
                        </m:ctrlPr>
                      </m:naryPr>
                      <m:sub>
                        <m:r>
                          <w:rPr>
                            <w:rFonts w:ascii="Cambria Math" w:hAnsi="Cambria Math"/>
                          </w:rPr>
                          <m:t>a=0</m:t>
                        </m:r>
                      </m:sub>
                      <m:sup>
                        <m:r>
                          <w:rPr>
                            <w:rFonts w:ascii="Cambria Math" w:hAnsi="Cambria Math"/>
                          </w:rPr>
                          <m:t>95+</m:t>
                        </m:r>
                      </m:sup>
                      <m:e>
                        <m:sSubSup>
                          <m:sSubSupPr>
                            <m:ctrlPr>
                              <w:rPr>
                                <w:rFonts w:ascii="Cambria Math" w:hAnsi="Cambria Math"/>
                                <w:i/>
                              </w:rPr>
                            </m:ctrlPr>
                          </m:sSubSupPr>
                          <m:e>
                            <m:r>
                              <w:rPr>
                                <w:rFonts w:ascii="Cambria Math" w:hAnsi="Cambria Math"/>
                              </w:rPr>
                              <m:t>TR</m:t>
                            </m:r>
                          </m:e>
                          <m:sub>
                            <m:r>
                              <w:rPr>
                                <w:rFonts w:ascii="Cambria Math" w:hAnsi="Cambria Math"/>
                              </w:rPr>
                              <m:t>a,g,t</m:t>
                            </m:r>
                          </m:sub>
                          <m:sup>
                            <m:r>
                              <w:rPr>
                                <w:rFonts w:ascii="Cambria Math" w:hAnsi="Cambria Math"/>
                              </w:rPr>
                              <m:t>r=Inc. (Rep.)</m:t>
                            </m:r>
                          </m:sup>
                        </m:sSubSup>
                        <m:r>
                          <w:rPr>
                            <w:rFonts w:ascii="Cambria Math" w:hAnsi="Cambria Math"/>
                          </w:rPr>
                          <m:t>+</m:t>
                        </m:r>
                        <m:sSubSup>
                          <m:sSubSupPr>
                            <m:ctrlPr>
                              <w:rPr>
                                <w:rFonts w:ascii="Cambria Math" w:hAnsi="Cambria Math"/>
                                <w:i/>
                              </w:rPr>
                            </m:ctrlPr>
                          </m:sSubSupPr>
                          <m:e>
                            <m:r>
                              <w:rPr>
                                <w:rFonts w:ascii="Cambria Math" w:hAnsi="Cambria Math"/>
                              </w:rPr>
                              <m:t>TR</m:t>
                            </m:r>
                          </m:e>
                          <m:sub>
                            <m:r>
                              <w:rPr>
                                <w:rFonts w:ascii="Cambria Math" w:hAnsi="Cambria Math"/>
                              </w:rPr>
                              <m:t>a,g,t</m:t>
                            </m:r>
                          </m:sub>
                          <m:sup>
                            <m:r>
                              <w:rPr>
                                <w:rFonts w:ascii="Cambria Math" w:hAnsi="Cambria Math"/>
                              </w:rPr>
                              <m:t>r=Oth. (Rep.)</m:t>
                            </m:r>
                          </m:sup>
                        </m:sSubSup>
                      </m:e>
                    </m:nary>
                  </m:e>
                </m:nary>
                <m:r>
                  <w:rPr>
                    <w:rFonts w:ascii="Cambria Math" w:hAnsi="Cambria Math"/>
                  </w:rPr>
                  <m:t xml:space="preserve">    ∀ r,v</m:t>
                </m:r>
              </m:oMath>
            </m:oMathPara>
          </w:p>
        </w:tc>
        <w:tc>
          <w:tcPr>
            <w:tcW w:w="959" w:type="dxa"/>
          </w:tcPr>
          <w:p w:rsidR="0082228C" w:rsidRDefault="0082228C" w:rsidP="001A3DCA">
            <w:pPr>
              <w:pStyle w:val="BodyText"/>
            </w:pPr>
            <w:r>
              <w:t>(</w:t>
            </w:r>
            <w:r w:rsidR="001A3DCA">
              <w:t>17</w:t>
            </w:r>
            <w:r>
              <w:t>)</w:t>
            </w:r>
          </w:p>
        </w:tc>
      </w:tr>
      <w:tr w:rsidR="009F583E" w:rsidTr="00FC31BD">
        <w:tc>
          <w:tcPr>
            <w:tcW w:w="8046" w:type="dxa"/>
          </w:tcPr>
          <w:p w:rsidR="009F583E" w:rsidRDefault="00CC0BF3" w:rsidP="009F583E">
            <w:pPr>
              <w:pStyle w:val="BodyText"/>
            </w:pPr>
            <m:oMathPara>
              <m:oMath>
                <m:sSubSup>
                  <m:sSubSupPr>
                    <m:ctrlPr>
                      <w:rPr>
                        <w:rFonts w:ascii="Cambria Math" w:hAnsi="Cambria Math"/>
                        <w:i/>
                      </w:rPr>
                    </m:ctrlPr>
                  </m:sSubSupPr>
                  <m:e>
                    <m:r>
                      <w:rPr>
                        <w:rFonts w:ascii="Cambria Math" w:hAnsi="Cambria Math"/>
                      </w:rPr>
                      <m:t>TR</m:t>
                    </m:r>
                  </m:e>
                  <m:sub>
                    <m:r>
                      <w:rPr>
                        <w:rFonts w:ascii="Cambria Math" w:hAnsi="Cambria Math"/>
                      </w:rPr>
                      <m:t>r,v,t</m:t>
                    </m:r>
                  </m:sub>
                  <m:sup>
                    <m:r>
                      <w:rPr>
                        <w:rFonts w:ascii="Cambria Math" w:hAnsi="Cambria Math"/>
                      </w:rPr>
                      <m:t>Rep.  (Births)</m:t>
                    </m:r>
                  </m:sup>
                </m:sSubSup>
                <m:r>
                  <w:rPr>
                    <w:rFonts w:ascii="Cambria Math" w:hAnsi="Cambria Math"/>
                  </w:rPr>
                  <m:t>=</m:t>
                </m:r>
                <m:nary>
                  <m:naryPr>
                    <m:chr m:val="∑"/>
                    <m:limLoc m:val="undOvr"/>
                    <m:ctrlPr>
                      <w:rPr>
                        <w:rFonts w:ascii="Cambria Math" w:hAnsi="Cambria Math"/>
                        <w:i/>
                      </w:rPr>
                    </m:ctrlPr>
                  </m:naryPr>
                  <m:sub>
                    <m:r>
                      <w:rPr>
                        <w:rFonts w:ascii="Cambria Math" w:hAnsi="Cambria Math"/>
                      </w:rPr>
                      <m:t>g</m:t>
                    </m:r>
                  </m:sub>
                  <m:sup>
                    <m:r>
                      <w:rPr>
                        <w:rFonts w:ascii="Cambria Math" w:hAnsi="Cambria Math"/>
                      </w:rPr>
                      <m:t>M,F</m:t>
                    </m:r>
                  </m:sup>
                  <m:e>
                    <m:nary>
                      <m:naryPr>
                        <m:chr m:val="∑"/>
                        <m:limLoc m:val="undOvr"/>
                        <m:ctrlPr>
                          <w:rPr>
                            <w:rFonts w:ascii="Cambria Math" w:hAnsi="Cambria Math"/>
                            <w:i/>
                          </w:rPr>
                        </m:ctrlPr>
                      </m:naryPr>
                      <m:sub>
                        <m:r>
                          <w:rPr>
                            <w:rFonts w:ascii="Cambria Math" w:hAnsi="Cambria Math"/>
                          </w:rPr>
                          <m:t>a=0</m:t>
                        </m:r>
                      </m:sub>
                      <m:sup>
                        <m:r>
                          <w:rPr>
                            <w:rFonts w:ascii="Cambria Math" w:hAnsi="Cambria Math"/>
                          </w:rPr>
                          <m:t>95+</m:t>
                        </m:r>
                      </m:sup>
                      <m:e>
                        <m:sSubSup>
                          <m:sSubSupPr>
                            <m:ctrlPr>
                              <w:rPr>
                                <w:rFonts w:ascii="Cambria Math" w:hAnsi="Cambria Math"/>
                                <w:i/>
                              </w:rPr>
                            </m:ctrlPr>
                          </m:sSubSupPr>
                          <m:e>
                            <m:r>
                              <w:rPr>
                                <w:rFonts w:ascii="Cambria Math" w:hAnsi="Cambria Math"/>
                              </w:rPr>
                              <m:t>TR</m:t>
                            </m:r>
                          </m:e>
                          <m:sub>
                            <m:r>
                              <w:rPr>
                                <w:rFonts w:ascii="Cambria Math" w:hAnsi="Cambria Math"/>
                              </w:rPr>
                              <m:t>a,g,t</m:t>
                            </m:r>
                          </m:sub>
                          <m:sup>
                            <m:r>
                              <w:rPr>
                                <w:rFonts w:ascii="Cambria Math" w:hAnsi="Cambria Math"/>
                              </w:rPr>
                              <m:t>r=Inc. (Births)</m:t>
                            </m:r>
                          </m:sup>
                        </m:sSubSup>
                        <m:r>
                          <w:rPr>
                            <w:rFonts w:ascii="Cambria Math" w:hAnsi="Cambria Math"/>
                          </w:rPr>
                          <m:t>+</m:t>
                        </m:r>
                        <m:sSubSup>
                          <m:sSubSupPr>
                            <m:ctrlPr>
                              <w:rPr>
                                <w:rFonts w:ascii="Cambria Math" w:hAnsi="Cambria Math"/>
                                <w:i/>
                              </w:rPr>
                            </m:ctrlPr>
                          </m:sSubSupPr>
                          <m:e>
                            <m:r>
                              <w:rPr>
                                <w:rFonts w:ascii="Cambria Math" w:hAnsi="Cambria Math"/>
                              </w:rPr>
                              <m:t>TR</m:t>
                            </m:r>
                          </m:e>
                          <m:sub>
                            <m:r>
                              <w:rPr>
                                <w:rFonts w:ascii="Cambria Math" w:hAnsi="Cambria Math"/>
                              </w:rPr>
                              <m:t>a,g,t</m:t>
                            </m:r>
                          </m:sub>
                          <m:sup>
                            <m:r>
                              <w:rPr>
                                <w:rFonts w:ascii="Cambria Math" w:hAnsi="Cambria Math"/>
                              </w:rPr>
                              <m:t>r=Oth. (Births.)</m:t>
                            </m:r>
                          </m:sup>
                        </m:sSubSup>
                      </m:e>
                    </m:nary>
                  </m:e>
                </m:nary>
                <m:r>
                  <w:rPr>
                    <w:rFonts w:ascii="Cambria Math" w:hAnsi="Cambria Math"/>
                  </w:rPr>
                  <m:t xml:space="preserve">    ∀ r,v</m:t>
                </m:r>
              </m:oMath>
            </m:oMathPara>
          </w:p>
        </w:tc>
        <w:tc>
          <w:tcPr>
            <w:tcW w:w="959" w:type="dxa"/>
          </w:tcPr>
          <w:p w:rsidR="009F583E" w:rsidRDefault="009F583E" w:rsidP="001A3DCA">
            <w:pPr>
              <w:pStyle w:val="BodyText"/>
            </w:pPr>
            <w:r>
              <w:t>(</w:t>
            </w:r>
            <w:r w:rsidR="001A3DCA">
              <w:t>18</w:t>
            </w:r>
            <w:r>
              <w:t>)</w:t>
            </w:r>
          </w:p>
        </w:tc>
      </w:tr>
    </w:tbl>
    <w:p w:rsidR="003E221C" w:rsidRDefault="00F71739" w:rsidP="00302CCB">
      <w:pPr>
        <w:pStyle w:val="Heading3"/>
      </w:pPr>
      <w:r>
        <w:lastRenderedPageBreak/>
        <w:t>Net fiscal impacts and n</w:t>
      </w:r>
      <w:r w:rsidR="003E221C">
        <w:t xml:space="preserve">et </w:t>
      </w:r>
      <w:r>
        <w:t>present values</w:t>
      </w:r>
    </w:p>
    <w:p w:rsidR="003D0718" w:rsidRDefault="00F71739" w:rsidP="00473207">
      <w:pPr>
        <w:pStyle w:val="BodyText"/>
      </w:pPr>
      <w:r>
        <w:t xml:space="preserve">In light of the above, it is simple to derive immigrants’ net fiscal impacts </w:t>
      </w:r>
      <m:oMath>
        <m:sSub>
          <m:sSubPr>
            <m:ctrlPr>
              <w:rPr>
                <w:rFonts w:ascii="Cambria Math" w:hAnsi="Cambria Math"/>
                <w:i/>
              </w:rPr>
            </m:ctrlPr>
          </m:sSubPr>
          <m:e>
            <m:r>
              <w:rPr>
                <w:rFonts w:ascii="Cambria Math" w:hAnsi="Cambria Math"/>
              </w:rPr>
              <m:t>NFI</m:t>
            </m:r>
          </m:e>
          <m:sub>
            <m:r>
              <w:rPr>
                <w:rFonts w:ascii="Cambria Math" w:hAnsi="Cambria Math"/>
              </w:rPr>
              <m:t>t</m:t>
            </m:r>
          </m:sub>
        </m:sSub>
      </m:oMath>
      <w:r w:rsidR="003D0718">
        <w:t xml:space="preserve"> </w:t>
      </w:r>
      <w:r>
        <w:t xml:space="preserve">for the representative intake. </w:t>
      </w:r>
      <w:r w:rsidR="008064AB">
        <w:t>I</w:t>
      </w:r>
      <w:r w:rsidR="003D0718">
        <w:t>t is</w:t>
      </w:r>
      <w:r w:rsidR="008064AB">
        <w:t xml:space="preserve"> equal to</w:t>
      </w:r>
      <w:r>
        <w:t xml:space="preserve"> the difference between </w:t>
      </w:r>
      <w:r w:rsidR="003D0718">
        <w:t xml:space="preserve">projected </w:t>
      </w:r>
      <w:r>
        <w:t xml:space="preserve">total annual revenues and total annual expenditures for each </w:t>
      </w:r>
      <w:r w:rsidR="003D0718" w:rsidRPr="00311713">
        <w:t>visa category</w:t>
      </w:r>
      <w:r w:rsidR="00311713">
        <w:t xml:space="preserve">. </w:t>
      </w:r>
      <m:oMath>
        <m:sSub>
          <m:sSubPr>
            <m:ctrlPr>
              <w:rPr>
                <w:rFonts w:ascii="Cambria Math" w:hAnsi="Cambria Math"/>
                <w:i/>
              </w:rPr>
            </m:ctrlPr>
          </m:sSubPr>
          <m:e>
            <m:r>
              <w:rPr>
                <w:rFonts w:ascii="Cambria Math" w:hAnsi="Cambria Math"/>
              </w:rPr>
              <m:t>NFI</m:t>
            </m:r>
          </m:e>
          <m:sub>
            <m:r>
              <w:rPr>
                <w:rFonts w:ascii="Cambria Math" w:hAnsi="Cambria Math"/>
              </w:rPr>
              <m:t>t</m:t>
            </m:r>
          </m:sub>
        </m:sSub>
      </m:oMath>
      <w:r w:rsidR="00CB5626">
        <w:t xml:space="preserve"> </w:t>
      </w:r>
      <w:r w:rsidR="003D0718">
        <w:t xml:space="preserve">is </w:t>
      </w:r>
      <w:r w:rsidR="008064AB">
        <w:t xml:space="preserve">therefore </w:t>
      </w:r>
      <w:r w:rsidR="003D0718">
        <w:t xml:space="preserve">given by </w:t>
      </w:r>
      <w:r w:rsidR="00CB5626">
        <w:t>(</w:t>
      </w:r>
      <w:r w:rsidR="001A3DCA">
        <w:t>19</w:t>
      </w:r>
      <w:r w:rsidR="008064A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CB5626" w:rsidTr="00FC31BD">
        <w:tc>
          <w:tcPr>
            <w:tcW w:w="8046" w:type="dxa"/>
          </w:tcPr>
          <w:p w:rsidR="00CB5626" w:rsidRDefault="00CC0BF3" w:rsidP="00CB5626">
            <w:pPr>
              <w:pStyle w:val="BodyText"/>
            </w:pPr>
            <m:oMathPara>
              <m:oMath>
                <m:sSubSup>
                  <m:sSubSupPr>
                    <m:ctrlPr>
                      <w:rPr>
                        <w:rFonts w:ascii="Cambria Math" w:hAnsi="Cambria Math"/>
                        <w:i/>
                      </w:rPr>
                    </m:ctrlPr>
                  </m:sSubSupPr>
                  <m:e>
                    <m:r>
                      <w:rPr>
                        <w:rFonts w:ascii="Cambria Math" w:hAnsi="Cambria Math"/>
                      </w:rPr>
                      <m:t>NFI</m:t>
                    </m:r>
                  </m:e>
                  <m:sub>
                    <m:r>
                      <w:rPr>
                        <w:rFonts w:ascii="Cambria Math" w:hAnsi="Cambria Math"/>
                      </w:rPr>
                      <m:t>v,t</m:t>
                    </m:r>
                  </m:sub>
                  <m:sup>
                    <m:r>
                      <w:rPr>
                        <w:rFonts w:ascii="Cambria Math" w:hAnsi="Cambria Math"/>
                      </w:rPr>
                      <m:t>Rep.</m:t>
                    </m:r>
                  </m:sup>
                </m:sSubSup>
                <m:r>
                  <w:rPr>
                    <w:rFonts w:ascii="Cambria Math" w:hAnsi="Cambria Math"/>
                  </w:rPr>
                  <m:t>=</m:t>
                </m:r>
                <m:nary>
                  <m:naryPr>
                    <m:chr m:val="∑"/>
                    <m:limLoc m:val="undOvr"/>
                    <m:ctrlPr>
                      <w:rPr>
                        <w:rFonts w:ascii="Cambria Math" w:hAnsi="Cambria Math"/>
                        <w:i/>
                      </w:rPr>
                    </m:ctrlPr>
                  </m:naryPr>
                  <m:sub>
                    <m:r>
                      <w:rPr>
                        <w:rFonts w:ascii="Cambria Math" w:hAnsi="Cambria Math"/>
                      </w:rPr>
                      <m:t>r=1</m:t>
                    </m:r>
                  </m:sub>
                  <m:sup>
                    <m:r>
                      <w:rPr>
                        <w:rFonts w:ascii="Cambria Math" w:hAnsi="Cambria Math"/>
                      </w:rPr>
                      <m:t>R</m:t>
                    </m:r>
                  </m:sup>
                  <m:e>
                    <m:sSubSup>
                      <m:sSubSupPr>
                        <m:ctrlPr>
                          <w:rPr>
                            <w:rFonts w:ascii="Cambria Math" w:hAnsi="Cambria Math"/>
                            <w:i/>
                          </w:rPr>
                        </m:ctrlPr>
                      </m:sSubSupPr>
                      <m:e>
                        <m:r>
                          <w:rPr>
                            <w:rFonts w:ascii="Cambria Math" w:hAnsi="Cambria Math"/>
                          </w:rPr>
                          <m:t>TR</m:t>
                        </m:r>
                      </m:e>
                      <m:sub>
                        <m:r>
                          <w:rPr>
                            <w:rFonts w:ascii="Cambria Math" w:hAnsi="Cambria Math"/>
                          </w:rPr>
                          <m:t>r,v,t</m:t>
                        </m:r>
                      </m:sub>
                      <m:sup>
                        <m:r>
                          <w:rPr>
                            <w:rFonts w:ascii="Cambria Math" w:hAnsi="Cambria Math"/>
                          </w:rPr>
                          <m:t>Rep.</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e=1</m:t>
                    </m:r>
                  </m:sub>
                  <m:sup>
                    <m:r>
                      <w:rPr>
                        <w:rFonts w:ascii="Cambria Math" w:hAnsi="Cambria Math"/>
                      </w:rPr>
                      <m:t>E</m:t>
                    </m:r>
                  </m:sup>
                  <m:e>
                    <m:sSubSup>
                      <m:sSubSupPr>
                        <m:ctrlPr>
                          <w:rPr>
                            <w:rFonts w:ascii="Cambria Math" w:hAnsi="Cambria Math"/>
                            <w:i/>
                          </w:rPr>
                        </m:ctrlPr>
                      </m:sSubSupPr>
                      <m:e>
                        <m:r>
                          <w:rPr>
                            <w:rFonts w:ascii="Cambria Math" w:hAnsi="Cambria Math"/>
                          </w:rPr>
                          <m:t>TE</m:t>
                        </m:r>
                      </m:e>
                      <m:sub>
                        <m:r>
                          <w:rPr>
                            <w:rFonts w:ascii="Cambria Math" w:hAnsi="Cambria Math"/>
                          </w:rPr>
                          <m:t>e,v,t</m:t>
                        </m:r>
                      </m:sub>
                      <m:sup>
                        <m:r>
                          <w:rPr>
                            <w:rFonts w:ascii="Cambria Math" w:hAnsi="Cambria Math"/>
                          </w:rPr>
                          <m:t>Rep.</m:t>
                        </m:r>
                      </m:sup>
                    </m:sSubSup>
                  </m:e>
                </m:nary>
              </m:oMath>
            </m:oMathPara>
          </w:p>
        </w:tc>
        <w:tc>
          <w:tcPr>
            <w:tcW w:w="959" w:type="dxa"/>
          </w:tcPr>
          <w:p w:rsidR="00CB5626" w:rsidRDefault="00CB5626" w:rsidP="001A3DCA">
            <w:pPr>
              <w:pStyle w:val="BodyText"/>
            </w:pPr>
            <w:r>
              <w:t>(</w:t>
            </w:r>
            <w:r w:rsidR="001A3DCA">
              <w:t>19</w:t>
            </w:r>
            <w:r>
              <w:t>)</w:t>
            </w:r>
          </w:p>
        </w:tc>
      </w:tr>
    </w:tbl>
    <w:p w:rsidR="003E221C" w:rsidRDefault="00303463" w:rsidP="00473207">
      <w:pPr>
        <w:pStyle w:val="BodyText"/>
      </w:pPr>
      <w:r>
        <w:t xml:space="preserve">For the purpose of calculating </w:t>
      </w:r>
      <w:r w:rsidRPr="00CB5626">
        <w:rPr>
          <w:i/>
        </w:rPr>
        <w:t>lifetime</w:t>
      </w:r>
      <w:r>
        <w:t xml:space="preserve"> net present values of immigrants’ net fiscal impacts</w:t>
      </w:r>
      <w:r w:rsidR="00311713">
        <w:t xml:space="preserve"> (2</w:t>
      </w:r>
      <w:r w:rsidR="008064AB">
        <w:t>0</w:t>
      </w:r>
      <w:r w:rsidR="00311713">
        <w:t>)</w:t>
      </w:r>
      <w:r w:rsidR="00F71739">
        <w:t xml:space="preserve">, we focus on immigrants in </w:t>
      </w:r>
      <m:oMath>
        <m:sSub>
          <m:sSubPr>
            <m:ctrlPr>
              <w:rPr>
                <w:rFonts w:ascii="Cambria Math" w:hAnsi="Cambria Math"/>
                <w:i/>
              </w:rPr>
            </m:ctrlPr>
          </m:sSubPr>
          <m:e>
            <m:r>
              <w:rPr>
                <w:rFonts w:ascii="Cambria Math" w:hAnsi="Cambria Math"/>
              </w:rPr>
              <m:t>NOM</m:t>
            </m:r>
          </m:e>
          <m:sub>
            <m:r>
              <w:rPr>
                <w:rFonts w:ascii="Cambria Math" w:hAnsi="Cambria Math"/>
              </w:rPr>
              <m:t>t=1</m:t>
            </m:r>
          </m:sub>
        </m:sSub>
      </m:oMath>
      <w:r>
        <w:t xml:space="preserve"> </w:t>
      </w:r>
      <w:r w:rsidR="00A229E9">
        <w:t>only</w:t>
      </w:r>
      <w:r w:rsidR="00F71739">
        <w:t xml:space="preserve"> and exclude births, as inclusion </w:t>
      </w:r>
      <w:r w:rsidR="00CB5626">
        <w:t>thereof would count over multiple ‘lives’ and obfuscate</w:t>
      </w:r>
      <w:r w:rsidR="00F71739">
        <w:t xml:space="preserve"> the </w:t>
      </w:r>
      <w:proofErr w:type="spellStart"/>
      <w:r w:rsidR="00F71739">
        <w:t>NPV</w:t>
      </w:r>
      <w:proofErr w:type="spellEnd"/>
      <w:r w:rsidR="00F71739">
        <w:t xml:space="preserve"> being ‘lifetime’.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959"/>
      </w:tblGrid>
      <w:tr w:rsidR="00303463" w:rsidTr="00576DA3">
        <w:tc>
          <w:tcPr>
            <w:tcW w:w="8046" w:type="dxa"/>
          </w:tcPr>
          <w:p w:rsidR="00303463" w:rsidRDefault="00CC0BF3" w:rsidP="00F71739">
            <w:pPr>
              <w:pStyle w:val="BodyText"/>
            </w:pPr>
            <m:oMathPara>
              <m:oMath>
                <m:sSub>
                  <m:sSubPr>
                    <m:ctrlPr>
                      <w:rPr>
                        <w:rFonts w:ascii="Cambria Math" w:hAnsi="Cambria Math"/>
                        <w:i/>
                      </w:rPr>
                    </m:ctrlPr>
                  </m:sSubPr>
                  <m:e>
                    <m:r>
                      <w:rPr>
                        <w:rFonts w:ascii="Cambria Math" w:hAnsi="Cambria Math"/>
                      </w:rPr>
                      <m:t>NPV</m:t>
                    </m:r>
                  </m:e>
                  <m:sub>
                    <m:r>
                      <w:rPr>
                        <w:rFonts w:ascii="Cambria Math" w:hAnsi="Cambria Math"/>
                      </w:rPr>
                      <m:t>v,a</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t=1</m:t>
                    </m:r>
                  </m:sub>
                  <m:sup>
                    <m:sSub>
                      <m:sSubPr>
                        <m:ctrlPr>
                          <w:rPr>
                            <w:rFonts w:ascii="Cambria Math" w:hAnsi="Cambria Math"/>
                            <w:i/>
                          </w:rPr>
                        </m:ctrlPr>
                      </m:sSubPr>
                      <m:e>
                        <m:r>
                          <w:rPr>
                            <w:rFonts w:ascii="Cambria Math" w:hAnsi="Cambria Math"/>
                          </w:rPr>
                          <m:t>t</m:t>
                        </m:r>
                      </m:e>
                      <m:sub>
                        <m:r>
                          <w:rPr>
                            <w:rFonts w:ascii="Cambria Math" w:hAnsi="Cambria Math"/>
                          </w:rPr>
                          <m:t>R</m:t>
                        </m:r>
                      </m:sub>
                    </m:sSub>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1+r</m:t>
                                </m:r>
                              </m:den>
                            </m:f>
                          </m:e>
                        </m:d>
                      </m:e>
                      <m:sup>
                        <m:r>
                          <w:rPr>
                            <w:rFonts w:ascii="Cambria Math" w:hAnsi="Cambria Math"/>
                          </w:rPr>
                          <m:t>t</m:t>
                        </m:r>
                      </m:sup>
                    </m:sSup>
                  </m:e>
                </m:nary>
                <m:sSubSup>
                  <m:sSubSupPr>
                    <m:ctrlPr>
                      <w:rPr>
                        <w:rFonts w:ascii="Cambria Math" w:hAnsi="Cambria Math"/>
                        <w:i/>
                      </w:rPr>
                    </m:ctrlPr>
                  </m:sSubSupPr>
                  <m:e>
                    <m:r>
                      <w:rPr>
                        <w:rFonts w:ascii="Cambria Math" w:hAnsi="Cambria Math"/>
                      </w:rPr>
                      <m:t>NFI</m:t>
                    </m:r>
                  </m:e>
                  <m:sub>
                    <m:r>
                      <w:rPr>
                        <w:rFonts w:ascii="Cambria Math" w:hAnsi="Cambria Math"/>
                      </w:rPr>
                      <m:t>v,a,t</m:t>
                    </m:r>
                  </m:sub>
                  <m:sup>
                    <m:r>
                      <w:rPr>
                        <w:rFonts w:ascii="Cambria Math" w:hAnsi="Cambria Math"/>
                      </w:rPr>
                      <m:t>Rep</m:t>
                    </m:r>
                  </m:sup>
                </m:sSubSup>
              </m:oMath>
            </m:oMathPara>
          </w:p>
        </w:tc>
        <w:tc>
          <w:tcPr>
            <w:tcW w:w="959" w:type="dxa"/>
          </w:tcPr>
          <w:p w:rsidR="00303463" w:rsidRDefault="00303463" w:rsidP="008064AB">
            <w:pPr>
              <w:pStyle w:val="BodyText"/>
            </w:pPr>
            <w:r>
              <w:t>(</w:t>
            </w:r>
            <w:r w:rsidR="00311713">
              <w:t>2</w:t>
            </w:r>
            <w:r w:rsidR="008064AB">
              <w:t>0</w:t>
            </w:r>
            <w:r>
              <w:t>)</w:t>
            </w:r>
          </w:p>
        </w:tc>
      </w:tr>
    </w:tbl>
    <w:p w:rsidR="00303463" w:rsidRPr="00473207" w:rsidRDefault="00303463" w:rsidP="00473207">
      <w:pPr>
        <w:pStyle w:val="BodyText"/>
      </w:pPr>
      <w:r>
        <w:t>Where</w:t>
      </w:r>
      <w:r w:rsidR="00961F4F">
        <w:t xml:space="preserve"> </w:t>
      </w:r>
      <w:r w:rsidR="00961F4F" w:rsidRPr="00961F4F">
        <w:rPr>
          <w:i/>
        </w:rPr>
        <w:t>a</w:t>
      </w:r>
      <w:r w:rsidR="00961F4F">
        <w:t xml:space="preserve"> refers to age on arrival, and</w:t>
      </w:r>
      <w:r>
        <w:t xml:space="preserve">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 xml:space="preserve"> is </w:t>
      </w:r>
      <w:r w:rsidR="00240ADD">
        <w:t xml:space="preserve">the number of periods </w:t>
      </w:r>
      <w:r w:rsidR="00240ADD" w:rsidRPr="00240ADD">
        <w:rPr>
          <w:i/>
        </w:rPr>
        <w:t>t</w:t>
      </w:r>
      <w:r w:rsidR="00961F4F">
        <w:t xml:space="preserve"> until someone</w:t>
      </w:r>
      <w:r>
        <w:t xml:space="preserve"> age </w:t>
      </w:r>
      <w:proofErr w:type="spellStart"/>
      <w:r w:rsidRPr="00961F4F">
        <w:rPr>
          <w:i/>
        </w:rPr>
        <w:t>a</w:t>
      </w:r>
      <w:proofErr w:type="spellEnd"/>
      <w:r>
        <w:t xml:space="preserve"> </w:t>
      </w:r>
      <w:r w:rsidR="006866BD">
        <w:t xml:space="preserve">on arrival </w:t>
      </w:r>
      <w:r>
        <w:t xml:space="preserve">is no longer resident </w:t>
      </w:r>
      <w:r w:rsidR="00961F4F">
        <w:t xml:space="preserve">in the country </w:t>
      </w:r>
      <w:r>
        <w:t xml:space="preserve">due either to mortality or emigration. </w:t>
      </w:r>
      <w:r w:rsidR="00240ADD">
        <w:t xml:space="preserve">In the model, this calculation requires ‘unpacking’ the 95+ age category using mortality rates for that age category (because there are more time periods than there are age categories in the model). </w:t>
      </w:r>
    </w:p>
    <w:p w:rsidR="00603B39" w:rsidRDefault="00803421" w:rsidP="00E50D8F">
      <w:pPr>
        <w:pStyle w:val="Heading2"/>
      </w:pPr>
      <w:proofErr w:type="spellStart"/>
      <w:r>
        <w:t>D.</w:t>
      </w:r>
      <w:r>
        <w:rPr>
          <w:noProof/>
        </w:rPr>
        <w:t>2</w:t>
      </w:r>
      <w:proofErr w:type="spellEnd"/>
      <w:r>
        <w:tab/>
      </w:r>
      <w:r w:rsidR="003E1AE8">
        <w:t>Illustrative</w:t>
      </w:r>
      <w:r w:rsidR="00227C56">
        <w:t xml:space="preserve"> aggregate </w:t>
      </w:r>
      <w:r w:rsidR="003E1AE8">
        <w:t>net fiscal impacts</w:t>
      </w:r>
    </w:p>
    <w:p w:rsidR="00263DE7" w:rsidRDefault="00227C56" w:rsidP="00263DE7">
      <w:pPr>
        <w:pStyle w:val="BodyText"/>
      </w:pPr>
      <w:r>
        <w:t>T</w:t>
      </w:r>
      <w:r w:rsidR="00263DE7">
        <w:t xml:space="preserve">his section presents </w:t>
      </w:r>
      <w:r>
        <w:t xml:space="preserve">illustrative </w:t>
      </w:r>
      <w:r w:rsidR="009C2F48">
        <w:t>aggregate net fiscal impacts</w:t>
      </w:r>
      <w:r w:rsidR="00263DE7">
        <w:t xml:space="preserve"> </w:t>
      </w:r>
      <w:r>
        <w:t>for the</w:t>
      </w:r>
      <w:r w:rsidR="00263DE7">
        <w:t xml:space="preserve"> model specification</w:t>
      </w:r>
      <w:r>
        <w:t xml:space="preserve"> underlying the inquiry report, namely Specification 2, which </w:t>
      </w:r>
      <w:r w:rsidR="003E1AE8">
        <w:t>includes key expenditures and revenues attributable to immigrants at both the Commonwealth and state and territory government levels</w:t>
      </w:r>
      <w:r w:rsidR="009C2F48">
        <w:t>.</w:t>
      </w:r>
      <w:r w:rsidR="000740E9">
        <w:t xml:space="preserve"> This specification underpins the results presented in chapter 9</w:t>
      </w:r>
      <w:r w:rsidR="00803421">
        <w:t xml:space="preserve"> of the inquiry report</w:t>
      </w:r>
      <w:r w:rsidR="000740E9">
        <w:t>.</w:t>
      </w:r>
    </w:p>
    <w:p w:rsidR="00560F15" w:rsidRDefault="003E1AE8" w:rsidP="00560F15">
      <w:pPr>
        <w:pStyle w:val="BodyText"/>
      </w:pPr>
      <w:r>
        <w:t xml:space="preserve">As noted in Technical Supplement D (Part 1), </w:t>
      </w:r>
      <w:r w:rsidR="009C2F48">
        <w:t xml:space="preserve">this </w:t>
      </w:r>
      <w:r w:rsidR="00560F15">
        <w:t>specification account</w:t>
      </w:r>
      <w:r>
        <w:t>s (by value)</w:t>
      </w:r>
      <w:r w:rsidR="00560F15">
        <w:t xml:space="preserve"> for around 50 per cent of aggregate </w:t>
      </w:r>
      <w:r w:rsidR="007E1230">
        <w:t>Australian and s</w:t>
      </w:r>
      <w:r w:rsidR="00560F15">
        <w:t xml:space="preserve">tate and territory expenditure, and 75 </w:t>
      </w:r>
      <w:r w:rsidR="00803421">
        <w:t xml:space="preserve">per cent </w:t>
      </w:r>
      <w:r w:rsidR="00560F15">
        <w:t xml:space="preserve">of aggregate </w:t>
      </w:r>
      <w:r w:rsidR="007E1230">
        <w:t>Australian</w:t>
      </w:r>
      <w:r w:rsidR="00560F15">
        <w:t xml:space="preserve"> and </w:t>
      </w:r>
      <w:r w:rsidR="007E1230">
        <w:t>s</w:t>
      </w:r>
      <w:r w:rsidR="00560F15">
        <w:t xml:space="preserve">tate and territory revenues (including GST). </w:t>
      </w:r>
      <w:r w:rsidR="00560F15" w:rsidRPr="009B3EA3">
        <w:t xml:space="preserve">Overall, </w:t>
      </w:r>
      <w:r w:rsidR="00560F15">
        <w:t>s</w:t>
      </w:r>
      <w:r w:rsidR="00560F15" w:rsidRPr="009B3EA3">
        <w:t xml:space="preserve">tate expenditures on health and education represent around </w:t>
      </w:r>
      <w:r w:rsidR="00560F15">
        <w:t>50 per cent</w:t>
      </w:r>
      <w:r w:rsidR="00560F15" w:rsidRPr="009B3EA3">
        <w:t xml:space="preserve"> of total </w:t>
      </w:r>
      <w:r w:rsidR="00560F15">
        <w:t>s</w:t>
      </w:r>
      <w:r w:rsidR="00560F15" w:rsidRPr="009B3EA3">
        <w:t xml:space="preserve">tate expenditure, and GST represents </w:t>
      </w:r>
      <w:r w:rsidR="00560F15">
        <w:t>around 55 per cent of their revenues</w:t>
      </w:r>
      <w:r w:rsidR="00560F15" w:rsidRPr="009B3EA3">
        <w:t>.</w:t>
      </w:r>
      <w:r w:rsidR="00560F15">
        <w:t xml:space="preserve"> </w:t>
      </w:r>
    </w:p>
    <w:p w:rsidR="00632BC2" w:rsidRDefault="00632BC2" w:rsidP="00632BC2">
      <w:pPr>
        <w:pStyle w:val="BodyText"/>
      </w:pPr>
      <w:r>
        <w:t>This specification implies that aggregate net fiscal contributions are initially positive, driven mainly by temporary immigrants, who account for around half of the intake. These immigrants are typically not eligible to access government services</w:t>
      </w:r>
      <w:r w:rsidR="009C2F48">
        <w:t xml:space="preserve"> or benefits</w:t>
      </w:r>
      <w:r>
        <w:t xml:space="preserve"> and </w:t>
      </w:r>
      <w:r w:rsidR="009C2F48">
        <w:t xml:space="preserve">are normally </w:t>
      </w:r>
      <w:r>
        <w:t>in employment as a condition of their visa. Other immigrants’ net fiscal impacts are also initially positive, reflecting that they tend to be young, healthy and working. Over time, temporary immigrants depart and immigrants remaining in the country age, exit the labour market, and increasingly draw on government</w:t>
      </w:r>
      <w:r>
        <w:noBreakHyphen/>
        <w:t xml:space="preserve">funded health care and benefits. As </w:t>
      </w:r>
      <w:r>
        <w:lastRenderedPageBreak/>
        <w:t>such, immigrants’ net fiscal impacts becom</w:t>
      </w:r>
      <w:r w:rsidR="00503721">
        <w:t>e</w:t>
      </w:r>
      <w:r>
        <w:t xml:space="preserve"> negative, generally around 40 years into the projection (figure </w:t>
      </w:r>
      <w:proofErr w:type="spellStart"/>
      <w:r w:rsidR="008064AB">
        <w:t>D.</w:t>
      </w:r>
      <w:r>
        <w:t>1</w:t>
      </w:r>
      <w:proofErr w:type="spellEnd"/>
      <w:r>
        <w:t xml:space="preserve">). </w:t>
      </w:r>
    </w:p>
    <w:p w:rsidR="008064AB" w:rsidRDefault="00632BC2" w:rsidP="008064AB">
      <w:pPr>
        <w:pStyle w:val="BodyText"/>
      </w:pPr>
      <w:r>
        <w:t>A key driver of when a visa category’s net fiscal impact becomes negative is the underlying age distribution, with younger visa categories (on average) taking longer to become negative. For example, permanent family stream immigrants remain positive for longer than primary applicants in the permanent skill stream. The elapsing of waiting periods</w:t>
      </w:r>
      <w:r w:rsidRPr="00B37751">
        <w:t xml:space="preserve"> </w:t>
      </w:r>
      <w:r>
        <w:t xml:space="preserve">for </w:t>
      </w:r>
      <w:r w:rsidRPr="00B37751">
        <w:t xml:space="preserve">permanent </w:t>
      </w:r>
      <w:r>
        <w:t>im</w:t>
      </w:r>
      <w:r w:rsidRPr="00B37751">
        <w:t xml:space="preserve">migrants </w:t>
      </w:r>
      <w:r>
        <w:t>to receive certain government</w:t>
      </w:r>
      <w:r>
        <w:noBreakHyphen/>
        <w:t>funded services and benefits</w:t>
      </w:r>
      <w:r w:rsidRPr="00B37751">
        <w:t xml:space="preserve"> </w:t>
      </w:r>
      <w:r>
        <w:t>is also visible, most notably around 10 years into the projection</w:t>
      </w:r>
      <w:r w:rsidRPr="00B37751">
        <w:t xml:space="preserve">. </w:t>
      </w:r>
      <w:r>
        <w:t xml:space="preserve">Overall, the net fiscal impact of a single year’s NOM as a proportion of GDP is quite small, be it positive or negative in value. Nonetheless, these impacts are not insignificant in absolute dollar terms. </w:t>
      </w:r>
    </w:p>
    <w:p w:rsidR="008064AB" w:rsidRDefault="008064AB" w:rsidP="008064A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8064AB" w:rsidTr="00F41159">
        <w:trPr>
          <w:tblHeader/>
        </w:trPr>
        <w:tc>
          <w:tcPr>
            <w:tcW w:w="8771" w:type="dxa"/>
            <w:tcBorders>
              <w:top w:val="single" w:sz="6" w:space="0" w:color="78A22F"/>
              <w:left w:val="nil"/>
              <w:bottom w:val="nil"/>
              <w:right w:val="nil"/>
            </w:tcBorders>
            <w:shd w:val="clear" w:color="auto" w:fill="auto"/>
          </w:tcPr>
          <w:p w:rsidR="008064AB" w:rsidRDefault="008064AB" w:rsidP="00F41159">
            <w:pPr>
              <w:pStyle w:val="FigureTitle"/>
            </w:pPr>
            <w:r w:rsidRPr="00784A05">
              <w:rPr>
                <w:b w:val="0"/>
              </w:rPr>
              <w:t xml:space="preserve">Figure </w:t>
            </w:r>
            <w:proofErr w:type="spellStart"/>
            <w:r>
              <w:rPr>
                <w:b w:val="0"/>
              </w:rPr>
              <w:t>D.</w:t>
            </w:r>
            <w:r>
              <w:rPr>
                <w:b w:val="0"/>
                <w:noProof/>
              </w:rPr>
              <w:t>1</w:t>
            </w:r>
            <w:proofErr w:type="spellEnd"/>
            <w:r>
              <w:tab/>
              <w:t>Net fiscal impact to GDP (representative intake)</w:t>
            </w:r>
          </w:p>
          <w:p w:rsidR="008064AB" w:rsidRPr="00176D3F" w:rsidRDefault="008064AB" w:rsidP="00F41159">
            <w:pPr>
              <w:pStyle w:val="Subtitle"/>
            </w:pPr>
            <w:r>
              <w:t>Specification 2, excludes births</w:t>
            </w:r>
          </w:p>
        </w:tc>
      </w:tr>
      <w:tr w:rsidR="008064AB" w:rsidTr="00F4115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8064AB" w:rsidRPr="00B1465D" w:rsidTr="00F41159">
              <w:trPr>
                <w:tblHeader/>
                <w:jc w:val="center"/>
              </w:trPr>
              <w:tc>
                <w:tcPr>
                  <w:tcW w:w="5000" w:type="pct"/>
                  <w:tcBorders>
                    <w:top w:val="nil"/>
                    <w:bottom w:val="nil"/>
                  </w:tcBorders>
                </w:tcPr>
                <w:p w:rsidR="008064AB" w:rsidRPr="00B1465D" w:rsidRDefault="008064AB" w:rsidP="00F41159">
                  <w:pPr>
                    <w:pStyle w:val="Figure"/>
                    <w:spacing w:before="60" w:after="60"/>
                    <w:rPr>
                      <w:rFonts w:ascii="Arial" w:hAnsi="Arial" w:cs="Arial"/>
                      <w:sz w:val="18"/>
                      <w:szCs w:val="18"/>
                    </w:rPr>
                  </w:pPr>
                  <w:r>
                    <w:rPr>
                      <w:noProof/>
                    </w:rPr>
                    <w:drawing>
                      <wp:inline distT="0" distB="0" distL="0" distR="0" wp14:anchorId="2B50B7DE" wp14:editId="52AA7AB1">
                        <wp:extent cx="5305425" cy="3228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05425" cy="3228975"/>
                                </a:xfrm>
                                <a:prstGeom prst="rect">
                                  <a:avLst/>
                                </a:prstGeom>
                                <a:noFill/>
                                <a:ln>
                                  <a:noFill/>
                                </a:ln>
                              </pic:spPr>
                            </pic:pic>
                          </a:graphicData>
                        </a:graphic>
                      </wp:inline>
                    </w:drawing>
                  </w:r>
                </w:p>
              </w:tc>
            </w:tr>
          </w:tbl>
          <w:p w:rsidR="008064AB" w:rsidRDefault="008064AB" w:rsidP="00F41159">
            <w:pPr>
              <w:pStyle w:val="Figure"/>
            </w:pPr>
          </w:p>
        </w:tc>
      </w:tr>
      <w:tr w:rsidR="008064AB" w:rsidRPr="00176D3F" w:rsidTr="00F41159">
        <w:tc>
          <w:tcPr>
            <w:tcW w:w="8771" w:type="dxa"/>
            <w:tcBorders>
              <w:top w:val="nil"/>
              <w:left w:val="nil"/>
              <w:bottom w:val="nil"/>
              <w:right w:val="nil"/>
            </w:tcBorders>
            <w:shd w:val="clear" w:color="auto" w:fill="auto"/>
          </w:tcPr>
          <w:p w:rsidR="008064AB" w:rsidRPr="00176D3F" w:rsidRDefault="008064AB" w:rsidP="00F41159">
            <w:pPr>
              <w:pStyle w:val="Source"/>
            </w:pPr>
            <w:r w:rsidRPr="00784A05">
              <w:rPr>
                <w:i/>
              </w:rPr>
              <w:t>Data source</w:t>
            </w:r>
            <w:r w:rsidRPr="00176D3F">
              <w:t xml:space="preserve">: </w:t>
            </w:r>
            <w:r>
              <w:t>Productivity Commission estimates.</w:t>
            </w:r>
          </w:p>
        </w:tc>
      </w:tr>
      <w:tr w:rsidR="008064AB" w:rsidTr="00F41159">
        <w:tc>
          <w:tcPr>
            <w:tcW w:w="8771" w:type="dxa"/>
            <w:tcBorders>
              <w:top w:val="nil"/>
              <w:left w:val="nil"/>
              <w:bottom w:val="single" w:sz="6" w:space="0" w:color="78A22F"/>
              <w:right w:val="nil"/>
            </w:tcBorders>
            <w:shd w:val="clear" w:color="auto" w:fill="auto"/>
          </w:tcPr>
          <w:p w:rsidR="008064AB" w:rsidRDefault="008064AB" w:rsidP="00F41159">
            <w:pPr>
              <w:pStyle w:val="Figurespace"/>
            </w:pPr>
          </w:p>
        </w:tc>
      </w:tr>
      <w:tr w:rsidR="008064AB" w:rsidRPr="000863A5" w:rsidTr="00F41159">
        <w:tc>
          <w:tcPr>
            <w:tcW w:w="8771" w:type="dxa"/>
            <w:tcBorders>
              <w:top w:val="single" w:sz="6" w:space="0" w:color="78A22F"/>
              <w:left w:val="nil"/>
              <w:bottom w:val="nil"/>
              <w:right w:val="nil"/>
            </w:tcBorders>
          </w:tcPr>
          <w:p w:rsidR="008064AB" w:rsidRPr="00626D32" w:rsidRDefault="008064AB" w:rsidP="00F41159">
            <w:pPr>
              <w:pStyle w:val="BoxSpaceBelow"/>
            </w:pPr>
          </w:p>
        </w:tc>
      </w:tr>
    </w:tbl>
    <w:p w:rsidR="000740E9" w:rsidRDefault="000740E9" w:rsidP="00632BC2">
      <w:pPr>
        <w:pStyle w:val="BodyText"/>
      </w:pPr>
      <w:r>
        <w:t>It is important to note that the net fiscal impacts presented below are based on a continuation of current policy settings. As noted in PC (</w:t>
      </w:r>
      <w:proofErr w:type="spellStart"/>
      <w:r>
        <w:t>2016</w:t>
      </w:r>
      <w:r w:rsidR="008064AB">
        <w:t>a</w:t>
      </w:r>
      <w:proofErr w:type="spellEnd"/>
      <w:r w:rsidR="008064AB">
        <w:t xml:space="preserve">, </w:t>
      </w:r>
      <w:proofErr w:type="spellStart"/>
      <w:r w:rsidR="008064AB">
        <w:t>2016b</w:t>
      </w:r>
      <w:proofErr w:type="spellEnd"/>
      <w:r>
        <w:t xml:space="preserve">), </w:t>
      </w:r>
      <w:r w:rsidRPr="00795788">
        <w:t>any changes to poli</w:t>
      </w:r>
      <w:r>
        <w:t>cy will affect these estimates and a</w:t>
      </w:r>
      <w:r w:rsidRPr="00795788">
        <w:t>s such, these projections are highly stylised</w:t>
      </w:r>
      <w:r>
        <w:t xml:space="preserve"> in nature</w:t>
      </w:r>
      <w:r w:rsidRPr="00795788">
        <w:t xml:space="preserve">. In addition to any future policy change, better estimates of immigrants’ absolute net fiscal impacts </w:t>
      </w:r>
      <w:r>
        <w:t>require</w:t>
      </w:r>
      <w:r w:rsidRPr="00795788">
        <w:t xml:space="preserve"> better data on immigrants’ use of government funded services and benefits and contributions to governmen</w:t>
      </w:r>
      <w:r>
        <w:t>t revenues over their lifetimes.</w:t>
      </w:r>
    </w:p>
    <w:p w:rsidR="00FC6909" w:rsidRDefault="00FC6909" w:rsidP="00FC6909">
      <w:pPr>
        <w:pStyle w:val="Heading2"/>
      </w:pPr>
      <w:proofErr w:type="spellStart"/>
      <w:r>
        <w:lastRenderedPageBreak/>
        <w:t>D.</w:t>
      </w:r>
      <w:r>
        <w:rPr>
          <w:noProof/>
        </w:rPr>
        <w:t>3</w:t>
      </w:r>
      <w:proofErr w:type="spellEnd"/>
      <w:r>
        <w:tab/>
        <w:t>Additional model functionality</w:t>
      </w:r>
    </w:p>
    <w:p w:rsidR="00FC6909" w:rsidRDefault="00BD3326" w:rsidP="00FC6909">
      <w:pPr>
        <w:pStyle w:val="BodyText"/>
      </w:pPr>
      <w:r>
        <w:t xml:space="preserve">As noted in </w:t>
      </w:r>
      <w:r w:rsidR="001A7F3A">
        <w:t>PC (</w:t>
      </w:r>
      <w:proofErr w:type="spellStart"/>
      <w:r w:rsidR="001A7F3A">
        <w:t>2016b</w:t>
      </w:r>
      <w:proofErr w:type="spellEnd"/>
      <w:r w:rsidR="001A7F3A">
        <w:t xml:space="preserve">), the demographic and fiscal projections for a single representative intake of NOM can be used to </w:t>
      </w:r>
      <w:r w:rsidR="001A7F3A" w:rsidRPr="001A7F3A">
        <w:t xml:space="preserve">estimate the revenues, expenditures and net fiscal impacts of all future cohorts of NOM </w:t>
      </w:r>
      <w:r w:rsidR="001A7F3A">
        <w:t>and their descendants</w:t>
      </w:r>
      <w:r w:rsidR="001A7F3A" w:rsidRPr="001A7F3A">
        <w:t xml:space="preserve"> over the proje</w:t>
      </w:r>
      <w:r w:rsidR="001A7F3A">
        <w:t>ction</w:t>
      </w:r>
      <w:r w:rsidR="001A7F3A" w:rsidRPr="001A7F3A">
        <w:t>, by assuming that the per person revenues and expenditures generated by the representative intake</w:t>
      </w:r>
      <w:r w:rsidR="001A7F3A">
        <w:t xml:space="preserve"> (and their descendants)</w:t>
      </w:r>
      <w:r w:rsidR="001A7F3A" w:rsidRPr="001A7F3A">
        <w:t xml:space="preserve"> apply to all future </w:t>
      </w:r>
      <w:r w:rsidR="001A7F3A">
        <w:t xml:space="preserve">NOM </w:t>
      </w:r>
      <w:r w:rsidR="001A7F3A" w:rsidRPr="001A7F3A">
        <w:t>intakes.</w:t>
      </w:r>
    </w:p>
    <w:p w:rsidR="00DC2391" w:rsidRDefault="00DC2391" w:rsidP="00DC2391">
      <w:pPr>
        <w:pStyle w:val="BodyText"/>
      </w:pPr>
      <w:r>
        <w:t xml:space="preserve">This means </w:t>
      </w:r>
      <w:r w:rsidR="00503721">
        <w:t xml:space="preserve">that </w:t>
      </w:r>
      <w:r>
        <w:t>the</w:t>
      </w:r>
      <w:r w:rsidRPr="001A7F3A">
        <w:t xml:space="preserve"> fiscal model can </w:t>
      </w:r>
      <w:r w:rsidR="00A538E2">
        <w:t>be used to estimate</w:t>
      </w:r>
      <w:r w:rsidRPr="001A7F3A">
        <w:t xml:space="preserve"> the </w:t>
      </w:r>
      <w:r w:rsidR="00A538E2">
        <w:t xml:space="preserve">aggregate </w:t>
      </w:r>
      <w:r w:rsidR="00A538E2" w:rsidRPr="00A538E2">
        <w:rPr>
          <w:i/>
        </w:rPr>
        <w:t>direct</w:t>
      </w:r>
      <w:r w:rsidR="00A538E2">
        <w:t xml:space="preserve"> </w:t>
      </w:r>
      <w:r w:rsidRPr="001A7F3A">
        <w:t>fiscal impacts of changes</w:t>
      </w:r>
      <w:r>
        <w:t xml:space="preserve"> to immigration policy settings.</w:t>
      </w:r>
      <w:r w:rsidR="00A538E2">
        <w:rPr>
          <w:rStyle w:val="FootnoteReference"/>
        </w:rPr>
        <w:footnoteReference w:id="9"/>
      </w:r>
      <w:r>
        <w:t xml:space="preserve"> This could include, for example,</w:t>
      </w:r>
      <w:r w:rsidRPr="001A7F3A">
        <w:t xml:space="preserve"> changes in policies regarding eligibility for and waiting periods to</w:t>
      </w:r>
      <w:r>
        <w:t xml:space="preserve"> access</w:t>
      </w:r>
      <w:r w:rsidRPr="001A7F3A">
        <w:t xml:space="preserve"> governmen</w:t>
      </w:r>
      <w:r>
        <w:t>t</w:t>
      </w:r>
      <w:r>
        <w:noBreakHyphen/>
        <w:t>funded services and benefits, or changes to</w:t>
      </w:r>
      <w:r w:rsidRPr="001A7F3A">
        <w:t xml:space="preserve"> the co</w:t>
      </w:r>
      <w:r>
        <w:t xml:space="preserve">mposition of the migrant intake itself. </w:t>
      </w:r>
    </w:p>
    <w:p w:rsidR="001A7F3A" w:rsidRDefault="001A7F3A" w:rsidP="001A7F3A">
      <w:pPr>
        <w:pStyle w:val="BodyText"/>
      </w:pPr>
      <w:r>
        <w:t>In addition, the model can be run assuming different coverages of government expenditures and revenues</w:t>
      </w:r>
      <w:r w:rsidR="00DC2391">
        <w:t xml:space="preserve">, which can be used to elucidate the fiscal </w:t>
      </w:r>
      <w:r w:rsidR="007C3C02">
        <w:t>impacts</w:t>
      </w:r>
      <w:r w:rsidR="00DC2391">
        <w:t xml:space="preserve"> of immigration at different levels of government</w:t>
      </w:r>
      <w:r>
        <w:t>. PC (</w:t>
      </w:r>
      <w:proofErr w:type="spellStart"/>
      <w:r>
        <w:t>2016b</w:t>
      </w:r>
      <w:proofErr w:type="spellEnd"/>
      <w:r>
        <w:t xml:space="preserve">) outlines three </w:t>
      </w:r>
      <w:r w:rsidR="00DC2391">
        <w:t>illustrative</w:t>
      </w:r>
      <w:r>
        <w:t xml:space="preserve"> model specifications </w:t>
      </w:r>
      <w:r w:rsidR="00DC2391">
        <w:t xml:space="preserve">covering the Australian Government, the </w:t>
      </w:r>
      <w:r w:rsidR="00DC2391" w:rsidRPr="00DC2391">
        <w:t>Australian and state and territory levels of government</w:t>
      </w:r>
      <w:r w:rsidR="00DC2391">
        <w:t>, and the whole</w:t>
      </w:r>
      <w:r w:rsidR="00DC2391">
        <w:noBreakHyphen/>
        <w:t>of</w:t>
      </w:r>
      <w:r w:rsidR="00DC2391">
        <w:noBreakHyphen/>
        <w:t>government level (including local government).</w:t>
      </w:r>
    </w:p>
    <w:p w:rsidR="00C83901" w:rsidRDefault="00C83901">
      <w:pPr>
        <w:rPr>
          <w:rFonts w:ascii="Arial" w:hAnsi="Arial"/>
          <w:b/>
          <w:sz w:val="32"/>
          <w:szCs w:val="20"/>
        </w:rPr>
      </w:pPr>
      <w:r>
        <w:br w:type="page"/>
      </w:r>
    </w:p>
    <w:p w:rsidR="00427287" w:rsidRDefault="00263DE7" w:rsidP="00263DE7">
      <w:pPr>
        <w:pStyle w:val="Heading2"/>
      </w:pPr>
      <w:r>
        <w:lastRenderedPageBreak/>
        <w:t>Appendix A</w:t>
      </w:r>
      <w:r>
        <w:tab/>
      </w:r>
      <w:proofErr w:type="spellStart"/>
      <w:r>
        <w:t>A</w:t>
      </w:r>
      <w:proofErr w:type="spellEnd"/>
      <w:r>
        <w:t xml:space="preserve"> note on data confidentiality</w:t>
      </w:r>
    </w:p>
    <w:p w:rsidR="00263DE7" w:rsidRDefault="00647D14" w:rsidP="00263DE7">
      <w:pPr>
        <w:pStyle w:val="BodyText"/>
      </w:pPr>
      <w:r>
        <w:t>The d</w:t>
      </w:r>
      <w:r w:rsidR="00263DE7">
        <w:t>ata used to derive age and gender distributions for certain temporary immigrants in the model are sourced from the Department of Immigration and Border Protection (</w:t>
      </w:r>
      <w:proofErr w:type="spellStart"/>
      <w:r w:rsidR="00263DE7">
        <w:t>DIBP</w:t>
      </w:r>
      <w:proofErr w:type="spellEnd"/>
      <w:r w:rsidR="00263DE7">
        <w:t>).</w:t>
      </w:r>
      <w:r w:rsidR="00263DE7">
        <w:rPr>
          <w:rStyle w:val="FootnoteReference"/>
        </w:rPr>
        <w:footnoteReference w:id="10"/>
      </w:r>
      <w:r w:rsidR="00263DE7">
        <w:t xml:space="preserve"> These data are drawn from a</w:t>
      </w:r>
      <w:r w:rsidR="0023539E">
        <w:t>dministrative data holdings, and</w:t>
      </w:r>
      <w:r w:rsidR="00263DE7">
        <w:t xml:space="preserve"> reflecting privacy considerations, have been aggregated in line with the </w:t>
      </w:r>
      <w:proofErr w:type="spellStart"/>
      <w:r w:rsidR="00263DE7">
        <w:t>DIBP’s</w:t>
      </w:r>
      <w:proofErr w:type="spellEnd"/>
      <w:r w:rsidR="00263DE7">
        <w:t xml:space="preserve"> preferences. </w:t>
      </w:r>
      <w:r w:rsidR="00547CDF">
        <w:t>U</w:t>
      </w:r>
      <w:r w:rsidR="00263DE7">
        <w:t>ser</w:t>
      </w:r>
      <w:r w:rsidR="00543AAC">
        <w:t>s</w:t>
      </w:r>
      <w:r w:rsidR="00263DE7">
        <w:t xml:space="preserve"> of the model may wish to note that the age and gender distributions: </w:t>
      </w:r>
    </w:p>
    <w:p w:rsidR="00263DE7" w:rsidRDefault="00263DE7" w:rsidP="00263DE7">
      <w:pPr>
        <w:pStyle w:val="ListBullet"/>
      </w:pPr>
      <w:r>
        <w:t>for all temporary immigrants are three</w:t>
      </w:r>
      <w:r>
        <w:noBreakHyphen/>
        <w:t>year averages based on arrivals data</w:t>
      </w:r>
    </w:p>
    <w:p w:rsidR="00263DE7" w:rsidRDefault="00263DE7" w:rsidP="00263DE7">
      <w:pPr>
        <w:pStyle w:val="ListBullet"/>
      </w:pPr>
      <w:r>
        <w:t>for older temporary student immigrants are aggregated into either a</w:t>
      </w:r>
      <w:r w:rsidR="00647D14">
        <w:t>n</w:t>
      </w:r>
      <w:r>
        <w:t xml:space="preserve"> ’</w:t>
      </w:r>
      <w:r w:rsidR="00647D14">
        <w:t>age 55+</w:t>
      </w:r>
      <w:r>
        <w:t xml:space="preserve">’ category, or from the first </w:t>
      </w:r>
      <w:r w:rsidR="00647D14">
        <w:t xml:space="preserve">observed </w:t>
      </w:r>
      <w:r>
        <w:t>age group with fewer than five observations</w:t>
      </w:r>
    </w:p>
    <w:p w:rsidR="00263DE7" w:rsidRDefault="00263DE7" w:rsidP="00263DE7">
      <w:pPr>
        <w:pStyle w:val="ListBullet"/>
      </w:pPr>
      <w:r>
        <w:t>for older temporary skilled immigrants are aggregated into either a</w:t>
      </w:r>
      <w:r w:rsidR="00647D14">
        <w:t>n</w:t>
      </w:r>
      <w:r>
        <w:t xml:space="preserve"> ’</w:t>
      </w:r>
      <w:r w:rsidR="00647D14">
        <w:t xml:space="preserve">age </w:t>
      </w:r>
      <w:r>
        <w:t>66</w:t>
      </w:r>
      <w:r w:rsidR="00647D14">
        <w:t>+</w:t>
      </w:r>
      <w:r>
        <w:t xml:space="preserve">’ category, or from the first </w:t>
      </w:r>
      <w:r w:rsidR="00647D14">
        <w:t xml:space="preserve">observed </w:t>
      </w:r>
      <w:r>
        <w:t>age group with fewer than five observations</w:t>
      </w:r>
      <w:r w:rsidR="00647D14">
        <w:t>.</w:t>
      </w:r>
    </w:p>
    <w:p w:rsidR="00263DE7" w:rsidRDefault="00263DE7" w:rsidP="00263DE7">
      <w:pPr>
        <w:pStyle w:val="BodyText"/>
      </w:pPr>
      <w:r w:rsidRPr="003E4B37">
        <w:t xml:space="preserve">This means that some older immigrants are </w:t>
      </w:r>
      <w:r>
        <w:t xml:space="preserve">effectively </w:t>
      </w:r>
      <w:r w:rsidRPr="003E4B37">
        <w:t xml:space="preserve">being modelled as being </w:t>
      </w:r>
      <w:r>
        <w:t xml:space="preserve">of </w:t>
      </w:r>
      <w:r w:rsidRPr="003E4B37">
        <w:t>the age</w:t>
      </w:r>
      <w:r>
        <w:t xml:space="preserve"> </w:t>
      </w:r>
      <w:r w:rsidRPr="003E4B37">
        <w:t xml:space="preserve">into which they have been aggregated. </w:t>
      </w:r>
      <w:r>
        <w:t>However, t</w:t>
      </w:r>
      <w:r w:rsidRPr="003E4B37">
        <w:t>his make</w:t>
      </w:r>
      <w:r>
        <w:t>s</w:t>
      </w:r>
      <w:r w:rsidRPr="003E4B37">
        <w:t xml:space="preserve"> a negligible difference to the results given the small number of observations </w:t>
      </w:r>
      <w:r>
        <w:t>affected</w:t>
      </w:r>
      <w:r w:rsidRPr="003E4B37">
        <w:t>.</w:t>
      </w:r>
      <w:r>
        <w:t xml:space="preserve"> </w:t>
      </w:r>
    </w:p>
    <w:p w:rsidR="00263DE7" w:rsidRDefault="00547CDF">
      <w:pPr>
        <w:pStyle w:val="BodyText"/>
      </w:pPr>
      <w:r>
        <w:t>U</w:t>
      </w:r>
      <w:r w:rsidR="00263DE7">
        <w:t>ser</w:t>
      </w:r>
      <w:r>
        <w:t>s</w:t>
      </w:r>
      <w:r w:rsidR="00263DE7">
        <w:t xml:space="preserve"> of the model may wish to make independent assumptions about the age and gender distributions of older</w:t>
      </w:r>
      <w:r w:rsidR="00543AAC">
        <w:t xml:space="preserve"> immigrants in these categories</w:t>
      </w:r>
      <w:r w:rsidR="00263DE7">
        <w:t xml:space="preserve">. </w:t>
      </w:r>
      <w:r w:rsidR="00263DE7" w:rsidRPr="00263DE7">
        <w:t>The results presented in this note are based on the aggregated distributions to prevent reverse engineering of the distributions.</w:t>
      </w:r>
      <w:r w:rsidR="00263DE7">
        <w:t xml:space="preserve"> </w:t>
      </w:r>
    </w:p>
    <w:p w:rsidR="00C83901" w:rsidRDefault="00C83901" w:rsidP="008305AD">
      <w:pPr>
        <w:pStyle w:val="Heading2"/>
        <w:spacing w:before="0"/>
      </w:pPr>
      <w:r>
        <w:br w:type="page"/>
      </w:r>
    </w:p>
    <w:p w:rsidR="00841D7A" w:rsidRDefault="00427287" w:rsidP="008305AD">
      <w:pPr>
        <w:pStyle w:val="Heading2"/>
        <w:spacing w:before="0"/>
      </w:pPr>
      <w:r>
        <w:lastRenderedPageBreak/>
        <w:t>References</w:t>
      </w:r>
    </w:p>
    <w:p w:rsidR="000A1C03" w:rsidRDefault="000A1C03" w:rsidP="00CC0BF3">
      <w:pPr>
        <w:pStyle w:val="Reference"/>
      </w:pPr>
      <w:r>
        <w:t xml:space="preserve">ABS (Australian Bureau of Statistics) 2013, </w:t>
      </w:r>
      <w:r w:rsidRPr="001B01CB">
        <w:rPr>
          <w:i/>
        </w:rPr>
        <w:t>Population Projections, Australia, 2012 (base) to 2101</w:t>
      </w:r>
      <w:r>
        <w:t xml:space="preserve">, Cat. no. 3222.0, Canberra. </w:t>
      </w:r>
    </w:p>
    <w:p w:rsidR="001F5E32" w:rsidRPr="001F5E32" w:rsidRDefault="001F5E32" w:rsidP="00C83901">
      <w:pPr>
        <w:pStyle w:val="Reference"/>
      </w:pPr>
      <w:r w:rsidRPr="001F5E32">
        <w:t xml:space="preserve">Deloitte Access Economics forthcoming, </w:t>
      </w:r>
      <w:r w:rsidRPr="001F5E32">
        <w:rPr>
          <w:i/>
          <w:iCs/>
        </w:rPr>
        <w:t>Migrants’ Fiscal Impact Model — Results and User Guide</w:t>
      </w:r>
      <w:r w:rsidRPr="001F5E32">
        <w:t>, Prepared for the Department of Immigration and Border Protection, Canberra.</w:t>
      </w:r>
    </w:p>
    <w:p w:rsidR="001F5E32" w:rsidRPr="001F5E32" w:rsidRDefault="001F5E32" w:rsidP="00C83901">
      <w:pPr>
        <w:pStyle w:val="Reference"/>
      </w:pPr>
      <w:r w:rsidRPr="001F5E32">
        <w:t xml:space="preserve">PC (Productivity Commission) 2005, </w:t>
      </w:r>
      <w:r w:rsidRPr="001F5E32">
        <w:rPr>
          <w:i/>
          <w:iCs/>
        </w:rPr>
        <w:t>Economic Implications of an Ageing Australia</w:t>
      </w:r>
      <w:r w:rsidRPr="001F5E32">
        <w:t>, Research report, Canberra.</w:t>
      </w:r>
    </w:p>
    <w:p w:rsidR="001F5E32" w:rsidRPr="001F5E32" w:rsidRDefault="001F5E32" w:rsidP="00C83901">
      <w:pPr>
        <w:pStyle w:val="Reference"/>
      </w:pPr>
      <w:r w:rsidRPr="001F5E32">
        <w:t xml:space="preserve">—— (Productivity Commission) 2013, </w:t>
      </w:r>
      <w:r w:rsidRPr="001F5E32">
        <w:rPr>
          <w:i/>
          <w:iCs/>
        </w:rPr>
        <w:t>An Ageing Australia: Preparing for the Future</w:t>
      </w:r>
      <w:r w:rsidRPr="001F5E32">
        <w:t>, Commission Research Paper, Canberra.</w:t>
      </w:r>
    </w:p>
    <w:p w:rsidR="00427287" w:rsidRDefault="00DF4993" w:rsidP="00C83901">
      <w:pPr>
        <w:pStyle w:val="Reference"/>
      </w:pPr>
      <w:r w:rsidRPr="00DF4993">
        <w:t xml:space="preserve">—— (Productivity Commission) </w:t>
      </w:r>
      <w:proofErr w:type="spellStart"/>
      <w:r w:rsidRPr="00DF4993">
        <w:t>201</w:t>
      </w:r>
      <w:r>
        <w:t>6a</w:t>
      </w:r>
      <w:proofErr w:type="spellEnd"/>
      <w:r w:rsidRPr="00DF4993">
        <w:t xml:space="preserve">, </w:t>
      </w:r>
      <w:r w:rsidRPr="00DC2391">
        <w:rPr>
          <w:i/>
        </w:rPr>
        <w:t>Migrant Intake into Australia</w:t>
      </w:r>
      <w:r w:rsidRPr="00DF4993">
        <w:t xml:space="preserve">, </w:t>
      </w:r>
      <w:r>
        <w:t>Inquiry Report No. </w:t>
      </w:r>
      <w:r w:rsidRPr="00DF4993">
        <w:t>77, Canberra.</w:t>
      </w:r>
    </w:p>
    <w:p w:rsidR="00DF4993" w:rsidRPr="00427287" w:rsidRDefault="00DF4993" w:rsidP="00C83901">
      <w:pPr>
        <w:pStyle w:val="Reference"/>
      </w:pPr>
      <w:r w:rsidRPr="00DF4993">
        <w:t xml:space="preserve">—— (Productivity Commission) </w:t>
      </w:r>
      <w:proofErr w:type="spellStart"/>
      <w:r w:rsidRPr="00DF4993">
        <w:t>201</w:t>
      </w:r>
      <w:r>
        <w:t>6b</w:t>
      </w:r>
      <w:proofErr w:type="spellEnd"/>
      <w:r w:rsidRPr="00DF4993">
        <w:t xml:space="preserve">, </w:t>
      </w:r>
      <w:r w:rsidRPr="00DF4993">
        <w:rPr>
          <w:i/>
        </w:rPr>
        <w:t>Modelling immigrants’ fiscal impacts</w:t>
      </w:r>
      <w:r w:rsidR="00CC0BF3">
        <w:rPr>
          <w:i/>
        </w:rPr>
        <w:t xml:space="preserve"> — Part 1</w:t>
      </w:r>
      <w:r w:rsidRPr="00DF4993">
        <w:t>, Migrant Intake into Australia —</w:t>
      </w:r>
      <w:r w:rsidR="00CC0BF3">
        <w:t xml:space="preserve"> </w:t>
      </w:r>
      <w:bookmarkStart w:id="4" w:name="_GoBack"/>
      <w:bookmarkEnd w:id="4"/>
      <w:r w:rsidRPr="00DF4993">
        <w:t>Technical Supplement D, Canberra.</w:t>
      </w:r>
    </w:p>
    <w:sectPr w:rsidR="00DF4993" w:rsidRPr="00427287" w:rsidSect="00606E78">
      <w:headerReference w:type="even" r:id="rId18"/>
      <w:headerReference w:type="default" r:id="rId19"/>
      <w:footerReference w:type="even" r:id="rId20"/>
      <w:footerReference w:type="default" r:id="rId21"/>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3D" w:rsidRDefault="00E40C3D">
      <w:r>
        <w:separator/>
      </w:r>
    </w:p>
  </w:endnote>
  <w:endnote w:type="continuationSeparator" w:id="0">
    <w:p w:rsidR="00E40C3D" w:rsidRDefault="00E4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613B7" w:rsidTr="005F48ED">
      <w:trPr>
        <w:trHeight w:hRule="exact" w:val="567"/>
      </w:trPr>
      <w:tc>
        <w:tcPr>
          <w:tcW w:w="510" w:type="dxa"/>
        </w:tcPr>
        <w:p w:rsidR="004613B7" w:rsidRDefault="004613B7">
          <w:pPr>
            <w:pStyle w:val="Footer"/>
            <w:ind w:right="360" w:firstLine="360"/>
          </w:pPr>
        </w:p>
      </w:tc>
      <w:tc>
        <w:tcPr>
          <w:tcW w:w="7767" w:type="dxa"/>
        </w:tcPr>
        <w:p w:rsidR="004613B7" w:rsidRPr="00BA5B14" w:rsidRDefault="004613B7" w:rsidP="0013739A">
          <w:pPr>
            <w:pStyle w:val="Footer"/>
            <w:jc w:val="right"/>
            <w:rPr>
              <w:rFonts w:cs="Arial"/>
            </w:rPr>
          </w:pPr>
          <w:r>
            <w:rPr>
              <w:rFonts w:cs="Arial"/>
            </w:rPr>
            <w:t>MODELLING IMMIGRANTS FISCAL IMPACTS</w:t>
          </w:r>
        </w:p>
      </w:tc>
      <w:tc>
        <w:tcPr>
          <w:tcW w:w="510" w:type="dxa"/>
        </w:tcPr>
        <w:p w:rsidR="004613B7" w:rsidRPr="00A24443" w:rsidRDefault="004613B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52067">
            <w:rPr>
              <w:rStyle w:val="PageNumber"/>
              <w:caps w:val="0"/>
              <w:noProof/>
            </w:rPr>
            <w:t>1</w:t>
          </w:r>
          <w:r w:rsidRPr="00A24443">
            <w:rPr>
              <w:rStyle w:val="PageNumber"/>
              <w:caps w:val="0"/>
            </w:rPr>
            <w:fldChar w:fldCharType="end"/>
          </w:r>
        </w:p>
      </w:tc>
    </w:tr>
  </w:tbl>
  <w:p w:rsidR="004613B7" w:rsidRDefault="004613B7">
    <w:pPr>
      <w:pStyle w:val="FooterEnd"/>
    </w:pPr>
  </w:p>
  <w:p w:rsidR="004613B7" w:rsidRDefault="004613B7">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40C3D" w:rsidTr="005F48ED">
      <w:trPr>
        <w:trHeight w:hRule="exact" w:val="567"/>
      </w:trPr>
      <w:tc>
        <w:tcPr>
          <w:tcW w:w="510" w:type="dxa"/>
        </w:tcPr>
        <w:p w:rsidR="00E40C3D" w:rsidRPr="00A24443" w:rsidRDefault="00E40C3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156FD">
            <w:rPr>
              <w:rStyle w:val="PageNumber"/>
              <w:caps w:val="0"/>
              <w:noProof/>
            </w:rPr>
            <w:t>12</w:t>
          </w:r>
          <w:r w:rsidRPr="00A24443">
            <w:rPr>
              <w:rStyle w:val="PageNumber"/>
              <w:caps w:val="0"/>
            </w:rPr>
            <w:fldChar w:fldCharType="end"/>
          </w:r>
        </w:p>
      </w:tc>
      <w:tc>
        <w:tcPr>
          <w:tcW w:w="7767" w:type="dxa"/>
        </w:tcPr>
        <w:p w:rsidR="00E40C3D" w:rsidRPr="0013739A" w:rsidRDefault="00E40C3D" w:rsidP="004613B7">
          <w:pPr>
            <w:pStyle w:val="Footer"/>
            <w:rPr>
              <w:rFonts w:cs="Arial"/>
            </w:rPr>
          </w:pPr>
          <w:r>
            <w:rPr>
              <w:rFonts w:cs="Arial"/>
            </w:rPr>
            <w:t xml:space="preserve">Migrant Intake into Australia </w:t>
          </w:r>
          <w:r w:rsidR="00C83901">
            <w:rPr>
              <w:rFonts w:cs="Arial"/>
            </w:rPr>
            <w:t xml:space="preserve">— </w:t>
          </w:r>
          <w:r>
            <w:rPr>
              <w:rFonts w:cs="Arial"/>
            </w:rPr>
            <w:t>Technical Supplement D</w:t>
          </w:r>
          <w:bookmarkStart w:id="5" w:name="DraftReportEven"/>
          <w:bookmarkEnd w:id="5"/>
        </w:p>
      </w:tc>
      <w:tc>
        <w:tcPr>
          <w:tcW w:w="510" w:type="dxa"/>
        </w:tcPr>
        <w:p w:rsidR="00E40C3D" w:rsidRDefault="00E40C3D" w:rsidP="0019293B">
          <w:pPr>
            <w:pStyle w:val="Footer"/>
          </w:pPr>
        </w:p>
      </w:tc>
    </w:tr>
  </w:tbl>
  <w:p w:rsidR="00E40C3D" w:rsidRDefault="00E40C3D"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40C3D" w:rsidTr="005F48ED">
      <w:trPr>
        <w:trHeight w:hRule="exact" w:val="567"/>
      </w:trPr>
      <w:tc>
        <w:tcPr>
          <w:tcW w:w="510" w:type="dxa"/>
        </w:tcPr>
        <w:p w:rsidR="00E40C3D" w:rsidRDefault="00E40C3D">
          <w:pPr>
            <w:pStyle w:val="Footer"/>
            <w:ind w:right="360" w:firstLine="360"/>
          </w:pPr>
        </w:p>
      </w:tc>
      <w:tc>
        <w:tcPr>
          <w:tcW w:w="7767" w:type="dxa"/>
        </w:tcPr>
        <w:p w:rsidR="00E40C3D" w:rsidRPr="00BA5B14" w:rsidRDefault="00E40C3D" w:rsidP="004613B7">
          <w:pPr>
            <w:pStyle w:val="Footer"/>
            <w:jc w:val="right"/>
            <w:rPr>
              <w:rFonts w:cs="Arial"/>
            </w:rPr>
          </w:pPr>
          <w:r>
            <w:rPr>
              <w:rFonts w:cs="Arial"/>
            </w:rPr>
            <w:t xml:space="preserve">Modelling Immigrants Fiscal Impacts </w:t>
          </w:r>
          <w:r w:rsidR="004613B7">
            <w:rPr>
              <w:rFonts w:cs="Arial"/>
            </w:rPr>
            <w:t xml:space="preserve">— </w:t>
          </w:r>
          <w:r>
            <w:rPr>
              <w:rFonts w:cs="Arial"/>
            </w:rPr>
            <w:t>Part 2</w:t>
          </w:r>
          <w:bookmarkStart w:id="6" w:name="DraftReportOdd"/>
          <w:bookmarkEnd w:id="6"/>
        </w:p>
      </w:tc>
      <w:tc>
        <w:tcPr>
          <w:tcW w:w="510" w:type="dxa"/>
        </w:tcPr>
        <w:p w:rsidR="00E40C3D" w:rsidRPr="00A24443" w:rsidRDefault="00E40C3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C0BF3">
            <w:rPr>
              <w:rStyle w:val="PageNumber"/>
              <w:caps w:val="0"/>
              <w:noProof/>
            </w:rPr>
            <w:t>13</w:t>
          </w:r>
          <w:r w:rsidRPr="00A24443">
            <w:rPr>
              <w:rStyle w:val="PageNumber"/>
              <w:caps w:val="0"/>
            </w:rPr>
            <w:fldChar w:fldCharType="end"/>
          </w:r>
        </w:p>
      </w:tc>
    </w:tr>
  </w:tbl>
  <w:p w:rsidR="00E40C3D" w:rsidRDefault="00E40C3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3D" w:rsidRDefault="00E40C3D">
      <w:r>
        <w:separator/>
      </w:r>
    </w:p>
  </w:footnote>
  <w:footnote w:type="continuationSeparator" w:id="0">
    <w:p w:rsidR="00E40C3D" w:rsidRDefault="00E40C3D">
      <w:r>
        <w:continuationSeparator/>
      </w:r>
    </w:p>
  </w:footnote>
  <w:footnote w:id="1">
    <w:p w:rsidR="00E40C3D" w:rsidRDefault="00E40C3D">
      <w:pPr>
        <w:pStyle w:val="FootnoteText"/>
      </w:pPr>
      <w:r>
        <w:rPr>
          <w:rStyle w:val="FootnoteReference"/>
        </w:rPr>
        <w:footnoteRef/>
      </w:r>
      <w:r>
        <w:tab/>
        <w:t>The model framework does not account for short</w:t>
      </w:r>
      <w:r>
        <w:noBreakHyphen/>
        <w:t xml:space="preserve">term arrivals (those that stay for less than 12 months over a 16 month period), or category jumping between visa categories. </w:t>
      </w:r>
    </w:p>
  </w:footnote>
  <w:footnote w:id="2">
    <w:p w:rsidR="00E40C3D" w:rsidRDefault="00E40C3D">
      <w:pPr>
        <w:pStyle w:val="FootnoteText"/>
      </w:pPr>
      <w:r>
        <w:rPr>
          <w:rStyle w:val="FootnoteReference"/>
        </w:rPr>
        <w:footnoteRef/>
      </w:r>
      <w:r>
        <w:tab/>
      </w:r>
      <w:r w:rsidRPr="00697A60">
        <w:t xml:space="preserve">The model assumes that immigrants who are of a given age are turning that age at the beginning of that financial year. This simplifies the module’s calculations and does away with </w:t>
      </w:r>
      <w:r>
        <w:t>the</w:t>
      </w:r>
      <w:r w:rsidRPr="00697A60">
        <w:t xml:space="preserve"> need to assume that an immigrant’s age in a given year is in some interval </w:t>
      </w:r>
      <w:proofErr w:type="spellStart"/>
      <w:r w:rsidRPr="00697A60">
        <w:t>x≤a≤x+1</w:t>
      </w:r>
      <w:proofErr w:type="spellEnd"/>
      <w:r w:rsidRPr="00697A60">
        <w:t>.</w:t>
      </w:r>
    </w:p>
  </w:footnote>
  <w:footnote w:id="3">
    <w:p w:rsidR="00E40C3D" w:rsidRDefault="00E40C3D" w:rsidP="00716480">
      <w:pPr>
        <w:pStyle w:val="FootnoteText"/>
      </w:pPr>
      <w:r>
        <w:rPr>
          <w:rStyle w:val="FootnoteReference"/>
        </w:rPr>
        <w:footnoteRef/>
      </w:r>
      <w:r>
        <w:tab/>
        <w:t xml:space="preserve">Births in a given year are assumed to occur at the start of that year, doing away with the need to assume that births in a given period </w:t>
      </w:r>
      <w:r w:rsidRPr="005727D0">
        <w:rPr>
          <w:i/>
        </w:rPr>
        <w:t>t</w:t>
      </w:r>
      <w:r>
        <w:t xml:space="preserve"> are an average of the fertility rate in </w:t>
      </w:r>
      <w:r w:rsidRPr="005727D0">
        <w:rPr>
          <w:i/>
        </w:rPr>
        <w:t>t</w:t>
      </w:r>
      <w:r>
        <w:t xml:space="preserve"> and </w:t>
      </w:r>
      <w:proofErr w:type="spellStart"/>
      <w:r w:rsidRPr="005727D0">
        <w:rPr>
          <w:i/>
        </w:rPr>
        <w:t>t+1</w:t>
      </w:r>
      <w:proofErr w:type="spellEnd"/>
      <w:r>
        <w:t xml:space="preserve">. </w:t>
      </w:r>
    </w:p>
  </w:footnote>
  <w:footnote w:id="4">
    <w:p w:rsidR="00E40C3D" w:rsidRDefault="00E40C3D" w:rsidP="00920C39">
      <w:pPr>
        <w:pStyle w:val="FootnoteText"/>
      </w:pPr>
      <w:r>
        <w:rPr>
          <w:rStyle w:val="FootnoteReference"/>
        </w:rPr>
        <w:footnoteRef/>
      </w:r>
      <w:r>
        <w:tab/>
        <w:t xml:space="preserve">A fifth generation yields negligible additional births within the scope of the projection period. </w:t>
      </w:r>
    </w:p>
  </w:footnote>
  <w:footnote w:id="5">
    <w:p w:rsidR="00E40C3D" w:rsidRDefault="00E40C3D">
      <w:pPr>
        <w:pStyle w:val="FootnoteText"/>
      </w:pPr>
      <w:r>
        <w:rPr>
          <w:rStyle w:val="FootnoteReference"/>
        </w:rPr>
        <w:footnoteRef/>
      </w:r>
      <w:r>
        <w:tab/>
        <w:t xml:space="preserve">Note that the higher rate of mortality for live births is accounted for in the estimates of </w:t>
      </w:r>
      <m:oMath>
        <m:sSub>
          <m:sSubPr>
            <m:ctrlPr>
              <w:rPr>
                <w:rFonts w:ascii="Cambria Math" w:hAnsi="Cambria Math"/>
                <w:i/>
              </w:rPr>
            </m:ctrlPr>
          </m:sSubPr>
          <m:e>
            <m:r>
              <w:rPr>
                <w:rFonts w:ascii="Cambria Math" w:hAnsi="Cambria Math"/>
              </w:rPr>
              <m:t>Q</m:t>
            </m:r>
          </m:e>
          <m:sub>
            <m:r>
              <w:rPr>
                <w:rFonts w:ascii="Cambria Math" w:hAnsi="Cambria Math"/>
              </w:rPr>
              <m:t>a,g,t</m:t>
            </m:r>
          </m:sub>
        </m:sSub>
      </m:oMath>
      <w:r>
        <w:t>.</w:t>
      </w:r>
    </w:p>
  </w:footnote>
  <w:footnote w:id="6">
    <w:p w:rsidR="00E40C3D" w:rsidRDefault="00E40C3D">
      <w:pPr>
        <w:pStyle w:val="FootnoteText"/>
      </w:pPr>
      <w:r>
        <w:rPr>
          <w:rStyle w:val="FootnoteReference"/>
        </w:rPr>
        <w:footnoteRef/>
      </w:r>
      <w:r>
        <w:tab/>
        <w:t xml:space="preserve">Eligible ‘claimants’ are estimated across all ages for computational simplicity. Where an expenditure is specific to a certain age group, this is accounted for in the per person cost estimate, which is imputed as positive only for relevant age-groups. </w:t>
      </w:r>
    </w:p>
  </w:footnote>
  <w:footnote w:id="7">
    <w:p w:rsidR="00E40C3D" w:rsidRDefault="00E40C3D">
      <w:pPr>
        <w:pStyle w:val="FootnoteText"/>
      </w:pPr>
      <w:r>
        <w:rPr>
          <w:rStyle w:val="FootnoteReference"/>
        </w:rPr>
        <w:footnoteRef/>
      </w:r>
      <w:r>
        <w:tab/>
        <w:t>Detailed in Technical Supplement D (Part 1). Convergence rates differ by visa reflecting different assumed human capital.</w:t>
      </w:r>
    </w:p>
  </w:footnote>
  <w:footnote w:id="8">
    <w:p w:rsidR="00E40C3D" w:rsidRDefault="00E40C3D">
      <w:pPr>
        <w:pStyle w:val="FootnoteText"/>
      </w:pPr>
      <w:r>
        <w:rPr>
          <w:rStyle w:val="FootnoteReference"/>
        </w:rPr>
        <w:footnoteRef/>
      </w:r>
      <w:r>
        <w:tab/>
        <w:t>This framework does not account for those unemployed who choose not draw on unemployment benefits.</w:t>
      </w:r>
    </w:p>
  </w:footnote>
  <w:footnote w:id="9">
    <w:p w:rsidR="00E40C3D" w:rsidRDefault="00E40C3D">
      <w:pPr>
        <w:pStyle w:val="FootnoteText"/>
      </w:pPr>
      <w:r>
        <w:rPr>
          <w:rStyle w:val="FootnoteReference"/>
        </w:rPr>
        <w:footnoteRef/>
      </w:r>
      <w:r>
        <w:tab/>
        <w:t xml:space="preserve">This does not include </w:t>
      </w:r>
      <w:r w:rsidRPr="00A538E2">
        <w:rPr>
          <w:i/>
        </w:rPr>
        <w:t>indirect</w:t>
      </w:r>
      <w:r>
        <w:t xml:space="preserve"> fiscal impacts, such as impacts which may arise due to changes in labour market aggregates, capacity utilisation or labour productivity.</w:t>
      </w:r>
    </w:p>
  </w:footnote>
  <w:footnote w:id="10">
    <w:p w:rsidR="00E40C3D" w:rsidRDefault="00E40C3D" w:rsidP="00263DE7">
      <w:pPr>
        <w:pStyle w:val="FootnoteText"/>
      </w:pPr>
      <w:r>
        <w:rPr>
          <w:rStyle w:val="FootnoteReference"/>
        </w:rPr>
        <w:footnoteRef/>
      </w:r>
      <w:r>
        <w:tab/>
        <w:t xml:space="preserve">See Technical Supplement D (Part 1), appendix A for a full list. </w:t>
      </w:r>
      <w:r w:rsidRPr="009B213D">
        <w:t xml:space="preserve">The </w:t>
      </w:r>
      <w:proofErr w:type="spellStart"/>
      <w:r w:rsidRPr="009B213D">
        <w:t>DIBP’s</w:t>
      </w:r>
      <w:proofErr w:type="spellEnd"/>
      <w:r w:rsidRPr="009B213D">
        <w:t xml:space="preserve"> data has been used to parameterise the temporary immigrants’ age and gender distributions only, and have not been </w:t>
      </w:r>
      <w:r>
        <w:t xml:space="preserve">used </w:t>
      </w:r>
      <w:r w:rsidRPr="009B213D">
        <w:t>for any other purpose.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613B7">
      <w:tc>
        <w:tcPr>
          <w:tcW w:w="6634" w:type="dxa"/>
          <w:tcBorders>
            <w:top w:val="single" w:sz="6" w:space="0" w:color="auto"/>
          </w:tcBorders>
        </w:tcPr>
        <w:p w:rsidR="004613B7" w:rsidRDefault="004613B7" w:rsidP="00E669E2">
          <w:pPr>
            <w:pStyle w:val="HeaderOdd"/>
          </w:pPr>
        </w:p>
      </w:tc>
      <w:tc>
        <w:tcPr>
          <w:tcW w:w="2155" w:type="dxa"/>
          <w:tcBorders>
            <w:top w:val="single" w:sz="24" w:space="0" w:color="auto"/>
          </w:tcBorders>
        </w:tcPr>
        <w:p w:rsidR="004613B7" w:rsidRDefault="004613B7" w:rsidP="00E669E2">
          <w:pPr>
            <w:pStyle w:val="HeaderOdd"/>
          </w:pPr>
        </w:p>
      </w:tc>
    </w:tr>
  </w:tbl>
  <w:p w:rsidR="004613B7" w:rsidRDefault="004613B7"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E40C3D">
      <w:tc>
        <w:tcPr>
          <w:tcW w:w="2155" w:type="dxa"/>
          <w:tcBorders>
            <w:top w:val="single" w:sz="24" w:space="0" w:color="auto"/>
          </w:tcBorders>
        </w:tcPr>
        <w:p w:rsidR="00E40C3D" w:rsidRDefault="00E40C3D" w:rsidP="0019293B">
          <w:pPr>
            <w:pStyle w:val="HeaderEven"/>
          </w:pPr>
        </w:p>
      </w:tc>
      <w:tc>
        <w:tcPr>
          <w:tcW w:w="6634" w:type="dxa"/>
          <w:tcBorders>
            <w:top w:val="single" w:sz="6" w:space="0" w:color="auto"/>
          </w:tcBorders>
        </w:tcPr>
        <w:p w:rsidR="00E40C3D" w:rsidRDefault="00E40C3D" w:rsidP="0019293B">
          <w:pPr>
            <w:pStyle w:val="HeaderEven"/>
          </w:pPr>
        </w:p>
      </w:tc>
    </w:tr>
  </w:tbl>
  <w:p w:rsidR="00E40C3D" w:rsidRDefault="00E40C3D"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40C3D">
      <w:tc>
        <w:tcPr>
          <w:tcW w:w="6634" w:type="dxa"/>
          <w:tcBorders>
            <w:top w:val="single" w:sz="6" w:space="0" w:color="auto"/>
          </w:tcBorders>
        </w:tcPr>
        <w:p w:rsidR="00E40C3D" w:rsidRDefault="00E40C3D" w:rsidP="00E669E2">
          <w:pPr>
            <w:pStyle w:val="HeaderOdd"/>
          </w:pPr>
        </w:p>
      </w:tc>
      <w:tc>
        <w:tcPr>
          <w:tcW w:w="2155" w:type="dxa"/>
          <w:tcBorders>
            <w:top w:val="single" w:sz="24" w:space="0" w:color="auto"/>
          </w:tcBorders>
        </w:tcPr>
        <w:p w:rsidR="00E40C3D" w:rsidRDefault="00E40C3D" w:rsidP="00E669E2">
          <w:pPr>
            <w:pStyle w:val="HeaderOdd"/>
          </w:pPr>
        </w:p>
      </w:tc>
    </w:tr>
  </w:tbl>
  <w:p w:rsidR="00E40C3D" w:rsidRDefault="00E40C3D"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6293368"/>
    <w:multiLevelType w:val="hybridMultilevel"/>
    <w:tmpl w:val="D0DAC5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B41513"/>
    <w:multiLevelType w:val="hybridMultilevel"/>
    <w:tmpl w:val="79C0427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4"/>
  </w:num>
  <w:num w:numId="4">
    <w:abstractNumId w:val="3"/>
  </w:num>
  <w:num w:numId="5">
    <w:abstractNumId w:val="20"/>
  </w:num>
  <w:num w:numId="6">
    <w:abstractNumId w:val="16"/>
  </w:num>
  <w:num w:numId="7">
    <w:abstractNumId w:val="7"/>
  </w:num>
  <w:num w:numId="8">
    <w:abstractNumId w:val="15"/>
  </w:num>
  <w:num w:numId="9">
    <w:abstractNumId w:val="6"/>
  </w:num>
  <w:num w:numId="10">
    <w:abstractNumId w:val="5"/>
  </w:num>
  <w:num w:numId="11">
    <w:abstractNumId w:val="9"/>
  </w:num>
  <w:num w:numId="12">
    <w:abstractNumId w:val="11"/>
  </w:num>
  <w:num w:numId="13">
    <w:abstractNumId w:val="4"/>
  </w:num>
  <w:num w:numId="14">
    <w:abstractNumId w:val="17"/>
  </w:num>
  <w:num w:numId="15">
    <w:abstractNumId w:val="21"/>
  </w:num>
  <w:num w:numId="16">
    <w:abstractNumId w:val="13"/>
  </w:num>
  <w:num w:numId="17">
    <w:abstractNumId w:val="22"/>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0"/>
  </w:num>
  <w:num w:numId="2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Modelling Immigrants Fiscal Impacts - Part 2"/>
    <w:docVar w:name="ShortReportTitle" w:val="Migrant Intake into Australia - Technical Supplement D (Part 2)"/>
  </w:docVars>
  <w:rsids>
    <w:rsidRoot w:val="00567B9A"/>
    <w:rsid w:val="00003BE8"/>
    <w:rsid w:val="000046BA"/>
    <w:rsid w:val="0001454A"/>
    <w:rsid w:val="00021A79"/>
    <w:rsid w:val="000220AB"/>
    <w:rsid w:val="0002210A"/>
    <w:rsid w:val="00022698"/>
    <w:rsid w:val="000227D5"/>
    <w:rsid w:val="000245AA"/>
    <w:rsid w:val="0003664B"/>
    <w:rsid w:val="00036ADD"/>
    <w:rsid w:val="0004111F"/>
    <w:rsid w:val="00041731"/>
    <w:rsid w:val="00055077"/>
    <w:rsid w:val="000565B3"/>
    <w:rsid w:val="00062942"/>
    <w:rsid w:val="0007150B"/>
    <w:rsid w:val="0007326D"/>
    <w:rsid w:val="000740E9"/>
    <w:rsid w:val="000807A3"/>
    <w:rsid w:val="000900AE"/>
    <w:rsid w:val="000938F5"/>
    <w:rsid w:val="0009484E"/>
    <w:rsid w:val="00095663"/>
    <w:rsid w:val="00096E55"/>
    <w:rsid w:val="0009783E"/>
    <w:rsid w:val="000A1C03"/>
    <w:rsid w:val="000A2AEB"/>
    <w:rsid w:val="000B06F3"/>
    <w:rsid w:val="000B1022"/>
    <w:rsid w:val="000B5E8F"/>
    <w:rsid w:val="000B601B"/>
    <w:rsid w:val="000B7101"/>
    <w:rsid w:val="000C207E"/>
    <w:rsid w:val="000D41E9"/>
    <w:rsid w:val="000D537F"/>
    <w:rsid w:val="000E31BD"/>
    <w:rsid w:val="000F0035"/>
    <w:rsid w:val="000F04E7"/>
    <w:rsid w:val="000F060A"/>
    <w:rsid w:val="000F420B"/>
    <w:rsid w:val="000F61F2"/>
    <w:rsid w:val="00110116"/>
    <w:rsid w:val="00111781"/>
    <w:rsid w:val="00120072"/>
    <w:rsid w:val="00126EB8"/>
    <w:rsid w:val="001274D4"/>
    <w:rsid w:val="001363AA"/>
    <w:rsid w:val="0013739A"/>
    <w:rsid w:val="00142165"/>
    <w:rsid w:val="00146242"/>
    <w:rsid w:val="001539CB"/>
    <w:rsid w:val="00155830"/>
    <w:rsid w:val="00155F58"/>
    <w:rsid w:val="00156C7E"/>
    <w:rsid w:val="00162434"/>
    <w:rsid w:val="00164652"/>
    <w:rsid w:val="00171FA1"/>
    <w:rsid w:val="00181CF2"/>
    <w:rsid w:val="00183E82"/>
    <w:rsid w:val="001878BB"/>
    <w:rsid w:val="00191AE0"/>
    <w:rsid w:val="0019293B"/>
    <w:rsid w:val="0019426B"/>
    <w:rsid w:val="00194A64"/>
    <w:rsid w:val="00196ECC"/>
    <w:rsid w:val="001A3DCA"/>
    <w:rsid w:val="001A643C"/>
    <w:rsid w:val="001A6A4B"/>
    <w:rsid w:val="001A7F3A"/>
    <w:rsid w:val="001B01CB"/>
    <w:rsid w:val="001B4020"/>
    <w:rsid w:val="001C0865"/>
    <w:rsid w:val="001C0AED"/>
    <w:rsid w:val="001C3ABA"/>
    <w:rsid w:val="001C5111"/>
    <w:rsid w:val="001D0A9A"/>
    <w:rsid w:val="001D20BF"/>
    <w:rsid w:val="001D39F9"/>
    <w:rsid w:val="001D4B00"/>
    <w:rsid w:val="001D58FE"/>
    <w:rsid w:val="001E7BE8"/>
    <w:rsid w:val="001F0248"/>
    <w:rsid w:val="001F2D7D"/>
    <w:rsid w:val="001F3EB3"/>
    <w:rsid w:val="001F4F86"/>
    <w:rsid w:val="001F5E32"/>
    <w:rsid w:val="00202C2C"/>
    <w:rsid w:val="00203050"/>
    <w:rsid w:val="00206D81"/>
    <w:rsid w:val="002135AB"/>
    <w:rsid w:val="002144BE"/>
    <w:rsid w:val="00220445"/>
    <w:rsid w:val="002237A2"/>
    <w:rsid w:val="00227C56"/>
    <w:rsid w:val="00230DF0"/>
    <w:rsid w:val="00231914"/>
    <w:rsid w:val="0023539E"/>
    <w:rsid w:val="0024036B"/>
    <w:rsid w:val="00240ADD"/>
    <w:rsid w:val="00242279"/>
    <w:rsid w:val="00243997"/>
    <w:rsid w:val="00244925"/>
    <w:rsid w:val="0024516C"/>
    <w:rsid w:val="00245A4D"/>
    <w:rsid w:val="00245C82"/>
    <w:rsid w:val="002463BA"/>
    <w:rsid w:val="00252EE1"/>
    <w:rsid w:val="00260A6B"/>
    <w:rsid w:val="00263DE7"/>
    <w:rsid w:val="00263F33"/>
    <w:rsid w:val="0026491E"/>
    <w:rsid w:val="002710D3"/>
    <w:rsid w:val="002724BA"/>
    <w:rsid w:val="002733F4"/>
    <w:rsid w:val="00274BEE"/>
    <w:rsid w:val="0028194A"/>
    <w:rsid w:val="00286FC9"/>
    <w:rsid w:val="002877C5"/>
    <w:rsid w:val="00287CC5"/>
    <w:rsid w:val="00291B40"/>
    <w:rsid w:val="00292576"/>
    <w:rsid w:val="00295291"/>
    <w:rsid w:val="00296FD8"/>
    <w:rsid w:val="002B21CB"/>
    <w:rsid w:val="002B4008"/>
    <w:rsid w:val="002C439F"/>
    <w:rsid w:val="002C7CDF"/>
    <w:rsid w:val="002D0C42"/>
    <w:rsid w:val="002D0E8E"/>
    <w:rsid w:val="002D3BAC"/>
    <w:rsid w:val="002D4B2B"/>
    <w:rsid w:val="002D731F"/>
    <w:rsid w:val="002E20C5"/>
    <w:rsid w:val="002E475B"/>
    <w:rsid w:val="002F6D82"/>
    <w:rsid w:val="00301189"/>
    <w:rsid w:val="00301E4A"/>
    <w:rsid w:val="00302CCB"/>
    <w:rsid w:val="00303463"/>
    <w:rsid w:val="003036FD"/>
    <w:rsid w:val="00311713"/>
    <w:rsid w:val="003168B8"/>
    <w:rsid w:val="00322D64"/>
    <w:rsid w:val="00322F6E"/>
    <w:rsid w:val="00323E09"/>
    <w:rsid w:val="003320FE"/>
    <w:rsid w:val="00332E91"/>
    <w:rsid w:val="00333932"/>
    <w:rsid w:val="00334CBC"/>
    <w:rsid w:val="00342CB6"/>
    <w:rsid w:val="003518AA"/>
    <w:rsid w:val="003520F8"/>
    <w:rsid w:val="00352165"/>
    <w:rsid w:val="00353182"/>
    <w:rsid w:val="003565D9"/>
    <w:rsid w:val="003602E1"/>
    <w:rsid w:val="0036618A"/>
    <w:rsid w:val="0037026F"/>
    <w:rsid w:val="00371240"/>
    <w:rsid w:val="00372560"/>
    <w:rsid w:val="00374731"/>
    <w:rsid w:val="00376E59"/>
    <w:rsid w:val="00377EC1"/>
    <w:rsid w:val="00380340"/>
    <w:rsid w:val="003919F9"/>
    <w:rsid w:val="003920CF"/>
    <w:rsid w:val="003932E0"/>
    <w:rsid w:val="00394968"/>
    <w:rsid w:val="00396B57"/>
    <w:rsid w:val="003B23C2"/>
    <w:rsid w:val="003B2D96"/>
    <w:rsid w:val="003B7B83"/>
    <w:rsid w:val="003C38B5"/>
    <w:rsid w:val="003C3BFA"/>
    <w:rsid w:val="003C5D99"/>
    <w:rsid w:val="003C62FB"/>
    <w:rsid w:val="003D00E7"/>
    <w:rsid w:val="003D0718"/>
    <w:rsid w:val="003D1087"/>
    <w:rsid w:val="003E1AE8"/>
    <w:rsid w:val="003E221C"/>
    <w:rsid w:val="003E2F59"/>
    <w:rsid w:val="003E4B37"/>
    <w:rsid w:val="003E746B"/>
    <w:rsid w:val="003F0789"/>
    <w:rsid w:val="003F17D6"/>
    <w:rsid w:val="003F5DBF"/>
    <w:rsid w:val="003F6F60"/>
    <w:rsid w:val="00401882"/>
    <w:rsid w:val="004100C8"/>
    <w:rsid w:val="00411DBD"/>
    <w:rsid w:val="00412ACE"/>
    <w:rsid w:val="004145D2"/>
    <w:rsid w:val="00414DDF"/>
    <w:rsid w:val="0042177B"/>
    <w:rsid w:val="00426CB4"/>
    <w:rsid w:val="00427287"/>
    <w:rsid w:val="00431249"/>
    <w:rsid w:val="00434C19"/>
    <w:rsid w:val="0045032A"/>
    <w:rsid w:val="00450810"/>
    <w:rsid w:val="004516C9"/>
    <w:rsid w:val="00455D95"/>
    <w:rsid w:val="00457D80"/>
    <w:rsid w:val="004613B7"/>
    <w:rsid w:val="00462C59"/>
    <w:rsid w:val="004651AC"/>
    <w:rsid w:val="004655A3"/>
    <w:rsid w:val="00470737"/>
    <w:rsid w:val="00473207"/>
    <w:rsid w:val="00473E24"/>
    <w:rsid w:val="00474D27"/>
    <w:rsid w:val="00477144"/>
    <w:rsid w:val="0048396A"/>
    <w:rsid w:val="004903F9"/>
    <w:rsid w:val="00491380"/>
    <w:rsid w:val="0049459F"/>
    <w:rsid w:val="00496D19"/>
    <w:rsid w:val="004A38DD"/>
    <w:rsid w:val="004B43AE"/>
    <w:rsid w:val="004C30ED"/>
    <w:rsid w:val="004D2A54"/>
    <w:rsid w:val="004D5675"/>
    <w:rsid w:val="004D5B94"/>
    <w:rsid w:val="004E1045"/>
    <w:rsid w:val="004E42DE"/>
    <w:rsid w:val="004E7D1C"/>
    <w:rsid w:val="00500772"/>
    <w:rsid w:val="00503721"/>
    <w:rsid w:val="00503C57"/>
    <w:rsid w:val="00513209"/>
    <w:rsid w:val="005159D7"/>
    <w:rsid w:val="00517795"/>
    <w:rsid w:val="005218AB"/>
    <w:rsid w:val="00522D25"/>
    <w:rsid w:val="00522FDD"/>
    <w:rsid w:val="00523639"/>
    <w:rsid w:val="00531FE5"/>
    <w:rsid w:val="005402FA"/>
    <w:rsid w:val="00543AAC"/>
    <w:rsid w:val="00547CDF"/>
    <w:rsid w:val="00560F15"/>
    <w:rsid w:val="00563F92"/>
    <w:rsid w:val="00564ACA"/>
    <w:rsid w:val="00567B9A"/>
    <w:rsid w:val="005727D0"/>
    <w:rsid w:val="005729BD"/>
    <w:rsid w:val="00576DA3"/>
    <w:rsid w:val="00580154"/>
    <w:rsid w:val="00583C39"/>
    <w:rsid w:val="00584801"/>
    <w:rsid w:val="00586A90"/>
    <w:rsid w:val="00587F28"/>
    <w:rsid w:val="005905FD"/>
    <w:rsid w:val="005909CF"/>
    <w:rsid w:val="00591E71"/>
    <w:rsid w:val="00593F0C"/>
    <w:rsid w:val="005A0D41"/>
    <w:rsid w:val="005B162C"/>
    <w:rsid w:val="005B2653"/>
    <w:rsid w:val="005B76A7"/>
    <w:rsid w:val="005C3C33"/>
    <w:rsid w:val="005C7071"/>
    <w:rsid w:val="005D329F"/>
    <w:rsid w:val="005D3937"/>
    <w:rsid w:val="005F1E8F"/>
    <w:rsid w:val="005F48ED"/>
    <w:rsid w:val="005F6701"/>
    <w:rsid w:val="005F7162"/>
    <w:rsid w:val="00603B39"/>
    <w:rsid w:val="00605537"/>
    <w:rsid w:val="00606E78"/>
    <w:rsid w:val="00606F6F"/>
    <w:rsid w:val="00607BF1"/>
    <w:rsid w:val="006129A4"/>
    <w:rsid w:val="00615424"/>
    <w:rsid w:val="0061700A"/>
    <w:rsid w:val="00623F59"/>
    <w:rsid w:val="00625B0E"/>
    <w:rsid w:val="00630D4D"/>
    <w:rsid w:val="00632A74"/>
    <w:rsid w:val="00632BC2"/>
    <w:rsid w:val="0063703D"/>
    <w:rsid w:val="0064044D"/>
    <w:rsid w:val="006425A8"/>
    <w:rsid w:val="00642F0E"/>
    <w:rsid w:val="00647D14"/>
    <w:rsid w:val="006502DD"/>
    <w:rsid w:val="00654D42"/>
    <w:rsid w:val="00664FFD"/>
    <w:rsid w:val="00666E02"/>
    <w:rsid w:val="00673C4A"/>
    <w:rsid w:val="006866BD"/>
    <w:rsid w:val="00697A60"/>
    <w:rsid w:val="006A4655"/>
    <w:rsid w:val="006B2B3C"/>
    <w:rsid w:val="006C1D81"/>
    <w:rsid w:val="006C288F"/>
    <w:rsid w:val="006C2ED0"/>
    <w:rsid w:val="006C4B7A"/>
    <w:rsid w:val="006C696E"/>
    <w:rsid w:val="006C7038"/>
    <w:rsid w:val="006C7DB0"/>
    <w:rsid w:val="006D28C2"/>
    <w:rsid w:val="006D32A8"/>
    <w:rsid w:val="006D34F6"/>
    <w:rsid w:val="006E7007"/>
    <w:rsid w:val="006E73EF"/>
    <w:rsid w:val="00701FAD"/>
    <w:rsid w:val="00703782"/>
    <w:rsid w:val="00703884"/>
    <w:rsid w:val="00706E5D"/>
    <w:rsid w:val="007079C9"/>
    <w:rsid w:val="007131D3"/>
    <w:rsid w:val="0071352F"/>
    <w:rsid w:val="00714D4D"/>
    <w:rsid w:val="00714EF7"/>
    <w:rsid w:val="00716480"/>
    <w:rsid w:val="007229CE"/>
    <w:rsid w:val="007256C1"/>
    <w:rsid w:val="007266D3"/>
    <w:rsid w:val="00732029"/>
    <w:rsid w:val="0073362F"/>
    <w:rsid w:val="007339BD"/>
    <w:rsid w:val="007604BB"/>
    <w:rsid w:val="007614E1"/>
    <w:rsid w:val="007626A0"/>
    <w:rsid w:val="00772909"/>
    <w:rsid w:val="00775D01"/>
    <w:rsid w:val="00777219"/>
    <w:rsid w:val="0078326D"/>
    <w:rsid w:val="00785232"/>
    <w:rsid w:val="00791E4C"/>
    <w:rsid w:val="00795788"/>
    <w:rsid w:val="0079701E"/>
    <w:rsid w:val="007973B4"/>
    <w:rsid w:val="007A21EB"/>
    <w:rsid w:val="007A588E"/>
    <w:rsid w:val="007A779A"/>
    <w:rsid w:val="007B15A8"/>
    <w:rsid w:val="007B1A93"/>
    <w:rsid w:val="007C14CC"/>
    <w:rsid w:val="007C1E47"/>
    <w:rsid w:val="007C36C9"/>
    <w:rsid w:val="007C3C02"/>
    <w:rsid w:val="007C704A"/>
    <w:rsid w:val="007C717E"/>
    <w:rsid w:val="007D2728"/>
    <w:rsid w:val="007D3787"/>
    <w:rsid w:val="007D6204"/>
    <w:rsid w:val="007D6401"/>
    <w:rsid w:val="007E01E4"/>
    <w:rsid w:val="007E1230"/>
    <w:rsid w:val="007E752E"/>
    <w:rsid w:val="007E7A12"/>
    <w:rsid w:val="007F7107"/>
    <w:rsid w:val="00800D4C"/>
    <w:rsid w:val="00803421"/>
    <w:rsid w:val="008064AB"/>
    <w:rsid w:val="0081030F"/>
    <w:rsid w:val="00811D3C"/>
    <w:rsid w:val="00812F4A"/>
    <w:rsid w:val="0082087D"/>
    <w:rsid w:val="0082228C"/>
    <w:rsid w:val="00825DFA"/>
    <w:rsid w:val="00826AA7"/>
    <w:rsid w:val="008305AD"/>
    <w:rsid w:val="00831970"/>
    <w:rsid w:val="00833B3A"/>
    <w:rsid w:val="00835771"/>
    <w:rsid w:val="00841D7A"/>
    <w:rsid w:val="00842933"/>
    <w:rsid w:val="0084618A"/>
    <w:rsid w:val="00851FCB"/>
    <w:rsid w:val="008548F4"/>
    <w:rsid w:val="008551FE"/>
    <w:rsid w:val="0086082C"/>
    <w:rsid w:val="00864ADC"/>
    <w:rsid w:val="008764F1"/>
    <w:rsid w:val="00880153"/>
    <w:rsid w:val="00880F97"/>
    <w:rsid w:val="0088133A"/>
    <w:rsid w:val="00884881"/>
    <w:rsid w:val="0089285E"/>
    <w:rsid w:val="0089436C"/>
    <w:rsid w:val="008A1109"/>
    <w:rsid w:val="008B421F"/>
    <w:rsid w:val="008B6272"/>
    <w:rsid w:val="008C0419"/>
    <w:rsid w:val="008D365C"/>
    <w:rsid w:val="008D55C7"/>
    <w:rsid w:val="008D7622"/>
    <w:rsid w:val="009021A6"/>
    <w:rsid w:val="009030BF"/>
    <w:rsid w:val="00903B52"/>
    <w:rsid w:val="00903D57"/>
    <w:rsid w:val="0091032F"/>
    <w:rsid w:val="00913C9D"/>
    <w:rsid w:val="00914368"/>
    <w:rsid w:val="00920C39"/>
    <w:rsid w:val="00931076"/>
    <w:rsid w:val="009345D9"/>
    <w:rsid w:val="00934B15"/>
    <w:rsid w:val="009403F5"/>
    <w:rsid w:val="00940C87"/>
    <w:rsid w:val="00942B62"/>
    <w:rsid w:val="009440AA"/>
    <w:rsid w:val="0095323B"/>
    <w:rsid w:val="00956A0C"/>
    <w:rsid w:val="00956BD9"/>
    <w:rsid w:val="00961F4F"/>
    <w:rsid w:val="00962489"/>
    <w:rsid w:val="00966474"/>
    <w:rsid w:val="00966C72"/>
    <w:rsid w:val="00967CD3"/>
    <w:rsid w:val="009717D7"/>
    <w:rsid w:val="00975CC2"/>
    <w:rsid w:val="00990C2C"/>
    <w:rsid w:val="0099300F"/>
    <w:rsid w:val="009A5171"/>
    <w:rsid w:val="009B213D"/>
    <w:rsid w:val="009C2F48"/>
    <w:rsid w:val="009C7FE0"/>
    <w:rsid w:val="009D6B06"/>
    <w:rsid w:val="009E1844"/>
    <w:rsid w:val="009F0D1B"/>
    <w:rsid w:val="009F419B"/>
    <w:rsid w:val="009F583E"/>
    <w:rsid w:val="009F5BBD"/>
    <w:rsid w:val="009F696D"/>
    <w:rsid w:val="009F6BC6"/>
    <w:rsid w:val="009F74EF"/>
    <w:rsid w:val="009F7906"/>
    <w:rsid w:val="00A02826"/>
    <w:rsid w:val="00A133EE"/>
    <w:rsid w:val="00A15D5A"/>
    <w:rsid w:val="00A15DE6"/>
    <w:rsid w:val="00A17328"/>
    <w:rsid w:val="00A21DA5"/>
    <w:rsid w:val="00A229E9"/>
    <w:rsid w:val="00A23A20"/>
    <w:rsid w:val="00A24443"/>
    <w:rsid w:val="00A25D18"/>
    <w:rsid w:val="00A268B9"/>
    <w:rsid w:val="00A2703A"/>
    <w:rsid w:val="00A33DFF"/>
    <w:rsid w:val="00A35115"/>
    <w:rsid w:val="00A36D9A"/>
    <w:rsid w:val="00A40440"/>
    <w:rsid w:val="00A439B6"/>
    <w:rsid w:val="00A440A7"/>
    <w:rsid w:val="00A451DC"/>
    <w:rsid w:val="00A47DF0"/>
    <w:rsid w:val="00A538E2"/>
    <w:rsid w:val="00A554AB"/>
    <w:rsid w:val="00A57062"/>
    <w:rsid w:val="00A57A87"/>
    <w:rsid w:val="00A61F90"/>
    <w:rsid w:val="00A67781"/>
    <w:rsid w:val="00A761F9"/>
    <w:rsid w:val="00A92B53"/>
    <w:rsid w:val="00A94E60"/>
    <w:rsid w:val="00A94FA6"/>
    <w:rsid w:val="00AA1334"/>
    <w:rsid w:val="00AA26F5"/>
    <w:rsid w:val="00AA49A0"/>
    <w:rsid w:val="00AA6710"/>
    <w:rsid w:val="00AB0681"/>
    <w:rsid w:val="00AB34DA"/>
    <w:rsid w:val="00AC0642"/>
    <w:rsid w:val="00AC3A15"/>
    <w:rsid w:val="00AC4E10"/>
    <w:rsid w:val="00AD4C07"/>
    <w:rsid w:val="00AD4D4C"/>
    <w:rsid w:val="00AD4DE4"/>
    <w:rsid w:val="00AD520B"/>
    <w:rsid w:val="00AD5A96"/>
    <w:rsid w:val="00AE28ED"/>
    <w:rsid w:val="00AE3BCC"/>
    <w:rsid w:val="00AE49DE"/>
    <w:rsid w:val="00AE5D93"/>
    <w:rsid w:val="00AE70CE"/>
    <w:rsid w:val="00AE728F"/>
    <w:rsid w:val="00B00EE9"/>
    <w:rsid w:val="00B2229A"/>
    <w:rsid w:val="00B34C4F"/>
    <w:rsid w:val="00B425C3"/>
    <w:rsid w:val="00B440AD"/>
    <w:rsid w:val="00B445B8"/>
    <w:rsid w:val="00B479BB"/>
    <w:rsid w:val="00B52067"/>
    <w:rsid w:val="00B53E7E"/>
    <w:rsid w:val="00B5608B"/>
    <w:rsid w:val="00B62365"/>
    <w:rsid w:val="00B6342E"/>
    <w:rsid w:val="00B67C31"/>
    <w:rsid w:val="00B7113F"/>
    <w:rsid w:val="00B911A6"/>
    <w:rsid w:val="00BA2BCF"/>
    <w:rsid w:val="00BA2D5F"/>
    <w:rsid w:val="00BA3A7D"/>
    <w:rsid w:val="00BA5B14"/>
    <w:rsid w:val="00BA73B6"/>
    <w:rsid w:val="00BA7E27"/>
    <w:rsid w:val="00BB2603"/>
    <w:rsid w:val="00BB4FCD"/>
    <w:rsid w:val="00BC04E9"/>
    <w:rsid w:val="00BD13EA"/>
    <w:rsid w:val="00BD3326"/>
    <w:rsid w:val="00BD7C1B"/>
    <w:rsid w:val="00BE0CFF"/>
    <w:rsid w:val="00BE29B0"/>
    <w:rsid w:val="00BE3808"/>
    <w:rsid w:val="00BF0E00"/>
    <w:rsid w:val="00C03B88"/>
    <w:rsid w:val="00C062E9"/>
    <w:rsid w:val="00C07B64"/>
    <w:rsid w:val="00C13721"/>
    <w:rsid w:val="00C14FE4"/>
    <w:rsid w:val="00C156FD"/>
    <w:rsid w:val="00C23CFE"/>
    <w:rsid w:val="00C3066D"/>
    <w:rsid w:val="00C40FBD"/>
    <w:rsid w:val="00C43D4F"/>
    <w:rsid w:val="00C4704D"/>
    <w:rsid w:val="00C51FD6"/>
    <w:rsid w:val="00C52416"/>
    <w:rsid w:val="00C543F4"/>
    <w:rsid w:val="00C6291C"/>
    <w:rsid w:val="00C633CB"/>
    <w:rsid w:val="00C664CD"/>
    <w:rsid w:val="00C67D01"/>
    <w:rsid w:val="00C736B7"/>
    <w:rsid w:val="00C81D4A"/>
    <w:rsid w:val="00C83901"/>
    <w:rsid w:val="00C8762C"/>
    <w:rsid w:val="00CA00F9"/>
    <w:rsid w:val="00CA2961"/>
    <w:rsid w:val="00CB46AB"/>
    <w:rsid w:val="00CB50D7"/>
    <w:rsid w:val="00CB5626"/>
    <w:rsid w:val="00CB7177"/>
    <w:rsid w:val="00CB7CED"/>
    <w:rsid w:val="00CB7FC1"/>
    <w:rsid w:val="00CC070F"/>
    <w:rsid w:val="00CC0BF3"/>
    <w:rsid w:val="00CC195D"/>
    <w:rsid w:val="00CC1998"/>
    <w:rsid w:val="00CC1E31"/>
    <w:rsid w:val="00CC4946"/>
    <w:rsid w:val="00CC64A1"/>
    <w:rsid w:val="00CC7D92"/>
    <w:rsid w:val="00CD2AFF"/>
    <w:rsid w:val="00CD43F9"/>
    <w:rsid w:val="00CF3B11"/>
    <w:rsid w:val="00D11C53"/>
    <w:rsid w:val="00D15B8D"/>
    <w:rsid w:val="00D16C34"/>
    <w:rsid w:val="00D2037C"/>
    <w:rsid w:val="00D270A4"/>
    <w:rsid w:val="00D31267"/>
    <w:rsid w:val="00D313FE"/>
    <w:rsid w:val="00D31FE9"/>
    <w:rsid w:val="00D34351"/>
    <w:rsid w:val="00D34E1B"/>
    <w:rsid w:val="00D376BA"/>
    <w:rsid w:val="00D37B3B"/>
    <w:rsid w:val="00D4136D"/>
    <w:rsid w:val="00D42A72"/>
    <w:rsid w:val="00D434A0"/>
    <w:rsid w:val="00D45634"/>
    <w:rsid w:val="00D548AE"/>
    <w:rsid w:val="00D5568A"/>
    <w:rsid w:val="00D61D15"/>
    <w:rsid w:val="00D63D73"/>
    <w:rsid w:val="00D64452"/>
    <w:rsid w:val="00D649F4"/>
    <w:rsid w:val="00D66E1E"/>
    <w:rsid w:val="00D70696"/>
    <w:rsid w:val="00D75722"/>
    <w:rsid w:val="00D80CF5"/>
    <w:rsid w:val="00DA0C25"/>
    <w:rsid w:val="00DA11CF"/>
    <w:rsid w:val="00DA5BBA"/>
    <w:rsid w:val="00DA5E6C"/>
    <w:rsid w:val="00DB26D2"/>
    <w:rsid w:val="00DB3542"/>
    <w:rsid w:val="00DB67C9"/>
    <w:rsid w:val="00DC0C95"/>
    <w:rsid w:val="00DC2391"/>
    <w:rsid w:val="00DC4F0B"/>
    <w:rsid w:val="00DD38DF"/>
    <w:rsid w:val="00DD6580"/>
    <w:rsid w:val="00DE1C12"/>
    <w:rsid w:val="00DF0A49"/>
    <w:rsid w:val="00DF4993"/>
    <w:rsid w:val="00DF54E5"/>
    <w:rsid w:val="00E01530"/>
    <w:rsid w:val="00E01D7F"/>
    <w:rsid w:val="00E05053"/>
    <w:rsid w:val="00E05C03"/>
    <w:rsid w:val="00E15AD9"/>
    <w:rsid w:val="00E17C72"/>
    <w:rsid w:val="00E21FC6"/>
    <w:rsid w:val="00E22FD4"/>
    <w:rsid w:val="00E240BB"/>
    <w:rsid w:val="00E33EB1"/>
    <w:rsid w:val="00E403EE"/>
    <w:rsid w:val="00E40B0D"/>
    <w:rsid w:val="00E40C3D"/>
    <w:rsid w:val="00E431A9"/>
    <w:rsid w:val="00E50D8F"/>
    <w:rsid w:val="00E54E29"/>
    <w:rsid w:val="00E60AF8"/>
    <w:rsid w:val="00E64627"/>
    <w:rsid w:val="00E65FF6"/>
    <w:rsid w:val="00E669E2"/>
    <w:rsid w:val="00E66FAE"/>
    <w:rsid w:val="00E73F37"/>
    <w:rsid w:val="00E76135"/>
    <w:rsid w:val="00E821FE"/>
    <w:rsid w:val="00E82F4F"/>
    <w:rsid w:val="00E864DF"/>
    <w:rsid w:val="00E93147"/>
    <w:rsid w:val="00E939C4"/>
    <w:rsid w:val="00EA51E4"/>
    <w:rsid w:val="00EB2C1B"/>
    <w:rsid w:val="00EB2CC3"/>
    <w:rsid w:val="00EB6C96"/>
    <w:rsid w:val="00EC2844"/>
    <w:rsid w:val="00EC516E"/>
    <w:rsid w:val="00EC5500"/>
    <w:rsid w:val="00ED13BB"/>
    <w:rsid w:val="00ED18F8"/>
    <w:rsid w:val="00ED5BBB"/>
    <w:rsid w:val="00EE61C4"/>
    <w:rsid w:val="00EE6EDA"/>
    <w:rsid w:val="00EE778E"/>
    <w:rsid w:val="00EF08E0"/>
    <w:rsid w:val="00EF6719"/>
    <w:rsid w:val="00EF6C6C"/>
    <w:rsid w:val="00F056FC"/>
    <w:rsid w:val="00F0632F"/>
    <w:rsid w:val="00F069AE"/>
    <w:rsid w:val="00F10476"/>
    <w:rsid w:val="00F10CBF"/>
    <w:rsid w:val="00F135D8"/>
    <w:rsid w:val="00F20565"/>
    <w:rsid w:val="00F31299"/>
    <w:rsid w:val="00F31996"/>
    <w:rsid w:val="00F3534A"/>
    <w:rsid w:val="00F35BFB"/>
    <w:rsid w:val="00F36ACC"/>
    <w:rsid w:val="00F370C2"/>
    <w:rsid w:val="00F41159"/>
    <w:rsid w:val="00F47678"/>
    <w:rsid w:val="00F51609"/>
    <w:rsid w:val="00F52F32"/>
    <w:rsid w:val="00F551F1"/>
    <w:rsid w:val="00F55C25"/>
    <w:rsid w:val="00F621B1"/>
    <w:rsid w:val="00F67D4D"/>
    <w:rsid w:val="00F71739"/>
    <w:rsid w:val="00F73727"/>
    <w:rsid w:val="00F766A7"/>
    <w:rsid w:val="00F81006"/>
    <w:rsid w:val="00F85325"/>
    <w:rsid w:val="00F909F2"/>
    <w:rsid w:val="00FA056C"/>
    <w:rsid w:val="00FA0A1B"/>
    <w:rsid w:val="00FA0EBF"/>
    <w:rsid w:val="00FA20BC"/>
    <w:rsid w:val="00FC2E36"/>
    <w:rsid w:val="00FC31BD"/>
    <w:rsid w:val="00FC357C"/>
    <w:rsid w:val="00FC6909"/>
    <w:rsid w:val="00FD22B1"/>
    <w:rsid w:val="00FD33F1"/>
    <w:rsid w:val="00FD3566"/>
    <w:rsid w:val="00FD735F"/>
    <w:rsid w:val="00FE0A04"/>
    <w:rsid w:val="00FE5397"/>
    <w:rsid w:val="00FE6538"/>
    <w:rsid w:val="00FF3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03B39"/>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styleId="PlaceholderText">
    <w:name w:val="Placeholder Text"/>
    <w:basedOn w:val="DefaultParagraphFont"/>
    <w:uiPriority w:val="99"/>
    <w:semiHidden/>
    <w:rsid w:val="005C3C33"/>
    <w:rPr>
      <w:color w:val="808080"/>
    </w:rPr>
  </w:style>
  <w:style w:type="paragraph" w:styleId="Bibliography">
    <w:name w:val="Bibliography"/>
    <w:basedOn w:val="Normal"/>
    <w:next w:val="Normal"/>
    <w:uiPriority w:val="37"/>
    <w:unhideWhenUsed/>
    <w:rsid w:val="00427287"/>
    <w:pPr>
      <w:spacing w:after="240"/>
      <w:ind w:left="720" w:hanging="720"/>
    </w:pPr>
  </w:style>
  <w:style w:type="paragraph" w:styleId="CommentSubject">
    <w:name w:val="annotation subject"/>
    <w:basedOn w:val="CommentText"/>
    <w:next w:val="CommentText"/>
    <w:link w:val="CommentSubjectChar"/>
    <w:rsid w:val="00E403EE"/>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403EE"/>
    <w:rPr>
      <w:szCs w:val="24"/>
    </w:rPr>
  </w:style>
  <w:style w:type="character" w:customStyle="1" w:styleId="CommentSubjectChar">
    <w:name w:val="Comment Subject Char"/>
    <w:basedOn w:val="CommentTextChar"/>
    <w:link w:val="CommentSubject"/>
    <w:rsid w:val="00E403EE"/>
    <w:rPr>
      <w:b/>
      <w:bCs/>
      <w:szCs w:val="24"/>
    </w:rPr>
  </w:style>
  <w:style w:type="character" w:customStyle="1" w:styleId="BoxChar">
    <w:name w:val="Box Char"/>
    <w:link w:val="Box"/>
    <w:locked/>
    <w:rsid w:val="00B5608B"/>
    <w:rPr>
      <w:rFonts w:ascii="Arial" w:hAnsi="Arial"/>
    </w:rPr>
  </w:style>
  <w:style w:type="character" w:styleId="Hyperlink">
    <w:name w:val="Hyperlink"/>
    <w:basedOn w:val="DefaultParagraphFont"/>
    <w:rsid w:val="005F1E8F"/>
    <w:rPr>
      <w:color w:val="78A22F" w:themeColor="hyperlink"/>
      <w:u w:val="single"/>
    </w:rPr>
  </w:style>
  <w:style w:type="paragraph" w:customStyle="1" w:styleId="Copyrightheading">
    <w:name w:val="Copyright heading"/>
    <w:basedOn w:val="TOC1"/>
    <w:link w:val="CopyrightheadingChar"/>
    <w:qFormat/>
    <w:rsid w:val="004613B7"/>
    <w:pPr>
      <w:spacing w:line="300" w:lineRule="exact"/>
    </w:pPr>
    <w:rPr>
      <w:sz w:val="22"/>
    </w:rPr>
  </w:style>
  <w:style w:type="character" w:customStyle="1" w:styleId="CopyrightheadingChar">
    <w:name w:val="Copyright heading Char"/>
    <w:basedOn w:val="TOC1Char"/>
    <w:link w:val="Copyrightheading"/>
    <w:rsid w:val="004613B7"/>
    <w:rPr>
      <w:rFonts w:ascii="Arial" w:hAnsi="Arial"/>
      <w:b/>
      <w:sz w:val="22"/>
      <w:szCs w:val="26"/>
      <w:lang w:eastAsia="en-US"/>
    </w:rPr>
  </w:style>
  <w:style w:type="paragraph" w:customStyle="1" w:styleId="Copyrightsubtitle">
    <w:name w:val="Copyright subtitle"/>
    <w:basedOn w:val="BodyText"/>
    <w:rsid w:val="004613B7"/>
    <w:rPr>
      <w:rFonts w:ascii="Arial" w:hAnsi="Arial"/>
      <w:b/>
      <w:sz w:val="22"/>
      <w:szCs w:val="25"/>
    </w:rPr>
  </w:style>
  <w:style w:type="paragraph" w:customStyle="1" w:styleId="Copyrightbodytext">
    <w:name w:val="Copyright bodytext"/>
    <w:basedOn w:val="BodyText"/>
    <w:link w:val="CopyrightbodytextChar"/>
    <w:qFormat/>
    <w:rsid w:val="004613B7"/>
    <w:pPr>
      <w:spacing w:before="60"/>
    </w:pPr>
  </w:style>
  <w:style w:type="character" w:customStyle="1" w:styleId="CopyrightbodytextChar">
    <w:name w:val="Copyright bodytext Char"/>
    <w:basedOn w:val="BodyTextChar"/>
    <w:link w:val="Copyrightbodytext"/>
    <w:rsid w:val="004613B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03B39"/>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styleId="PlaceholderText">
    <w:name w:val="Placeholder Text"/>
    <w:basedOn w:val="DefaultParagraphFont"/>
    <w:uiPriority w:val="99"/>
    <w:semiHidden/>
    <w:rsid w:val="005C3C33"/>
    <w:rPr>
      <w:color w:val="808080"/>
    </w:rPr>
  </w:style>
  <w:style w:type="paragraph" w:styleId="Bibliography">
    <w:name w:val="Bibliography"/>
    <w:basedOn w:val="Normal"/>
    <w:next w:val="Normal"/>
    <w:uiPriority w:val="37"/>
    <w:unhideWhenUsed/>
    <w:rsid w:val="00427287"/>
    <w:pPr>
      <w:spacing w:after="240"/>
      <w:ind w:left="720" w:hanging="720"/>
    </w:pPr>
  </w:style>
  <w:style w:type="paragraph" w:styleId="CommentSubject">
    <w:name w:val="annotation subject"/>
    <w:basedOn w:val="CommentText"/>
    <w:next w:val="CommentText"/>
    <w:link w:val="CommentSubjectChar"/>
    <w:rsid w:val="00E403EE"/>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403EE"/>
    <w:rPr>
      <w:szCs w:val="24"/>
    </w:rPr>
  </w:style>
  <w:style w:type="character" w:customStyle="1" w:styleId="CommentSubjectChar">
    <w:name w:val="Comment Subject Char"/>
    <w:basedOn w:val="CommentTextChar"/>
    <w:link w:val="CommentSubject"/>
    <w:rsid w:val="00E403EE"/>
    <w:rPr>
      <w:b/>
      <w:bCs/>
      <w:szCs w:val="24"/>
    </w:rPr>
  </w:style>
  <w:style w:type="character" w:customStyle="1" w:styleId="BoxChar">
    <w:name w:val="Box Char"/>
    <w:link w:val="Box"/>
    <w:locked/>
    <w:rsid w:val="00B5608B"/>
    <w:rPr>
      <w:rFonts w:ascii="Arial" w:hAnsi="Arial"/>
    </w:rPr>
  </w:style>
  <w:style w:type="character" w:styleId="Hyperlink">
    <w:name w:val="Hyperlink"/>
    <w:basedOn w:val="DefaultParagraphFont"/>
    <w:rsid w:val="005F1E8F"/>
    <w:rPr>
      <w:color w:val="78A22F" w:themeColor="hyperlink"/>
      <w:u w:val="single"/>
    </w:rPr>
  </w:style>
  <w:style w:type="paragraph" w:customStyle="1" w:styleId="Copyrightheading">
    <w:name w:val="Copyright heading"/>
    <w:basedOn w:val="TOC1"/>
    <w:link w:val="CopyrightheadingChar"/>
    <w:qFormat/>
    <w:rsid w:val="004613B7"/>
    <w:pPr>
      <w:spacing w:line="300" w:lineRule="exact"/>
    </w:pPr>
    <w:rPr>
      <w:sz w:val="22"/>
    </w:rPr>
  </w:style>
  <w:style w:type="character" w:customStyle="1" w:styleId="CopyrightheadingChar">
    <w:name w:val="Copyright heading Char"/>
    <w:basedOn w:val="TOC1Char"/>
    <w:link w:val="Copyrightheading"/>
    <w:rsid w:val="004613B7"/>
    <w:rPr>
      <w:rFonts w:ascii="Arial" w:hAnsi="Arial"/>
      <w:b/>
      <w:sz w:val="22"/>
      <w:szCs w:val="26"/>
      <w:lang w:eastAsia="en-US"/>
    </w:rPr>
  </w:style>
  <w:style w:type="paragraph" w:customStyle="1" w:styleId="Copyrightsubtitle">
    <w:name w:val="Copyright subtitle"/>
    <w:basedOn w:val="BodyText"/>
    <w:rsid w:val="004613B7"/>
    <w:rPr>
      <w:rFonts w:ascii="Arial" w:hAnsi="Arial"/>
      <w:b/>
      <w:sz w:val="22"/>
      <w:szCs w:val="25"/>
    </w:rPr>
  </w:style>
  <w:style w:type="paragraph" w:customStyle="1" w:styleId="Copyrightbodytext">
    <w:name w:val="Copyright bodytext"/>
    <w:basedOn w:val="BodyText"/>
    <w:link w:val="CopyrightbodytextChar"/>
    <w:qFormat/>
    <w:rsid w:val="004613B7"/>
    <w:pPr>
      <w:spacing w:before="60"/>
    </w:pPr>
  </w:style>
  <w:style w:type="character" w:customStyle="1" w:styleId="CopyrightbodytextChar">
    <w:name w:val="Copyright bodytext Char"/>
    <w:basedOn w:val="BodyTextChar"/>
    <w:link w:val="Copyrightbodytext"/>
    <w:rsid w:val="004613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293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sanhonour.gov.au/coat-arms/index.cf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sanhonour.gov.au" TargetMode="External"/><Relationship Id="rId22"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E122B-3167-40E9-A9EC-606E2AAD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3942</Words>
  <Characters>22748</Characters>
  <Application>Microsoft Office Word</Application>
  <DocSecurity>0</DocSecurity>
  <Lines>649</Lines>
  <Paragraphs>346</Paragraphs>
  <ScaleCrop>false</ScaleCrop>
  <HeadingPairs>
    <vt:vector size="2" baseType="variant">
      <vt:variant>
        <vt:lpstr>Title</vt:lpstr>
      </vt:variant>
      <vt:variant>
        <vt:i4>1</vt:i4>
      </vt:variant>
    </vt:vector>
  </HeadingPairs>
  <TitlesOfParts>
    <vt:vector size="1" baseType="lpstr">
      <vt:lpstr>Modelling immigrants’ fiscal impacts – Part 2 - Technical Supplement D - Migrant Intake into Australia</vt:lpstr>
    </vt:vector>
  </TitlesOfParts>
  <Manager/>
  <Company/>
  <LinksUpToDate>false</LinksUpToDate>
  <CharactersWithSpaces>26344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 Modelling immigrants’ fiscal impacts - Technical Supplement D - Migrant Intake into Australia</dc:title>
  <dc:subject/>
  <dc:creator>Productivity Commission</dc:creator>
  <cp:keywords/>
  <dc:description/>
  <cp:lastModifiedBy/>
  <cp:revision>1</cp:revision>
  <dcterms:created xsi:type="dcterms:W3CDTF">2016-10-06T02:03:00Z</dcterms:created>
  <dcterms:modified xsi:type="dcterms:W3CDTF">2016-10-06T03:10:00Z</dcterms:modified>
</cp:coreProperties>
</file>