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4856F" w14:textId="75B4EFCA" w:rsidR="00415F39" w:rsidRDefault="002877FE" w:rsidP="002877FE">
      <w:pPr>
        <w:pStyle w:val="Heading1NotTOC"/>
      </w:pPr>
      <w:r>
        <w:rPr>
          <w:color w:val="FFFFFF" w:themeColor="background1"/>
          <w:sz w:val="16"/>
          <w:szCs w:val="16"/>
        </w:rPr>
        <w:t>M</w:t>
      </w:r>
      <w:r w:rsidRPr="00323463">
        <w:rPr>
          <w:color w:val="FFFFFF" w:themeColor="background1"/>
          <w:sz w:val="16"/>
          <w:szCs w:val="16"/>
        </w:rPr>
        <w:t>utual</w:t>
      </w:r>
      <w:r w:rsidR="00323463" w:rsidRPr="00323463">
        <w:rPr>
          <w:color w:val="FFFFFF" w:themeColor="background1"/>
          <w:sz w:val="16"/>
          <w:szCs w:val="16"/>
        </w:rPr>
        <w:t xml:space="preserve"> Recognition Schemes, Productivity Commission Issues Paper, January 2015</w:t>
      </w:r>
      <w:r w:rsidR="00323463">
        <w:rPr>
          <w:noProof/>
          <w:sz w:val="16"/>
          <w:szCs w:val="16"/>
          <w:lang w:eastAsia="en-AU"/>
        </w:rPr>
        <w:drawing>
          <wp:anchor distT="0" distB="0" distL="114300" distR="114300" simplePos="0" relativeHeight="251658240" behindDoc="1" locked="0" layoutInCell="1" allowOverlap="1" wp14:anchorId="23E2104D" wp14:editId="1D2E867D">
            <wp:simplePos x="0" y="0"/>
            <wp:positionH relativeFrom="column">
              <wp:posOffset>-1151890</wp:posOffset>
            </wp:positionH>
            <wp:positionV relativeFrom="paragraph">
              <wp:posOffset>-900430</wp:posOffset>
            </wp:positionV>
            <wp:extent cx="7559675" cy="10691495"/>
            <wp:effectExtent l="0" t="0" r="3175" b="0"/>
            <wp:wrapTight wrapText="bothSides">
              <wp:wrapPolygon edited="0">
                <wp:start x="0" y="0"/>
                <wp:lineTo x="0" y="21553"/>
                <wp:lineTo x="21555" y="21553"/>
                <wp:lineTo x="21555" y="0"/>
                <wp:lineTo x="0" y="0"/>
              </wp:wrapPolygon>
            </wp:wrapTight>
            <wp:docPr id="3" name="Picture 3" descr="Cover image: Mutual Recognition Schemes, Productivity Commission, Issues Paper, January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tual-recognition-issues-paper-cover.png"/>
                    <pic:cNvPicPr/>
                  </pic:nvPicPr>
                  <pic:blipFill>
                    <a:blip r:embed="rId13">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r w:rsidR="004A16D8">
        <w:br w:type="page"/>
      </w:r>
    </w:p>
    <w:p w14:paraId="33151F29" w14:textId="77777777" w:rsidR="001034D6" w:rsidRDefault="001034D6"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15F39" w14:paraId="30F88B79" w14:textId="77777777" w:rsidTr="003C650D">
        <w:tc>
          <w:tcPr>
            <w:tcW w:w="8771" w:type="dxa"/>
            <w:tcBorders>
              <w:top w:val="single" w:sz="6" w:space="0" w:color="78A22F"/>
              <w:left w:val="nil"/>
              <w:bottom w:val="nil"/>
              <w:right w:val="nil"/>
            </w:tcBorders>
            <w:shd w:val="clear" w:color="auto" w:fill="F2F2F2" w:themeFill="background1" w:themeFillShade="F2"/>
          </w:tcPr>
          <w:p w14:paraId="27EFAE25" w14:textId="77777777" w:rsidR="00415F39" w:rsidRPr="008A3857" w:rsidRDefault="00415F39" w:rsidP="00415F39">
            <w:pPr>
              <w:pStyle w:val="BoxTitle"/>
              <w:rPr>
                <w:sz w:val="22"/>
                <w:szCs w:val="22"/>
              </w:rPr>
            </w:pPr>
            <w:r w:rsidRPr="008A3857">
              <w:rPr>
                <w:sz w:val="22"/>
                <w:szCs w:val="22"/>
              </w:rPr>
              <w:t xml:space="preserve">The </w:t>
            </w:r>
            <w:r>
              <w:rPr>
                <w:sz w:val="22"/>
                <w:szCs w:val="22"/>
              </w:rPr>
              <w:t>Issues Paper</w:t>
            </w:r>
          </w:p>
        </w:tc>
      </w:tr>
      <w:tr w:rsidR="00415F39" w14:paraId="021CECCA" w14:textId="77777777" w:rsidTr="003C650D">
        <w:trPr>
          <w:cantSplit/>
        </w:trPr>
        <w:tc>
          <w:tcPr>
            <w:tcW w:w="8771" w:type="dxa"/>
            <w:tcBorders>
              <w:top w:val="nil"/>
              <w:left w:val="nil"/>
              <w:bottom w:val="nil"/>
              <w:right w:val="nil"/>
            </w:tcBorders>
            <w:shd w:val="clear" w:color="auto" w:fill="F2F2F2" w:themeFill="background1" w:themeFillShade="F2"/>
          </w:tcPr>
          <w:p w14:paraId="4A0B661E" w14:textId="25A246A3" w:rsidR="00415F39" w:rsidRDefault="00415F39" w:rsidP="00415F39">
            <w:pPr>
              <w:pStyle w:val="Box"/>
            </w:pPr>
            <w:r>
              <w:t>The Commission has released this issues paper to assist individuals and organisations to prepare submissions to the study. It contains and outlines:</w:t>
            </w:r>
          </w:p>
          <w:p w14:paraId="3259597A" w14:textId="4CBF0DCA" w:rsidR="00415F39" w:rsidRDefault="00415F39" w:rsidP="00415F39">
            <w:pPr>
              <w:pStyle w:val="BoxListBullet"/>
            </w:pPr>
            <w:r>
              <w:t xml:space="preserve">the scope of the </w:t>
            </w:r>
            <w:r w:rsidR="005471DC">
              <w:t>study</w:t>
            </w:r>
          </w:p>
          <w:p w14:paraId="28CA6939" w14:textId="77777777" w:rsidR="00415F39" w:rsidRDefault="00415F39" w:rsidP="00415F39">
            <w:pPr>
              <w:pStyle w:val="BoxListBullet"/>
            </w:pPr>
            <w:r>
              <w:t>the Commission’s procedures</w:t>
            </w:r>
          </w:p>
          <w:p w14:paraId="7833899E" w14:textId="77777777" w:rsidR="00415F39" w:rsidRDefault="00415F39" w:rsidP="00415F39">
            <w:pPr>
              <w:pStyle w:val="BoxListBullet"/>
            </w:pPr>
            <w:r>
              <w:t>matters about which the Commission is seeking comment and information</w:t>
            </w:r>
          </w:p>
          <w:p w14:paraId="6C337166" w14:textId="77777777" w:rsidR="00415F39" w:rsidRDefault="00415F39" w:rsidP="00415F39">
            <w:pPr>
              <w:pStyle w:val="BoxListBullet"/>
            </w:pPr>
            <w:r>
              <w:t>how to make a submission.</w:t>
            </w:r>
          </w:p>
          <w:p w14:paraId="0C9251C4" w14:textId="53EA2D8A" w:rsidR="00415F39" w:rsidRDefault="00415F39" w:rsidP="00415F39">
            <w:pPr>
              <w:pStyle w:val="Box"/>
            </w:pPr>
            <w:r>
              <w:t>Participants should not feel that they are restricted to comment only on matters raised in the issues paper. The Commission wishes to receive information and comment on issues which participants consider relevant to the study’s terms of reference.</w:t>
            </w:r>
          </w:p>
          <w:p w14:paraId="64577B7B" w14:textId="01F77C6F" w:rsidR="00415F39" w:rsidRDefault="00415F39" w:rsidP="009F3E26">
            <w:pPr>
              <w:pStyle w:val="BoxHeading1"/>
            </w:pPr>
            <w:r>
              <w:t>Key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2"/>
              <w:gridCol w:w="4950"/>
            </w:tblGrid>
            <w:tr w:rsidR="009F3E26" w14:paraId="535B1EA5" w14:textId="77777777" w:rsidTr="00EC0A05">
              <w:tc>
                <w:tcPr>
                  <w:tcW w:w="3522" w:type="dxa"/>
                  <w:tcMar>
                    <w:left w:w="0" w:type="dxa"/>
                  </w:tcMar>
                </w:tcPr>
                <w:p w14:paraId="0B290F21" w14:textId="77777777" w:rsidR="009F3E26" w:rsidRDefault="009F3E26" w:rsidP="00415F39">
                  <w:pPr>
                    <w:pStyle w:val="Box"/>
                  </w:pPr>
                  <w:r>
                    <w:t>Receipt of terms of reference</w:t>
                  </w:r>
                </w:p>
              </w:tc>
              <w:tc>
                <w:tcPr>
                  <w:tcW w:w="4950" w:type="dxa"/>
                </w:tcPr>
                <w:p w14:paraId="4136189D" w14:textId="4AC5094D" w:rsidR="009F3E26" w:rsidRDefault="005471DC" w:rsidP="005471DC">
                  <w:pPr>
                    <w:pStyle w:val="Box"/>
                  </w:pPr>
                  <w:r>
                    <w:t>11</w:t>
                  </w:r>
                  <w:r w:rsidR="00AC10D4">
                    <w:t> </w:t>
                  </w:r>
                  <w:r>
                    <w:t>December 2014</w:t>
                  </w:r>
                </w:p>
              </w:tc>
            </w:tr>
            <w:tr w:rsidR="009F3E26" w14:paraId="20F7D797" w14:textId="77777777" w:rsidTr="00EC0A05">
              <w:tc>
                <w:tcPr>
                  <w:tcW w:w="3522" w:type="dxa"/>
                  <w:tcMar>
                    <w:left w:w="0" w:type="dxa"/>
                  </w:tcMar>
                </w:tcPr>
                <w:p w14:paraId="69B37116" w14:textId="796603D5" w:rsidR="009F3E26" w:rsidRDefault="009F3E26" w:rsidP="002D1E24">
                  <w:pPr>
                    <w:pStyle w:val="Box"/>
                    <w:tabs>
                      <w:tab w:val="right" w:pos="3414"/>
                    </w:tabs>
                    <w:spacing w:before="60"/>
                  </w:pPr>
                  <w:r>
                    <w:t>Due date for submissions</w:t>
                  </w:r>
                  <w:r w:rsidR="002D1E24">
                    <w:tab/>
                  </w:r>
                </w:p>
              </w:tc>
              <w:tc>
                <w:tcPr>
                  <w:tcW w:w="4950" w:type="dxa"/>
                </w:tcPr>
                <w:p w14:paraId="24064E55" w14:textId="486AF5EE" w:rsidR="009F3E26" w:rsidRDefault="0041680C" w:rsidP="0041680C">
                  <w:pPr>
                    <w:pStyle w:val="Box"/>
                    <w:spacing w:before="60"/>
                  </w:pPr>
                  <w:r>
                    <w:t>27</w:t>
                  </w:r>
                  <w:r w:rsidR="00AC10D4">
                    <w:t> </w:t>
                  </w:r>
                  <w:r>
                    <w:t>February 2015</w:t>
                  </w:r>
                </w:p>
              </w:tc>
            </w:tr>
            <w:tr w:rsidR="009F3E26" w14:paraId="5B1AFAA8" w14:textId="77777777" w:rsidTr="00EC0A05">
              <w:tc>
                <w:tcPr>
                  <w:tcW w:w="3522" w:type="dxa"/>
                  <w:tcMar>
                    <w:left w:w="0" w:type="dxa"/>
                  </w:tcMar>
                </w:tcPr>
                <w:p w14:paraId="30CD5ADC" w14:textId="77777777" w:rsidR="009F3E26" w:rsidRDefault="009F3E26" w:rsidP="00DB2AE0">
                  <w:pPr>
                    <w:pStyle w:val="Box"/>
                    <w:spacing w:before="60"/>
                  </w:pPr>
                  <w:r>
                    <w:t>Release of draft report</w:t>
                  </w:r>
                </w:p>
              </w:tc>
              <w:tc>
                <w:tcPr>
                  <w:tcW w:w="4950" w:type="dxa"/>
                </w:tcPr>
                <w:p w14:paraId="512387BB" w14:textId="4C27F60C" w:rsidR="009F3E26" w:rsidRDefault="0041680C" w:rsidP="00DB2AE0">
                  <w:pPr>
                    <w:pStyle w:val="Box"/>
                    <w:spacing w:before="60"/>
                  </w:pPr>
                  <w:r>
                    <w:t>May 2015</w:t>
                  </w:r>
                </w:p>
              </w:tc>
            </w:tr>
            <w:tr w:rsidR="009F3E26" w14:paraId="1E41F654" w14:textId="77777777" w:rsidTr="00EC0A05">
              <w:tc>
                <w:tcPr>
                  <w:tcW w:w="3522" w:type="dxa"/>
                  <w:tcMar>
                    <w:left w:w="0" w:type="dxa"/>
                  </w:tcMar>
                </w:tcPr>
                <w:p w14:paraId="1EB5FE93" w14:textId="4FD472C2" w:rsidR="009F3E26" w:rsidRDefault="009F3E26" w:rsidP="00DB2AE0">
                  <w:pPr>
                    <w:pStyle w:val="Box"/>
                    <w:spacing w:before="60"/>
                  </w:pPr>
                  <w:r>
                    <w:t xml:space="preserve">Final report </w:t>
                  </w:r>
                </w:p>
              </w:tc>
              <w:tc>
                <w:tcPr>
                  <w:tcW w:w="4950" w:type="dxa"/>
                </w:tcPr>
                <w:p w14:paraId="46F41E7A" w14:textId="1A1A0DE3" w:rsidR="009F3E26" w:rsidRDefault="0041680C" w:rsidP="00DB2AE0">
                  <w:pPr>
                    <w:pStyle w:val="Box"/>
                    <w:spacing w:before="60"/>
                  </w:pPr>
                  <w:r>
                    <w:t>September 2015</w:t>
                  </w:r>
                </w:p>
              </w:tc>
            </w:tr>
          </w:tbl>
          <w:p w14:paraId="6393BD58" w14:textId="77777777" w:rsidR="00415F39" w:rsidRDefault="00415F39" w:rsidP="009F3E26">
            <w:pPr>
              <w:pStyle w:val="BoxHeading1"/>
            </w:pPr>
            <w:r>
              <w:t>S</w:t>
            </w:r>
            <w:r w:rsidR="009F3E26">
              <w:t>ubmissions can be made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2"/>
              <w:gridCol w:w="4950"/>
            </w:tblGrid>
            <w:tr w:rsidR="009F3E26" w14:paraId="2D9D3D5A" w14:textId="77777777" w:rsidTr="00EC0A05">
              <w:tc>
                <w:tcPr>
                  <w:tcW w:w="3522" w:type="dxa"/>
                  <w:tcMar>
                    <w:left w:w="0" w:type="dxa"/>
                  </w:tcMar>
                </w:tcPr>
                <w:p w14:paraId="35D3C817" w14:textId="77777777" w:rsidR="009F3E26" w:rsidRDefault="009F3E26" w:rsidP="00415F39">
                  <w:pPr>
                    <w:pStyle w:val="Box"/>
                  </w:pPr>
                  <w:r>
                    <w:t>By email:</w:t>
                  </w:r>
                </w:p>
              </w:tc>
              <w:tc>
                <w:tcPr>
                  <w:tcW w:w="4950" w:type="dxa"/>
                </w:tcPr>
                <w:p w14:paraId="18AFDC25" w14:textId="1AA73579" w:rsidR="009F3E26" w:rsidRDefault="001F1687" w:rsidP="005C5E19">
                  <w:pPr>
                    <w:pStyle w:val="Box"/>
                  </w:pPr>
                  <w:r w:rsidRPr="001F1687">
                    <w:t>mutual.recognition@pc.gov.au</w:t>
                  </w:r>
                </w:p>
              </w:tc>
            </w:tr>
            <w:tr w:rsidR="009F3E26" w14:paraId="12CCBC13" w14:textId="77777777" w:rsidTr="00EC0A05">
              <w:tc>
                <w:tcPr>
                  <w:tcW w:w="3522" w:type="dxa"/>
                  <w:tcMar>
                    <w:left w:w="0" w:type="dxa"/>
                  </w:tcMar>
                </w:tcPr>
                <w:p w14:paraId="04476B3C" w14:textId="77777777" w:rsidR="009F3E26" w:rsidRDefault="009F3E26" w:rsidP="00DB2AE0">
                  <w:pPr>
                    <w:pStyle w:val="Box"/>
                    <w:spacing w:before="60"/>
                    <w:jc w:val="left"/>
                  </w:pPr>
                  <w:r>
                    <w:t>By post:</w:t>
                  </w:r>
                </w:p>
              </w:tc>
              <w:tc>
                <w:tcPr>
                  <w:tcW w:w="4950" w:type="dxa"/>
                </w:tcPr>
                <w:p w14:paraId="42E97F7D" w14:textId="2250A628" w:rsidR="009F3E26" w:rsidRDefault="001F1687" w:rsidP="001F1687">
                  <w:pPr>
                    <w:pStyle w:val="Box"/>
                    <w:spacing w:before="60"/>
                    <w:jc w:val="left"/>
                  </w:pPr>
                  <w:r>
                    <w:t>Mutual Recognition Schemes Study</w:t>
                  </w:r>
                  <w:r w:rsidR="009F3E26">
                    <w:br/>
                    <w:t>Pro</w:t>
                  </w:r>
                  <w:r>
                    <w:t>ductivity Commission</w:t>
                  </w:r>
                  <w:r>
                    <w:br/>
                    <w:t>L</w:t>
                  </w:r>
                  <w:r w:rsidR="006576C5">
                    <w:t xml:space="preserve">ocked </w:t>
                  </w:r>
                  <w:r>
                    <w:t>B</w:t>
                  </w:r>
                  <w:r w:rsidR="006576C5">
                    <w:t xml:space="preserve">ag </w:t>
                  </w:r>
                  <w:r>
                    <w:t>2</w:t>
                  </w:r>
                  <w:r w:rsidR="00716F61">
                    <w:t>,</w:t>
                  </w:r>
                  <w:r>
                    <w:t xml:space="preserve"> Collins Street East</w:t>
                  </w:r>
                  <w:r>
                    <w:br/>
                    <w:t>Melbourne VIC 8003</w:t>
                  </w:r>
                </w:p>
              </w:tc>
            </w:tr>
          </w:tbl>
          <w:p w14:paraId="5357DA53" w14:textId="77777777" w:rsidR="00415F39" w:rsidRDefault="00415F39" w:rsidP="009F3E26">
            <w:pPr>
              <w:pStyle w:val="BoxHeading1"/>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2"/>
              <w:gridCol w:w="2268"/>
              <w:gridCol w:w="2682"/>
            </w:tblGrid>
            <w:tr w:rsidR="009F3E26" w14:paraId="0413BC5C" w14:textId="77777777" w:rsidTr="00EC0A05">
              <w:tc>
                <w:tcPr>
                  <w:tcW w:w="3522" w:type="dxa"/>
                  <w:tcMar>
                    <w:left w:w="0" w:type="dxa"/>
                  </w:tcMar>
                </w:tcPr>
                <w:p w14:paraId="6C5F8F8C" w14:textId="77777777" w:rsidR="009F3E26" w:rsidRDefault="009F3E26" w:rsidP="00415F39">
                  <w:pPr>
                    <w:pStyle w:val="Box"/>
                  </w:pPr>
                  <w:r>
                    <w:t>Administrative matters:</w:t>
                  </w:r>
                </w:p>
              </w:tc>
              <w:tc>
                <w:tcPr>
                  <w:tcW w:w="2268" w:type="dxa"/>
                </w:tcPr>
                <w:p w14:paraId="2912CF31" w14:textId="77EA9659" w:rsidR="009F3E26" w:rsidRDefault="00A13A40" w:rsidP="00A13A40">
                  <w:pPr>
                    <w:pStyle w:val="Box"/>
                  </w:pPr>
                  <w:r>
                    <w:t>Yvette Goss</w:t>
                  </w:r>
                </w:p>
              </w:tc>
              <w:tc>
                <w:tcPr>
                  <w:tcW w:w="2682" w:type="dxa"/>
                </w:tcPr>
                <w:p w14:paraId="51A362D7" w14:textId="771CDED4" w:rsidR="009F3E26" w:rsidRDefault="009F3E26" w:rsidP="00A13A40">
                  <w:pPr>
                    <w:pStyle w:val="Box"/>
                  </w:pPr>
                  <w:proofErr w:type="spellStart"/>
                  <w:r>
                    <w:t>Ph</w:t>
                  </w:r>
                  <w:proofErr w:type="spellEnd"/>
                  <w:r>
                    <w:t xml:space="preserve">: </w:t>
                  </w:r>
                  <w:r w:rsidR="00A13A40">
                    <w:t>03 9653 2253</w:t>
                  </w:r>
                </w:p>
              </w:tc>
            </w:tr>
            <w:tr w:rsidR="009F3E26" w14:paraId="316A4B14" w14:textId="77777777" w:rsidTr="00EC0A05">
              <w:tc>
                <w:tcPr>
                  <w:tcW w:w="3522" w:type="dxa"/>
                  <w:tcMar>
                    <w:left w:w="0" w:type="dxa"/>
                  </w:tcMar>
                </w:tcPr>
                <w:p w14:paraId="042DB844" w14:textId="77777777" w:rsidR="009F3E26" w:rsidRDefault="009F3E26" w:rsidP="00DB2AE0">
                  <w:pPr>
                    <w:pStyle w:val="Box"/>
                    <w:spacing w:before="60"/>
                  </w:pPr>
                  <w:r>
                    <w:t>Other matters:</w:t>
                  </w:r>
                </w:p>
              </w:tc>
              <w:tc>
                <w:tcPr>
                  <w:tcW w:w="2268" w:type="dxa"/>
                </w:tcPr>
                <w:p w14:paraId="6902CDEF" w14:textId="102EC9C7" w:rsidR="009F3E26" w:rsidRDefault="00A13A40" w:rsidP="00A13A40">
                  <w:pPr>
                    <w:pStyle w:val="Box"/>
                    <w:spacing w:before="60"/>
                  </w:pPr>
                  <w:r>
                    <w:t>Greg Murtough</w:t>
                  </w:r>
                </w:p>
              </w:tc>
              <w:tc>
                <w:tcPr>
                  <w:tcW w:w="2682" w:type="dxa"/>
                </w:tcPr>
                <w:p w14:paraId="2BA343BC" w14:textId="79FDDF7D" w:rsidR="009F3E26" w:rsidRDefault="00A13A40" w:rsidP="00DB2AE0">
                  <w:pPr>
                    <w:pStyle w:val="Box"/>
                    <w:spacing w:before="60"/>
                  </w:pPr>
                  <w:proofErr w:type="spellStart"/>
                  <w:r>
                    <w:t>Ph</w:t>
                  </w:r>
                  <w:proofErr w:type="spellEnd"/>
                  <w:r>
                    <w:t>: 03 9653 2163</w:t>
                  </w:r>
                </w:p>
              </w:tc>
            </w:tr>
            <w:tr w:rsidR="009F3E26" w14:paraId="0418AD59" w14:textId="77777777" w:rsidTr="00EC0A05">
              <w:tc>
                <w:tcPr>
                  <w:tcW w:w="3522" w:type="dxa"/>
                  <w:tcMar>
                    <w:left w:w="0" w:type="dxa"/>
                  </w:tcMar>
                </w:tcPr>
                <w:p w14:paraId="55CF188E" w14:textId="77777777" w:rsidR="009F3E26" w:rsidRDefault="009F3E26" w:rsidP="00DB2AE0">
                  <w:pPr>
                    <w:pStyle w:val="Box"/>
                    <w:spacing w:before="60"/>
                  </w:pPr>
                  <w:proofErr w:type="spellStart"/>
                  <w:r>
                    <w:t>Freecall</w:t>
                  </w:r>
                  <w:proofErr w:type="spellEnd"/>
                  <w:r>
                    <w:t xml:space="preserve"> number for regional areas:</w:t>
                  </w:r>
                </w:p>
              </w:tc>
              <w:tc>
                <w:tcPr>
                  <w:tcW w:w="2268" w:type="dxa"/>
                </w:tcPr>
                <w:p w14:paraId="04EDD4B5" w14:textId="77777777" w:rsidR="009F3E26" w:rsidRDefault="009F3E26" w:rsidP="00DB2AE0">
                  <w:pPr>
                    <w:pStyle w:val="Box"/>
                    <w:spacing w:before="60"/>
                  </w:pPr>
                  <w:r>
                    <w:t>1800 020 083</w:t>
                  </w:r>
                </w:p>
              </w:tc>
              <w:tc>
                <w:tcPr>
                  <w:tcW w:w="2682" w:type="dxa"/>
                </w:tcPr>
                <w:p w14:paraId="3305E46B" w14:textId="77777777" w:rsidR="009F3E26" w:rsidRDefault="009F3E26" w:rsidP="00DB2AE0">
                  <w:pPr>
                    <w:pStyle w:val="Box"/>
                    <w:spacing w:before="60"/>
                  </w:pPr>
                </w:p>
              </w:tc>
            </w:tr>
            <w:tr w:rsidR="009F3E26" w14:paraId="6F3B8A28" w14:textId="77777777" w:rsidTr="00EC0A05">
              <w:tc>
                <w:tcPr>
                  <w:tcW w:w="3522" w:type="dxa"/>
                  <w:tcMar>
                    <w:left w:w="0" w:type="dxa"/>
                  </w:tcMar>
                </w:tcPr>
                <w:p w14:paraId="41BEE5F4" w14:textId="77777777" w:rsidR="009F3E26" w:rsidRDefault="009F3E26" w:rsidP="00DB2AE0">
                  <w:pPr>
                    <w:pStyle w:val="Box"/>
                    <w:spacing w:before="60"/>
                  </w:pPr>
                  <w:r>
                    <w:t>Website</w:t>
                  </w:r>
                </w:p>
              </w:tc>
              <w:tc>
                <w:tcPr>
                  <w:tcW w:w="2268" w:type="dxa"/>
                </w:tcPr>
                <w:p w14:paraId="5388AB70" w14:textId="77777777" w:rsidR="009F3E26" w:rsidRPr="009F3E26" w:rsidRDefault="009F3E26" w:rsidP="00DB2AE0">
                  <w:pPr>
                    <w:pStyle w:val="Box"/>
                    <w:spacing w:before="60"/>
                    <w:rPr>
                      <w:b/>
                    </w:rPr>
                  </w:pPr>
                  <w:r w:rsidRPr="009F3E26">
                    <w:rPr>
                      <w:b/>
                    </w:rPr>
                    <w:t>www.pc.gov.au</w:t>
                  </w:r>
                </w:p>
              </w:tc>
              <w:tc>
                <w:tcPr>
                  <w:tcW w:w="2682" w:type="dxa"/>
                </w:tcPr>
                <w:p w14:paraId="3D25D3CF" w14:textId="77777777" w:rsidR="009F3E26" w:rsidRDefault="009F3E26" w:rsidP="00DB2AE0">
                  <w:pPr>
                    <w:pStyle w:val="Box"/>
                    <w:spacing w:before="60"/>
                  </w:pPr>
                </w:p>
              </w:tc>
            </w:tr>
          </w:tbl>
          <w:p w14:paraId="5A301831" w14:textId="77777777" w:rsidR="00415F39" w:rsidRDefault="00415F39" w:rsidP="009F3E26">
            <w:pPr>
              <w:pStyle w:val="Box"/>
            </w:pPr>
          </w:p>
        </w:tc>
      </w:tr>
      <w:tr w:rsidR="00415F39" w14:paraId="73EF720C" w14:textId="77777777" w:rsidTr="003C650D">
        <w:trPr>
          <w:cantSplit/>
        </w:trPr>
        <w:tc>
          <w:tcPr>
            <w:tcW w:w="8771" w:type="dxa"/>
            <w:tcBorders>
              <w:top w:val="nil"/>
              <w:left w:val="nil"/>
              <w:bottom w:val="single" w:sz="6" w:space="0" w:color="78A22F"/>
              <w:right w:val="nil"/>
            </w:tcBorders>
            <w:shd w:val="clear" w:color="auto" w:fill="F2F2F2" w:themeFill="background1" w:themeFillShade="F2"/>
          </w:tcPr>
          <w:p w14:paraId="2AB4C4D2" w14:textId="77777777" w:rsidR="00415F39" w:rsidRDefault="00415F39" w:rsidP="003C650D">
            <w:pPr>
              <w:pStyle w:val="Box"/>
              <w:spacing w:before="0" w:line="120" w:lineRule="exact"/>
            </w:pPr>
          </w:p>
        </w:tc>
      </w:tr>
    </w:tbl>
    <w:p w14:paraId="43F72B53" w14:textId="77777777"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15F39" w14:paraId="1E678836" w14:textId="77777777" w:rsidTr="003C650D">
        <w:tc>
          <w:tcPr>
            <w:tcW w:w="8771" w:type="dxa"/>
            <w:tcBorders>
              <w:top w:val="single" w:sz="6" w:space="0" w:color="78A22F"/>
              <w:left w:val="nil"/>
              <w:bottom w:val="nil"/>
              <w:right w:val="nil"/>
            </w:tcBorders>
            <w:shd w:val="clear" w:color="auto" w:fill="F2F2F2" w:themeFill="background1" w:themeFillShade="F2"/>
          </w:tcPr>
          <w:p w14:paraId="7C45D774" w14:textId="77777777" w:rsidR="00415F39" w:rsidRPr="008A3857" w:rsidRDefault="00415F39" w:rsidP="003C650D">
            <w:pPr>
              <w:pStyle w:val="BoxTitle"/>
              <w:rPr>
                <w:sz w:val="22"/>
                <w:szCs w:val="22"/>
              </w:rPr>
            </w:pPr>
            <w:r w:rsidRPr="008A3857">
              <w:rPr>
                <w:sz w:val="22"/>
                <w:szCs w:val="22"/>
              </w:rPr>
              <w:t>The Productivity Commission</w:t>
            </w:r>
          </w:p>
        </w:tc>
      </w:tr>
      <w:tr w:rsidR="00415F39" w14:paraId="6E5A080B" w14:textId="77777777" w:rsidTr="003C650D">
        <w:trPr>
          <w:cantSplit/>
        </w:trPr>
        <w:tc>
          <w:tcPr>
            <w:tcW w:w="8771" w:type="dxa"/>
            <w:tcBorders>
              <w:top w:val="nil"/>
              <w:left w:val="nil"/>
              <w:bottom w:val="nil"/>
              <w:right w:val="nil"/>
            </w:tcBorders>
            <w:shd w:val="clear" w:color="auto" w:fill="F2F2F2" w:themeFill="background1" w:themeFillShade="F2"/>
          </w:tcPr>
          <w:p w14:paraId="04E137E4" w14:textId="77777777" w:rsidR="00415F39" w:rsidRDefault="00415F39" w:rsidP="003C650D">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4F29E91D" w14:textId="77777777" w:rsidR="00415F39" w:rsidRDefault="00415F39" w:rsidP="003C650D">
            <w:pPr>
              <w:pStyle w:val="Box"/>
            </w:pPr>
            <w:r w:rsidRPr="00BB5DCF">
              <w:t>The Commission’s independence is underpinned by an Act of Parliament. Its processes and outputs are open to public scrutiny and are driven by concern for the wellbeing of the community as a whole.</w:t>
            </w:r>
          </w:p>
          <w:p w14:paraId="15E0DBB9" w14:textId="77777777" w:rsidR="00415F39" w:rsidRDefault="00415F39" w:rsidP="003C650D">
            <w:pPr>
              <w:pStyle w:val="Box"/>
            </w:pPr>
            <w:r w:rsidRPr="00BB5DCF">
              <w:rPr>
                <w:szCs w:val="24"/>
              </w:rPr>
              <w:t>Further information on the Productivity Commission can be obtained from the Commission’s website (www.pc.gov.au)</w:t>
            </w:r>
            <w:r>
              <w:rPr>
                <w:szCs w:val="24"/>
              </w:rPr>
              <w:t>.</w:t>
            </w:r>
          </w:p>
        </w:tc>
      </w:tr>
      <w:tr w:rsidR="00415F39" w14:paraId="2F3E9C50" w14:textId="77777777" w:rsidTr="003C650D">
        <w:trPr>
          <w:cantSplit/>
        </w:trPr>
        <w:tc>
          <w:tcPr>
            <w:tcW w:w="8771" w:type="dxa"/>
            <w:tcBorders>
              <w:top w:val="nil"/>
              <w:left w:val="nil"/>
              <w:bottom w:val="single" w:sz="6" w:space="0" w:color="78A22F"/>
              <w:right w:val="nil"/>
            </w:tcBorders>
            <w:shd w:val="clear" w:color="auto" w:fill="F2F2F2" w:themeFill="background1" w:themeFillShade="F2"/>
          </w:tcPr>
          <w:p w14:paraId="0EF384E9" w14:textId="77777777" w:rsidR="00415F39" w:rsidRDefault="00415F39" w:rsidP="003C650D">
            <w:pPr>
              <w:pStyle w:val="Box"/>
              <w:spacing w:before="0" w:line="120" w:lineRule="exact"/>
            </w:pPr>
          </w:p>
        </w:tc>
      </w:tr>
    </w:tbl>
    <w:p w14:paraId="0FFF6F59" w14:textId="77777777" w:rsidR="00EC0A05" w:rsidRDefault="00EC0A05" w:rsidP="00EC0A05">
      <w:pPr>
        <w:pStyle w:val="BodyText"/>
      </w:pPr>
    </w:p>
    <w:p w14:paraId="555F6B58" w14:textId="77777777" w:rsidR="00EC0A05" w:rsidRPr="00415F39" w:rsidRDefault="00EC0A05" w:rsidP="00EC0A05">
      <w:pPr>
        <w:pStyle w:val="BodyText"/>
        <w:sectPr w:rsidR="00EC0A05" w:rsidRPr="00415F39" w:rsidSect="00DA3EB4">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560" w:right="1304" w:bottom="851" w:left="1814" w:header="1276" w:footer="397" w:gutter="0"/>
          <w:pgNumType w:fmt="lowerRoman" w:chapSep="period"/>
          <w:cols w:space="720"/>
          <w:titlePg/>
        </w:sectPr>
      </w:pPr>
    </w:p>
    <w:p w14:paraId="48A5E9C8" w14:textId="77777777" w:rsidR="00EC0A05" w:rsidRDefault="00EC0A05" w:rsidP="00295BD9">
      <w:pPr>
        <w:pStyle w:val="Heading2nosectionno"/>
        <w:spacing w:before="240" w:after="480" w:line="240" w:lineRule="auto"/>
      </w:pPr>
      <w:r>
        <w:lastRenderedPageBreak/>
        <w:t>Terms of reference</w:t>
      </w:r>
    </w:p>
    <w:p w14:paraId="3387CDF5" w14:textId="7B8BDCB4" w:rsidR="00BE1D93" w:rsidRPr="00BE1D93" w:rsidRDefault="00BE1D93" w:rsidP="00066DC9">
      <w:pPr>
        <w:pStyle w:val="BodyText"/>
        <w:spacing w:before="600" w:after="480"/>
        <w:jc w:val="center"/>
      </w:pPr>
      <w:r w:rsidRPr="00BE1D93">
        <w:t>2014 REVIEW OF THE MUTUAL RECOGNITION AGREEMENT</w:t>
      </w:r>
      <w:r w:rsidRPr="00BE1D93">
        <w:br/>
        <w:t xml:space="preserve">AND THE </w:t>
      </w:r>
      <w:r w:rsidRPr="00BE1D93">
        <w:br/>
        <w:t>TRANS-TASMAN MUTUAL RECOGNITION ARRANGEMENT</w:t>
      </w:r>
    </w:p>
    <w:p w14:paraId="048934F2" w14:textId="69829D59" w:rsidR="00BE1D93" w:rsidRPr="00BE1D93" w:rsidRDefault="00BE1D93" w:rsidP="00BE1D93">
      <w:pPr>
        <w:pStyle w:val="BodyText"/>
      </w:pPr>
      <w:r w:rsidRPr="00BE1D93">
        <w:t xml:space="preserve">I, Joseph Benedict Hockey, Treasurer, pursuant to Parts 2 and 4 of the </w:t>
      </w:r>
      <w:r w:rsidRPr="00D96544">
        <w:rPr>
          <w:i/>
        </w:rPr>
        <w:t>Productivity Commission Act 1998</w:t>
      </w:r>
      <w:r w:rsidRPr="00BE1D93">
        <w:t>, hereby request that the Productivity Commission undertake a review of the operation of the Mutual Recognition Agreement (MRA) and the Trans</w:t>
      </w:r>
      <w:r w:rsidR="006A1A42">
        <w:t>-</w:t>
      </w:r>
      <w:r w:rsidRPr="00BE1D93">
        <w:t xml:space="preserve"> Tasman Mutual Recognition Arrangement (TTMRA) since the previous review, released in 2009.</w:t>
      </w:r>
    </w:p>
    <w:p w14:paraId="1EC0DFF6" w14:textId="77777777" w:rsidR="00BE1D93" w:rsidRPr="005D698B" w:rsidRDefault="00BE1D93" w:rsidP="00BE1D93">
      <w:pPr>
        <w:pStyle w:val="BodyText"/>
        <w:spacing w:before="220" w:line="240" w:lineRule="auto"/>
        <w:ind w:left="284" w:hanging="284"/>
      </w:pPr>
      <w:r w:rsidRPr="005D698B">
        <w:t>1)</w:t>
      </w:r>
      <w:r w:rsidRPr="005D698B">
        <w:tab/>
        <w:t>The Commission is to:</w:t>
      </w:r>
    </w:p>
    <w:p w14:paraId="685CB51C" w14:textId="77777777" w:rsidR="00BE1D93" w:rsidRPr="005D698B" w:rsidRDefault="00BE1D93" w:rsidP="00BE1D93">
      <w:pPr>
        <w:pStyle w:val="BodyText"/>
        <w:spacing w:before="220" w:line="240" w:lineRule="auto"/>
        <w:ind w:left="709" w:hanging="283"/>
      </w:pPr>
      <w:r w:rsidRPr="005D698B">
        <w:t>a)</w:t>
      </w:r>
      <w:r w:rsidRPr="005D698B">
        <w:tab/>
        <w:t>assess the coverage, efficiency and effectiveness of the MRA and TTMRA;</w:t>
      </w:r>
    </w:p>
    <w:p w14:paraId="479CDDB8" w14:textId="77777777" w:rsidR="00BE1D93" w:rsidRPr="005D698B" w:rsidRDefault="00BE1D93" w:rsidP="00BE1D93">
      <w:pPr>
        <w:pStyle w:val="BodyText"/>
        <w:spacing w:before="220" w:line="240" w:lineRule="auto"/>
        <w:ind w:left="709" w:hanging="283"/>
      </w:pPr>
      <w:r w:rsidRPr="005D698B">
        <w:t>b)</w:t>
      </w:r>
      <w:r w:rsidRPr="005D698B">
        <w:tab/>
        <w:t>recommend ways to further improve the inter-jurisdictional movement of goods and skilled workers, and reduce red tape, including examining the scope for automatic mutual recognition where applicable;</w:t>
      </w:r>
    </w:p>
    <w:p w14:paraId="67F2C0EB" w14:textId="77777777" w:rsidR="00BE1D93" w:rsidRPr="005D698B" w:rsidRDefault="00BE1D93" w:rsidP="00BE1D93">
      <w:pPr>
        <w:pStyle w:val="BodyText"/>
        <w:spacing w:before="220" w:line="240" w:lineRule="auto"/>
        <w:ind w:left="709" w:hanging="283"/>
      </w:pPr>
      <w:r w:rsidRPr="005D698B">
        <w:t>c)</w:t>
      </w:r>
      <w:r w:rsidRPr="005D698B">
        <w:tab/>
        <w:t xml:space="preserve">address matters identified by the Cross-Jurisdictional Review Forum, including, but not restricted to: </w:t>
      </w:r>
    </w:p>
    <w:p w14:paraId="66DFF8D8" w14:textId="77777777" w:rsidR="00BE1D93" w:rsidRPr="00A902B4" w:rsidRDefault="00BE1D93" w:rsidP="00BE1D93">
      <w:pPr>
        <w:pStyle w:val="BodyText"/>
        <w:spacing w:before="220" w:line="240" w:lineRule="auto"/>
        <w:ind w:left="1134" w:hanging="425"/>
        <w:rPr>
          <w:szCs w:val="26"/>
        </w:rPr>
      </w:pPr>
      <w:r w:rsidRPr="00A902B4">
        <w:rPr>
          <w:szCs w:val="26"/>
        </w:rPr>
        <w:t>-</w:t>
      </w:r>
      <w:r w:rsidRPr="00A902B4">
        <w:rPr>
          <w:szCs w:val="26"/>
        </w:rPr>
        <w:tab/>
        <w:t>the nature and extent of any problem caused by use of goods requirements that restrict the sale of goods under both the MRA and TTMRA, and the costs and benefits of any solutions proposed;</w:t>
      </w:r>
    </w:p>
    <w:p w14:paraId="395A71E0" w14:textId="77777777" w:rsidR="00BE1D93" w:rsidRPr="00A902B4" w:rsidRDefault="00BE1D93" w:rsidP="00BE1D93">
      <w:pPr>
        <w:pStyle w:val="BodyText"/>
        <w:spacing w:before="220" w:line="240" w:lineRule="auto"/>
        <w:ind w:left="1134" w:hanging="425"/>
        <w:rPr>
          <w:szCs w:val="26"/>
        </w:rPr>
      </w:pPr>
      <w:r w:rsidRPr="00A902B4">
        <w:rPr>
          <w:szCs w:val="26"/>
        </w:rPr>
        <w:t>-</w:t>
      </w:r>
      <w:r w:rsidRPr="00A902B4">
        <w:rPr>
          <w:szCs w:val="26"/>
        </w:rPr>
        <w:tab/>
        <w:t>the issues associated with extending mutual recognition to business registration requirements under the MRA or TTMRA where similar requirements would result in an individual being registered, and the costs and benefits of any options proposed; and</w:t>
      </w:r>
    </w:p>
    <w:p w14:paraId="5DCF7E6E" w14:textId="2E4B6D75" w:rsidR="00BE1D93" w:rsidRPr="005D698B" w:rsidRDefault="00BE1D93" w:rsidP="00BE1D93">
      <w:pPr>
        <w:pStyle w:val="BodyText"/>
        <w:spacing w:before="220" w:line="240" w:lineRule="auto"/>
        <w:ind w:left="709" w:hanging="283"/>
      </w:pPr>
      <w:r w:rsidRPr="005D698B">
        <w:t>d)</w:t>
      </w:r>
      <w:r w:rsidRPr="005D698B">
        <w:tab/>
        <w:t xml:space="preserve">examine, following the entry into </w:t>
      </w:r>
      <w:r w:rsidR="006A1A42">
        <w:t>force of the Agreement on Trans-</w:t>
      </w:r>
      <w:r w:rsidRPr="005D698B">
        <w:t>Tasman Court Proceedings and Regulatory Enforcement, the extent to which the Agreement could facilitate the Trans-Tasman provision of services by particular occupations, based on a single registration,</w:t>
      </w:r>
    </w:p>
    <w:p w14:paraId="7C323CEA" w14:textId="77777777" w:rsidR="00BE1D93" w:rsidRPr="00A902B4" w:rsidRDefault="00BE1D93" w:rsidP="00BE1D93">
      <w:pPr>
        <w:pStyle w:val="BodyText"/>
        <w:spacing w:before="220" w:line="240" w:lineRule="auto"/>
        <w:ind w:left="1134" w:hanging="425"/>
        <w:rPr>
          <w:szCs w:val="26"/>
        </w:rPr>
      </w:pPr>
      <w:r w:rsidRPr="00A902B4">
        <w:rPr>
          <w:szCs w:val="26"/>
        </w:rPr>
        <w:t>-</w:t>
      </w:r>
      <w:r w:rsidRPr="00A902B4">
        <w:rPr>
          <w:szCs w:val="26"/>
        </w:rPr>
        <w:tab/>
        <w:t>consider how such an arrangement could operate; and</w:t>
      </w:r>
    </w:p>
    <w:p w14:paraId="2E57DFFC" w14:textId="77777777" w:rsidR="00BE1D93" w:rsidRPr="00A902B4" w:rsidRDefault="00BE1D93" w:rsidP="00BE1D93">
      <w:pPr>
        <w:pStyle w:val="BodyText"/>
        <w:spacing w:before="220" w:line="240" w:lineRule="auto"/>
        <w:ind w:left="1134" w:hanging="425"/>
        <w:rPr>
          <w:szCs w:val="26"/>
        </w:rPr>
      </w:pPr>
      <w:r w:rsidRPr="00A902B4">
        <w:rPr>
          <w:szCs w:val="26"/>
        </w:rPr>
        <w:t>-</w:t>
      </w:r>
      <w:r w:rsidRPr="00A902B4">
        <w:rPr>
          <w:szCs w:val="26"/>
        </w:rPr>
        <w:tab/>
        <w:t>identify and document evidence of any occupations where there is sufficient demand for, and barriers to, cross-border service provision to merit inclusion in such an arrangement;</w:t>
      </w:r>
    </w:p>
    <w:p w14:paraId="7C388D80" w14:textId="77777777" w:rsidR="00BE1D93" w:rsidRDefault="00BE1D93" w:rsidP="00BE1D93">
      <w:pPr>
        <w:pStyle w:val="BodyText"/>
        <w:spacing w:before="220" w:line="240" w:lineRule="auto"/>
        <w:ind w:left="709" w:hanging="283"/>
      </w:pPr>
      <w:r w:rsidRPr="005D698B">
        <w:t>e)</w:t>
      </w:r>
      <w:r w:rsidRPr="005D698B">
        <w:tab/>
        <w:t>examine the extent to which Commonwealth regulatory agencies are aware of their obligations under the TTMRA and have implemented mutual recognition processes.</w:t>
      </w:r>
    </w:p>
    <w:p w14:paraId="2099683B" w14:textId="5B2812D4" w:rsidR="00BE1D93" w:rsidRPr="005D698B" w:rsidRDefault="00BE1D93" w:rsidP="00295BD9">
      <w:pPr>
        <w:pStyle w:val="BodyText"/>
        <w:keepLines/>
        <w:spacing w:before="220" w:line="240" w:lineRule="auto"/>
        <w:ind w:left="284" w:hanging="284"/>
        <w:rPr>
          <w:szCs w:val="26"/>
        </w:rPr>
      </w:pPr>
      <w:r w:rsidRPr="005D698B">
        <w:rPr>
          <w:szCs w:val="26"/>
        </w:rPr>
        <w:lastRenderedPageBreak/>
        <w:t>2)</w:t>
      </w:r>
      <w:r w:rsidRPr="005D698B">
        <w:rPr>
          <w:szCs w:val="26"/>
        </w:rPr>
        <w:tab/>
        <w:t>In undertaking the research study, the Commission is to consult relevant stakeholders in Australia and New Zealand, including the Cross-Jurisdictional Review Forum and to substantiate recommendations, wherever possible, with evidence relating to the scale of the problem and the estimated cost of both the problem and any solution(s) proposed. The Commission should also have regard to the approaches being taken by the Council for the Australian Federation towards ‘minimising labour impediments to improving labour mobility’, following the decision by the ma</w:t>
      </w:r>
      <w:r w:rsidR="00FA715D">
        <w:rPr>
          <w:szCs w:val="26"/>
        </w:rPr>
        <w:t>jority of States at COAG on 13 </w:t>
      </w:r>
      <w:r w:rsidRPr="005D698B">
        <w:rPr>
          <w:szCs w:val="26"/>
        </w:rPr>
        <w:t>December 2013 to not pursue the National Occupational Licensing Scheme reform.</w:t>
      </w:r>
    </w:p>
    <w:p w14:paraId="38405528" w14:textId="77777777" w:rsidR="00BE1D93" w:rsidRPr="005D698B" w:rsidRDefault="00BE1D93" w:rsidP="00BE1D93">
      <w:pPr>
        <w:pStyle w:val="BodyText"/>
        <w:spacing w:before="220" w:line="240" w:lineRule="auto"/>
        <w:ind w:left="284" w:hanging="284"/>
        <w:rPr>
          <w:szCs w:val="26"/>
        </w:rPr>
      </w:pPr>
      <w:r w:rsidRPr="005D698B">
        <w:rPr>
          <w:szCs w:val="26"/>
        </w:rPr>
        <w:t>3)</w:t>
      </w:r>
      <w:r w:rsidRPr="005D698B">
        <w:rPr>
          <w:szCs w:val="26"/>
        </w:rPr>
        <w:tab/>
        <w:t>The Commission’s report shall be presented to Australian Heads of Government and the New Zealand Prime Minister nine months from the date of commissioning and the Commission’s report is to be published.</w:t>
      </w:r>
    </w:p>
    <w:p w14:paraId="170FC270" w14:textId="7CE8AD85" w:rsidR="00BE1D93" w:rsidRDefault="00BE1D93" w:rsidP="00BE1D93">
      <w:pPr>
        <w:pStyle w:val="BodyText"/>
        <w:spacing w:before="220" w:line="240" w:lineRule="auto"/>
        <w:ind w:left="284" w:hanging="284"/>
        <w:rPr>
          <w:szCs w:val="26"/>
        </w:rPr>
      </w:pPr>
      <w:r w:rsidRPr="005D698B">
        <w:rPr>
          <w:szCs w:val="26"/>
        </w:rPr>
        <w:t>4)</w:t>
      </w:r>
      <w:r w:rsidRPr="005D698B">
        <w:rPr>
          <w:szCs w:val="26"/>
        </w:rPr>
        <w:tab/>
        <w:t>Within three months of receiving the Commission’s findings, the Cross Jurisdictional Review Forum is to present to Australian Heads of Government and the New Zealand Prime Minister a Review Report responding to those findings.</w:t>
      </w:r>
    </w:p>
    <w:p w14:paraId="4859C702" w14:textId="77777777" w:rsidR="00E67CD8" w:rsidRDefault="00E67CD8" w:rsidP="00BE1D93">
      <w:pPr>
        <w:pStyle w:val="BodyText"/>
        <w:jc w:val="left"/>
      </w:pPr>
      <w:bookmarkStart w:id="0" w:name="begin"/>
      <w:bookmarkEnd w:id="0"/>
    </w:p>
    <w:p w14:paraId="16345EED" w14:textId="77777777" w:rsidR="00BE1D93" w:rsidRPr="006A1A42" w:rsidRDefault="00BE1D93" w:rsidP="00BE1D93">
      <w:pPr>
        <w:pStyle w:val="BodyText"/>
        <w:jc w:val="left"/>
      </w:pPr>
      <w:r w:rsidRPr="006A1A42">
        <w:t>J. B. HOCKEY</w:t>
      </w:r>
      <w:r w:rsidRPr="006A1A42">
        <w:br/>
        <w:t>Treasurer</w:t>
      </w:r>
    </w:p>
    <w:p w14:paraId="722A75EC" w14:textId="77777777" w:rsidR="00BE1D93" w:rsidRDefault="00BE1D93" w:rsidP="00BE1D93">
      <w:pPr>
        <w:pStyle w:val="BodyText"/>
        <w:jc w:val="left"/>
      </w:pPr>
      <w:r>
        <w:rPr>
          <w:szCs w:val="26"/>
        </w:rPr>
        <w:t>[Received 11 December 2014]</w:t>
      </w:r>
    </w:p>
    <w:p w14:paraId="46C8CBBE" w14:textId="77777777" w:rsidR="00415F39" w:rsidRDefault="00415F39" w:rsidP="00120072">
      <w:pPr>
        <w:pStyle w:val="BodyText"/>
      </w:pPr>
    </w:p>
    <w:p w14:paraId="203D0607" w14:textId="77777777" w:rsidR="00415F39" w:rsidRDefault="00415F39" w:rsidP="00120072">
      <w:pPr>
        <w:pStyle w:val="BodyText"/>
        <w:sectPr w:rsidR="00415F39" w:rsidSect="008E7834">
          <w:headerReference w:type="even" r:id="rId20"/>
          <w:headerReference w:type="default" r:id="rId21"/>
          <w:footerReference w:type="even" r:id="rId22"/>
          <w:footerReference w:type="default" r:id="rId23"/>
          <w:headerReference w:type="first" r:id="rId24"/>
          <w:type w:val="continuous"/>
          <w:pgSz w:w="11907" w:h="16840" w:code="9"/>
          <w:pgMar w:top="1985" w:right="1304" w:bottom="1247" w:left="1814" w:header="1701" w:footer="397" w:gutter="0"/>
          <w:pgNumType w:fmt="lowerRoman" w:start="3" w:chapSep="period"/>
          <w:cols w:space="720"/>
        </w:sectPr>
      </w:pPr>
    </w:p>
    <w:p w14:paraId="601CF164" w14:textId="77777777" w:rsidR="00F056FC" w:rsidRDefault="00EC0A05" w:rsidP="00EC0A05">
      <w:pPr>
        <w:pStyle w:val="Heading2nosectionno"/>
      </w:pPr>
      <w:r>
        <w:lastRenderedPageBreak/>
        <w:t>Contents</w:t>
      </w:r>
    </w:p>
    <w:sdt>
      <w:sdtPr>
        <w:rPr>
          <w:rFonts w:ascii="Times New Roman" w:hAnsi="Times New Roman"/>
          <w:b w:val="0"/>
          <w:kern w:val="28"/>
          <w:sz w:val="52"/>
          <w:szCs w:val="26"/>
          <w:lang w:eastAsia="en-US"/>
        </w:rPr>
        <w:id w:val="985582667"/>
        <w:docPartObj>
          <w:docPartGallery w:val="Table of Contents"/>
          <w:docPartUnique/>
        </w:docPartObj>
      </w:sdtPr>
      <w:sdtEndPr>
        <w:rPr>
          <w:kern w:val="0"/>
          <w:sz w:val="24"/>
          <w:szCs w:val="20"/>
          <w:lang w:eastAsia="en-AU"/>
        </w:rPr>
      </w:sdtEndPr>
      <w:sdtContent>
        <w:p w14:paraId="202AEF1B" w14:textId="77777777" w:rsidR="00052F41" w:rsidRDefault="008F5C6C">
          <w:pPr>
            <w:pStyle w:val="TOC2"/>
            <w:rPr>
              <w:rFonts w:asciiTheme="minorHAnsi" w:eastAsiaTheme="minorEastAsia" w:hAnsiTheme="minorHAnsi" w:cstheme="minorBidi"/>
              <w:b w:val="0"/>
              <w:noProof/>
              <w:sz w:val="22"/>
              <w:szCs w:val="22"/>
            </w:rPr>
          </w:pPr>
          <w:r>
            <w:rPr>
              <w:kern w:val="28"/>
              <w:sz w:val="52"/>
              <w:szCs w:val="26"/>
              <w:lang w:eastAsia="en-US"/>
            </w:rPr>
            <w:fldChar w:fldCharType="begin"/>
          </w:r>
          <w:r>
            <w:instrText xml:space="preserve"> TOC \t "Part Title,1,Heading 1,1,1 (no chapter no.),chapter,1,1 (no chapter no.),Heading 2,2,2,2 (no section no.),3,3,Heading 2,2 (no section no.),3" </w:instrText>
          </w:r>
          <w:r>
            <w:rPr>
              <w:kern w:val="28"/>
              <w:sz w:val="52"/>
              <w:szCs w:val="26"/>
              <w:lang w:eastAsia="en-US"/>
            </w:rPr>
            <w:fldChar w:fldCharType="separate"/>
          </w:r>
          <w:r w:rsidR="00052F41">
            <w:rPr>
              <w:noProof/>
            </w:rPr>
            <w:t>1.</w:t>
          </w:r>
          <w:r w:rsidR="00052F41">
            <w:rPr>
              <w:rFonts w:asciiTheme="minorHAnsi" w:eastAsiaTheme="minorEastAsia" w:hAnsiTheme="minorHAnsi" w:cstheme="minorBidi"/>
              <w:b w:val="0"/>
              <w:noProof/>
              <w:sz w:val="22"/>
              <w:szCs w:val="22"/>
            </w:rPr>
            <w:tab/>
          </w:r>
          <w:r w:rsidR="00052F41">
            <w:rPr>
              <w:noProof/>
            </w:rPr>
            <w:t>How to use this paper</w:t>
          </w:r>
          <w:r w:rsidR="00052F41">
            <w:rPr>
              <w:noProof/>
            </w:rPr>
            <w:tab/>
          </w:r>
          <w:r w:rsidR="00052F41">
            <w:rPr>
              <w:noProof/>
            </w:rPr>
            <w:fldChar w:fldCharType="begin"/>
          </w:r>
          <w:r w:rsidR="00052F41">
            <w:rPr>
              <w:noProof/>
            </w:rPr>
            <w:instrText xml:space="preserve"> PAGEREF _Toc409010840 \h </w:instrText>
          </w:r>
          <w:r w:rsidR="00052F41">
            <w:rPr>
              <w:noProof/>
            </w:rPr>
          </w:r>
          <w:r w:rsidR="00052F41">
            <w:rPr>
              <w:noProof/>
            </w:rPr>
            <w:fldChar w:fldCharType="separate"/>
          </w:r>
          <w:r w:rsidR="00052F41">
            <w:rPr>
              <w:noProof/>
            </w:rPr>
            <w:t>1</w:t>
          </w:r>
          <w:r w:rsidR="00052F41">
            <w:rPr>
              <w:noProof/>
            </w:rPr>
            <w:fldChar w:fldCharType="end"/>
          </w:r>
        </w:p>
        <w:p w14:paraId="2A23A192" w14:textId="77777777" w:rsidR="00052F41" w:rsidRDefault="00052F41">
          <w:pPr>
            <w:pStyle w:val="TOC2"/>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What is the study about?</w:t>
          </w:r>
          <w:r>
            <w:rPr>
              <w:noProof/>
            </w:rPr>
            <w:tab/>
          </w:r>
          <w:r>
            <w:rPr>
              <w:noProof/>
            </w:rPr>
            <w:fldChar w:fldCharType="begin"/>
          </w:r>
          <w:r>
            <w:rPr>
              <w:noProof/>
            </w:rPr>
            <w:instrText xml:space="preserve"> PAGEREF _Toc409010841 \h </w:instrText>
          </w:r>
          <w:r>
            <w:rPr>
              <w:noProof/>
            </w:rPr>
          </w:r>
          <w:r>
            <w:rPr>
              <w:noProof/>
            </w:rPr>
            <w:fldChar w:fldCharType="separate"/>
          </w:r>
          <w:r>
            <w:rPr>
              <w:noProof/>
            </w:rPr>
            <w:t>1</w:t>
          </w:r>
          <w:r>
            <w:rPr>
              <w:noProof/>
            </w:rPr>
            <w:fldChar w:fldCharType="end"/>
          </w:r>
        </w:p>
        <w:p w14:paraId="33FA31CF" w14:textId="77777777" w:rsidR="00052F41" w:rsidRDefault="00052F41">
          <w:pPr>
            <w:pStyle w:val="TOC2"/>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Rationale for mutual recognition</w:t>
          </w:r>
          <w:r>
            <w:rPr>
              <w:noProof/>
            </w:rPr>
            <w:tab/>
          </w:r>
          <w:r>
            <w:rPr>
              <w:noProof/>
            </w:rPr>
            <w:fldChar w:fldCharType="begin"/>
          </w:r>
          <w:r>
            <w:rPr>
              <w:noProof/>
            </w:rPr>
            <w:instrText xml:space="preserve"> PAGEREF _Toc409010842 \h </w:instrText>
          </w:r>
          <w:r>
            <w:rPr>
              <w:noProof/>
            </w:rPr>
          </w:r>
          <w:r>
            <w:rPr>
              <w:noProof/>
            </w:rPr>
            <w:fldChar w:fldCharType="separate"/>
          </w:r>
          <w:r>
            <w:rPr>
              <w:noProof/>
            </w:rPr>
            <w:t>3</w:t>
          </w:r>
          <w:r>
            <w:rPr>
              <w:noProof/>
            </w:rPr>
            <w:fldChar w:fldCharType="end"/>
          </w:r>
        </w:p>
        <w:p w14:paraId="2055AEE3" w14:textId="77777777" w:rsidR="00052F41" w:rsidRDefault="00052F41">
          <w:pPr>
            <w:pStyle w:val="TOC2"/>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Mutual recognition of goods</w:t>
          </w:r>
          <w:r>
            <w:rPr>
              <w:noProof/>
            </w:rPr>
            <w:tab/>
          </w:r>
          <w:r>
            <w:rPr>
              <w:noProof/>
            </w:rPr>
            <w:fldChar w:fldCharType="begin"/>
          </w:r>
          <w:r>
            <w:rPr>
              <w:noProof/>
            </w:rPr>
            <w:instrText xml:space="preserve"> PAGEREF _Toc409010843 \h </w:instrText>
          </w:r>
          <w:r>
            <w:rPr>
              <w:noProof/>
            </w:rPr>
          </w:r>
          <w:r>
            <w:rPr>
              <w:noProof/>
            </w:rPr>
            <w:fldChar w:fldCharType="separate"/>
          </w:r>
          <w:r>
            <w:rPr>
              <w:noProof/>
            </w:rPr>
            <w:t>3</w:t>
          </w:r>
          <w:r>
            <w:rPr>
              <w:noProof/>
            </w:rPr>
            <w:fldChar w:fldCharType="end"/>
          </w:r>
        </w:p>
        <w:p w14:paraId="12230865" w14:textId="77777777" w:rsidR="00052F41" w:rsidRDefault="00052F41">
          <w:pPr>
            <w:pStyle w:val="TOC2"/>
            <w:rPr>
              <w:rFonts w:asciiTheme="minorHAnsi" w:eastAsiaTheme="minorEastAsia" w:hAnsiTheme="minorHAnsi" w:cstheme="minorBidi"/>
              <w:b w:val="0"/>
              <w:noProof/>
              <w:sz w:val="22"/>
              <w:szCs w:val="22"/>
            </w:rPr>
          </w:pPr>
          <w:r>
            <w:rPr>
              <w:noProof/>
            </w:rPr>
            <w:t>5.</w:t>
          </w:r>
          <w:r>
            <w:rPr>
              <w:rFonts w:asciiTheme="minorHAnsi" w:eastAsiaTheme="minorEastAsia" w:hAnsiTheme="minorHAnsi" w:cstheme="minorBidi"/>
              <w:b w:val="0"/>
              <w:noProof/>
              <w:sz w:val="22"/>
              <w:szCs w:val="22"/>
            </w:rPr>
            <w:tab/>
          </w:r>
          <w:r>
            <w:rPr>
              <w:noProof/>
            </w:rPr>
            <w:t>Mutual recognition of occupations</w:t>
          </w:r>
          <w:r>
            <w:rPr>
              <w:noProof/>
            </w:rPr>
            <w:tab/>
          </w:r>
          <w:r>
            <w:rPr>
              <w:noProof/>
            </w:rPr>
            <w:fldChar w:fldCharType="begin"/>
          </w:r>
          <w:r>
            <w:rPr>
              <w:noProof/>
            </w:rPr>
            <w:instrText xml:space="preserve"> PAGEREF _Toc409010844 \h </w:instrText>
          </w:r>
          <w:r>
            <w:rPr>
              <w:noProof/>
            </w:rPr>
          </w:r>
          <w:r>
            <w:rPr>
              <w:noProof/>
            </w:rPr>
            <w:fldChar w:fldCharType="separate"/>
          </w:r>
          <w:r>
            <w:rPr>
              <w:noProof/>
            </w:rPr>
            <w:t>10</w:t>
          </w:r>
          <w:r>
            <w:rPr>
              <w:noProof/>
            </w:rPr>
            <w:fldChar w:fldCharType="end"/>
          </w:r>
        </w:p>
        <w:p w14:paraId="6505BA92" w14:textId="77777777" w:rsidR="00052F41" w:rsidRDefault="00052F41">
          <w:pPr>
            <w:pStyle w:val="TOC2"/>
            <w:rPr>
              <w:rFonts w:asciiTheme="minorHAnsi" w:eastAsiaTheme="minorEastAsia" w:hAnsiTheme="minorHAnsi" w:cstheme="minorBidi"/>
              <w:b w:val="0"/>
              <w:noProof/>
              <w:sz w:val="22"/>
              <w:szCs w:val="22"/>
            </w:rPr>
          </w:pPr>
          <w:r>
            <w:rPr>
              <w:noProof/>
            </w:rPr>
            <w:t>6.</w:t>
          </w:r>
          <w:r>
            <w:rPr>
              <w:rFonts w:asciiTheme="minorHAnsi" w:eastAsiaTheme="minorEastAsia" w:hAnsiTheme="minorHAnsi" w:cstheme="minorBidi"/>
              <w:b w:val="0"/>
              <w:noProof/>
              <w:sz w:val="22"/>
              <w:szCs w:val="22"/>
            </w:rPr>
            <w:tab/>
          </w:r>
          <w:r>
            <w:rPr>
              <w:noProof/>
            </w:rPr>
            <w:t>Mutual recognition governance arrangements</w:t>
          </w:r>
          <w:r>
            <w:rPr>
              <w:noProof/>
            </w:rPr>
            <w:tab/>
          </w:r>
          <w:r>
            <w:rPr>
              <w:noProof/>
            </w:rPr>
            <w:fldChar w:fldCharType="begin"/>
          </w:r>
          <w:r>
            <w:rPr>
              <w:noProof/>
            </w:rPr>
            <w:instrText xml:space="preserve"> PAGEREF _Toc409010845 \h </w:instrText>
          </w:r>
          <w:r>
            <w:rPr>
              <w:noProof/>
            </w:rPr>
          </w:r>
          <w:r>
            <w:rPr>
              <w:noProof/>
            </w:rPr>
            <w:fldChar w:fldCharType="separate"/>
          </w:r>
          <w:r>
            <w:rPr>
              <w:noProof/>
            </w:rPr>
            <w:t>21</w:t>
          </w:r>
          <w:r>
            <w:rPr>
              <w:noProof/>
            </w:rPr>
            <w:fldChar w:fldCharType="end"/>
          </w:r>
        </w:p>
        <w:p w14:paraId="27D34F81" w14:textId="77777777" w:rsidR="00052F41" w:rsidRDefault="00052F41">
          <w:pPr>
            <w:pStyle w:val="TOC2"/>
            <w:rPr>
              <w:rFonts w:asciiTheme="minorHAnsi" w:eastAsiaTheme="minorEastAsia" w:hAnsiTheme="minorHAnsi" w:cstheme="minorBidi"/>
              <w:b w:val="0"/>
              <w:noProof/>
              <w:sz w:val="22"/>
              <w:szCs w:val="22"/>
            </w:rPr>
          </w:pPr>
          <w:r>
            <w:rPr>
              <w:noProof/>
            </w:rPr>
            <w:t>7.</w:t>
          </w:r>
          <w:r>
            <w:rPr>
              <w:rFonts w:asciiTheme="minorHAnsi" w:eastAsiaTheme="minorEastAsia" w:hAnsiTheme="minorHAnsi" w:cstheme="minorBidi"/>
              <w:b w:val="0"/>
              <w:noProof/>
              <w:sz w:val="22"/>
              <w:szCs w:val="22"/>
            </w:rPr>
            <w:tab/>
          </w:r>
          <w:r>
            <w:rPr>
              <w:noProof/>
            </w:rPr>
            <w:t>Overseas models of regulatory cooperation</w:t>
          </w:r>
          <w:r>
            <w:rPr>
              <w:noProof/>
            </w:rPr>
            <w:tab/>
          </w:r>
          <w:r>
            <w:rPr>
              <w:noProof/>
            </w:rPr>
            <w:fldChar w:fldCharType="begin"/>
          </w:r>
          <w:r>
            <w:rPr>
              <w:noProof/>
            </w:rPr>
            <w:instrText xml:space="preserve"> PAGEREF _Toc409010846 \h </w:instrText>
          </w:r>
          <w:r>
            <w:rPr>
              <w:noProof/>
            </w:rPr>
          </w:r>
          <w:r>
            <w:rPr>
              <w:noProof/>
            </w:rPr>
            <w:fldChar w:fldCharType="separate"/>
          </w:r>
          <w:r>
            <w:rPr>
              <w:noProof/>
            </w:rPr>
            <w:t>24</w:t>
          </w:r>
          <w:r>
            <w:rPr>
              <w:noProof/>
            </w:rPr>
            <w:fldChar w:fldCharType="end"/>
          </w:r>
        </w:p>
        <w:p w14:paraId="709DC0E2" w14:textId="77777777" w:rsidR="00052F41" w:rsidRDefault="00052F41">
          <w:pPr>
            <w:pStyle w:val="TOC2"/>
            <w:rPr>
              <w:rFonts w:asciiTheme="minorHAnsi" w:eastAsiaTheme="minorEastAsia" w:hAnsiTheme="minorHAnsi" w:cstheme="minorBidi"/>
              <w:b w:val="0"/>
              <w:noProof/>
              <w:sz w:val="22"/>
              <w:szCs w:val="22"/>
            </w:rPr>
          </w:pPr>
          <w:r>
            <w:rPr>
              <w:noProof/>
            </w:rPr>
            <w:t>Attachment A: How to make a submission</w:t>
          </w:r>
          <w:r>
            <w:rPr>
              <w:noProof/>
            </w:rPr>
            <w:tab/>
          </w:r>
          <w:r>
            <w:rPr>
              <w:noProof/>
            </w:rPr>
            <w:fldChar w:fldCharType="begin"/>
          </w:r>
          <w:r>
            <w:rPr>
              <w:noProof/>
            </w:rPr>
            <w:instrText xml:space="preserve"> PAGEREF _Toc409010847 \h </w:instrText>
          </w:r>
          <w:r>
            <w:rPr>
              <w:noProof/>
            </w:rPr>
          </w:r>
          <w:r>
            <w:rPr>
              <w:noProof/>
            </w:rPr>
            <w:fldChar w:fldCharType="separate"/>
          </w:r>
          <w:r>
            <w:rPr>
              <w:noProof/>
            </w:rPr>
            <w:t>29</w:t>
          </w:r>
          <w:r>
            <w:rPr>
              <w:noProof/>
            </w:rPr>
            <w:fldChar w:fldCharType="end"/>
          </w:r>
        </w:p>
        <w:p w14:paraId="2F409267" w14:textId="5B3D53DB" w:rsidR="008F5C6C" w:rsidRDefault="008F5C6C" w:rsidP="00120072">
          <w:pPr>
            <w:pStyle w:val="BodyText"/>
          </w:pPr>
          <w:r>
            <w:fldChar w:fldCharType="end"/>
          </w:r>
        </w:p>
      </w:sdtContent>
    </w:sdt>
    <w:p w14:paraId="211C7F63" w14:textId="77777777" w:rsidR="00EC0A05" w:rsidRDefault="00EC0A05" w:rsidP="00120072">
      <w:pPr>
        <w:pStyle w:val="BodyText"/>
      </w:pPr>
    </w:p>
    <w:p w14:paraId="5D4FBE6C" w14:textId="77777777" w:rsidR="00391500" w:rsidRDefault="00391500" w:rsidP="00120072">
      <w:pPr>
        <w:pStyle w:val="BodyText"/>
        <w:sectPr w:rsidR="00391500" w:rsidSect="009F6FCD">
          <w:headerReference w:type="even" r:id="rId25"/>
          <w:headerReference w:type="default" r:id="rId26"/>
          <w:footerReference w:type="even" r:id="rId27"/>
          <w:footerReference w:type="default" r:id="rId28"/>
          <w:headerReference w:type="first" r:id="rId29"/>
          <w:pgSz w:w="11907" w:h="16840" w:code="9"/>
          <w:pgMar w:top="1985" w:right="1304" w:bottom="1247" w:left="1814" w:header="1701" w:footer="397" w:gutter="0"/>
          <w:pgNumType w:fmt="lowerRoman" w:chapSep="period"/>
          <w:cols w:space="720"/>
        </w:sectPr>
      </w:pPr>
    </w:p>
    <w:p w14:paraId="2F42AC93" w14:textId="7C1B2724" w:rsidR="004243E6" w:rsidRDefault="0032046F" w:rsidP="00193F08">
      <w:pPr>
        <w:pStyle w:val="Heading2"/>
        <w:spacing w:before="120"/>
      </w:pPr>
      <w:r>
        <w:lastRenderedPageBreak/>
        <w:fldChar w:fldCharType="begin"/>
      </w:r>
      <w:r>
        <w:instrText xml:space="preserve"> SEQ Heading2 </w:instrText>
      </w:r>
      <w:r>
        <w:fldChar w:fldCharType="separate"/>
      </w:r>
      <w:bookmarkStart w:id="1" w:name="_Toc200943053"/>
      <w:bookmarkStart w:id="2" w:name="_Toc406773285"/>
      <w:bookmarkStart w:id="3" w:name="_Toc408308211"/>
      <w:bookmarkStart w:id="4" w:name="_Toc408308377"/>
      <w:bookmarkStart w:id="5" w:name="_Toc408311444"/>
      <w:bookmarkStart w:id="6" w:name="_Toc408326893"/>
      <w:bookmarkStart w:id="7" w:name="_Toc408388595"/>
      <w:bookmarkStart w:id="8" w:name="_Toc408396464"/>
      <w:bookmarkStart w:id="9" w:name="_Toc408396921"/>
      <w:bookmarkStart w:id="10" w:name="_Toc408401045"/>
      <w:bookmarkStart w:id="11" w:name="_Toc408562303"/>
      <w:bookmarkStart w:id="12" w:name="_Toc408563138"/>
      <w:bookmarkStart w:id="13" w:name="_Toc408563677"/>
      <w:bookmarkStart w:id="14" w:name="_Toc408567132"/>
      <w:bookmarkStart w:id="15" w:name="_Toc408567830"/>
      <w:bookmarkStart w:id="16" w:name="_Toc408569406"/>
      <w:bookmarkStart w:id="17" w:name="_Toc409010840"/>
      <w:r w:rsidR="004A70DC">
        <w:rPr>
          <w:noProof/>
        </w:rPr>
        <w:t>1</w:t>
      </w:r>
      <w:r>
        <w:rPr>
          <w:noProof/>
        </w:rPr>
        <w:fldChar w:fldCharType="end"/>
      </w:r>
      <w:r w:rsidR="004243E6">
        <w:tab/>
        <w:t>How to use this paper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2BE353F4" w14:textId="4960D892" w:rsidR="004243E6" w:rsidRDefault="004243E6" w:rsidP="004243E6">
      <w:pPr>
        <w:pStyle w:val="BodyText"/>
      </w:pPr>
      <w:r>
        <w:t>This paper is intended to assist you in preparing a submission to the review of the Mutual Recognition Agreement (MRA) and the Trans</w:t>
      </w:r>
      <w:r w:rsidR="00AC10D4">
        <w:noBreakHyphen/>
      </w:r>
      <w:r>
        <w:t xml:space="preserve">Tasman Mutual Recognition Arrangement (TTMRA). It outlines a range of issues about which the Commission is seeking information. However, </w:t>
      </w:r>
      <w:r>
        <w:rPr>
          <w:b/>
        </w:rPr>
        <w:t>you do not have to answer all of the questions posed in this paper or limit your comments to the issues mentioned.</w:t>
      </w:r>
      <w:r>
        <w:t xml:space="preserve"> You are free to submit any information you consider relevant to the study’s terms of reference. Where possible, you should give evidence to support your views, such as data and documentation.</w:t>
      </w:r>
    </w:p>
    <w:p w14:paraId="4B18753B" w14:textId="452A5674" w:rsidR="004243E6" w:rsidRDefault="004243E6" w:rsidP="004243E6">
      <w:pPr>
        <w:pStyle w:val="BodyText"/>
      </w:pPr>
      <w:r w:rsidRPr="004243E6">
        <w:t>Please read attachment A for details about how to make a submission. To ensure due consideration of your input prior to release of the study’s draft report, your submission should reach us</w:t>
      </w:r>
      <w:r>
        <w:t xml:space="preserve"> by</w:t>
      </w:r>
      <w:r>
        <w:rPr>
          <w:b/>
        </w:rPr>
        <w:t xml:space="preserve"> 27</w:t>
      </w:r>
      <w:r w:rsidR="00AC10D4">
        <w:rPr>
          <w:b/>
        </w:rPr>
        <w:t> </w:t>
      </w:r>
      <w:r>
        <w:rPr>
          <w:b/>
        </w:rPr>
        <w:t>February 2015</w:t>
      </w:r>
      <w:r>
        <w:t>. Interested parties will be given an opportunity to comment on the draft report through further submissions.</w:t>
      </w:r>
    </w:p>
    <w:p w14:paraId="04563E1E" w14:textId="38B97B73" w:rsidR="004243E6" w:rsidRDefault="0032046F" w:rsidP="004243E6">
      <w:pPr>
        <w:pStyle w:val="Heading2"/>
      </w:pPr>
      <w:r>
        <w:fldChar w:fldCharType="begin"/>
      </w:r>
      <w:r>
        <w:instrText xml:space="preserve"> SEQ Heading2 </w:instrText>
      </w:r>
      <w:r>
        <w:fldChar w:fldCharType="separate"/>
      </w:r>
      <w:bookmarkStart w:id="18" w:name="_Toc200943054"/>
      <w:bookmarkStart w:id="19" w:name="_Toc406773286"/>
      <w:bookmarkStart w:id="20" w:name="_Toc408308212"/>
      <w:bookmarkStart w:id="21" w:name="_Toc408308378"/>
      <w:bookmarkStart w:id="22" w:name="_Toc408311445"/>
      <w:bookmarkStart w:id="23" w:name="_Toc408326894"/>
      <w:bookmarkStart w:id="24" w:name="_Toc408388596"/>
      <w:bookmarkStart w:id="25" w:name="_Toc408396465"/>
      <w:bookmarkStart w:id="26" w:name="_Toc408396922"/>
      <w:bookmarkStart w:id="27" w:name="_Toc408401046"/>
      <w:bookmarkStart w:id="28" w:name="_Toc408562304"/>
      <w:bookmarkStart w:id="29" w:name="_Toc408563139"/>
      <w:bookmarkStart w:id="30" w:name="_Toc408563678"/>
      <w:bookmarkStart w:id="31" w:name="_Toc408567133"/>
      <w:bookmarkStart w:id="32" w:name="_Toc408567831"/>
      <w:bookmarkStart w:id="33" w:name="_Toc408569407"/>
      <w:bookmarkStart w:id="34" w:name="_Toc409010841"/>
      <w:r w:rsidR="004A70DC">
        <w:rPr>
          <w:noProof/>
        </w:rPr>
        <w:t>2</w:t>
      </w:r>
      <w:r>
        <w:rPr>
          <w:noProof/>
        </w:rPr>
        <w:fldChar w:fldCharType="end"/>
      </w:r>
      <w:r w:rsidR="004243E6">
        <w:tab/>
        <w:t>What is the study about?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72D8EDD" w14:textId="77777777" w:rsidR="002E2577" w:rsidRDefault="002E2577" w:rsidP="00A13BA3">
      <w:pPr>
        <w:pStyle w:val="BodyText"/>
      </w:pPr>
      <w:r w:rsidRPr="002E2577">
        <w:t xml:space="preserve">Mutual recognition seeks to promote economic integration by dealing with </w:t>
      </w:r>
      <w:proofErr w:type="spellStart"/>
      <w:r w:rsidRPr="002E2577">
        <w:t>interjurisdictional</w:t>
      </w:r>
      <w:proofErr w:type="spellEnd"/>
      <w:r w:rsidRPr="002E2577">
        <w:t xml:space="preserve"> differences in laws, regulations and technical barriers to the movements of goods and people.</w:t>
      </w:r>
    </w:p>
    <w:p w14:paraId="2E8C2B16" w14:textId="4BF2AF60" w:rsidR="00A13BA3" w:rsidRDefault="00A13BA3" w:rsidP="00A13BA3">
      <w:pPr>
        <w:pStyle w:val="BodyText"/>
      </w:pPr>
      <w:r>
        <w:t xml:space="preserve">Under the MRA and TTMRA, jurisdictions in Australia and New Zealand mutually recognise compliance with </w:t>
      </w:r>
      <w:proofErr w:type="spellStart"/>
      <w:r>
        <w:t>each others’</w:t>
      </w:r>
      <w:proofErr w:type="spellEnd"/>
      <w:r>
        <w:t xml:space="preserve"> laws for the </w:t>
      </w:r>
      <w:r>
        <w:rPr>
          <w:i/>
        </w:rPr>
        <w:t>sale</w:t>
      </w:r>
      <w:r>
        <w:t xml:space="preserve"> </w:t>
      </w:r>
      <w:r>
        <w:rPr>
          <w:i/>
        </w:rPr>
        <w:t>of goods</w:t>
      </w:r>
      <w:r>
        <w:t xml:space="preserve"> and the </w:t>
      </w:r>
      <w:r>
        <w:rPr>
          <w:i/>
        </w:rPr>
        <w:t>registration of occupations</w:t>
      </w:r>
      <w:r w:rsidR="009B3C04">
        <w:rPr>
          <w:i/>
        </w:rPr>
        <w:t xml:space="preserve"> </w:t>
      </w:r>
      <w:r w:rsidR="009B3C04">
        <w:t>(box 1)</w:t>
      </w:r>
      <w:r>
        <w:t>. This allows goods that can be lawfully sold in one jurisdiction to be sold in other jurisdictions without having to satisfy additional</w:t>
      </w:r>
      <w:r w:rsidR="007365E5">
        <w:t xml:space="preserve">, </w:t>
      </w:r>
      <w:r w:rsidR="007365E5" w:rsidRPr="007365E5">
        <w:t>or duplicative and potentially inconsistent</w:t>
      </w:r>
      <w:r w:rsidR="007365E5">
        <w:t>,</w:t>
      </w:r>
      <w:r>
        <w:t xml:space="preserve"> requirements. Similarly, people registered to practise an occupation in one jurisdiction are entitled to practise an equivalent occupation in other jurisdictions, after notifying the local occupation</w:t>
      </w:r>
      <w:r w:rsidR="00AC10D4">
        <w:noBreakHyphen/>
      </w:r>
      <w:r>
        <w:t>registration body.</w:t>
      </w:r>
    </w:p>
    <w:p w14:paraId="7E259B43" w14:textId="7258413C" w:rsidR="00AE342B" w:rsidRDefault="00AE342B" w:rsidP="00AE342B">
      <w:pPr>
        <w:pStyle w:val="BodyText"/>
      </w:pPr>
      <w:r>
        <w:t xml:space="preserve">There is a formal requirement for the mutual recognition schemes to be </w:t>
      </w:r>
      <w:r w:rsidR="002824D0">
        <w:t xml:space="preserve">regularly </w:t>
      </w:r>
      <w:r>
        <w:t xml:space="preserve">reviewed. To date, two such reviews have been completed, both by the Productivity Commission, and these were published in 2003 and 2009 </w:t>
      </w:r>
      <w:r w:rsidRPr="00192B3B">
        <w:rPr>
          <w:szCs w:val="24"/>
        </w:rPr>
        <w:t>(PC 2003, 2009)</w:t>
      </w:r>
      <w:r>
        <w:t xml:space="preserve">. </w:t>
      </w:r>
    </w:p>
    <w:p w14:paraId="03C24B03" w14:textId="320C030D" w:rsidR="00AE342B" w:rsidRDefault="00AE342B" w:rsidP="00AE342B">
      <w:pPr>
        <w:pStyle w:val="BodyText"/>
      </w:pPr>
      <w:r>
        <w:t>In December 2014, the Australian Government directed the Productivity Commission to again review the MRA and TTMRA. The terms of reference for this review are provided at the beginning of this paper. In summary, the Commission has been asked to:</w:t>
      </w:r>
    </w:p>
    <w:p w14:paraId="4FC45455" w14:textId="77777777" w:rsidR="00AE342B" w:rsidRDefault="00AE342B" w:rsidP="00AE342B">
      <w:pPr>
        <w:pStyle w:val="ListBullet"/>
      </w:pPr>
      <w:r>
        <w:t>assess the coverage, efficiency and effectiveness of the MRA and TTMRA</w:t>
      </w:r>
    </w:p>
    <w:p w14:paraId="39E41B18" w14:textId="448863F8" w:rsidR="00AE342B" w:rsidRDefault="00AE342B" w:rsidP="00AE342B">
      <w:pPr>
        <w:pStyle w:val="ListBullet"/>
      </w:pPr>
      <w:r>
        <w:t xml:space="preserve">recommend ways to further improve </w:t>
      </w:r>
      <w:proofErr w:type="spellStart"/>
      <w:r>
        <w:t>interjurisdictional</w:t>
      </w:r>
      <w:proofErr w:type="spellEnd"/>
      <w:r>
        <w:t xml:space="preserve"> movement of goods and skilled workers, and reduce red tape, </w:t>
      </w:r>
      <w:r w:rsidRPr="007956A2">
        <w:t>including examining the scope for automatic mutual recognition where applicable</w:t>
      </w:r>
    </w:p>
    <w:p w14:paraId="7EF035DE" w14:textId="13275DCA" w:rsidR="00AE342B" w:rsidRDefault="00AE342B" w:rsidP="00AE342B">
      <w:pPr>
        <w:pStyle w:val="ListBullet"/>
      </w:pPr>
      <w:r w:rsidRPr="007956A2">
        <w:lastRenderedPageBreak/>
        <w:t xml:space="preserve">address matters </w:t>
      </w:r>
      <w:r w:rsidRPr="00AB6397">
        <w:t xml:space="preserve">identified by the </w:t>
      </w:r>
      <w:r w:rsidRPr="00D84CB5">
        <w:t>Cross</w:t>
      </w:r>
      <w:r w:rsidR="00AC10D4">
        <w:noBreakHyphen/>
      </w:r>
      <w:r w:rsidRPr="00D84CB5">
        <w:t>Jurisdictional Review Forum</w:t>
      </w:r>
      <w:r>
        <w:t xml:space="preserve"> (CJRF), </w:t>
      </w:r>
      <w:r w:rsidRPr="00AB6397">
        <w:t>including</w:t>
      </w:r>
      <w:r>
        <w:t xml:space="preserve"> requirements for the use of </w:t>
      </w:r>
      <w:r w:rsidR="00791B1F">
        <w:t>goods and business registration</w:t>
      </w:r>
      <w:r w:rsidR="00791B1F" w:rsidRPr="003E6C5D">
        <w:rPr>
          <w:rStyle w:val="FootnoteReference"/>
        </w:rPr>
        <w:footnoteReference w:id="2"/>
      </w:r>
    </w:p>
    <w:p w14:paraId="604F70CB" w14:textId="765A2DF4" w:rsidR="00AE342B" w:rsidRDefault="00AE342B" w:rsidP="00AE342B">
      <w:pPr>
        <w:pStyle w:val="ListBullet"/>
      </w:pPr>
      <w:r>
        <w:t>consider how the Agreement on Trans</w:t>
      </w:r>
      <w:r w:rsidR="00AC10D4">
        <w:noBreakHyphen/>
      </w:r>
      <w:r>
        <w:t>Tasman Court Proceedings and Regulatory Enforcement could facilitate Trans</w:t>
      </w:r>
      <w:r w:rsidR="00AC10D4">
        <w:noBreakHyphen/>
      </w:r>
      <w:r>
        <w:t>Tasman provision of services, based on a single occupational registration</w:t>
      </w:r>
    </w:p>
    <w:p w14:paraId="62A7125B" w14:textId="77777777" w:rsidR="00AE342B" w:rsidRDefault="00AE342B" w:rsidP="00AE342B">
      <w:pPr>
        <w:pStyle w:val="ListBullet"/>
      </w:pPr>
      <w:r>
        <w:t>examine the extent to which Commonwealth regulatory agencies are aware of their mutual recognition obligations under the TTMRA and have implemented associated processes.</w:t>
      </w:r>
    </w:p>
    <w:p w14:paraId="00C125B1" w14:textId="71D9FC99" w:rsidR="004243E6" w:rsidRDefault="004243E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243E6" w14:paraId="15EE64EF" w14:textId="77777777" w:rsidTr="003C650D">
        <w:tc>
          <w:tcPr>
            <w:tcW w:w="8771" w:type="dxa"/>
            <w:tcBorders>
              <w:top w:val="single" w:sz="6" w:space="0" w:color="78A22F"/>
              <w:left w:val="nil"/>
              <w:bottom w:val="nil"/>
              <w:right w:val="nil"/>
            </w:tcBorders>
            <w:shd w:val="clear" w:color="auto" w:fill="F2F2F2"/>
          </w:tcPr>
          <w:p w14:paraId="0CCFAB61" w14:textId="1EF0A290" w:rsidR="004243E6" w:rsidRDefault="004243E6" w:rsidP="00142633">
            <w:pPr>
              <w:pStyle w:val="BoxTitle"/>
            </w:pPr>
            <w:r>
              <w:rPr>
                <w:b w:val="0"/>
              </w:rPr>
              <w:t>Box</w:t>
            </w:r>
            <w:r w:rsidR="00142633">
              <w:rPr>
                <w:b w:val="0"/>
              </w:rPr>
              <w:t>1</w:t>
            </w:r>
            <w:r>
              <w:tab/>
            </w:r>
            <w:r w:rsidRPr="00D175C8">
              <w:t>What the MRA and TTMRA do</w:t>
            </w:r>
          </w:p>
        </w:tc>
      </w:tr>
      <w:tr w:rsidR="004243E6" w14:paraId="05C7C743" w14:textId="77777777" w:rsidTr="003C650D">
        <w:trPr>
          <w:cantSplit/>
        </w:trPr>
        <w:tc>
          <w:tcPr>
            <w:tcW w:w="8771" w:type="dxa"/>
            <w:tcBorders>
              <w:top w:val="nil"/>
              <w:left w:val="nil"/>
              <w:bottom w:val="nil"/>
              <w:right w:val="nil"/>
            </w:tcBorders>
            <w:shd w:val="clear" w:color="auto" w:fill="F2F2F2"/>
          </w:tcPr>
          <w:p w14:paraId="16E0820B" w14:textId="77777777" w:rsidR="00A13BA3" w:rsidRDefault="00A13BA3" w:rsidP="00A13BA3">
            <w:pPr>
              <w:pStyle w:val="Box"/>
            </w:pPr>
            <w:r>
              <w:t>In broad terms, under the MRA:</w:t>
            </w:r>
          </w:p>
          <w:p w14:paraId="3DE99F3C" w14:textId="68F9C7A2" w:rsidR="00A13BA3" w:rsidRDefault="00A13BA3" w:rsidP="00A13BA3">
            <w:pPr>
              <w:pStyle w:val="BoxListBullet"/>
              <w:spacing w:before="60" w:line="280" w:lineRule="atLeast"/>
            </w:pPr>
            <w:r>
              <w:t>a good that may legally be sold in one Australian state or territory can also be sold in another, regardless of differences in standards or other sale</w:t>
            </w:r>
            <w:r w:rsidR="00AC10D4">
              <w:noBreakHyphen/>
            </w:r>
            <w:r>
              <w:t>related regulatory requirements</w:t>
            </w:r>
          </w:p>
          <w:p w14:paraId="468EA653" w14:textId="77777777" w:rsidR="00A13BA3" w:rsidRDefault="00A13BA3" w:rsidP="00A13BA3">
            <w:pPr>
              <w:pStyle w:val="BoxListBullet"/>
              <w:spacing w:before="60" w:line="280" w:lineRule="atLeast"/>
            </w:pPr>
            <w:r>
              <w:t>a person registered to practise an occupation in one Australian state or territory can practise an equivalent occupation in another, without the need to undergo further testing or examination.</w:t>
            </w:r>
          </w:p>
          <w:p w14:paraId="698F9CB6" w14:textId="77777777" w:rsidR="00A13BA3" w:rsidRDefault="00A13BA3" w:rsidP="00A13BA3">
            <w:pPr>
              <w:pStyle w:val="Box"/>
            </w:pPr>
            <w:r>
              <w:t>Similarly, under the TTMRA it is generally the case that:</w:t>
            </w:r>
          </w:p>
          <w:p w14:paraId="457BD4CC" w14:textId="7908B061" w:rsidR="00A13BA3" w:rsidRDefault="00A13BA3" w:rsidP="00A13BA3">
            <w:pPr>
              <w:pStyle w:val="BoxListBullet"/>
              <w:spacing w:before="60" w:line="280" w:lineRule="atLeast"/>
            </w:pPr>
            <w:r>
              <w:t>a good that may legally be sold in Australia may be sold in New Zealand, and vice</w:t>
            </w:r>
            <w:r w:rsidR="00AC10D4">
              <w:noBreakHyphen/>
            </w:r>
            <w:r>
              <w:t>versa, regardless of differences in standards or other sale</w:t>
            </w:r>
            <w:r w:rsidR="00AC10D4">
              <w:noBreakHyphen/>
            </w:r>
            <w:r>
              <w:t>related regulatory requirements</w:t>
            </w:r>
          </w:p>
          <w:p w14:paraId="3A9F786A" w14:textId="496AF5ED" w:rsidR="00A13BA3" w:rsidRDefault="00A13BA3" w:rsidP="00A13BA3">
            <w:pPr>
              <w:pStyle w:val="BoxListBullet"/>
              <w:spacing w:before="60" w:line="280" w:lineRule="atLeast"/>
            </w:pPr>
            <w:r>
              <w:t>a person registered to practise an occupation in Australia is entitled to practise an equivalent occupation in New Zealand, and vice</w:t>
            </w:r>
            <w:r w:rsidR="00AC10D4">
              <w:noBreakHyphen/>
            </w:r>
            <w:r>
              <w:t xml:space="preserve">versa, without the need to undergo further testing or examination. </w:t>
            </w:r>
          </w:p>
          <w:p w14:paraId="12DB6057" w14:textId="2FF94AEA" w:rsidR="00A13BA3" w:rsidRDefault="00A13BA3" w:rsidP="00A13BA3">
            <w:pPr>
              <w:pStyle w:val="Box"/>
            </w:pPr>
            <w:r>
              <w:t>However, the MRA and TTMRA only apply to occupations for which some form of legislation</w:t>
            </w:r>
            <w:r w:rsidR="00AC10D4">
              <w:noBreakHyphen/>
            </w:r>
            <w:r>
              <w:t>based registration, certification, licensing, approval, admission or other form of authorisation is required. Also, some goods are exempt from the MRA and TTMRA (detailed later in this</w:t>
            </w:r>
            <w:r w:rsidR="008F1C4C">
              <w:t xml:space="preserve"> issues</w:t>
            </w:r>
            <w:r>
              <w:t xml:space="preserve"> paper).</w:t>
            </w:r>
          </w:p>
          <w:p w14:paraId="75A2E8BE" w14:textId="6FE926AD" w:rsidR="00B238ED" w:rsidRDefault="00A13BA3" w:rsidP="00A13BA3">
            <w:pPr>
              <w:pStyle w:val="Box"/>
            </w:pPr>
            <w:r>
              <w:t>The MRA and TTMRA do not apply to laws on how goods are used, or the manner of sale, transport, storage, handling and inspection of goods. Laws governing the manner of carrying on an occupation and registration of sellers and business</w:t>
            </w:r>
            <w:r w:rsidR="00AC10D4">
              <w:noBreakHyphen/>
            </w:r>
            <w:r>
              <w:t>franchise licences are also not covered.</w:t>
            </w:r>
          </w:p>
        </w:tc>
      </w:tr>
      <w:tr w:rsidR="004243E6" w14:paraId="52BED18C" w14:textId="77777777" w:rsidTr="003C650D">
        <w:trPr>
          <w:cantSplit/>
        </w:trPr>
        <w:tc>
          <w:tcPr>
            <w:tcW w:w="8771" w:type="dxa"/>
            <w:tcBorders>
              <w:top w:val="nil"/>
              <w:left w:val="nil"/>
              <w:bottom w:val="nil"/>
              <w:right w:val="nil"/>
            </w:tcBorders>
            <w:shd w:val="clear" w:color="auto" w:fill="F2F2F2"/>
          </w:tcPr>
          <w:p w14:paraId="5C34055E" w14:textId="37186303" w:rsidR="004243E6" w:rsidRDefault="004243E6" w:rsidP="00F7670B">
            <w:pPr>
              <w:pStyle w:val="BoxSource"/>
            </w:pPr>
            <w:r>
              <w:rPr>
                <w:i/>
              </w:rPr>
              <w:t>Source</w:t>
            </w:r>
            <w:r w:rsidRPr="00167F06">
              <w:t xml:space="preserve">: </w:t>
            </w:r>
            <w:r w:rsidR="00192B3B">
              <w:t>Australian</w:t>
            </w:r>
            <w:r>
              <w:t xml:space="preserve"> Government </w:t>
            </w:r>
            <w:r w:rsidR="00BA20F7" w:rsidRPr="00BA20F7">
              <w:rPr>
                <w:rFonts w:cs="Arial"/>
              </w:rPr>
              <w:t>(2014b)</w:t>
            </w:r>
            <w:r>
              <w:t>.</w:t>
            </w:r>
          </w:p>
        </w:tc>
      </w:tr>
      <w:tr w:rsidR="004243E6" w14:paraId="42A1465B" w14:textId="77777777" w:rsidTr="003C650D">
        <w:trPr>
          <w:cantSplit/>
        </w:trPr>
        <w:tc>
          <w:tcPr>
            <w:tcW w:w="8771" w:type="dxa"/>
            <w:tcBorders>
              <w:top w:val="nil"/>
              <w:left w:val="nil"/>
              <w:bottom w:val="single" w:sz="6" w:space="0" w:color="78A22F"/>
              <w:right w:val="nil"/>
            </w:tcBorders>
            <w:shd w:val="clear" w:color="auto" w:fill="F2F2F2"/>
          </w:tcPr>
          <w:p w14:paraId="7D79BEFF" w14:textId="77777777" w:rsidR="004243E6" w:rsidRDefault="004243E6">
            <w:pPr>
              <w:pStyle w:val="Box"/>
              <w:spacing w:before="0" w:line="120" w:lineRule="exact"/>
            </w:pPr>
          </w:p>
        </w:tc>
      </w:tr>
      <w:tr w:rsidR="004243E6" w:rsidRPr="000863A5" w14:paraId="7CB55489" w14:textId="77777777" w:rsidTr="003C650D">
        <w:tc>
          <w:tcPr>
            <w:tcW w:w="8771" w:type="dxa"/>
            <w:tcBorders>
              <w:top w:val="single" w:sz="6" w:space="0" w:color="78A22F"/>
              <w:left w:val="nil"/>
              <w:bottom w:val="nil"/>
              <w:right w:val="nil"/>
            </w:tcBorders>
          </w:tcPr>
          <w:p w14:paraId="4014E581" w14:textId="475B0328" w:rsidR="004243E6" w:rsidRPr="00626D32" w:rsidRDefault="004243E6" w:rsidP="003C650D">
            <w:pPr>
              <w:pStyle w:val="BoxSpaceBelow"/>
            </w:pPr>
          </w:p>
        </w:tc>
      </w:tr>
    </w:tbl>
    <w:p w14:paraId="43FCD4A6" w14:textId="604B509E" w:rsidR="001E5AB4" w:rsidRPr="002E757F" w:rsidRDefault="001E5AB4" w:rsidP="001E5AB4">
      <w:pPr>
        <w:pStyle w:val="BodyText"/>
      </w:pPr>
      <w:r w:rsidRPr="002E757F">
        <w:t xml:space="preserve">The Commission will consult widely with interested parties in Australia and New Zealand, and release a draft report </w:t>
      </w:r>
      <w:r w:rsidR="00AF2E04">
        <w:t xml:space="preserve">in May </w:t>
      </w:r>
      <w:r w:rsidRPr="002E757F">
        <w:t xml:space="preserve">for public comment prior to finalising its findings and recommendations. The final report </w:t>
      </w:r>
      <w:r w:rsidR="00DA490F">
        <w:t>will</w:t>
      </w:r>
      <w:r w:rsidRPr="002E757F">
        <w:t xml:space="preserve"> be presented to Australian Heads of Government and the New Zealand Prime Minister within nine months of commencing the review, and it will be published. A joint government response will be prepared by the CJRF.</w:t>
      </w:r>
    </w:p>
    <w:p w14:paraId="5576B1DB" w14:textId="6368A720" w:rsidR="001E5AB4" w:rsidRPr="00CF38F0" w:rsidRDefault="001E5AB4" w:rsidP="001E5AB4">
      <w:pPr>
        <w:pStyle w:val="BodyText"/>
      </w:pPr>
      <w:r w:rsidRPr="002E757F">
        <w:t>The Presiding Commissioner for this review is Jonathan Coppel and the Commission’s review team is based in its Melbourne office.</w:t>
      </w:r>
    </w:p>
    <w:p w14:paraId="66795F14" w14:textId="3EC1CFDB" w:rsidR="00DB56B0" w:rsidRDefault="0032046F" w:rsidP="00DB56B0">
      <w:pPr>
        <w:pStyle w:val="Heading2"/>
      </w:pPr>
      <w:r>
        <w:lastRenderedPageBreak/>
        <w:fldChar w:fldCharType="begin"/>
      </w:r>
      <w:r>
        <w:instrText xml:space="preserve"> SEQ Heading2 </w:instrText>
      </w:r>
      <w:r>
        <w:fldChar w:fldCharType="separate"/>
      </w:r>
      <w:bookmarkStart w:id="35" w:name="_Toc200943055"/>
      <w:bookmarkStart w:id="36" w:name="_Toc406773287"/>
      <w:bookmarkStart w:id="37" w:name="_Toc408308213"/>
      <w:bookmarkStart w:id="38" w:name="_Toc408308379"/>
      <w:bookmarkStart w:id="39" w:name="_Toc408311446"/>
      <w:bookmarkStart w:id="40" w:name="_Toc408326895"/>
      <w:bookmarkStart w:id="41" w:name="_Toc408388597"/>
      <w:bookmarkStart w:id="42" w:name="_Toc408396466"/>
      <w:bookmarkStart w:id="43" w:name="_Toc408396923"/>
      <w:bookmarkStart w:id="44" w:name="_Toc408401047"/>
      <w:bookmarkStart w:id="45" w:name="_Toc408562305"/>
      <w:bookmarkStart w:id="46" w:name="_Toc408563140"/>
      <w:bookmarkStart w:id="47" w:name="_Toc408563679"/>
      <w:bookmarkStart w:id="48" w:name="_Toc408567134"/>
      <w:bookmarkStart w:id="49" w:name="_Toc408567832"/>
      <w:bookmarkStart w:id="50" w:name="_Toc408569408"/>
      <w:bookmarkStart w:id="51" w:name="_Toc409010842"/>
      <w:r w:rsidR="004A70DC">
        <w:rPr>
          <w:noProof/>
        </w:rPr>
        <w:t>3</w:t>
      </w:r>
      <w:r>
        <w:rPr>
          <w:noProof/>
        </w:rPr>
        <w:fldChar w:fldCharType="end"/>
      </w:r>
      <w:r w:rsidR="00DB56B0">
        <w:tab/>
        <w:t>Rationale for mutual recognition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9418098" w14:textId="5130D105" w:rsidR="00DB56B0" w:rsidRPr="00EF0731" w:rsidRDefault="00DB56B0" w:rsidP="00EF0731">
      <w:pPr>
        <w:pStyle w:val="BodyText"/>
      </w:pPr>
      <w:r w:rsidRPr="00EF0731">
        <w:t xml:space="preserve">The </w:t>
      </w:r>
      <w:r w:rsidR="00A639EB">
        <w:t>primary</w:t>
      </w:r>
      <w:r w:rsidRPr="00EF0731">
        <w:t xml:space="preserve"> rationale for introducing the MRA and TTMRA was that regulatory differences between jurisdictions were unnecessarily impeding cross</w:t>
      </w:r>
      <w:r w:rsidR="00AC10D4">
        <w:noBreakHyphen/>
      </w:r>
      <w:r w:rsidRPr="00EF0731">
        <w:t>border movements of goods and labour. The potential costs of these differences included reduced competition in goods and labour markets, higher prices for consumers, larger compliance costs for firms operating across jurisdictions</w:t>
      </w:r>
      <w:r w:rsidR="00332288">
        <w:t>,</w:t>
      </w:r>
      <w:r w:rsidRPr="00EF0731">
        <w:t xml:space="preserve"> and greater difficulty in attracting workers to locations where their services would generate the greatest net benefit.</w:t>
      </w:r>
    </w:p>
    <w:p w14:paraId="40EF2A80" w14:textId="0F1AAC50" w:rsidR="00DB56B0" w:rsidRPr="00EC413B" w:rsidRDefault="00DB56B0" w:rsidP="00DB56B0">
      <w:pPr>
        <w:pStyle w:val="BodyText"/>
      </w:pPr>
      <w:r w:rsidRPr="00EC413B">
        <w:t>While harmonising regulations across all jurisdictions would be one way of addressing concerns about regulatory differences, it would be a formidable task. Moreover, not all regulatory differences impede cross</w:t>
      </w:r>
      <w:r w:rsidR="00AC10D4">
        <w:noBreakHyphen/>
      </w:r>
      <w:r w:rsidRPr="00EC413B">
        <w:t>border movements of goods and labour significantly, and so the benefits of harmonisation could be less than the implementation costs. Mutual recognition is an alternative means of reducing regulatory impediments without incurring the potentially substantial costs of harmonisation. However, there are also costs associated with implementing and maintaining mutual recognition, such as developing rules on how compliance is monitored and administering appeals mechanisms.</w:t>
      </w:r>
    </w:p>
    <w:p w14:paraId="323E3DD4" w14:textId="77777777" w:rsidR="00DB56B0" w:rsidRDefault="00DB56B0" w:rsidP="00DB56B0">
      <w:pPr>
        <w:pStyle w:val="BodyText"/>
      </w:pPr>
      <w:r w:rsidRPr="00EC413B">
        <w:t>Mutual recognition is a feasible alternative to harmonisation for Australian jurisdictions and New Zealand because of their similar history, culture and objectives. This means that, in many cases, regulations meeting community expectations in one jurisdiction will tend to be acceptable to the other jurisdictions. It also means that regulatory differences are more likely to reflect historical or institutional arrangements, rather than significantly different assessments of risks to public health, safety and the environment.</w:t>
      </w:r>
    </w:p>
    <w:p w14:paraId="28439CAE" w14:textId="77777777" w:rsidR="00E61F0A" w:rsidRPr="007E06B6" w:rsidRDefault="00DB56B0" w:rsidP="007E06B6">
      <w:pPr>
        <w:pStyle w:val="Questionindented"/>
      </w:pPr>
      <w:r w:rsidRPr="00287D63">
        <w:t>What have been the benefits of mutual recognition under the MRA and TTMRA, and what evidence is there to support your assessment?</w:t>
      </w:r>
      <w:r w:rsidR="00FC735C" w:rsidRPr="007E06B6">
        <w:t xml:space="preserve"> </w:t>
      </w:r>
    </w:p>
    <w:p w14:paraId="776905E4" w14:textId="77777777" w:rsidR="00E61F0A" w:rsidRPr="007E06B6" w:rsidRDefault="00E61F0A" w:rsidP="007E06B6">
      <w:pPr>
        <w:pStyle w:val="Questionindented"/>
      </w:pPr>
      <w:r w:rsidRPr="00287D63">
        <w:t>What have been the costs of implementing and maintaining mutual recognition under the MRA and TTMRA, and to what extent are these outweighed by the benefits?</w:t>
      </w:r>
    </w:p>
    <w:p w14:paraId="7F991270" w14:textId="17579BCE" w:rsidR="00DB56B0" w:rsidRPr="00C14218" w:rsidRDefault="00FC735C" w:rsidP="007E06B6">
      <w:pPr>
        <w:pStyle w:val="Questionindented"/>
      </w:pPr>
      <w:r w:rsidRPr="00287D63">
        <w:t xml:space="preserve">Are there further benefits that could be realised from extending </w:t>
      </w:r>
      <w:r w:rsidR="002F0F4F" w:rsidRPr="00C14218">
        <w:t>mutual recognition</w:t>
      </w:r>
      <w:r w:rsidRPr="00C14218">
        <w:t xml:space="preserve">? What are the likely costs </w:t>
      </w:r>
      <w:r w:rsidR="00E61F0A" w:rsidRPr="00C14218">
        <w:t>of</w:t>
      </w:r>
      <w:r w:rsidRPr="00C14218">
        <w:t xml:space="preserve"> </w:t>
      </w:r>
      <w:r w:rsidR="00E61F0A" w:rsidRPr="00C14218">
        <w:t>doing so</w:t>
      </w:r>
      <w:r w:rsidRPr="00C14218">
        <w:t>?</w:t>
      </w:r>
    </w:p>
    <w:p w14:paraId="2E655570" w14:textId="5C01C445" w:rsidR="00DB56B0" w:rsidRPr="00D31F16" w:rsidRDefault="00DB56B0" w:rsidP="007E06B6">
      <w:pPr>
        <w:pStyle w:val="Questionindented"/>
      </w:pPr>
      <w:r w:rsidRPr="007E06B6">
        <w:t xml:space="preserve">What evidence is there that </w:t>
      </w:r>
      <w:proofErr w:type="spellStart"/>
      <w:r w:rsidR="007968DC" w:rsidRPr="007E06B6">
        <w:t>interjurisdictional</w:t>
      </w:r>
      <w:proofErr w:type="spellEnd"/>
      <w:r w:rsidR="007968DC" w:rsidRPr="007E06B6">
        <w:t xml:space="preserve"> differences in</w:t>
      </w:r>
      <w:r w:rsidRPr="007E06B6">
        <w:t xml:space="preserve"> laws for the sale of goods and registration of occupations would, without mutual recognition, significantly impede cross</w:t>
      </w:r>
      <w:r w:rsidR="00AC10D4">
        <w:noBreakHyphen/>
      </w:r>
      <w:r w:rsidRPr="007E06B6">
        <w:t>border movement of goods and labour?</w:t>
      </w:r>
    </w:p>
    <w:p w14:paraId="1FDD28EB" w14:textId="1FAC8D68" w:rsidR="00AF2E04" w:rsidRPr="00AF2E04" w:rsidRDefault="00AF2E04" w:rsidP="00AF2E04">
      <w:pPr>
        <w:pStyle w:val="Questionindented"/>
      </w:pPr>
      <w:r w:rsidRPr="00AF2E04">
        <w:t>For which goods and occupations is mutual recognition a better alternative than other forms of regulatory cooperation (for example, harmonisation) in the sense that it generates a greater net benefit to the community?</w:t>
      </w:r>
    </w:p>
    <w:p w14:paraId="638F23AE" w14:textId="2C4FDFAC" w:rsidR="0021697B" w:rsidRDefault="0032046F" w:rsidP="00DB56B0">
      <w:pPr>
        <w:pStyle w:val="Heading2"/>
      </w:pPr>
      <w:r>
        <w:fldChar w:fldCharType="begin"/>
      </w:r>
      <w:r>
        <w:instrText xml:space="preserve"> SEQ Heading2 </w:instrText>
      </w:r>
      <w:r>
        <w:fldChar w:fldCharType="separate"/>
      </w:r>
      <w:bookmarkStart w:id="52" w:name="_Toc408308214"/>
      <w:bookmarkStart w:id="53" w:name="_Toc408308380"/>
      <w:bookmarkStart w:id="54" w:name="_Toc408311447"/>
      <w:bookmarkStart w:id="55" w:name="_Toc408326896"/>
      <w:bookmarkStart w:id="56" w:name="_Toc408388598"/>
      <w:bookmarkStart w:id="57" w:name="_Toc408396467"/>
      <w:bookmarkStart w:id="58" w:name="_Toc408396924"/>
      <w:bookmarkStart w:id="59" w:name="_Toc408401048"/>
      <w:bookmarkStart w:id="60" w:name="_Toc408562306"/>
      <w:bookmarkStart w:id="61" w:name="_Toc408563141"/>
      <w:bookmarkStart w:id="62" w:name="_Toc408563680"/>
      <w:bookmarkStart w:id="63" w:name="_Toc408567135"/>
      <w:bookmarkStart w:id="64" w:name="_Toc408567833"/>
      <w:bookmarkStart w:id="65" w:name="_Toc408569409"/>
      <w:bookmarkStart w:id="66" w:name="_Toc409010843"/>
      <w:r w:rsidR="004A70DC">
        <w:rPr>
          <w:noProof/>
        </w:rPr>
        <w:t>4</w:t>
      </w:r>
      <w:r>
        <w:rPr>
          <w:noProof/>
        </w:rPr>
        <w:fldChar w:fldCharType="end"/>
      </w:r>
      <w:r w:rsidR="0021697B">
        <w:tab/>
      </w:r>
      <w:r w:rsidR="009D6395">
        <w:t>Mutual recognition of g</w:t>
      </w:r>
      <w:r w:rsidR="0021697B">
        <w:t>oods</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2F9B14E2" w14:textId="07A02CD6" w:rsidR="0032713E" w:rsidRPr="00E53340" w:rsidRDefault="005A7966" w:rsidP="005A7966">
      <w:pPr>
        <w:pStyle w:val="BodyText"/>
      </w:pPr>
      <w:bookmarkStart w:id="67" w:name="_Toc406773289"/>
      <w:r>
        <w:t xml:space="preserve">As noted above, </w:t>
      </w:r>
      <w:r w:rsidRPr="003E0992">
        <w:t>the MRA and TTMRA</w:t>
      </w:r>
      <w:r>
        <w:t xml:space="preserve"> generally allow goods lawfully sold in one jurisdiction to be sold in others without having to satisfy additional requirements. </w:t>
      </w:r>
      <w:r w:rsidR="00E0369B">
        <w:lastRenderedPageBreak/>
        <w:t>However</w:t>
      </w:r>
      <w:r w:rsidR="00EB6A9B">
        <w:t>,</w:t>
      </w:r>
      <w:r w:rsidR="00C34790">
        <w:t xml:space="preserve"> a number of goods and goods</w:t>
      </w:r>
      <w:r w:rsidR="00AC10D4">
        <w:noBreakHyphen/>
      </w:r>
      <w:r w:rsidR="00C34790">
        <w:t xml:space="preserve">related </w:t>
      </w:r>
      <w:r w:rsidR="00C34790" w:rsidRPr="007C7F4F">
        <w:t>laws</w:t>
      </w:r>
      <w:r w:rsidR="002B2E5C">
        <w:t xml:space="preserve"> are explicitly kept outside</w:t>
      </w:r>
      <w:r w:rsidR="00F36382">
        <w:t xml:space="preserve"> the scope</w:t>
      </w:r>
      <w:r w:rsidR="00C34790">
        <w:t xml:space="preserve"> of the schemes.</w:t>
      </w:r>
      <w:r w:rsidR="00F9660C">
        <w:t xml:space="preserve"> </w:t>
      </w:r>
      <w:r w:rsidR="00771A22">
        <w:t>Moreover, the schemes only cover requirements for the sale of goods, which raises the possibility that</w:t>
      </w:r>
      <w:r w:rsidR="005F1E84">
        <w:t xml:space="preserve"> </w:t>
      </w:r>
      <w:r w:rsidR="00335A79">
        <w:t xml:space="preserve">a good </w:t>
      </w:r>
      <w:r w:rsidR="0032713E">
        <w:t>is</w:t>
      </w:r>
      <w:r w:rsidR="00335A79">
        <w:t xml:space="preserve"> allowed to be sold under mutual recognition but </w:t>
      </w:r>
      <w:r w:rsidR="00E9369C">
        <w:t>can</w:t>
      </w:r>
      <w:r w:rsidR="00363086">
        <w:t>not</w:t>
      </w:r>
      <w:r w:rsidR="00771A22">
        <w:t xml:space="preserve"> </w:t>
      </w:r>
      <w:r w:rsidR="00E9369C">
        <w:t xml:space="preserve">be legally </w:t>
      </w:r>
      <w:r w:rsidR="00335A79">
        <w:t>use</w:t>
      </w:r>
      <w:r w:rsidR="00E9369C">
        <w:t>d</w:t>
      </w:r>
      <w:r w:rsidR="00335A79">
        <w:t>.</w:t>
      </w:r>
    </w:p>
    <w:p w14:paraId="11B2B1B7" w14:textId="29750F70" w:rsidR="00A13BA3" w:rsidRDefault="00C007B7" w:rsidP="00DC28F0">
      <w:pPr>
        <w:pStyle w:val="Heading3"/>
        <w:spacing w:before="360" w:line="240" w:lineRule="exact"/>
      </w:pPr>
      <w:r>
        <w:t xml:space="preserve">Measures </w:t>
      </w:r>
      <w:r w:rsidR="00432668">
        <w:t xml:space="preserve">that </w:t>
      </w:r>
      <w:r>
        <w:t xml:space="preserve">limit </w:t>
      </w:r>
      <w:r w:rsidR="00C51A72">
        <w:t xml:space="preserve">goods </w:t>
      </w:r>
      <w:r>
        <w:t>coverage</w:t>
      </w:r>
    </w:p>
    <w:p w14:paraId="4A3D8AE0" w14:textId="04E8D161" w:rsidR="00BD433D" w:rsidRPr="00F6233B" w:rsidRDefault="00BD433D" w:rsidP="00BD433D">
      <w:pPr>
        <w:pStyle w:val="BodyText"/>
        <w:keepNext/>
      </w:pPr>
      <w:r>
        <w:t xml:space="preserve">There </w:t>
      </w:r>
      <w:r w:rsidR="003A64A2">
        <w:t xml:space="preserve">are three </w:t>
      </w:r>
      <w:r w:rsidR="00CC21D5">
        <w:t>types</w:t>
      </w:r>
      <w:r w:rsidR="003A64A2">
        <w:t xml:space="preserve"> of </w:t>
      </w:r>
      <w:r w:rsidR="003A64A2" w:rsidRPr="00F6233B">
        <w:t xml:space="preserve">exemptions </w:t>
      </w:r>
      <w:r w:rsidR="001541A1">
        <w:t>that</w:t>
      </w:r>
      <w:r w:rsidR="003A64A2">
        <w:t xml:space="preserve"> can be used to keep specific goods outside the </w:t>
      </w:r>
      <w:r w:rsidR="00932254">
        <w:t xml:space="preserve">scope </w:t>
      </w:r>
      <w:r w:rsidR="003A64A2">
        <w:t xml:space="preserve">of </w:t>
      </w:r>
      <w:r>
        <w:t xml:space="preserve">the </w:t>
      </w:r>
      <w:r w:rsidR="00E77204">
        <w:t>MRA and TTMRA</w:t>
      </w:r>
      <w:r w:rsidR="005C34DD">
        <w:t xml:space="preserve"> (figures</w:t>
      </w:r>
      <w:r w:rsidR="00AC10D4">
        <w:t> </w:t>
      </w:r>
      <w:r w:rsidR="005C34DD">
        <w:t>1 and 2)</w:t>
      </w:r>
      <w:r>
        <w:t>:</w:t>
      </w:r>
    </w:p>
    <w:p w14:paraId="027593AF" w14:textId="1558AD78" w:rsidR="005C34DD" w:rsidRDefault="00A40DED" w:rsidP="00BD433D">
      <w:pPr>
        <w:pStyle w:val="ListBullet"/>
      </w:pPr>
      <w:r>
        <w:rPr>
          <w:i/>
        </w:rPr>
        <w:t>p</w:t>
      </w:r>
      <w:r w:rsidR="00BD433D" w:rsidRPr="005C34DD">
        <w:rPr>
          <w:i/>
        </w:rPr>
        <w:t xml:space="preserve">ermanent exemptions — </w:t>
      </w:r>
      <w:r w:rsidR="00BD433D" w:rsidRPr="00C44542">
        <w:t>these ‘exist to deal with jurisdictional regulatory differences or situations where all parties agree that mutual recognition could jeopardise public health or safety’ (CJRF 2004, p. 30)</w:t>
      </w:r>
      <w:r w:rsidR="00BE7373">
        <w:t xml:space="preserve">. There are </w:t>
      </w:r>
      <w:r w:rsidR="00DC28F0">
        <w:t>many</w:t>
      </w:r>
      <w:r w:rsidR="00BE7373">
        <w:t xml:space="preserve"> goods in this category</w:t>
      </w:r>
    </w:p>
    <w:p w14:paraId="10F2A708" w14:textId="09AE0969" w:rsidR="00BD433D" w:rsidRDefault="00A40DED" w:rsidP="00BD433D">
      <w:pPr>
        <w:pStyle w:val="ListBullet"/>
      </w:pPr>
      <w:r>
        <w:rPr>
          <w:i/>
        </w:rPr>
        <w:t>t</w:t>
      </w:r>
      <w:r w:rsidR="00BD433D" w:rsidRPr="005C34DD">
        <w:rPr>
          <w:i/>
        </w:rPr>
        <w:t>emporary exemptions</w:t>
      </w:r>
      <w:r w:rsidR="00BD433D" w:rsidRPr="009B794F">
        <w:t xml:space="preserve"> — </w:t>
      </w:r>
      <w:r w:rsidR="00AF0E85">
        <w:t>these</w:t>
      </w:r>
      <w:r w:rsidR="00BD433D" w:rsidRPr="009B794F">
        <w:t xml:space="preserve"> provide a means for jurisdictions to unilaterally ban goods for up to 12 months on health, safety or environmental grounds while the relevant Ministerial Council considers whether mutual recognition, harmonisation or a permanent exemption is appropriate</w:t>
      </w:r>
      <w:r w:rsidR="00136BFB">
        <w:t>. No goods are currently subject to a temporary exemption</w:t>
      </w:r>
      <w:r w:rsidR="00A714B1">
        <w:t xml:space="preserve"> under the MRA or TTMRA</w:t>
      </w:r>
    </w:p>
    <w:p w14:paraId="47FE93A1" w14:textId="44F294C6" w:rsidR="00BD433D" w:rsidRPr="00002EBC" w:rsidRDefault="00A40DED" w:rsidP="00BD433D">
      <w:pPr>
        <w:pStyle w:val="ListBullet"/>
      </w:pPr>
      <w:r>
        <w:rPr>
          <w:i/>
        </w:rPr>
        <w:t>s</w:t>
      </w:r>
      <w:r w:rsidR="00BD433D" w:rsidRPr="00002EBC">
        <w:rPr>
          <w:i/>
        </w:rPr>
        <w:t xml:space="preserve">pecial exemptions </w:t>
      </w:r>
      <w:r w:rsidR="00BD433D" w:rsidRPr="003A0C5A">
        <w:t xml:space="preserve">(TTMRA only) — </w:t>
      </w:r>
      <w:r w:rsidR="004F1C20">
        <w:t>these are</w:t>
      </w:r>
      <w:r w:rsidR="00BD433D" w:rsidRPr="00002EBC">
        <w:t xml:space="preserve"> for cases where jurisdictions are hopeful that greater integration can be achieved, but recognise further work is required. </w:t>
      </w:r>
      <w:r w:rsidR="00BD433D">
        <w:t>Special exemptions have to be renewed at least every 12 months</w:t>
      </w:r>
      <w:r w:rsidR="00CD3BFE">
        <w:t xml:space="preserve"> </w:t>
      </w:r>
      <w:r w:rsidR="00BD433D">
        <w:t xml:space="preserve">until </w:t>
      </w:r>
      <w:r w:rsidR="00BD433D" w:rsidRPr="00002EBC">
        <w:t xml:space="preserve">the outstanding issues </w:t>
      </w:r>
      <w:r w:rsidR="00BD433D">
        <w:t xml:space="preserve">are resolved </w:t>
      </w:r>
      <w:r w:rsidR="00BD433D" w:rsidRPr="00002EBC">
        <w:t>by harmonisation, mutual recognition or a permanent exemption.</w:t>
      </w:r>
      <w:r w:rsidR="00BD433D">
        <w:t xml:space="preserve"> There are currently no goods subject to a special exemption.</w:t>
      </w:r>
    </w:p>
    <w:p w14:paraId="637FBFBA" w14:textId="07E1A16A" w:rsidR="00FC61D6" w:rsidRDefault="00FC61D6" w:rsidP="00DC28F0">
      <w:pPr>
        <w:pStyle w:val="BoxSpaceAbove"/>
        <w:spacing w:before="24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C61D6" w14:paraId="1FC2BD54" w14:textId="77777777" w:rsidTr="00824794">
        <w:tc>
          <w:tcPr>
            <w:tcW w:w="8771" w:type="dxa"/>
            <w:tcBorders>
              <w:top w:val="single" w:sz="6" w:space="0" w:color="78A22F"/>
              <w:left w:val="nil"/>
              <w:bottom w:val="nil"/>
              <w:right w:val="nil"/>
            </w:tcBorders>
            <w:shd w:val="clear" w:color="auto" w:fill="auto"/>
          </w:tcPr>
          <w:p w14:paraId="7845906E" w14:textId="22FAF988" w:rsidR="00FC61D6" w:rsidRPr="00176D3F" w:rsidRDefault="00FC61D6" w:rsidP="00142633">
            <w:pPr>
              <w:pStyle w:val="FigureTitle"/>
            </w:pPr>
            <w:r w:rsidRPr="00784A05">
              <w:rPr>
                <w:b w:val="0"/>
              </w:rPr>
              <w:t>Figure</w:t>
            </w:r>
            <w:r w:rsidR="00142633">
              <w:rPr>
                <w:b w:val="0"/>
              </w:rPr>
              <w:t xml:space="preserve"> 1</w:t>
            </w:r>
            <w:r>
              <w:tab/>
              <w:t>C</w:t>
            </w:r>
            <w:r w:rsidRPr="00D175C8">
              <w:t xml:space="preserve">overage of </w:t>
            </w:r>
            <w:r w:rsidR="00D257E4">
              <w:t xml:space="preserve">goods under </w:t>
            </w:r>
            <w:r w:rsidRPr="00D175C8">
              <w:t>the MRA</w:t>
            </w:r>
          </w:p>
        </w:tc>
      </w:tr>
      <w:tr w:rsidR="00FC61D6" w14:paraId="5BA7A034" w14:textId="77777777" w:rsidTr="00824794">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FC61D6" w14:paraId="7164D55E" w14:textId="77777777" w:rsidTr="00824794">
              <w:trPr>
                <w:jc w:val="center"/>
              </w:trPr>
              <w:tc>
                <w:tcPr>
                  <w:tcW w:w="5000" w:type="pct"/>
                  <w:tcBorders>
                    <w:top w:val="nil"/>
                    <w:bottom w:val="nil"/>
                  </w:tcBorders>
                </w:tcPr>
                <w:p w14:paraId="0CE6129D" w14:textId="7620E5D6" w:rsidR="00FC61D6" w:rsidRDefault="00CD69B3" w:rsidP="00824794">
                  <w:pPr>
                    <w:pStyle w:val="Figure"/>
                    <w:spacing w:before="60" w:after="60"/>
                  </w:pPr>
                  <w:r>
                    <w:rPr>
                      <w:noProof/>
                    </w:rPr>
                    <w:drawing>
                      <wp:inline distT="0" distB="0" distL="0" distR="0" wp14:anchorId="5D4822D9" wp14:editId="0052C597">
                        <wp:extent cx="5393690" cy="2897505"/>
                        <wp:effectExtent l="0" t="0" r="0" b="0"/>
                        <wp:docPr id="1" name="Picture 1" descr="This figure shows the coverage of goods under the MRA. The MRA has exceptions, temporary exemptions and permanent exemptions. Exceptions are laws relating to: &#10;• manner of sale or manner in which sellers conduct or are required to conduct their business&#10;• transportation, storage or handling of goods&#10;• inspection of goods.&#10;Permanent exemptions are broken down into schedule 1 and schedule 2. Schedule 1 relates to goods:&#10;• Firearms and other prohibited or offensive weapons&#10;• Fireworks&#10;• Gaming machines&#10;• Pornographic material.&#10;Schedule 2 consists of laws relating to goods including:&#10;• quarantine&#10;• protection of species&#10;• ozone protection&#10;• weapons&#10;• classification of films and publications.&#10;There are currently no temporary exemptions.&#10;" title="Coverage of goods under the M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93690" cy="2897505"/>
                                </a:xfrm>
                                <a:prstGeom prst="rect">
                                  <a:avLst/>
                                </a:prstGeom>
                                <a:noFill/>
                                <a:ln>
                                  <a:noFill/>
                                </a:ln>
                              </pic:spPr>
                            </pic:pic>
                          </a:graphicData>
                        </a:graphic>
                      </wp:inline>
                    </w:drawing>
                  </w:r>
                </w:p>
              </w:tc>
            </w:tr>
          </w:tbl>
          <w:p w14:paraId="445A6A2A" w14:textId="77777777" w:rsidR="00FC61D6" w:rsidRDefault="00FC61D6" w:rsidP="00824794">
            <w:pPr>
              <w:pStyle w:val="Figure"/>
            </w:pPr>
          </w:p>
        </w:tc>
      </w:tr>
      <w:tr w:rsidR="00FC61D6" w:rsidRPr="00176D3F" w14:paraId="1A2D2690" w14:textId="77777777" w:rsidTr="00824794">
        <w:tc>
          <w:tcPr>
            <w:tcW w:w="8771" w:type="dxa"/>
            <w:tcBorders>
              <w:top w:val="nil"/>
              <w:left w:val="nil"/>
              <w:bottom w:val="nil"/>
              <w:right w:val="nil"/>
            </w:tcBorders>
            <w:shd w:val="clear" w:color="auto" w:fill="auto"/>
          </w:tcPr>
          <w:p w14:paraId="48B9C7A7" w14:textId="5DFA1D06" w:rsidR="00FC61D6" w:rsidRPr="00176D3F" w:rsidRDefault="00FC61D6" w:rsidP="00C15415">
            <w:pPr>
              <w:pStyle w:val="Note"/>
            </w:pPr>
            <w:proofErr w:type="spellStart"/>
            <w:r>
              <w:rPr>
                <w:rStyle w:val="NoteLabel"/>
              </w:rPr>
              <w:t>a</w:t>
            </w:r>
            <w:proofErr w:type="spellEnd"/>
            <w:r>
              <w:t xml:space="preserve"> </w:t>
            </w:r>
            <w:r w:rsidR="00C15415">
              <w:t>There are currently no temporary exemptions</w:t>
            </w:r>
            <w:r>
              <w:t>.</w:t>
            </w:r>
            <w:r w:rsidR="00414598">
              <w:t xml:space="preserve">  </w:t>
            </w:r>
            <w:r w:rsidR="00414598" w:rsidRPr="00414598">
              <w:rPr>
                <w:rStyle w:val="NoteLabel"/>
              </w:rPr>
              <w:t>b</w:t>
            </w:r>
            <w:r w:rsidR="00445562">
              <w:rPr>
                <w:rStyle w:val="NoteLabel"/>
              </w:rPr>
              <w:t xml:space="preserve"> </w:t>
            </w:r>
            <w:r w:rsidR="00445562">
              <w:t>Fu</w:t>
            </w:r>
            <w:r w:rsidR="00414598">
              <w:t xml:space="preserve">ll list is in the </w:t>
            </w:r>
            <w:r w:rsidR="00414598" w:rsidRPr="00414598">
              <w:rPr>
                <w:i/>
              </w:rPr>
              <w:t>Mutual Recognition Act 1992</w:t>
            </w:r>
            <w:r w:rsidR="00414598">
              <w:t xml:space="preserve"> (</w:t>
            </w:r>
            <w:proofErr w:type="spellStart"/>
            <w:r w:rsidR="00414598">
              <w:t>Cwlth</w:t>
            </w:r>
            <w:proofErr w:type="spellEnd"/>
            <w:r w:rsidR="00414598">
              <w:t xml:space="preserve">). </w:t>
            </w:r>
          </w:p>
        </w:tc>
      </w:tr>
      <w:tr w:rsidR="00FC61D6" w:rsidRPr="00176D3F" w14:paraId="4E416329" w14:textId="77777777" w:rsidTr="00824794">
        <w:tc>
          <w:tcPr>
            <w:tcW w:w="8771" w:type="dxa"/>
            <w:tcBorders>
              <w:top w:val="nil"/>
              <w:left w:val="nil"/>
              <w:bottom w:val="nil"/>
              <w:right w:val="nil"/>
            </w:tcBorders>
            <w:shd w:val="clear" w:color="auto" w:fill="auto"/>
          </w:tcPr>
          <w:p w14:paraId="512D346F" w14:textId="61195E2B" w:rsidR="00FC61D6" w:rsidRPr="00176D3F" w:rsidRDefault="00FC61D6" w:rsidP="00824794">
            <w:pPr>
              <w:pStyle w:val="Source"/>
            </w:pPr>
            <w:r>
              <w:rPr>
                <w:i/>
              </w:rPr>
              <w:t>S</w:t>
            </w:r>
            <w:r w:rsidRPr="00784A05">
              <w:rPr>
                <w:i/>
              </w:rPr>
              <w:t>ource</w:t>
            </w:r>
            <w:r w:rsidR="00AC10D4">
              <w:rPr>
                <w:i/>
              </w:rPr>
              <w:t>s</w:t>
            </w:r>
            <w:r w:rsidRPr="00176D3F">
              <w:t xml:space="preserve">: </w:t>
            </w:r>
            <w:r>
              <w:t xml:space="preserve">Australian Government </w:t>
            </w:r>
            <w:r w:rsidR="00BA20F7" w:rsidRPr="00BA20F7">
              <w:rPr>
                <w:rFonts w:cs="Arial"/>
              </w:rPr>
              <w:t>(2013a, 2014b)</w:t>
            </w:r>
            <w:r>
              <w:t>.</w:t>
            </w:r>
          </w:p>
        </w:tc>
      </w:tr>
      <w:tr w:rsidR="00FC61D6" w14:paraId="577E9B7A" w14:textId="77777777" w:rsidTr="00824794">
        <w:tc>
          <w:tcPr>
            <w:tcW w:w="8771" w:type="dxa"/>
            <w:tcBorders>
              <w:top w:val="nil"/>
              <w:left w:val="nil"/>
              <w:bottom w:val="single" w:sz="6" w:space="0" w:color="78A22F"/>
              <w:right w:val="nil"/>
            </w:tcBorders>
            <w:shd w:val="clear" w:color="auto" w:fill="auto"/>
          </w:tcPr>
          <w:p w14:paraId="3D85F7C2" w14:textId="77777777" w:rsidR="00FC61D6" w:rsidRDefault="00FC61D6" w:rsidP="00824794">
            <w:pPr>
              <w:pStyle w:val="Figurespace"/>
            </w:pPr>
          </w:p>
        </w:tc>
      </w:tr>
      <w:tr w:rsidR="00FC61D6" w:rsidRPr="000863A5" w14:paraId="64C65DBF" w14:textId="77777777" w:rsidTr="00824794">
        <w:tc>
          <w:tcPr>
            <w:tcW w:w="8771" w:type="dxa"/>
            <w:tcBorders>
              <w:top w:val="single" w:sz="6" w:space="0" w:color="78A22F"/>
              <w:left w:val="nil"/>
              <w:bottom w:val="nil"/>
              <w:right w:val="nil"/>
            </w:tcBorders>
          </w:tcPr>
          <w:p w14:paraId="2F1F7488" w14:textId="257AD373" w:rsidR="00FC61D6" w:rsidRPr="00626D32" w:rsidRDefault="00FC61D6" w:rsidP="00824794">
            <w:pPr>
              <w:pStyle w:val="BoxSpaceBelow"/>
            </w:pPr>
          </w:p>
        </w:tc>
      </w:tr>
    </w:tbl>
    <w:p w14:paraId="50165D8A" w14:textId="4AD642F8" w:rsidR="00FC61D6" w:rsidRDefault="00FC61D6" w:rsidP="00FC61D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C61D6" w14:paraId="1B204474" w14:textId="77777777" w:rsidTr="00824794">
        <w:tc>
          <w:tcPr>
            <w:tcW w:w="8771" w:type="dxa"/>
            <w:tcBorders>
              <w:top w:val="single" w:sz="6" w:space="0" w:color="78A22F"/>
              <w:left w:val="nil"/>
              <w:bottom w:val="nil"/>
              <w:right w:val="nil"/>
            </w:tcBorders>
            <w:shd w:val="clear" w:color="auto" w:fill="auto"/>
          </w:tcPr>
          <w:p w14:paraId="3A3194A5" w14:textId="77D9909C" w:rsidR="00FC61D6" w:rsidRPr="00176D3F" w:rsidRDefault="00FC61D6" w:rsidP="00523FDA">
            <w:pPr>
              <w:pStyle w:val="FigureTitle"/>
            </w:pPr>
            <w:r w:rsidRPr="00784A05">
              <w:rPr>
                <w:b w:val="0"/>
              </w:rPr>
              <w:t xml:space="preserve">Figure </w:t>
            </w:r>
            <w:r w:rsidR="008F2E6E">
              <w:rPr>
                <w:b w:val="0"/>
              </w:rPr>
              <w:t>2</w:t>
            </w:r>
            <w:r>
              <w:tab/>
              <w:t>C</w:t>
            </w:r>
            <w:r w:rsidRPr="00D175C8">
              <w:t xml:space="preserve">overage of </w:t>
            </w:r>
            <w:r w:rsidR="00D257E4">
              <w:t xml:space="preserve">goods under </w:t>
            </w:r>
            <w:r w:rsidR="00D257E4" w:rsidRPr="00D175C8">
              <w:t xml:space="preserve">the </w:t>
            </w:r>
            <w:r w:rsidRPr="00D175C8">
              <w:t>TTMRA</w:t>
            </w:r>
          </w:p>
        </w:tc>
      </w:tr>
      <w:tr w:rsidR="00FC61D6" w14:paraId="37F463C7" w14:textId="77777777" w:rsidTr="00824794">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FC61D6" w14:paraId="4649691D" w14:textId="77777777" w:rsidTr="00824794">
              <w:trPr>
                <w:jc w:val="center"/>
              </w:trPr>
              <w:tc>
                <w:tcPr>
                  <w:tcW w:w="5000" w:type="pct"/>
                  <w:tcBorders>
                    <w:top w:val="nil"/>
                    <w:bottom w:val="nil"/>
                  </w:tcBorders>
                </w:tcPr>
                <w:p w14:paraId="3FEEC6B2" w14:textId="1DAC97EE" w:rsidR="00FC61D6" w:rsidRDefault="004F4841" w:rsidP="00824794">
                  <w:pPr>
                    <w:pStyle w:val="Figure"/>
                    <w:spacing w:before="60" w:after="60"/>
                  </w:pPr>
                  <w:r>
                    <w:rPr>
                      <w:noProof/>
                    </w:rPr>
                    <w:drawing>
                      <wp:inline distT="0" distB="0" distL="0" distR="0" wp14:anchorId="6EB075B7" wp14:editId="5CF6955D">
                        <wp:extent cx="5394325" cy="4017645"/>
                        <wp:effectExtent l="0" t="0" r="0" b="0"/>
                        <wp:docPr id="2" name="Picture 2" descr="This figure shows the coverage of goods under the TTMRA. The TTMRA has exceptions, exclusions, permanent exemptions, special exemptions and temporary exemptions. Exceptions are laws relating to:&#10;• manner of sale or manner in which sellers conduct or are required to conduct their business&#10;• transportation, storage or handling of goods&#10;• inspection of goods.&#10;Exclusions consists of laws relating to:&#10;• customs controls and tariffs&#10;• intellectual property&#10;• taxation and business franchises&#10;• implementation of international regulations.&#10;Permanent exemptions are broken down into schedule 2 part 1 and schedule 2 part 2. Schedule 2 part 1 are laws relating to goods (general):&#10;• quarantine &#10;• endangered species.&#10;Schedule 2 part 2 are laws relating to goods (specific):&#10;• agricultural and veterinary chemicals&#10;• beverage containers (SA)&#10;• firearms and specific weapons&#10;• fireworks&#10;• gaming machines&#10;• gas appliances&#10;• hazardous substances, industrial chemicals and dangerous goods&#10;• indecent material&#10;• ozone protection&#10;• possession, sale or capture of abalone, crayfish and scallops (Tas)&#10;• radiocommunications devices&#10;• risk-categorised foods&#10;• road vehicles&#10;• therapeutic goods&#10;• tobacco.&#10;" title="Coverage of goods under the TTM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94325" cy="4017645"/>
                                </a:xfrm>
                                <a:prstGeom prst="rect">
                                  <a:avLst/>
                                </a:prstGeom>
                                <a:noFill/>
                                <a:ln>
                                  <a:noFill/>
                                </a:ln>
                              </pic:spPr>
                            </pic:pic>
                          </a:graphicData>
                        </a:graphic>
                      </wp:inline>
                    </w:drawing>
                  </w:r>
                </w:p>
              </w:tc>
            </w:tr>
          </w:tbl>
          <w:p w14:paraId="09525E32" w14:textId="77777777" w:rsidR="00FC61D6" w:rsidRDefault="00FC61D6" w:rsidP="00824794">
            <w:pPr>
              <w:pStyle w:val="Figure"/>
            </w:pPr>
          </w:p>
        </w:tc>
      </w:tr>
      <w:tr w:rsidR="00FC61D6" w:rsidRPr="00176D3F" w14:paraId="094C72EE" w14:textId="77777777" w:rsidTr="00824794">
        <w:tc>
          <w:tcPr>
            <w:tcW w:w="8771" w:type="dxa"/>
            <w:tcBorders>
              <w:top w:val="nil"/>
              <w:left w:val="nil"/>
              <w:bottom w:val="nil"/>
              <w:right w:val="nil"/>
            </w:tcBorders>
            <w:shd w:val="clear" w:color="auto" w:fill="auto"/>
          </w:tcPr>
          <w:p w14:paraId="35A4AB4D" w14:textId="708DA362" w:rsidR="00FC61D6" w:rsidRPr="00176D3F" w:rsidRDefault="00FB6CBE" w:rsidP="00523FDA">
            <w:pPr>
              <w:pStyle w:val="Note"/>
            </w:pPr>
            <w:proofErr w:type="spellStart"/>
            <w:r>
              <w:rPr>
                <w:rStyle w:val="NoteLabel"/>
              </w:rPr>
              <w:t>a</w:t>
            </w:r>
            <w:proofErr w:type="spellEnd"/>
            <w:r w:rsidR="00FC61D6">
              <w:t xml:space="preserve"> </w:t>
            </w:r>
            <w:r w:rsidR="00B36D14">
              <w:t>There are currently no special and temporary exemptions</w:t>
            </w:r>
            <w:r w:rsidR="00FC61D6">
              <w:t>.</w:t>
            </w:r>
          </w:p>
        </w:tc>
      </w:tr>
      <w:tr w:rsidR="00FC61D6" w:rsidRPr="00176D3F" w14:paraId="765B215D" w14:textId="77777777" w:rsidTr="00824794">
        <w:tc>
          <w:tcPr>
            <w:tcW w:w="8771" w:type="dxa"/>
            <w:tcBorders>
              <w:top w:val="nil"/>
              <w:left w:val="nil"/>
              <w:bottom w:val="nil"/>
              <w:right w:val="nil"/>
            </w:tcBorders>
            <w:shd w:val="clear" w:color="auto" w:fill="auto"/>
          </w:tcPr>
          <w:p w14:paraId="54E1D2A7" w14:textId="54A4FA14" w:rsidR="00FC61D6" w:rsidRPr="00176D3F" w:rsidRDefault="00FC61D6" w:rsidP="00824794">
            <w:pPr>
              <w:pStyle w:val="Source"/>
            </w:pPr>
            <w:r>
              <w:rPr>
                <w:i/>
              </w:rPr>
              <w:t>S</w:t>
            </w:r>
            <w:r w:rsidRPr="00784A05">
              <w:rPr>
                <w:i/>
              </w:rPr>
              <w:t>ource</w:t>
            </w:r>
            <w:r w:rsidRPr="00176D3F">
              <w:t xml:space="preserve">: </w:t>
            </w:r>
            <w:r>
              <w:t xml:space="preserve">Australian Government </w:t>
            </w:r>
            <w:r w:rsidRPr="00384983">
              <w:rPr>
                <w:rFonts w:cs="Arial"/>
              </w:rPr>
              <w:t>(2013b)</w:t>
            </w:r>
            <w:r>
              <w:t>.</w:t>
            </w:r>
          </w:p>
        </w:tc>
      </w:tr>
      <w:tr w:rsidR="00FC61D6" w14:paraId="453A7049" w14:textId="77777777" w:rsidTr="00824794">
        <w:tc>
          <w:tcPr>
            <w:tcW w:w="8771" w:type="dxa"/>
            <w:tcBorders>
              <w:top w:val="nil"/>
              <w:left w:val="nil"/>
              <w:bottom w:val="single" w:sz="6" w:space="0" w:color="78A22F"/>
              <w:right w:val="nil"/>
            </w:tcBorders>
            <w:shd w:val="clear" w:color="auto" w:fill="auto"/>
          </w:tcPr>
          <w:p w14:paraId="211BDEAE" w14:textId="77777777" w:rsidR="00FC61D6" w:rsidRDefault="00FC61D6" w:rsidP="00824794">
            <w:pPr>
              <w:pStyle w:val="Figurespace"/>
            </w:pPr>
          </w:p>
        </w:tc>
      </w:tr>
      <w:tr w:rsidR="00FC61D6" w:rsidRPr="000863A5" w14:paraId="0775ADD1" w14:textId="77777777" w:rsidTr="00824794">
        <w:tc>
          <w:tcPr>
            <w:tcW w:w="8771" w:type="dxa"/>
            <w:tcBorders>
              <w:top w:val="single" w:sz="6" w:space="0" w:color="78A22F"/>
              <w:left w:val="nil"/>
              <w:bottom w:val="nil"/>
              <w:right w:val="nil"/>
            </w:tcBorders>
          </w:tcPr>
          <w:p w14:paraId="6DF26766" w14:textId="25EDE521" w:rsidR="00FC61D6" w:rsidRPr="00626D32" w:rsidRDefault="00FC61D6" w:rsidP="00824794">
            <w:pPr>
              <w:pStyle w:val="BoxSpaceBelow"/>
            </w:pPr>
          </w:p>
        </w:tc>
      </w:tr>
    </w:tbl>
    <w:p w14:paraId="13A107EC" w14:textId="239BE7D2" w:rsidR="00DC28F0" w:rsidRPr="007C7F4F" w:rsidRDefault="00DC28F0" w:rsidP="00DC28F0">
      <w:pPr>
        <w:pStyle w:val="BodyText"/>
        <w:keepNext/>
      </w:pPr>
      <w:bookmarkStart w:id="68" w:name="_Toc406773290"/>
      <w:r>
        <w:t>There are</w:t>
      </w:r>
      <w:r w:rsidRPr="007C7F4F">
        <w:t xml:space="preserve"> also two </w:t>
      </w:r>
      <w:r>
        <w:t>measures</w:t>
      </w:r>
      <w:r w:rsidRPr="007C7F4F">
        <w:t xml:space="preserve"> to quarantine </w:t>
      </w:r>
      <w:r>
        <w:t>goods</w:t>
      </w:r>
      <w:r>
        <w:noBreakHyphen/>
        <w:t xml:space="preserve">related </w:t>
      </w:r>
      <w:r w:rsidRPr="007C7F4F">
        <w:t>laws from the MRA and TTMRA:</w:t>
      </w:r>
    </w:p>
    <w:p w14:paraId="23B99851" w14:textId="77777777" w:rsidR="00DC28F0" w:rsidRPr="004B3FB6" w:rsidRDefault="00DC28F0" w:rsidP="00DC28F0">
      <w:pPr>
        <w:pStyle w:val="ListBullet"/>
      </w:pPr>
      <w:r>
        <w:rPr>
          <w:i/>
        </w:rPr>
        <w:t>e</w:t>
      </w:r>
      <w:r w:rsidRPr="004B3FB6">
        <w:rPr>
          <w:i/>
        </w:rPr>
        <w:t>xceptions</w:t>
      </w:r>
      <w:r w:rsidRPr="004B3FB6">
        <w:t xml:space="preserve"> — these are laws the jurisdictions consider to be outside the intended scope of the MRA and TTMRA</w:t>
      </w:r>
      <w:r>
        <w:t>,</w:t>
      </w:r>
      <w:r w:rsidRPr="004B3FB6">
        <w:t xml:space="preserve"> includ</w:t>
      </w:r>
      <w:r>
        <w:t>ing</w:t>
      </w:r>
      <w:r w:rsidRPr="004B3FB6">
        <w:t xml:space="preserve"> laws relating to how goods are sold</w:t>
      </w:r>
    </w:p>
    <w:p w14:paraId="22151C04" w14:textId="77777777" w:rsidR="00DC28F0" w:rsidRDefault="00DC28F0" w:rsidP="00DC28F0">
      <w:pPr>
        <w:pStyle w:val="ListBullet"/>
      </w:pPr>
      <w:r>
        <w:rPr>
          <w:i/>
        </w:rPr>
        <w:t>e</w:t>
      </w:r>
      <w:r w:rsidRPr="007C7F4F">
        <w:rPr>
          <w:i/>
        </w:rPr>
        <w:t>xclusions</w:t>
      </w:r>
      <w:r w:rsidRPr="007C7F4F">
        <w:t xml:space="preserve"> (TTMRA only) — </w:t>
      </w:r>
      <w:r>
        <w:t xml:space="preserve">these are </w:t>
      </w:r>
      <w:r w:rsidRPr="007C7F4F">
        <w:t>used to exclude laws relating to the sale of goods that essentially relate to the sovereign rights of nation states, such as customs controls and taxation.</w:t>
      </w:r>
    </w:p>
    <w:p w14:paraId="1EE08EF6" w14:textId="77777777" w:rsidR="00DC28F0" w:rsidRPr="007C7F4F" w:rsidRDefault="00DC28F0" w:rsidP="00DC28F0">
      <w:pPr>
        <w:pStyle w:val="BodyText"/>
      </w:pPr>
      <w:r>
        <w:t>The Commission will be considering the case for having the above measures.</w:t>
      </w:r>
    </w:p>
    <w:p w14:paraId="27D92E1D" w14:textId="77777777" w:rsidR="00DC28F0" w:rsidRPr="0016209E" w:rsidRDefault="00DC28F0" w:rsidP="00DC28F0">
      <w:pPr>
        <w:pStyle w:val="Questionindented"/>
      </w:pPr>
      <w:r>
        <w:t>Are there areas where changes to</w:t>
      </w:r>
      <w:r w:rsidRPr="0016209E">
        <w:t xml:space="preserve"> the current architecture of the MRA and TTMRA for goods exemptions, exceptions and exclusions </w:t>
      </w:r>
      <w:r>
        <w:t>are warranted</w:t>
      </w:r>
      <w:r w:rsidRPr="0016209E">
        <w:t>? If so, where and why?</w:t>
      </w:r>
    </w:p>
    <w:p w14:paraId="51CAD198" w14:textId="77777777" w:rsidR="00DC28F0" w:rsidRPr="00D31F16" w:rsidRDefault="00DC28F0" w:rsidP="00DC28F0">
      <w:pPr>
        <w:pStyle w:val="Questionindented"/>
      </w:pPr>
      <w:r w:rsidRPr="0016209E">
        <w:t>How significant would the impact of your proposed changes be on the efficiency and effectiveness of the MRA and TTMRA? What would be the costs of such changes?</w:t>
      </w:r>
    </w:p>
    <w:p w14:paraId="79DBC94F" w14:textId="76266763" w:rsidR="005C4D27" w:rsidRDefault="004E0DA3" w:rsidP="005C4D27">
      <w:pPr>
        <w:pStyle w:val="Heading3"/>
      </w:pPr>
      <w:r>
        <w:lastRenderedPageBreak/>
        <w:t>Goods subject to p</w:t>
      </w:r>
      <w:r w:rsidR="005C4D27">
        <w:t>ermanent e</w:t>
      </w:r>
      <w:r w:rsidR="005C4D27" w:rsidRPr="0067585A">
        <w:t>xemption</w:t>
      </w:r>
      <w:bookmarkEnd w:id="68"/>
      <w:r w:rsidR="00CC1197">
        <w:t>s</w:t>
      </w:r>
    </w:p>
    <w:p w14:paraId="1BA9161F" w14:textId="21057071" w:rsidR="00824794" w:rsidRDefault="00824794" w:rsidP="00823E45">
      <w:pPr>
        <w:pStyle w:val="BodyText"/>
      </w:pPr>
      <w:r>
        <w:t xml:space="preserve">Among the current permanent exemptions, there are </w:t>
      </w:r>
      <w:r w:rsidR="008F4F7F">
        <w:t>four</w:t>
      </w:r>
      <w:r w:rsidR="00C66B13">
        <w:t xml:space="preserve"> </w:t>
      </w:r>
      <w:r>
        <w:t xml:space="preserve">areas where the Commission had </w:t>
      </w:r>
      <w:r w:rsidR="0029623E">
        <w:t xml:space="preserve">in its 2009 review </w:t>
      </w:r>
      <w:r w:rsidR="00043E81">
        <w:t xml:space="preserve">supported </w:t>
      </w:r>
      <w:r>
        <w:t xml:space="preserve">an expansion of </w:t>
      </w:r>
      <w:r w:rsidR="00B6767C">
        <w:t>mutual recognition</w:t>
      </w:r>
      <w:r>
        <w:t>:</w:t>
      </w:r>
    </w:p>
    <w:p w14:paraId="0B1BB2CB" w14:textId="545EB176" w:rsidR="00824794" w:rsidRDefault="00824794" w:rsidP="00824794">
      <w:pPr>
        <w:pStyle w:val="ListBullet"/>
      </w:pPr>
      <w:r w:rsidRPr="00824794">
        <w:t>risk</w:t>
      </w:r>
      <w:r w:rsidR="00AC10D4">
        <w:noBreakHyphen/>
      </w:r>
      <w:r w:rsidRPr="00824794">
        <w:t xml:space="preserve">categorised foods </w:t>
      </w:r>
      <w:r w:rsidR="00C21161">
        <w:t>(TTMRA)</w:t>
      </w:r>
    </w:p>
    <w:p w14:paraId="0493F606" w14:textId="5A0C3E4A" w:rsidR="00824794" w:rsidRPr="00C66B13" w:rsidRDefault="00824794" w:rsidP="00824794">
      <w:pPr>
        <w:pStyle w:val="ListBullet"/>
      </w:pPr>
      <w:r w:rsidRPr="00C66B13">
        <w:t>ozone</w:t>
      </w:r>
      <w:r w:rsidR="00AC10D4">
        <w:noBreakHyphen/>
      </w:r>
      <w:r w:rsidRPr="00C66B13">
        <w:t>protection legislation</w:t>
      </w:r>
      <w:r w:rsidR="00C21161" w:rsidRPr="00C66B13">
        <w:t xml:space="preserve"> (MRA and TTMRA)</w:t>
      </w:r>
    </w:p>
    <w:p w14:paraId="2432DEFD" w14:textId="74D1DB44" w:rsidR="00D0222B" w:rsidRPr="00D31F16" w:rsidRDefault="0029623E" w:rsidP="0029623E">
      <w:pPr>
        <w:pStyle w:val="ListBullet"/>
      </w:pPr>
      <w:r w:rsidRPr="005C2776">
        <w:t>road vehicles</w:t>
      </w:r>
      <w:r w:rsidR="00C21161">
        <w:t xml:space="preserve"> (TTMRA)</w:t>
      </w:r>
    </w:p>
    <w:p w14:paraId="3B104BE0" w14:textId="4FBA0461" w:rsidR="00824794" w:rsidRPr="00586332" w:rsidRDefault="002402BC" w:rsidP="00D0222B">
      <w:pPr>
        <w:pStyle w:val="ListBullet"/>
      </w:pPr>
      <w:proofErr w:type="spellStart"/>
      <w:r>
        <w:t>radio</w:t>
      </w:r>
      <w:r w:rsidR="0029623E" w:rsidRPr="005C2776">
        <w:t>communication</w:t>
      </w:r>
      <w:proofErr w:type="spellEnd"/>
      <w:r w:rsidR="0029623E" w:rsidRPr="005C2776">
        <w:t xml:space="preserve"> devices</w:t>
      </w:r>
      <w:r w:rsidR="00AB51DD">
        <w:t>,</w:t>
      </w:r>
      <w:r w:rsidR="00C21161">
        <w:t xml:space="preserve"> </w:t>
      </w:r>
      <w:r w:rsidR="00EB5D69">
        <w:t xml:space="preserve">where spectrum allocation </w:t>
      </w:r>
      <w:r w:rsidR="00D82DE8">
        <w:t>c</w:t>
      </w:r>
      <w:r w:rsidR="00951802">
        <w:t>an</w:t>
      </w:r>
      <w:r w:rsidR="00D82DE8">
        <w:t xml:space="preserve"> be</w:t>
      </w:r>
      <w:r w:rsidR="00A415B8">
        <w:t xml:space="preserve"> harmonised </w:t>
      </w:r>
      <w:r w:rsidR="00C21161">
        <w:t>(TTMRA)</w:t>
      </w:r>
      <w:r w:rsidR="00D0222B">
        <w:t>.</w:t>
      </w:r>
    </w:p>
    <w:p w14:paraId="5FFF4FDC" w14:textId="3132CA48" w:rsidR="00CC1B0B" w:rsidRDefault="00596253" w:rsidP="00CC1B0B">
      <w:pPr>
        <w:pStyle w:val="BodyText"/>
      </w:pPr>
      <w:r>
        <w:t>In response, governments</w:t>
      </w:r>
      <w:r w:rsidRPr="005865D7">
        <w:t xml:space="preserve"> </w:t>
      </w:r>
      <w:r>
        <w:t xml:space="preserve">narrowed the exemption for </w:t>
      </w:r>
      <w:r w:rsidR="00693DEB" w:rsidRPr="00824794">
        <w:t>risk</w:t>
      </w:r>
      <w:r w:rsidR="00AC10D4">
        <w:noBreakHyphen/>
      </w:r>
      <w:r w:rsidR="00693DEB" w:rsidRPr="00824794">
        <w:t xml:space="preserve">categorised </w:t>
      </w:r>
      <w:r w:rsidRPr="005865D7">
        <w:t xml:space="preserve">foods </w:t>
      </w:r>
      <w:r w:rsidR="00C21161">
        <w:t xml:space="preserve">to </w:t>
      </w:r>
      <w:r w:rsidR="00802192">
        <w:t xml:space="preserve">only </w:t>
      </w:r>
      <w:r w:rsidR="00C21161">
        <w:t>products where</w:t>
      </w:r>
      <w:r w:rsidR="00C21161" w:rsidRPr="005865D7">
        <w:t xml:space="preserve"> </w:t>
      </w:r>
      <w:r w:rsidR="00C21161">
        <w:t xml:space="preserve">they considered mutual recognition </w:t>
      </w:r>
      <w:r w:rsidR="00CC1B0B" w:rsidRPr="005865D7">
        <w:t>between Australia and New Zealand</w:t>
      </w:r>
      <w:r w:rsidR="00CC1B0B">
        <w:t xml:space="preserve"> </w:t>
      </w:r>
      <w:r w:rsidR="00C21161">
        <w:t>was</w:t>
      </w:r>
      <w:r w:rsidR="00C21161" w:rsidRPr="005865D7">
        <w:t xml:space="preserve"> unlikely to be </w:t>
      </w:r>
      <w:r w:rsidR="00C21161">
        <w:t>achievable</w:t>
      </w:r>
      <w:r w:rsidR="00C21161" w:rsidRPr="005865D7">
        <w:t xml:space="preserve"> </w:t>
      </w:r>
      <w:r w:rsidR="009D75C2" w:rsidRPr="009D75C2">
        <w:rPr>
          <w:szCs w:val="24"/>
        </w:rPr>
        <w:t>(CJRF 2014)</w:t>
      </w:r>
      <w:r w:rsidR="00C21161">
        <w:t>. Governments also support</w:t>
      </w:r>
      <w:r w:rsidR="00CC1B0B">
        <w:t>ed</w:t>
      </w:r>
      <w:r w:rsidR="00C21161">
        <w:t xml:space="preserve"> </w:t>
      </w:r>
      <w:r w:rsidR="002F5ED4">
        <w:t>removing</w:t>
      </w:r>
      <w:r>
        <w:t xml:space="preserve"> </w:t>
      </w:r>
      <w:r w:rsidR="002F5ED4">
        <w:t>the exemption of</w:t>
      </w:r>
      <w:r>
        <w:t xml:space="preserve"> </w:t>
      </w:r>
      <w:r w:rsidRPr="00596253">
        <w:t>ozone</w:t>
      </w:r>
      <w:r w:rsidR="00AC10D4">
        <w:noBreakHyphen/>
      </w:r>
      <w:r w:rsidRPr="00596253">
        <w:t>protection legislation</w:t>
      </w:r>
      <w:r>
        <w:t xml:space="preserve"> </w:t>
      </w:r>
      <w:r w:rsidR="002F5ED4">
        <w:t xml:space="preserve">from the MRA, </w:t>
      </w:r>
      <w:r>
        <w:t xml:space="preserve">following </w:t>
      </w:r>
      <w:r w:rsidRPr="00F06E52">
        <w:t>completion of phase</w:t>
      </w:r>
      <w:r w:rsidR="00AC10D4">
        <w:noBreakHyphen/>
      </w:r>
      <w:r w:rsidRPr="00F06E52">
        <w:t>out plans</w:t>
      </w:r>
      <w:r>
        <w:t xml:space="preserve"> </w:t>
      </w:r>
      <w:r w:rsidR="00807C2A">
        <w:t>for ozone</w:t>
      </w:r>
      <w:r w:rsidR="00AC10D4">
        <w:noBreakHyphen/>
      </w:r>
      <w:r w:rsidR="00807C2A" w:rsidRPr="006A1902">
        <w:t xml:space="preserve">depleting substances </w:t>
      </w:r>
      <w:r>
        <w:t>within Australia.</w:t>
      </w:r>
      <w:r w:rsidR="00CC1B0B">
        <w:t xml:space="preserve"> However, removal of the equivalent exemption from the TTMRA was not supported</w:t>
      </w:r>
      <w:r w:rsidR="00807C2A">
        <w:t xml:space="preserve"> </w:t>
      </w:r>
      <w:r w:rsidR="00827207">
        <w:t xml:space="preserve">because </w:t>
      </w:r>
      <w:r w:rsidR="00827207" w:rsidRPr="006A1902">
        <w:t xml:space="preserve">Australia and New Zealand </w:t>
      </w:r>
      <w:r w:rsidR="00827207">
        <w:t>a</w:t>
      </w:r>
      <w:r w:rsidR="00827207" w:rsidRPr="006A1902">
        <w:t>re committed to different phase</w:t>
      </w:r>
      <w:r w:rsidR="00AC10D4">
        <w:noBreakHyphen/>
      </w:r>
      <w:r w:rsidR="00827207" w:rsidRPr="006A1902">
        <w:t>out schedules</w:t>
      </w:r>
      <w:r w:rsidR="00827207">
        <w:t xml:space="preserve"> for ozone</w:t>
      </w:r>
      <w:r w:rsidR="00AC10D4">
        <w:noBreakHyphen/>
      </w:r>
      <w:r w:rsidR="00827207" w:rsidRPr="006A1902">
        <w:t>depleting substances</w:t>
      </w:r>
      <w:r w:rsidR="00827207">
        <w:t>.</w:t>
      </w:r>
    </w:p>
    <w:p w14:paraId="1B165ABA" w14:textId="2BEF8D36" w:rsidR="00913BB4" w:rsidRPr="009071B3" w:rsidRDefault="00913BB4" w:rsidP="009071B3">
      <w:pPr>
        <w:pStyle w:val="Questionindented"/>
      </w:pPr>
      <w:r w:rsidRPr="009071B3">
        <w:t xml:space="preserve">Is there scope to </w:t>
      </w:r>
      <w:r w:rsidR="00A7393D">
        <w:t xml:space="preserve">further </w:t>
      </w:r>
      <w:r w:rsidR="000A0348">
        <w:t>expand</w:t>
      </w:r>
      <w:r w:rsidR="0092377C">
        <w:t xml:space="preserve"> </w:t>
      </w:r>
      <w:r w:rsidR="00A7393D">
        <w:t xml:space="preserve">the coverage of </w:t>
      </w:r>
      <w:r w:rsidRPr="009071B3">
        <w:t>risk</w:t>
      </w:r>
      <w:r w:rsidR="00AC10D4">
        <w:noBreakHyphen/>
      </w:r>
      <w:r w:rsidR="00A7393D">
        <w:t xml:space="preserve">categorised </w:t>
      </w:r>
      <w:r w:rsidRPr="009071B3">
        <w:t>food</w:t>
      </w:r>
      <w:r w:rsidR="00A7393D">
        <w:t>s</w:t>
      </w:r>
      <w:r w:rsidRPr="009071B3">
        <w:t>?</w:t>
      </w:r>
      <w:r w:rsidR="0060030C" w:rsidRPr="009071B3">
        <w:t xml:space="preserve"> </w:t>
      </w:r>
      <w:r w:rsidR="00A7393D" w:rsidRPr="009071B3">
        <w:t>What would be the costs and benefits of doing so?</w:t>
      </w:r>
      <w:r w:rsidR="00A7393D">
        <w:t xml:space="preserve"> </w:t>
      </w:r>
      <w:r w:rsidR="0060030C" w:rsidRPr="009071B3">
        <w:t xml:space="preserve">Are there </w:t>
      </w:r>
      <w:r w:rsidR="00FF206A">
        <w:t>particular goods</w:t>
      </w:r>
      <w:r w:rsidR="0060030C" w:rsidRPr="009071B3">
        <w:t xml:space="preserve"> that should be given priority?</w:t>
      </w:r>
      <w:r w:rsidRPr="009071B3">
        <w:t xml:space="preserve"> </w:t>
      </w:r>
    </w:p>
    <w:p w14:paraId="31EAB3DD" w14:textId="62845C58" w:rsidR="002830F0" w:rsidRPr="005E67E6" w:rsidRDefault="00C4599C" w:rsidP="005E67E6">
      <w:pPr>
        <w:pStyle w:val="Questionindented"/>
      </w:pPr>
      <w:r w:rsidRPr="005E67E6">
        <w:t>Is the removal of the exemption of ozone</w:t>
      </w:r>
      <w:r w:rsidR="00AC10D4">
        <w:noBreakHyphen/>
      </w:r>
      <w:r w:rsidRPr="005E67E6">
        <w:t xml:space="preserve">protection legislation from the MRA but not the TTMRA </w:t>
      </w:r>
      <w:r w:rsidR="00556C35">
        <w:t>still justified</w:t>
      </w:r>
      <w:r w:rsidRPr="005E67E6">
        <w:t>?</w:t>
      </w:r>
      <w:r w:rsidR="00FE7B83" w:rsidRPr="005E67E6">
        <w:t xml:space="preserve"> How can a similar outcome be achieved for the TTMRA?</w:t>
      </w:r>
    </w:p>
    <w:p w14:paraId="7E63D83D" w14:textId="47C4F006" w:rsidR="00CF12E5" w:rsidRPr="0015249F" w:rsidRDefault="00776D8F" w:rsidP="003D589F">
      <w:pPr>
        <w:pStyle w:val="BodyText"/>
      </w:pPr>
      <w:r>
        <w:t xml:space="preserve">Governments decided not to bring </w:t>
      </w:r>
      <w:r w:rsidR="003A1EF0">
        <w:t xml:space="preserve">road vehicles and </w:t>
      </w:r>
      <w:proofErr w:type="spellStart"/>
      <w:r w:rsidR="002402BC">
        <w:t>radio</w:t>
      </w:r>
      <w:r w:rsidR="003A1EF0" w:rsidRPr="005C2776">
        <w:t>communication</w:t>
      </w:r>
      <w:proofErr w:type="spellEnd"/>
      <w:r w:rsidR="003A1EF0" w:rsidRPr="005C2776">
        <w:t xml:space="preserve"> devices</w:t>
      </w:r>
      <w:r w:rsidR="00EB5D69">
        <w:t xml:space="preserve"> within the </w:t>
      </w:r>
      <w:r w:rsidR="003D589F">
        <w:t>coverage of the TTMRA.</w:t>
      </w:r>
      <w:r w:rsidR="000B59EF">
        <w:t xml:space="preserve"> </w:t>
      </w:r>
      <w:r w:rsidR="00CF12E5">
        <w:t xml:space="preserve">At the time of the 2009 review, these </w:t>
      </w:r>
      <w:r w:rsidR="007D0EAE">
        <w:t xml:space="preserve">goods </w:t>
      </w:r>
      <w:r w:rsidR="00CF12E5">
        <w:t xml:space="preserve">were </w:t>
      </w:r>
      <w:r w:rsidR="007D0EAE">
        <w:t xml:space="preserve">classified as </w:t>
      </w:r>
      <w:r w:rsidR="00CF12E5">
        <w:t>special exemptions</w:t>
      </w:r>
      <w:r w:rsidR="007D0EAE">
        <w:t>,</w:t>
      </w:r>
      <w:r w:rsidR="00CF12E5">
        <w:t xml:space="preserve"> with associated </w:t>
      </w:r>
      <w:r w:rsidR="007D0EAE">
        <w:t xml:space="preserve">intergovernmental </w:t>
      </w:r>
      <w:r w:rsidR="00CF12E5">
        <w:t>work programs to identify o</w:t>
      </w:r>
      <w:r w:rsidR="007D0EAE">
        <w:t>pp</w:t>
      </w:r>
      <w:r w:rsidR="00CF12E5">
        <w:t>ortunities for greater integration.</w:t>
      </w:r>
      <w:r w:rsidR="007D0EAE">
        <w:t xml:space="preserve"> </w:t>
      </w:r>
      <w:r w:rsidR="007F13AD">
        <w:t>Shortly after the review</w:t>
      </w:r>
      <w:r w:rsidR="007D0EAE">
        <w:t xml:space="preserve">, </w:t>
      </w:r>
      <w:r w:rsidR="002F5ED4">
        <w:t>governments</w:t>
      </w:r>
      <w:r w:rsidR="00B74628">
        <w:t xml:space="preserve"> reclassified </w:t>
      </w:r>
      <w:r w:rsidR="002F5ED4">
        <w:t xml:space="preserve">them </w:t>
      </w:r>
      <w:r w:rsidR="00B74628">
        <w:t xml:space="preserve">as </w:t>
      </w:r>
      <w:r w:rsidR="007D0EAE">
        <w:t xml:space="preserve">permanent exemptions </w:t>
      </w:r>
      <w:r w:rsidR="00131031">
        <w:t xml:space="preserve">and </w:t>
      </w:r>
      <w:r w:rsidR="005B4D05">
        <w:t xml:space="preserve">ceased </w:t>
      </w:r>
      <w:r w:rsidR="00131031">
        <w:t>the associated work programs</w:t>
      </w:r>
      <w:r w:rsidR="00F3789A">
        <w:t xml:space="preserve">. </w:t>
      </w:r>
    </w:p>
    <w:p w14:paraId="65F9B56B" w14:textId="61B9C1FD" w:rsidR="00EB5D69" w:rsidRPr="003D179D" w:rsidRDefault="00DE6509" w:rsidP="003D179D">
      <w:pPr>
        <w:pStyle w:val="BodyText"/>
      </w:pPr>
      <w:r>
        <w:t xml:space="preserve">This shift from special to permanent exemptions was made on the grounds that </w:t>
      </w:r>
      <w:r w:rsidRPr="00DE6509">
        <w:t xml:space="preserve">regulatory harmonisation </w:t>
      </w:r>
      <w:r w:rsidR="00D82DE8">
        <w:t>wa</w:t>
      </w:r>
      <w:r w:rsidRPr="00DE6509">
        <w:t xml:space="preserve">s </w:t>
      </w:r>
      <w:r w:rsidR="00D82DE8">
        <w:t xml:space="preserve">not </w:t>
      </w:r>
      <w:r w:rsidRPr="00DE6509">
        <w:t>realistically achievable</w:t>
      </w:r>
      <w:r>
        <w:t xml:space="preserve">. </w:t>
      </w:r>
      <w:r w:rsidR="000C7690">
        <w:t>Another</w:t>
      </w:r>
      <w:r w:rsidR="008878B0">
        <w:t xml:space="preserve"> likely</w:t>
      </w:r>
      <w:r w:rsidR="000C7690">
        <w:t xml:space="preserve"> factor </w:t>
      </w:r>
      <w:r w:rsidR="008878B0">
        <w:t xml:space="preserve">was </w:t>
      </w:r>
      <w:r w:rsidR="000C7690">
        <w:t xml:space="preserve">the administrative costs associated with the </w:t>
      </w:r>
      <w:r w:rsidR="002D180D">
        <w:t>special exemption</w:t>
      </w:r>
      <w:r w:rsidR="000C7690">
        <w:t xml:space="preserve"> process</w:t>
      </w:r>
      <w:r w:rsidR="002D180D">
        <w:t xml:space="preserve"> (discussed below). </w:t>
      </w:r>
      <w:r w:rsidR="007B7869">
        <w:t>For</w:t>
      </w:r>
      <w:r>
        <w:t xml:space="preserve"> </w:t>
      </w:r>
      <w:proofErr w:type="spellStart"/>
      <w:r>
        <w:t>radiocommunication</w:t>
      </w:r>
      <w:proofErr w:type="spellEnd"/>
      <w:r>
        <w:t xml:space="preserve"> devices, </w:t>
      </w:r>
      <w:r w:rsidR="00753034">
        <w:t>governments</w:t>
      </w:r>
      <w:r w:rsidR="003D179D" w:rsidRPr="003D179D">
        <w:t xml:space="preserve"> </w:t>
      </w:r>
      <w:r>
        <w:t xml:space="preserve">also </w:t>
      </w:r>
      <w:r w:rsidR="003D179D" w:rsidRPr="003D179D">
        <w:t>note</w:t>
      </w:r>
      <w:r w:rsidR="00753034">
        <w:t>d</w:t>
      </w:r>
      <w:r w:rsidR="003D179D" w:rsidRPr="003D179D">
        <w:t xml:space="preserve"> that </w:t>
      </w:r>
      <w:r w:rsidR="007C2144">
        <w:t xml:space="preserve">there </w:t>
      </w:r>
      <w:r w:rsidR="007739F8">
        <w:t>were ‘</w:t>
      </w:r>
      <w:r w:rsidR="003D179D" w:rsidRPr="003D179D">
        <w:t>adequate alternative mechanisms in place to facilitate further efforts to align regulatory approaches</w:t>
      </w:r>
      <w:r>
        <w:t>’</w:t>
      </w:r>
      <w:r w:rsidR="003D179D" w:rsidRPr="003D179D">
        <w:t xml:space="preserve"> </w:t>
      </w:r>
      <w:r w:rsidR="000341FC" w:rsidRPr="000341FC">
        <w:rPr>
          <w:szCs w:val="24"/>
        </w:rPr>
        <w:t>(CJRF 2014, p. 18)</w:t>
      </w:r>
      <w:r w:rsidR="003D179D" w:rsidRPr="003D179D">
        <w:t xml:space="preserve">. </w:t>
      </w:r>
    </w:p>
    <w:p w14:paraId="05A98B82" w14:textId="1214848A" w:rsidR="00EC6330" w:rsidRPr="00EC6330" w:rsidRDefault="007B7869" w:rsidP="001069FB">
      <w:pPr>
        <w:pStyle w:val="BodyText"/>
      </w:pPr>
      <w:r w:rsidRPr="00EC6330">
        <w:t>In the case of road vehicles, t</w:t>
      </w:r>
      <w:r w:rsidR="00A86E45" w:rsidRPr="00EC6330">
        <w:t xml:space="preserve">he 2009 review </w:t>
      </w:r>
      <w:r w:rsidRPr="00EC6330">
        <w:t>had</w:t>
      </w:r>
      <w:r w:rsidR="00A86E45" w:rsidRPr="00EC6330">
        <w:t xml:space="preserve"> identified an opportunity for Australia and New Zealand to harmonise </w:t>
      </w:r>
      <w:r w:rsidR="005F661C" w:rsidRPr="00EC6330">
        <w:t xml:space="preserve">road </w:t>
      </w:r>
      <w:r w:rsidR="00A86E45" w:rsidRPr="00EC6330">
        <w:t>vehicle standards in advance of, and in some cases to a greater extent than, what was expected to eventually be achieved at a global level.</w:t>
      </w:r>
      <w:r w:rsidR="00986DE2" w:rsidRPr="003E6C5D">
        <w:rPr>
          <w:rStyle w:val="FootnoteReference"/>
        </w:rPr>
        <w:footnoteReference w:id="3"/>
      </w:r>
      <w:r w:rsidR="005F661C" w:rsidRPr="00EC6330">
        <w:t xml:space="preserve"> The </w:t>
      </w:r>
      <w:r w:rsidR="005F661C" w:rsidRPr="00EC6330">
        <w:lastRenderedPageBreak/>
        <w:t xml:space="preserve">Commission’s subsequent inquiry on the automotive industry </w:t>
      </w:r>
      <w:r w:rsidR="00EC6330" w:rsidRPr="00EC6330">
        <w:t>recommended</w:t>
      </w:r>
      <w:r w:rsidR="00EC6330">
        <w:t xml:space="preserve"> that the Australian Government accelerate its harmonisation with global vehicle standards and the mutual recognition of other vehicle standards</w:t>
      </w:r>
      <w:r w:rsidR="00461A11">
        <w:t xml:space="preserve"> </w:t>
      </w:r>
      <w:r w:rsidR="002556DA" w:rsidRPr="002556DA">
        <w:rPr>
          <w:szCs w:val="24"/>
        </w:rPr>
        <w:t>(PC 2014)</w:t>
      </w:r>
      <w:r w:rsidR="00EC6330">
        <w:t>.</w:t>
      </w:r>
    </w:p>
    <w:p w14:paraId="42F13343" w14:textId="3C61773E" w:rsidR="0068326A" w:rsidRPr="0023163C" w:rsidRDefault="0023163C" w:rsidP="00EC1CC0">
      <w:pPr>
        <w:pStyle w:val="Questionindented"/>
        <w:rPr>
          <w:i w:val="0"/>
        </w:rPr>
      </w:pPr>
      <w:r>
        <w:t xml:space="preserve">What are the costs and benefits of maintaining the permanent exemption for </w:t>
      </w:r>
      <w:r w:rsidR="00902B2B">
        <w:t xml:space="preserve">road vehicles and </w:t>
      </w:r>
      <w:proofErr w:type="spellStart"/>
      <w:r w:rsidR="00902B2B">
        <w:t>radio</w:t>
      </w:r>
      <w:r w:rsidR="00902B2B" w:rsidRPr="005C2776">
        <w:t>communication</w:t>
      </w:r>
      <w:proofErr w:type="spellEnd"/>
      <w:r w:rsidR="00902B2B" w:rsidRPr="005C2776">
        <w:t xml:space="preserve"> devices</w:t>
      </w:r>
      <w:r>
        <w:t xml:space="preserve">? </w:t>
      </w:r>
    </w:p>
    <w:p w14:paraId="7D9FA8C0" w14:textId="1D69CDB2" w:rsidR="00480BF7" w:rsidRPr="00ED5472" w:rsidRDefault="000E1C87" w:rsidP="00EC1CC0">
      <w:pPr>
        <w:pStyle w:val="Questionindented"/>
        <w:rPr>
          <w:i w:val="0"/>
        </w:rPr>
      </w:pPr>
      <w:r>
        <w:t xml:space="preserve">What are the barriers </w:t>
      </w:r>
      <w:r w:rsidR="00C25D30">
        <w:t>to</w:t>
      </w:r>
      <w:r w:rsidRPr="00E47355">
        <w:t xml:space="preserve"> Australia and New Zealand achieving mutual recognition </w:t>
      </w:r>
      <w:r w:rsidR="00ED5472">
        <w:t xml:space="preserve">or harmonisation </w:t>
      </w:r>
      <w:r w:rsidR="00C25D30">
        <w:t xml:space="preserve">for </w:t>
      </w:r>
      <w:r w:rsidRPr="00E47355">
        <w:t xml:space="preserve">road vehicles and </w:t>
      </w:r>
      <w:proofErr w:type="spellStart"/>
      <w:r w:rsidRPr="00E47355">
        <w:t>radiocommunication</w:t>
      </w:r>
      <w:proofErr w:type="spellEnd"/>
      <w:r w:rsidRPr="00E47355">
        <w:t xml:space="preserve"> devices? </w:t>
      </w:r>
      <w:r w:rsidR="0070608E">
        <w:t>How c</w:t>
      </w:r>
      <w:r w:rsidRPr="00E47355">
        <w:t>an these barriers be addressed?</w:t>
      </w:r>
    </w:p>
    <w:p w14:paraId="5693FB35" w14:textId="533D4BF5" w:rsidR="00185287" w:rsidRPr="00185287" w:rsidRDefault="003E39D6" w:rsidP="002D5F33">
      <w:pPr>
        <w:pStyle w:val="BodyText"/>
        <w:keepNext/>
      </w:pPr>
      <w:r>
        <w:t xml:space="preserve">The Commission will also be considering other permanent exemptions, including whether </w:t>
      </w:r>
      <w:r w:rsidR="00185287">
        <w:t xml:space="preserve">developments </w:t>
      </w:r>
      <w:r>
        <w:t>since the last review strengthen the case for removing them</w:t>
      </w:r>
      <w:r w:rsidR="00171BBD">
        <w:t>.</w:t>
      </w:r>
    </w:p>
    <w:p w14:paraId="5C316DFD" w14:textId="361E219A" w:rsidR="007B2A35" w:rsidRPr="005A15B7" w:rsidRDefault="005C4D27" w:rsidP="005A15B7">
      <w:pPr>
        <w:pStyle w:val="Questionindented"/>
      </w:pPr>
      <w:r w:rsidRPr="005A15B7">
        <w:t xml:space="preserve">Should </w:t>
      </w:r>
      <w:r w:rsidR="001F59EE">
        <w:t>other goods on the schedule subject</w:t>
      </w:r>
      <w:r w:rsidR="001F59EE" w:rsidRPr="005A15B7">
        <w:t xml:space="preserve"> </w:t>
      </w:r>
      <w:r w:rsidR="001F59EE">
        <w:t xml:space="preserve">to </w:t>
      </w:r>
      <w:r w:rsidRPr="005A15B7">
        <w:t>permanent exemption be removed? Which ones</w:t>
      </w:r>
      <w:r w:rsidR="007B2A35" w:rsidRPr="005A15B7">
        <w:t xml:space="preserve"> and why</w:t>
      </w:r>
      <w:r w:rsidRPr="005A15B7">
        <w:t xml:space="preserve">? </w:t>
      </w:r>
      <w:r w:rsidR="007B2A35" w:rsidRPr="005A15B7">
        <w:t>I</w:t>
      </w:r>
      <w:r w:rsidR="001F59EE">
        <w:t>s</w:t>
      </w:r>
      <w:r w:rsidR="007B2A35" w:rsidRPr="005A15B7">
        <w:t xml:space="preserve"> i</w:t>
      </w:r>
      <w:r w:rsidR="001F59EE">
        <w:t>t</w:t>
      </w:r>
      <w:r w:rsidR="007B2A35" w:rsidRPr="005A15B7">
        <w:t xml:space="preserve"> feasible and what would be the </w:t>
      </w:r>
      <w:r w:rsidR="00132483">
        <w:t>advantages</w:t>
      </w:r>
      <w:r w:rsidR="007B2A35" w:rsidRPr="005A15B7">
        <w:t xml:space="preserve"> and </w:t>
      </w:r>
      <w:r w:rsidR="00132483">
        <w:t>disadvantages</w:t>
      </w:r>
      <w:r w:rsidR="007B2A35" w:rsidRPr="005A15B7">
        <w:t xml:space="preserve"> of doing so?</w:t>
      </w:r>
    </w:p>
    <w:p w14:paraId="17756582" w14:textId="22DFE39F" w:rsidR="008F2573" w:rsidRDefault="00A54CCC" w:rsidP="008F2573">
      <w:pPr>
        <w:pStyle w:val="Heading3"/>
      </w:pPr>
      <w:r>
        <w:t>S</w:t>
      </w:r>
      <w:r w:rsidR="008F2573">
        <w:t>pecial exemption process</w:t>
      </w:r>
      <w:bookmarkEnd w:id="67"/>
    </w:p>
    <w:p w14:paraId="44143678" w14:textId="5AB1D23D" w:rsidR="00ED05C0" w:rsidRDefault="00DE24E1" w:rsidP="00ED46DF">
      <w:pPr>
        <w:pStyle w:val="BodyText"/>
      </w:pPr>
      <w:r>
        <w:t>The o</w:t>
      </w:r>
      <w:r w:rsidR="00523922">
        <w:t xml:space="preserve">ngoing </w:t>
      </w:r>
      <w:r w:rsidR="00B430B2">
        <w:t xml:space="preserve">administrative </w:t>
      </w:r>
      <w:r>
        <w:t xml:space="preserve">burden </w:t>
      </w:r>
      <w:r w:rsidR="00523922">
        <w:t xml:space="preserve">associated with </w:t>
      </w:r>
      <w:r w:rsidR="00B430B2">
        <w:t xml:space="preserve">the </w:t>
      </w:r>
      <w:r w:rsidR="00292CD7">
        <w:t>special exemption process</w:t>
      </w:r>
      <w:r w:rsidR="00B430B2">
        <w:t xml:space="preserve"> </w:t>
      </w:r>
      <w:r w:rsidR="003730D0">
        <w:t xml:space="preserve">for the TTMRA </w:t>
      </w:r>
      <w:r w:rsidR="00523922">
        <w:t>may partly explain why</w:t>
      </w:r>
      <w:r w:rsidR="00282049">
        <w:t xml:space="preserve"> </w:t>
      </w:r>
      <w:r w:rsidR="00B430B2">
        <w:t xml:space="preserve">governments </w:t>
      </w:r>
      <w:r w:rsidR="00523922">
        <w:t>decided to convert all remaining special exemptions to permanent ex</w:t>
      </w:r>
      <w:r w:rsidR="005B7BFA">
        <w:t>e</w:t>
      </w:r>
      <w:r w:rsidR="00523922">
        <w:t>mptions</w:t>
      </w:r>
      <w:r w:rsidR="00282049">
        <w:t xml:space="preserve"> in 2010</w:t>
      </w:r>
      <w:r w:rsidR="00523922">
        <w:t>.</w:t>
      </w:r>
      <w:r w:rsidR="008A59AF">
        <w:t xml:space="preserve"> </w:t>
      </w:r>
      <w:r w:rsidR="00FC779F">
        <w:t>In particular,</w:t>
      </w:r>
      <w:r w:rsidR="00ED05C0">
        <w:t xml:space="preserve"> special exemptions have to be renewed every 12 months, </w:t>
      </w:r>
      <w:r w:rsidR="009E1EDF">
        <w:t xml:space="preserve">and this requires </w:t>
      </w:r>
      <w:r w:rsidR="009E1EDF" w:rsidRPr="00572FF8">
        <w:rPr>
          <w:color w:val="000000"/>
        </w:rPr>
        <w:t>the agreement of no less than two</w:t>
      </w:r>
      <w:r w:rsidR="00AC10D4">
        <w:rPr>
          <w:color w:val="000000"/>
        </w:rPr>
        <w:noBreakHyphen/>
      </w:r>
      <w:r w:rsidR="009E1EDF" w:rsidRPr="00572FF8">
        <w:rPr>
          <w:color w:val="000000"/>
        </w:rPr>
        <w:t xml:space="preserve">thirds of the </w:t>
      </w:r>
      <w:r w:rsidR="008A59AF">
        <w:rPr>
          <w:color w:val="000000"/>
        </w:rPr>
        <w:t>H</w:t>
      </w:r>
      <w:r w:rsidR="009E1EDF" w:rsidRPr="00572FF8">
        <w:rPr>
          <w:color w:val="000000"/>
        </w:rPr>
        <w:t xml:space="preserve">eads of </w:t>
      </w:r>
      <w:r w:rsidR="008A59AF">
        <w:rPr>
          <w:color w:val="000000"/>
        </w:rPr>
        <w:t>G</w:t>
      </w:r>
      <w:r w:rsidR="009E1EDF" w:rsidRPr="00572FF8">
        <w:rPr>
          <w:color w:val="000000"/>
        </w:rPr>
        <w:t>overnment</w:t>
      </w:r>
      <w:r w:rsidR="009E1EDF">
        <w:rPr>
          <w:color w:val="000000"/>
        </w:rPr>
        <w:t>. To inform this decision, the relevant regulators ha</w:t>
      </w:r>
      <w:r w:rsidR="008818BC">
        <w:rPr>
          <w:color w:val="000000"/>
        </w:rPr>
        <w:t>ve</w:t>
      </w:r>
      <w:r w:rsidR="009E1EDF">
        <w:rPr>
          <w:color w:val="000000"/>
        </w:rPr>
        <w:t xml:space="preserve"> to jointly </w:t>
      </w:r>
      <w:r w:rsidR="00341D64">
        <w:rPr>
          <w:color w:val="000000"/>
        </w:rPr>
        <w:t>prepare</w:t>
      </w:r>
      <w:r w:rsidR="009E1EDF">
        <w:rPr>
          <w:color w:val="000000"/>
        </w:rPr>
        <w:t xml:space="preserve"> a</w:t>
      </w:r>
      <w:r w:rsidR="00341D64">
        <w:rPr>
          <w:color w:val="000000"/>
        </w:rPr>
        <w:t>n annual</w:t>
      </w:r>
      <w:r w:rsidR="009E1EDF">
        <w:rPr>
          <w:color w:val="000000"/>
        </w:rPr>
        <w:t xml:space="preserve"> report </w:t>
      </w:r>
      <w:r w:rsidR="00ED05C0">
        <w:t>on progress in achieving integration</w:t>
      </w:r>
      <w:r w:rsidR="00B67F91">
        <w:t>,</w:t>
      </w:r>
      <w:r w:rsidR="00ED05C0">
        <w:t xml:space="preserve"> and why </w:t>
      </w:r>
      <w:r w:rsidR="00ED05C0" w:rsidRPr="00572FF8">
        <w:rPr>
          <w:color w:val="000000"/>
        </w:rPr>
        <w:t>a further 12</w:t>
      </w:r>
      <w:r w:rsidR="00AC10D4">
        <w:rPr>
          <w:color w:val="000000"/>
        </w:rPr>
        <w:noBreakHyphen/>
      </w:r>
      <w:r w:rsidR="00ED05C0" w:rsidRPr="00572FF8">
        <w:rPr>
          <w:color w:val="000000"/>
        </w:rPr>
        <w:t>month special exemption period should be granted</w:t>
      </w:r>
      <w:r w:rsidR="00ED05C0">
        <w:rPr>
          <w:color w:val="000000"/>
        </w:rPr>
        <w:t>.</w:t>
      </w:r>
    </w:p>
    <w:p w14:paraId="126F19B9" w14:textId="3514F716" w:rsidR="003730D0" w:rsidRPr="009E709E" w:rsidRDefault="003730D0" w:rsidP="009E709E">
      <w:pPr>
        <w:pStyle w:val="Questionindented"/>
      </w:pPr>
      <w:r w:rsidRPr="009E709E">
        <w:t xml:space="preserve">Is the special exemption process </w:t>
      </w:r>
      <w:r w:rsidR="002E0511" w:rsidRPr="009E709E">
        <w:t xml:space="preserve">for goods </w:t>
      </w:r>
      <w:r w:rsidRPr="009E709E">
        <w:t xml:space="preserve">unnecessarily onerous, thereby </w:t>
      </w:r>
      <w:r w:rsidR="00231BDB" w:rsidRPr="009E709E">
        <w:t>creating</w:t>
      </w:r>
      <w:r w:rsidRPr="009E709E">
        <w:t xml:space="preserve"> unwarranted costs and discouraging efforts to </w:t>
      </w:r>
      <w:r w:rsidR="002855E5" w:rsidRPr="009E709E">
        <w:t>expand</w:t>
      </w:r>
      <w:r w:rsidRPr="009E709E">
        <w:t xml:space="preserve"> the </w:t>
      </w:r>
      <w:r w:rsidR="00E169E0" w:rsidRPr="009E709E">
        <w:t>TTMRA’s coverage</w:t>
      </w:r>
      <w:r w:rsidRPr="009E709E">
        <w:t>?</w:t>
      </w:r>
      <w:r w:rsidR="000B73E8" w:rsidRPr="009E709E">
        <w:t xml:space="preserve"> How could it be improved and what would be</w:t>
      </w:r>
      <w:r w:rsidRPr="009E709E">
        <w:t xml:space="preserve"> the </w:t>
      </w:r>
      <w:r w:rsidR="000B73E8" w:rsidRPr="009E709E">
        <w:t>costs and ben</w:t>
      </w:r>
      <w:r w:rsidR="0097023D" w:rsidRPr="009E709E">
        <w:t>e</w:t>
      </w:r>
      <w:r w:rsidR="000B73E8" w:rsidRPr="009E709E">
        <w:t>fits of doing so</w:t>
      </w:r>
      <w:r w:rsidRPr="009E709E">
        <w:t>?</w:t>
      </w:r>
    </w:p>
    <w:p w14:paraId="3A9CE6E0" w14:textId="4F385432" w:rsidR="008F2573" w:rsidRPr="009E709E" w:rsidRDefault="003800AE" w:rsidP="009E709E">
      <w:pPr>
        <w:pStyle w:val="Questionindented"/>
      </w:pPr>
      <w:r w:rsidRPr="009E709E">
        <w:t>Did</w:t>
      </w:r>
      <w:r w:rsidR="008F2573" w:rsidRPr="009E709E">
        <w:t xml:space="preserve"> the </w:t>
      </w:r>
      <w:r w:rsidR="00866EA7" w:rsidRPr="009E709E">
        <w:t xml:space="preserve">2010 </w:t>
      </w:r>
      <w:r w:rsidR="008F2573" w:rsidRPr="009E709E">
        <w:t xml:space="preserve">decision to </w:t>
      </w:r>
      <w:r w:rsidR="00866EA7" w:rsidRPr="009E709E">
        <w:t>remove</w:t>
      </w:r>
      <w:r w:rsidR="008F2573" w:rsidRPr="009E709E">
        <w:t xml:space="preserve"> </w:t>
      </w:r>
      <w:r w:rsidR="00866EA7" w:rsidRPr="009E709E">
        <w:t xml:space="preserve">all remaining </w:t>
      </w:r>
      <w:r w:rsidR="008F2573" w:rsidRPr="009E709E">
        <w:t>special exemption</w:t>
      </w:r>
      <w:r w:rsidR="00866EA7" w:rsidRPr="009E709E">
        <w:t>s</w:t>
      </w:r>
      <w:r w:rsidR="008F2573" w:rsidRPr="009E709E">
        <w:t xml:space="preserve"> significantly reduce the impetus to expand coverage </w:t>
      </w:r>
      <w:r w:rsidR="00866EA7" w:rsidRPr="009E709E">
        <w:t>of the TTMRA?</w:t>
      </w:r>
      <w:r w:rsidR="008F2573" w:rsidRPr="009E709E">
        <w:t xml:space="preserve"> </w:t>
      </w:r>
      <w:r w:rsidR="00F125EC" w:rsidRPr="009E709E">
        <w:t xml:space="preserve">What other </w:t>
      </w:r>
      <w:r w:rsidR="003014B0" w:rsidRPr="009E709E">
        <w:t>mechanisms or initiatives</w:t>
      </w:r>
      <w:r w:rsidR="00F125EC" w:rsidRPr="009E709E">
        <w:t xml:space="preserve"> </w:t>
      </w:r>
      <w:r w:rsidR="00AC0641">
        <w:t xml:space="preserve">could </w:t>
      </w:r>
      <w:r w:rsidR="00F125EC" w:rsidRPr="009E709E">
        <w:t xml:space="preserve">provide an </w:t>
      </w:r>
      <w:r w:rsidR="008F2573" w:rsidRPr="009E709E">
        <w:t>impetus for such reform?</w:t>
      </w:r>
    </w:p>
    <w:p w14:paraId="73C86777" w14:textId="77777777" w:rsidR="00D25809" w:rsidRDefault="00D25809" w:rsidP="00D25809">
      <w:pPr>
        <w:pStyle w:val="BodyText"/>
      </w:pPr>
      <w:r>
        <w:t xml:space="preserve">A further issue is that there is no formal process for goods to be moved from a permanent to special exemption if changed circumstances raise the prospect of achieving mutual recognition. </w:t>
      </w:r>
    </w:p>
    <w:p w14:paraId="79346B82" w14:textId="597B706F" w:rsidR="00E874F2" w:rsidRPr="009E709E" w:rsidRDefault="00A036C4" w:rsidP="00E874F2">
      <w:pPr>
        <w:pStyle w:val="Questionindented"/>
      </w:pPr>
      <w:r>
        <w:t>Should there be</w:t>
      </w:r>
      <w:r w:rsidR="005807BB" w:rsidRPr="009E709E">
        <w:t xml:space="preserve"> a formal process </w:t>
      </w:r>
      <w:r w:rsidR="001C205F" w:rsidRPr="009E709E">
        <w:t>to move</w:t>
      </w:r>
      <w:r w:rsidR="005807BB" w:rsidRPr="009E709E">
        <w:t xml:space="preserve"> goods from a permanent to special exemption </w:t>
      </w:r>
      <w:r>
        <w:t xml:space="preserve">and what would be the </w:t>
      </w:r>
      <w:r w:rsidR="00B67F91">
        <w:t>advantages</w:t>
      </w:r>
      <w:r w:rsidR="00B67F91" w:rsidRPr="005A15B7">
        <w:t xml:space="preserve"> and </w:t>
      </w:r>
      <w:r w:rsidR="00B67F91">
        <w:t>disadvantages</w:t>
      </w:r>
      <w:r w:rsidR="005807BB" w:rsidRPr="009E709E">
        <w:t>?</w:t>
      </w:r>
    </w:p>
    <w:p w14:paraId="3D2F679A" w14:textId="77777777" w:rsidR="00445971" w:rsidRPr="000A2CB7" w:rsidRDefault="00445971" w:rsidP="00E874F2">
      <w:pPr>
        <w:pStyle w:val="Heading3"/>
      </w:pPr>
      <w:bookmarkStart w:id="69" w:name="_Toc406773292"/>
      <w:r w:rsidRPr="000A2CB7">
        <w:t>Exceptions and exclusions</w:t>
      </w:r>
      <w:bookmarkEnd w:id="69"/>
      <w:r>
        <w:t xml:space="preserve"> for goods</w:t>
      </w:r>
    </w:p>
    <w:p w14:paraId="5EA64D52" w14:textId="77777777" w:rsidR="00445971" w:rsidRDefault="00445971" w:rsidP="00445971">
      <w:pPr>
        <w:pStyle w:val="BodyText"/>
      </w:pPr>
      <w:r>
        <w:t>Exceptions from the MRA and TTMRA currently exist for laws relating to the:</w:t>
      </w:r>
    </w:p>
    <w:p w14:paraId="2CF11C7B" w14:textId="77777777" w:rsidR="00445971" w:rsidRPr="00CF0DD6" w:rsidRDefault="00445971" w:rsidP="00445971">
      <w:pPr>
        <w:pStyle w:val="ListBullet"/>
      </w:pPr>
      <w:r w:rsidRPr="00CF0DD6">
        <w:t>manner of sale or way in which sellers conduct their business</w:t>
      </w:r>
    </w:p>
    <w:p w14:paraId="38DE5E6B" w14:textId="77777777" w:rsidR="00445971" w:rsidRDefault="00445971" w:rsidP="00445971">
      <w:pPr>
        <w:pStyle w:val="ListBullet"/>
      </w:pPr>
      <w:r w:rsidRPr="00192B3B">
        <w:lastRenderedPageBreak/>
        <w:t>transport, storage and handling of goods</w:t>
      </w:r>
    </w:p>
    <w:p w14:paraId="45D91081" w14:textId="77777777" w:rsidR="00445971" w:rsidRDefault="00445971" w:rsidP="00445971">
      <w:pPr>
        <w:pStyle w:val="ListBullet"/>
      </w:pPr>
      <w:r w:rsidRPr="00192B3B">
        <w:t>inspection of goods</w:t>
      </w:r>
      <w:r>
        <w:t>.</w:t>
      </w:r>
    </w:p>
    <w:p w14:paraId="335AF257" w14:textId="77777777" w:rsidR="00445971" w:rsidRDefault="00445971" w:rsidP="00445971">
      <w:pPr>
        <w:pStyle w:val="BodyText"/>
      </w:pPr>
      <w:r w:rsidRPr="00080BCB">
        <w:t>Exclusions from the TTMRA currently exist for</w:t>
      </w:r>
      <w:r w:rsidRPr="00481BA0">
        <w:t xml:space="preserve"> </w:t>
      </w:r>
      <w:r>
        <w:t>laws concerning</w:t>
      </w:r>
      <w:r w:rsidRPr="00080BCB">
        <w:t>:</w:t>
      </w:r>
    </w:p>
    <w:p w14:paraId="430FC667" w14:textId="77777777" w:rsidR="00445971" w:rsidRDefault="00445971" w:rsidP="00445971">
      <w:pPr>
        <w:pStyle w:val="ListBullet"/>
      </w:pPr>
      <w:r>
        <w:t>customs controls and tariffs</w:t>
      </w:r>
    </w:p>
    <w:p w14:paraId="4F3B2C3E" w14:textId="77777777" w:rsidR="00445971" w:rsidRDefault="00445971" w:rsidP="00445971">
      <w:pPr>
        <w:pStyle w:val="ListBullet"/>
      </w:pPr>
      <w:r>
        <w:t>intellectual property</w:t>
      </w:r>
    </w:p>
    <w:p w14:paraId="2C1D23A9" w14:textId="77777777" w:rsidR="00445971" w:rsidRDefault="00445971" w:rsidP="00445971">
      <w:pPr>
        <w:pStyle w:val="ListBullet"/>
      </w:pPr>
      <w:r>
        <w:t>taxation and business franchises</w:t>
      </w:r>
    </w:p>
    <w:p w14:paraId="74EDDBC4" w14:textId="77777777" w:rsidR="00445971" w:rsidRPr="00080BCB" w:rsidRDefault="00445971" w:rsidP="00445971">
      <w:pPr>
        <w:pStyle w:val="ListBullet"/>
      </w:pPr>
      <w:r>
        <w:t>implementation of international agreements.</w:t>
      </w:r>
    </w:p>
    <w:p w14:paraId="637C5C06" w14:textId="1FE15CE6" w:rsidR="009E2843" w:rsidRPr="00080BCB" w:rsidRDefault="00CE3589" w:rsidP="009E2843">
      <w:pPr>
        <w:pStyle w:val="BodyText"/>
      </w:pPr>
      <w:r>
        <w:t>The</w:t>
      </w:r>
      <w:r w:rsidR="00433F04">
        <w:t xml:space="preserve"> </w:t>
      </w:r>
      <w:r w:rsidR="007E7BCF">
        <w:t xml:space="preserve">Commission will consider </w:t>
      </w:r>
      <w:r w:rsidR="00433F04">
        <w:t xml:space="preserve">whether these are unwarranted </w:t>
      </w:r>
      <w:r w:rsidR="00233BA8">
        <w:t>limitations to the coverage of</w:t>
      </w:r>
      <w:r w:rsidR="00433F04">
        <w:t xml:space="preserve"> mutual recognition</w:t>
      </w:r>
      <w:r>
        <w:t>.</w:t>
      </w:r>
    </w:p>
    <w:p w14:paraId="0DCC4E6B" w14:textId="23B5A9EA" w:rsidR="00445971" w:rsidRPr="00DA5615" w:rsidRDefault="009E2843" w:rsidP="00DA5615">
      <w:pPr>
        <w:pStyle w:val="Questionindented"/>
      </w:pPr>
      <w:r w:rsidRPr="00DA5615">
        <w:t xml:space="preserve">Are the current </w:t>
      </w:r>
      <w:r w:rsidR="00445971" w:rsidRPr="00DA5615">
        <w:t xml:space="preserve">exceptions and exclusions </w:t>
      </w:r>
      <w:r w:rsidRPr="00DA5615">
        <w:t xml:space="preserve">for goods </w:t>
      </w:r>
      <w:r w:rsidR="00F6053A" w:rsidRPr="00DA5615">
        <w:t xml:space="preserve">under the MRA and TTMRA </w:t>
      </w:r>
      <w:r w:rsidR="005E6910">
        <w:t>still justified</w:t>
      </w:r>
      <w:r w:rsidR="00445971" w:rsidRPr="00DA5615">
        <w:t xml:space="preserve">? </w:t>
      </w:r>
      <w:r w:rsidRPr="00DA5615">
        <w:t xml:space="preserve">What, if any, changes do you recommend? </w:t>
      </w:r>
    </w:p>
    <w:p w14:paraId="27D9A1BC" w14:textId="65039007" w:rsidR="00A44B29" w:rsidRDefault="00864B94" w:rsidP="00864B94">
      <w:pPr>
        <w:pStyle w:val="BodyText"/>
      </w:pPr>
      <w:r>
        <w:t>In the case of i</w:t>
      </w:r>
      <w:r w:rsidR="00B6140F">
        <w:t>ntellectual property</w:t>
      </w:r>
      <w:r>
        <w:t xml:space="preserve">, </w:t>
      </w:r>
      <w:r w:rsidR="00E42E13">
        <w:t>governments are</w:t>
      </w:r>
      <w:r w:rsidR="00174030">
        <w:t xml:space="preserve"> work</w:t>
      </w:r>
      <w:r w:rsidR="00E42E13">
        <w:t>ing</w:t>
      </w:r>
      <w:r w:rsidR="00174030">
        <w:t xml:space="preserve"> </w:t>
      </w:r>
      <w:r w:rsidR="002704E7">
        <w:t>on</w:t>
      </w:r>
      <w:r w:rsidR="00174030">
        <w:t xml:space="preserve"> </w:t>
      </w:r>
      <w:r w:rsidR="00E42E13">
        <w:t xml:space="preserve">initiatives </w:t>
      </w:r>
      <w:r>
        <w:t xml:space="preserve">outside of the mutual recognition schemes </w:t>
      </w:r>
      <w:r w:rsidR="00E42E13">
        <w:t xml:space="preserve">to </w:t>
      </w:r>
      <w:r w:rsidR="00174030">
        <w:t>align regulatory processes for granting and registering intellectual property rights</w:t>
      </w:r>
      <w:r w:rsidR="005460AA">
        <w:t xml:space="preserve"> in Australia and New Zealand</w:t>
      </w:r>
      <w:r w:rsidR="00174030">
        <w:t>.</w:t>
      </w:r>
      <w:r w:rsidR="00F3443E">
        <w:t xml:space="preserve"> This is mainly </w:t>
      </w:r>
      <w:r w:rsidR="00E42E13">
        <w:t xml:space="preserve">occurring </w:t>
      </w:r>
      <w:r w:rsidR="00F3443E">
        <w:t>through</w:t>
      </w:r>
      <w:r w:rsidR="00F3443E" w:rsidRPr="00F3443E">
        <w:t xml:space="preserve"> </w:t>
      </w:r>
      <w:r w:rsidR="00F3443E">
        <w:t xml:space="preserve">the </w:t>
      </w:r>
      <w:r w:rsidR="00314284">
        <w:t>T</w:t>
      </w:r>
      <w:r w:rsidR="00F3443E">
        <w:t>rans</w:t>
      </w:r>
      <w:r w:rsidR="00AC10D4">
        <w:noBreakHyphen/>
      </w:r>
      <w:r w:rsidR="00F3443E">
        <w:t>Tasman Outcomes Framework</w:t>
      </w:r>
      <w:r w:rsidR="00E42E13">
        <w:t>, which</w:t>
      </w:r>
      <w:r w:rsidR="00F3443E" w:rsidDel="00E42E13">
        <w:t xml:space="preserve"> </w:t>
      </w:r>
      <w:r w:rsidR="00F3443E">
        <w:t>was established in 2009 to support the creation of a Single Economic Market</w:t>
      </w:r>
      <w:r w:rsidR="00F3443E" w:rsidDel="0061058B">
        <w:t xml:space="preserve"> </w:t>
      </w:r>
      <w:r w:rsidR="00F3443E">
        <w:t xml:space="preserve">between </w:t>
      </w:r>
      <w:r w:rsidR="009677E7">
        <w:t>the two countries</w:t>
      </w:r>
      <w:r w:rsidR="00F3443E">
        <w:t>.</w:t>
      </w:r>
      <w:r w:rsidR="00F37186">
        <w:t xml:space="preserve"> </w:t>
      </w:r>
      <w:r w:rsidR="00177C17">
        <w:t xml:space="preserve">The </w:t>
      </w:r>
      <w:r w:rsidR="003A5BB1">
        <w:t>latest progress</w:t>
      </w:r>
      <w:r w:rsidR="00177C17">
        <w:t xml:space="preserve"> report for this initiative </w:t>
      </w:r>
      <w:r w:rsidR="003A5BB1">
        <w:t>note</w:t>
      </w:r>
      <w:r w:rsidR="00403D9D">
        <w:t>d</w:t>
      </w:r>
      <w:r w:rsidR="003A5BB1">
        <w:t xml:space="preserve"> that progress has been made on </w:t>
      </w:r>
      <w:r w:rsidR="00884938">
        <w:t>several</w:t>
      </w:r>
      <w:r w:rsidR="00D975F8">
        <w:t xml:space="preserve"> proposed</w:t>
      </w:r>
      <w:r w:rsidR="003A5BB1">
        <w:t xml:space="preserve"> </w:t>
      </w:r>
      <w:r w:rsidR="00177C17">
        <w:t xml:space="preserve">areas of </w:t>
      </w:r>
      <w:r w:rsidR="003A5BB1">
        <w:t>intellectual property law</w:t>
      </w:r>
      <w:r w:rsidR="00314284">
        <w:t>.</w:t>
      </w:r>
    </w:p>
    <w:p w14:paraId="382F3FAA" w14:textId="7C2FEB80" w:rsidR="00F3443E" w:rsidRDefault="00314284" w:rsidP="00F3443E">
      <w:pPr>
        <w:pStyle w:val="ListBullet"/>
      </w:pPr>
      <w:r>
        <w:t>A</w:t>
      </w:r>
      <w:r w:rsidR="00F3443E">
        <w:t>lignment of trademark registration procedures</w:t>
      </w:r>
      <w:r w:rsidR="00F3443E" w:rsidDel="00177C17">
        <w:t xml:space="preserve"> </w:t>
      </w:r>
      <w:r w:rsidR="00177C17">
        <w:t>has been achieved</w:t>
      </w:r>
      <w:r>
        <w:t>.</w:t>
      </w:r>
    </w:p>
    <w:p w14:paraId="3EB74E73" w14:textId="71A29A73" w:rsidR="00F3443E" w:rsidRDefault="00314284" w:rsidP="00F3443E">
      <w:pPr>
        <w:pStyle w:val="ListBullet"/>
      </w:pPr>
      <w:r>
        <w:t>W</w:t>
      </w:r>
      <w:r w:rsidR="00177C17">
        <w:t>ork is ‘on track’ to develop a s</w:t>
      </w:r>
      <w:r w:rsidR="00F3443E">
        <w:t>ingle trans</w:t>
      </w:r>
      <w:r w:rsidR="00AC10D4">
        <w:noBreakHyphen/>
      </w:r>
      <w:r w:rsidR="00F3443E">
        <w:t>Tasman regulatory framework for patent attorneys</w:t>
      </w:r>
      <w:r w:rsidR="00177C17">
        <w:t>,</w:t>
      </w:r>
      <w:r w:rsidR="00F3443E">
        <w:t xml:space="preserve"> </w:t>
      </w:r>
      <w:r w:rsidR="00A728AE">
        <w:t>and</w:t>
      </w:r>
      <w:r w:rsidR="003F0181">
        <w:t xml:space="preserve"> single</w:t>
      </w:r>
      <w:r w:rsidR="00A728AE">
        <w:t xml:space="preserve"> </w:t>
      </w:r>
      <w:r w:rsidR="00F3443E">
        <w:t xml:space="preserve">application </w:t>
      </w:r>
      <w:r w:rsidR="00A728AE">
        <w:t xml:space="preserve">and examination </w:t>
      </w:r>
      <w:r w:rsidR="00F3443E">
        <w:t>process</w:t>
      </w:r>
      <w:r w:rsidR="00A728AE">
        <w:t>es</w:t>
      </w:r>
      <w:r w:rsidR="00F3443E">
        <w:t xml:space="preserve"> for patents</w:t>
      </w:r>
      <w:r w:rsidR="00177C17">
        <w:t xml:space="preserve"> </w:t>
      </w:r>
      <w:r w:rsidR="005312EB">
        <w:t xml:space="preserve">filed in both jurisdictions </w:t>
      </w:r>
      <w:r w:rsidR="003F0181" w:rsidRPr="003F0181">
        <w:rPr>
          <w:szCs w:val="24"/>
        </w:rPr>
        <w:t>(TTOIG 2014)</w:t>
      </w:r>
      <w:r w:rsidR="00177C17">
        <w:t>.</w:t>
      </w:r>
    </w:p>
    <w:p w14:paraId="776E4DE2" w14:textId="615CC46F" w:rsidR="003A5BB1" w:rsidRDefault="00864368" w:rsidP="00F132D2">
      <w:pPr>
        <w:pStyle w:val="BodyText"/>
        <w:rPr>
          <w:b/>
        </w:rPr>
      </w:pPr>
      <w:r w:rsidRPr="00F132D2">
        <w:t>Australian legislative amendments necessary to implement the ‘on track’ initiatives are contained in the Intellectual Property laws Amendment Bill 2014</w:t>
      </w:r>
      <w:r w:rsidR="00A83DDA">
        <w:t>, which</w:t>
      </w:r>
      <w:r w:rsidRPr="00F132D2" w:rsidDel="00A83DDA">
        <w:t xml:space="preserve"> </w:t>
      </w:r>
      <w:r w:rsidRPr="00F132D2">
        <w:t>was passed in the House of Representatives in November 2014</w:t>
      </w:r>
      <w:r w:rsidR="004D27F1">
        <w:t>.</w:t>
      </w:r>
      <w:r w:rsidR="00E837D7">
        <w:t xml:space="preserve"> </w:t>
      </w:r>
      <w:r w:rsidR="0061305B">
        <w:t>A</w:t>
      </w:r>
      <w:r w:rsidR="00E837D7">
        <w:t xml:space="preserve"> Bill to amend the </w:t>
      </w:r>
      <w:r w:rsidR="00E837D7" w:rsidRPr="00E837D7">
        <w:rPr>
          <w:i/>
        </w:rPr>
        <w:t>Patents Act</w:t>
      </w:r>
      <w:r w:rsidR="00E837D7">
        <w:t xml:space="preserve"> </w:t>
      </w:r>
      <w:r w:rsidR="00E837D7" w:rsidRPr="00E837D7">
        <w:rPr>
          <w:i/>
        </w:rPr>
        <w:t>2013</w:t>
      </w:r>
      <w:r w:rsidR="00E837D7">
        <w:rPr>
          <w:i/>
        </w:rPr>
        <w:t xml:space="preserve"> </w:t>
      </w:r>
      <w:r w:rsidR="0061305B">
        <w:t xml:space="preserve">(NZ) </w:t>
      </w:r>
      <w:r w:rsidR="001D2B22">
        <w:t xml:space="preserve">is expected to be introduced into </w:t>
      </w:r>
      <w:r w:rsidR="0061305B">
        <w:t>the NZ P</w:t>
      </w:r>
      <w:r w:rsidR="001D2B22">
        <w:t>arliament in 2015</w:t>
      </w:r>
      <w:r w:rsidR="00EB4D06">
        <w:t xml:space="preserve"> </w:t>
      </w:r>
      <w:r w:rsidR="008E026B" w:rsidRPr="00E97DEB">
        <w:rPr>
          <w:szCs w:val="24"/>
        </w:rPr>
        <w:t>(IP Australia 2014)</w:t>
      </w:r>
      <w:r w:rsidR="001D2B22">
        <w:t>.</w:t>
      </w:r>
    </w:p>
    <w:p w14:paraId="7A49BD56" w14:textId="34726582" w:rsidR="00184F0A" w:rsidRDefault="0061058B" w:rsidP="00B6140F">
      <w:pPr>
        <w:pStyle w:val="BodyText"/>
      </w:pPr>
      <w:r>
        <w:t xml:space="preserve">The </w:t>
      </w:r>
      <w:r w:rsidR="00932F0F">
        <w:t>T</w:t>
      </w:r>
      <w:r>
        <w:t>rans</w:t>
      </w:r>
      <w:r w:rsidR="00AC10D4">
        <w:noBreakHyphen/>
      </w:r>
      <w:r>
        <w:t xml:space="preserve">Tasman Outcomes Framework also includes the goal of </w:t>
      </w:r>
      <w:r w:rsidR="00184F0A">
        <w:t>a single trans</w:t>
      </w:r>
      <w:r w:rsidR="00AC10D4">
        <w:noBreakHyphen/>
      </w:r>
      <w:r w:rsidR="00184F0A">
        <w:t xml:space="preserve">Tasman register </w:t>
      </w:r>
      <w:r w:rsidR="00906AC9">
        <w:t>for trademarks</w:t>
      </w:r>
      <w:r>
        <w:t>, but work on this</w:t>
      </w:r>
      <w:r w:rsidR="00906AC9">
        <w:t xml:space="preserve"> has been put on hold</w:t>
      </w:r>
      <w:r>
        <w:t>. A</w:t>
      </w:r>
      <w:r w:rsidR="00906AC9">
        <w:t xml:space="preserve"> </w:t>
      </w:r>
      <w:r w:rsidR="007D58D7">
        <w:t xml:space="preserve">single </w:t>
      </w:r>
      <w:r>
        <w:t>trans</w:t>
      </w:r>
      <w:r w:rsidR="00AC10D4">
        <w:noBreakHyphen/>
      </w:r>
      <w:r>
        <w:t xml:space="preserve">Tasman </w:t>
      </w:r>
      <w:r w:rsidR="00BF3A11">
        <w:t>register</w:t>
      </w:r>
      <w:r w:rsidR="00906AC9">
        <w:t xml:space="preserve"> for patents is not on the</w:t>
      </w:r>
      <w:r w:rsidR="00710221">
        <w:t xml:space="preserve"> </w:t>
      </w:r>
      <w:r w:rsidR="00906AC9">
        <w:t>agenda.</w:t>
      </w:r>
      <w:r w:rsidR="00B51E97">
        <w:t xml:space="preserve"> </w:t>
      </w:r>
      <w:r>
        <w:t xml:space="preserve">Nonetheless, </w:t>
      </w:r>
      <w:r w:rsidR="00B51E97">
        <w:t>single registers could be the logical step forward after alignment of application, examination and registration procedures</w:t>
      </w:r>
      <w:r w:rsidR="007D58D7">
        <w:t>. In the absence of single registers</w:t>
      </w:r>
      <w:r w:rsidR="00435A87">
        <w:t xml:space="preserve">, </w:t>
      </w:r>
      <w:r w:rsidR="0088057B">
        <w:t>there may be</w:t>
      </w:r>
      <w:r w:rsidR="00105891">
        <w:t xml:space="preserve"> benefits from establishing</w:t>
      </w:r>
      <w:r w:rsidR="0088057B">
        <w:t xml:space="preserve"> mutual recognition of patent and trademark registration</w:t>
      </w:r>
      <w:r w:rsidR="00435A87">
        <w:t xml:space="preserve"> between Australia and New Zealand</w:t>
      </w:r>
      <w:r w:rsidR="00CC2EFC">
        <w:t>.</w:t>
      </w:r>
    </w:p>
    <w:p w14:paraId="39881186" w14:textId="26652985" w:rsidR="00A7769C" w:rsidRPr="00A7769C" w:rsidRDefault="005F4F65" w:rsidP="00A7769C">
      <w:pPr>
        <w:pStyle w:val="Questionindented"/>
      </w:pPr>
      <w:r>
        <w:t>Given c</w:t>
      </w:r>
      <w:r w:rsidR="00A7769C" w:rsidRPr="00A7769C">
        <w:t>urrent efforts to align intellectual property law</w:t>
      </w:r>
      <w:r>
        <w:t>s</w:t>
      </w:r>
      <w:r w:rsidR="00A7769C" w:rsidRPr="00A7769C">
        <w:t xml:space="preserve"> in Australia and New Zealand, is there scope in the foreseeable future to remove the exclusion </w:t>
      </w:r>
      <w:r w:rsidR="007D58D7">
        <w:t>of</w:t>
      </w:r>
      <w:r w:rsidR="007D58D7" w:rsidRPr="00A7769C">
        <w:t xml:space="preserve"> intellectual property from the TTMRA? </w:t>
      </w:r>
      <w:r w:rsidR="007D58D7">
        <w:t>W</w:t>
      </w:r>
      <w:r w:rsidR="007D58D7" w:rsidRPr="00A7769C">
        <w:t xml:space="preserve">ould </w:t>
      </w:r>
      <w:r w:rsidR="007D58D7">
        <w:t>it yield a net benefit</w:t>
      </w:r>
      <w:r w:rsidR="00A7769C" w:rsidRPr="00A7769C">
        <w:t>?</w:t>
      </w:r>
    </w:p>
    <w:p w14:paraId="091ABC10" w14:textId="40024985" w:rsidR="001B111F" w:rsidRPr="00B8303A" w:rsidRDefault="00435A87" w:rsidP="00B8303A">
      <w:pPr>
        <w:pStyle w:val="Questionindented"/>
      </w:pPr>
      <w:r w:rsidRPr="00B8303A">
        <w:t xml:space="preserve">What are </w:t>
      </w:r>
      <w:r w:rsidR="001B111F" w:rsidRPr="00B8303A">
        <w:t>the barriers to implement</w:t>
      </w:r>
      <w:r w:rsidR="006C33AD">
        <w:t>ing</w:t>
      </w:r>
      <w:r w:rsidR="001B111F" w:rsidRPr="00B8303A">
        <w:t xml:space="preserve"> a single trans</w:t>
      </w:r>
      <w:r w:rsidR="00AC10D4">
        <w:noBreakHyphen/>
      </w:r>
      <w:r w:rsidR="001B111F" w:rsidRPr="00B8303A">
        <w:t xml:space="preserve">Tasman register for trademarks and patents? </w:t>
      </w:r>
      <w:r w:rsidR="008F4785" w:rsidRPr="00B8303A">
        <w:t>How can they best be addressed?</w:t>
      </w:r>
    </w:p>
    <w:p w14:paraId="10995CAE" w14:textId="7CBDC30E" w:rsidR="007476E9" w:rsidRPr="00B8303A" w:rsidRDefault="00D7623C" w:rsidP="00B8303A">
      <w:pPr>
        <w:pStyle w:val="Questionindented"/>
      </w:pPr>
      <w:r w:rsidRPr="00B8303A">
        <w:lastRenderedPageBreak/>
        <w:t>In the absence of trans</w:t>
      </w:r>
      <w:r w:rsidR="00AC10D4">
        <w:noBreakHyphen/>
      </w:r>
      <w:r w:rsidRPr="00B8303A">
        <w:t>Tasman register</w:t>
      </w:r>
      <w:r w:rsidR="008F4785" w:rsidRPr="00B8303A">
        <w:t>s</w:t>
      </w:r>
      <w:r w:rsidRPr="00B8303A">
        <w:t xml:space="preserve"> for trademarks and patents, can mutual recognition</w:t>
      </w:r>
      <w:r w:rsidR="005460AA" w:rsidRPr="00B8303A">
        <w:t xml:space="preserve"> of registration</w:t>
      </w:r>
      <w:r w:rsidRPr="00B8303A">
        <w:t xml:space="preserve"> be a viable </w:t>
      </w:r>
      <w:r w:rsidR="00FF0985" w:rsidRPr="00B8303A">
        <w:t>alternative</w:t>
      </w:r>
      <w:r w:rsidRPr="00B8303A">
        <w:t xml:space="preserve">? </w:t>
      </w:r>
      <w:r w:rsidR="00811701" w:rsidRPr="00B8303A">
        <w:t>W</w:t>
      </w:r>
      <w:r w:rsidRPr="00B8303A">
        <w:t xml:space="preserve">hat would be </w:t>
      </w:r>
      <w:r w:rsidR="00DD1CAB" w:rsidRPr="00B8303A">
        <w:t>the</w:t>
      </w:r>
      <w:r w:rsidRPr="00B8303A">
        <w:t xml:space="preserve"> costs and benefits</w:t>
      </w:r>
      <w:r w:rsidR="00DD1CAB" w:rsidRPr="00B8303A">
        <w:t xml:space="preserve"> of mutual recognition</w:t>
      </w:r>
      <w:r w:rsidRPr="00B8303A">
        <w:t>?</w:t>
      </w:r>
    </w:p>
    <w:p w14:paraId="0355E178" w14:textId="08F40DD3" w:rsidR="009968DA" w:rsidRPr="00297A42" w:rsidRDefault="009968DA" w:rsidP="009968DA">
      <w:pPr>
        <w:pStyle w:val="Heading3"/>
      </w:pPr>
      <w:bookmarkStart w:id="70" w:name="_Toc406773293"/>
      <w:r>
        <w:t>Barriers posed by use</w:t>
      </w:r>
      <w:r w:rsidR="00AC10D4">
        <w:noBreakHyphen/>
      </w:r>
      <w:r>
        <w:t>of</w:t>
      </w:r>
      <w:r w:rsidR="00AC10D4">
        <w:noBreakHyphen/>
      </w:r>
      <w:r>
        <w:t>goods requirements</w:t>
      </w:r>
      <w:bookmarkEnd w:id="70"/>
    </w:p>
    <w:p w14:paraId="10B763FB" w14:textId="7874D16D" w:rsidR="009968DA" w:rsidRDefault="009968DA" w:rsidP="009968DA">
      <w:pPr>
        <w:pStyle w:val="BodyText"/>
      </w:pPr>
      <w:r>
        <w:t xml:space="preserve">The terms of reference ask the Commission to consider cases where </w:t>
      </w:r>
      <w:r w:rsidRPr="000F63E3">
        <w:t>good</w:t>
      </w:r>
      <w:r>
        <w:t>s</w:t>
      </w:r>
      <w:r w:rsidRPr="000F63E3">
        <w:t xml:space="preserve"> c</w:t>
      </w:r>
      <w:r>
        <w:t xml:space="preserve">an be exported to another jurisdiction and sold </w:t>
      </w:r>
      <w:r w:rsidRPr="000F63E3">
        <w:t xml:space="preserve">under mutual recognition but </w:t>
      </w:r>
      <w:r>
        <w:t>can</w:t>
      </w:r>
      <w:r w:rsidRPr="000F63E3">
        <w:t xml:space="preserve">not </w:t>
      </w:r>
      <w:r>
        <w:t xml:space="preserve">be legally </w:t>
      </w:r>
      <w:r w:rsidRPr="000F63E3">
        <w:t>used</w:t>
      </w:r>
      <w:r>
        <w:t>. This possibility arises because jurisdictions often have different requirements on how goods are used, and such use</w:t>
      </w:r>
      <w:r w:rsidR="00AC10D4">
        <w:noBreakHyphen/>
      </w:r>
      <w:r>
        <w:t>of</w:t>
      </w:r>
      <w:r w:rsidR="00AC10D4">
        <w:noBreakHyphen/>
      </w:r>
      <w:r>
        <w:t>goods requirements are not covered by the MRA and TTMRA.</w:t>
      </w:r>
    </w:p>
    <w:p w14:paraId="565B04D0" w14:textId="34E15876" w:rsidR="009968DA" w:rsidRDefault="009968DA" w:rsidP="009968DA">
      <w:pPr>
        <w:pStyle w:val="BodyText"/>
      </w:pPr>
      <w:r w:rsidRPr="000F63E3">
        <w:t xml:space="preserve">Submissions to the 2009 review </w:t>
      </w:r>
      <w:r>
        <w:t>mentioned</w:t>
      </w:r>
      <w:r w:rsidRPr="000F63E3">
        <w:t xml:space="preserve"> a small number of examples. </w:t>
      </w:r>
      <w:r w:rsidR="007B38B8" w:rsidRPr="000F63E3">
        <w:t>Th</w:t>
      </w:r>
      <w:r w:rsidR="007B38B8">
        <w:t>e</w:t>
      </w:r>
      <w:r w:rsidR="007B38B8" w:rsidRPr="000F63E3">
        <w:t>s</w:t>
      </w:r>
      <w:r w:rsidR="007B38B8">
        <w:t>e</w:t>
      </w:r>
      <w:r w:rsidR="007B38B8" w:rsidRPr="000F63E3">
        <w:t xml:space="preserve"> </w:t>
      </w:r>
      <w:r w:rsidRPr="000F63E3">
        <w:t xml:space="preserve">included buses </w:t>
      </w:r>
      <w:r>
        <w:t>exported from New South Wales, which could be sold in Western Australia but not registered for use without modification to meet different seat belt requirements. Another example was dishwashers exported from New Zealand, which could be sold in Australia but not used because they did not have the plumbing certification required by local water authorities.</w:t>
      </w:r>
    </w:p>
    <w:p w14:paraId="20A71252" w14:textId="0FB0B8C4" w:rsidR="002368AB" w:rsidRPr="000F63E3" w:rsidRDefault="002368AB" w:rsidP="002368AB">
      <w:pPr>
        <w:pStyle w:val="BodyText"/>
      </w:pPr>
      <w:r>
        <w:t>Evidence of any problems posed by use</w:t>
      </w:r>
      <w:r>
        <w:noBreakHyphen/>
        <w:t>of</w:t>
      </w:r>
      <w:r>
        <w:noBreakHyphen/>
        <w:t>goods requirements appears limited. Moreover, it is uncertain what would be the magnitude of any net gains from seeking to address them.</w:t>
      </w:r>
    </w:p>
    <w:p w14:paraId="7CD4920D" w14:textId="302E2F09" w:rsidR="009968DA" w:rsidRPr="000F63E3" w:rsidRDefault="005825EF" w:rsidP="009968DA">
      <w:pPr>
        <w:pStyle w:val="BodyText"/>
      </w:pPr>
      <w:r>
        <w:t>T</w:t>
      </w:r>
      <w:r w:rsidR="009968DA" w:rsidRPr="000F63E3">
        <w:t>here can be a case for</w:t>
      </w:r>
      <w:r>
        <w:t xml:space="preserve"> </w:t>
      </w:r>
      <w:r w:rsidR="009968DA" w:rsidRPr="000F63E3">
        <w:t>jurisdictions to impose their own use</w:t>
      </w:r>
      <w:r w:rsidR="00AC10D4">
        <w:noBreakHyphen/>
      </w:r>
      <w:r w:rsidR="009968DA" w:rsidRPr="000F63E3">
        <w:t>of</w:t>
      </w:r>
      <w:r w:rsidR="00AC10D4">
        <w:noBreakHyphen/>
      </w:r>
      <w:r w:rsidR="009968DA" w:rsidRPr="000F63E3">
        <w:t xml:space="preserve">goods requirements to address unique health, safety and environmental concerns within a defined geographic area. Nonetheless, such requirements can create barriers to trade, and so should only be erected on solid net public benefit grounds. </w:t>
      </w:r>
    </w:p>
    <w:p w14:paraId="01F3EB8C" w14:textId="4EA45BD6" w:rsidR="009968DA" w:rsidRPr="000F63E3" w:rsidRDefault="009968DA" w:rsidP="009968DA">
      <w:pPr>
        <w:pStyle w:val="BodyText"/>
      </w:pPr>
      <w:r>
        <w:t>At the time of the 2009 review, it appeared that the European Union and Canada had developed a means to address this issue. Namely, their mutual recognition schemes covered use</w:t>
      </w:r>
      <w:r w:rsidR="00AC10D4">
        <w:noBreakHyphen/>
      </w:r>
      <w:r>
        <w:t>of</w:t>
      </w:r>
      <w:r w:rsidR="00AC10D4">
        <w:noBreakHyphen/>
      </w:r>
      <w:r>
        <w:t xml:space="preserve">goods requirements, but with an ‘opt out’ on public benefit grounds to address </w:t>
      </w:r>
      <w:r w:rsidRPr="0000182A">
        <w:t>health, safety and environmental concerns</w:t>
      </w:r>
      <w:r>
        <w:t>.</w:t>
      </w:r>
    </w:p>
    <w:p w14:paraId="66270531" w14:textId="645383F9" w:rsidR="009968DA" w:rsidRPr="00D33EA4" w:rsidRDefault="009968DA" w:rsidP="00D33EA4">
      <w:pPr>
        <w:pStyle w:val="Questionindented"/>
      </w:pPr>
      <w:r w:rsidRPr="00D33EA4">
        <w:t xml:space="preserve">To what extent are different </w:t>
      </w:r>
      <w:r w:rsidR="00D6101C" w:rsidRPr="00D33EA4">
        <w:t>requirements</w:t>
      </w:r>
      <w:r w:rsidRPr="00D33EA4">
        <w:t xml:space="preserve"> </w:t>
      </w:r>
      <w:r w:rsidR="00D6101C" w:rsidRPr="00D33EA4">
        <w:t>for</w:t>
      </w:r>
      <w:r w:rsidRPr="00D33EA4">
        <w:t xml:space="preserve"> the use of goods impeding </w:t>
      </w:r>
      <w:proofErr w:type="spellStart"/>
      <w:r w:rsidRPr="00D33EA4">
        <w:t>interjurisdictional</w:t>
      </w:r>
      <w:proofErr w:type="spellEnd"/>
      <w:r w:rsidRPr="00D33EA4">
        <w:t xml:space="preserve"> trade, and what would be the costs and benefits of extending mutual recognition to those</w:t>
      </w:r>
      <w:r w:rsidR="001A1552">
        <w:t xml:space="preserve"> use of goods</w:t>
      </w:r>
      <w:r w:rsidRPr="00D33EA4">
        <w:t xml:space="preserve"> </w:t>
      </w:r>
      <w:r w:rsidR="00D6101C" w:rsidRPr="00D33EA4">
        <w:t>requirements</w:t>
      </w:r>
      <w:r w:rsidRPr="00D33EA4">
        <w:t>?</w:t>
      </w:r>
    </w:p>
    <w:p w14:paraId="01FF2615" w14:textId="7149F39D" w:rsidR="009968DA" w:rsidRPr="00D33EA4" w:rsidRDefault="009968DA" w:rsidP="00D33EA4">
      <w:pPr>
        <w:pStyle w:val="Questionindented"/>
      </w:pPr>
      <w:r w:rsidRPr="00D33EA4">
        <w:t>Are use</w:t>
      </w:r>
      <w:r w:rsidR="00AC10D4">
        <w:noBreakHyphen/>
      </w:r>
      <w:r w:rsidRPr="00D33EA4">
        <w:t>of</w:t>
      </w:r>
      <w:r w:rsidR="00AC10D4">
        <w:noBreakHyphen/>
      </w:r>
      <w:r w:rsidRPr="00D33EA4">
        <w:t xml:space="preserve">goods </w:t>
      </w:r>
      <w:r w:rsidR="00D6101C" w:rsidRPr="00D33EA4">
        <w:t>requirements</w:t>
      </w:r>
      <w:r w:rsidRPr="00D33EA4">
        <w:t xml:space="preserve"> being used to circumvent mutual recognition obligations? If so, please provide evidence and indicate how this problem can be addressed.</w:t>
      </w:r>
    </w:p>
    <w:p w14:paraId="34649413" w14:textId="296E0D98" w:rsidR="009968DA" w:rsidRPr="00D33EA4" w:rsidRDefault="0076419E" w:rsidP="00D33EA4">
      <w:pPr>
        <w:pStyle w:val="Questionindented"/>
      </w:pPr>
      <w:r w:rsidRPr="00D33EA4">
        <w:t>Do mutual recognition arrangements in countries other than Australia and New Zealand have features which could be used to address use</w:t>
      </w:r>
      <w:r w:rsidR="00AC10D4">
        <w:noBreakHyphen/>
      </w:r>
      <w:r w:rsidRPr="00D33EA4">
        <w:t>of</w:t>
      </w:r>
      <w:r w:rsidR="00AC10D4">
        <w:noBreakHyphen/>
      </w:r>
      <w:r w:rsidRPr="00D33EA4">
        <w:t>goods concerns under the MRA and TTMRA?</w:t>
      </w:r>
      <w:r w:rsidR="009968DA" w:rsidRPr="00D33EA4">
        <w:t xml:space="preserve"> </w:t>
      </w:r>
    </w:p>
    <w:p w14:paraId="3851CD97" w14:textId="0F449E88" w:rsidR="0021697B" w:rsidRDefault="0032046F" w:rsidP="00B722B9">
      <w:pPr>
        <w:pStyle w:val="Heading2"/>
        <w:spacing w:before="500"/>
      </w:pPr>
      <w:r>
        <w:lastRenderedPageBreak/>
        <w:fldChar w:fldCharType="begin"/>
      </w:r>
      <w:r>
        <w:instrText xml:space="preserve"> SE</w:instrText>
      </w:r>
      <w:r>
        <w:instrText xml:space="preserve">Q Heading2 </w:instrText>
      </w:r>
      <w:r>
        <w:fldChar w:fldCharType="separate"/>
      </w:r>
      <w:bookmarkStart w:id="71" w:name="_Toc408308215"/>
      <w:bookmarkStart w:id="72" w:name="_Toc408308381"/>
      <w:bookmarkStart w:id="73" w:name="_Toc408311448"/>
      <w:bookmarkStart w:id="74" w:name="_Toc408326897"/>
      <w:bookmarkStart w:id="75" w:name="_Toc408388599"/>
      <w:bookmarkStart w:id="76" w:name="_Toc408396468"/>
      <w:bookmarkStart w:id="77" w:name="_Toc408396925"/>
      <w:bookmarkStart w:id="78" w:name="_Toc408401049"/>
      <w:bookmarkStart w:id="79" w:name="_Toc408562307"/>
      <w:bookmarkStart w:id="80" w:name="_Toc408563142"/>
      <w:bookmarkStart w:id="81" w:name="_Toc408563681"/>
      <w:bookmarkStart w:id="82" w:name="_Toc408567136"/>
      <w:bookmarkStart w:id="83" w:name="_Toc408567834"/>
      <w:bookmarkStart w:id="84" w:name="_Toc408569410"/>
      <w:bookmarkStart w:id="85" w:name="_Toc409010844"/>
      <w:r w:rsidR="004A70DC">
        <w:rPr>
          <w:noProof/>
        </w:rPr>
        <w:t>5</w:t>
      </w:r>
      <w:r>
        <w:rPr>
          <w:noProof/>
        </w:rPr>
        <w:fldChar w:fldCharType="end"/>
      </w:r>
      <w:r w:rsidR="0038296D" w:rsidRPr="00396644">
        <w:tab/>
      </w:r>
      <w:r w:rsidR="009D6395">
        <w:t>Mutual recognition of o</w:t>
      </w:r>
      <w:r w:rsidR="0038296D">
        <w:t>ccupations</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B90A534" w14:textId="20304824" w:rsidR="00DF2449" w:rsidRDefault="00590614" w:rsidP="00590614">
      <w:pPr>
        <w:pStyle w:val="BodyText"/>
        <w:spacing w:before="200"/>
      </w:pPr>
      <w:bookmarkStart w:id="86" w:name="_Toc406773291"/>
      <w:bookmarkStart w:id="87" w:name="_Toc406773295"/>
      <w:r w:rsidRPr="003E0992">
        <w:t>Under the MRA and TTMRA, a person registered to practise an occupation in one jurisdiction is entitled to practise an equivalent occupation in other jurisdictions. The process for accessing t</w:t>
      </w:r>
      <w:r w:rsidR="00DF2449">
        <w:t>his entitlement</w:t>
      </w:r>
      <w:r w:rsidR="00ED018A" w:rsidRPr="003E0992">
        <w:t xml:space="preserve"> </w:t>
      </w:r>
      <w:r w:rsidRPr="003E0992">
        <w:t>is summarised in figure </w:t>
      </w:r>
      <w:r w:rsidR="0029797D">
        <w:t>3</w:t>
      </w:r>
      <w:r w:rsidRPr="003E0992">
        <w:t>. Applicants must first lodge their home jurisdiction registration details with another jurisdiction’s registration body. ‘Deemed registration’ is then granted automatically, which allows applicants to practise their occupation pending the granting or refusal of substantive registration. The relevant registration body has one month to grant, postpone or refuse registration. If a decision is not made after one month, applicants are entitled to immediate registration.</w:t>
      </w:r>
      <w:r w:rsidR="00DF2449" w:rsidRPr="00DF2449">
        <w:t xml:space="preserve"> </w:t>
      </w:r>
    </w:p>
    <w:p w14:paraId="786F5D2C" w14:textId="55077D3E" w:rsidR="00590614" w:rsidRDefault="00590614" w:rsidP="0059061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590614" w14:paraId="013261A6" w14:textId="77777777" w:rsidTr="00590614">
        <w:tc>
          <w:tcPr>
            <w:tcW w:w="8771" w:type="dxa"/>
            <w:tcBorders>
              <w:top w:val="single" w:sz="6" w:space="0" w:color="78A22F"/>
              <w:left w:val="nil"/>
              <w:bottom w:val="nil"/>
              <w:right w:val="nil"/>
            </w:tcBorders>
            <w:shd w:val="clear" w:color="auto" w:fill="auto"/>
          </w:tcPr>
          <w:p w14:paraId="05149204" w14:textId="0E93D313" w:rsidR="00590614" w:rsidRPr="00176D3F" w:rsidRDefault="00590614" w:rsidP="00A266CE">
            <w:pPr>
              <w:pStyle w:val="FigureTitle"/>
            </w:pPr>
            <w:r w:rsidRPr="00784A05">
              <w:rPr>
                <w:b w:val="0"/>
              </w:rPr>
              <w:t xml:space="preserve">Figure </w:t>
            </w:r>
            <w:r w:rsidR="0029797D">
              <w:rPr>
                <w:b w:val="0"/>
              </w:rPr>
              <w:t>3</w:t>
            </w:r>
            <w:r>
              <w:tab/>
              <w:t xml:space="preserve">Occupation registration </w:t>
            </w:r>
            <w:r w:rsidR="00A266CE">
              <w:t>process under the MRA and TTMRA</w:t>
            </w:r>
          </w:p>
        </w:tc>
      </w:tr>
      <w:tr w:rsidR="00590614" w14:paraId="35B864EE" w14:textId="77777777" w:rsidTr="00590614">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590614" w14:paraId="0B6FAA1C" w14:textId="77777777" w:rsidTr="00590614">
              <w:trPr>
                <w:jc w:val="center"/>
              </w:trPr>
              <w:tc>
                <w:tcPr>
                  <w:tcW w:w="5000" w:type="pct"/>
                  <w:tcBorders>
                    <w:top w:val="nil"/>
                    <w:bottom w:val="nil"/>
                  </w:tcBorders>
                </w:tcPr>
                <w:p w14:paraId="04D8C7A5" w14:textId="014D3BCA" w:rsidR="00590614" w:rsidRDefault="004F4841" w:rsidP="00F23B5E">
                  <w:pPr>
                    <w:pStyle w:val="Figure"/>
                    <w:spacing w:before="60" w:after="60"/>
                  </w:pPr>
                  <w:r>
                    <w:rPr>
                      <w:noProof/>
                    </w:rPr>
                    <w:drawing>
                      <wp:inline distT="0" distB="0" distL="0" distR="0" wp14:anchorId="02387E93" wp14:editId="549F46CE">
                        <wp:extent cx="5403215" cy="3657600"/>
                        <wp:effectExtent l="0" t="0" r="6985" b="0"/>
                        <wp:docPr id="4" name="Picture 4" descr="This figure shows the process for registering occupations under the MRA and TTMRA. As soon as a notice is lodged to seek registration deemed registration commences. The relevant registration authority then considers the notice and must advise within one month whether registration is granted (with or without conditions), postponed or refused. Where the registration authority elects to postpone registration, deemed registration continues. Decisions can be appealed to a tribunal and either upheld (registration granted with or without conditions) or dismissed (and registration refused)." title="Occupation registration process under the MRA and TTM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03215" cy="3657600"/>
                                </a:xfrm>
                                <a:prstGeom prst="rect">
                                  <a:avLst/>
                                </a:prstGeom>
                                <a:noFill/>
                                <a:ln>
                                  <a:noFill/>
                                </a:ln>
                              </pic:spPr>
                            </pic:pic>
                          </a:graphicData>
                        </a:graphic>
                      </wp:inline>
                    </w:drawing>
                  </w:r>
                </w:p>
              </w:tc>
            </w:tr>
          </w:tbl>
          <w:p w14:paraId="55DDB6BD" w14:textId="77777777" w:rsidR="00590614" w:rsidRDefault="00590614" w:rsidP="00590614">
            <w:pPr>
              <w:pStyle w:val="Figure"/>
            </w:pPr>
          </w:p>
        </w:tc>
      </w:tr>
      <w:tr w:rsidR="00590614" w:rsidRPr="00176D3F" w14:paraId="34B95889" w14:textId="77777777" w:rsidTr="00590614">
        <w:tc>
          <w:tcPr>
            <w:tcW w:w="8771" w:type="dxa"/>
            <w:tcBorders>
              <w:top w:val="nil"/>
              <w:left w:val="nil"/>
              <w:bottom w:val="nil"/>
              <w:right w:val="nil"/>
            </w:tcBorders>
            <w:shd w:val="clear" w:color="auto" w:fill="auto"/>
          </w:tcPr>
          <w:p w14:paraId="4B73CE2C" w14:textId="5BE3B051" w:rsidR="00590614" w:rsidRPr="00176D3F" w:rsidRDefault="00590614" w:rsidP="00590614">
            <w:pPr>
              <w:pStyle w:val="Source"/>
            </w:pPr>
            <w:r>
              <w:rPr>
                <w:i/>
              </w:rPr>
              <w:t>S</w:t>
            </w:r>
            <w:r w:rsidRPr="00784A05">
              <w:rPr>
                <w:i/>
              </w:rPr>
              <w:t>ource</w:t>
            </w:r>
            <w:r w:rsidRPr="00176D3F">
              <w:t xml:space="preserve">: </w:t>
            </w:r>
            <w:r>
              <w:t xml:space="preserve">Australian Government </w:t>
            </w:r>
            <w:r w:rsidR="00BA20F7" w:rsidRPr="00BA20F7">
              <w:rPr>
                <w:rFonts w:cs="Arial"/>
              </w:rPr>
              <w:t>(2014b)</w:t>
            </w:r>
            <w:r>
              <w:t>.</w:t>
            </w:r>
          </w:p>
        </w:tc>
      </w:tr>
      <w:tr w:rsidR="00590614" w14:paraId="4A17F629" w14:textId="77777777" w:rsidTr="00590614">
        <w:tc>
          <w:tcPr>
            <w:tcW w:w="8771" w:type="dxa"/>
            <w:tcBorders>
              <w:top w:val="nil"/>
              <w:left w:val="nil"/>
              <w:bottom w:val="single" w:sz="6" w:space="0" w:color="78A22F"/>
              <w:right w:val="nil"/>
            </w:tcBorders>
            <w:shd w:val="clear" w:color="auto" w:fill="auto"/>
          </w:tcPr>
          <w:p w14:paraId="45863E7C" w14:textId="77777777" w:rsidR="00590614" w:rsidRDefault="00590614" w:rsidP="00590614">
            <w:pPr>
              <w:pStyle w:val="Figurespace"/>
            </w:pPr>
          </w:p>
        </w:tc>
      </w:tr>
      <w:tr w:rsidR="00590614" w:rsidRPr="000863A5" w14:paraId="2979723F" w14:textId="77777777" w:rsidTr="00590614">
        <w:tc>
          <w:tcPr>
            <w:tcW w:w="8771" w:type="dxa"/>
            <w:tcBorders>
              <w:top w:val="single" w:sz="6" w:space="0" w:color="78A22F"/>
              <w:left w:val="nil"/>
              <w:bottom w:val="nil"/>
              <w:right w:val="nil"/>
            </w:tcBorders>
          </w:tcPr>
          <w:p w14:paraId="144B57F1" w14:textId="005E3879" w:rsidR="00590614" w:rsidRPr="00626D32" w:rsidRDefault="00590614" w:rsidP="00590614">
            <w:pPr>
              <w:pStyle w:val="BoxSpaceBelow"/>
            </w:pPr>
          </w:p>
        </w:tc>
      </w:tr>
    </w:tbl>
    <w:p w14:paraId="40C5F6CE" w14:textId="1E414BA2" w:rsidR="00590614" w:rsidRDefault="00590614" w:rsidP="00620666">
      <w:pPr>
        <w:pStyle w:val="Heading3"/>
      </w:pPr>
      <w:r>
        <w:t>Coverage</w:t>
      </w:r>
      <w:r w:rsidR="00034671">
        <w:t xml:space="preserve"> of occupations</w:t>
      </w:r>
    </w:p>
    <w:bookmarkEnd w:id="86"/>
    <w:p w14:paraId="37F211C2" w14:textId="0CA2DBE1" w:rsidR="00730161" w:rsidRDefault="004D4340" w:rsidP="00730161">
      <w:pPr>
        <w:pStyle w:val="BodyText"/>
        <w:spacing w:before="200"/>
      </w:pPr>
      <w:r w:rsidRPr="001F7242">
        <w:t xml:space="preserve">The MRA and TTMRA </w:t>
      </w:r>
      <w:r>
        <w:t xml:space="preserve">cover all </w:t>
      </w:r>
      <w:r w:rsidRPr="001F7242">
        <w:t>occupations for</w:t>
      </w:r>
      <w:r>
        <w:t xml:space="preserve"> which some form of legislation</w:t>
      </w:r>
      <w:r>
        <w:noBreakHyphen/>
      </w:r>
      <w:r w:rsidRPr="001F7242">
        <w:t>based registration, certification, licensing, approval, admission or other form of authorisation is required</w:t>
      </w:r>
      <w:r w:rsidR="00D45870">
        <w:t xml:space="preserve"> in order to legally practis</w:t>
      </w:r>
      <w:r>
        <w:t>e the occupation.</w:t>
      </w:r>
      <w:r w:rsidR="00CB7147">
        <w:t xml:space="preserve"> </w:t>
      </w:r>
      <w:r w:rsidR="00730161">
        <w:t>By definition, the mutual recognition of occupations only applies where registration is required in both jurisdictions — if registration was not required in the applicant’s home jurisdiction</w:t>
      </w:r>
      <w:r w:rsidR="00730161" w:rsidRPr="00DF2449">
        <w:t xml:space="preserve"> </w:t>
      </w:r>
      <w:r w:rsidR="00730161">
        <w:t xml:space="preserve">for a given occupation, then they cannot apply under mutual recognition for registration in other jurisdictions. </w:t>
      </w:r>
      <w:r w:rsidR="00730161">
        <w:lastRenderedPageBreak/>
        <w:t xml:space="preserve">Further, mutual recognition does not apply </w:t>
      </w:r>
      <w:r w:rsidR="007E268D">
        <w:t>to</w:t>
      </w:r>
      <w:r w:rsidR="00730161">
        <w:t xml:space="preserve"> occupations where there is a national system of registration.</w:t>
      </w:r>
    </w:p>
    <w:p w14:paraId="59747086" w14:textId="540849BA" w:rsidR="00924852" w:rsidRDefault="00924852" w:rsidP="00924852">
      <w:pPr>
        <w:pStyle w:val="Heading4"/>
      </w:pPr>
      <w:r>
        <w:t>Measures that limit occupational coverage</w:t>
      </w:r>
    </w:p>
    <w:p w14:paraId="7EC7359F" w14:textId="378C652E" w:rsidR="00262C3B" w:rsidRDefault="00CB7147" w:rsidP="001240F4">
      <w:pPr>
        <w:pStyle w:val="BodyText"/>
      </w:pPr>
      <w:r>
        <w:t>T</w:t>
      </w:r>
      <w:r w:rsidR="00CB2127">
        <w:t xml:space="preserve">wo measures </w:t>
      </w:r>
      <w:r>
        <w:t>are available</w:t>
      </w:r>
      <w:r w:rsidR="00262C3B">
        <w:t xml:space="preserve"> to explicitly</w:t>
      </w:r>
      <w:r w:rsidR="0008397B">
        <w:t xml:space="preserve"> rule out</w:t>
      </w:r>
      <w:r w:rsidR="00262C3B">
        <w:t xml:space="preserve"> </w:t>
      </w:r>
      <w:r w:rsidR="00566C01">
        <w:t xml:space="preserve">coverage of specific </w:t>
      </w:r>
      <w:r w:rsidR="00262C3B">
        <w:t>occupations</w:t>
      </w:r>
      <w:r w:rsidR="00566C01">
        <w:t xml:space="preserve"> and related laws</w:t>
      </w:r>
      <w:r w:rsidR="002C77D2">
        <w:t xml:space="preserve"> (figure 4)</w:t>
      </w:r>
      <w:r w:rsidR="00262C3B">
        <w:t>:</w:t>
      </w:r>
    </w:p>
    <w:p w14:paraId="07883D8B" w14:textId="77777777" w:rsidR="002C77D2" w:rsidRDefault="00262C3B" w:rsidP="002C77D2">
      <w:pPr>
        <w:pStyle w:val="ListBullet"/>
      </w:pPr>
      <w:r w:rsidRPr="005A2EF6">
        <w:rPr>
          <w:i/>
        </w:rPr>
        <w:t>exemptions</w:t>
      </w:r>
      <w:r w:rsidR="003403DB">
        <w:t xml:space="preserve"> — </w:t>
      </w:r>
      <w:r w:rsidR="00566C80">
        <w:t xml:space="preserve">used to rule out coverage of specific occupations. There is currently only one exemption — </w:t>
      </w:r>
      <w:r w:rsidR="005C3D8C">
        <w:t xml:space="preserve">registration of </w:t>
      </w:r>
      <w:r w:rsidR="00566C80">
        <w:t xml:space="preserve">medical </w:t>
      </w:r>
      <w:r w:rsidR="005C3D8C">
        <w:t xml:space="preserve">practitioners under the </w:t>
      </w:r>
      <w:r w:rsidR="00566C01">
        <w:t>TTMRA</w:t>
      </w:r>
      <w:r w:rsidR="002C77D2">
        <w:t xml:space="preserve"> </w:t>
      </w:r>
    </w:p>
    <w:p w14:paraId="693A912E" w14:textId="175F04E6" w:rsidR="002C77D2" w:rsidRPr="002C77D2" w:rsidRDefault="00262C3B" w:rsidP="002C77D2">
      <w:pPr>
        <w:pStyle w:val="ListBullet"/>
      </w:pPr>
      <w:r w:rsidRPr="005A2EF6">
        <w:rPr>
          <w:i/>
        </w:rPr>
        <w:t>exceptions</w:t>
      </w:r>
      <w:r>
        <w:t xml:space="preserve"> — </w:t>
      </w:r>
      <w:r w:rsidR="005A2EF6">
        <w:t>l</w:t>
      </w:r>
      <w:r>
        <w:t xml:space="preserve">aws relating to </w:t>
      </w:r>
      <w:r w:rsidR="005A2EF6">
        <w:t xml:space="preserve">the </w:t>
      </w:r>
      <w:r>
        <w:t>manner of carrying on an occupation</w:t>
      </w:r>
      <w:r w:rsidR="0029797D">
        <w:t xml:space="preserve"> </w:t>
      </w:r>
      <w:r w:rsidR="002C77D2" w:rsidRPr="002C77D2">
        <w:rPr>
          <w:rFonts w:ascii="TimesNewRoman" w:hAnsi="TimesNewRoman" w:cs="TimesNewRoman"/>
          <w:szCs w:val="26"/>
        </w:rPr>
        <w:t>where they</w:t>
      </w:r>
      <w:r w:rsidR="002C77D2">
        <w:rPr>
          <w:rFonts w:ascii="TimesNewRoman" w:hAnsi="TimesNewRoman" w:cs="TimesNewRoman"/>
          <w:szCs w:val="26"/>
        </w:rPr>
        <w:t>:</w:t>
      </w:r>
      <w:r w:rsidR="002C77D2" w:rsidRPr="002C77D2">
        <w:rPr>
          <w:rFonts w:ascii="TimesNewRoman" w:hAnsi="TimesNewRoman" w:cs="TimesNewRoman"/>
          <w:szCs w:val="26"/>
        </w:rPr>
        <w:t xml:space="preserve"> </w:t>
      </w:r>
    </w:p>
    <w:p w14:paraId="65297593" w14:textId="3E1D69F9" w:rsidR="002C77D2" w:rsidRDefault="002C77D2" w:rsidP="002C77D2">
      <w:pPr>
        <w:pStyle w:val="ListBullet2"/>
      </w:pPr>
      <w:r w:rsidRPr="002C77D2">
        <w:t>apply equally to all p</w:t>
      </w:r>
      <w:r>
        <w:t>eople carrying on, or seeking to</w:t>
      </w:r>
      <w:r w:rsidRPr="002C77D2">
        <w:t xml:space="preserve"> ca</w:t>
      </w:r>
      <w:r>
        <w:t>r</w:t>
      </w:r>
      <w:r w:rsidRPr="002C77D2">
        <w:t>ry on</w:t>
      </w:r>
      <w:r w:rsidR="00C82CA5">
        <w:t>,</w:t>
      </w:r>
      <w:r w:rsidRPr="002C77D2">
        <w:t xml:space="preserve"> the occupation </w:t>
      </w:r>
    </w:p>
    <w:p w14:paraId="08B0218D" w14:textId="27ACE7A4" w:rsidR="00262C3B" w:rsidRDefault="002C77D2" w:rsidP="002C77D2">
      <w:pPr>
        <w:pStyle w:val="ListBullet2"/>
      </w:pPr>
      <w:r w:rsidRPr="002C77D2">
        <w:t>are not based on the attainment or possession of some qualification or experience</w:t>
      </w:r>
      <w:r>
        <w:t xml:space="preserve"> </w:t>
      </w:r>
      <w:r w:rsidRPr="002C77D2">
        <w:t>relating to fitness to carry on the occupation</w:t>
      </w:r>
      <w:r w:rsidR="00262C3B">
        <w:t>.</w:t>
      </w:r>
    </w:p>
    <w:p w14:paraId="1E0E4B00" w14:textId="7D7DDC2C" w:rsidR="0029797D" w:rsidRDefault="0029797D" w:rsidP="0068232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9797D" w14:paraId="48E3C2F0" w14:textId="77777777" w:rsidTr="0068232F">
        <w:tc>
          <w:tcPr>
            <w:tcW w:w="8771" w:type="dxa"/>
            <w:tcBorders>
              <w:top w:val="single" w:sz="6" w:space="0" w:color="78A22F"/>
              <w:left w:val="nil"/>
              <w:bottom w:val="nil"/>
              <w:right w:val="nil"/>
            </w:tcBorders>
            <w:shd w:val="clear" w:color="auto" w:fill="auto"/>
          </w:tcPr>
          <w:p w14:paraId="6F55C7ED" w14:textId="4AC8D467" w:rsidR="0029797D" w:rsidRPr="00176D3F" w:rsidRDefault="0029797D" w:rsidP="00A266CE">
            <w:pPr>
              <w:pStyle w:val="FigureTitle"/>
            </w:pPr>
            <w:r w:rsidRPr="00784A05">
              <w:rPr>
                <w:b w:val="0"/>
              </w:rPr>
              <w:t>Figure</w:t>
            </w:r>
            <w:r>
              <w:rPr>
                <w:b w:val="0"/>
              </w:rPr>
              <w:t xml:space="preserve"> 4</w:t>
            </w:r>
            <w:r>
              <w:tab/>
              <w:t>Mutual recognition schemes for occupations</w:t>
            </w:r>
            <w:r w:rsidR="00946847" w:rsidRPr="00946847">
              <w:rPr>
                <w:rStyle w:val="NoteLabel"/>
                <w:b/>
              </w:rPr>
              <w:t>a</w:t>
            </w:r>
          </w:p>
        </w:tc>
      </w:tr>
      <w:tr w:rsidR="0029797D" w14:paraId="53C65815" w14:textId="77777777" w:rsidTr="0068232F">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29797D" w14:paraId="58D4A91D" w14:textId="77777777" w:rsidTr="0068232F">
              <w:trPr>
                <w:jc w:val="center"/>
              </w:trPr>
              <w:tc>
                <w:tcPr>
                  <w:tcW w:w="5000" w:type="pct"/>
                  <w:tcBorders>
                    <w:top w:val="nil"/>
                    <w:bottom w:val="nil"/>
                  </w:tcBorders>
                </w:tcPr>
                <w:p w14:paraId="64BA4422" w14:textId="771893E1" w:rsidR="0029797D" w:rsidRDefault="00931494" w:rsidP="00CF2380">
                  <w:pPr>
                    <w:pStyle w:val="Figure"/>
                    <w:spacing w:before="60" w:after="60"/>
                  </w:pPr>
                  <w:r>
                    <w:rPr>
                      <w:noProof/>
                    </w:rPr>
                    <w:drawing>
                      <wp:inline distT="0" distB="0" distL="0" distR="0" wp14:anchorId="445B86B2" wp14:editId="2571A498">
                        <wp:extent cx="5393690" cy="3267075"/>
                        <wp:effectExtent l="0" t="0" r="0" b="9525"/>
                        <wp:docPr id="21" name="Picture 21" descr="This figure shows the coverage of occupations under the MRA and the TTMRA. Under the MRA, there are exceptions. These consist of laws relating to manner of carrying on an occupation. Under the TTMRA, there are exceptions and exemptions. Exceptions consist of laws relating to manner of carrying on an occupation. The only exemption relates to medical practitioners." title="Mutual recognition schemes for occup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93690" cy="3267075"/>
                                </a:xfrm>
                                <a:prstGeom prst="rect">
                                  <a:avLst/>
                                </a:prstGeom>
                                <a:noFill/>
                                <a:ln>
                                  <a:noFill/>
                                </a:ln>
                              </pic:spPr>
                            </pic:pic>
                          </a:graphicData>
                        </a:graphic>
                      </wp:inline>
                    </w:drawing>
                  </w:r>
                </w:p>
              </w:tc>
            </w:tr>
          </w:tbl>
          <w:p w14:paraId="7168926D" w14:textId="77777777" w:rsidR="0029797D" w:rsidRDefault="0029797D" w:rsidP="0068232F">
            <w:pPr>
              <w:pStyle w:val="Figure"/>
            </w:pPr>
          </w:p>
        </w:tc>
      </w:tr>
      <w:tr w:rsidR="0029797D" w:rsidRPr="00176D3F" w14:paraId="2DEE8318" w14:textId="77777777" w:rsidTr="0068232F">
        <w:tc>
          <w:tcPr>
            <w:tcW w:w="8771" w:type="dxa"/>
            <w:tcBorders>
              <w:top w:val="nil"/>
              <w:left w:val="nil"/>
              <w:bottom w:val="nil"/>
              <w:right w:val="nil"/>
            </w:tcBorders>
            <w:shd w:val="clear" w:color="auto" w:fill="auto"/>
          </w:tcPr>
          <w:p w14:paraId="7B2DFA76" w14:textId="385B407B" w:rsidR="0029797D" w:rsidRPr="00176D3F" w:rsidRDefault="0029797D" w:rsidP="00006689">
            <w:pPr>
              <w:pStyle w:val="Note"/>
            </w:pPr>
            <w:proofErr w:type="spellStart"/>
            <w:r>
              <w:rPr>
                <w:rStyle w:val="NoteLabel"/>
              </w:rPr>
              <w:t>a</w:t>
            </w:r>
            <w:proofErr w:type="spellEnd"/>
            <w:r w:rsidR="00946847">
              <w:t xml:space="preserve"> These only </w:t>
            </w:r>
            <w:r w:rsidR="00006689">
              <w:t xml:space="preserve">cover </w:t>
            </w:r>
            <w:r w:rsidR="00FB4EAA">
              <w:t xml:space="preserve">occupations where </w:t>
            </w:r>
            <w:r w:rsidR="006462C6">
              <w:t>some form of legislation</w:t>
            </w:r>
            <w:r w:rsidR="00AC10D4">
              <w:noBreakHyphen/>
            </w:r>
            <w:r w:rsidR="006462C6" w:rsidRPr="006462C6">
              <w:t>based registration, certification, licensing, approval, admission or other form of authorisation is required in order to legally practise the occupation</w:t>
            </w:r>
            <w:r w:rsidR="006462C6">
              <w:t>.</w:t>
            </w:r>
          </w:p>
        </w:tc>
      </w:tr>
      <w:tr w:rsidR="0029797D" w:rsidRPr="00176D3F" w14:paraId="434318CC" w14:textId="77777777" w:rsidTr="0068232F">
        <w:tc>
          <w:tcPr>
            <w:tcW w:w="8771" w:type="dxa"/>
            <w:tcBorders>
              <w:top w:val="nil"/>
              <w:left w:val="nil"/>
              <w:bottom w:val="nil"/>
              <w:right w:val="nil"/>
            </w:tcBorders>
            <w:shd w:val="clear" w:color="auto" w:fill="auto"/>
          </w:tcPr>
          <w:p w14:paraId="3227FDDF" w14:textId="5078A998" w:rsidR="0029797D" w:rsidRPr="00176D3F" w:rsidRDefault="0024498B" w:rsidP="0068232F">
            <w:pPr>
              <w:pStyle w:val="Source"/>
            </w:pPr>
            <w:r>
              <w:rPr>
                <w:i/>
              </w:rPr>
              <w:t>S</w:t>
            </w:r>
            <w:r w:rsidR="0029797D" w:rsidRPr="00784A05">
              <w:rPr>
                <w:i/>
              </w:rPr>
              <w:t>ource</w:t>
            </w:r>
            <w:r>
              <w:rPr>
                <w:i/>
              </w:rPr>
              <w:t>s</w:t>
            </w:r>
            <w:r w:rsidR="0029797D" w:rsidRPr="00176D3F">
              <w:t>:</w:t>
            </w:r>
            <w:r>
              <w:t xml:space="preserve"> Australian Government </w:t>
            </w:r>
            <w:r w:rsidR="005177E1" w:rsidRPr="005177E1">
              <w:rPr>
                <w:rFonts w:cs="Arial"/>
              </w:rPr>
              <w:t>(2013a, 2013b)</w:t>
            </w:r>
            <w:r>
              <w:t>.</w:t>
            </w:r>
          </w:p>
        </w:tc>
      </w:tr>
      <w:tr w:rsidR="0029797D" w14:paraId="2AC943C3" w14:textId="77777777" w:rsidTr="0068232F">
        <w:tc>
          <w:tcPr>
            <w:tcW w:w="8771" w:type="dxa"/>
            <w:tcBorders>
              <w:top w:val="nil"/>
              <w:left w:val="nil"/>
              <w:bottom w:val="single" w:sz="6" w:space="0" w:color="78A22F"/>
              <w:right w:val="nil"/>
            </w:tcBorders>
            <w:shd w:val="clear" w:color="auto" w:fill="auto"/>
          </w:tcPr>
          <w:p w14:paraId="001B1A36" w14:textId="77777777" w:rsidR="0029797D" w:rsidRDefault="0029797D" w:rsidP="0068232F">
            <w:pPr>
              <w:pStyle w:val="Figurespace"/>
            </w:pPr>
          </w:p>
        </w:tc>
      </w:tr>
      <w:tr w:rsidR="0029797D" w:rsidRPr="000863A5" w14:paraId="63531B5F" w14:textId="77777777" w:rsidTr="0068232F">
        <w:tc>
          <w:tcPr>
            <w:tcW w:w="8771" w:type="dxa"/>
            <w:tcBorders>
              <w:top w:val="single" w:sz="6" w:space="0" w:color="78A22F"/>
              <w:left w:val="nil"/>
              <w:bottom w:val="nil"/>
              <w:right w:val="nil"/>
            </w:tcBorders>
          </w:tcPr>
          <w:p w14:paraId="063967E3" w14:textId="71AD0135" w:rsidR="0029797D" w:rsidRPr="00626D32" w:rsidRDefault="0029797D" w:rsidP="0068232F">
            <w:pPr>
              <w:pStyle w:val="BoxSpaceBelow"/>
            </w:pPr>
          </w:p>
        </w:tc>
      </w:tr>
    </w:tbl>
    <w:p w14:paraId="2D4303F1" w14:textId="43960ABD" w:rsidR="00262C3B" w:rsidRDefault="001702F1" w:rsidP="001240F4">
      <w:pPr>
        <w:pStyle w:val="BodyText"/>
      </w:pPr>
      <w:r>
        <w:t>The</w:t>
      </w:r>
      <w:r w:rsidR="00AB102A">
        <w:t xml:space="preserve"> TTMRA exemption for medical practitioners </w:t>
      </w:r>
      <w:r w:rsidR="00E03D3E">
        <w:t xml:space="preserve">only </w:t>
      </w:r>
      <w:r>
        <w:t>affects</w:t>
      </w:r>
      <w:r w:rsidR="00E03D3E">
        <w:t xml:space="preserve"> doctors trained outside Australia or New Zealand. </w:t>
      </w:r>
      <w:r w:rsidR="00E66F0E">
        <w:t>D</w:t>
      </w:r>
      <w:r w:rsidR="00AB102A">
        <w:t>octors with primary medical qualifications obtained in New Zealand are automatically granted general registration in</w:t>
      </w:r>
      <w:r w:rsidR="00AB102A" w:rsidRPr="006E6920">
        <w:t xml:space="preserve"> </w:t>
      </w:r>
      <w:r w:rsidR="00AB102A" w:rsidRPr="00A60F37">
        <w:t>Australia and vice</w:t>
      </w:r>
      <w:r w:rsidR="00AC10D4">
        <w:noBreakHyphen/>
      </w:r>
      <w:r w:rsidR="00AB102A" w:rsidRPr="00A60F37">
        <w:t xml:space="preserve">versa under </w:t>
      </w:r>
      <w:r w:rsidR="00AB102A">
        <w:t xml:space="preserve">other arrangements </w:t>
      </w:r>
      <w:r w:rsidR="00AB102A" w:rsidRPr="00A60F37">
        <w:rPr>
          <w:szCs w:val="24"/>
        </w:rPr>
        <w:t>(Department of Industry 2014)</w:t>
      </w:r>
      <w:r w:rsidR="00AB102A" w:rsidRPr="00A60F37">
        <w:t>.</w:t>
      </w:r>
      <w:r w:rsidR="00AB102A">
        <w:t xml:space="preserve"> </w:t>
      </w:r>
      <w:r>
        <w:t>Moreover</w:t>
      </w:r>
      <w:r w:rsidR="00AB102A" w:rsidRPr="00AB102A">
        <w:t xml:space="preserve">, </w:t>
      </w:r>
      <w:r w:rsidR="00E03D3E" w:rsidRPr="00AB102A">
        <w:t>Australia</w:t>
      </w:r>
      <w:r w:rsidR="00E03D3E">
        <w:t>n</w:t>
      </w:r>
      <w:r w:rsidR="00E03D3E" w:rsidRPr="00AB102A">
        <w:t xml:space="preserve"> </w:t>
      </w:r>
      <w:r w:rsidR="00AB102A" w:rsidRPr="00AB102A">
        <w:t xml:space="preserve">registration is </w:t>
      </w:r>
      <w:r w:rsidR="00AB102A" w:rsidRPr="00AB102A">
        <w:lastRenderedPageBreak/>
        <w:t>given to graduates of accredited medical schools in New Zealand who have completed the required period of intern training.</w:t>
      </w:r>
      <w:r w:rsidR="00AB102A">
        <w:t xml:space="preserve"> </w:t>
      </w:r>
    </w:p>
    <w:p w14:paraId="604163D6" w14:textId="1517F810" w:rsidR="008304F9" w:rsidRDefault="00475BAB" w:rsidP="008304F9">
      <w:pPr>
        <w:pStyle w:val="BodyText"/>
      </w:pPr>
      <w:r>
        <w:t xml:space="preserve">Within </w:t>
      </w:r>
      <w:r w:rsidR="008304F9">
        <w:t xml:space="preserve">Australia, the registration of medical practitioners and 13 other health professions </w:t>
      </w:r>
      <w:r>
        <w:t>is</w:t>
      </w:r>
      <w:r w:rsidR="008304F9">
        <w:t xml:space="preserve"> </w:t>
      </w:r>
      <w:r w:rsidR="008304F9" w:rsidRPr="00904039">
        <w:t>regulated by nationally consistent legislation under the National Registration and Accreditation Scheme</w:t>
      </w:r>
      <w:r w:rsidR="008304F9">
        <w:t>.</w:t>
      </w:r>
      <w:r w:rsidRPr="003E6C5D">
        <w:rPr>
          <w:rStyle w:val="FootnoteReference"/>
        </w:rPr>
        <w:footnoteReference w:id="4"/>
      </w:r>
      <w:r w:rsidR="008304F9">
        <w:t xml:space="preserve"> </w:t>
      </w:r>
      <w:r w:rsidR="009B53BA">
        <w:t>Once registered u</w:t>
      </w:r>
      <w:r w:rsidR="008304F9">
        <w:t>nder th</w:t>
      </w:r>
      <w:r w:rsidR="009B53BA">
        <w:t>e</w:t>
      </w:r>
      <w:r w:rsidR="008304F9">
        <w:t xml:space="preserve"> scheme, eligible health professionals </w:t>
      </w:r>
      <w:r w:rsidR="009B53BA">
        <w:t xml:space="preserve">are </w:t>
      </w:r>
      <w:r w:rsidR="00DD7821">
        <w:t>permitted</w:t>
      </w:r>
      <w:r w:rsidR="009B53BA">
        <w:t xml:space="preserve"> to </w:t>
      </w:r>
      <w:r w:rsidR="008304F9">
        <w:t xml:space="preserve">work anywhere within Australia. The </w:t>
      </w:r>
      <w:bookmarkStart w:id="88" w:name="OLE_LINK1"/>
      <w:r w:rsidR="008304F9">
        <w:t xml:space="preserve">Australian Health Practitioner Regulation Agency </w:t>
      </w:r>
      <w:bookmarkEnd w:id="88"/>
      <w:r w:rsidR="008304F9">
        <w:t xml:space="preserve">works with 14 national Health Practitioner Boards to implement the National Registration and Accreditation Scheme </w:t>
      </w:r>
      <w:r w:rsidR="008304F9" w:rsidRPr="00BE226A">
        <w:rPr>
          <w:szCs w:val="24"/>
        </w:rPr>
        <w:t>(AHPRA 2014)</w:t>
      </w:r>
      <w:r w:rsidR="008304F9">
        <w:t>.</w:t>
      </w:r>
    </w:p>
    <w:p w14:paraId="648DA1A1" w14:textId="42F898F6" w:rsidR="001D2214" w:rsidRPr="00D31F16" w:rsidRDefault="001D2214" w:rsidP="00CD6D3E">
      <w:pPr>
        <w:pStyle w:val="Questionindented"/>
      </w:pPr>
      <w:r w:rsidRPr="00CD6D3E">
        <w:t>Are the mutual recognition arrangements for medical practitioners trained in Australia and New Zealand effective?</w:t>
      </w:r>
    </w:p>
    <w:p w14:paraId="43F4A660" w14:textId="5F6BDCC9" w:rsidR="001D2214" w:rsidRPr="00D31F16" w:rsidRDefault="00F602A5" w:rsidP="00CD6D3E">
      <w:pPr>
        <w:pStyle w:val="Questionindented"/>
      </w:pPr>
      <w:r w:rsidRPr="00CD6D3E">
        <w:t xml:space="preserve">Is </w:t>
      </w:r>
      <w:r w:rsidR="001D2214" w:rsidRPr="00CD6D3E">
        <w:t>the exemption for medical practitioners in the TTMRA</w:t>
      </w:r>
      <w:r w:rsidRPr="00CD6D3E">
        <w:t xml:space="preserve"> still required? What would be the </w:t>
      </w:r>
      <w:r w:rsidR="00B72328" w:rsidRPr="00CD6D3E">
        <w:t>cost</w:t>
      </w:r>
      <w:r w:rsidRPr="00CD6D3E">
        <w:t xml:space="preserve">s and </w:t>
      </w:r>
      <w:r w:rsidR="00B72328" w:rsidRPr="00CD6D3E">
        <w:t>benefit</w:t>
      </w:r>
      <w:r w:rsidRPr="00CD6D3E">
        <w:t>s of removing this exemption</w:t>
      </w:r>
      <w:r w:rsidR="00E66F0E">
        <w:t>?</w:t>
      </w:r>
    </w:p>
    <w:p w14:paraId="3E0A3E1D" w14:textId="5F21AE3B" w:rsidR="008304F9" w:rsidRPr="00D31F16" w:rsidRDefault="008304F9" w:rsidP="00CD6D3E">
      <w:pPr>
        <w:pStyle w:val="Questionindented"/>
      </w:pPr>
      <w:r w:rsidRPr="00CD6D3E">
        <w:t xml:space="preserve">How effective has the National Registration and Accreditation Scheme </w:t>
      </w:r>
      <w:r w:rsidR="00752C72" w:rsidRPr="00D31F16">
        <w:t xml:space="preserve">been </w:t>
      </w:r>
      <w:r w:rsidRPr="00D31F16">
        <w:t>in improving the mobility of health professionals? In what ways can it be improved?</w:t>
      </w:r>
    </w:p>
    <w:p w14:paraId="12D53298" w14:textId="4801EC6D" w:rsidR="008304F9" w:rsidRPr="00D31F16" w:rsidRDefault="008304F9" w:rsidP="00CD6D3E">
      <w:pPr>
        <w:pStyle w:val="Questionindented"/>
      </w:pPr>
      <w:r w:rsidRPr="00CD6D3E">
        <w:t xml:space="preserve">How well does mutual recognition </w:t>
      </w:r>
      <w:r w:rsidR="00317002" w:rsidRPr="00D31F16">
        <w:t>between Australia and New Zealand</w:t>
      </w:r>
      <w:r w:rsidRPr="00D31F16">
        <w:t xml:space="preserve"> work for health professionals</w:t>
      </w:r>
      <w:r w:rsidR="003C5C71" w:rsidRPr="00D31F16">
        <w:t xml:space="preserve"> other than doctors</w:t>
      </w:r>
      <w:r w:rsidRPr="00D31F16">
        <w:t>?</w:t>
      </w:r>
    </w:p>
    <w:p w14:paraId="2B77B557" w14:textId="59293FD4" w:rsidR="00403229" w:rsidRDefault="00D73AC0" w:rsidP="00403229">
      <w:pPr>
        <w:pStyle w:val="Heading4"/>
      </w:pPr>
      <w:r>
        <w:t xml:space="preserve">Requirements for </w:t>
      </w:r>
      <w:r w:rsidR="001A0F3C">
        <w:t>‘</w:t>
      </w:r>
      <w:r>
        <w:t>m</w:t>
      </w:r>
      <w:r w:rsidR="001A0F3C">
        <w:t xml:space="preserve">anner of carrying on’ </w:t>
      </w:r>
      <w:r w:rsidR="00C730CB">
        <w:t>an occupation</w:t>
      </w:r>
    </w:p>
    <w:p w14:paraId="596825DE" w14:textId="186E1FDC" w:rsidR="00EC0C74" w:rsidRDefault="00E732A4" w:rsidP="00F231DA">
      <w:pPr>
        <w:pStyle w:val="BodyText"/>
      </w:pPr>
      <w:r>
        <w:t xml:space="preserve">The exception for laws </w:t>
      </w:r>
      <w:r w:rsidR="009274F4">
        <w:t>regulating</w:t>
      </w:r>
      <w:r>
        <w:t xml:space="preserve"> the </w:t>
      </w:r>
      <w:r w:rsidR="006D1C1D">
        <w:t>‘</w:t>
      </w:r>
      <w:r>
        <w:t xml:space="preserve">manner of carrying </w:t>
      </w:r>
      <w:r w:rsidR="006D1C1D">
        <w:t>on’</w:t>
      </w:r>
      <w:r>
        <w:t xml:space="preserve"> an occupation mean</w:t>
      </w:r>
      <w:r w:rsidR="009274F4">
        <w:t>s</w:t>
      </w:r>
      <w:r>
        <w:t xml:space="preserve"> that applicants under mutual recognition must meet </w:t>
      </w:r>
      <w:r w:rsidR="009274F4">
        <w:t>local</w:t>
      </w:r>
      <w:r>
        <w:t xml:space="preserve"> requirements </w:t>
      </w:r>
      <w:r w:rsidR="009274F4">
        <w:t>for</w:t>
      </w:r>
      <w:r>
        <w:t xml:space="preserve"> ongoing activities of persons registered to practice an occupation. </w:t>
      </w:r>
      <w:r w:rsidR="00860A6E" w:rsidRPr="00317002">
        <w:t xml:space="preserve">There is potential for these </w:t>
      </w:r>
      <w:r w:rsidR="009274F4">
        <w:t>laws</w:t>
      </w:r>
      <w:r w:rsidR="00860A6E" w:rsidRPr="00317002">
        <w:t xml:space="preserve"> to significant</w:t>
      </w:r>
      <w:r w:rsidR="009274F4">
        <w:t>ly impede</w:t>
      </w:r>
      <w:r w:rsidR="00860A6E" w:rsidRPr="00317002">
        <w:t xml:space="preserve"> service provision</w:t>
      </w:r>
      <w:r w:rsidR="009B57D3">
        <w:t xml:space="preserve"> across jurisdict</w:t>
      </w:r>
      <w:r w:rsidR="00223135">
        <w:t>i</w:t>
      </w:r>
      <w:r w:rsidR="009B57D3">
        <w:t>ons</w:t>
      </w:r>
      <w:r w:rsidR="00860A6E" w:rsidRPr="00317002">
        <w:t>.</w:t>
      </w:r>
      <w:r w:rsidR="00B12A0F">
        <w:t xml:space="preserve"> For example, an i</w:t>
      </w:r>
      <w:r w:rsidR="00B12A0F" w:rsidRPr="004E6984">
        <w:t xml:space="preserve">ndividual seeking to provide services </w:t>
      </w:r>
      <w:r w:rsidR="00B12A0F">
        <w:t>in</w:t>
      </w:r>
      <w:r w:rsidR="00B12A0F" w:rsidRPr="004E6984">
        <w:t xml:space="preserve"> a second jurisdiction </w:t>
      </w:r>
      <w:r w:rsidR="00B12A0F">
        <w:t xml:space="preserve">might first be required to </w:t>
      </w:r>
      <w:r w:rsidR="00241093">
        <w:t xml:space="preserve">register, </w:t>
      </w:r>
      <w:r w:rsidR="00B12A0F">
        <w:t>establish a principal office, set up a new trust fund</w:t>
      </w:r>
      <w:r w:rsidR="00B12A0F" w:rsidRPr="004E6984">
        <w:t xml:space="preserve"> </w:t>
      </w:r>
      <w:r w:rsidR="00B12A0F">
        <w:t xml:space="preserve">for </w:t>
      </w:r>
      <w:proofErr w:type="spellStart"/>
      <w:r w:rsidR="00B12A0F">
        <w:t>monies</w:t>
      </w:r>
      <w:proofErr w:type="spellEnd"/>
      <w:r w:rsidR="00B12A0F">
        <w:t xml:space="preserve"> received</w:t>
      </w:r>
      <w:r w:rsidR="00DA214C">
        <w:t>,</w:t>
      </w:r>
      <w:r w:rsidR="00B12A0F">
        <w:t xml:space="preserve"> and develop a complaints process in the second jurisdiction. </w:t>
      </w:r>
    </w:p>
    <w:p w14:paraId="1A054F78" w14:textId="062BC70A" w:rsidR="00F540B9" w:rsidRPr="00543796" w:rsidRDefault="002B7E6F" w:rsidP="00F540B9">
      <w:pPr>
        <w:pStyle w:val="BodyText"/>
      </w:pPr>
      <w:r>
        <w:t>T</w:t>
      </w:r>
      <w:r w:rsidR="006F5DC0">
        <w:t>he</w:t>
      </w:r>
      <w:r w:rsidR="00F540B9" w:rsidRPr="002A268E">
        <w:t xml:space="preserve"> 2009 review</w:t>
      </w:r>
      <w:r w:rsidR="006F5DC0">
        <w:t xml:space="preserve"> suggested that one way of addressing </w:t>
      </w:r>
      <w:r w:rsidR="001F306A">
        <w:t>such</w:t>
      </w:r>
      <w:r w:rsidR="006F5DC0">
        <w:t xml:space="preserve"> issue</w:t>
      </w:r>
      <w:r w:rsidR="001F306A">
        <w:t>s</w:t>
      </w:r>
      <w:r w:rsidR="006F5DC0">
        <w:t xml:space="preserve"> may be to </w:t>
      </w:r>
      <w:r>
        <w:t xml:space="preserve">adopt </w:t>
      </w:r>
      <w:r w:rsidR="008624F4">
        <w:t>an</w:t>
      </w:r>
      <w:r>
        <w:t xml:space="preserve"> approach </w:t>
      </w:r>
      <w:r w:rsidR="009E3D92">
        <w:t>similar to</w:t>
      </w:r>
      <w:r>
        <w:t xml:space="preserve"> that used in the European Union. </w:t>
      </w:r>
      <w:r w:rsidR="009E3D92">
        <w:t>This</w:t>
      </w:r>
      <w:r w:rsidR="009D6D58">
        <w:t xml:space="preserve"> could involve permitting </w:t>
      </w:r>
      <w:r w:rsidR="00F540B9" w:rsidRPr="00543796">
        <w:t>individuals who provide services in more than one jurisdiction to:</w:t>
      </w:r>
    </w:p>
    <w:p w14:paraId="58C67420" w14:textId="77777777" w:rsidR="00F540B9" w:rsidRPr="002A268E" w:rsidRDefault="00F540B9" w:rsidP="00F540B9">
      <w:pPr>
        <w:pStyle w:val="ListBullet"/>
      </w:pPr>
      <w:r w:rsidRPr="002A268E">
        <w:t>register only in their ‘home’ jurisdiction</w:t>
      </w:r>
    </w:p>
    <w:p w14:paraId="5061DF0B" w14:textId="77777777" w:rsidR="00F540B9" w:rsidRPr="00543796" w:rsidRDefault="00F540B9" w:rsidP="00F540B9">
      <w:pPr>
        <w:pStyle w:val="ListBullet"/>
      </w:pPr>
      <w:r w:rsidRPr="002A268E">
        <w:t>adhere to the ‘service provider’ regulations of their home jurisdiction when working in ‘host’ jurisdictions</w:t>
      </w:r>
    </w:p>
    <w:p w14:paraId="55B686A8" w14:textId="77777777" w:rsidR="00F540B9" w:rsidRPr="00543796" w:rsidRDefault="00F540B9" w:rsidP="00F540B9">
      <w:pPr>
        <w:pStyle w:val="ListBullet"/>
      </w:pPr>
      <w:r w:rsidRPr="00543796">
        <w:t>comply with the ‘service provision’ regulations of any host jurisdiction.</w:t>
      </w:r>
    </w:p>
    <w:p w14:paraId="61294657" w14:textId="564E6A5F" w:rsidR="00AC67FD" w:rsidRDefault="00AC67FD" w:rsidP="00AC67FD">
      <w:pPr>
        <w:pStyle w:val="BodyText"/>
      </w:pPr>
      <w:r>
        <w:lastRenderedPageBreak/>
        <w:t xml:space="preserve">Under this </w:t>
      </w:r>
      <w:r w:rsidR="001206FC">
        <w:t>approach</w:t>
      </w:r>
      <w:r>
        <w:t>, a registered architect based in New Zealand providing services to a client in Australia</w:t>
      </w:r>
      <w:r w:rsidR="00E66F0E">
        <w:t xml:space="preserve"> would not need to </w:t>
      </w:r>
      <w:r>
        <w:t xml:space="preserve">register in Australia, or comply with Australian regulations governing characteristics of </w:t>
      </w:r>
      <w:r w:rsidR="00E66F0E">
        <w:t xml:space="preserve">their </w:t>
      </w:r>
      <w:r>
        <w:t>practice (for example, insurance and continuing professional development requirements</w:t>
      </w:r>
      <w:r w:rsidR="00E66F0E">
        <w:t>). However, the New Zealand</w:t>
      </w:r>
      <w:r w:rsidR="00AC10D4">
        <w:noBreakHyphen/>
      </w:r>
      <w:r w:rsidR="00E66F0E">
        <w:t xml:space="preserve">based architect </w:t>
      </w:r>
      <w:r>
        <w:t>would have to abide by the Australian building code.</w:t>
      </w:r>
    </w:p>
    <w:p w14:paraId="53B6FA0B" w14:textId="45F0A070" w:rsidR="005B36BE" w:rsidRPr="00F231DA" w:rsidRDefault="00895D98" w:rsidP="005B36BE">
      <w:pPr>
        <w:pStyle w:val="BodyText"/>
      </w:pPr>
      <w:r>
        <w:t>Such t</w:t>
      </w:r>
      <w:r w:rsidR="00740DBA" w:rsidRPr="005D698B">
        <w:t>rans</w:t>
      </w:r>
      <w:r w:rsidR="00AC10D4">
        <w:noBreakHyphen/>
      </w:r>
      <w:r w:rsidR="00740DBA" w:rsidRPr="005D698B">
        <w:t xml:space="preserve">Tasman provision of services </w:t>
      </w:r>
      <w:r w:rsidR="00740DBA">
        <w:t xml:space="preserve">could be facilitated by the </w:t>
      </w:r>
      <w:r w:rsidR="00C926EA">
        <w:t>recent</w:t>
      </w:r>
      <w:r w:rsidR="003F4DB5">
        <w:t>ly implemented</w:t>
      </w:r>
      <w:r>
        <w:t xml:space="preserve"> </w:t>
      </w:r>
      <w:r w:rsidR="00740DBA" w:rsidRPr="005D698B">
        <w:t>Agreement on Trans</w:t>
      </w:r>
      <w:r w:rsidR="00AC10D4">
        <w:noBreakHyphen/>
      </w:r>
      <w:r w:rsidR="00740DBA" w:rsidRPr="005D698B">
        <w:t>Tasman Court Proceedings and Regulatory Enforcement</w:t>
      </w:r>
      <w:r w:rsidR="00C236FD">
        <w:t>.</w:t>
      </w:r>
      <w:r w:rsidR="00F540B9" w:rsidRPr="00FE4566">
        <w:t xml:space="preserve"> </w:t>
      </w:r>
      <w:r w:rsidR="005B36BE">
        <w:t xml:space="preserve">This agreement </w:t>
      </w:r>
      <w:r w:rsidR="00D608BC">
        <w:t>is designed to lead to</w:t>
      </w:r>
      <w:r>
        <w:t xml:space="preserve"> </w:t>
      </w:r>
      <w:r w:rsidR="005B36BE">
        <w:t>cheaper and more effective resolution of trans</w:t>
      </w:r>
      <w:r w:rsidR="00AC10D4">
        <w:noBreakHyphen/>
      </w:r>
      <w:r w:rsidR="005B36BE">
        <w:t>Tasman disputes</w:t>
      </w:r>
      <w:r>
        <w:t xml:space="preserve"> than what was previously possible</w:t>
      </w:r>
      <w:r w:rsidR="005B36BE">
        <w:t>, and so could be of considerable assistance to the smooth operation of service provision across the Tasman</w:t>
      </w:r>
      <w:r w:rsidR="00C236FD">
        <w:t xml:space="preserve"> </w:t>
      </w:r>
      <w:r w:rsidR="00C236FD" w:rsidRPr="00FE4566">
        <w:t>(box</w:t>
      </w:r>
      <w:r w:rsidR="00AC10D4">
        <w:t> </w:t>
      </w:r>
      <w:r w:rsidR="00C236FD">
        <w:t>2</w:t>
      </w:r>
      <w:r w:rsidR="00C236FD" w:rsidRPr="00FE4566">
        <w:t>)</w:t>
      </w:r>
      <w:r w:rsidR="00C236FD">
        <w:t>.</w:t>
      </w:r>
    </w:p>
    <w:p w14:paraId="53554229" w14:textId="40CD187C" w:rsidR="007015AE" w:rsidRDefault="007015AE" w:rsidP="007015AE">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7015AE" w14:paraId="62931D44" w14:textId="77777777" w:rsidTr="007015AE">
        <w:tc>
          <w:tcPr>
            <w:tcW w:w="8771" w:type="dxa"/>
            <w:tcBorders>
              <w:top w:val="single" w:sz="6" w:space="0" w:color="78A22F"/>
              <w:left w:val="nil"/>
              <w:bottom w:val="nil"/>
              <w:right w:val="nil"/>
            </w:tcBorders>
            <w:shd w:val="clear" w:color="auto" w:fill="F2F2F2"/>
          </w:tcPr>
          <w:p w14:paraId="08D8070C" w14:textId="3CC1A1B3" w:rsidR="007015AE" w:rsidRDefault="007015AE" w:rsidP="007015AE">
            <w:pPr>
              <w:pStyle w:val="BoxTitle"/>
            </w:pPr>
            <w:r>
              <w:rPr>
                <w:b w:val="0"/>
              </w:rPr>
              <w:t>Box 2</w:t>
            </w:r>
            <w:r>
              <w:tab/>
              <w:t>Agreement on</w:t>
            </w:r>
            <w:r w:rsidRPr="00D30BDF">
              <w:t xml:space="preserve"> Trans</w:t>
            </w:r>
            <w:r w:rsidR="00AC10D4">
              <w:noBreakHyphen/>
            </w:r>
            <w:r w:rsidRPr="00D30BDF">
              <w:t>Tasman Court Proceedings and Regulatory Enforcement</w:t>
            </w:r>
            <w:r>
              <w:t xml:space="preserve"> </w:t>
            </w:r>
          </w:p>
        </w:tc>
      </w:tr>
      <w:tr w:rsidR="007015AE" w14:paraId="1553F747" w14:textId="77777777" w:rsidTr="007015AE">
        <w:trPr>
          <w:cantSplit/>
        </w:trPr>
        <w:tc>
          <w:tcPr>
            <w:tcW w:w="8771" w:type="dxa"/>
            <w:tcBorders>
              <w:top w:val="nil"/>
              <w:left w:val="nil"/>
              <w:bottom w:val="nil"/>
              <w:right w:val="nil"/>
            </w:tcBorders>
            <w:shd w:val="clear" w:color="auto" w:fill="F2F2F2"/>
          </w:tcPr>
          <w:p w14:paraId="40D6A59A" w14:textId="30FD15FA" w:rsidR="007015AE" w:rsidRDefault="007015AE" w:rsidP="007015AE">
            <w:pPr>
              <w:pStyle w:val="Box"/>
            </w:pPr>
            <w:r w:rsidRPr="009836D7">
              <w:t xml:space="preserve">The </w:t>
            </w:r>
            <w:r w:rsidRPr="00D31F16">
              <w:t xml:space="preserve">Agreement Between the Government of Australia and the Government of New Zealand </w:t>
            </w:r>
            <w:r w:rsidRPr="009836D7">
              <w:t>on Trans</w:t>
            </w:r>
            <w:r w:rsidR="00AC10D4">
              <w:noBreakHyphen/>
            </w:r>
            <w:r w:rsidRPr="009836D7">
              <w:t>Tasman Court Proceedings and Regulatory Enforcement was signed in 2008. Legislation to put the agreement into effect commenced in October</w:t>
            </w:r>
            <w:r w:rsidR="00AC10D4">
              <w:t xml:space="preserve"> </w:t>
            </w:r>
            <w:r w:rsidRPr="009836D7">
              <w:t xml:space="preserve">2013. </w:t>
            </w:r>
          </w:p>
          <w:p w14:paraId="059BCE01" w14:textId="361BD43A" w:rsidR="007015AE" w:rsidRPr="00D95E09" w:rsidRDefault="007015AE" w:rsidP="007015AE">
            <w:pPr>
              <w:pStyle w:val="Box"/>
            </w:pPr>
            <w:r w:rsidRPr="009836D7">
              <w:t>It puts in place a framework for the resolution of trans</w:t>
            </w:r>
            <w:r w:rsidRPr="009836D7">
              <w:noBreakHyphen/>
              <w:t>Tasman civil disputes, with the aim of making a trans</w:t>
            </w:r>
            <w:r w:rsidR="00AC10D4">
              <w:noBreakHyphen/>
            </w:r>
            <w:r w:rsidRPr="009836D7">
              <w:t xml:space="preserve">Tasman court case more like a court case between parties in the same country. </w:t>
            </w:r>
            <w:r>
              <w:t>This includes making it easier to:</w:t>
            </w:r>
          </w:p>
          <w:p w14:paraId="453AB3A9" w14:textId="77777777" w:rsidR="007015AE" w:rsidRPr="00D95E09" w:rsidRDefault="007015AE" w:rsidP="007015AE">
            <w:pPr>
              <w:pStyle w:val="BoxListBullet"/>
            </w:pPr>
            <w:r w:rsidRPr="00D95E09">
              <w:t xml:space="preserve">start Australian court proceedings against a person located in New Zealand </w:t>
            </w:r>
          </w:p>
          <w:p w14:paraId="780B362E" w14:textId="77777777" w:rsidR="007015AE" w:rsidRPr="00D95E09" w:rsidRDefault="007015AE" w:rsidP="007015AE">
            <w:pPr>
              <w:pStyle w:val="BoxListBullet"/>
            </w:pPr>
            <w:r w:rsidRPr="00D95E09">
              <w:t xml:space="preserve">ask for cases that were started in New Zealand to be heard before Australian courts in certain circumstances </w:t>
            </w:r>
          </w:p>
          <w:p w14:paraId="612A701B" w14:textId="77777777" w:rsidR="007015AE" w:rsidRPr="00D95E09" w:rsidRDefault="007015AE" w:rsidP="007015AE">
            <w:pPr>
              <w:pStyle w:val="BoxListBullet"/>
            </w:pPr>
            <w:r w:rsidRPr="00D95E09">
              <w:t xml:space="preserve">have a person located in New Zealand give evidence in certain Australian proceedings </w:t>
            </w:r>
          </w:p>
          <w:p w14:paraId="341B9D24" w14:textId="77777777" w:rsidR="007015AE" w:rsidRPr="00D95E09" w:rsidRDefault="007015AE" w:rsidP="007015AE">
            <w:pPr>
              <w:pStyle w:val="BoxListBullet"/>
            </w:pPr>
            <w:r w:rsidRPr="00D95E09">
              <w:t xml:space="preserve">appear by audio or video link in New Zealand court proceedings </w:t>
            </w:r>
          </w:p>
          <w:p w14:paraId="2268460C" w14:textId="00527514" w:rsidR="007015AE" w:rsidRDefault="007015AE" w:rsidP="00983B51">
            <w:pPr>
              <w:pStyle w:val="BoxListBullet"/>
            </w:pPr>
            <w:r w:rsidRPr="00D95E09">
              <w:t>have a broader range of Australian court judgments recognised and enforced in New Zealand</w:t>
            </w:r>
            <w:r w:rsidR="00983B51">
              <w:t>.</w:t>
            </w:r>
          </w:p>
        </w:tc>
      </w:tr>
      <w:tr w:rsidR="00983B51" w14:paraId="00BF7914" w14:textId="77777777" w:rsidTr="00754CEF">
        <w:trPr>
          <w:cantSplit/>
        </w:trPr>
        <w:tc>
          <w:tcPr>
            <w:tcW w:w="8771" w:type="dxa"/>
            <w:tcBorders>
              <w:top w:val="nil"/>
              <w:left w:val="nil"/>
              <w:bottom w:val="nil"/>
              <w:right w:val="nil"/>
            </w:tcBorders>
            <w:shd w:val="clear" w:color="auto" w:fill="F2F2F2"/>
          </w:tcPr>
          <w:p w14:paraId="6F3C8B78" w14:textId="6F2C4F6F" w:rsidR="00983B51" w:rsidRDefault="00983B51" w:rsidP="00754CEF">
            <w:pPr>
              <w:pStyle w:val="BoxSource"/>
            </w:pPr>
            <w:r>
              <w:rPr>
                <w:i/>
              </w:rPr>
              <w:t>Source</w:t>
            </w:r>
            <w:r w:rsidRPr="00167F06">
              <w:t>:</w:t>
            </w:r>
            <w:r w:rsidR="000452EE">
              <w:t xml:space="preserve"> Australian Government</w:t>
            </w:r>
            <w:r w:rsidRPr="00167F06">
              <w:t xml:space="preserve"> </w:t>
            </w:r>
            <w:r w:rsidR="000452EE" w:rsidRPr="000452EE">
              <w:rPr>
                <w:rFonts w:cs="Arial"/>
              </w:rPr>
              <w:t>(</w:t>
            </w:r>
            <w:proofErr w:type="spellStart"/>
            <w:r w:rsidR="000452EE" w:rsidRPr="000452EE">
              <w:rPr>
                <w:rFonts w:cs="Arial"/>
              </w:rPr>
              <w:t>nd</w:t>
            </w:r>
            <w:proofErr w:type="spellEnd"/>
            <w:r w:rsidR="000452EE" w:rsidRPr="000452EE">
              <w:rPr>
                <w:rFonts w:cs="Arial"/>
              </w:rPr>
              <w:t>)</w:t>
            </w:r>
            <w:r w:rsidRPr="00D95E09">
              <w:t>.</w:t>
            </w:r>
          </w:p>
        </w:tc>
      </w:tr>
      <w:tr w:rsidR="007015AE" w14:paraId="477494E7" w14:textId="77777777" w:rsidTr="007015AE">
        <w:trPr>
          <w:cantSplit/>
        </w:trPr>
        <w:tc>
          <w:tcPr>
            <w:tcW w:w="8771" w:type="dxa"/>
            <w:tcBorders>
              <w:top w:val="nil"/>
              <w:left w:val="nil"/>
              <w:bottom w:val="single" w:sz="6" w:space="0" w:color="78A22F"/>
              <w:right w:val="nil"/>
            </w:tcBorders>
            <w:shd w:val="clear" w:color="auto" w:fill="F2F2F2"/>
          </w:tcPr>
          <w:p w14:paraId="01918A55" w14:textId="77777777" w:rsidR="007015AE" w:rsidRDefault="007015AE" w:rsidP="007015AE">
            <w:pPr>
              <w:pStyle w:val="Box"/>
              <w:spacing w:before="0" w:line="120" w:lineRule="exact"/>
            </w:pPr>
          </w:p>
        </w:tc>
      </w:tr>
      <w:tr w:rsidR="007015AE" w:rsidRPr="000863A5" w14:paraId="1EA7C112" w14:textId="77777777" w:rsidTr="007015AE">
        <w:tc>
          <w:tcPr>
            <w:tcW w:w="8771" w:type="dxa"/>
            <w:tcBorders>
              <w:top w:val="single" w:sz="6" w:space="0" w:color="78A22F"/>
              <w:left w:val="nil"/>
              <w:bottom w:val="nil"/>
              <w:right w:val="nil"/>
            </w:tcBorders>
          </w:tcPr>
          <w:p w14:paraId="5E813A55" w14:textId="16BB4371" w:rsidR="007015AE" w:rsidRPr="00626D32" w:rsidRDefault="007015AE" w:rsidP="007015AE">
            <w:pPr>
              <w:pStyle w:val="BoxSpaceBelow"/>
            </w:pPr>
          </w:p>
        </w:tc>
      </w:tr>
    </w:tbl>
    <w:p w14:paraId="4C27A9E3" w14:textId="4B473B19" w:rsidR="009274F4" w:rsidRPr="00D31F16" w:rsidRDefault="009274F4" w:rsidP="00C562CC">
      <w:pPr>
        <w:pStyle w:val="Questionindented"/>
      </w:pPr>
      <w:r w:rsidRPr="00234DFB">
        <w:t xml:space="preserve">To what extent do </w:t>
      </w:r>
      <w:proofErr w:type="spellStart"/>
      <w:r w:rsidRPr="00234DFB">
        <w:t>interjurisdictional</w:t>
      </w:r>
      <w:proofErr w:type="spellEnd"/>
      <w:r w:rsidRPr="00234DFB">
        <w:t xml:space="preserve"> differences in laws for the ‘manner of carrying on’ an occupation hinder labour mobility </w:t>
      </w:r>
      <w:r w:rsidR="00676150" w:rsidRPr="00234DFB">
        <w:t xml:space="preserve">within </w:t>
      </w:r>
      <w:r w:rsidRPr="00234DFB">
        <w:t xml:space="preserve">Australia and </w:t>
      </w:r>
      <w:r w:rsidR="00676150" w:rsidRPr="00234DFB">
        <w:t>across the Tasman</w:t>
      </w:r>
      <w:r w:rsidRPr="00234DFB">
        <w:t xml:space="preserve">? Are such differences warranted because, for example, individual jurisdictions have to address significantly different risks and community expectations? </w:t>
      </w:r>
    </w:p>
    <w:p w14:paraId="28AD4DCC" w14:textId="77777777" w:rsidR="009274F4" w:rsidRPr="00D31F16" w:rsidRDefault="009274F4" w:rsidP="00C562CC">
      <w:pPr>
        <w:pStyle w:val="Questionindented"/>
      </w:pPr>
      <w:r w:rsidRPr="00234DFB">
        <w:t xml:space="preserve">What, if anything, should be done to reduce barriers to labour mobility caused by different laws for the </w:t>
      </w:r>
      <w:r w:rsidRPr="00D31F16">
        <w:t xml:space="preserve">‘manner of carrying on’ an occupation, and what would be the costs and benefits of doing so? </w:t>
      </w:r>
    </w:p>
    <w:p w14:paraId="6BE4770E" w14:textId="34875FFA" w:rsidR="00B87CDC" w:rsidRPr="00234DFB" w:rsidRDefault="00B87CDC" w:rsidP="00C562CC">
      <w:pPr>
        <w:pStyle w:val="Questionindented"/>
      </w:pPr>
      <w:r w:rsidRPr="00234DFB">
        <w:t xml:space="preserve">To what extent </w:t>
      </w:r>
      <w:r w:rsidR="009437F6" w:rsidRPr="00234DFB">
        <w:t>c</w:t>
      </w:r>
      <w:r w:rsidR="00027AB0" w:rsidRPr="00234DFB">
        <w:t>ould</w:t>
      </w:r>
      <w:r w:rsidRPr="00234DFB">
        <w:t xml:space="preserve"> cross</w:t>
      </w:r>
      <w:r w:rsidR="00AC10D4">
        <w:noBreakHyphen/>
      </w:r>
      <w:r w:rsidRPr="00234DFB">
        <w:t xml:space="preserve">border provision of services </w:t>
      </w:r>
      <w:r w:rsidR="00F214E8" w:rsidRPr="00234DFB">
        <w:t xml:space="preserve">by particular occupations </w:t>
      </w:r>
      <w:r w:rsidRPr="00234DFB">
        <w:t>be facilitated by the Agreement on Trans</w:t>
      </w:r>
      <w:r w:rsidR="00AC10D4">
        <w:noBreakHyphen/>
      </w:r>
      <w:r w:rsidRPr="00234DFB">
        <w:t>Tasman Court Proceedings and Regulatory Enforcement?</w:t>
      </w:r>
    </w:p>
    <w:p w14:paraId="4C8B4786" w14:textId="31B2BEF2" w:rsidR="00B95245" w:rsidRPr="0069469E" w:rsidRDefault="006D1C1D" w:rsidP="00E25E33">
      <w:pPr>
        <w:pStyle w:val="Heading4"/>
      </w:pPr>
      <w:r>
        <w:lastRenderedPageBreak/>
        <w:t>Refining</w:t>
      </w:r>
      <w:r w:rsidR="00E25E33">
        <w:t xml:space="preserve"> the scope of registered occupations</w:t>
      </w:r>
    </w:p>
    <w:p w14:paraId="3BE4C5CB" w14:textId="5176678D" w:rsidR="00E25E33" w:rsidRPr="00D31F16" w:rsidRDefault="00425D0C" w:rsidP="009B27EE">
      <w:pPr>
        <w:pStyle w:val="Heading5"/>
        <w:spacing w:before="240"/>
      </w:pPr>
      <w:proofErr w:type="spellStart"/>
      <w:r w:rsidRPr="00425D0C">
        <w:t>Co</w:t>
      </w:r>
      <w:r w:rsidR="00E25E33" w:rsidRPr="00425D0C">
        <w:t>regulatory</w:t>
      </w:r>
      <w:proofErr w:type="spellEnd"/>
      <w:r w:rsidR="00E25E33" w:rsidRPr="0069469E">
        <w:t>, de facto and negative occupational licensing</w:t>
      </w:r>
    </w:p>
    <w:p w14:paraId="713DBD94" w14:textId="7BB20587" w:rsidR="003D7DD7" w:rsidRDefault="00181E06" w:rsidP="00B95245">
      <w:pPr>
        <w:pStyle w:val="BodyText"/>
      </w:pPr>
      <w:r>
        <w:t>While mutual recognition clearly applies</w:t>
      </w:r>
      <w:r w:rsidR="0021058B" w:rsidRPr="001F7242">
        <w:t xml:space="preserve"> to occupations </w:t>
      </w:r>
      <w:r>
        <w:t>that are covered by legislative</w:t>
      </w:r>
      <w:r w:rsidR="0021058B" w:rsidRPr="001F7242">
        <w:t xml:space="preserve"> licensing</w:t>
      </w:r>
      <w:r>
        <w:t xml:space="preserve"> schemes, there is</w:t>
      </w:r>
      <w:r w:rsidR="003D7DD7">
        <w:t xml:space="preserve"> some uncertainty about </w:t>
      </w:r>
      <w:r w:rsidR="00EE01B1">
        <w:t>whether or not this includes</w:t>
      </w:r>
      <w:r w:rsidR="003D7DD7" w:rsidRPr="001B20F3">
        <w:t xml:space="preserve"> forms of occupational regulation with no statutory </w:t>
      </w:r>
      <w:r w:rsidR="003D7DD7">
        <w:t xml:space="preserve">registration authority, such as </w:t>
      </w:r>
      <w:proofErr w:type="spellStart"/>
      <w:r w:rsidR="003D7DD7">
        <w:t>coregulatory</w:t>
      </w:r>
      <w:proofErr w:type="spellEnd"/>
      <w:r w:rsidR="003D7DD7">
        <w:t>, de</w:t>
      </w:r>
      <w:r w:rsidR="00E53405">
        <w:t> </w:t>
      </w:r>
      <w:r w:rsidR="003D7DD7">
        <w:t>facto and negative licensing arrangements</w:t>
      </w:r>
      <w:r w:rsidR="003D7DD7" w:rsidRPr="001B20F3">
        <w:t xml:space="preserve">. </w:t>
      </w:r>
    </w:p>
    <w:p w14:paraId="1C067033" w14:textId="062E12A4" w:rsidR="00EE01B1" w:rsidRDefault="00EE01B1" w:rsidP="00B95245">
      <w:pPr>
        <w:pStyle w:val="BodyText"/>
      </w:pPr>
      <w:proofErr w:type="spellStart"/>
      <w:r w:rsidRPr="00EE01B1">
        <w:t>Coregulatory</w:t>
      </w:r>
      <w:proofErr w:type="spellEnd"/>
      <w:r w:rsidRPr="00EE01B1">
        <w:t xml:space="preserve"> arrangements involve government endorsement, usually by legislation, of professional associations which are responsible for regulating the conduct and standards of their members. </w:t>
      </w:r>
      <w:r w:rsidR="00E40E7F">
        <w:t xml:space="preserve">For instance, several professional bodies are involved in the regulation of the accountancy profession. </w:t>
      </w:r>
      <w:r w:rsidRPr="00EE01B1">
        <w:t xml:space="preserve">De facto registration arises when legislation authorises people who meet certain requirements to practise an occupation, without further reference to a registration. </w:t>
      </w:r>
      <w:r w:rsidR="00E40E7F">
        <w:t xml:space="preserve">This type of registration applies to land </w:t>
      </w:r>
      <w:proofErr w:type="spellStart"/>
      <w:r w:rsidR="00E40E7F">
        <w:t>valuers</w:t>
      </w:r>
      <w:proofErr w:type="spellEnd"/>
      <w:r w:rsidR="00E40E7F">
        <w:t xml:space="preserve"> in Tasmania, for example. </w:t>
      </w:r>
      <w:r w:rsidRPr="00EE01B1">
        <w:t xml:space="preserve">Negative </w:t>
      </w:r>
      <w:r w:rsidR="00966518">
        <w:t>occupational</w:t>
      </w:r>
      <w:r w:rsidRPr="00EE01B1">
        <w:t xml:space="preserve"> licensing is ‘a statutory scheme that allows a person or business to practise an occupation unless they breach statutory</w:t>
      </w:r>
      <w:r w:rsidR="00AC10D4">
        <w:noBreakHyphen/>
      </w:r>
      <w:r w:rsidRPr="00EE01B1">
        <w:t>based requirements’</w:t>
      </w:r>
      <w:r w:rsidR="007F3472" w:rsidRPr="007F3472">
        <w:t xml:space="preserve"> (COAG 2009, p. 3)</w:t>
      </w:r>
      <w:r>
        <w:t>.</w:t>
      </w:r>
      <w:r w:rsidRPr="00EE01B1">
        <w:t xml:space="preserve"> </w:t>
      </w:r>
      <w:r w:rsidR="00E40E7F">
        <w:t xml:space="preserve">For </w:t>
      </w:r>
      <w:r w:rsidR="008309B9">
        <w:t>instance</w:t>
      </w:r>
      <w:r w:rsidR="00E40E7F">
        <w:t xml:space="preserve">, in Victoria, debt collectors do not need a licence unless they are a prohibited person (because, for instance, they have been found guilty of certain crimes) or a prohibited corporation (such as a corporation managed by a prohibited person). </w:t>
      </w:r>
    </w:p>
    <w:p w14:paraId="3765EBFD" w14:textId="7C61427D" w:rsidR="009274F4" w:rsidRDefault="009274F4" w:rsidP="009274F4">
      <w:pPr>
        <w:pStyle w:val="BodyText"/>
      </w:pPr>
      <w:r w:rsidRPr="001B20F3">
        <w:t xml:space="preserve">In its 2009 review, the Commission </w:t>
      </w:r>
      <w:r>
        <w:t xml:space="preserve">proposed that governments clarify whether the mutual recognition schemes applied to these forms of occupational licensing. At the time, it appeared </w:t>
      </w:r>
      <w:r w:rsidRPr="001B20F3">
        <w:t>that</w:t>
      </w:r>
      <w:r>
        <w:t xml:space="preserve"> </w:t>
      </w:r>
      <w:proofErr w:type="spellStart"/>
      <w:r>
        <w:t>coregulatory</w:t>
      </w:r>
      <w:proofErr w:type="spellEnd"/>
      <w:r>
        <w:t xml:space="preserve"> arrangements</w:t>
      </w:r>
      <w:r w:rsidRPr="00C36191">
        <w:t xml:space="preserve"> </w:t>
      </w:r>
      <w:r>
        <w:t xml:space="preserve">were covered, but not </w:t>
      </w:r>
      <w:r w:rsidRPr="00C36191">
        <w:t>negative and de facto forms of licensing</w:t>
      </w:r>
      <w:r>
        <w:t>.</w:t>
      </w:r>
    </w:p>
    <w:p w14:paraId="5C1B0F0B" w14:textId="77777777" w:rsidR="009274F4" w:rsidRDefault="009274F4" w:rsidP="00C562CC">
      <w:pPr>
        <w:pStyle w:val="Questionindented"/>
      </w:pPr>
      <w:r>
        <w:t xml:space="preserve">Are </w:t>
      </w:r>
      <w:proofErr w:type="spellStart"/>
      <w:r w:rsidRPr="00831681">
        <w:t>coregulatory</w:t>
      </w:r>
      <w:proofErr w:type="spellEnd"/>
      <w:r>
        <w:t>,</w:t>
      </w:r>
      <w:r w:rsidRPr="00831681">
        <w:t xml:space="preserve"> de facto and negative licensing </w:t>
      </w:r>
      <w:r>
        <w:t xml:space="preserve">arrangements </w:t>
      </w:r>
      <w:r w:rsidRPr="00831681">
        <w:t xml:space="preserve">covered by </w:t>
      </w:r>
      <w:r>
        <w:t xml:space="preserve">the </w:t>
      </w:r>
      <w:r w:rsidRPr="00831681">
        <w:t xml:space="preserve">mutual recognition schemes? </w:t>
      </w:r>
      <w:r>
        <w:t xml:space="preserve">Should they be? </w:t>
      </w:r>
      <w:r w:rsidRPr="00831681">
        <w:t>Why or why not?</w:t>
      </w:r>
      <w:r>
        <w:t xml:space="preserve"> What issues would arise as a result of their inclusion?</w:t>
      </w:r>
      <w:r>
        <w:rPr>
          <w:i w:val="0"/>
        </w:rPr>
        <w:t xml:space="preserve"> </w:t>
      </w:r>
    </w:p>
    <w:p w14:paraId="151CF370" w14:textId="68E0B52F" w:rsidR="009274F4" w:rsidRDefault="009274F4" w:rsidP="00C562CC">
      <w:pPr>
        <w:pStyle w:val="Questionindented"/>
      </w:pPr>
      <w:r w:rsidRPr="00E53405">
        <w:t xml:space="preserve">Are there other areas in which the </w:t>
      </w:r>
      <w:r>
        <w:t xml:space="preserve">occupations </w:t>
      </w:r>
      <w:r w:rsidRPr="00E53405">
        <w:t>cover</w:t>
      </w:r>
      <w:r>
        <w:t>ed by the MRA and TTMRA</w:t>
      </w:r>
      <w:r w:rsidRPr="00E53405">
        <w:t xml:space="preserve"> </w:t>
      </w:r>
      <w:r w:rsidR="00D41AD7" w:rsidRPr="00D41AD7">
        <w:t>are</w:t>
      </w:r>
      <w:r w:rsidRPr="00E53405">
        <w:t xml:space="preserve"> unclear?</w:t>
      </w:r>
    </w:p>
    <w:p w14:paraId="3B65DB21" w14:textId="591038F8" w:rsidR="009D5C17" w:rsidRPr="009D5C17" w:rsidRDefault="009D5C17" w:rsidP="00425D0C">
      <w:pPr>
        <w:pStyle w:val="Heading5"/>
      </w:pPr>
      <w:r>
        <w:t xml:space="preserve">Professions </w:t>
      </w:r>
      <w:r w:rsidR="00ED042A">
        <w:t>with optional</w:t>
      </w:r>
      <w:r>
        <w:t xml:space="preserve"> </w:t>
      </w:r>
      <w:r w:rsidR="00ED042A">
        <w:t xml:space="preserve">or </w:t>
      </w:r>
      <w:r w:rsidR="00F55033">
        <w:t>non</w:t>
      </w:r>
      <w:r w:rsidR="00AC10D4">
        <w:noBreakHyphen/>
      </w:r>
      <w:r w:rsidR="00F55033">
        <w:t>universal</w:t>
      </w:r>
      <w:r w:rsidR="00ED042A">
        <w:t xml:space="preserve"> </w:t>
      </w:r>
      <w:r>
        <w:t>registration</w:t>
      </w:r>
      <w:r w:rsidR="00ED042A">
        <w:t xml:space="preserve"> requirements</w:t>
      </w:r>
    </w:p>
    <w:p w14:paraId="4343A0B0" w14:textId="7B1DB5BA" w:rsidR="0021058B" w:rsidRPr="003036F8" w:rsidRDefault="00E7519E" w:rsidP="0021058B">
      <w:pPr>
        <w:pStyle w:val="BodyText"/>
      </w:pPr>
      <w:r>
        <w:t>The MRA and TTMRA</w:t>
      </w:r>
      <w:r w:rsidR="0021058B" w:rsidRPr="003036F8">
        <w:t xml:space="preserve"> only </w:t>
      </w:r>
      <w:r w:rsidR="00D90642">
        <w:t xml:space="preserve">apply </w:t>
      </w:r>
      <w:r w:rsidR="00A56299">
        <w:t>where occupational</w:t>
      </w:r>
      <w:r w:rsidR="00D90642">
        <w:t xml:space="preserve"> registration is required</w:t>
      </w:r>
      <w:r w:rsidR="00A56299">
        <w:t xml:space="preserve"> </w:t>
      </w:r>
      <w:r>
        <w:t>for</w:t>
      </w:r>
      <w:r w:rsidR="00A56299">
        <w:t xml:space="preserve"> </w:t>
      </w:r>
      <w:r w:rsidR="0021058B" w:rsidRPr="007C56FE">
        <w:rPr>
          <w:i/>
        </w:rPr>
        <w:t>all</w:t>
      </w:r>
      <w:r w:rsidR="0021058B" w:rsidRPr="003036F8">
        <w:t xml:space="preserve"> practitioners </w:t>
      </w:r>
      <w:r w:rsidR="00A56299">
        <w:t>(universal registration).</w:t>
      </w:r>
      <w:r w:rsidR="00ED042A">
        <w:t xml:space="preserve"> </w:t>
      </w:r>
      <w:r w:rsidR="00040942">
        <w:t>Consequently, individuals working in occupations where registration is optional</w:t>
      </w:r>
      <w:r w:rsidR="00635F40">
        <w:t>,</w:t>
      </w:r>
      <w:r w:rsidR="00040942">
        <w:t xml:space="preserve"> or compulsory </w:t>
      </w:r>
      <w:r w:rsidR="00635F40">
        <w:t xml:space="preserve">only </w:t>
      </w:r>
      <w:r w:rsidR="00040942">
        <w:t>for some practitioners</w:t>
      </w:r>
      <w:r w:rsidR="00635F40">
        <w:t>,</w:t>
      </w:r>
      <w:r w:rsidR="00040942">
        <w:t xml:space="preserve"> are unable to </w:t>
      </w:r>
      <w:r w:rsidR="0021058B" w:rsidRPr="003036F8">
        <w:t xml:space="preserve">apply for </w:t>
      </w:r>
      <w:r>
        <w:t xml:space="preserve">registration under </w:t>
      </w:r>
      <w:r w:rsidR="0021058B" w:rsidRPr="003036F8">
        <w:t>mutual recognition</w:t>
      </w:r>
      <w:r w:rsidR="00040942">
        <w:t>.</w:t>
      </w:r>
      <w:r w:rsidR="0021058B">
        <w:t xml:space="preserve"> </w:t>
      </w:r>
      <w:r w:rsidR="00ED042A">
        <w:t>For example,</w:t>
      </w:r>
      <w:r w:rsidR="0021058B">
        <w:t xml:space="preserve"> a</w:t>
      </w:r>
      <w:r w:rsidR="0021058B" w:rsidRPr="003036F8">
        <w:t xml:space="preserve"> new registration scheme that ‘grandfathers’ practitioners already carrying out the occupation</w:t>
      </w:r>
      <w:r w:rsidR="00ED042A">
        <w:t xml:space="preserve"> </w:t>
      </w:r>
      <w:r w:rsidR="0021058B">
        <w:t>is ineligible for</w:t>
      </w:r>
      <w:r w:rsidR="0021058B" w:rsidRPr="003036F8">
        <w:t xml:space="preserve"> mutual recognition.</w:t>
      </w:r>
      <w:r w:rsidR="0057682E">
        <w:t xml:space="preserve"> </w:t>
      </w:r>
      <w:r w:rsidR="00635F40">
        <w:t>M</w:t>
      </w:r>
      <w:r w:rsidR="0057682E">
        <w:t>utual recognition would</w:t>
      </w:r>
      <w:r w:rsidR="0021058B" w:rsidRPr="003036F8">
        <w:t xml:space="preserve"> </w:t>
      </w:r>
      <w:r w:rsidR="00635F40">
        <w:t xml:space="preserve">also </w:t>
      </w:r>
      <w:r w:rsidR="0021058B" w:rsidRPr="003036F8">
        <w:t xml:space="preserve">not apply during any transitional period provided for existing practitioners to register under </w:t>
      </w:r>
      <w:r w:rsidR="0057682E">
        <w:t>a</w:t>
      </w:r>
      <w:r w:rsidR="0021058B" w:rsidRPr="003036F8">
        <w:t xml:space="preserve"> new scheme. </w:t>
      </w:r>
    </w:p>
    <w:p w14:paraId="4DA40034" w14:textId="4ED7C060" w:rsidR="00BA07B5" w:rsidRDefault="00211377" w:rsidP="00B87CDC">
      <w:pPr>
        <w:pStyle w:val="BodyText"/>
        <w:keepNext/>
      </w:pPr>
      <w:r>
        <w:t>T</w:t>
      </w:r>
      <w:r w:rsidR="00BA07B5">
        <w:t xml:space="preserve">he extent to which individuals are being prevented from accessing mutual recognition arrangements as a result of </w:t>
      </w:r>
      <w:r w:rsidR="00F55033">
        <w:t>working in professions with optional or non</w:t>
      </w:r>
      <w:r w:rsidR="00F55033">
        <w:noBreakHyphen/>
        <w:t>universal registration requirements</w:t>
      </w:r>
      <w:r>
        <w:t xml:space="preserve"> is unclear</w:t>
      </w:r>
      <w:r w:rsidR="00BA07B5">
        <w:t xml:space="preserve">. The CJRF recently proposed to further consider </w:t>
      </w:r>
      <w:r w:rsidR="00BA07B5">
        <w:lastRenderedPageBreak/>
        <w:t xml:space="preserve">mutual recognition in relation to schemes where registration requirements are not uniform or which cover only some practitioners </w:t>
      </w:r>
      <w:r w:rsidR="00460B88">
        <w:t>i</w:t>
      </w:r>
      <w:r w:rsidR="00BA07B5">
        <w:t>n an occupation.</w:t>
      </w:r>
      <w:r w:rsidR="00ED042A">
        <w:t xml:space="preserve"> It noted that circumstances that m</w:t>
      </w:r>
      <w:r w:rsidR="00460B88">
        <w:t>a</w:t>
      </w:r>
      <w:r w:rsidR="00ED042A">
        <w:t>y need consideration include:</w:t>
      </w:r>
    </w:p>
    <w:p w14:paraId="20325092" w14:textId="77777777" w:rsidR="0021058B" w:rsidRDefault="0021058B" w:rsidP="0021058B">
      <w:pPr>
        <w:pStyle w:val="QuoteBullet"/>
      </w:pPr>
      <w:r>
        <w:t>where registration is dependent on the attainment or possession of some qualification, but registration is optional;</w:t>
      </w:r>
    </w:p>
    <w:p w14:paraId="4549B3E0" w14:textId="77777777" w:rsidR="0021058B" w:rsidRDefault="0021058B" w:rsidP="0021058B">
      <w:pPr>
        <w:pStyle w:val="QuoteBullet"/>
      </w:pPr>
      <w:r>
        <w:t>where registration is dependent on the attainment or possession of some qualification, but registration is only compulsory for some practitioners (for example, after a certain date); and</w:t>
      </w:r>
    </w:p>
    <w:p w14:paraId="3786731D" w14:textId="172F9523" w:rsidR="0021058B" w:rsidRPr="003036F8" w:rsidRDefault="0021058B" w:rsidP="0021058B">
      <w:pPr>
        <w:pStyle w:val="QuoteBullet"/>
      </w:pPr>
      <w:r>
        <w:t>where registration is mandatory for all practitioners, but qualification requirements do not apply uniformly to registration applicants (for example, where registration is available under grandfathering arrangements to existing practitioners on introduction of a new registration system).</w:t>
      </w:r>
      <w:r w:rsidR="00B53062">
        <w:t xml:space="preserve"> </w:t>
      </w:r>
      <w:r w:rsidR="00B53062" w:rsidRPr="00B53062">
        <w:rPr>
          <w:szCs w:val="24"/>
        </w:rPr>
        <w:t>(CJRF 2014, p. 25)</w:t>
      </w:r>
    </w:p>
    <w:p w14:paraId="3716EE06" w14:textId="69AFF0FD" w:rsidR="009F08E4" w:rsidRPr="003036F8" w:rsidRDefault="009F08E4" w:rsidP="009F08E4">
      <w:pPr>
        <w:pStyle w:val="BodyText"/>
      </w:pPr>
      <w:r>
        <w:t>The Commission welcome</w:t>
      </w:r>
      <w:r w:rsidR="00E66F0E">
        <w:t>s</w:t>
      </w:r>
      <w:r>
        <w:t xml:space="preserve"> </w:t>
      </w:r>
      <w:r w:rsidR="002F43BA">
        <w:t>input</w:t>
      </w:r>
      <w:r>
        <w:t xml:space="preserve"> on these issues.</w:t>
      </w:r>
    </w:p>
    <w:p w14:paraId="66F5C707" w14:textId="23CB20E3" w:rsidR="0021058B" w:rsidRPr="00AB01D9" w:rsidRDefault="001638CF" w:rsidP="00C562CC">
      <w:pPr>
        <w:pStyle w:val="Questionindented"/>
      </w:pPr>
      <w:r w:rsidRPr="00AB01D9">
        <w:t>Which</w:t>
      </w:r>
      <w:r w:rsidR="0021058B" w:rsidRPr="00AB01D9">
        <w:t xml:space="preserve"> occupations </w:t>
      </w:r>
      <w:r w:rsidRPr="00AB01D9">
        <w:t>require</w:t>
      </w:r>
      <w:r w:rsidR="0021058B" w:rsidRPr="00AB01D9">
        <w:t xml:space="preserve"> registration </w:t>
      </w:r>
      <w:r w:rsidR="00317002" w:rsidRPr="00AB01D9">
        <w:t>by some, but</w:t>
      </w:r>
      <w:r w:rsidR="0021058B" w:rsidRPr="00AB01D9">
        <w:t xml:space="preserve"> not all</w:t>
      </w:r>
      <w:r w:rsidR="00317002" w:rsidRPr="00AB01D9">
        <w:t>,</w:t>
      </w:r>
      <w:r w:rsidR="0021058B" w:rsidRPr="00AB01D9">
        <w:t xml:space="preserve"> practitioners? What would be the </w:t>
      </w:r>
      <w:r w:rsidR="00317002" w:rsidRPr="00AB01D9">
        <w:t xml:space="preserve">costs and </w:t>
      </w:r>
      <w:r w:rsidR="0021058B" w:rsidRPr="00AB01D9">
        <w:t xml:space="preserve">benefits of </w:t>
      </w:r>
      <w:r w:rsidRPr="00AB01D9">
        <w:t xml:space="preserve">expanding the MRA and TTMRA to </w:t>
      </w:r>
      <w:r w:rsidR="0021058B" w:rsidRPr="00AB01D9">
        <w:t>these occupations?</w:t>
      </w:r>
    </w:p>
    <w:p w14:paraId="154FB43B" w14:textId="6BC44B38" w:rsidR="00AF7665" w:rsidRPr="00D5204F" w:rsidRDefault="001D1226" w:rsidP="00D5204F">
      <w:pPr>
        <w:pStyle w:val="Heading5"/>
      </w:pPr>
      <w:r w:rsidRPr="00213AE7">
        <w:t>Mutual recognition of b</w:t>
      </w:r>
      <w:bookmarkStart w:id="89" w:name="_Toc406773294"/>
      <w:r w:rsidR="00AF7665" w:rsidRPr="00213AE7">
        <w:t>usiness registration</w:t>
      </w:r>
      <w:bookmarkEnd w:id="89"/>
    </w:p>
    <w:p w14:paraId="065E56A5" w14:textId="68384877" w:rsidR="00AF7665" w:rsidRDefault="00AF7665" w:rsidP="00AF7665">
      <w:pPr>
        <w:pStyle w:val="BodyText"/>
      </w:pPr>
      <w:r w:rsidRPr="00C5782C">
        <w:t xml:space="preserve">The Commission has been asked to </w:t>
      </w:r>
      <w:r w:rsidR="00C5782C" w:rsidRPr="00C5782C">
        <w:t xml:space="preserve">consider the issues associated with extending </w:t>
      </w:r>
      <w:r w:rsidR="00C5782C">
        <w:t xml:space="preserve">coverage of </w:t>
      </w:r>
      <w:r w:rsidR="00C5782C" w:rsidRPr="00C5782C">
        <w:t>the MRA or TTMRA to business registration</w:t>
      </w:r>
      <w:r w:rsidR="00C5782C">
        <w:t>.</w:t>
      </w:r>
      <w:r w:rsidR="00042193">
        <w:t xml:space="preserve"> </w:t>
      </w:r>
      <w:r w:rsidR="00F44032">
        <w:t xml:space="preserve">This was raised </w:t>
      </w:r>
      <w:r w:rsidR="00256DBC">
        <w:t xml:space="preserve">as a possibility </w:t>
      </w:r>
      <w:r w:rsidR="00F44032">
        <w:t xml:space="preserve">in the 2009 review because </w:t>
      </w:r>
      <w:r w:rsidR="003D23B8" w:rsidRPr="003D23B8">
        <w:t xml:space="preserve">in many areas of service provision </w:t>
      </w:r>
      <w:r w:rsidR="00F44032">
        <w:t xml:space="preserve">— </w:t>
      </w:r>
      <w:r w:rsidR="003D23B8" w:rsidRPr="003D23B8">
        <w:t>for example, motor car traders, electrical contractors and real estate agents</w:t>
      </w:r>
      <w:r w:rsidR="00F44032">
        <w:t xml:space="preserve"> —</w:t>
      </w:r>
      <w:r w:rsidR="003D23B8" w:rsidRPr="003D23B8">
        <w:t xml:space="preserve"> a business run by a sole trader can access mutual recognition, whereas a</w:t>
      </w:r>
      <w:r w:rsidR="00F44032">
        <w:t xml:space="preserve"> similar</w:t>
      </w:r>
      <w:r w:rsidR="003D23B8" w:rsidRPr="003D23B8">
        <w:t xml:space="preserve"> business run by a company cannot</w:t>
      </w:r>
      <w:r w:rsidR="00F44032">
        <w:t>.</w:t>
      </w:r>
      <w:r>
        <w:t xml:space="preserve"> Costs to </w:t>
      </w:r>
      <w:r w:rsidR="003C5BBC">
        <w:t>such companies</w:t>
      </w:r>
      <w:r>
        <w:t xml:space="preserve"> of having to resubmit registration requirements in each jurisdiction were seen as potentially significant. </w:t>
      </w:r>
    </w:p>
    <w:p w14:paraId="6C2EAB6A" w14:textId="1183D850" w:rsidR="00AF7665" w:rsidRDefault="00624CB8" w:rsidP="00AF7665">
      <w:pPr>
        <w:pStyle w:val="BodyText"/>
      </w:pPr>
      <w:r>
        <w:t>T</w:t>
      </w:r>
      <w:r w:rsidR="00AF7665">
        <w:t xml:space="preserve">he introduction in 2012 of a national registration scheme for Australian businesses means </w:t>
      </w:r>
      <w:r w:rsidR="003D23B8">
        <w:t xml:space="preserve">that </w:t>
      </w:r>
      <w:r>
        <w:t>businesses</w:t>
      </w:r>
      <w:r w:rsidR="00AF7665">
        <w:t xml:space="preserve"> now </w:t>
      </w:r>
      <w:r w:rsidR="003D23B8">
        <w:t xml:space="preserve">only </w:t>
      </w:r>
      <w:r w:rsidR="00AF7665">
        <w:t>need to register once</w:t>
      </w:r>
      <w:r w:rsidR="00835C7B">
        <w:t xml:space="preserve"> in order to </w:t>
      </w:r>
      <w:r w:rsidR="00AF7665">
        <w:t xml:space="preserve">operate </w:t>
      </w:r>
      <w:r w:rsidR="00835C7B">
        <w:t>across</w:t>
      </w:r>
      <w:r w:rsidR="00AF7665">
        <w:t xml:space="preserve"> jurisdictions</w:t>
      </w:r>
      <w:r w:rsidR="00835C7B">
        <w:t xml:space="preserve"> within Australia</w:t>
      </w:r>
      <w:r w:rsidR="00AF7665">
        <w:t xml:space="preserve">. </w:t>
      </w:r>
      <w:r w:rsidR="001D1226">
        <w:t xml:space="preserve">In light of this change, it appears that the case for expanding mutual recognition to business registration </w:t>
      </w:r>
      <w:r w:rsidR="00CD69A0">
        <w:t xml:space="preserve">within Australia </w:t>
      </w:r>
      <w:r w:rsidR="001D1226">
        <w:t>has diminished.</w:t>
      </w:r>
    </w:p>
    <w:p w14:paraId="5572F98B" w14:textId="1831D3EE" w:rsidR="00AF7665" w:rsidRDefault="00FF65CA" w:rsidP="00D31F16">
      <w:pPr>
        <w:pStyle w:val="BodyText"/>
      </w:pPr>
      <w:r>
        <w:t xml:space="preserve">For companies wishing to operate on </w:t>
      </w:r>
      <w:r w:rsidRPr="00886E8D">
        <w:t>both sides of the Tasman</w:t>
      </w:r>
      <w:r>
        <w:t xml:space="preserve">, a single entry point for business registration is being </w:t>
      </w:r>
      <w:r w:rsidR="003F6009">
        <w:t>considered</w:t>
      </w:r>
      <w:r>
        <w:t xml:space="preserve"> by t</w:t>
      </w:r>
      <w:r w:rsidR="00532614" w:rsidRPr="00D31F16">
        <w:t>he Australian Securities and Investment Commission</w:t>
      </w:r>
      <w:r w:rsidR="00FA555A">
        <w:t xml:space="preserve"> </w:t>
      </w:r>
      <w:r w:rsidR="00532614" w:rsidRPr="00D31F16">
        <w:t>and</w:t>
      </w:r>
      <w:r w:rsidR="003F6009">
        <w:t xml:space="preserve"> </w:t>
      </w:r>
      <w:r w:rsidR="00532614" w:rsidRPr="00D31F16">
        <w:t>New Zealand Companies Office</w:t>
      </w:r>
      <w:r w:rsidR="00561137">
        <w:t xml:space="preserve"> </w:t>
      </w:r>
      <w:r w:rsidR="00561137" w:rsidRPr="00BA31CC">
        <w:rPr>
          <w:szCs w:val="24"/>
        </w:rPr>
        <w:t>(TTOIG 2014)</w:t>
      </w:r>
      <w:r w:rsidR="00561137" w:rsidRPr="006E30DD">
        <w:t>.</w:t>
      </w:r>
      <w:r w:rsidR="006E30DD">
        <w:t xml:space="preserve"> Under this proposal, </w:t>
      </w:r>
      <w:r w:rsidR="00561137">
        <w:t>businesses</w:t>
      </w:r>
      <w:r w:rsidR="006E30DD" w:rsidRPr="006E30DD">
        <w:t xml:space="preserve"> </w:t>
      </w:r>
      <w:r w:rsidR="00561137">
        <w:t xml:space="preserve">applying for incorporation </w:t>
      </w:r>
      <w:r w:rsidR="006E30DD" w:rsidRPr="006E30DD">
        <w:t xml:space="preserve">in their home country </w:t>
      </w:r>
      <w:r w:rsidR="00561137" w:rsidRPr="006E30DD">
        <w:t xml:space="preserve">will be able to </w:t>
      </w:r>
      <w:r w:rsidR="006E30DD" w:rsidRPr="006E30DD">
        <w:t xml:space="preserve">simultaneously elect </w:t>
      </w:r>
      <w:r w:rsidR="00561137">
        <w:t xml:space="preserve">to be </w:t>
      </w:r>
      <w:r w:rsidR="006E30DD" w:rsidRPr="006E30DD">
        <w:t xml:space="preserve">registered as a foreign company in the other country (with the provision of any additional information and payments required in that country). </w:t>
      </w:r>
    </w:p>
    <w:p w14:paraId="0DAA52AF" w14:textId="3D9F05E7" w:rsidR="00D52A90" w:rsidRDefault="00561137">
      <w:pPr>
        <w:pStyle w:val="Questionindented"/>
      </w:pPr>
      <w:r>
        <w:t xml:space="preserve">Is there still a case for expanding mutual recognition to business registration, given that there is now a national system of business registration within Australia and </w:t>
      </w:r>
      <w:r w:rsidR="00102313">
        <w:t>authorities</w:t>
      </w:r>
      <w:r w:rsidR="00306CBF">
        <w:t xml:space="preserve"> are working towards </w:t>
      </w:r>
      <w:r>
        <w:t xml:space="preserve">a </w:t>
      </w:r>
      <w:r w:rsidRPr="00886E8D">
        <w:t xml:space="preserve">single entry point </w:t>
      </w:r>
      <w:r w:rsidR="00306CBF">
        <w:t xml:space="preserve">for </w:t>
      </w:r>
      <w:r w:rsidR="006528EA">
        <w:t>register</w:t>
      </w:r>
      <w:r w:rsidR="00306CBF">
        <w:t>ing</w:t>
      </w:r>
      <w:r w:rsidR="006528EA">
        <w:t xml:space="preserve"> businesses operat</w:t>
      </w:r>
      <w:r w:rsidR="00AF65CE">
        <w:t>ing</w:t>
      </w:r>
      <w:r w:rsidR="006528EA">
        <w:t xml:space="preserve"> </w:t>
      </w:r>
      <w:r w:rsidRPr="00886E8D">
        <w:t>on both sides of the Tasman</w:t>
      </w:r>
      <w:r>
        <w:t>?</w:t>
      </w:r>
      <w:r w:rsidR="006528EA" w:rsidDel="006528EA">
        <w:t xml:space="preserve"> </w:t>
      </w:r>
    </w:p>
    <w:p w14:paraId="67DDB509" w14:textId="696C705C" w:rsidR="00B722B9" w:rsidRPr="00396644" w:rsidRDefault="00B722B9" w:rsidP="0038296D">
      <w:pPr>
        <w:pStyle w:val="Heading3"/>
      </w:pPr>
      <w:r w:rsidRPr="00396644">
        <w:lastRenderedPageBreak/>
        <w:t>Occupational equivalence, conditions and standards</w:t>
      </w:r>
      <w:bookmarkEnd w:id="87"/>
    </w:p>
    <w:p w14:paraId="4FBE0B75" w14:textId="4ABAC16F" w:rsidR="00B722B9" w:rsidRDefault="00B722B9" w:rsidP="00B722B9">
      <w:pPr>
        <w:pStyle w:val="BodyText"/>
      </w:pPr>
      <w:r w:rsidRPr="003E0992">
        <w:t>A key issue for the mutual recognition of occupations is how registration bodies determine whether an occupation in their jurisdiction is equivalent to one in another jurisdiction. Under the relevant legislation, a registered occupation in one jurisdiction is equivalent to a registered occupation in another jurisdiction if the activities authorised to be carried out under each registration are ‘substantially the same’. Where a single licence authorises several activities in one jurisdiction, some of which have no equivalent in another, then equivalence can be achieved by limiting the scope of the mutually recognised licence, via the imposition of conditions.</w:t>
      </w:r>
    </w:p>
    <w:p w14:paraId="7A7FB8CE" w14:textId="20C904F6" w:rsidR="00B722B9" w:rsidRPr="00846BBA" w:rsidRDefault="00B722B9" w:rsidP="00C562CC">
      <w:pPr>
        <w:pStyle w:val="Questionindented"/>
        <w:rPr>
          <w:i w:val="0"/>
        </w:rPr>
      </w:pPr>
      <w:r w:rsidRPr="00846BBA">
        <w:t xml:space="preserve">Are marked differences between jurisdictions in the </w:t>
      </w:r>
      <w:r w:rsidR="009E50EA">
        <w:t>nature</w:t>
      </w:r>
      <w:r w:rsidRPr="00846BBA">
        <w:t xml:space="preserve"> (or even existence) of licences for specific occupations hindering the assessment of occupation equivalence? </w:t>
      </w:r>
      <w:r w:rsidR="00FD662E">
        <w:t>If so, h</w:t>
      </w:r>
      <w:r w:rsidRPr="00846BBA">
        <w:t>ow can these differences be resolved?</w:t>
      </w:r>
    </w:p>
    <w:p w14:paraId="10E1B013" w14:textId="77777777" w:rsidR="00B722B9" w:rsidRDefault="00B722B9" w:rsidP="00D5204F">
      <w:pPr>
        <w:pStyle w:val="Heading4"/>
      </w:pPr>
      <w:bookmarkStart w:id="90" w:name="_Toc406773296"/>
      <w:r>
        <w:t>Ministerial Declarations</w:t>
      </w:r>
      <w:bookmarkEnd w:id="90"/>
    </w:p>
    <w:p w14:paraId="3D2C787B" w14:textId="4B34A92C" w:rsidR="00B722B9" w:rsidRPr="00D6191E" w:rsidRDefault="00742CD0" w:rsidP="00B722B9">
      <w:pPr>
        <w:pStyle w:val="BodyText"/>
      </w:pPr>
      <w:r w:rsidRPr="00742CD0">
        <w:t>The</w:t>
      </w:r>
      <w:r>
        <w:t xml:space="preserve"> </w:t>
      </w:r>
      <w:r w:rsidRPr="001C46FE">
        <w:rPr>
          <w:i/>
        </w:rPr>
        <w:t>Mutual Recognition Act 1992</w:t>
      </w:r>
      <w:r w:rsidRPr="00742CD0">
        <w:t xml:space="preserve"> </w:t>
      </w:r>
      <w:r w:rsidRPr="00D6191E">
        <w:t>(</w:t>
      </w:r>
      <w:proofErr w:type="spellStart"/>
      <w:r w:rsidRPr="00D6191E">
        <w:t>Cwlth</w:t>
      </w:r>
      <w:proofErr w:type="spellEnd"/>
      <w:r w:rsidRPr="00D6191E">
        <w:t>)</w:t>
      </w:r>
      <w:r>
        <w:t xml:space="preserve"> </w:t>
      </w:r>
      <w:r w:rsidRPr="00742CD0">
        <w:t xml:space="preserve">enables ministers from two or more </w:t>
      </w:r>
      <w:r w:rsidR="00FD662E">
        <w:t xml:space="preserve">Australian </w:t>
      </w:r>
      <w:r w:rsidRPr="00742CD0">
        <w:t xml:space="preserve">states or territories to jointly declare that specified occupations are equivalent, and also declare any conditions necessary to achieve equivalence. </w:t>
      </w:r>
      <w:r w:rsidR="00363EDC">
        <w:t>O</w:t>
      </w:r>
      <w:r>
        <w:t xml:space="preserve">ver the period 2006 to </w:t>
      </w:r>
      <w:r w:rsidR="00363EDC">
        <w:t>2009, i</w:t>
      </w:r>
      <w:r w:rsidR="00B722B9" w:rsidRPr="00D6191E">
        <w:t>n response to government and industry concerns about skill shortages, COAG</w:t>
      </w:r>
      <w:r w:rsidR="00363EDC">
        <w:t xml:space="preserve"> worked </w:t>
      </w:r>
      <w:r w:rsidR="00B722B9" w:rsidRPr="00D6191E">
        <w:t xml:space="preserve">to achieve full mutual recognition of selected vocationally trained occupations through </w:t>
      </w:r>
      <w:r w:rsidR="00363EDC">
        <w:t xml:space="preserve">the use of </w:t>
      </w:r>
      <w:r w:rsidR="00FD662E">
        <w:t>M</w:t>
      </w:r>
      <w:r w:rsidR="00B722B9" w:rsidRPr="00D6191E">
        <w:t xml:space="preserve">inisterial </w:t>
      </w:r>
      <w:r w:rsidR="00FD662E">
        <w:t>D</w:t>
      </w:r>
      <w:r w:rsidR="00B722B9" w:rsidRPr="00D6191E">
        <w:t>eclarations</w:t>
      </w:r>
      <w:r w:rsidR="00B722B9">
        <w:t xml:space="preserve"> </w:t>
      </w:r>
      <w:r>
        <w:t>signed by all Australian premier</w:t>
      </w:r>
      <w:r w:rsidR="0083306E">
        <w:t>s</w:t>
      </w:r>
      <w:r>
        <w:t xml:space="preserve"> and chief ministers</w:t>
      </w:r>
      <w:r w:rsidR="00363EDC">
        <w:t>.</w:t>
      </w:r>
      <w:r w:rsidR="00B722B9" w:rsidRPr="00D6191E">
        <w:t xml:space="preserve"> </w:t>
      </w:r>
      <w:r>
        <w:t>O</w:t>
      </w:r>
      <w:r w:rsidR="00B722B9" w:rsidRPr="00D6191E">
        <w:t>ccupation</w:t>
      </w:r>
      <w:r w:rsidR="00AC10D4">
        <w:noBreakHyphen/>
      </w:r>
      <w:r w:rsidR="00B722B9" w:rsidRPr="00D6191E">
        <w:t xml:space="preserve">registration bodies in Australia must give effect to these </w:t>
      </w:r>
      <w:r w:rsidR="00FD662E">
        <w:t>M</w:t>
      </w:r>
      <w:r w:rsidR="00B722B9" w:rsidRPr="00D6191E">
        <w:t xml:space="preserve">inisterial </w:t>
      </w:r>
      <w:r w:rsidR="00FD662E">
        <w:t>D</w:t>
      </w:r>
      <w:r w:rsidR="00B722B9" w:rsidRPr="00D6191E">
        <w:t xml:space="preserve">eclarations. The mutual recognition of licences not included in </w:t>
      </w:r>
      <w:r w:rsidR="00FD662E">
        <w:t>M</w:t>
      </w:r>
      <w:r w:rsidR="00B722B9" w:rsidRPr="00D6191E">
        <w:t xml:space="preserve">inisterial </w:t>
      </w:r>
      <w:r w:rsidR="00FD662E">
        <w:t>D</w:t>
      </w:r>
      <w:r w:rsidR="00B722B9" w:rsidRPr="00D6191E">
        <w:t xml:space="preserve">eclarations, including </w:t>
      </w:r>
      <w:r w:rsidR="00FD662E">
        <w:t xml:space="preserve">all </w:t>
      </w:r>
      <w:r w:rsidR="00B722B9" w:rsidRPr="00D6191E">
        <w:t xml:space="preserve">licences </w:t>
      </w:r>
      <w:r w:rsidR="00FD662E">
        <w:t>obtained in</w:t>
      </w:r>
      <w:r w:rsidR="00B722B9" w:rsidRPr="00D6191E">
        <w:t xml:space="preserve"> New Zealand, continue to be a matter for </w:t>
      </w:r>
      <w:r w:rsidR="00FD662E">
        <w:t>individual</w:t>
      </w:r>
      <w:r w:rsidR="00B722B9" w:rsidRPr="00D6191E">
        <w:t xml:space="preserve"> occupation</w:t>
      </w:r>
      <w:r w:rsidR="00AC10D4">
        <w:noBreakHyphen/>
      </w:r>
      <w:r w:rsidR="00B722B9" w:rsidRPr="00D6191E">
        <w:t xml:space="preserve">registration </w:t>
      </w:r>
      <w:r w:rsidR="00FD662E">
        <w:t>bodies to determine</w:t>
      </w:r>
      <w:r w:rsidR="00B722B9" w:rsidRPr="00D6191E">
        <w:t>.</w:t>
      </w:r>
    </w:p>
    <w:p w14:paraId="00A74FB9" w14:textId="646B99A0" w:rsidR="00B722B9" w:rsidRPr="00D80EC1" w:rsidRDefault="00B722B9" w:rsidP="00B722B9">
      <w:pPr>
        <w:pStyle w:val="BodyText"/>
      </w:pPr>
      <w:r w:rsidRPr="00D6191E">
        <w:t>Th</w:t>
      </w:r>
      <w:r w:rsidR="00005DE3">
        <w:t>e</w:t>
      </w:r>
      <w:r w:rsidRPr="00D6191E">
        <w:t>s</w:t>
      </w:r>
      <w:r w:rsidR="00005DE3">
        <w:t>e</w:t>
      </w:r>
      <w:r w:rsidRPr="00D6191E">
        <w:t xml:space="preserve"> </w:t>
      </w:r>
      <w:r w:rsidR="00005DE3">
        <w:t>declarations</w:t>
      </w:r>
      <w:r w:rsidRPr="00D6191E">
        <w:t xml:space="preserve"> led to the development of a set of tables for the selected occupations that describe the conditions under which occupations are equivalent across jurisdictions. </w:t>
      </w:r>
      <w:r w:rsidR="00FD662E" w:rsidRPr="00FD662E">
        <w:t xml:space="preserve">A website has also been created so that individuals and regulators can search the tables for an equivalent occupation. </w:t>
      </w:r>
      <w:r w:rsidRPr="00D80EC1">
        <w:t xml:space="preserve">An Allen Consulting Group review found that the equivalence tables have assisted regulators in making decisions on licence applications under mutual recognition — regulators have granted more licences with conditions as a result </w:t>
      </w:r>
      <w:r w:rsidR="00DE4D30" w:rsidRPr="00DE4D30">
        <w:rPr>
          <w:szCs w:val="24"/>
        </w:rPr>
        <w:t>(ACG 2008)</w:t>
      </w:r>
      <w:r w:rsidRPr="00D80EC1">
        <w:t>. However, in its 2009 report the Commission cautioned that maintaining the currency of the tables will be important</w:t>
      </w:r>
      <w:r w:rsidR="00FD662E">
        <w:t>.</w:t>
      </w:r>
      <w:r w:rsidRPr="00D80EC1">
        <w:t xml:space="preserve"> </w:t>
      </w:r>
      <w:r w:rsidR="00FD662E">
        <w:t>I</w:t>
      </w:r>
      <w:r w:rsidRPr="00D80EC1">
        <w:t xml:space="preserve">t also raised concerns regarding unilateral modification of licence categories or customisation of equivalence conditions by individual jurisdictions. Such an approach defeats the purpose of </w:t>
      </w:r>
      <w:r w:rsidR="000B2DE4">
        <w:t>M</w:t>
      </w:r>
      <w:r w:rsidRPr="00D80EC1">
        <w:t xml:space="preserve">inisterial </w:t>
      </w:r>
      <w:r w:rsidR="000B2DE4">
        <w:t>D</w:t>
      </w:r>
      <w:r w:rsidRPr="00D80EC1">
        <w:t>eclarations.</w:t>
      </w:r>
    </w:p>
    <w:p w14:paraId="447D9EAB" w14:textId="2CEC1F04" w:rsidR="00A80B1C" w:rsidRDefault="00A80B1C" w:rsidP="00B722B9">
      <w:pPr>
        <w:pStyle w:val="BodyText"/>
      </w:pPr>
      <w:r>
        <w:t xml:space="preserve">In its </w:t>
      </w:r>
      <w:r w:rsidR="00FD662E">
        <w:t>response to the 2009 review</w:t>
      </w:r>
      <w:r>
        <w:t>, the CJRF</w:t>
      </w:r>
      <w:r w:rsidR="00FD662E">
        <w:t> </w:t>
      </w:r>
      <w:r w:rsidR="00DE61BE" w:rsidRPr="00DE61BE">
        <w:t>(2014)</w:t>
      </w:r>
      <w:r w:rsidR="00DE61BE">
        <w:t xml:space="preserve"> </w:t>
      </w:r>
      <w:r>
        <w:t xml:space="preserve">noted that there is no apparent barrier to </w:t>
      </w:r>
      <w:r w:rsidR="00846BBA">
        <w:t xml:space="preserve">Australian </w:t>
      </w:r>
      <w:r>
        <w:t>jurisdiction</w:t>
      </w:r>
      <w:r w:rsidR="00846BBA">
        <w:t>s</w:t>
      </w:r>
      <w:r>
        <w:t xml:space="preserve"> </w:t>
      </w:r>
      <w:r w:rsidR="00846BBA">
        <w:t>developing</w:t>
      </w:r>
      <w:r>
        <w:t xml:space="preserve"> a </w:t>
      </w:r>
      <w:r w:rsidR="00FD662E">
        <w:t>Ministerial D</w:t>
      </w:r>
      <w:r>
        <w:t xml:space="preserve">eclaration </w:t>
      </w:r>
      <w:r w:rsidR="00846BBA">
        <w:t>that includes</w:t>
      </w:r>
      <w:r>
        <w:t xml:space="preserve"> </w:t>
      </w:r>
      <w:r w:rsidR="00FD662E">
        <w:t xml:space="preserve">a </w:t>
      </w:r>
      <w:r>
        <w:t xml:space="preserve">New Zealand </w:t>
      </w:r>
      <w:r w:rsidR="00FD662E">
        <w:t>occupational licence</w:t>
      </w:r>
      <w:r w:rsidR="00846BBA">
        <w:t>. It stated that such a declaration could be progressed</w:t>
      </w:r>
      <w:r>
        <w:t xml:space="preserve"> through a Ministerial Council or </w:t>
      </w:r>
      <w:r w:rsidR="00FD662E">
        <w:t>by</w:t>
      </w:r>
      <w:r>
        <w:t xml:space="preserve"> direct negotiation between Ministers.</w:t>
      </w:r>
      <w:r w:rsidR="00EE5C54">
        <w:t xml:space="preserve"> However, to date, there have been no Ministerial Declarations of occupational equivalence between Australian jurisdictions and New Zealand.</w:t>
      </w:r>
    </w:p>
    <w:p w14:paraId="190C8F01" w14:textId="57D2497F" w:rsidR="00FD662E" w:rsidRPr="00D31F16" w:rsidRDefault="00FD662E" w:rsidP="00C562CC">
      <w:pPr>
        <w:pStyle w:val="Questionindented"/>
      </w:pPr>
      <w:r w:rsidRPr="00D31F16">
        <w:lastRenderedPageBreak/>
        <w:t xml:space="preserve">To what extent have Ministerial Declarations had a positive impact on geographic labour mobility? </w:t>
      </w:r>
      <w:r w:rsidR="00EE5C54" w:rsidRPr="00D31F16">
        <w:t>How c</w:t>
      </w:r>
      <w:r w:rsidRPr="00D31F16">
        <w:t xml:space="preserve">ould the declarations process be made more efficient and what would be the </w:t>
      </w:r>
      <w:r w:rsidR="00344168" w:rsidRPr="00D31F16">
        <w:t xml:space="preserve">advantages </w:t>
      </w:r>
      <w:r w:rsidRPr="00D31F16">
        <w:t xml:space="preserve">and </w:t>
      </w:r>
      <w:r w:rsidR="00344168" w:rsidRPr="00D31F16">
        <w:t>disadvantages of any change</w:t>
      </w:r>
      <w:r w:rsidRPr="00D31F16">
        <w:t>?</w:t>
      </w:r>
    </w:p>
    <w:p w14:paraId="11D6C5B9" w14:textId="77777777" w:rsidR="00FD662E" w:rsidRPr="00D31F16" w:rsidRDefault="00FD662E" w:rsidP="00C562CC">
      <w:pPr>
        <w:pStyle w:val="Questionindented"/>
      </w:pPr>
      <w:r w:rsidRPr="00D31F16">
        <w:t>Have current arrangements ensured that Ministerial Declarations are kept up to date? If not, what changes are required, and what would be the costs and benefits?</w:t>
      </w:r>
    </w:p>
    <w:p w14:paraId="776C120F" w14:textId="5B390CF3" w:rsidR="00FD662E" w:rsidRPr="00D31F16" w:rsidRDefault="00FD662E" w:rsidP="00C562CC">
      <w:pPr>
        <w:pStyle w:val="Questionindented"/>
      </w:pPr>
      <w:r w:rsidRPr="00D31F16">
        <w:t>Are there registered occupations not currently subject to a Ministerial Declaration — including occupations registered in New Zealand — which should be? Are there any barriers to this occurring?</w:t>
      </w:r>
    </w:p>
    <w:p w14:paraId="0ABA0016" w14:textId="36B29CAC" w:rsidR="00A56E16" w:rsidRPr="007271FC" w:rsidRDefault="00A56E16" w:rsidP="00D5204F">
      <w:pPr>
        <w:pStyle w:val="Heading4"/>
      </w:pPr>
      <w:bookmarkStart w:id="91" w:name="_Toc200943063"/>
      <w:bookmarkStart w:id="92" w:name="_Toc406773297"/>
      <w:r w:rsidRPr="007271FC">
        <w:t xml:space="preserve">Conditions </w:t>
      </w:r>
      <w:bookmarkEnd w:id="91"/>
      <w:bookmarkEnd w:id="92"/>
    </w:p>
    <w:p w14:paraId="1CA1F162" w14:textId="6DA7A711" w:rsidR="00A56E16" w:rsidRDefault="00A56E16" w:rsidP="00A56E16">
      <w:pPr>
        <w:pStyle w:val="BodyText"/>
        <w:spacing w:before="200"/>
      </w:pPr>
      <w:r w:rsidRPr="007271FC">
        <w:t>As noted above, registered occupations are mutually recognised on the basis of the equivalence of activities authorised for those occupations. Under the MRA and TTMRA, conditions may be imposed by the registration body to achieve licence equivalence. For example, registration may be granted for</w:t>
      </w:r>
      <w:r w:rsidR="00391107">
        <w:t xml:space="preserve"> some activities and not others.</w:t>
      </w:r>
    </w:p>
    <w:p w14:paraId="5352EA10" w14:textId="1B6BC931" w:rsidR="008E2A12" w:rsidRPr="00391107" w:rsidRDefault="008E2A12" w:rsidP="00F32FC8">
      <w:pPr>
        <w:pStyle w:val="Quote"/>
      </w:pPr>
      <w:r w:rsidRPr="00391107">
        <w:t xml:space="preserve">An example of the application of conditions to achieve equivalence is that of pest controllers under the Australian MRA. States in cooler climates do not suffer from termite problems. Pest controllers from those States, therefore, are not required to have training in, or experience with, the use of chemicals for the control of termites. To achieve equivalence between occupations, conditions have been imposed on such persons seeking registration in States that have termites such that they are not allowed to use termite control chemicals unless they have fulfilled the requirements of the States where they intend to work. </w:t>
      </w:r>
      <w:r w:rsidR="00BA20F7" w:rsidRPr="00BA20F7">
        <w:rPr>
          <w:szCs w:val="24"/>
        </w:rPr>
        <w:t>(Australian Government 2014b, p. 12)</w:t>
      </w:r>
    </w:p>
    <w:p w14:paraId="476874B0" w14:textId="12D58610" w:rsidR="00A56E16" w:rsidRPr="00252E6E" w:rsidRDefault="00A56E16" w:rsidP="00A56E16">
      <w:pPr>
        <w:pStyle w:val="BodyText"/>
      </w:pPr>
      <w:r>
        <w:t>T</w:t>
      </w:r>
      <w:r w:rsidRPr="00F16E77">
        <w:t xml:space="preserve">he Commission’s 2009 review found evidence that </w:t>
      </w:r>
      <w:r w:rsidRPr="0035297E">
        <w:t xml:space="preserve">regulators </w:t>
      </w:r>
      <w:r w:rsidR="00441DD1">
        <w:t>we</w:t>
      </w:r>
      <w:r w:rsidRPr="0035297E">
        <w:t xml:space="preserve">re imposing conditions on registration that </w:t>
      </w:r>
      <w:r w:rsidR="00441DD1">
        <w:t>were contrary</w:t>
      </w:r>
      <w:r w:rsidRPr="0035297E">
        <w:t xml:space="preserve"> to the intent of mutual recognition legislation in order to offset differences in standards</w:t>
      </w:r>
      <w:r w:rsidR="00441DD1">
        <w:t>,</w:t>
      </w:r>
      <w:r w:rsidRPr="0035297E">
        <w:t xml:space="preserve"> rather than just limit the scope of </w:t>
      </w:r>
      <w:r w:rsidR="00441DD1">
        <w:t xml:space="preserve">permitted </w:t>
      </w:r>
      <w:r w:rsidRPr="0035297E">
        <w:t xml:space="preserve">activities. </w:t>
      </w:r>
      <w:r w:rsidR="0035297E" w:rsidRPr="0035297E">
        <w:t xml:space="preserve">It recommended that </w:t>
      </w:r>
      <w:r w:rsidRPr="0035297E">
        <w:t xml:space="preserve">mutual recognition </w:t>
      </w:r>
      <w:r w:rsidR="008008C4">
        <w:t>legislation</w:t>
      </w:r>
      <w:r w:rsidRPr="0035297E">
        <w:t xml:space="preserve"> be amended to make clear the types of conditions (for example, around local knowledge or </w:t>
      </w:r>
      <w:proofErr w:type="spellStart"/>
      <w:r w:rsidRPr="0035297E">
        <w:t>recency</w:t>
      </w:r>
      <w:proofErr w:type="spellEnd"/>
      <w:r w:rsidRPr="0035297E">
        <w:t xml:space="preserve"> of practice requirements) that registration authorities may impose at the time</w:t>
      </w:r>
      <w:r w:rsidRPr="00343BB0">
        <w:t xml:space="preserve"> of registration</w:t>
      </w:r>
      <w:r w:rsidR="00252E6E">
        <w:t xml:space="preserve"> </w:t>
      </w:r>
      <w:r w:rsidR="00252E6E" w:rsidRPr="00252E6E">
        <w:rPr>
          <w:szCs w:val="24"/>
        </w:rPr>
        <w:t>(PC 2009)</w:t>
      </w:r>
      <w:r>
        <w:t xml:space="preserve">. </w:t>
      </w:r>
      <w:r w:rsidR="00252E6E">
        <w:t>In its response, t</w:t>
      </w:r>
      <w:r>
        <w:t xml:space="preserve">he CJRF did not consider legislative amendments to be necessary and noted that there are existing judicial remedies available through the </w:t>
      </w:r>
      <w:r w:rsidR="0035297E">
        <w:t>A</w:t>
      </w:r>
      <w:r w:rsidR="00315E34">
        <w:t>dministrative</w:t>
      </w:r>
      <w:r w:rsidR="0035297E">
        <w:t xml:space="preserve"> Appeals Tribunal</w:t>
      </w:r>
      <w:r>
        <w:t xml:space="preserve"> or </w:t>
      </w:r>
      <w:r w:rsidR="0035297E" w:rsidRPr="00A11EDF">
        <w:t>Trans</w:t>
      </w:r>
      <w:r w:rsidR="00A11EDF">
        <w:noBreakHyphen/>
      </w:r>
      <w:r w:rsidR="0035297E" w:rsidRPr="00A11EDF">
        <w:t>Tasman</w:t>
      </w:r>
      <w:r w:rsidR="0035297E">
        <w:t xml:space="preserve"> Occupations Tribunal</w:t>
      </w:r>
      <w:r>
        <w:t xml:space="preserve"> to settle disputes around whether particular conditions can be imposed on a registration. Further, within Australia, </w:t>
      </w:r>
      <w:r w:rsidR="000B2DE4">
        <w:t>M</w:t>
      </w:r>
      <w:r>
        <w:t xml:space="preserve">inisterial </w:t>
      </w:r>
      <w:r w:rsidR="000B2DE4">
        <w:t>D</w:t>
      </w:r>
      <w:r>
        <w:t>eclarations of licence equivalence may partly mitigate these issues.</w:t>
      </w:r>
    </w:p>
    <w:p w14:paraId="4211FA35" w14:textId="5770D636" w:rsidR="00E130A4" w:rsidRPr="00E130A4" w:rsidRDefault="00E130A4" w:rsidP="00E130A4">
      <w:pPr>
        <w:pStyle w:val="Questionindented"/>
      </w:pPr>
      <w:r w:rsidRPr="00E130A4">
        <w:t>How often do occupation</w:t>
      </w:r>
      <w:r w:rsidR="00AC10D4">
        <w:noBreakHyphen/>
      </w:r>
      <w:r w:rsidRPr="00E130A4">
        <w:t>registration bodies impose conditions on people registering under mutual recognition? In which occupations or jurisdictions does this most often occur, and what conditions are imposed?</w:t>
      </w:r>
    </w:p>
    <w:p w14:paraId="46B889B0" w14:textId="4F96CEFE" w:rsidR="00E130A4" w:rsidRPr="00E130A4" w:rsidRDefault="00C61DC3" w:rsidP="00E130A4">
      <w:pPr>
        <w:pStyle w:val="Questionindented"/>
      </w:pPr>
      <w:r>
        <w:t>Are</w:t>
      </w:r>
      <w:r w:rsidR="00E130A4" w:rsidRPr="00E130A4">
        <w:t xml:space="preserve"> the system</w:t>
      </w:r>
      <w:r>
        <w:t>s</w:t>
      </w:r>
      <w:r w:rsidR="00E130A4" w:rsidRPr="00E130A4">
        <w:t xml:space="preserve"> for setting conditions on occupations effective and efficient? If not, what changes are required, and what would be the costs and benefits?</w:t>
      </w:r>
    </w:p>
    <w:p w14:paraId="6B9DAE52" w14:textId="722BF0BC" w:rsidR="00441DD1" w:rsidRPr="00D31F16" w:rsidRDefault="00441DD1" w:rsidP="00C562CC">
      <w:pPr>
        <w:pStyle w:val="Questionindented"/>
      </w:pPr>
      <w:r w:rsidRPr="00E130A4">
        <w:t xml:space="preserve">Have the </w:t>
      </w:r>
      <w:r w:rsidR="007A4FC4" w:rsidRPr="00E130A4">
        <w:t>review</w:t>
      </w:r>
      <w:r w:rsidRPr="00E130A4">
        <w:t xml:space="preserve"> processes available through the </w:t>
      </w:r>
      <w:r w:rsidR="00C13CE4">
        <w:t>Administrative</w:t>
      </w:r>
      <w:r w:rsidRPr="00C13CE4">
        <w:t xml:space="preserve"> Appeals Tribunal </w:t>
      </w:r>
      <w:r w:rsidRPr="00C61DC3">
        <w:t>and Trans</w:t>
      </w:r>
      <w:r w:rsidRPr="00C61DC3">
        <w:noBreakHyphen/>
        <w:t>Tasman Occupations</w:t>
      </w:r>
      <w:r w:rsidRPr="00D31F16">
        <w:t xml:space="preserve"> Tribunal been effective in addressing disputes about conditions imposed on occupational registrations?</w:t>
      </w:r>
    </w:p>
    <w:p w14:paraId="4FAF88BC" w14:textId="78D19748" w:rsidR="00CB18D4" w:rsidRPr="00050A29" w:rsidRDefault="00CB18D4" w:rsidP="00D5204F">
      <w:pPr>
        <w:pStyle w:val="Heading4"/>
      </w:pPr>
      <w:bookmarkStart w:id="93" w:name="_Toc406773300"/>
      <w:bookmarkStart w:id="94" w:name="_Toc406773298"/>
      <w:r>
        <w:rPr>
          <w:noProof/>
        </w:rPr>
        <w:lastRenderedPageBreak/>
        <w:t>R</w:t>
      </w:r>
      <w:r w:rsidRPr="00FD70F9">
        <w:rPr>
          <w:noProof/>
        </w:rPr>
        <w:t>equirements for continued registration</w:t>
      </w:r>
      <w:r>
        <w:rPr>
          <w:noProof/>
        </w:rPr>
        <w:t xml:space="preserve"> of occupations</w:t>
      </w:r>
      <w:bookmarkEnd w:id="93"/>
    </w:p>
    <w:p w14:paraId="0CF951E4" w14:textId="77777777" w:rsidR="00050A29" w:rsidRDefault="00CB18D4" w:rsidP="00CB18D4">
      <w:pPr>
        <w:pStyle w:val="BodyText"/>
      </w:pPr>
      <w:r>
        <w:t xml:space="preserve">In the 2009 review, the Commission presented legal advice which suggested that an Australian registration authority cannot impose ongoing requirements — </w:t>
      </w:r>
      <w:r w:rsidR="00050A29">
        <w:t xml:space="preserve">such as for </w:t>
      </w:r>
      <w:r>
        <w:t xml:space="preserve">training or criminal record checks — on people who </w:t>
      </w:r>
      <w:r w:rsidR="00050A29">
        <w:t>register</w:t>
      </w:r>
      <w:r>
        <w:t xml:space="preserve"> under mutual recognition, but that a New Zealand authority is not similarly constrained.</w:t>
      </w:r>
    </w:p>
    <w:p w14:paraId="17AB279D" w14:textId="69BC87AD" w:rsidR="00CB18D4" w:rsidRDefault="00CB18D4" w:rsidP="00CB18D4">
      <w:pPr>
        <w:pStyle w:val="BodyText"/>
      </w:pPr>
      <w:r>
        <w:t>However, there was ambiguity around this issue</w:t>
      </w:r>
      <w:r w:rsidR="00050A29">
        <w:t>.</w:t>
      </w:r>
      <w:r>
        <w:t xml:space="preserve"> </w:t>
      </w:r>
      <w:r w:rsidRPr="006E2FBF">
        <w:t xml:space="preserve">The </w:t>
      </w:r>
      <w:r>
        <w:t xml:space="preserve">Commission </w:t>
      </w:r>
      <w:r w:rsidR="00050A29">
        <w:t xml:space="preserve">therefore proposed </w:t>
      </w:r>
      <w:r>
        <w:t xml:space="preserve">that the </w:t>
      </w:r>
      <w:r w:rsidRPr="006E2FBF">
        <w:t xml:space="preserve">mutual recognition </w:t>
      </w:r>
      <w:r>
        <w:t>legislation</w:t>
      </w:r>
      <w:r w:rsidRPr="006E2FBF">
        <w:t xml:space="preserve"> be amended to make it clear that requirements for ongoing registration</w:t>
      </w:r>
      <w:r>
        <w:t xml:space="preserve"> —</w:t>
      </w:r>
      <w:r w:rsidRPr="006E2FBF">
        <w:t xml:space="preserve"> including further training, continuing professional development and criminal record checks</w:t>
      </w:r>
      <w:r>
        <w:t xml:space="preserve"> —</w:t>
      </w:r>
      <w:r w:rsidRPr="006E2FBF">
        <w:t xml:space="preserve"> apply equally to all registered persons within an occupation, including those registered under mutual recognition.</w:t>
      </w:r>
      <w:r>
        <w:t xml:space="preserve"> </w:t>
      </w:r>
      <w:r w:rsidRPr="006E2FBF">
        <w:t xml:space="preserve">In response, the CJRF supported the notion of legislative amendments, but decided to first consider whether an alternative option could address the issue. </w:t>
      </w:r>
    </w:p>
    <w:p w14:paraId="1C1B722D" w14:textId="77777777" w:rsidR="00CB18D4" w:rsidRDefault="00CB18D4" w:rsidP="00CB18D4">
      <w:pPr>
        <w:pStyle w:val="Quote"/>
      </w:pPr>
      <w:r>
        <w:t>The CJR Forum supports in principle that licence holders should be subject to the same ongoing requirements in a jurisdiction, irrespective of whether a licence was acquired under mutual recognition. However, careful consideration will need to be given to the implications for occupational practitioners who maintain a licence in more than one jurisdiction, for example where this would result in duplicate training requirements for persons concurrently registered in more than one jurisdiction.</w:t>
      </w:r>
    </w:p>
    <w:p w14:paraId="3981DF41" w14:textId="4670351C" w:rsidR="00CB18D4" w:rsidRPr="007A0766" w:rsidRDefault="00CB18D4" w:rsidP="00CB18D4">
      <w:pPr>
        <w:pStyle w:val="Quote"/>
      </w:pPr>
      <w:r w:rsidRPr="007A0766">
        <w:t xml:space="preserve">The CJR Forum will also consider the option of encouraging regulators to recognise ongoing requirements conducted in other jurisdictions, where practical. </w:t>
      </w:r>
      <w:r w:rsidRPr="00F32FC8">
        <w:rPr>
          <w:szCs w:val="24"/>
        </w:rPr>
        <w:t>(CJRF 2014, p. 13)</w:t>
      </w:r>
    </w:p>
    <w:p w14:paraId="307A2595" w14:textId="35BA4842" w:rsidR="00340ADF" w:rsidRPr="00340ADF" w:rsidRDefault="00340ADF" w:rsidP="00340ADF">
      <w:pPr>
        <w:pStyle w:val="BodyText"/>
      </w:pPr>
      <w:r>
        <w:t>The Commission welcomes input on these issues.</w:t>
      </w:r>
    </w:p>
    <w:p w14:paraId="28F48569" w14:textId="63523064" w:rsidR="00AD178B" w:rsidRDefault="00E34FD5" w:rsidP="00C562CC">
      <w:pPr>
        <w:pStyle w:val="Questionindented"/>
        <w:rPr>
          <w:i w:val="0"/>
        </w:rPr>
      </w:pPr>
      <w:r>
        <w:t xml:space="preserve">Should people registered under mutual recognition be </w:t>
      </w:r>
      <w:r w:rsidRPr="00340ADF">
        <w:t>subject</w:t>
      </w:r>
      <w:r>
        <w:t xml:space="preserve"> to the same ongoing requirements as other licence holders in a jurisdiction? </w:t>
      </w:r>
      <w:r w:rsidR="00C61DC3">
        <w:t>Why or why not?</w:t>
      </w:r>
    </w:p>
    <w:p w14:paraId="3959E435" w14:textId="3B18C947" w:rsidR="00AD178B" w:rsidRDefault="00AD178B" w:rsidP="00C562CC">
      <w:pPr>
        <w:pStyle w:val="Questionindented"/>
        <w:rPr>
          <w:i w:val="0"/>
        </w:rPr>
      </w:pPr>
      <w:r>
        <w:t xml:space="preserve">Are amendments to mutual recognition </w:t>
      </w:r>
      <w:r w:rsidR="006378A1" w:rsidRPr="00C61DC3">
        <w:t>legislation</w:t>
      </w:r>
      <w:r w:rsidRPr="00C61DC3">
        <w:t xml:space="preserve"> needed to clarify whether requirements for ongoing registration apply equally to all registered persons within an occupation? Are there alternative options?</w:t>
      </w:r>
      <w:r w:rsidR="00E937B8" w:rsidRPr="00C61DC3">
        <w:t xml:space="preserve"> What are the costs and benefits of these approaches?</w:t>
      </w:r>
    </w:p>
    <w:p w14:paraId="0E1E9DE7" w14:textId="10899C1E" w:rsidR="00A56E16" w:rsidRDefault="00A56E16" w:rsidP="00D5204F">
      <w:pPr>
        <w:pStyle w:val="Heading4"/>
      </w:pPr>
      <w:r w:rsidRPr="00A71AE7">
        <w:t>Differences in occupational standards</w:t>
      </w:r>
      <w:bookmarkEnd w:id="94"/>
      <w:r w:rsidR="00846BBA">
        <w:t xml:space="preserve"> across jurisdictions</w:t>
      </w:r>
    </w:p>
    <w:p w14:paraId="793E0D26" w14:textId="6317487D" w:rsidR="00E937B8" w:rsidRDefault="00A56E16" w:rsidP="00A56E16">
      <w:pPr>
        <w:pStyle w:val="BodyText"/>
      </w:pPr>
      <w:r w:rsidRPr="003E0992">
        <w:t>A key element of mutual recognition</w:t>
      </w:r>
      <w:r w:rsidR="006378A1">
        <w:t xml:space="preserve"> of</w:t>
      </w:r>
      <w:r w:rsidRPr="003E0992">
        <w:t xml:space="preserve"> occupations is that registration in one jurisdiction is sufficient grounds for registration in an equivalent occupation</w:t>
      </w:r>
      <w:r>
        <w:t xml:space="preserve"> </w:t>
      </w:r>
      <w:r w:rsidRPr="003E0992">
        <w:t xml:space="preserve">in another </w:t>
      </w:r>
      <w:r w:rsidR="006378A1">
        <w:t>jurisdiction</w:t>
      </w:r>
      <w:r w:rsidRPr="003E0992">
        <w:t xml:space="preserve">. Differences in occupational ‘standards’ — qualifications, skills and experience — required to obtain (and retain) registration are not grounds to reject an application. In other words, the jurisdictions that participate in the mutual recognition schemes have agreed to recognise </w:t>
      </w:r>
      <w:proofErr w:type="spellStart"/>
      <w:r w:rsidRPr="003E0992">
        <w:t>each others’</w:t>
      </w:r>
      <w:proofErr w:type="spellEnd"/>
      <w:r w:rsidRPr="003E0992">
        <w:t xml:space="preserve"> standards, even though they may be different.</w:t>
      </w:r>
    </w:p>
    <w:p w14:paraId="662CA193" w14:textId="6CB53163" w:rsidR="00A56E16" w:rsidRDefault="00E937B8" w:rsidP="00A56E16">
      <w:pPr>
        <w:pStyle w:val="BodyText"/>
      </w:pPr>
      <w:r>
        <w:t xml:space="preserve">Differences in </w:t>
      </w:r>
      <w:r w:rsidR="00A56E16" w:rsidRPr="003E0992">
        <w:t xml:space="preserve">occupational standards </w:t>
      </w:r>
      <w:r>
        <w:t xml:space="preserve">across jurisdictions can lead to </w:t>
      </w:r>
      <w:r w:rsidR="00A56E16">
        <w:t>concern</w:t>
      </w:r>
      <w:r w:rsidR="00874CBE">
        <w:t>s</w:t>
      </w:r>
      <w:r w:rsidR="00A56E16">
        <w:t xml:space="preserve"> </w:t>
      </w:r>
      <w:r w:rsidR="00A56E16" w:rsidRPr="003E0992">
        <w:t>about the r</w:t>
      </w:r>
      <w:r w:rsidR="00A56E16">
        <w:t xml:space="preserve">isk of harm to property, health </w:t>
      </w:r>
      <w:r w:rsidR="00A56E16" w:rsidRPr="003E0992">
        <w:t>and safety from lower standards in some jurisdictions</w:t>
      </w:r>
      <w:r w:rsidR="00A56E16">
        <w:t xml:space="preserve">. </w:t>
      </w:r>
      <w:r>
        <w:t xml:space="preserve">In addition, </w:t>
      </w:r>
      <w:r w:rsidR="00C1548B">
        <w:t xml:space="preserve">it </w:t>
      </w:r>
      <w:r>
        <w:t xml:space="preserve">can create </w:t>
      </w:r>
      <w:r w:rsidR="00A56E16" w:rsidRPr="00413FFE">
        <w:t xml:space="preserve">the potential for ‘jurisdiction shopping and hopping’ — the practice of registering in the jurisdiction with the easiest or cheapest requirements and then using </w:t>
      </w:r>
      <w:r w:rsidR="00A56E16" w:rsidRPr="00413FFE">
        <w:lastRenderedPageBreak/>
        <w:t>the MRA</w:t>
      </w:r>
      <w:r w:rsidR="00A04B69">
        <w:t xml:space="preserve"> or </w:t>
      </w:r>
      <w:r w:rsidR="00A56E16" w:rsidRPr="00413FFE">
        <w:t xml:space="preserve">TTMRA to move to a preferred jurisdiction. This strategy may be used by residents of </w:t>
      </w:r>
      <w:r w:rsidR="006378A1">
        <w:t>a jurisdiction within Australia</w:t>
      </w:r>
      <w:r w:rsidR="00A56E16" w:rsidRPr="00413FFE">
        <w:t xml:space="preserve"> or </w:t>
      </w:r>
      <w:r w:rsidR="006378A1">
        <w:t>New Zealand</w:t>
      </w:r>
      <w:r w:rsidR="00A56E16" w:rsidRPr="00413FFE">
        <w:t xml:space="preserve">, or by people emigrating from a third country to those jurisdictions. </w:t>
      </w:r>
    </w:p>
    <w:p w14:paraId="4C955878" w14:textId="64D2CC7C" w:rsidR="00A56E16" w:rsidRDefault="00A56E16" w:rsidP="00A56E16">
      <w:pPr>
        <w:pStyle w:val="BodyText"/>
      </w:pPr>
      <w:r w:rsidRPr="00903D5B">
        <w:t xml:space="preserve">As a first option, regulators or jurisdictions concerned about lower occupational standards can engage in dialogue with their counterparts in other jurisdictions. </w:t>
      </w:r>
      <w:r w:rsidR="006378A1">
        <w:t>If such</w:t>
      </w:r>
      <w:r>
        <w:t xml:space="preserve"> dialogue does not resolve concerns</w:t>
      </w:r>
      <w:r w:rsidR="006378A1">
        <w:t>,</w:t>
      </w:r>
      <w:r>
        <w:t xml:space="preserve"> two formal mechanisms exist</w:t>
      </w:r>
      <w:r w:rsidR="00AB3C21">
        <w:t>.</w:t>
      </w:r>
    </w:p>
    <w:p w14:paraId="186FD8D3" w14:textId="17A92EA3" w:rsidR="00A56E16" w:rsidRPr="00D31F16" w:rsidRDefault="00A56E16" w:rsidP="00A04B69">
      <w:pPr>
        <w:pStyle w:val="ListBullet"/>
      </w:pPr>
      <w:r>
        <w:t>T</w:t>
      </w:r>
      <w:r w:rsidRPr="00903D5B">
        <w:t xml:space="preserve">he MRA and TTMRA </w:t>
      </w:r>
      <w:r w:rsidR="00AB3C21">
        <w:t xml:space="preserve">have </w:t>
      </w:r>
      <w:r w:rsidRPr="00903D5B">
        <w:t>processes for referring concerns about</w:t>
      </w:r>
      <w:r>
        <w:t xml:space="preserve"> </w:t>
      </w:r>
      <w:r w:rsidR="00AB3C21">
        <w:t xml:space="preserve">specific </w:t>
      </w:r>
      <w:r w:rsidRPr="00903D5B">
        <w:t xml:space="preserve">occupational standards to </w:t>
      </w:r>
      <w:r w:rsidR="00D57B30">
        <w:t xml:space="preserve">COAG </w:t>
      </w:r>
      <w:r w:rsidRPr="00903D5B">
        <w:t>Ministerial Councils for resolution.</w:t>
      </w:r>
      <w:r>
        <w:t xml:space="preserve"> </w:t>
      </w:r>
    </w:p>
    <w:p w14:paraId="15DDD957" w14:textId="5473D90D" w:rsidR="00A56E16" w:rsidRPr="00A04B69" w:rsidRDefault="00AB3C21" w:rsidP="00A04B69">
      <w:pPr>
        <w:pStyle w:val="ListBullet"/>
      </w:pPr>
      <w:r>
        <w:t>T</w:t>
      </w:r>
      <w:r w:rsidR="00A56E16" w:rsidRPr="00A04B69">
        <w:t>he mutual recognition legislation allows a tribunal — the Administrative Appeals Tribunal in Australia or the Trans</w:t>
      </w:r>
      <w:r w:rsidR="00AC10D4">
        <w:noBreakHyphen/>
      </w:r>
      <w:r w:rsidR="00A56E16" w:rsidRPr="00A04B69">
        <w:t xml:space="preserve">Tasman Occupations Tribunal in New Zealand — to </w:t>
      </w:r>
      <w:r>
        <w:t>declare</w:t>
      </w:r>
      <w:r w:rsidR="00A56E16" w:rsidRPr="00A04B69">
        <w:t xml:space="preserve"> </w:t>
      </w:r>
      <w:r>
        <w:t>particular</w:t>
      </w:r>
      <w:r w:rsidR="00A56E16" w:rsidRPr="00A04B69">
        <w:t xml:space="preserve"> occupations </w:t>
      </w:r>
      <w:r>
        <w:t>as</w:t>
      </w:r>
      <w:r w:rsidR="00A56E16" w:rsidRPr="00A04B69">
        <w:t xml:space="preserve"> not </w:t>
      </w:r>
      <w:r>
        <w:t xml:space="preserve">being </w:t>
      </w:r>
      <w:r w:rsidR="00A56E16" w:rsidRPr="00A04B69">
        <w:t>equivalent on standards grounds.</w:t>
      </w:r>
    </w:p>
    <w:p w14:paraId="076D7528" w14:textId="176C7AB2" w:rsidR="003E3F39" w:rsidRDefault="003E3F39" w:rsidP="003E3F39">
      <w:pPr>
        <w:pStyle w:val="BodyText"/>
      </w:pPr>
      <w:r>
        <w:t xml:space="preserve">However, the 2009 review found that </w:t>
      </w:r>
      <w:r w:rsidR="003E6DC2">
        <w:t>no</w:t>
      </w:r>
      <w:r>
        <w:t xml:space="preserve"> occupational standards had </w:t>
      </w:r>
      <w:r w:rsidR="003E6DC2">
        <w:t xml:space="preserve">ever </w:t>
      </w:r>
      <w:r>
        <w:t>been referred to a Ministerial Council, possibly because of the cost. The 2009 review also found a lack of clari</w:t>
      </w:r>
      <w:r w:rsidR="003E6DC2">
        <w:t>t</w:t>
      </w:r>
      <w:r>
        <w:t xml:space="preserve">y about how </w:t>
      </w:r>
      <w:r w:rsidRPr="00A04B69">
        <w:t>occupational standards are brought before the tribunals</w:t>
      </w:r>
      <w:r>
        <w:t>.</w:t>
      </w:r>
    </w:p>
    <w:p w14:paraId="24A79597" w14:textId="14E44A4B" w:rsidR="00A56E16" w:rsidRPr="00E937B8" w:rsidRDefault="00A56E16" w:rsidP="00C562CC">
      <w:pPr>
        <w:pStyle w:val="Questionindented"/>
        <w:rPr>
          <w:i w:val="0"/>
        </w:rPr>
      </w:pPr>
      <w:r w:rsidRPr="00E937B8">
        <w:t xml:space="preserve">Is there any evidence of </w:t>
      </w:r>
      <w:r w:rsidR="00021494">
        <w:t xml:space="preserve">jurisdiction </w:t>
      </w:r>
      <w:r w:rsidR="003E6DC2">
        <w:t xml:space="preserve">‘shopping and hopping’ occurring for occupations which is </w:t>
      </w:r>
      <w:r w:rsidRPr="003E6DC2">
        <w:t>leading to harm to property, health and safety</w:t>
      </w:r>
      <w:r w:rsidR="00021494" w:rsidRPr="003E6DC2">
        <w:t xml:space="preserve"> in another jurisdiction via mutual recognition</w:t>
      </w:r>
      <w:r w:rsidRPr="003E6DC2">
        <w:t>? If so, what is the extent of the problem and is it a systemic issue affecting an entire occupation?</w:t>
      </w:r>
      <w:r w:rsidR="003E6DC2">
        <w:t xml:space="preserve"> Is there evidence of any benefits, such as regulatory competition and innovation between jurisdictions?</w:t>
      </w:r>
    </w:p>
    <w:p w14:paraId="4C228F68" w14:textId="53D1AF74" w:rsidR="00A56E16" w:rsidRPr="00E937B8" w:rsidRDefault="00BD114B" w:rsidP="00C562CC">
      <w:pPr>
        <w:pStyle w:val="Questionindented"/>
        <w:rPr>
          <w:i w:val="0"/>
        </w:rPr>
      </w:pPr>
      <w:r w:rsidRPr="00E937B8">
        <w:t>How effective a</w:t>
      </w:r>
      <w:r w:rsidR="00A56E16" w:rsidRPr="003E6DC2">
        <w:t xml:space="preserve">re current informal and formal processes — dialogue </w:t>
      </w:r>
      <w:r w:rsidR="00DE583F" w:rsidRPr="003E6DC2">
        <w:t>between</w:t>
      </w:r>
      <w:r w:rsidR="00A56E16" w:rsidRPr="003E6DC2">
        <w:t xml:space="preserve"> jurisdictions, </w:t>
      </w:r>
      <w:r w:rsidR="00DE583F" w:rsidRPr="003E6DC2">
        <w:t xml:space="preserve">referral of occupational standards to </w:t>
      </w:r>
      <w:r w:rsidR="00A56E16" w:rsidRPr="003E6DC2">
        <w:t xml:space="preserve">Ministerial Councils, </w:t>
      </w:r>
      <w:r w:rsidR="00DE583F" w:rsidRPr="003E6DC2">
        <w:t xml:space="preserve">and </w:t>
      </w:r>
      <w:r w:rsidR="00A56E16" w:rsidRPr="003E6DC2">
        <w:t xml:space="preserve">recourse to a tribunal — </w:t>
      </w:r>
      <w:r w:rsidR="00DE583F" w:rsidRPr="003E6DC2">
        <w:t xml:space="preserve">in </w:t>
      </w:r>
      <w:r w:rsidR="00A56E16" w:rsidRPr="003E6DC2">
        <w:t>address</w:t>
      </w:r>
      <w:r w:rsidR="00DE583F" w:rsidRPr="003E6DC2">
        <w:t>ing</w:t>
      </w:r>
      <w:r w:rsidR="00A56E16" w:rsidRPr="003E6DC2">
        <w:t xml:space="preserve"> </w:t>
      </w:r>
      <w:r w:rsidR="00DE583F" w:rsidRPr="003E6DC2">
        <w:t>concerns about</w:t>
      </w:r>
      <w:r w:rsidR="00A56E16" w:rsidRPr="003E6DC2">
        <w:t xml:space="preserve"> differing standards</w:t>
      </w:r>
      <w:r w:rsidR="00DE583F" w:rsidRPr="003E6DC2">
        <w:t xml:space="preserve"> across jurisdictions</w:t>
      </w:r>
      <w:r w:rsidR="00A56E16" w:rsidRPr="003E6DC2">
        <w:t xml:space="preserve">? </w:t>
      </w:r>
    </w:p>
    <w:p w14:paraId="1E62FF03" w14:textId="77777777" w:rsidR="00E937B8" w:rsidRPr="00D31F16" w:rsidRDefault="00E937B8" w:rsidP="00C562CC">
      <w:pPr>
        <w:pStyle w:val="Questionindented"/>
      </w:pPr>
      <w:bookmarkStart w:id="95" w:name="_Toc406773301"/>
      <w:r w:rsidRPr="00E937B8">
        <w:t>What are the costs and benefits from jurisdictions working on reducing differences in their registration requirements? How significant are they? What is the evidence?</w:t>
      </w:r>
    </w:p>
    <w:bookmarkEnd w:id="95"/>
    <w:p w14:paraId="18D8C43C" w14:textId="77777777" w:rsidR="00AA0638" w:rsidRPr="007921DB" w:rsidRDefault="00AA0638" w:rsidP="00AA0638">
      <w:pPr>
        <w:pStyle w:val="Heading3"/>
      </w:pPr>
      <w:r w:rsidRPr="007921DB">
        <w:t>Automatic mutual recognition</w:t>
      </w:r>
      <w:r>
        <w:t xml:space="preserve"> of occupations</w:t>
      </w:r>
    </w:p>
    <w:p w14:paraId="4EED0258" w14:textId="29ED7E83" w:rsidR="00AA0638" w:rsidRPr="00D31F16" w:rsidRDefault="00AA0638" w:rsidP="00AA0638">
      <w:pPr>
        <w:pStyle w:val="BodyText"/>
      </w:pPr>
      <w:r w:rsidRPr="00D31F16">
        <w:t>The Commission has been asked to consider the scope for automatic mutual recognition of occupations. In broad terms, under automatic mutual recognition an occupational licence issued by one jurisdiction would automatically be valid in other jurisdictions. Hence, unlike current arrangements for the MRA and TTMRA, individuals who wish to practise outside their originating jurisdiction would not be required to register again in the destination jurisdiction. This would avoid the administrative costs incurred by regulators and compliance costs borne by licence holders when they change</w:t>
      </w:r>
      <w:r w:rsidR="001F4A93">
        <w:t>,</w:t>
      </w:r>
      <w:r w:rsidRPr="00D31F16">
        <w:t xml:space="preserve"> </w:t>
      </w:r>
      <w:r w:rsidR="007C0C05" w:rsidRPr="00D31F16">
        <w:t>or work in multiple</w:t>
      </w:r>
      <w:r w:rsidR="001F4A93">
        <w:t>,</w:t>
      </w:r>
      <w:r w:rsidR="007C0C05" w:rsidRPr="00D31F16">
        <w:t xml:space="preserve"> </w:t>
      </w:r>
      <w:r w:rsidRPr="00D31F16">
        <w:t>jurisdictions.</w:t>
      </w:r>
    </w:p>
    <w:p w14:paraId="757FCDEC" w14:textId="310FC78C" w:rsidR="00AA0638" w:rsidRPr="00D31F16" w:rsidRDefault="00AA0638" w:rsidP="00AA0638">
      <w:pPr>
        <w:pStyle w:val="BodyText"/>
      </w:pPr>
      <w:r w:rsidRPr="00D31F16">
        <w:t xml:space="preserve">There are already a small number </w:t>
      </w:r>
      <w:r w:rsidR="00C61D1E" w:rsidRPr="00D31F16">
        <w:t xml:space="preserve">of </w:t>
      </w:r>
      <w:r w:rsidRPr="00D31F16">
        <w:t>examples of automatic mutual recognition in Australia.</w:t>
      </w:r>
    </w:p>
    <w:p w14:paraId="430BBC6A" w14:textId="610663DD" w:rsidR="00AA0638" w:rsidRDefault="00AA0638" w:rsidP="00AA0638">
      <w:pPr>
        <w:pStyle w:val="ListBullet"/>
        <w:spacing w:line="320" w:lineRule="atLeast"/>
      </w:pPr>
      <w:r w:rsidRPr="002E5F8C">
        <w:lastRenderedPageBreak/>
        <w:t>New South Wales</w:t>
      </w:r>
      <w:r>
        <w:t xml:space="preserve"> recently adopted </w:t>
      </w:r>
      <w:r w:rsidRPr="002E5F8C">
        <w:t xml:space="preserve">the </w:t>
      </w:r>
      <w:r w:rsidRPr="00B9091A">
        <w:rPr>
          <w:i/>
        </w:rPr>
        <w:t>Mutual Recognition (Automatic Licensed Occupations Recognition) Act 2014</w:t>
      </w:r>
      <w:r w:rsidRPr="00B9091A">
        <w:t>, which</w:t>
      </w:r>
      <w:r>
        <w:rPr>
          <w:i/>
        </w:rPr>
        <w:t xml:space="preserve"> </w:t>
      </w:r>
      <w:r w:rsidRPr="002E5F8C">
        <w:t>enables licensed trades</w:t>
      </w:r>
      <w:r>
        <w:t xml:space="preserve"> </w:t>
      </w:r>
      <w:r w:rsidRPr="002E5F8C">
        <w:t xml:space="preserve">to work in New South Wales </w:t>
      </w:r>
      <w:r>
        <w:t xml:space="preserve">if </w:t>
      </w:r>
      <w:r w:rsidRPr="002E5F8C">
        <w:t>the</w:t>
      </w:r>
      <w:r>
        <w:t>y hold a</w:t>
      </w:r>
      <w:r w:rsidRPr="002E5F8C">
        <w:t xml:space="preserve"> licence in their home jurisdiction</w:t>
      </w:r>
      <w:r>
        <w:t>.</w:t>
      </w:r>
      <w:r w:rsidRPr="002E5F8C">
        <w:t xml:space="preserve"> </w:t>
      </w:r>
      <w:r>
        <w:t>At this stage</w:t>
      </w:r>
      <w:r w:rsidRPr="002E5F8C">
        <w:t>, certain types of electrical licenses issued by Victoria</w:t>
      </w:r>
      <w:r>
        <w:t xml:space="preserve">, </w:t>
      </w:r>
      <w:r w:rsidRPr="002E5F8C">
        <w:t xml:space="preserve">Queensland and the ACT are </w:t>
      </w:r>
      <w:r>
        <w:t xml:space="preserve">automatically </w:t>
      </w:r>
      <w:r w:rsidRPr="002E5F8C">
        <w:t>recognised</w:t>
      </w:r>
      <w:r>
        <w:t>,</w:t>
      </w:r>
      <w:r w:rsidRPr="00B9091A">
        <w:t xml:space="preserve"> </w:t>
      </w:r>
      <w:r>
        <w:t>provided the licence holder’s principal place of residence is in the</w:t>
      </w:r>
      <w:r w:rsidR="00AC10D4">
        <w:t xml:space="preserve"> </w:t>
      </w:r>
      <w:r>
        <w:t>jurisdiction</w:t>
      </w:r>
      <w:r w:rsidR="007C0C05">
        <w:t xml:space="preserve"> that issued the licence</w:t>
      </w:r>
      <w:r>
        <w:t>.</w:t>
      </w:r>
    </w:p>
    <w:p w14:paraId="3447F4B7" w14:textId="77777777" w:rsidR="00AA0638" w:rsidRDefault="00AA0638" w:rsidP="00AA0638">
      <w:pPr>
        <w:pStyle w:val="ListBullet"/>
        <w:spacing w:line="320" w:lineRule="atLeast"/>
      </w:pPr>
      <w:r w:rsidRPr="00637985">
        <w:t xml:space="preserve">Queensland allows electricians who </w:t>
      </w:r>
      <w:r>
        <w:t xml:space="preserve">hold certain specified licences </w:t>
      </w:r>
      <w:r w:rsidRPr="00637985">
        <w:t>issued by other states, territories and Ne</w:t>
      </w:r>
      <w:r>
        <w:t xml:space="preserve">w Zealand (termed ‘external </w:t>
      </w:r>
      <w:r w:rsidRPr="00637985">
        <w:t>licences</w:t>
      </w:r>
      <w:r>
        <w:t xml:space="preserve">’) </w:t>
      </w:r>
      <w:r w:rsidRPr="00637985">
        <w:t>to work within the scope of that licence without having to apply for a Queensland electrical work licence.</w:t>
      </w:r>
      <w:r>
        <w:t xml:space="preserve"> </w:t>
      </w:r>
    </w:p>
    <w:p w14:paraId="4783F1E3" w14:textId="77777777" w:rsidR="00AA0638" w:rsidRDefault="00AA0638" w:rsidP="00AA0638">
      <w:pPr>
        <w:pStyle w:val="BodyText"/>
      </w:pPr>
      <w:r w:rsidRPr="00D31F16">
        <w:t xml:space="preserve">Moreover, Australian states and territories are, through the Council for the Australian Federation (CAF), exploring the scope to adopt automatic mutual recognition more widely. This work was initiated after a majority of Australian states decided to discontinue </w:t>
      </w:r>
      <w:r w:rsidRPr="00D53C57">
        <w:t xml:space="preserve">implementation of </w:t>
      </w:r>
      <w:r>
        <w:t>a</w:t>
      </w:r>
      <w:r w:rsidRPr="001538C2">
        <w:t xml:space="preserve"> </w:t>
      </w:r>
      <w:r>
        <w:t>proposed</w:t>
      </w:r>
      <w:r w:rsidRPr="00D53C57">
        <w:t xml:space="preserve"> national occupational licensing scheme</w:t>
      </w:r>
      <w:r>
        <w:t xml:space="preserve">. </w:t>
      </w:r>
    </w:p>
    <w:p w14:paraId="2BE37067" w14:textId="20328E85" w:rsidR="00AA0638" w:rsidRDefault="00AA0638" w:rsidP="00AA0638">
      <w:pPr>
        <w:pStyle w:val="BodyText"/>
      </w:pPr>
      <w:r w:rsidRPr="00D53C57">
        <w:t xml:space="preserve">CAF </w:t>
      </w:r>
      <w:r>
        <w:t>is</w:t>
      </w:r>
      <w:r w:rsidRPr="00D53C57">
        <w:t xml:space="preserve"> considering </w:t>
      </w:r>
      <w:r>
        <w:t>an ‘external equivalence’ model — essentially a form of automatic mutual recognition —</w:t>
      </w:r>
      <w:r w:rsidRPr="00D53C57">
        <w:t xml:space="preserve"> for selected license categories across jurisdictional boundaries</w:t>
      </w:r>
      <w:r>
        <w:t xml:space="preserve"> </w:t>
      </w:r>
      <w:r w:rsidRPr="00D35C30">
        <w:t>(CAF 2014)</w:t>
      </w:r>
      <w:r w:rsidRPr="00D53C57">
        <w:t xml:space="preserve">. </w:t>
      </w:r>
      <w:r>
        <w:t>Each s</w:t>
      </w:r>
      <w:r w:rsidRPr="00AB233A">
        <w:t xml:space="preserve">tate and </w:t>
      </w:r>
      <w:r>
        <w:t>t</w:t>
      </w:r>
      <w:r w:rsidRPr="00AB233A">
        <w:t xml:space="preserve">erritory </w:t>
      </w:r>
      <w:r>
        <w:t>g</w:t>
      </w:r>
      <w:r w:rsidRPr="00AB233A">
        <w:t>overnment</w:t>
      </w:r>
      <w:r>
        <w:t xml:space="preserve"> will make its own decision about the adoption of any external equivalence model but, through CAF, have agreed to start with </w:t>
      </w:r>
      <w:r w:rsidRPr="00D35C30">
        <w:t>electrical and plumbing/gas fitting occupations</w:t>
      </w:r>
      <w:r>
        <w:t>. The abovementioned arrangements already in place for electricians in New South Wales and Queensland are considered to be examples of the external equivalence model.</w:t>
      </w:r>
    </w:p>
    <w:p w14:paraId="4F5BD837" w14:textId="2DFD831F" w:rsidR="00AA0638" w:rsidRPr="00443A66" w:rsidRDefault="00893496" w:rsidP="00C562CC">
      <w:pPr>
        <w:pStyle w:val="Questionindented"/>
      </w:pPr>
      <w:r>
        <w:t>I</w:t>
      </w:r>
      <w:r w:rsidR="00AA0638" w:rsidRPr="00443A66">
        <w:t>s there a strong case for a</w:t>
      </w:r>
      <w:r w:rsidR="00AA0638">
        <w:t>dopting</w:t>
      </w:r>
      <w:r w:rsidR="00AA0638" w:rsidRPr="00443A66">
        <w:t xml:space="preserve"> automatic mutual recognition more widely?</w:t>
      </w:r>
      <w:r w:rsidR="00AA0638" w:rsidRPr="0029359A">
        <w:t xml:space="preserve"> </w:t>
      </w:r>
      <w:r w:rsidR="00AA0638" w:rsidRPr="00443A66">
        <w:t xml:space="preserve">What </w:t>
      </w:r>
      <w:r w:rsidR="00AA0638">
        <w:t xml:space="preserve">would be </w:t>
      </w:r>
      <w:r w:rsidR="00AA0638" w:rsidRPr="00443A66">
        <w:t xml:space="preserve">the implications for </w:t>
      </w:r>
      <w:r w:rsidR="00AA0638">
        <w:t>the MRA and TTMRA</w:t>
      </w:r>
      <w:r w:rsidR="00AA0638" w:rsidRPr="00443A66">
        <w:t>?</w:t>
      </w:r>
    </w:p>
    <w:p w14:paraId="570291E9" w14:textId="26B2BC66" w:rsidR="00AA0638" w:rsidRDefault="00AA0638" w:rsidP="00C562CC">
      <w:pPr>
        <w:pStyle w:val="Questionindented"/>
      </w:pPr>
      <w:r w:rsidRPr="00443A66">
        <w:t>What are the advantages and disadvantage</w:t>
      </w:r>
      <w:r w:rsidR="00A82FF9">
        <w:t>s</w:t>
      </w:r>
      <w:r w:rsidRPr="00443A66">
        <w:t xml:space="preserve"> of </w:t>
      </w:r>
      <w:r>
        <w:t xml:space="preserve">the ‘external equivalence’ model being considered by the </w:t>
      </w:r>
      <w:r w:rsidRPr="00443A66">
        <w:t xml:space="preserve">Council for the Australian Federation? </w:t>
      </w:r>
    </w:p>
    <w:p w14:paraId="18A48079" w14:textId="370F064F" w:rsidR="00AA0638" w:rsidRDefault="00AA0638" w:rsidP="00C562CC">
      <w:pPr>
        <w:pStyle w:val="Questionindented"/>
      </w:pPr>
      <w:r w:rsidRPr="00443A66">
        <w:t xml:space="preserve">What are the </w:t>
      </w:r>
      <w:r>
        <w:t>strengths</w:t>
      </w:r>
      <w:r w:rsidRPr="00443A66">
        <w:t xml:space="preserve"> and </w:t>
      </w:r>
      <w:r>
        <w:t>weaknesses</w:t>
      </w:r>
      <w:r w:rsidRPr="00443A66">
        <w:t xml:space="preserve"> of the </w:t>
      </w:r>
      <w:r>
        <w:t xml:space="preserve">different </w:t>
      </w:r>
      <w:r w:rsidRPr="00443A66">
        <w:t xml:space="preserve">models </w:t>
      </w:r>
      <w:r>
        <w:t xml:space="preserve">of automatic mutual recognition adopted by </w:t>
      </w:r>
      <w:r w:rsidRPr="00443A66">
        <w:t>N</w:t>
      </w:r>
      <w:r>
        <w:t xml:space="preserve">ew South Wales </w:t>
      </w:r>
      <w:r w:rsidRPr="00443A66">
        <w:t xml:space="preserve">and Queensland for electrical occupations? </w:t>
      </w:r>
      <w:r>
        <w:t xml:space="preserve">Would it be </w:t>
      </w:r>
      <w:r w:rsidR="00893496">
        <w:t>desirable</w:t>
      </w:r>
      <w:r>
        <w:t xml:space="preserve"> to expand either of </w:t>
      </w:r>
      <w:r w:rsidRPr="00443A66">
        <w:t>these approaches to other occupations</w:t>
      </w:r>
      <w:r>
        <w:t xml:space="preserve"> and jurisdictions? </w:t>
      </w:r>
      <w:r w:rsidRPr="00443A66">
        <w:t>Are there better models of automatic mutual recognition in place elsewhere?</w:t>
      </w:r>
    </w:p>
    <w:p w14:paraId="0030DE96" w14:textId="66B342D4" w:rsidR="00904B92" w:rsidRDefault="00904B92" w:rsidP="00904B92">
      <w:pPr>
        <w:pStyle w:val="BodyText"/>
      </w:pPr>
      <w:r>
        <w:t>The terms of reference also raise the possibility of a single registration model for trans</w:t>
      </w:r>
      <w:r w:rsidR="00AC10D4">
        <w:noBreakHyphen/>
      </w:r>
      <w:r>
        <w:t>Tasman service provision by particular occupations. While the terms of reference suggest that this would be facilitated by the Agreement on Trans</w:t>
      </w:r>
      <w:r w:rsidR="00AC10D4">
        <w:noBreakHyphen/>
      </w:r>
      <w:r>
        <w:t xml:space="preserve">Tasman Court Proceedings and Regulatory Enforcement, </w:t>
      </w:r>
      <w:r w:rsidR="00BB7476">
        <w:t xml:space="preserve">this </w:t>
      </w:r>
      <w:r w:rsidR="005A01E1">
        <w:t>may</w:t>
      </w:r>
      <w:r>
        <w:t xml:space="preserve"> only </w:t>
      </w:r>
      <w:r w:rsidR="005A01E1">
        <w:t xml:space="preserve">be </w:t>
      </w:r>
      <w:r>
        <w:t>one of many elements need</w:t>
      </w:r>
      <w:r w:rsidR="00BB7476">
        <w:t>ed</w:t>
      </w:r>
      <w:r>
        <w:t xml:space="preserve"> for a trans</w:t>
      </w:r>
      <w:r w:rsidR="00AC10D4">
        <w:noBreakHyphen/>
      </w:r>
      <w:r>
        <w:t>Tasman model of automatic mutual recognition.</w:t>
      </w:r>
    </w:p>
    <w:p w14:paraId="6DD7D264" w14:textId="3D3656FC" w:rsidR="00904B92" w:rsidRPr="00F75637" w:rsidRDefault="00904B92" w:rsidP="00C562CC">
      <w:pPr>
        <w:pStyle w:val="Questionindented"/>
        <w:rPr>
          <w:i w:val="0"/>
        </w:rPr>
      </w:pPr>
      <w:r>
        <w:t>What additional issues would need to be considered for a trans</w:t>
      </w:r>
      <w:r w:rsidR="00AC10D4">
        <w:noBreakHyphen/>
      </w:r>
      <w:r>
        <w:t xml:space="preserve">Tasman model of automatic mutual recognition? Would there be a net benefit from such a model? To what extent would </w:t>
      </w:r>
      <w:r w:rsidR="00B87CDC">
        <w:t xml:space="preserve">it </w:t>
      </w:r>
      <w:r>
        <w:t>be facilitated by the Agreement on Trans</w:t>
      </w:r>
      <w:r w:rsidR="00AC10D4">
        <w:noBreakHyphen/>
      </w:r>
      <w:r>
        <w:t xml:space="preserve">Tasman Court Proceedings and Regulatory Enforcement? Are there specific occupations particularly suited to the model? What are the implications for the TTMRA? </w:t>
      </w:r>
    </w:p>
    <w:p w14:paraId="5AE11CD4" w14:textId="5682811A" w:rsidR="00025B99" w:rsidRDefault="0032046F" w:rsidP="00A56E16">
      <w:pPr>
        <w:pStyle w:val="Heading2"/>
      </w:pPr>
      <w:r>
        <w:lastRenderedPageBreak/>
        <w:fldChar w:fldCharType="begin"/>
      </w:r>
      <w:r>
        <w:instrText xml:space="preserve"> SEQ Heading2 </w:instrText>
      </w:r>
      <w:r>
        <w:fldChar w:fldCharType="separate"/>
      </w:r>
      <w:bookmarkStart w:id="96" w:name="_Toc408308216"/>
      <w:bookmarkStart w:id="97" w:name="_Toc408308382"/>
      <w:bookmarkStart w:id="98" w:name="_Toc408311449"/>
      <w:bookmarkStart w:id="99" w:name="_Toc408326898"/>
      <w:bookmarkStart w:id="100" w:name="_Toc408388600"/>
      <w:bookmarkStart w:id="101" w:name="_Toc408396469"/>
      <w:bookmarkStart w:id="102" w:name="_Toc408396926"/>
      <w:bookmarkStart w:id="103" w:name="_Toc408401050"/>
      <w:bookmarkStart w:id="104" w:name="_Toc408562308"/>
      <w:bookmarkStart w:id="105" w:name="_Toc408563143"/>
      <w:bookmarkStart w:id="106" w:name="_Toc408563682"/>
      <w:bookmarkStart w:id="107" w:name="_Toc408567137"/>
      <w:bookmarkStart w:id="108" w:name="_Toc408567835"/>
      <w:bookmarkStart w:id="109" w:name="_Toc408569411"/>
      <w:bookmarkStart w:id="110" w:name="_Toc409010845"/>
      <w:bookmarkStart w:id="111" w:name="_Toc200943067"/>
      <w:bookmarkStart w:id="112" w:name="_Toc406773304"/>
      <w:r w:rsidR="004A70DC">
        <w:rPr>
          <w:noProof/>
        </w:rPr>
        <w:t>6</w:t>
      </w:r>
      <w:r>
        <w:rPr>
          <w:noProof/>
        </w:rPr>
        <w:fldChar w:fldCharType="end"/>
      </w:r>
      <w:r w:rsidR="00A56E16">
        <w:tab/>
      </w:r>
      <w:r w:rsidR="00884782">
        <w:t>Mutual recognition g</w:t>
      </w:r>
      <w:r w:rsidR="00BA5DB4">
        <w:t>overnance</w:t>
      </w:r>
      <w:r w:rsidR="00025B99">
        <w:t xml:space="preserve"> arrangements</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3CA101A7" w14:textId="0CE69630" w:rsidR="00BA5DB4" w:rsidRPr="00BA5DB4" w:rsidRDefault="00BA5DB4" w:rsidP="00BA5DB4">
      <w:pPr>
        <w:pStyle w:val="BodyText"/>
      </w:pPr>
      <w:r w:rsidRPr="00BA5DB4">
        <w:t xml:space="preserve">The governance arrangements for the MRA and TTMRA </w:t>
      </w:r>
      <w:r>
        <w:t>are</w:t>
      </w:r>
      <w:r w:rsidRPr="00BA5DB4">
        <w:t xml:space="preserve"> a key determinant of the</w:t>
      </w:r>
      <w:r w:rsidR="009D402C">
        <w:t>ir</w:t>
      </w:r>
      <w:r w:rsidRPr="00BA5DB4">
        <w:t xml:space="preserve"> effectiveness and efficiency. The term governance arrangements is used here to refer to how the responsibilities of, and relationships </w:t>
      </w:r>
      <w:r w:rsidR="000729E0">
        <w:t xml:space="preserve">and processes </w:t>
      </w:r>
      <w:r w:rsidRPr="00BA5DB4">
        <w:t xml:space="preserve">between, different agencies and jurisdictions are organised to ensure mutual recognition is implemented </w:t>
      </w:r>
      <w:r>
        <w:t xml:space="preserve">as </w:t>
      </w:r>
      <w:r w:rsidR="001D2D8A">
        <w:t>envisaged</w:t>
      </w:r>
      <w:r w:rsidRPr="00BA5DB4">
        <w:t xml:space="preserve"> </w:t>
      </w:r>
      <w:r w:rsidR="00BC519F">
        <w:t>by</w:t>
      </w:r>
      <w:r>
        <w:t xml:space="preserve"> the juri</w:t>
      </w:r>
      <w:r w:rsidR="001D2D8A">
        <w:t>s</w:t>
      </w:r>
      <w:r>
        <w:t>d</w:t>
      </w:r>
      <w:r w:rsidR="001D2D8A">
        <w:t>i</w:t>
      </w:r>
      <w:r>
        <w:t>ctions</w:t>
      </w:r>
      <w:r w:rsidRPr="00BA5DB4">
        <w:t>.</w:t>
      </w:r>
    </w:p>
    <w:p w14:paraId="322EE0A6" w14:textId="653CA9B1" w:rsidR="00BD0FF0" w:rsidRPr="00C743F0" w:rsidRDefault="001D2D8A" w:rsidP="00BD0FF0">
      <w:pPr>
        <w:pStyle w:val="BodyText"/>
      </w:pPr>
      <w:r>
        <w:rPr>
          <w:color w:val="000000"/>
        </w:rPr>
        <w:t>The</w:t>
      </w:r>
      <w:r w:rsidRPr="00BD756D">
        <w:rPr>
          <w:color w:val="000000"/>
        </w:rPr>
        <w:t xml:space="preserve"> </w:t>
      </w:r>
      <w:r>
        <w:rPr>
          <w:color w:val="000000"/>
        </w:rPr>
        <w:t xml:space="preserve">MRA and TTMRA </w:t>
      </w:r>
      <w:r w:rsidR="00BA5DB4">
        <w:t>have a complex system of governance arrangements involving many parties.</w:t>
      </w:r>
      <w:r>
        <w:t xml:space="preserve"> </w:t>
      </w:r>
      <w:r w:rsidR="008417A9">
        <w:t>The system</w:t>
      </w:r>
      <w:r>
        <w:t xml:space="preserve"> is </w:t>
      </w:r>
      <w:r w:rsidR="00BD0FF0">
        <w:rPr>
          <w:color w:val="000000"/>
        </w:rPr>
        <w:t xml:space="preserve">inherently decentralised, with administration and enforcement largely delegated to individual regulators in each jurisdiction. </w:t>
      </w:r>
      <w:r w:rsidR="00BD0FF0" w:rsidRPr="004D4584">
        <w:rPr>
          <w:color w:val="000000"/>
        </w:rPr>
        <w:t xml:space="preserve">Responsibility for oversight of the mutual recognition schemes ultimately rests with </w:t>
      </w:r>
      <w:r w:rsidR="00A421C4" w:rsidRPr="004D4584">
        <w:rPr>
          <w:color w:val="000000"/>
        </w:rPr>
        <w:t>Heads</w:t>
      </w:r>
      <w:r w:rsidR="00BD0FF0" w:rsidRPr="004D4584">
        <w:rPr>
          <w:color w:val="000000"/>
        </w:rPr>
        <w:t xml:space="preserve"> of </w:t>
      </w:r>
      <w:r w:rsidR="00A421C4" w:rsidRPr="004D4584">
        <w:rPr>
          <w:color w:val="000000"/>
        </w:rPr>
        <w:t>Government</w:t>
      </w:r>
      <w:r w:rsidR="00BD0FF0" w:rsidRPr="004D4584">
        <w:rPr>
          <w:color w:val="000000"/>
        </w:rPr>
        <w:t xml:space="preserve">, coordinated through COAG (including the New Zealand Government for TTMRA matters). To carry out this function, the </w:t>
      </w:r>
      <w:r w:rsidR="00341ADA" w:rsidRPr="004D4584">
        <w:rPr>
          <w:color w:val="000000"/>
        </w:rPr>
        <w:t xml:space="preserve">Heads </w:t>
      </w:r>
      <w:r w:rsidR="00341ADA">
        <w:rPr>
          <w:color w:val="000000"/>
        </w:rPr>
        <w:t>o</w:t>
      </w:r>
      <w:r w:rsidR="00341ADA" w:rsidRPr="004D4584">
        <w:rPr>
          <w:color w:val="000000"/>
        </w:rPr>
        <w:t xml:space="preserve">f Government </w:t>
      </w:r>
      <w:r w:rsidR="00BD0FF0" w:rsidRPr="004D4584">
        <w:rPr>
          <w:color w:val="000000"/>
        </w:rPr>
        <w:t xml:space="preserve">are supported by various bodies, including COAG Ministerial Councils and government departments in their </w:t>
      </w:r>
      <w:r w:rsidR="00BD0FF0" w:rsidRPr="00C743F0">
        <w:t>jurisdiction (box</w:t>
      </w:r>
      <w:r w:rsidR="002C63A8">
        <w:t> </w:t>
      </w:r>
      <w:r w:rsidR="00DA1809">
        <w:t>3</w:t>
      </w:r>
      <w:r w:rsidR="00BD0FF0" w:rsidRPr="00C743F0">
        <w:t>).</w:t>
      </w:r>
    </w:p>
    <w:p w14:paraId="502E2D29" w14:textId="4BD8528C" w:rsidR="00BD0FF0" w:rsidRDefault="00BD0FF0" w:rsidP="00BD0FF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BD0FF0" w14:paraId="61D5F21D" w14:textId="77777777" w:rsidTr="00D76B9E">
        <w:tc>
          <w:tcPr>
            <w:tcW w:w="8771" w:type="dxa"/>
            <w:tcBorders>
              <w:top w:val="single" w:sz="6" w:space="0" w:color="78A22F"/>
              <w:left w:val="nil"/>
              <w:bottom w:val="nil"/>
              <w:right w:val="nil"/>
            </w:tcBorders>
            <w:shd w:val="clear" w:color="auto" w:fill="F2F2F2"/>
          </w:tcPr>
          <w:p w14:paraId="16875BB5" w14:textId="17DE5600" w:rsidR="00BD0FF0" w:rsidRDefault="00BD0FF0" w:rsidP="00D76B9E">
            <w:pPr>
              <w:pStyle w:val="BoxTitle"/>
            </w:pPr>
            <w:r>
              <w:rPr>
                <w:b w:val="0"/>
              </w:rPr>
              <w:t xml:space="preserve">Box </w:t>
            </w:r>
            <w:r w:rsidR="00DA1809">
              <w:rPr>
                <w:b w:val="0"/>
              </w:rPr>
              <w:t>3</w:t>
            </w:r>
            <w:r>
              <w:tab/>
            </w:r>
            <w:r w:rsidRPr="003426FD">
              <w:t>Governance arrangements for the MRA and TTMRA</w:t>
            </w:r>
          </w:p>
        </w:tc>
      </w:tr>
      <w:tr w:rsidR="00BD0FF0" w14:paraId="324D886B" w14:textId="77777777" w:rsidTr="00D76B9E">
        <w:trPr>
          <w:cantSplit/>
        </w:trPr>
        <w:tc>
          <w:tcPr>
            <w:tcW w:w="8771" w:type="dxa"/>
            <w:tcBorders>
              <w:top w:val="nil"/>
              <w:left w:val="nil"/>
              <w:bottom w:val="nil"/>
              <w:right w:val="nil"/>
            </w:tcBorders>
            <w:shd w:val="clear" w:color="auto" w:fill="F2F2F2"/>
          </w:tcPr>
          <w:p w14:paraId="521D6D05" w14:textId="6F960256" w:rsidR="00BD0FF0" w:rsidRDefault="00BD0FF0" w:rsidP="00D76B9E">
            <w:pPr>
              <w:pStyle w:val="Box"/>
              <w:rPr>
                <w:color w:val="000000"/>
              </w:rPr>
            </w:pPr>
            <w:r>
              <w:rPr>
                <w:b/>
                <w:color w:val="000000"/>
              </w:rPr>
              <w:t xml:space="preserve">Heads of </w:t>
            </w:r>
            <w:r w:rsidR="00C5365D">
              <w:rPr>
                <w:b/>
                <w:color w:val="000000"/>
              </w:rPr>
              <w:t>G</w:t>
            </w:r>
            <w:r>
              <w:rPr>
                <w:b/>
                <w:color w:val="000000"/>
              </w:rPr>
              <w:t>overnment</w:t>
            </w:r>
            <w:r>
              <w:rPr>
                <w:color w:val="000000"/>
              </w:rPr>
              <w:t xml:space="preserve"> are ultimately responsible for oversight of the MRA and TTMRA. This is coordinated through the Council of Australian Governments (COAG), including New Zealand for TTMRA</w:t>
            </w:r>
            <w:r w:rsidR="00F559FC">
              <w:rPr>
                <w:color w:val="000000"/>
              </w:rPr>
              <w:t xml:space="preserve"> matters</w:t>
            </w:r>
            <w:r>
              <w:rPr>
                <w:color w:val="000000"/>
              </w:rPr>
              <w:t>.</w:t>
            </w:r>
          </w:p>
          <w:p w14:paraId="5A63B5C0" w14:textId="78D64922" w:rsidR="0006233D" w:rsidRDefault="00D973C4" w:rsidP="00D76B9E">
            <w:pPr>
              <w:pStyle w:val="Box"/>
              <w:rPr>
                <w:color w:val="000000"/>
              </w:rPr>
            </w:pPr>
            <w:r>
              <w:rPr>
                <w:color w:val="000000"/>
              </w:rPr>
              <w:t>Th</w:t>
            </w:r>
            <w:r w:rsidR="00BD0FF0">
              <w:rPr>
                <w:color w:val="000000"/>
              </w:rPr>
              <w:t xml:space="preserve">e </w:t>
            </w:r>
            <w:r w:rsidR="00BD0FF0">
              <w:rPr>
                <w:b/>
                <w:color w:val="000000"/>
              </w:rPr>
              <w:t>Cross</w:t>
            </w:r>
            <w:r w:rsidR="00AC10D4">
              <w:rPr>
                <w:b/>
                <w:color w:val="000000"/>
              </w:rPr>
              <w:noBreakHyphen/>
            </w:r>
            <w:r w:rsidR="00BD0FF0">
              <w:rPr>
                <w:b/>
                <w:color w:val="000000"/>
              </w:rPr>
              <w:t>Jurisdictional Review Forum (CJRF)</w:t>
            </w:r>
            <w:r w:rsidR="00BD0FF0">
              <w:rPr>
                <w:color w:val="000000"/>
              </w:rPr>
              <w:t xml:space="preserve"> </w:t>
            </w:r>
            <w:r w:rsidR="002A035A">
              <w:rPr>
                <w:color w:val="000000"/>
              </w:rPr>
              <w:t>— a committee of officials from central agencies in each jurisdiction —</w:t>
            </w:r>
            <w:r w:rsidR="00704F8F">
              <w:rPr>
                <w:color w:val="000000"/>
              </w:rPr>
              <w:t xml:space="preserve"> is responsible for </w:t>
            </w:r>
            <w:r w:rsidR="00704F8F" w:rsidRPr="00704F8F">
              <w:rPr>
                <w:color w:val="000000"/>
              </w:rPr>
              <w:t>monitor</w:t>
            </w:r>
            <w:r w:rsidR="00704F8F">
              <w:rPr>
                <w:color w:val="000000"/>
              </w:rPr>
              <w:t>ing</w:t>
            </w:r>
            <w:r w:rsidR="00704F8F" w:rsidRPr="00704F8F">
              <w:rPr>
                <w:color w:val="000000"/>
              </w:rPr>
              <w:t xml:space="preserve"> and promot</w:t>
            </w:r>
            <w:r w:rsidR="00704F8F">
              <w:rPr>
                <w:color w:val="000000"/>
              </w:rPr>
              <w:t>ing</w:t>
            </w:r>
            <w:r w:rsidR="00704F8F" w:rsidRPr="00704F8F">
              <w:rPr>
                <w:color w:val="000000"/>
              </w:rPr>
              <w:t xml:space="preserve"> effective operation of the </w:t>
            </w:r>
            <w:r w:rsidR="00DF7B1C">
              <w:rPr>
                <w:color w:val="000000"/>
              </w:rPr>
              <w:t>MRA and TTMRA</w:t>
            </w:r>
            <w:r w:rsidR="00704F8F" w:rsidRPr="00704F8F">
              <w:rPr>
                <w:color w:val="000000"/>
              </w:rPr>
              <w:t>, respond</w:t>
            </w:r>
            <w:r w:rsidR="00704F8F">
              <w:rPr>
                <w:color w:val="000000"/>
              </w:rPr>
              <w:t>ing</w:t>
            </w:r>
            <w:r w:rsidR="00704F8F" w:rsidRPr="00704F8F">
              <w:rPr>
                <w:color w:val="000000"/>
              </w:rPr>
              <w:t xml:space="preserve"> to five</w:t>
            </w:r>
            <w:r w:rsidR="00AC10D4">
              <w:rPr>
                <w:color w:val="000000"/>
              </w:rPr>
              <w:noBreakHyphen/>
            </w:r>
            <w:r w:rsidR="00704F8F" w:rsidRPr="00704F8F">
              <w:rPr>
                <w:color w:val="000000"/>
              </w:rPr>
              <w:t>yearly reviews of the schemes, and recommend</w:t>
            </w:r>
            <w:r w:rsidR="00A557C3">
              <w:rPr>
                <w:color w:val="000000"/>
              </w:rPr>
              <w:t>ing</w:t>
            </w:r>
            <w:r w:rsidR="00704F8F" w:rsidRPr="00704F8F">
              <w:rPr>
                <w:color w:val="000000"/>
              </w:rPr>
              <w:t xml:space="preserve"> improvement</w:t>
            </w:r>
            <w:r w:rsidR="00A557C3">
              <w:rPr>
                <w:color w:val="000000"/>
              </w:rPr>
              <w:t>s</w:t>
            </w:r>
            <w:r w:rsidR="00704F8F" w:rsidRPr="00704F8F">
              <w:rPr>
                <w:color w:val="000000"/>
              </w:rPr>
              <w:t xml:space="preserve"> to governments</w:t>
            </w:r>
            <w:r w:rsidR="00A557C3">
              <w:rPr>
                <w:color w:val="000000"/>
              </w:rPr>
              <w:t>.</w:t>
            </w:r>
            <w:r w:rsidR="001D514E">
              <w:rPr>
                <w:color w:val="000000"/>
              </w:rPr>
              <w:t xml:space="preserve"> </w:t>
            </w:r>
            <w:r w:rsidR="0006233D">
              <w:rPr>
                <w:color w:val="000000"/>
              </w:rPr>
              <w:t>The Australian Government provides a secretariat for the CJRF.</w:t>
            </w:r>
          </w:p>
          <w:p w14:paraId="032B76E0" w14:textId="7A038C64" w:rsidR="003E6208" w:rsidRDefault="00B657D6" w:rsidP="00D76B9E">
            <w:pPr>
              <w:pStyle w:val="Box"/>
              <w:rPr>
                <w:color w:val="000000"/>
              </w:rPr>
            </w:pPr>
            <w:r>
              <w:rPr>
                <w:color w:val="000000"/>
              </w:rPr>
              <w:t>T</w:t>
            </w:r>
            <w:r w:rsidR="00BD0FF0">
              <w:rPr>
                <w:color w:val="000000"/>
              </w:rPr>
              <w:t xml:space="preserve">he CJRF reports to </w:t>
            </w:r>
            <w:r>
              <w:rPr>
                <w:color w:val="000000"/>
              </w:rPr>
              <w:t xml:space="preserve">the </w:t>
            </w:r>
            <w:r w:rsidRPr="0006233D">
              <w:rPr>
                <w:b/>
                <w:color w:val="000000"/>
              </w:rPr>
              <w:t>COAG Senior Officials Meeting</w:t>
            </w:r>
            <w:r>
              <w:rPr>
                <w:color w:val="000000"/>
              </w:rPr>
              <w:t xml:space="preserve">, which </w:t>
            </w:r>
            <w:r w:rsidR="003E6208">
              <w:rPr>
                <w:color w:val="000000"/>
              </w:rPr>
              <w:t xml:space="preserve">is chaired by the </w:t>
            </w:r>
            <w:r w:rsidR="003E6208" w:rsidRPr="00B657D6">
              <w:rPr>
                <w:color w:val="000000"/>
              </w:rPr>
              <w:t xml:space="preserve">Secretary of </w:t>
            </w:r>
            <w:r w:rsidR="003E6208">
              <w:rPr>
                <w:color w:val="000000"/>
              </w:rPr>
              <w:t>the Australian Department of Prime Minister and Cabinet</w:t>
            </w:r>
            <w:r w:rsidR="007912C6">
              <w:rPr>
                <w:color w:val="000000"/>
              </w:rPr>
              <w:t>, with</w:t>
            </w:r>
            <w:r w:rsidR="003E6208">
              <w:rPr>
                <w:color w:val="000000"/>
              </w:rPr>
              <w:t xml:space="preserve"> other members </w:t>
            </w:r>
            <w:r w:rsidR="007912C6">
              <w:rPr>
                <w:color w:val="000000"/>
              </w:rPr>
              <w:t>being corresponding departmental heads at a state and territory level</w:t>
            </w:r>
            <w:r w:rsidR="00473471">
              <w:rPr>
                <w:color w:val="000000"/>
              </w:rPr>
              <w:t xml:space="preserve"> </w:t>
            </w:r>
            <w:r w:rsidR="00E06E0E">
              <w:rPr>
                <w:color w:val="000000"/>
              </w:rPr>
              <w:t>within Australia</w:t>
            </w:r>
            <w:r w:rsidR="00AC4199">
              <w:rPr>
                <w:color w:val="000000"/>
              </w:rPr>
              <w:t>.</w:t>
            </w:r>
          </w:p>
          <w:p w14:paraId="6742D88C" w14:textId="357DD84B" w:rsidR="0006233D" w:rsidRDefault="00BD0FF0" w:rsidP="00D76B9E">
            <w:pPr>
              <w:pStyle w:val="Box"/>
              <w:rPr>
                <w:color w:val="000000"/>
              </w:rPr>
            </w:pPr>
            <w:r>
              <w:rPr>
                <w:color w:val="000000"/>
              </w:rPr>
              <w:t xml:space="preserve">A </w:t>
            </w:r>
            <w:r>
              <w:rPr>
                <w:b/>
                <w:color w:val="000000"/>
              </w:rPr>
              <w:t>central agency</w:t>
            </w:r>
            <w:r>
              <w:rPr>
                <w:color w:val="000000"/>
              </w:rPr>
              <w:t xml:space="preserve"> in each jurisdiction — typically the treasury or head of government’s department — is responsible for overall oversight of the schemes </w:t>
            </w:r>
            <w:r w:rsidR="00027AA6">
              <w:rPr>
                <w:color w:val="000000"/>
              </w:rPr>
              <w:t xml:space="preserve">and providing a </w:t>
            </w:r>
            <w:r w:rsidR="001E525A">
              <w:rPr>
                <w:color w:val="000000"/>
              </w:rPr>
              <w:t xml:space="preserve">point of contact for mutual recognition matters in </w:t>
            </w:r>
            <w:r w:rsidR="00027AA6">
              <w:rPr>
                <w:color w:val="000000"/>
              </w:rPr>
              <w:t>their</w:t>
            </w:r>
            <w:r w:rsidR="001E525A">
              <w:rPr>
                <w:color w:val="000000"/>
              </w:rPr>
              <w:t xml:space="preserve"> jurisdiction</w:t>
            </w:r>
            <w:r w:rsidR="00027AA6">
              <w:rPr>
                <w:color w:val="000000"/>
              </w:rPr>
              <w:t>.</w:t>
            </w:r>
            <w:r w:rsidR="00A925D7">
              <w:rPr>
                <w:color w:val="000000"/>
              </w:rPr>
              <w:t xml:space="preserve"> </w:t>
            </w:r>
            <w:r w:rsidR="001E525A">
              <w:rPr>
                <w:color w:val="000000"/>
              </w:rPr>
              <w:t>Th</w:t>
            </w:r>
            <w:r w:rsidR="00CD4D50">
              <w:rPr>
                <w:color w:val="000000"/>
              </w:rPr>
              <w:t>e</w:t>
            </w:r>
            <w:r w:rsidR="00027AA6">
              <w:rPr>
                <w:color w:val="000000"/>
              </w:rPr>
              <w:t xml:space="preserve">se central agencies also </w:t>
            </w:r>
            <w:r w:rsidR="001E525A">
              <w:rPr>
                <w:color w:val="000000"/>
              </w:rPr>
              <w:t xml:space="preserve">typically represent their jurisdiction </w:t>
            </w:r>
            <w:r w:rsidR="00027AA6">
              <w:rPr>
                <w:color w:val="000000"/>
              </w:rPr>
              <w:t>in</w:t>
            </w:r>
            <w:r w:rsidR="001E525A">
              <w:rPr>
                <w:color w:val="000000"/>
              </w:rPr>
              <w:t xml:space="preserve"> </w:t>
            </w:r>
            <w:r w:rsidR="0006233D">
              <w:rPr>
                <w:color w:val="000000"/>
              </w:rPr>
              <w:t>the CJRF.</w:t>
            </w:r>
          </w:p>
          <w:p w14:paraId="7B5C30E6" w14:textId="70DBE268" w:rsidR="00BD0FF0" w:rsidRDefault="00BD0FF0" w:rsidP="00D76B9E">
            <w:pPr>
              <w:pStyle w:val="Box"/>
              <w:rPr>
                <w:color w:val="000000"/>
              </w:rPr>
            </w:pPr>
            <w:r>
              <w:rPr>
                <w:b/>
                <w:color w:val="000000"/>
              </w:rPr>
              <w:t>Government departments</w:t>
            </w:r>
            <w:r w:rsidR="00C77A3C">
              <w:rPr>
                <w:b/>
                <w:color w:val="000000"/>
              </w:rPr>
              <w:t xml:space="preserve"> and </w:t>
            </w:r>
            <w:r>
              <w:rPr>
                <w:b/>
                <w:color w:val="000000"/>
              </w:rPr>
              <w:t>regulators</w:t>
            </w:r>
            <w:r>
              <w:rPr>
                <w:color w:val="000000"/>
              </w:rPr>
              <w:t xml:space="preserve"> in each jurisdiction are responsible for administering and enforcing particular aspects of the schemes, such as registering a specific occupation under mutual recognition.</w:t>
            </w:r>
          </w:p>
          <w:p w14:paraId="1ACCE4B0" w14:textId="33F20E04" w:rsidR="00BD0FF0" w:rsidRDefault="007A4FC4" w:rsidP="00D76B9E">
            <w:pPr>
              <w:pStyle w:val="Box"/>
              <w:rPr>
                <w:color w:val="000000"/>
              </w:rPr>
            </w:pPr>
            <w:r>
              <w:rPr>
                <w:b/>
                <w:color w:val="000000"/>
              </w:rPr>
              <w:t>T</w:t>
            </w:r>
            <w:r w:rsidR="00BD0FF0">
              <w:rPr>
                <w:b/>
                <w:color w:val="000000"/>
              </w:rPr>
              <w:t>ribunals</w:t>
            </w:r>
            <w:r w:rsidR="00BD0FF0">
              <w:rPr>
                <w:color w:val="000000"/>
              </w:rPr>
              <w:t xml:space="preserve"> can review decisions made by occupation</w:t>
            </w:r>
            <w:r w:rsidR="00AC10D4">
              <w:rPr>
                <w:color w:val="000000"/>
              </w:rPr>
              <w:noBreakHyphen/>
            </w:r>
            <w:r w:rsidR="00BD0FF0">
              <w:rPr>
                <w:color w:val="000000"/>
              </w:rPr>
              <w:t xml:space="preserve">registration authorities under the MRA and TTMRA. This function is carried out by the Administrative Appeals Tribunal in </w:t>
            </w:r>
            <w:smartTag w:uri="urn:schemas-microsoft-com:office:smarttags" w:element="country-region">
              <w:r w:rsidR="00BD0FF0">
                <w:rPr>
                  <w:color w:val="000000"/>
                </w:rPr>
                <w:t>Australia</w:t>
              </w:r>
            </w:smartTag>
            <w:r w:rsidR="00BD0FF0">
              <w:rPr>
                <w:color w:val="000000"/>
              </w:rPr>
              <w:t xml:space="preserve"> and the Trans</w:t>
            </w:r>
            <w:r w:rsidR="00AC10D4">
              <w:rPr>
                <w:color w:val="000000"/>
              </w:rPr>
              <w:noBreakHyphen/>
            </w:r>
            <w:r w:rsidR="00BD0FF0">
              <w:rPr>
                <w:color w:val="000000"/>
              </w:rPr>
              <w:t xml:space="preserve">Tasman Occupations Tribunal in </w:t>
            </w:r>
            <w:smartTag w:uri="urn:schemas-microsoft-com:office:smarttags" w:element="country-region">
              <w:smartTag w:uri="urn:schemas-microsoft-com:office:smarttags" w:element="place">
                <w:r w:rsidR="00BD0FF0">
                  <w:rPr>
                    <w:color w:val="000000"/>
                  </w:rPr>
                  <w:t>New Zealand</w:t>
                </w:r>
              </w:smartTag>
            </w:smartTag>
            <w:r w:rsidR="00BD0FF0">
              <w:rPr>
                <w:color w:val="000000"/>
              </w:rPr>
              <w:t>.</w:t>
            </w:r>
          </w:p>
          <w:p w14:paraId="416DF49A" w14:textId="4128192B" w:rsidR="00BD0FF0" w:rsidRDefault="00BD0FF0" w:rsidP="00D76B9E">
            <w:pPr>
              <w:pStyle w:val="Box"/>
            </w:pPr>
            <w:r>
              <w:rPr>
                <w:b/>
                <w:color w:val="000000"/>
              </w:rPr>
              <w:t>COAG Ministerial Councils</w:t>
            </w:r>
            <w:r>
              <w:rPr>
                <w:color w:val="000000"/>
              </w:rPr>
              <w:t xml:space="preserve"> can be called upon to make decisions on how a specific good or occupation is to be treated under the MRA and TTMRA. When a TTMRA issue arises, New Zealand has full membership and voting rights on the relevant </w:t>
            </w:r>
            <w:r w:rsidR="004C6144">
              <w:rPr>
                <w:color w:val="000000"/>
              </w:rPr>
              <w:t>Ministerial Council</w:t>
            </w:r>
            <w:r>
              <w:rPr>
                <w:color w:val="000000"/>
              </w:rPr>
              <w:t>.</w:t>
            </w:r>
          </w:p>
        </w:tc>
      </w:tr>
      <w:tr w:rsidR="00BD0FF0" w14:paraId="72F2B45B" w14:textId="77777777" w:rsidTr="00D76B9E">
        <w:trPr>
          <w:cantSplit/>
        </w:trPr>
        <w:tc>
          <w:tcPr>
            <w:tcW w:w="8771" w:type="dxa"/>
            <w:tcBorders>
              <w:top w:val="nil"/>
              <w:left w:val="nil"/>
              <w:bottom w:val="nil"/>
              <w:right w:val="nil"/>
            </w:tcBorders>
            <w:shd w:val="clear" w:color="auto" w:fill="F2F2F2"/>
          </w:tcPr>
          <w:p w14:paraId="63774DDB" w14:textId="4F266116" w:rsidR="00BD0FF0" w:rsidRDefault="00BD0FF0" w:rsidP="00D76B9E">
            <w:pPr>
              <w:pStyle w:val="BoxSource"/>
            </w:pPr>
            <w:r>
              <w:rPr>
                <w:i/>
              </w:rPr>
              <w:t>Sources</w:t>
            </w:r>
            <w:r w:rsidR="00187A40">
              <w:t xml:space="preserve">: </w:t>
            </w:r>
            <w:r w:rsidR="00187A40" w:rsidRPr="00187A40">
              <w:t>Australian</w:t>
            </w:r>
            <w:r w:rsidR="0009623D">
              <w:t> </w:t>
            </w:r>
            <w:r w:rsidR="00187A40" w:rsidRPr="00187A40">
              <w:t>Government</w:t>
            </w:r>
            <w:r w:rsidR="0009623D">
              <w:t> </w:t>
            </w:r>
            <w:r w:rsidR="00BA20F7" w:rsidRPr="00BA20F7">
              <w:rPr>
                <w:rFonts w:cs="Arial"/>
              </w:rPr>
              <w:t>(2014b)</w:t>
            </w:r>
            <w:r w:rsidR="00B2488A">
              <w:t xml:space="preserve">; </w:t>
            </w:r>
            <w:r w:rsidRPr="003426FD">
              <w:t>Mutual Recognition Agreement</w:t>
            </w:r>
            <w:r w:rsidR="00B2488A">
              <w:t>;</w:t>
            </w:r>
            <w:r w:rsidRPr="003426FD">
              <w:t xml:space="preserve"> Trans</w:t>
            </w:r>
            <w:r w:rsidR="00AC10D4">
              <w:noBreakHyphen/>
            </w:r>
            <w:r w:rsidRPr="003426FD">
              <w:t>Tasman Mutual Recognition Arrangement.</w:t>
            </w:r>
          </w:p>
        </w:tc>
      </w:tr>
      <w:tr w:rsidR="00BD0FF0" w14:paraId="206709C0" w14:textId="77777777" w:rsidTr="00D76B9E">
        <w:trPr>
          <w:cantSplit/>
        </w:trPr>
        <w:tc>
          <w:tcPr>
            <w:tcW w:w="8771" w:type="dxa"/>
            <w:tcBorders>
              <w:top w:val="nil"/>
              <w:left w:val="nil"/>
              <w:bottom w:val="single" w:sz="6" w:space="0" w:color="78A22F"/>
              <w:right w:val="nil"/>
            </w:tcBorders>
            <w:shd w:val="clear" w:color="auto" w:fill="F2F2F2"/>
          </w:tcPr>
          <w:p w14:paraId="63FDF32E" w14:textId="77777777" w:rsidR="00BD0FF0" w:rsidRDefault="00BD0FF0" w:rsidP="00D76B9E">
            <w:pPr>
              <w:pStyle w:val="Box"/>
              <w:spacing w:before="0" w:line="120" w:lineRule="exact"/>
            </w:pPr>
          </w:p>
        </w:tc>
      </w:tr>
      <w:tr w:rsidR="00BD0FF0" w:rsidRPr="000863A5" w14:paraId="5A6B2B75" w14:textId="77777777" w:rsidTr="00D76B9E">
        <w:tc>
          <w:tcPr>
            <w:tcW w:w="8771" w:type="dxa"/>
            <w:tcBorders>
              <w:top w:val="single" w:sz="6" w:space="0" w:color="78A22F"/>
              <w:left w:val="nil"/>
              <w:bottom w:val="nil"/>
              <w:right w:val="nil"/>
            </w:tcBorders>
          </w:tcPr>
          <w:p w14:paraId="2BEDBCA7" w14:textId="33F657BB" w:rsidR="00BD0FF0" w:rsidRPr="00626D32" w:rsidRDefault="00BD0FF0" w:rsidP="00D76B9E">
            <w:pPr>
              <w:pStyle w:val="BoxSpaceBelow"/>
            </w:pPr>
          </w:p>
        </w:tc>
      </w:tr>
    </w:tbl>
    <w:p w14:paraId="7014F36C" w14:textId="77777777" w:rsidR="00B77107" w:rsidRPr="00B31F9F" w:rsidRDefault="00B77107" w:rsidP="00B31F9F">
      <w:pPr>
        <w:pStyle w:val="Questionindented"/>
      </w:pPr>
      <w:r w:rsidRPr="00B31F9F">
        <w:lastRenderedPageBreak/>
        <w:t>Are there any aspects of the governance arrangements for the MRA and TTMRA which reduce the effectiveness and efficiency of the schemes? If so, what are they and how large are the negative impacts? How could the deficiencies best be addressed and what would be the cost relative to the benefits?</w:t>
      </w:r>
    </w:p>
    <w:p w14:paraId="5C6F0AB5" w14:textId="77777777" w:rsidR="00BD0FF0" w:rsidRDefault="00BD0FF0" w:rsidP="00BD0FF0">
      <w:pPr>
        <w:pStyle w:val="Heading3"/>
      </w:pPr>
      <w:r>
        <w:t>Coordination and monitoring</w:t>
      </w:r>
    </w:p>
    <w:p w14:paraId="14A70661" w14:textId="29057040" w:rsidR="001E5AB4" w:rsidRDefault="001E5AB4" w:rsidP="001E5AB4">
      <w:pPr>
        <w:pStyle w:val="BodyText"/>
        <w:rPr>
          <w:color w:val="000000"/>
        </w:rPr>
      </w:pPr>
      <w:r>
        <w:rPr>
          <w:color w:val="000000"/>
        </w:rPr>
        <w:t>The decentralised nature of the MRA and TTMRA reflects the intention of the architects of the schemes to have a ‘low</w:t>
      </w:r>
      <w:r w:rsidR="00AC10D4">
        <w:rPr>
          <w:color w:val="000000"/>
        </w:rPr>
        <w:noBreakHyphen/>
      </w:r>
      <w:r>
        <w:rPr>
          <w:color w:val="000000"/>
        </w:rPr>
        <w:t xml:space="preserve">maintenance’ system which does not establish a new </w:t>
      </w:r>
      <w:r w:rsidRPr="00EB5AD7">
        <w:t xml:space="preserve">bureaucracy or require repeated updating </w:t>
      </w:r>
      <w:r w:rsidR="00842C61" w:rsidRPr="00842C61">
        <w:rPr>
          <w:szCs w:val="24"/>
        </w:rPr>
        <w:t>(</w:t>
      </w:r>
      <w:proofErr w:type="spellStart"/>
      <w:r w:rsidR="00842C61" w:rsidRPr="00842C61">
        <w:rPr>
          <w:szCs w:val="24"/>
        </w:rPr>
        <w:t>Sturgess</w:t>
      </w:r>
      <w:proofErr w:type="spellEnd"/>
      <w:r w:rsidR="00842C61" w:rsidRPr="00842C61">
        <w:rPr>
          <w:szCs w:val="24"/>
        </w:rPr>
        <w:t> 1993, 1994)</w:t>
      </w:r>
      <w:r w:rsidRPr="00EB5AD7">
        <w:t>. These are commendable</w:t>
      </w:r>
      <w:r>
        <w:rPr>
          <w:color w:val="000000"/>
        </w:rPr>
        <w:t xml:space="preserve"> features because </w:t>
      </w:r>
      <w:r w:rsidR="00184336">
        <w:rPr>
          <w:color w:val="000000"/>
        </w:rPr>
        <w:t>they</w:t>
      </w:r>
      <w:r>
        <w:rPr>
          <w:color w:val="000000"/>
        </w:rPr>
        <w:t xml:space="preserve"> make the schemes easier to implement than more centralised forms of economic integration, and </w:t>
      </w:r>
      <w:r w:rsidRPr="00FC2F19">
        <w:rPr>
          <w:color w:val="000000"/>
        </w:rPr>
        <w:t>avoid the costs of harmonising regulations for what may be relatively small benefits</w:t>
      </w:r>
      <w:r>
        <w:rPr>
          <w:color w:val="000000"/>
        </w:rPr>
        <w:t>.</w:t>
      </w:r>
    </w:p>
    <w:p w14:paraId="6E04474C" w14:textId="508EC805" w:rsidR="00BD0FF0" w:rsidRDefault="001D49C5" w:rsidP="00BD0FF0">
      <w:pPr>
        <w:pStyle w:val="BodyText"/>
        <w:rPr>
          <w:color w:val="000000"/>
        </w:rPr>
      </w:pPr>
      <w:r>
        <w:rPr>
          <w:color w:val="000000"/>
        </w:rPr>
        <w:t>However,</w:t>
      </w:r>
      <w:r w:rsidR="00BD0FF0">
        <w:rPr>
          <w:color w:val="000000"/>
        </w:rPr>
        <w:t xml:space="preserve"> a decentralised approach can </w:t>
      </w:r>
      <w:r>
        <w:rPr>
          <w:color w:val="000000"/>
        </w:rPr>
        <w:t xml:space="preserve">make it more challenging </w:t>
      </w:r>
      <w:r w:rsidR="00BD0FF0">
        <w:rPr>
          <w:color w:val="000000"/>
        </w:rPr>
        <w:t xml:space="preserve">to ensure that there is coordination among governments and regulators (within and across jurisdictions) when warranted, such as to maintain consistency. </w:t>
      </w:r>
      <w:r w:rsidR="008F7AFF">
        <w:rPr>
          <w:color w:val="000000"/>
        </w:rPr>
        <w:t>It</w:t>
      </w:r>
      <w:r w:rsidR="00BD0FF0">
        <w:rPr>
          <w:color w:val="000000"/>
        </w:rPr>
        <w:t xml:space="preserve"> </w:t>
      </w:r>
      <w:r w:rsidR="008F7AFF">
        <w:rPr>
          <w:color w:val="000000"/>
        </w:rPr>
        <w:t xml:space="preserve">may also be more difficult to ensure effective </w:t>
      </w:r>
      <w:r w:rsidR="00BD0FF0">
        <w:rPr>
          <w:color w:val="000000"/>
        </w:rPr>
        <w:t xml:space="preserve">monitoring </w:t>
      </w:r>
      <w:r w:rsidR="00590FDE">
        <w:rPr>
          <w:color w:val="000000"/>
        </w:rPr>
        <w:t xml:space="preserve">and enforcement </w:t>
      </w:r>
      <w:r w:rsidR="008F7AFF">
        <w:rPr>
          <w:color w:val="000000"/>
        </w:rPr>
        <w:t xml:space="preserve">of </w:t>
      </w:r>
      <w:r w:rsidR="00BD0FF0">
        <w:rPr>
          <w:color w:val="000000"/>
        </w:rPr>
        <w:t xml:space="preserve">the schemes, and timely remedial action when problems are identified, because oversight responsibilities are spread across </w:t>
      </w:r>
      <w:r w:rsidR="006D4380">
        <w:rPr>
          <w:color w:val="000000"/>
        </w:rPr>
        <w:t>multiple</w:t>
      </w:r>
      <w:r w:rsidR="00BD0FF0">
        <w:rPr>
          <w:color w:val="000000"/>
        </w:rPr>
        <w:t xml:space="preserve"> agencies </w:t>
      </w:r>
      <w:r w:rsidR="00D82F08">
        <w:rPr>
          <w:color w:val="000000"/>
        </w:rPr>
        <w:t xml:space="preserve">which </w:t>
      </w:r>
      <w:r w:rsidR="007915E0">
        <w:rPr>
          <w:color w:val="000000"/>
        </w:rPr>
        <w:t>h</w:t>
      </w:r>
      <w:r w:rsidR="00D82F08">
        <w:rPr>
          <w:color w:val="000000"/>
        </w:rPr>
        <w:t>ave</w:t>
      </w:r>
      <w:r w:rsidR="006D4380">
        <w:rPr>
          <w:color w:val="000000"/>
        </w:rPr>
        <w:t xml:space="preserve"> many other responsibilities</w:t>
      </w:r>
      <w:r w:rsidR="00BD0FF0">
        <w:rPr>
          <w:color w:val="000000"/>
        </w:rPr>
        <w:t>.</w:t>
      </w:r>
    </w:p>
    <w:p w14:paraId="35302BAA" w14:textId="11AACE58" w:rsidR="00BD0FF0" w:rsidRDefault="00BD0FF0" w:rsidP="00BD0FF0">
      <w:pPr>
        <w:pStyle w:val="BodyText"/>
        <w:rPr>
          <w:color w:val="000000"/>
        </w:rPr>
      </w:pPr>
      <w:r>
        <w:rPr>
          <w:color w:val="000000"/>
        </w:rPr>
        <w:t xml:space="preserve">While an intergovernmental committee — </w:t>
      </w:r>
      <w:r>
        <w:t>the CJRF —</w:t>
      </w:r>
      <w:r w:rsidRPr="0066145E">
        <w:t xml:space="preserve"> </w:t>
      </w:r>
      <w:r>
        <w:rPr>
          <w:color w:val="000000"/>
        </w:rPr>
        <w:t xml:space="preserve">has been established to coordinate and oversee the schemes, the Commission understands that </w:t>
      </w:r>
      <w:r w:rsidR="00FB64BA">
        <w:rPr>
          <w:color w:val="000000"/>
        </w:rPr>
        <w:t>it</w:t>
      </w:r>
      <w:r>
        <w:rPr>
          <w:color w:val="000000"/>
        </w:rPr>
        <w:t xml:space="preserve"> has been allocated few resources and rarely</w:t>
      </w:r>
      <w:r w:rsidR="00140A9E">
        <w:rPr>
          <w:color w:val="000000"/>
        </w:rPr>
        <w:t xml:space="preserve"> meets</w:t>
      </w:r>
      <w:r>
        <w:rPr>
          <w:color w:val="000000"/>
        </w:rPr>
        <w:t>.</w:t>
      </w:r>
    </w:p>
    <w:p w14:paraId="07E72AB2" w14:textId="070A77D1" w:rsidR="0002169A" w:rsidRDefault="009B106F" w:rsidP="00FA1BCE">
      <w:pPr>
        <w:pStyle w:val="Questionindented"/>
      </w:pPr>
      <w:r>
        <w:t xml:space="preserve">Have </w:t>
      </w:r>
      <w:r w:rsidR="0002169A">
        <w:t xml:space="preserve">there been </w:t>
      </w:r>
      <w:r>
        <w:t xml:space="preserve">any inconsistencies </w:t>
      </w:r>
      <w:r w:rsidR="0002169A">
        <w:t xml:space="preserve">within or across jurisdictions </w:t>
      </w:r>
      <w:r>
        <w:t xml:space="preserve">in </w:t>
      </w:r>
      <w:r w:rsidR="0002169A">
        <w:t xml:space="preserve">how the MRA and TTMRA have been applied to goods and occupations? If so, what has been the nature and extent of the problem? How could </w:t>
      </w:r>
      <w:r w:rsidR="005E076A">
        <w:t>this</w:t>
      </w:r>
      <w:r w:rsidR="0002169A">
        <w:t xml:space="preserve"> best be addressed? </w:t>
      </w:r>
    </w:p>
    <w:p w14:paraId="39320C8C" w14:textId="72B340B5" w:rsidR="00DB75BA" w:rsidRPr="00DB75BA" w:rsidRDefault="008175CE" w:rsidP="00FA1BCE">
      <w:pPr>
        <w:pStyle w:val="Questionindented"/>
      </w:pPr>
      <w:r>
        <w:t>Are</w:t>
      </w:r>
      <w:r w:rsidR="00DB75BA" w:rsidRPr="00DB75BA">
        <w:t xml:space="preserve"> enforcement mechanism</w:t>
      </w:r>
      <w:r>
        <w:t>s</w:t>
      </w:r>
      <w:r w:rsidR="00DB75BA" w:rsidRPr="00DB75BA">
        <w:t xml:space="preserve"> </w:t>
      </w:r>
      <w:r w:rsidR="004C1B8F">
        <w:t xml:space="preserve">— including </w:t>
      </w:r>
      <w:r>
        <w:t xml:space="preserve">options available </w:t>
      </w:r>
      <w:r w:rsidR="004C1B8F">
        <w:t xml:space="preserve">through tribunals and the courts — </w:t>
      </w:r>
      <w:r>
        <w:t xml:space="preserve">effective in cases </w:t>
      </w:r>
      <w:r w:rsidR="00DB75BA" w:rsidRPr="00DB75BA">
        <w:t>whe</w:t>
      </w:r>
      <w:r>
        <w:t>re</w:t>
      </w:r>
      <w:r w:rsidR="00DB75BA" w:rsidRPr="00DB75BA">
        <w:t xml:space="preserve"> </w:t>
      </w:r>
      <w:r>
        <w:t xml:space="preserve">a </w:t>
      </w:r>
      <w:r w:rsidR="00DB75BA" w:rsidRPr="00DB75BA">
        <w:t>jurisdiction or regulator fail</w:t>
      </w:r>
      <w:r>
        <w:t>s</w:t>
      </w:r>
      <w:r w:rsidR="00DB75BA" w:rsidRPr="00DB75BA">
        <w:t xml:space="preserve"> to meet </w:t>
      </w:r>
      <w:r>
        <w:t>its</w:t>
      </w:r>
      <w:r w:rsidR="00DB75BA" w:rsidRPr="00DB75BA">
        <w:t xml:space="preserve"> mutual recognition obligations?</w:t>
      </w:r>
    </w:p>
    <w:p w14:paraId="3DE1E70A" w14:textId="77777777" w:rsidR="00BD0FF0" w:rsidRDefault="00BD0FF0" w:rsidP="00BD0FF0">
      <w:pPr>
        <w:pStyle w:val="Heading3"/>
      </w:pPr>
      <w:r>
        <w:t>Awareness and expertise</w:t>
      </w:r>
    </w:p>
    <w:p w14:paraId="247A309C" w14:textId="77777777" w:rsidR="005828FE" w:rsidRDefault="005828FE" w:rsidP="005828FE">
      <w:pPr>
        <w:pStyle w:val="BodyText"/>
      </w:pPr>
      <w:r w:rsidRPr="005828FE">
        <w:t>A further challenge posed by the decentralised nature of the MRA and TTMRA is that it could contribute to problems that past reviews have found with:</w:t>
      </w:r>
    </w:p>
    <w:p w14:paraId="43535406" w14:textId="7EA7A676" w:rsidR="000103FB" w:rsidRDefault="000103FB" w:rsidP="005828FE">
      <w:pPr>
        <w:pStyle w:val="ListBullet"/>
      </w:pPr>
      <w:r>
        <w:t>a lack of awareness among individuals and firms about their rights under the schemes</w:t>
      </w:r>
      <w:r w:rsidR="00717B5C">
        <w:t xml:space="preserve">, possibly because it is difficult for </w:t>
      </w:r>
      <w:r w:rsidR="008B358A">
        <w:t>them</w:t>
      </w:r>
      <w:r w:rsidR="00717B5C">
        <w:t xml:space="preserve"> to find information when it is dispersed across many agencies</w:t>
      </w:r>
    </w:p>
    <w:p w14:paraId="466B5D43" w14:textId="662F2ED6" w:rsidR="000103FB" w:rsidRDefault="000103FB" w:rsidP="000103FB">
      <w:pPr>
        <w:pStyle w:val="ListBullet"/>
      </w:pPr>
      <w:r>
        <w:t>insufficient expertise among regulators about their obligations</w:t>
      </w:r>
      <w:r w:rsidR="003D2869">
        <w:t xml:space="preserve"> to mutually recognise goods and occupations</w:t>
      </w:r>
      <w:r w:rsidR="00717B5C">
        <w:t xml:space="preserve">, possibly because regulators — particularly </w:t>
      </w:r>
      <w:r w:rsidR="00717B5C" w:rsidRPr="0006528F">
        <w:t xml:space="preserve">smaller </w:t>
      </w:r>
      <w:r w:rsidR="00717B5C">
        <w:t>agencies,</w:t>
      </w:r>
      <w:r w:rsidR="00717B5C" w:rsidRPr="0006528F">
        <w:t xml:space="preserve"> such as some occupation</w:t>
      </w:r>
      <w:r w:rsidR="00AC10D4">
        <w:noBreakHyphen/>
      </w:r>
      <w:r w:rsidR="00717B5C" w:rsidRPr="0006528F">
        <w:t>registration bodies</w:t>
      </w:r>
      <w:r w:rsidR="00717B5C">
        <w:t xml:space="preserve"> — struggle to maintain expertise when they do not pool resources with counterparts in other jurisdictions</w:t>
      </w:r>
      <w:r w:rsidR="003D2869">
        <w:t>.</w:t>
      </w:r>
    </w:p>
    <w:p w14:paraId="53EB1306" w14:textId="5704E985" w:rsidR="001C4D0D" w:rsidRDefault="001C4D0D" w:rsidP="001C4D0D">
      <w:pPr>
        <w:pStyle w:val="BodyText"/>
      </w:pPr>
      <w:r>
        <w:lastRenderedPageBreak/>
        <w:t xml:space="preserve">As a result, there may be a case for a more centralised approach to information provision and expertise, if it lowers search costs for individuals and firms, and there are economies of scale in maintaining technical expertise which regulators cannot achieve individually. </w:t>
      </w:r>
    </w:p>
    <w:p w14:paraId="3A707953" w14:textId="157DF20F" w:rsidR="00CF38F0" w:rsidRDefault="00CF38F0" w:rsidP="00CF38F0">
      <w:pPr>
        <w:pStyle w:val="BodyText"/>
      </w:pPr>
      <w:r>
        <w:t xml:space="preserve">To some extent, the CJRF already performs a central role in this regard by publishing a users’ guide for the MRA and TTMRA </w:t>
      </w:r>
      <w:r w:rsidR="00BA20F7" w:rsidRPr="00BA20F7">
        <w:rPr>
          <w:szCs w:val="24"/>
        </w:rPr>
        <w:t>(Australian Government 2014b)</w:t>
      </w:r>
      <w:r w:rsidR="00BB0C3E" w:rsidRPr="00D31F16">
        <w:t>.</w:t>
      </w:r>
      <w:r>
        <w:t xml:space="preserve"> However, the users’ guide focuses on providing general information about the schemes, and the CJRF is not configured or resourced to respond to specific queries from the public and regulators. More specific information is provided on a central website for occupations subject to Ministerial Declarations (</w:t>
      </w:r>
      <w:r w:rsidRPr="00F175DC">
        <w:t>w</w:t>
      </w:r>
      <w:r>
        <w:t>w</w:t>
      </w:r>
      <w:r w:rsidRPr="00F175DC">
        <w:t>w.licencerecognition.gov.au</w:t>
      </w:r>
      <w:r>
        <w:t>)</w:t>
      </w:r>
      <w:r w:rsidRPr="00F175DC">
        <w:t>.</w:t>
      </w:r>
    </w:p>
    <w:bookmarkEnd w:id="111"/>
    <w:bookmarkEnd w:id="112"/>
    <w:p w14:paraId="1B647B80" w14:textId="1F2FA62F" w:rsidR="00CF38F0" w:rsidRDefault="00CF38F0" w:rsidP="00FA1BCE">
      <w:pPr>
        <w:pStyle w:val="Questionindented"/>
      </w:pPr>
      <w:r>
        <w:t>To what extent are potential benefits from the MRA and TTMRA not being achieved because individuals and firms are unaware of the rights they can exercise under the schemes? How, if at all, should this issue be addressed?</w:t>
      </w:r>
    </w:p>
    <w:p w14:paraId="28C2A481" w14:textId="7EC1F171" w:rsidR="006708E8" w:rsidRPr="006708E8" w:rsidRDefault="006708E8" w:rsidP="006708E8">
      <w:pPr>
        <w:pStyle w:val="Questionindented"/>
        <w:numPr>
          <w:ilvl w:val="0"/>
          <w:numId w:val="9"/>
        </w:numPr>
      </w:pPr>
      <w:r w:rsidRPr="006708E8">
        <w:t xml:space="preserve">To what extent are regulators failing to meet their obligations under the MRA and TTMRA because they find it difficult to maintain the necessary expertise? Is this issue particularly evident for smaller regulators? </w:t>
      </w:r>
      <w:r w:rsidR="00F83005">
        <w:t>What</w:t>
      </w:r>
      <w:r w:rsidRPr="006708E8">
        <w:t xml:space="preserve">, if </w:t>
      </w:r>
      <w:r w:rsidR="00F83005">
        <w:t>any</w:t>
      </w:r>
      <w:r w:rsidRPr="006708E8">
        <w:t xml:space="preserve">, </w:t>
      </w:r>
      <w:r w:rsidR="00F83005">
        <w:t>changes do you recommend</w:t>
      </w:r>
      <w:r w:rsidRPr="006708E8">
        <w:t>?</w:t>
      </w:r>
    </w:p>
    <w:p w14:paraId="27BB0EAA" w14:textId="31A212FD" w:rsidR="00CF38F0" w:rsidRDefault="00CF38F0" w:rsidP="00FA1BCE">
      <w:pPr>
        <w:pStyle w:val="Questionindented"/>
      </w:pPr>
      <w:r>
        <w:t xml:space="preserve">How effective is </w:t>
      </w:r>
      <w:r w:rsidRPr="005A2AF5">
        <w:t xml:space="preserve">the users’ guide </w:t>
      </w:r>
      <w:r>
        <w:t xml:space="preserve">developed by </w:t>
      </w:r>
      <w:r w:rsidRPr="005A2AF5">
        <w:t xml:space="preserve">the CJRF </w:t>
      </w:r>
      <w:r>
        <w:t>in making individuals and firms aware of their rights under the MRA and TTMRA, and regulators of their obligations?</w:t>
      </w:r>
      <w:r w:rsidR="00AC10D4">
        <w:t xml:space="preserve"> </w:t>
      </w:r>
      <w:r>
        <w:t xml:space="preserve">Could it be improved and, if so, how ? </w:t>
      </w:r>
    </w:p>
    <w:p w14:paraId="4E2E6301" w14:textId="77777777" w:rsidR="00CF38F0" w:rsidRDefault="00CF38F0" w:rsidP="00FA1BCE">
      <w:pPr>
        <w:pStyle w:val="Questionindented"/>
      </w:pPr>
      <w:r>
        <w:t xml:space="preserve">Does </w:t>
      </w:r>
      <w:r w:rsidRPr="005A2AF5">
        <w:t xml:space="preserve">the </w:t>
      </w:r>
      <w:r>
        <w:t>licence recognition website for occupations subject to Ministerial Declarations (</w:t>
      </w:r>
      <w:hyperlink r:id="rId34" w:history="1">
        <w:r w:rsidRPr="000470AC">
          <w:rPr>
            <w:rStyle w:val="Hyperlink"/>
            <w:color w:val="auto"/>
            <w:u w:val="none"/>
          </w:rPr>
          <w:t>www.licencerecognition.gov.au</w:t>
        </w:r>
      </w:hyperlink>
      <w:r>
        <w:t>) adequately address potential concerns about awareness and expertise on the MRA and TTMRA for those occupations? If not, what changes do you recommend?</w:t>
      </w:r>
    </w:p>
    <w:p w14:paraId="6498EFA2" w14:textId="1330B6DA" w:rsidR="00CF38F0" w:rsidRPr="00D31F16" w:rsidRDefault="00CF38F0" w:rsidP="00CF38F0">
      <w:pPr>
        <w:pStyle w:val="BodyText"/>
        <w:spacing w:before="200"/>
      </w:pPr>
      <w:r>
        <w:t>T</w:t>
      </w:r>
      <w:r w:rsidRPr="00656E83">
        <w:t xml:space="preserve">he architects of the mutual recognition schemes envisaged </w:t>
      </w:r>
      <w:r>
        <w:t xml:space="preserve">that other aspects of the governance arrangements would improve awareness and expertise over time. Specifically, </w:t>
      </w:r>
      <w:r w:rsidRPr="00656E83">
        <w:t>the development of case law</w:t>
      </w:r>
      <w:r>
        <w:t xml:space="preserve"> as individuals and firms used the courts and tribunals to seek reviews of regulator decisions, and</w:t>
      </w:r>
      <w:r w:rsidRPr="00656E83">
        <w:t xml:space="preserve"> </w:t>
      </w:r>
      <w:r>
        <w:t xml:space="preserve">governments </w:t>
      </w:r>
      <w:r w:rsidRPr="00656E83">
        <w:t>referr</w:t>
      </w:r>
      <w:r>
        <w:t>ed</w:t>
      </w:r>
      <w:r w:rsidRPr="00656E83">
        <w:t xml:space="preserve"> specific standards to COAG Ministerial Councils</w:t>
      </w:r>
      <w:r>
        <w:t xml:space="preserve"> </w:t>
      </w:r>
      <w:r w:rsidRPr="005446E8">
        <w:t>for review. However, these</w:t>
      </w:r>
      <w:r>
        <w:t xml:space="preserve"> mechanisms have rarely been used, possibly because of their cost. </w:t>
      </w:r>
      <w:r w:rsidR="008D74BE">
        <w:t xml:space="preserve">Participants have been asked to comment on this in </w:t>
      </w:r>
      <w:r w:rsidR="00874594">
        <w:t>above</w:t>
      </w:r>
      <w:r w:rsidR="008D74BE">
        <w:t xml:space="preserve"> questions on occupations. </w:t>
      </w:r>
      <w:r>
        <w:t xml:space="preserve">In the case of goods, </w:t>
      </w:r>
      <w:r w:rsidR="00A70006">
        <w:t xml:space="preserve">a further issue is that, unlike occupations, </w:t>
      </w:r>
      <w:r>
        <w:t xml:space="preserve">there is no option to have regulator decisions reviewed </w:t>
      </w:r>
      <w:r w:rsidR="005446E8">
        <w:t xml:space="preserve">by </w:t>
      </w:r>
      <w:r>
        <w:t xml:space="preserve">a body like the </w:t>
      </w:r>
      <w:r w:rsidRPr="00782AA3">
        <w:t>Administrative Appeals Tribunal</w:t>
      </w:r>
      <w:r>
        <w:t>, rather than bear the cost of taking the matter to court.</w:t>
      </w:r>
    </w:p>
    <w:p w14:paraId="327441BF" w14:textId="0B4DA1BC" w:rsidR="00CF38F0" w:rsidRPr="00CF38F0" w:rsidRDefault="00CF38F0" w:rsidP="00FA1BCE">
      <w:pPr>
        <w:pStyle w:val="Questionindented"/>
      </w:pPr>
      <w:r w:rsidRPr="00570953">
        <w:t xml:space="preserve">How effective </w:t>
      </w:r>
      <w:r w:rsidR="00A54B03">
        <w:t xml:space="preserve">are the options of having </w:t>
      </w:r>
      <w:r w:rsidR="00F800EB">
        <w:t>a</w:t>
      </w:r>
      <w:r w:rsidR="00C528AA">
        <w:t xml:space="preserve"> court review </w:t>
      </w:r>
      <w:r w:rsidR="00B60040">
        <w:t xml:space="preserve">of </w:t>
      </w:r>
      <w:r w:rsidR="00A54B03">
        <w:t xml:space="preserve">a </w:t>
      </w:r>
      <w:r w:rsidR="00C528AA">
        <w:t xml:space="preserve">specific </w:t>
      </w:r>
      <w:r w:rsidR="002853DA">
        <w:t>regulator decision</w:t>
      </w:r>
      <w:r w:rsidR="00504D09">
        <w:t xml:space="preserve"> for </w:t>
      </w:r>
      <w:r w:rsidR="00A54B03">
        <w:t xml:space="preserve">a </w:t>
      </w:r>
      <w:r w:rsidR="00504D09">
        <w:t>good</w:t>
      </w:r>
      <w:r w:rsidR="002853DA">
        <w:t xml:space="preserve">, and COAG </w:t>
      </w:r>
      <w:r w:rsidR="00691CF4">
        <w:t>review</w:t>
      </w:r>
      <w:r w:rsidR="00A54B03">
        <w:t xml:space="preserve"> the </w:t>
      </w:r>
      <w:r w:rsidR="002853DA">
        <w:t>standards</w:t>
      </w:r>
      <w:r w:rsidR="00A54B03">
        <w:t xml:space="preserve"> for a particular good</w:t>
      </w:r>
      <w:r w:rsidR="002853DA">
        <w:t xml:space="preserve">? </w:t>
      </w:r>
      <w:r w:rsidRPr="00570953">
        <w:t>To what extent have they been used? How significant are any barriers</w:t>
      </w:r>
      <w:r w:rsidRPr="00CF38F0">
        <w:t xml:space="preserve"> to their </w:t>
      </w:r>
      <w:r w:rsidRPr="00570953">
        <w:t xml:space="preserve">use, such </w:t>
      </w:r>
      <w:r w:rsidR="00143C9E">
        <w:t xml:space="preserve">as </w:t>
      </w:r>
      <w:r w:rsidRPr="00570953">
        <w:t>their cost or a lack of awareness? What, if any changes, do you recommend</w:t>
      </w:r>
      <w:r w:rsidR="00947AEE" w:rsidRPr="00947AEE">
        <w:t>?</w:t>
      </w:r>
      <w:r w:rsidR="00947AEE" w:rsidRPr="00947AEE" w:rsidDel="00947AEE">
        <w:t xml:space="preserve"> </w:t>
      </w:r>
    </w:p>
    <w:p w14:paraId="7D829A97" w14:textId="66EA9618" w:rsidR="00CF38F0" w:rsidRPr="00CF38F0" w:rsidRDefault="00CF38F0" w:rsidP="00FA1BCE">
      <w:pPr>
        <w:pStyle w:val="Questionindented"/>
      </w:pPr>
      <w:r w:rsidRPr="00782AA3">
        <w:t xml:space="preserve">Should regulatory decisions </w:t>
      </w:r>
      <w:r>
        <w:t>made under the MRA and TTMRA for goods be open</w:t>
      </w:r>
      <w:r w:rsidRPr="00CF38F0">
        <w:t xml:space="preserve"> to </w:t>
      </w:r>
      <w:r>
        <w:t>review by</w:t>
      </w:r>
      <w:r w:rsidRPr="00CF38F0">
        <w:t xml:space="preserve"> a </w:t>
      </w:r>
      <w:r>
        <w:t>tribunal, such as the</w:t>
      </w:r>
      <w:r w:rsidRPr="00782AA3">
        <w:t xml:space="preserve"> </w:t>
      </w:r>
      <w:r w:rsidRPr="00CF38F0">
        <w:t>Administrative Appeals Tribunal</w:t>
      </w:r>
      <w:r>
        <w:t>,</w:t>
      </w:r>
      <w:r w:rsidRPr="00CF38F0">
        <w:t xml:space="preserve"> similar </w:t>
      </w:r>
      <w:r>
        <w:t>to what is available</w:t>
      </w:r>
      <w:r w:rsidRPr="00CF38F0">
        <w:t xml:space="preserve"> for occupations</w:t>
      </w:r>
      <w:r>
        <w:t>? What would be the costs and benefits?</w:t>
      </w:r>
    </w:p>
    <w:p w14:paraId="16719CBA" w14:textId="508D035E" w:rsidR="00CF38F0" w:rsidRDefault="00CF38F0" w:rsidP="00CF38F0">
      <w:pPr>
        <w:pStyle w:val="Heading3"/>
      </w:pPr>
      <w:r>
        <w:lastRenderedPageBreak/>
        <w:t>Allocation of responsibilities for legislative reforms</w:t>
      </w:r>
    </w:p>
    <w:p w14:paraId="1F964771" w14:textId="77777777" w:rsidR="00CF38F0" w:rsidRDefault="00CF38F0" w:rsidP="00CF38F0">
      <w:pPr>
        <w:pStyle w:val="BodyText"/>
      </w:pPr>
      <w:r>
        <w:t>Some changes to the MRA and TTMRA — such as which goods are subject to a permanent exemption — are relatively straightforward to implement because they only require governments to gazette changes to a schedule in the legislation underpinning the mutual recognition schemes. In contrast, reforming the design of the schemes can require amendments to the body of the mutual recognition legislation.</w:t>
      </w:r>
    </w:p>
    <w:p w14:paraId="633F728B" w14:textId="55A6DCBD" w:rsidR="00CF38F0" w:rsidRDefault="00CF38F0" w:rsidP="00CF38F0">
      <w:pPr>
        <w:pStyle w:val="BodyText"/>
      </w:pPr>
      <w:r>
        <w:t>The typical amendment process for the legislation underpinning the MRA in most states and territories is to refer the powers to amend the Acts to the Commonwealth, but reserve the right for states to approve the changes before they are made. This process ensures the right of every jurisdiction to participate in, and agree to, any change but does not require the state parliament</w:t>
      </w:r>
      <w:r w:rsidR="00F868AC">
        <w:t>s</w:t>
      </w:r>
      <w:r>
        <w:t xml:space="preserve"> to pass legislation to make the amendment. </w:t>
      </w:r>
    </w:p>
    <w:p w14:paraId="141A3D0E" w14:textId="0617DF62" w:rsidR="00CF38F0" w:rsidRDefault="00CF38F0" w:rsidP="00CF38F0">
      <w:pPr>
        <w:pStyle w:val="BodyText"/>
      </w:pPr>
      <w:r w:rsidRPr="00364EAB">
        <w:t xml:space="preserve">The process for amending </w:t>
      </w:r>
      <w:r>
        <w:t xml:space="preserve">the (separate) legislation for the </w:t>
      </w:r>
      <w:r w:rsidRPr="00364EAB">
        <w:t xml:space="preserve">TTMRA is more cumbersome because only the </w:t>
      </w:r>
      <w:r>
        <w:t xml:space="preserve">Australian </w:t>
      </w:r>
      <w:r w:rsidRPr="00364EAB">
        <w:t>territories have referred the</w:t>
      </w:r>
      <w:r>
        <w:t>ir</w:t>
      </w:r>
      <w:r w:rsidRPr="00364EAB">
        <w:t xml:space="preserve"> power to amend the legislation to the Commonwealth. All of the </w:t>
      </w:r>
      <w:r>
        <w:t xml:space="preserve">Australian </w:t>
      </w:r>
      <w:r w:rsidRPr="00364EAB">
        <w:t>state</w:t>
      </w:r>
      <w:r>
        <w:t>s</w:t>
      </w:r>
      <w:r w:rsidRPr="00364EAB">
        <w:t xml:space="preserve"> require amendments to be passed through their parliaments.</w:t>
      </w:r>
      <w:r>
        <w:t xml:space="preserve"> If the objective is to ensure no changes can be made to legislation without </w:t>
      </w:r>
      <w:r w:rsidR="00A9680D">
        <w:t xml:space="preserve">universal </w:t>
      </w:r>
      <w:r>
        <w:t>state approval, this objective would still be met if the amendment power was referred to the Commonwealth, as for the MRA. The additional requirement that each state pass identical amended legislation adds a further cost with little apparent benefit.</w:t>
      </w:r>
    </w:p>
    <w:p w14:paraId="4B39D4D2" w14:textId="77777777" w:rsidR="00CF38F0" w:rsidRPr="00570953" w:rsidRDefault="00CF38F0" w:rsidP="00FA1BCE">
      <w:pPr>
        <w:pStyle w:val="Questionindented"/>
      </w:pPr>
      <w:r>
        <w:t>Should the process for amending TTMRA legislation in Australia be streamlined so that, like the MRA, states refer to the Commonwealth their power to make legislative changes, while reserving the right to approve changes before they are made?</w:t>
      </w:r>
    </w:p>
    <w:p w14:paraId="4F441BB1" w14:textId="679F970A" w:rsidR="00713E21" w:rsidRPr="006C4399" w:rsidRDefault="0032046F" w:rsidP="00713E21">
      <w:pPr>
        <w:pStyle w:val="Heading2"/>
      </w:pPr>
      <w:r>
        <w:fldChar w:fldCharType="begin"/>
      </w:r>
      <w:r>
        <w:instrText xml:space="preserve"> SEQ Heading2 </w:instrText>
      </w:r>
      <w:r>
        <w:fldChar w:fldCharType="separate"/>
      </w:r>
      <w:bookmarkStart w:id="113" w:name="_Toc200943068"/>
      <w:bookmarkStart w:id="114" w:name="_Toc408388601"/>
      <w:bookmarkStart w:id="115" w:name="_Toc408396470"/>
      <w:bookmarkStart w:id="116" w:name="_Toc406773306"/>
      <w:bookmarkStart w:id="117" w:name="_Toc408308217"/>
      <w:bookmarkStart w:id="118" w:name="_Toc408308383"/>
      <w:bookmarkStart w:id="119" w:name="_Toc408311450"/>
      <w:bookmarkStart w:id="120" w:name="_Toc408326899"/>
      <w:bookmarkStart w:id="121" w:name="_Toc408396927"/>
      <w:bookmarkStart w:id="122" w:name="_Toc408401051"/>
      <w:bookmarkStart w:id="123" w:name="_Toc408562309"/>
      <w:bookmarkStart w:id="124" w:name="_Toc408563144"/>
      <w:bookmarkStart w:id="125" w:name="_Toc408563683"/>
      <w:bookmarkStart w:id="126" w:name="_Toc408567138"/>
      <w:bookmarkStart w:id="127" w:name="_Toc408567836"/>
      <w:bookmarkStart w:id="128" w:name="_Toc408569412"/>
      <w:bookmarkStart w:id="129" w:name="_Toc409010846"/>
      <w:r w:rsidR="004A70DC">
        <w:rPr>
          <w:noProof/>
        </w:rPr>
        <w:t>7</w:t>
      </w:r>
      <w:r>
        <w:rPr>
          <w:noProof/>
        </w:rPr>
        <w:fldChar w:fldCharType="end"/>
      </w:r>
      <w:bookmarkStart w:id="130" w:name="_GoBack"/>
      <w:bookmarkEnd w:id="130"/>
      <w:r w:rsidR="00713E21">
        <w:tab/>
      </w:r>
      <w:bookmarkEnd w:id="113"/>
      <w:r w:rsidR="0021339F">
        <w:t>Overseas models of regulatory cooperation</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485A87B5" w14:textId="4E6C8333" w:rsidR="00855020" w:rsidRDefault="00855020" w:rsidP="00855020">
      <w:pPr>
        <w:pStyle w:val="BodyText"/>
      </w:pPr>
      <w:r>
        <w:t xml:space="preserve">Mutual recognition schemes are </w:t>
      </w:r>
      <w:r w:rsidR="008E0B35">
        <w:t xml:space="preserve">becoming increasingly </w:t>
      </w:r>
      <w:r>
        <w:t>commonplace around the world. The European Union, APEC, Scandinavia, United States and Canada all operate mutual recognition schemes. There are, however, significant differences in the nature of the various schemes, in terms of the type of regulations mutually recognised, the sectors covered (with many relating to relatively few sectors), and the method of implementation.</w:t>
      </w:r>
    </w:p>
    <w:p w14:paraId="16172111" w14:textId="77777777" w:rsidR="0091195D" w:rsidRDefault="00855020" w:rsidP="00855020">
      <w:pPr>
        <w:pStyle w:val="BodyText"/>
      </w:pPr>
      <w:r>
        <w:t>The TTMRA is one of the most comprehensive mutual recognition arrangements</w:t>
      </w:r>
      <w:r w:rsidR="004D6D0E">
        <w:t xml:space="preserve"> between countries</w:t>
      </w:r>
      <w:r>
        <w:t xml:space="preserve">. </w:t>
      </w:r>
      <w:r w:rsidR="000F7A24">
        <w:t>T</w:t>
      </w:r>
      <w:r>
        <w:t>h</w:t>
      </w:r>
      <w:r w:rsidR="000F7A24">
        <w:t>is is largely because the</w:t>
      </w:r>
      <w:r>
        <w:t xml:space="preserve"> TTMRA </w:t>
      </w:r>
      <w:r w:rsidR="000F7A24">
        <w:t>(as well as</w:t>
      </w:r>
      <w:r>
        <w:t xml:space="preserve"> the European Union internal market</w:t>
      </w:r>
      <w:r w:rsidR="000F7A24">
        <w:t>)</w:t>
      </w:r>
      <w:r>
        <w:t xml:space="preserve"> </w:t>
      </w:r>
      <w:r w:rsidR="000F7A24">
        <w:t xml:space="preserve">relies on </w:t>
      </w:r>
      <w:r w:rsidRPr="004A62BB">
        <w:t xml:space="preserve">mutual recognition of </w:t>
      </w:r>
      <w:r w:rsidRPr="000F7A24">
        <w:t xml:space="preserve">rules </w:t>
      </w:r>
      <w:r>
        <w:t>while most other mutual recognition arrangements allow only for m</w:t>
      </w:r>
      <w:r w:rsidRPr="00AC60C3">
        <w:t xml:space="preserve">utual recognition of conformity assessment procedures </w:t>
      </w:r>
      <w:r>
        <w:t>(</w:t>
      </w:r>
      <w:r w:rsidRPr="00AC60C3">
        <w:t xml:space="preserve">under different </w:t>
      </w:r>
      <w:r>
        <w:t xml:space="preserve">partner country </w:t>
      </w:r>
      <w:r w:rsidRPr="00AC60C3">
        <w:t>rules</w:t>
      </w:r>
      <w:r>
        <w:t>)</w:t>
      </w:r>
      <w:r w:rsidR="001F6024">
        <w:t xml:space="preserve"> within trade agreements</w:t>
      </w:r>
      <w:r w:rsidRPr="00AC60C3">
        <w:t>.</w:t>
      </w:r>
      <w:r w:rsidR="0091195D">
        <w:t xml:space="preserve"> </w:t>
      </w:r>
    </w:p>
    <w:p w14:paraId="43AEE04A" w14:textId="6A54074A" w:rsidR="00855020" w:rsidRDefault="00855020" w:rsidP="00443BD8">
      <w:pPr>
        <w:pStyle w:val="Questionindented"/>
      </w:pPr>
      <w:r w:rsidRPr="001C212E">
        <w:t xml:space="preserve">Are there features of mutual recognition schemes </w:t>
      </w:r>
      <w:r>
        <w:t>used by countries other than Australia and New Zealand which</w:t>
      </w:r>
      <w:r w:rsidRPr="001C212E">
        <w:t xml:space="preserve"> could be adopted to improve the MRA and the TTMRA?</w:t>
      </w:r>
    </w:p>
    <w:p w14:paraId="26DF549F" w14:textId="77777777" w:rsidR="00855020" w:rsidRDefault="00855020" w:rsidP="00855020">
      <w:pPr>
        <w:pStyle w:val="Heading3"/>
      </w:pPr>
      <w:r>
        <w:lastRenderedPageBreak/>
        <w:t>Mutual recognition is just one form of regulatory cooperation</w:t>
      </w:r>
    </w:p>
    <w:p w14:paraId="60BE1427" w14:textId="3C2CAD31" w:rsidR="00855020" w:rsidRDefault="001F6024" w:rsidP="00855020">
      <w:pPr>
        <w:pStyle w:val="BodyText"/>
      </w:pPr>
      <w:r>
        <w:t>M</w:t>
      </w:r>
      <w:r w:rsidR="00855020">
        <w:t xml:space="preserve">utual recognition schemes represent only one form of regulatory cooperation. The OECD </w:t>
      </w:r>
      <w:r w:rsidR="00077DCC" w:rsidRPr="00077DCC">
        <w:t>(2013)</w:t>
      </w:r>
      <w:r w:rsidR="00855020">
        <w:t xml:space="preserve"> has identified ten other forms of international regulatory cooperation:</w:t>
      </w:r>
    </w:p>
    <w:p w14:paraId="199F5427" w14:textId="77777777" w:rsidR="00674C7D" w:rsidRDefault="00674C7D" w:rsidP="00674C7D">
      <w:pPr>
        <w:pStyle w:val="ListBullet"/>
      </w:pPr>
      <w:r>
        <w:t>integration or harmonisation of regulations through supranational or joint institutions</w:t>
      </w:r>
    </w:p>
    <w:p w14:paraId="106C15B7" w14:textId="77777777" w:rsidR="00674C7D" w:rsidRDefault="00674C7D" w:rsidP="00674C7D">
      <w:pPr>
        <w:pStyle w:val="ListBullet"/>
      </w:pPr>
      <w:r>
        <w:t>specifically negotiated agreements, such as treaties or conventions</w:t>
      </w:r>
    </w:p>
    <w:p w14:paraId="1D89D424" w14:textId="77777777" w:rsidR="00674C7D" w:rsidRDefault="00674C7D" w:rsidP="00674C7D">
      <w:pPr>
        <w:pStyle w:val="ListBullet"/>
      </w:pPr>
      <w:r>
        <w:t>regulatory partnerships between countries</w:t>
      </w:r>
    </w:p>
    <w:p w14:paraId="4B9C2791" w14:textId="1C50E5DB" w:rsidR="00674C7D" w:rsidRDefault="00674C7D" w:rsidP="00674C7D">
      <w:pPr>
        <w:pStyle w:val="ListBullet"/>
      </w:pPr>
      <w:r>
        <w:t xml:space="preserve">intergovernmental organisations (such as the OECD or World Trade </w:t>
      </w:r>
      <w:r w:rsidR="00855020">
        <w:t>Organi</w:t>
      </w:r>
      <w:r w:rsidR="00A30B91">
        <w:t>s</w:t>
      </w:r>
      <w:r w:rsidR="00855020">
        <w:t>ation</w:t>
      </w:r>
      <w:r>
        <w:t>)</w:t>
      </w:r>
    </w:p>
    <w:p w14:paraId="40A6D23F" w14:textId="77777777" w:rsidR="00674C7D" w:rsidRDefault="00674C7D" w:rsidP="00674C7D">
      <w:pPr>
        <w:pStyle w:val="ListBullet"/>
      </w:pPr>
      <w:r>
        <w:t>regional agreements incorporating regulatory processes (such as APEC)</w:t>
      </w:r>
    </w:p>
    <w:p w14:paraId="5ADC9C4B" w14:textId="1C99EF46" w:rsidR="00674C7D" w:rsidRDefault="00674C7D" w:rsidP="00674C7D">
      <w:pPr>
        <w:pStyle w:val="ListBullet"/>
      </w:pPr>
      <w:r>
        <w:t>trans</w:t>
      </w:r>
      <w:r w:rsidR="00AC10D4">
        <w:noBreakHyphen/>
      </w:r>
      <w:r>
        <w:t>governmental networks (such as the Basel Committee on Banking Supervision)</w:t>
      </w:r>
    </w:p>
    <w:p w14:paraId="5C64C82E" w14:textId="77777777" w:rsidR="00674C7D" w:rsidRDefault="00674C7D" w:rsidP="00674C7D">
      <w:pPr>
        <w:pStyle w:val="ListBullet"/>
      </w:pPr>
      <w:r>
        <w:t>formal requirements to consider international regulatory cooperation when developing regulations (for example, COAG Best Practice Regulation requirements)</w:t>
      </w:r>
    </w:p>
    <w:p w14:paraId="21606BDF" w14:textId="77777777" w:rsidR="00674C7D" w:rsidRDefault="00674C7D" w:rsidP="00674C7D">
      <w:pPr>
        <w:pStyle w:val="ListBullet"/>
      </w:pPr>
      <w:r>
        <w:t>recognition of international standards</w:t>
      </w:r>
    </w:p>
    <w:p w14:paraId="0B1717B7" w14:textId="6B6EBFCB" w:rsidR="00674C7D" w:rsidRDefault="00674C7D" w:rsidP="00674C7D">
      <w:pPr>
        <w:pStyle w:val="ListBullet"/>
      </w:pPr>
      <w:r>
        <w:t>‘soft law’ or non</w:t>
      </w:r>
      <w:r w:rsidR="00AC10D4">
        <w:noBreakHyphen/>
      </w:r>
      <w:r>
        <w:t>legally binding agreements</w:t>
      </w:r>
    </w:p>
    <w:p w14:paraId="6A6BEDBD" w14:textId="77777777" w:rsidR="00855020" w:rsidRPr="00D51A3C" w:rsidRDefault="00855020" w:rsidP="00855020">
      <w:pPr>
        <w:pStyle w:val="ListBullet"/>
        <w:rPr>
          <w:lang w:val="fr-FR"/>
        </w:rPr>
      </w:pPr>
      <w:r w:rsidRPr="00D51A3C">
        <w:rPr>
          <w:lang w:val="fr-FR"/>
        </w:rPr>
        <w:t>dialogue or information exchanges.</w:t>
      </w:r>
    </w:p>
    <w:p w14:paraId="36F8E93D" w14:textId="77777777" w:rsidR="000837E7" w:rsidRDefault="001F6024" w:rsidP="000837E7">
      <w:pPr>
        <w:pStyle w:val="BodyText"/>
      </w:pPr>
      <w:r>
        <w:t>T</w:t>
      </w:r>
      <w:r w:rsidR="00855020">
        <w:t>he forms of international regulatory cooperation identified by</w:t>
      </w:r>
      <w:r w:rsidR="00113D66">
        <w:t xml:space="preserve"> the </w:t>
      </w:r>
      <w:r w:rsidR="00855020">
        <w:t>OECD are not intended to be mutually exclusive, with many features overlapping and countries — including Australia and New Zealand — typically combining several instruments to achieve their objectives.</w:t>
      </w:r>
      <w:r w:rsidR="00C31EFA">
        <w:t xml:space="preserve"> </w:t>
      </w:r>
    </w:p>
    <w:p w14:paraId="742C2417" w14:textId="6B7C495C" w:rsidR="00855020" w:rsidRPr="00483EC5" w:rsidRDefault="00855020" w:rsidP="00B21008">
      <w:pPr>
        <w:pStyle w:val="Questionindented"/>
      </w:pPr>
      <w:r>
        <w:t xml:space="preserve">Are there </w:t>
      </w:r>
      <w:r w:rsidR="00216221">
        <w:t xml:space="preserve">any </w:t>
      </w:r>
      <w:r>
        <w:t xml:space="preserve">lessons </w:t>
      </w:r>
      <w:r w:rsidR="00216221">
        <w:t xml:space="preserve">relevant </w:t>
      </w:r>
      <w:r>
        <w:t xml:space="preserve">to </w:t>
      </w:r>
      <w:r w:rsidR="00216221">
        <w:t>this review</w:t>
      </w:r>
      <w:r>
        <w:t xml:space="preserve"> from </w:t>
      </w:r>
      <w:r w:rsidR="00BD68DB">
        <w:t xml:space="preserve">the </w:t>
      </w:r>
      <w:r>
        <w:t>other approaches to international regulatory cooperation</w:t>
      </w:r>
      <w:r w:rsidR="00BD68DB">
        <w:t xml:space="preserve"> identified by the OECD</w:t>
      </w:r>
      <w:r>
        <w:t>?</w:t>
      </w:r>
    </w:p>
    <w:p w14:paraId="0C600592" w14:textId="784E9B8E" w:rsidR="003E6C5D" w:rsidRDefault="007550C3" w:rsidP="003E6C5D">
      <w:pPr>
        <w:pStyle w:val="Heading4"/>
      </w:pPr>
      <w:r>
        <w:t>Recognition</w:t>
      </w:r>
      <w:r w:rsidR="003E6C5D">
        <w:t xml:space="preserve"> of international standards</w:t>
      </w:r>
    </w:p>
    <w:p w14:paraId="360CEE84" w14:textId="627A354D" w:rsidR="003E6C5D" w:rsidRDefault="008278FD" w:rsidP="003052D9">
      <w:pPr>
        <w:pStyle w:val="BodyText"/>
      </w:pPr>
      <w:r>
        <w:t>T</w:t>
      </w:r>
      <w:r w:rsidR="003E6C5D">
        <w:t xml:space="preserve">he Australian Government </w:t>
      </w:r>
      <w:r w:rsidR="006552C0" w:rsidRPr="006552C0">
        <w:rPr>
          <w:szCs w:val="24"/>
        </w:rPr>
        <w:t>(2014a, p. 1)</w:t>
      </w:r>
      <w:r w:rsidR="006552C0">
        <w:t xml:space="preserve"> recently</w:t>
      </w:r>
      <w:r w:rsidR="00E61391">
        <w:t xml:space="preserve"> </w:t>
      </w:r>
      <w:r w:rsidR="003E6C5D">
        <w:t>adopted the principle that ‘if a system, service or product has been approved under a trusted international standard or risk assessment, then Australian regulators should not impose any additional requirements … unless there is a good and demonstrable reason to do so’</w:t>
      </w:r>
      <w:r w:rsidR="00DE19C3">
        <w:t xml:space="preserve">. </w:t>
      </w:r>
      <w:r w:rsidR="006552C0">
        <w:t xml:space="preserve">As a first step, </w:t>
      </w:r>
      <w:r w:rsidR="003E6C5D">
        <w:t xml:space="preserve">the Therapeutic Goods Administration </w:t>
      </w:r>
      <w:r w:rsidR="006552C0">
        <w:t xml:space="preserve">was to </w:t>
      </w:r>
      <w:r w:rsidR="003E6C5D">
        <w:t>enable</w:t>
      </w:r>
      <w:r w:rsidR="001373A0">
        <w:t xml:space="preserve"> Australian manufacturers </w:t>
      </w:r>
      <w:r w:rsidR="003E6C5D">
        <w:t>to register routine medical devices using conformity assessment certification from European not</w:t>
      </w:r>
      <w:r w:rsidR="00CA3D7F">
        <w:t>ified bodies</w:t>
      </w:r>
      <w:r w:rsidR="001373A0">
        <w:t>. Similarly</w:t>
      </w:r>
      <w:r w:rsidR="00CA3D7F">
        <w:t>, the National I</w:t>
      </w:r>
      <w:r w:rsidR="003E6C5D">
        <w:t xml:space="preserve">ndustrial Chemicals Notification and Assessment Scheme </w:t>
      </w:r>
      <w:r w:rsidR="001373A0">
        <w:t xml:space="preserve">was to </w:t>
      </w:r>
      <w:r w:rsidR="003E6C5D">
        <w:t xml:space="preserve">increase its acceptance of international risk assessment materials </w:t>
      </w:r>
      <w:r w:rsidR="001373A0">
        <w:t>from trusted overseas regulators</w:t>
      </w:r>
      <w:r w:rsidR="00247957">
        <w:t>.</w:t>
      </w:r>
      <w:r w:rsidR="00FB760C">
        <w:t xml:space="preserve"> More generally, there was a commitment that </w:t>
      </w:r>
      <w:r w:rsidR="00FB760C" w:rsidRPr="00FB760C">
        <w:t xml:space="preserve">regulators </w:t>
      </w:r>
      <w:r w:rsidR="00FB760C">
        <w:t>would</w:t>
      </w:r>
      <w:r w:rsidR="00FB760C" w:rsidRPr="00FB760C">
        <w:t xml:space="preserve"> review Commonwealth standards and risk assessment processes and assess whether unique Australian standards or risk assessments are needed</w:t>
      </w:r>
      <w:r w:rsidR="00FB760C">
        <w:t>.</w:t>
      </w:r>
    </w:p>
    <w:p w14:paraId="51B6CACC" w14:textId="497B5E44" w:rsidR="008D09F1" w:rsidRDefault="0024305C" w:rsidP="003E6C5D">
      <w:pPr>
        <w:pStyle w:val="BodyText"/>
      </w:pPr>
      <w:r>
        <w:t xml:space="preserve">This complements requirements that the </w:t>
      </w:r>
      <w:r w:rsidR="003E6C5D" w:rsidRPr="003E6C5D">
        <w:t xml:space="preserve">Australian Government </w:t>
      </w:r>
      <w:r>
        <w:t>applie</w:t>
      </w:r>
      <w:r w:rsidR="00FD44C2">
        <w:t>s</w:t>
      </w:r>
      <w:r>
        <w:t xml:space="preserve"> to new policy proposals. Specifically, r</w:t>
      </w:r>
      <w:r w:rsidR="003E6C5D">
        <w:t xml:space="preserve">egulatory impact statements </w:t>
      </w:r>
      <w:r>
        <w:t>have to</w:t>
      </w:r>
      <w:r w:rsidR="003E6C5D">
        <w:t xml:space="preserve"> ‘p</w:t>
      </w:r>
      <w:r w:rsidR="003E6C5D" w:rsidRPr="004009DC">
        <w:t xml:space="preserve">rovide information on applicable international standards and whether the policy proposal differs from or adopts </w:t>
      </w:r>
      <w:r w:rsidR="003E6C5D" w:rsidRPr="004009DC">
        <w:lastRenderedPageBreak/>
        <w:t>those standards</w:t>
      </w:r>
      <w:r w:rsidR="003E6C5D">
        <w:t>’</w:t>
      </w:r>
      <w:r w:rsidR="003E6C5D" w:rsidRPr="004009DC">
        <w:t xml:space="preserve"> </w:t>
      </w:r>
      <w:r w:rsidR="003E6C5D" w:rsidRPr="003E6C5D">
        <w:t>(DPMC 2014, p. 31)</w:t>
      </w:r>
      <w:r w:rsidR="003E6C5D" w:rsidRPr="004009DC">
        <w:t>. Where options under consideration differ from international standards</w:t>
      </w:r>
      <w:r w:rsidR="003E6C5D">
        <w:t>,</w:t>
      </w:r>
      <w:r w:rsidR="003E6C5D" w:rsidRPr="004009DC">
        <w:t xml:space="preserve"> an explanation for</w:t>
      </w:r>
      <w:r w:rsidR="003E6C5D">
        <w:t xml:space="preserve"> </w:t>
      </w:r>
      <w:r w:rsidR="003E6C5D" w:rsidRPr="004009DC">
        <w:t xml:space="preserve">the variation </w:t>
      </w:r>
      <w:r w:rsidR="003E6C5D">
        <w:t>should be provided</w:t>
      </w:r>
      <w:r w:rsidR="003E6C5D" w:rsidRPr="004009DC">
        <w:t>.</w:t>
      </w:r>
      <w:r w:rsidR="008278FD">
        <w:t xml:space="preserve"> </w:t>
      </w:r>
    </w:p>
    <w:p w14:paraId="2927049D" w14:textId="3AC8D8CF" w:rsidR="003E6C5D" w:rsidRDefault="008278FD" w:rsidP="003E6C5D">
      <w:pPr>
        <w:pStyle w:val="BodyText"/>
      </w:pPr>
      <w:r>
        <w:t xml:space="preserve">The </w:t>
      </w:r>
      <w:r w:rsidR="006F285E">
        <w:t xml:space="preserve">actions taken by the </w:t>
      </w:r>
      <w:r>
        <w:t>Australia</w:t>
      </w:r>
      <w:r w:rsidR="006F285E">
        <w:t xml:space="preserve">n Government </w:t>
      </w:r>
      <w:r>
        <w:t>are consistent with movements internationally towards increased harmonisation of standards, potentially reducing the need for mutual recognition.</w:t>
      </w:r>
    </w:p>
    <w:p w14:paraId="0EDD67C5" w14:textId="2B485A7B" w:rsidR="003E6C5D" w:rsidRPr="00483EC5" w:rsidRDefault="003E6C5D" w:rsidP="003E6C5D">
      <w:pPr>
        <w:pStyle w:val="Questionindented"/>
      </w:pPr>
      <w:r>
        <w:t xml:space="preserve">What is the </w:t>
      </w:r>
      <w:r w:rsidR="00C7340B">
        <w:t xml:space="preserve">potential </w:t>
      </w:r>
      <w:r>
        <w:t xml:space="preserve">for greater acceptance of international standards </w:t>
      </w:r>
      <w:r w:rsidR="00C7340B">
        <w:t>and conformity assessment</w:t>
      </w:r>
      <w:r w:rsidR="004E52E8">
        <w:t>s</w:t>
      </w:r>
      <w:r w:rsidR="00C7340B">
        <w:t xml:space="preserve"> by Australia and New Zea</w:t>
      </w:r>
      <w:r w:rsidR="003550A8">
        <w:t>la</w:t>
      </w:r>
      <w:r w:rsidR="00C7340B">
        <w:t>nd</w:t>
      </w:r>
      <w:r>
        <w:t xml:space="preserve">? </w:t>
      </w:r>
      <w:r w:rsidR="00B42196">
        <w:t>What</w:t>
      </w:r>
      <w:r w:rsidR="00C7340B">
        <w:t xml:space="preserve"> would be the </w:t>
      </w:r>
      <w:r>
        <w:t xml:space="preserve">implications for </w:t>
      </w:r>
      <w:r w:rsidR="00C7340B">
        <w:t>the MRA and TTMRA</w:t>
      </w:r>
      <w:r w:rsidR="000E0B63">
        <w:t>?</w:t>
      </w:r>
    </w:p>
    <w:p w14:paraId="0791E6FC" w14:textId="77777777" w:rsidR="00674C7D" w:rsidRDefault="00855020" w:rsidP="00674C7D">
      <w:pPr>
        <w:pStyle w:val="Heading3"/>
      </w:pPr>
      <w:r>
        <w:t>Interaction</w:t>
      </w:r>
      <w:r w:rsidR="00674C7D">
        <w:t xml:space="preserve"> with trade agreements</w:t>
      </w:r>
    </w:p>
    <w:p w14:paraId="03570F84" w14:textId="77777777" w:rsidR="00674C7D" w:rsidRPr="00987BB2" w:rsidRDefault="00674C7D" w:rsidP="00674C7D">
      <w:pPr>
        <w:pStyle w:val="BodyText"/>
      </w:pPr>
      <w:r>
        <w:t>Australia and New Zealand have entered into a number of bilateral, regional and multilateral trade agreements in recent years. These agreements potentially have implications for the TTMRA. While the TTMRA is reflective of the confidence that Australia and New Zealand have in each other’s regulatory processes, this confidence does not necessarily extend to regulatory arrangements in third countries that might have trade agreements with Australia and New Zealand. Concern has sometimes been expressed that inferior quality goods or less qualified persons could emerge in either Australia and New Zealand as a result of decisions by the partner country.</w:t>
      </w:r>
    </w:p>
    <w:p w14:paraId="3DFAF6BF" w14:textId="1356BD6F" w:rsidR="00674C7D" w:rsidRPr="00987BB2" w:rsidRDefault="00674C7D" w:rsidP="00674C7D">
      <w:pPr>
        <w:pStyle w:val="BodyText"/>
      </w:pPr>
      <w:r>
        <w:t xml:space="preserve">In its 2009 report, the Commission did not see this </w:t>
      </w:r>
      <w:r w:rsidR="00EC3403">
        <w:t xml:space="preserve">as </w:t>
      </w:r>
      <w:r>
        <w:t>a major problem, given the lack of change to domestic regulatory requirements in each country, and the emphasis placed on ensuring standards are maintained. The Commission highlighted, however, the need to be cognisant of mutual recognition schemes when negotiating trade agreements.</w:t>
      </w:r>
    </w:p>
    <w:p w14:paraId="5FD8D547" w14:textId="77777777" w:rsidR="00674C7D" w:rsidRPr="00D31F16" w:rsidRDefault="00674C7D" w:rsidP="00B21008">
      <w:pPr>
        <w:pStyle w:val="Questionindented"/>
      </w:pPr>
      <w:r w:rsidRPr="00BB236D">
        <w:t>Have there been implications for the TTMRA</w:t>
      </w:r>
      <w:r w:rsidRPr="00483EC5">
        <w:t xml:space="preserve"> from Australia or New Zealand entering bilateral, regional and multilateral trade agreements in recent years? Are there examples of inferior </w:t>
      </w:r>
      <w:r w:rsidRPr="00D31F16">
        <w:t>quality goods or less qualified persons entering either country as a result of the interaction between the TTMRA and the trade agreements?</w:t>
      </w:r>
    </w:p>
    <w:p w14:paraId="6E40ECC2" w14:textId="77777777" w:rsidR="003673A0" w:rsidRDefault="003673A0">
      <w:pPr>
        <w:rPr>
          <w:i/>
          <w:sz w:val="24"/>
          <w:lang w:eastAsia="en-AU"/>
        </w:rPr>
      </w:pPr>
      <w:r>
        <w:rPr>
          <w:i/>
        </w:rPr>
        <w:br w:type="page"/>
      </w:r>
    </w:p>
    <w:p w14:paraId="23ED5EA3" w14:textId="51FBEE15" w:rsidR="00391500" w:rsidRPr="00450506" w:rsidRDefault="00FE032F" w:rsidP="00450506">
      <w:pPr>
        <w:pStyle w:val="Heading2nosectionno"/>
      </w:pPr>
      <w:bookmarkStart w:id="131" w:name="_Toc408308218"/>
      <w:bookmarkStart w:id="132" w:name="_Toc408308384"/>
      <w:bookmarkStart w:id="133" w:name="_Toc408311451"/>
      <w:bookmarkStart w:id="134" w:name="_Toc408326900"/>
      <w:r w:rsidRPr="00450506">
        <w:lastRenderedPageBreak/>
        <w:t>References</w:t>
      </w:r>
      <w:bookmarkEnd w:id="131"/>
      <w:bookmarkEnd w:id="132"/>
      <w:bookmarkEnd w:id="133"/>
      <w:bookmarkEnd w:id="134"/>
    </w:p>
    <w:p w14:paraId="720A2BCF" w14:textId="63C078DE" w:rsidR="00FE5C70" w:rsidRPr="00FE5C70" w:rsidRDefault="00FE5C70" w:rsidP="00FC465E">
      <w:pPr>
        <w:pStyle w:val="Reference"/>
      </w:pPr>
      <w:r w:rsidRPr="00FE5C70">
        <w:t xml:space="preserve">ACG (Allen Consulting Group) 2008, </w:t>
      </w:r>
      <w:r w:rsidRPr="00FE5C70">
        <w:rPr>
          <w:i/>
          <w:iCs/>
        </w:rPr>
        <w:t>Evaluation of COAG Initiatives for Full and Effective Mutual Recognition</w:t>
      </w:r>
      <w:r w:rsidRPr="00FE5C70">
        <w:t>, Report to the COAG Skills Recognition Steering Committee, Canberra.</w:t>
      </w:r>
    </w:p>
    <w:p w14:paraId="0B3F9366" w14:textId="77777777" w:rsidR="00FE5C70" w:rsidRPr="00FE5C70" w:rsidRDefault="00FE5C70" w:rsidP="00FC465E">
      <w:pPr>
        <w:pStyle w:val="Reference"/>
      </w:pPr>
      <w:r w:rsidRPr="00FE5C70">
        <w:t xml:space="preserve">AHPRA (Australian Health Practitioner Regulation Agency) 2014, </w:t>
      </w:r>
      <w:r w:rsidRPr="00FE5C70">
        <w:rPr>
          <w:i/>
          <w:iCs/>
        </w:rPr>
        <w:t>About</w:t>
      </w:r>
      <w:r w:rsidRPr="00FE5C70">
        <w:t>, http://www.ahpra.gov.au/About-AHPRA.aspx (accessed 22 December 2014).</w:t>
      </w:r>
    </w:p>
    <w:p w14:paraId="21066961" w14:textId="77777777" w:rsidR="00FE5C70" w:rsidRPr="00FE5C70" w:rsidRDefault="00FE5C70" w:rsidP="00FC465E">
      <w:pPr>
        <w:pStyle w:val="Reference"/>
      </w:pPr>
      <w:r w:rsidRPr="00FE5C70">
        <w:t xml:space="preserve">Australian Government 2013a, </w:t>
      </w:r>
      <w:r w:rsidRPr="00FE5C70">
        <w:rPr>
          <w:i/>
          <w:iCs/>
        </w:rPr>
        <w:t>Mutual Recognition Act 1992</w:t>
      </w:r>
      <w:r w:rsidRPr="00FE5C70">
        <w:t>, Canberra.</w:t>
      </w:r>
    </w:p>
    <w:p w14:paraId="0E055FFE" w14:textId="77777777" w:rsidR="00FE5C70" w:rsidRPr="00FE5C70" w:rsidRDefault="00FE5C70" w:rsidP="00FC465E">
      <w:pPr>
        <w:pStyle w:val="Reference"/>
      </w:pPr>
      <w:r w:rsidRPr="00FE5C70">
        <w:t xml:space="preserve">—— 2013b, </w:t>
      </w:r>
      <w:r w:rsidRPr="00FE5C70">
        <w:rPr>
          <w:i/>
          <w:iCs/>
        </w:rPr>
        <w:t>Trans-Tasman Mutual Recognition Act 1997</w:t>
      </w:r>
      <w:r w:rsidRPr="00FE5C70">
        <w:t>, Canberra.</w:t>
      </w:r>
    </w:p>
    <w:p w14:paraId="7F405E20" w14:textId="77777777" w:rsidR="00FE5C70" w:rsidRPr="00FE5C70" w:rsidRDefault="00FE5C70" w:rsidP="00FC465E">
      <w:pPr>
        <w:pStyle w:val="Reference"/>
      </w:pPr>
      <w:r w:rsidRPr="00FE5C70">
        <w:t xml:space="preserve">—— 2014a, </w:t>
      </w:r>
      <w:r w:rsidRPr="00FE5C70">
        <w:rPr>
          <w:i/>
          <w:iCs/>
        </w:rPr>
        <w:t>A Lower Cost, Business Friendly Environment - Reducing the Regulatory Burden</w:t>
      </w:r>
      <w:r w:rsidRPr="00FE5C70">
        <w:t>, Canberra.</w:t>
      </w:r>
    </w:p>
    <w:p w14:paraId="6367DD12" w14:textId="77777777" w:rsidR="00FE5C70" w:rsidRPr="00FE5C70" w:rsidRDefault="00FE5C70" w:rsidP="00FC465E">
      <w:pPr>
        <w:pStyle w:val="Reference"/>
      </w:pPr>
      <w:r w:rsidRPr="00FE5C70">
        <w:t xml:space="preserve">—— 2014b, </w:t>
      </w:r>
      <w:r w:rsidRPr="00FE5C70">
        <w:rPr>
          <w:i/>
          <w:iCs/>
        </w:rPr>
        <w:t>A Users’ Guide to the Mutual Recognition Agreement (MRA) and the Trans-Tasman Mutual Recognition Arrangement (TTMRA)</w:t>
      </w:r>
      <w:r w:rsidRPr="00FE5C70">
        <w:t>, Canberra.</w:t>
      </w:r>
    </w:p>
    <w:p w14:paraId="2298E783" w14:textId="77777777" w:rsidR="00FE5C70" w:rsidRPr="00FE5C70" w:rsidRDefault="00FE5C70" w:rsidP="00FC465E">
      <w:pPr>
        <w:pStyle w:val="Reference"/>
      </w:pPr>
      <w:r w:rsidRPr="00FE5C70">
        <w:t xml:space="preserve">Australian Government and New Zealand Government </w:t>
      </w:r>
      <w:proofErr w:type="spellStart"/>
      <w:r w:rsidRPr="00FE5C70">
        <w:t>nd</w:t>
      </w:r>
      <w:proofErr w:type="spellEnd"/>
      <w:r w:rsidRPr="00FE5C70">
        <w:t xml:space="preserve">, </w:t>
      </w:r>
      <w:r w:rsidRPr="00FE5C70">
        <w:rPr>
          <w:i/>
          <w:iCs/>
        </w:rPr>
        <w:t>Fact sheet - Trans-Tasman Proceedings Act 2010</w:t>
      </w:r>
      <w:r w:rsidRPr="00FE5C70">
        <w:t>.</w:t>
      </w:r>
    </w:p>
    <w:p w14:paraId="5EF65C9D" w14:textId="77777777" w:rsidR="00FE5C70" w:rsidRPr="00FE5C70" w:rsidRDefault="00FE5C70" w:rsidP="00FC465E">
      <w:pPr>
        <w:pStyle w:val="Reference"/>
      </w:pPr>
      <w:r w:rsidRPr="00FE5C70">
        <w:t xml:space="preserve">CAF (Council for the Australian Federation) 2014, </w:t>
      </w:r>
      <w:r w:rsidRPr="00FE5C70">
        <w:rPr>
          <w:i/>
          <w:iCs/>
        </w:rPr>
        <w:t>Council of the Australian Federation (CAF) Occupational Licensing Reform</w:t>
      </w:r>
      <w:r w:rsidRPr="00FE5C70">
        <w:t>, http://www.caf.gov.au/OccupationalLicensing.aspx (accessed 5 January 2015).</w:t>
      </w:r>
    </w:p>
    <w:p w14:paraId="2C4BCC93" w14:textId="77777777" w:rsidR="00FE5C70" w:rsidRPr="00FE5C70" w:rsidRDefault="00FE5C70" w:rsidP="00FC465E">
      <w:pPr>
        <w:pStyle w:val="Reference"/>
      </w:pPr>
      <w:r w:rsidRPr="00FE5C70">
        <w:t xml:space="preserve">CJRF (Cross Jurisdictional Review Forum) 2004, </w:t>
      </w:r>
      <w:r w:rsidRPr="00FE5C70">
        <w:rPr>
          <w:i/>
          <w:iCs/>
        </w:rPr>
        <w:t>Evaluation of Mutual Recognition Schemes</w:t>
      </w:r>
      <w:r w:rsidRPr="00FE5C70">
        <w:t>, Report to the Council of Australian Governments and the New Zealand Government, Sydney.</w:t>
      </w:r>
    </w:p>
    <w:p w14:paraId="72F3FF90" w14:textId="6F6CC491" w:rsidR="00FE5C70" w:rsidRPr="00FE5C70" w:rsidRDefault="00FE5C70" w:rsidP="00FC465E">
      <w:pPr>
        <w:pStyle w:val="Reference"/>
      </w:pPr>
      <w:r w:rsidRPr="00FE5C70">
        <w:t xml:space="preserve">—— 2014, </w:t>
      </w:r>
      <w:r w:rsidRPr="00FE5C70">
        <w:rPr>
          <w:i/>
          <w:iCs/>
        </w:rPr>
        <w:t>Progress Report on Responses to the Productivity Commission’s 2009 Review of Mutual Recognition Schemes</w:t>
      </w:r>
      <w:r w:rsidRPr="00FE5C70">
        <w:t>, Canberra.</w:t>
      </w:r>
    </w:p>
    <w:p w14:paraId="15A02130" w14:textId="77777777" w:rsidR="00FE5C70" w:rsidRPr="00FE5C70" w:rsidRDefault="00FE5C70" w:rsidP="00FC465E">
      <w:pPr>
        <w:pStyle w:val="Reference"/>
      </w:pPr>
      <w:r w:rsidRPr="00FE5C70">
        <w:t xml:space="preserve">COAG (Council of Australian Governments) 2009, </w:t>
      </w:r>
      <w:r w:rsidRPr="00FE5C70">
        <w:rPr>
          <w:i/>
          <w:iCs/>
        </w:rPr>
        <w:t>National Licensing System for Specified Occupations Decision Regulation Impact Statement</w:t>
      </w:r>
      <w:r w:rsidRPr="00FE5C70">
        <w:t>, Canberra.</w:t>
      </w:r>
    </w:p>
    <w:p w14:paraId="3B25FB3D" w14:textId="77777777" w:rsidR="00FE5C70" w:rsidRPr="00FE5C70" w:rsidRDefault="00FE5C70" w:rsidP="00FC465E">
      <w:pPr>
        <w:pStyle w:val="Reference"/>
      </w:pPr>
      <w:r w:rsidRPr="00FE5C70">
        <w:t xml:space="preserve">Department of Industry 2014, </w:t>
      </w:r>
      <w:r w:rsidRPr="00FE5C70">
        <w:rPr>
          <w:i/>
          <w:iCs/>
        </w:rPr>
        <w:t>Mutual Recognition</w:t>
      </w:r>
      <w:r w:rsidRPr="00FE5C70">
        <w:t>, http://industry.gov.au/SKILLS/SKILLSANDLICENCERECOGNITION/MUTUALRECOGNITION/Pages/default.aspx (accessed 17 December 2014).</w:t>
      </w:r>
    </w:p>
    <w:p w14:paraId="3B2433F8" w14:textId="77777777" w:rsidR="00FE5C70" w:rsidRPr="00FE5C70" w:rsidRDefault="00FE5C70" w:rsidP="00FC465E">
      <w:pPr>
        <w:pStyle w:val="Reference"/>
      </w:pPr>
      <w:r w:rsidRPr="00FE5C70">
        <w:t xml:space="preserve">DPMC (Department of the Prime Minister and Cabinet) 2014, </w:t>
      </w:r>
      <w:r w:rsidRPr="00FE5C70">
        <w:rPr>
          <w:i/>
          <w:iCs/>
        </w:rPr>
        <w:t>The Australian Government Guide to Regulation</w:t>
      </w:r>
      <w:r w:rsidRPr="00FE5C70">
        <w:t>, Canberra.</w:t>
      </w:r>
    </w:p>
    <w:p w14:paraId="76EA7EA4" w14:textId="0A18511A" w:rsidR="00FE5C70" w:rsidRPr="00FE5C70" w:rsidRDefault="00FE5C70" w:rsidP="00FC465E">
      <w:pPr>
        <w:pStyle w:val="Reference"/>
      </w:pPr>
      <w:r w:rsidRPr="00FE5C70">
        <w:t xml:space="preserve">IP Australia 2014, </w:t>
      </w:r>
      <w:r w:rsidRPr="00FE5C70">
        <w:rPr>
          <w:i/>
          <w:iCs/>
        </w:rPr>
        <w:t>Regulation Changes Proposed to Implement Trans-Tasman Initiatives: Consultation Paper</w:t>
      </w:r>
      <w:r w:rsidRPr="00FE5C70">
        <w:t>, http://www.ipaustralia.gov.au/about-us/public-consultations/consulting-ip-laws-amendment-bill-2014/consultation-paper/ (accessed 6</w:t>
      </w:r>
      <w:r w:rsidR="001012E1">
        <w:t> </w:t>
      </w:r>
      <w:r w:rsidRPr="00FE5C70">
        <w:t>January 2015).</w:t>
      </w:r>
    </w:p>
    <w:p w14:paraId="1D0959B5" w14:textId="77777777" w:rsidR="00FE5C70" w:rsidRPr="00FE5C70" w:rsidRDefault="00FE5C70" w:rsidP="00FC465E">
      <w:pPr>
        <w:pStyle w:val="Reference"/>
      </w:pPr>
      <w:r w:rsidRPr="00FE5C70">
        <w:t xml:space="preserve">OECD (Organisation for Economic Cooperation and Development) 2013, </w:t>
      </w:r>
      <w:r w:rsidRPr="00FE5C70">
        <w:rPr>
          <w:i/>
          <w:iCs/>
        </w:rPr>
        <w:t>International Regulatory Cooperation: Addressing Global Challenges</w:t>
      </w:r>
      <w:r w:rsidRPr="00FE5C70">
        <w:t>, Paris.</w:t>
      </w:r>
    </w:p>
    <w:p w14:paraId="0AC33F76" w14:textId="77777777" w:rsidR="00FE5C70" w:rsidRPr="00FE5C70" w:rsidRDefault="00FE5C70" w:rsidP="00FC465E">
      <w:pPr>
        <w:pStyle w:val="Reference"/>
      </w:pPr>
      <w:r w:rsidRPr="00FE5C70">
        <w:t xml:space="preserve">PC (Productivity Commission) 2003, </w:t>
      </w:r>
      <w:r w:rsidRPr="00FE5C70">
        <w:rPr>
          <w:i/>
          <w:iCs/>
        </w:rPr>
        <w:t>Evaluation of the Mutual Recognition Schemes</w:t>
      </w:r>
      <w:r w:rsidRPr="00FE5C70">
        <w:t>, Research report, Canberra.</w:t>
      </w:r>
    </w:p>
    <w:p w14:paraId="7F664903" w14:textId="69421094" w:rsidR="00FE5C70" w:rsidRPr="00FE5C70" w:rsidRDefault="00FE5C70" w:rsidP="00FC465E">
      <w:pPr>
        <w:pStyle w:val="Reference"/>
      </w:pPr>
      <w:r w:rsidRPr="00FE5C70">
        <w:lastRenderedPageBreak/>
        <w:t xml:space="preserve">—— 2009, </w:t>
      </w:r>
      <w:r w:rsidRPr="00FE5C70">
        <w:rPr>
          <w:i/>
          <w:iCs/>
        </w:rPr>
        <w:t>Review of the Mutual Recognition Schemes</w:t>
      </w:r>
      <w:r w:rsidRPr="00FE5C70">
        <w:t>, Research report, Canberra.</w:t>
      </w:r>
    </w:p>
    <w:p w14:paraId="120BEC4F" w14:textId="2E3B426E" w:rsidR="00FE5C70" w:rsidRPr="00FE5C70" w:rsidRDefault="00FE5C70" w:rsidP="00FC465E">
      <w:pPr>
        <w:pStyle w:val="Reference"/>
      </w:pPr>
      <w:r w:rsidRPr="00FE5C70">
        <w:t>——</w:t>
      </w:r>
      <w:r w:rsidR="00CC2200">
        <w:t xml:space="preserve"> </w:t>
      </w:r>
      <w:r w:rsidRPr="00FE5C70">
        <w:t xml:space="preserve">2014, </w:t>
      </w:r>
      <w:r w:rsidRPr="00FE5C70">
        <w:rPr>
          <w:i/>
          <w:iCs/>
        </w:rPr>
        <w:t>Australia’s Automotive Manufacturing Industry</w:t>
      </w:r>
      <w:r w:rsidRPr="00FE5C70">
        <w:t>, Inquiry Report No. 70, Canberra.</w:t>
      </w:r>
    </w:p>
    <w:p w14:paraId="6E753BAF" w14:textId="77777777" w:rsidR="00FE5C70" w:rsidRPr="00FE5C70" w:rsidRDefault="00FE5C70" w:rsidP="00FC465E">
      <w:pPr>
        <w:pStyle w:val="Reference"/>
      </w:pPr>
      <w:proofErr w:type="spellStart"/>
      <w:r w:rsidRPr="00FE5C70">
        <w:t>Sturgess</w:t>
      </w:r>
      <w:proofErr w:type="spellEnd"/>
      <w:r w:rsidRPr="00FE5C70">
        <w:t xml:space="preserve">, G. 1993, ‘An overview of mutual recognition’, </w:t>
      </w:r>
      <w:r w:rsidRPr="00FE5C70">
        <w:rPr>
          <w:i/>
          <w:iCs/>
        </w:rPr>
        <w:t>Rationalisation of Occupations and Markets: A Seminar Presented by the Royal Institute of Public Administration Australia</w:t>
      </w:r>
      <w:r w:rsidRPr="00FE5C70">
        <w:t>, Carroll, P. (</w:t>
      </w:r>
      <w:proofErr w:type="spellStart"/>
      <w:r w:rsidRPr="00FE5C70">
        <w:t>ed</w:t>
      </w:r>
      <w:proofErr w:type="spellEnd"/>
      <w:r w:rsidRPr="00FE5C70">
        <w:t>), Brisbane, pp. 13–22.</w:t>
      </w:r>
    </w:p>
    <w:p w14:paraId="227F9021" w14:textId="77777777" w:rsidR="00FE5C70" w:rsidRPr="00FE5C70" w:rsidRDefault="00FE5C70" w:rsidP="00FC465E">
      <w:pPr>
        <w:pStyle w:val="Reference"/>
      </w:pPr>
      <w:r w:rsidRPr="00FE5C70">
        <w:t xml:space="preserve">—— 1994, ‘Mutual recognition — A status report’, </w:t>
      </w:r>
      <w:r w:rsidRPr="00FE5C70">
        <w:rPr>
          <w:i/>
          <w:iCs/>
        </w:rPr>
        <w:t>Red Tape — The Inside Story, The Lyrebird Series — Government–Business Relations in the 90s</w:t>
      </w:r>
      <w:r w:rsidRPr="00FE5C70">
        <w:t>, Royal Institute of Public Administration, Brisbane, pp. 27–40.</w:t>
      </w:r>
    </w:p>
    <w:p w14:paraId="12C8F684" w14:textId="5BAB3181" w:rsidR="00FE5C70" w:rsidRPr="00FE5C70" w:rsidRDefault="00FE5C70" w:rsidP="00FC465E">
      <w:pPr>
        <w:pStyle w:val="Reference"/>
      </w:pPr>
      <w:r w:rsidRPr="00FE5C70">
        <w:t>TTOIG (</w:t>
      </w:r>
      <w:proofErr w:type="spellStart"/>
      <w:r w:rsidRPr="00FE5C70">
        <w:t>Trans Tasman</w:t>
      </w:r>
      <w:proofErr w:type="spellEnd"/>
      <w:r w:rsidRPr="00FE5C70">
        <w:t xml:space="preserve"> Outcomes Implementation Group) 2014, </w:t>
      </w:r>
      <w:r w:rsidRPr="00FE5C70">
        <w:rPr>
          <w:i/>
          <w:iCs/>
        </w:rPr>
        <w:t>Trans-Tasman Outcomes Implementation Group Report May 2014</w:t>
      </w:r>
      <w:r w:rsidRPr="00FE5C70">
        <w:t>, http://ttoig.treasury.gov.au/content/six_monthly/html/may_2014.asp (accessed 6</w:t>
      </w:r>
      <w:r w:rsidR="003474C6">
        <w:t> </w:t>
      </w:r>
      <w:r w:rsidRPr="00FE5C70">
        <w:t>January 2015).</w:t>
      </w:r>
    </w:p>
    <w:p w14:paraId="70B64E0D" w14:textId="3C42A4FE" w:rsidR="00450506" w:rsidRDefault="00450506" w:rsidP="00821F36">
      <w:pPr>
        <w:pStyle w:val="Reference"/>
      </w:pPr>
    </w:p>
    <w:p w14:paraId="0AE2B44D" w14:textId="77777777" w:rsidR="00391500" w:rsidRDefault="00391500" w:rsidP="00120072">
      <w:pPr>
        <w:pStyle w:val="BodyText"/>
        <w:sectPr w:rsidR="00391500" w:rsidSect="008E7834">
          <w:headerReference w:type="even" r:id="rId35"/>
          <w:headerReference w:type="default" r:id="rId36"/>
          <w:footerReference w:type="default" r:id="rId37"/>
          <w:headerReference w:type="first" r:id="rId38"/>
          <w:type w:val="oddPage"/>
          <w:pgSz w:w="11907" w:h="16840" w:code="9"/>
          <w:pgMar w:top="1985" w:right="1304" w:bottom="1247" w:left="1814" w:header="1701" w:footer="397" w:gutter="0"/>
          <w:pgNumType w:start="1" w:chapSep="period"/>
          <w:cols w:space="720"/>
        </w:sectPr>
      </w:pPr>
    </w:p>
    <w:p w14:paraId="4198B910" w14:textId="12F66143" w:rsidR="00391500" w:rsidRPr="00391500" w:rsidRDefault="00E33374" w:rsidP="002B19DA">
      <w:pPr>
        <w:pStyle w:val="Heading2"/>
        <w:spacing w:before="120"/>
      </w:pPr>
      <w:bookmarkStart w:id="135" w:name="_Toc408308219"/>
      <w:bookmarkStart w:id="136" w:name="_Toc408308385"/>
      <w:bookmarkStart w:id="137" w:name="_Toc408311452"/>
      <w:bookmarkStart w:id="138" w:name="_Toc408326901"/>
      <w:bookmarkStart w:id="139" w:name="_Toc408388602"/>
      <w:bookmarkStart w:id="140" w:name="_Toc408396471"/>
      <w:bookmarkStart w:id="141" w:name="_Toc408396928"/>
      <w:bookmarkStart w:id="142" w:name="_Toc408401052"/>
      <w:bookmarkStart w:id="143" w:name="_Toc408562310"/>
      <w:bookmarkStart w:id="144" w:name="_Toc408563145"/>
      <w:bookmarkStart w:id="145" w:name="_Toc408563684"/>
      <w:bookmarkStart w:id="146" w:name="_Toc408567139"/>
      <w:bookmarkStart w:id="147" w:name="_Toc408567837"/>
      <w:bookmarkStart w:id="148" w:name="_Toc408569413"/>
      <w:bookmarkStart w:id="149" w:name="_Toc409010847"/>
      <w:r>
        <w:lastRenderedPageBreak/>
        <w:t>Attachment A</w:t>
      </w:r>
      <w:r w:rsidR="005152FB">
        <w:t xml:space="preserve">: </w:t>
      </w:r>
      <w:r w:rsidR="00391500">
        <w:t>H</w:t>
      </w:r>
      <w:r w:rsidR="00391500" w:rsidRPr="00391500">
        <w:t>ow to make a submission</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B007986" w14:textId="77777777" w:rsidR="00E430FD" w:rsidRPr="00E430FD" w:rsidRDefault="00E430FD" w:rsidP="00E430FD">
      <w:pPr>
        <w:pStyle w:val="BodyText"/>
      </w:pPr>
      <w:r w:rsidRPr="00E430FD">
        <w:t>This Commission invites i</w:t>
      </w:r>
      <w:smartTag w:uri="urn:schemas-microsoft-com:office:smarttags" w:element="PersonName">
        <w:r w:rsidRPr="00E430FD">
          <w:t>nt</w:t>
        </w:r>
      </w:smartTag>
      <w:r w:rsidRPr="00E430FD">
        <w:t>erested people and organisations to make a written submission.</w:t>
      </w:r>
    </w:p>
    <w:p w14:paraId="5C4C39CE" w14:textId="77777777" w:rsidR="00E430FD" w:rsidRPr="00E430FD" w:rsidRDefault="00E430FD" w:rsidP="00E430FD">
      <w:pPr>
        <w:pStyle w:val="BodyText"/>
      </w:pPr>
      <w:r w:rsidRPr="00E430FD">
        <w:t>Each submission, except for any information supplied in confidence (see below), will be published on the Commission’s website shortly after receipt, and will remain there indefinitely as a public docume</w:t>
      </w:r>
      <w:smartTag w:uri="urn:schemas-microsoft-com:office:smarttags" w:element="PersonName">
        <w:r w:rsidRPr="00E430FD">
          <w:t>nt</w:t>
        </w:r>
      </w:smartTag>
      <w:r w:rsidRPr="00E430FD">
        <w:t>. The Commission reserves the right to not publish material on its website that is offensive, potentially defamatory, or clearly out of scope for the inquiry or study in question.</w:t>
      </w:r>
    </w:p>
    <w:p w14:paraId="73527C5C" w14:textId="77777777" w:rsidR="00E430FD" w:rsidRPr="00E430FD" w:rsidRDefault="00E430FD" w:rsidP="00E430FD">
      <w:pPr>
        <w:pStyle w:val="BodyText"/>
      </w:pPr>
      <w:r w:rsidRPr="00E430FD">
        <w:t>When providing a submission to the Commission, you may wish to remain anonymous or use a pseudonym. Please note that, if you choose to remain anonymous or use a pseudonym, the Commission may place less weight on your submission.</w:t>
      </w:r>
    </w:p>
    <w:p w14:paraId="7C42D3EE" w14:textId="77777777" w:rsidR="00E430FD" w:rsidRPr="00E430FD" w:rsidRDefault="00E430FD" w:rsidP="00E430FD">
      <w:pPr>
        <w:pStyle w:val="BodyText"/>
      </w:pPr>
      <w:r w:rsidRPr="00E430FD">
        <w:t>Copyright in submissions sent to the Commission resides with the author(s), not with the Commission. Submitters should ensure that they hold copyright in any submitted documents, or that the copyright holder has authorised the publication of any relevant documents on the Commission’s website.</w:t>
      </w:r>
    </w:p>
    <w:p w14:paraId="2AC951E4" w14:textId="77777777" w:rsidR="00E430FD" w:rsidRPr="00E430FD" w:rsidRDefault="00E430FD" w:rsidP="00E430FD">
      <w:pPr>
        <w:pStyle w:val="Heading4"/>
      </w:pPr>
      <w:r w:rsidRPr="00E430FD">
        <w:t>How to prepare a submission</w:t>
      </w:r>
    </w:p>
    <w:p w14:paraId="0857580C" w14:textId="77777777" w:rsidR="00E430FD" w:rsidRPr="00E430FD" w:rsidRDefault="00E430FD" w:rsidP="00E430FD">
      <w:pPr>
        <w:pStyle w:val="BodyText"/>
      </w:pPr>
      <w:r w:rsidRPr="00E430FD">
        <w:t>Submissions may range from a short letter outlining your views on a particular topic to a much more s</w:t>
      </w:r>
      <w:smartTag w:uri="urn:schemas-microsoft-com:office:smarttags" w:element="PersonName">
        <w:r w:rsidRPr="00E430FD">
          <w:t>ubs</w:t>
        </w:r>
      </w:smartTag>
      <w:r w:rsidRPr="00E430FD">
        <w:t>ta</w:t>
      </w:r>
      <w:smartTag w:uri="urn:schemas-microsoft-com:office:smarttags" w:element="PersonName">
        <w:r w:rsidRPr="00E430FD">
          <w:t>nt</w:t>
        </w:r>
      </w:smartTag>
      <w:r w:rsidRPr="00E430FD">
        <w:t>ial docume</w:t>
      </w:r>
      <w:smartTag w:uri="urn:schemas-microsoft-com:office:smarttags" w:element="PersonName">
        <w:r w:rsidRPr="00E430FD">
          <w:t>nt</w:t>
        </w:r>
      </w:smartTag>
      <w:r w:rsidRPr="00E430FD">
        <w:t xml:space="preserve"> covering a range of issues. Where possible, you should provide evidence, such as releva</w:t>
      </w:r>
      <w:smartTag w:uri="urn:schemas-microsoft-com:office:smarttags" w:element="PersonName">
        <w:r w:rsidRPr="00E430FD">
          <w:t>nt</w:t>
        </w:r>
      </w:smartTag>
      <w:r w:rsidRPr="00E430FD">
        <w:t xml:space="preserve"> data and docume</w:t>
      </w:r>
      <w:smartTag w:uri="urn:schemas-microsoft-com:office:smarttags" w:element="PersonName">
        <w:r w:rsidRPr="00E430FD">
          <w:t>nt</w:t>
        </w:r>
      </w:smartTag>
      <w:r w:rsidRPr="00E430FD">
        <w:t>ation, to support your views.</w:t>
      </w:r>
    </w:p>
    <w:p w14:paraId="19D96B06" w14:textId="77777777" w:rsidR="00E430FD" w:rsidRPr="00E430FD" w:rsidRDefault="00E430FD" w:rsidP="00E430FD">
      <w:pPr>
        <w:pStyle w:val="BodyText"/>
      </w:pPr>
      <w:r w:rsidRPr="00E430FD">
        <w:t>This is a public review and all submissions should be provided as public docume</w:t>
      </w:r>
      <w:smartTag w:uri="urn:schemas-microsoft-com:office:smarttags" w:element="PersonName">
        <w:r w:rsidRPr="00E430FD">
          <w:t>nt</w:t>
        </w:r>
      </w:smartTag>
      <w:r w:rsidRPr="00E430FD">
        <w:t>s that can be placed on the Commission’s website for others to read and comme</w:t>
      </w:r>
      <w:smartTag w:uri="urn:schemas-microsoft-com:office:smarttags" w:element="PersonName">
        <w:r w:rsidRPr="00E430FD">
          <w:t>nt</w:t>
        </w:r>
      </w:smartTag>
      <w:r w:rsidRPr="00E430FD">
        <w:t xml:space="preserve"> on. However, information which is of a confidential nature or which is submitted in confidence can be treated as such by the Commission, provided the cause for such treatment is shown. The Commission may also request a non-confidential summary of the confidential material it is given, or the reasons why a summary cannot be provided. You are encouraged to contact the Commission for further information and advice before submitting such material. Material supplied in confidence should be provided under separate cover and clearly marked 'IN CONFIDENCE'.</w:t>
      </w:r>
    </w:p>
    <w:p w14:paraId="1017C3D5" w14:textId="77777777" w:rsidR="00E430FD" w:rsidRPr="00E430FD" w:rsidRDefault="00E430FD" w:rsidP="00E430FD">
      <w:pPr>
        <w:pStyle w:val="Heading4"/>
        <w:keepNext w:val="0"/>
      </w:pPr>
      <w:r w:rsidRPr="00E430FD">
        <w:t>How to lodge a submission</w:t>
      </w:r>
    </w:p>
    <w:p w14:paraId="7AC06C69" w14:textId="0BFFD03F" w:rsidR="00E430FD" w:rsidRPr="00E430FD" w:rsidRDefault="00E430FD" w:rsidP="00E430FD">
      <w:pPr>
        <w:pStyle w:val="BodyText"/>
      </w:pPr>
      <w:r w:rsidRPr="00E430FD">
        <w:t xml:space="preserve">Each submission should be accompanied by a submission cover sheet. The submission cover sheet is available on the study web page. For submissions received from individuals, all </w:t>
      </w:r>
      <w:r w:rsidRPr="00E430FD">
        <w:rPr>
          <w:b/>
        </w:rPr>
        <w:t>personal</w:t>
      </w:r>
      <w:r w:rsidRPr="00E430FD">
        <w:t xml:space="preserve"> details (</w:t>
      </w:r>
      <w:proofErr w:type="spellStart"/>
      <w:r w:rsidRPr="00E430FD">
        <w:t>eg</w:t>
      </w:r>
      <w:proofErr w:type="spellEnd"/>
      <w:r w:rsidRPr="00E430FD">
        <w:t xml:space="preserve"> home and email address, signatures, phone, mobile and fax numbers) will be removed before they are published on the website for privacy reasons.</w:t>
      </w:r>
    </w:p>
    <w:p w14:paraId="5674301B" w14:textId="525B007E" w:rsidR="00E430FD" w:rsidRPr="00E430FD" w:rsidRDefault="00E430FD" w:rsidP="00E430FD">
      <w:pPr>
        <w:pStyle w:val="BodyText"/>
      </w:pPr>
      <w:r w:rsidRPr="00E430FD">
        <w:t>The Commission prefers to receive submissions as a Microsoft Word (.</w:t>
      </w:r>
      <w:proofErr w:type="spellStart"/>
      <w:r w:rsidRPr="00E430FD">
        <w:t>docx</w:t>
      </w:r>
      <w:proofErr w:type="spellEnd"/>
      <w:r w:rsidRPr="00E430FD">
        <w:t xml:space="preserve">) file. PDF files are acceptable if produced from a Word document or similar text based software. You </w:t>
      </w:r>
      <w:r w:rsidRPr="00E430FD">
        <w:lastRenderedPageBreak/>
        <w:t xml:space="preserve">may wish to research the </w:t>
      </w:r>
      <w:proofErr w:type="spellStart"/>
      <w:r w:rsidRPr="00E430FD">
        <w:t>Internet</w:t>
      </w:r>
      <w:proofErr w:type="spellEnd"/>
      <w:r w:rsidRPr="00E430FD">
        <w:t xml:space="preserve"> on how to make your documents more accessible or for the more technical, follow advice from </w:t>
      </w:r>
      <w:hyperlink r:id="rId39" w:history="1">
        <w:r w:rsidRPr="00E430FD">
          <w:t>Web Content Accessibility Guidelines (WCAG) 2.0</w:t>
        </w:r>
      </w:hyperlink>
      <w:r w:rsidRPr="00E430FD">
        <w:t xml:space="preserve"> &lt;</w:t>
      </w:r>
      <w:hyperlink r:id="rId40" w:history="1">
        <w:r w:rsidRPr="00E430FD">
          <w:t>http://www.w3.org/TR/WCAG20/</w:t>
        </w:r>
      </w:hyperlink>
      <w:r w:rsidRPr="00E430FD">
        <w:t>&gt;.</w:t>
      </w:r>
    </w:p>
    <w:p w14:paraId="42666250" w14:textId="3093B33B" w:rsidR="00E430FD" w:rsidRPr="00E430FD" w:rsidRDefault="00E430FD" w:rsidP="00E430FD">
      <w:pPr>
        <w:pStyle w:val="BodyText"/>
      </w:pPr>
      <w:r w:rsidRPr="00E430FD">
        <w:t>Do not send password protected files. Do not send us material for which you are not the copyright owner — such as newspaper articles — you should just reference or link to this material in your submission.</w:t>
      </w:r>
    </w:p>
    <w:p w14:paraId="6CD65D1E" w14:textId="77777777" w:rsidR="00E430FD" w:rsidRPr="00E430FD" w:rsidRDefault="00E430FD" w:rsidP="00E430FD">
      <w:pPr>
        <w:pStyle w:val="BodyText"/>
      </w:pPr>
      <w:r w:rsidRPr="00E430FD">
        <w:t>Track changes, editing marks, hidden text and i</w:t>
      </w:r>
      <w:smartTag w:uri="urn:schemas-microsoft-com:office:smarttags" w:element="PersonName">
        <w:r w:rsidRPr="00E430FD">
          <w:t>nt</w:t>
        </w:r>
      </w:smartTag>
      <w:r w:rsidRPr="00E430FD">
        <w:t>ernal links should be removed from submissions before sending to the Commission. To ensure hyperlinks work in your submission, the Commission recomme</w:t>
      </w:r>
      <w:smartTag w:uri="urn:schemas-microsoft-com:office:smarttags" w:element="PersonName">
        <w:r w:rsidRPr="00E430FD">
          <w:t>n</w:t>
        </w:r>
        <w:smartTag w:uri="urn:schemas-microsoft-com:office:smarttags" w:element="PersonName">
          <w:r w:rsidRPr="00E430FD">
            <w:t>ds</w:t>
          </w:r>
        </w:smartTag>
      </w:smartTag>
      <w:r w:rsidRPr="00E430FD">
        <w:t xml:space="preserve"> that you type the full web address (</w:t>
      </w:r>
      <w:proofErr w:type="spellStart"/>
      <w:r w:rsidRPr="00E430FD">
        <w:t>eg</w:t>
      </w:r>
      <w:proofErr w:type="spellEnd"/>
      <w:r w:rsidRPr="00E430FD">
        <w:t xml:space="preserve"> http://www.referred-website.com/folder/file-name.html).</w:t>
      </w:r>
    </w:p>
    <w:p w14:paraId="76BF41BB" w14:textId="4D2C1FF1" w:rsidR="00AA4178" w:rsidRPr="00AA4178" w:rsidRDefault="00AA4178" w:rsidP="00AA4178">
      <w:pPr>
        <w:pStyle w:val="BodyText"/>
      </w:pPr>
      <w:r w:rsidRPr="00AA4178">
        <w:t>Submissions sent by email must not exceed 20 megabytes in size as our email system cannot accept anything larger. If your submission is greater than 20</w:t>
      </w:r>
      <w:r>
        <w:t xml:space="preserve"> </w:t>
      </w:r>
      <w:proofErr w:type="spellStart"/>
      <w:r w:rsidRPr="00AA4178">
        <w:t>mb</w:t>
      </w:r>
      <w:proofErr w:type="spellEnd"/>
      <w:r w:rsidRPr="00AA4178">
        <w:t xml:space="preserve"> in size, please contact the Administrative Officer </w:t>
      </w:r>
      <w:r w:rsidR="00064F71">
        <w:t>(</w:t>
      </w:r>
      <w:r w:rsidR="00A16755">
        <w:t>Yvette </w:t>
      </w:r>
      <w:r w:rsidR="00064F71" w:rsidRPr="00064F71">
        <w:t>Goss</w:t>
      </w:r>
      <w:r w:rsidR="00064F71">
        <w:t>,</w:t>
      </w:r>
      <w:r w:rsidR="00A16755">
        <w:t> </w:t>
      </w:r>
      <w:proofErr w:type="spellStart"/>
      <w:r w:rsidR="00D35537">
        <w:t>Ph</w:t>
      </w:r>
      <w:proofErr w:type="spellEnd"/>
      <w:r w:rsidR="00D35537">
        <w:t>: 03 9653 </w:t>
      </w:r>
      <w:r w:rsidR="00064F71" w:rsidRPr="00064F71">
        <w:t>2253</w:t>
      </w:r>
      <w:r w:rsidR="00064F71">
        <w:t xml:space="preserve">) </w:t>
      </w:r>
      <w:r w:rsidRPr="00AA4178">
        <w:t>to organise another method of sending your submission to the Commission.</w:t>
      </w:r>
    </w:p>
    <w:p w14:paraId="22498A1D" w14:textId="77777777" w:rsidR="00391500" w:rsidRDefault="00AA4178" w:rsidP="00AA4178">
      <w:pPr>
        <w:pStyle w:val="BodyText"/>
      </w:pPr>
      <w:r>
        <w:t>Submissions can be accepted by email or post: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621"/>
      </w:tblGrid>
      <w:tr w:rsidR="00AA4178" w14:paraId="439F8973" w14:textId="77777777" w:rsidTr="00AA4178">
        <w:tc>
          <w:tcPr>
            <w:tcW w:w="1384" w:type="dxa"/>
          </w:tcPr>
          <w:p w14:paraId="7A4432A7" w14:textId="77777777" w:rsidR="00AA4178" w:rsidRDefault="00AA4178" w:rsidP="00AA4178">
            <w:pPr>
              <w:pStyle w:val="BodyText"/>
              <w:tabs>
                <w:tab w:val="left" w:pos="1701"/>
              </w:tabs>
              <w:spacing w:before="120"/>
            </w:pPr>
            <w:r>
              <w:t>Email*</w:t>
            </w:r>
          </w:p>
        </w:tc>
        <w:tc>
          <w:tcPr>
            <w:tcW w:w="7621" w:type="dxa"/>
          </w:tcPr>
          <w:p w14:paraId="255832BF" w14:textId="01E8A5BD" w:rsidR="00AA4178" w:rsidRDefault="001B7406" w:rsidP="001B7406">
            <w:pPr>
              <w:pStyle w:val="BodyText"/>
              <w:tabs>
                <w:tab w:val="left" w:pos="1701"/>
              </w:tabs>
              <w:spacing w:before="120"/>
            </w:pPr>
            <w:r w:rsidRPr="001F1687">
              <w:t>mutual.recognition@pc.gov.au</w:t>
            </w:r>
          </w:p>
        </w:tc>
      </w:tr>
      <w:tr w:rsidR="00AA4178" w14:paraId="3212F5FC" w14:textId="77777777" w:rsidTr="00AA4178">
        <w:tc>
          <w:tcPr>
            <w:tcW w:w="1384" w:type="dxa"/>
          </w:tcPr>
          <w:p w14:paraId="5A68E63B" w14:textId="77777777" w:rsidR="00AA4178" w:rsidRDefault="00AA4178" w:rsidP="00AA4178">
            <w:pPr>
              <w:pStyle w:val="BodyText"/>
              <w:tabs>
                <w:tab w:val="left" w:pos="1701"/>
              </w:tabs>
              <w:spacing w:before="120"/>
            </w:pPr>
            <w:r>
              <w:t>Post</w:t>
            </w:r>
          </w:p>
        </w:tc>
        <w:tc>
          <w:tcPr>
            <w:tcW w:w="7621" w:type="dxa"/>
          </w:tcPr>
          <w:p w14:paraId="05553D07" w14:textId="2945C679" w:rsidR="00AA4178" w:rsidRDefault="00AC6686" w:rsidP="00AC6686">
            <w:pPr>
              <w:pStyle w:val="BodyText"/>
              <w:tabs>
                <w:tab w:val="left" w:pos="1701"/>
              </w:tabs>
              <w:spacing w:before="120"/>
              <w:jc w:val="left"/>
            </w:pPr>
            <w:r>
              <w:t>Mutual Recognition Schemes Study</w:t>
            </w:r>
            <w:r>
              <w:br/>
              <w:t>Productivity Commission</w:t>
            </w:r>
            <w:r>
              <w:br/>
              <w:t>Locked Bag 2, Collins Street East</w:t>
            </w:r>
            <w:r>
              <w:br/>
              <w:t>Melbourne VIC 8003</w:t>
            </w:r>
          </w:p>
        </w:tc>
      </w:tr>
    </w:tbl>
    <w:p w14:paraId="1C73801E" w14:textId="77777777" w:rsidR="00391500" w:rsidRDefault="00391500" w:rsidP="00391500">
      <w:pPr>
        <w:pStyle w:val="BodyText"/>
      </w:pPr>
      <w:r>
        <w:t>*</w:t>
      </w:r>
      <w:r w:rsidRPr="007354B8">
        <w:t xml:space="preserve"> </w:t>
      </w:r>
      <w:r>
        <w:t>If you do not receive notification of receipt of an email message you have se</w:t>
      </w:r>
      <w:smartTag w:uri="urn:schemas-microsoft-com:office:smarttags" w:element="PersonName">
        <w:r>
          <w:t>nt</w:t>
        </w:r>
      </w:smartTag>
      <w:r>
        <w:t xml:space="preserve"> to the Commission within two working days of sending, please co</w:t>
      </w:r>
      <w:smartTag w:uri="urn:schemas-microsoft-com:office:smarttags" w:element="PersonName">
        <w:r>
          <w:t>nt</w:t>
        </w:r>
      </w:smartTag>
      <w:r>
        <w:t>act the Administrative Officer.</w:t>
      </w:r>
    </w:p>
    <w:p w14:paraId="1606C1E3" w14:textId="77777777" w:rsidR="00391500" w:rsidRPr="00391500" w:rsidRDefault="00391500" w:rsidP="00391500">
      <w:pPr>
        <w:pStyle w:val="Heading4"/>
      </w:pPr>
      <w:r w:rsidRPr="00391500">
        <w:t>Due date for submissions</w:t>
      </w:r>
    </w:p>
    <w:p w14:paraId="1C48E3C7" w14:textId="596A4B6B" w:rsidR="00391500" w:rsidRDefault="00391500" w:rsidP="00391500">
      <w:pPr>
        <w:pStyle w:val="BodyText"/>
      </w:pPr>
      <w:r>
        <w:t xml:space="preserve">Please send submissions to the Commission by </w:t>
      </w:r>
      <w:r w:rsidR="00637D9D">
        <w:rPr>
          <w:b/>
        </w:rPr>
        <w:t>27</w:t>
      </w:r>
      <w:r w:rsidR="00AC10D4">
        <w:rPr>
          <w:b/>
        </w:rPr>
        <w:t> </w:t>
      </w:r>
      <w:r w:rsidR="00637D9D">
        <w:rPr>
          <w:b/>
        </w:rPr>
        <w:t>February 2015</w:t>
      </w:r>
      <w:r w:rsidR="00850A18" w:rsidRPr="00850A18">
        <w:t>.</w:t>
      </w:r>
    </w:p>
    <w:sectPr w:rsidR="00391500" w:rsidSect="008E7834">
      <w:headerReference w:type="even" r:id="rId41"/>
      <w:headerReference w:type="default" r:id="rId42"/>
      <w:footerReference w:type="even" r:id="rId43"/>
      <w:footerReference w:type="default" r:id="rId44"/>
      <w:headerReference w:type="first" r:id="rId45"/>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04984" w14:textId="77777777" w:rsidR="00323463" w:rsidRDefault="00323463">
      <w:r>
        <w:separator/>
      </w:r>
    </w:p>
  </w:endnote>
  <w:endnote w:type="continuationSeparator" w:id="0">
    <w:p w14:paraId="26C318C2" w14:textId="77777777" w:rsidR="00323463" w:rsidRDefault="00323463">
      <w:r>
        <w:continuationSeparator/>
      </w:r>
    </w:p>
  </w:endnote>
  <w:endnote w:type="continuationNotice" w:id="1">
    <w:p w14:paraId="0DCF3C50" w14:textId="77777777" w:rsidR="00323463" w:rsidRDefault="00323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5BAAF" w14:textId="77777777" w:rsidR="00B12239" w:rsidRDefault="00B1223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23463" w14:paraId="187E5FA9" w14:textId="77777777" w:rsidTr="005F48ED">
      <w:trPr>
        <w:trHeight w:hRule="exact" w:val="567"/>
      </w:trPr>
      <w:tc>
        <w:tcPr>
          <w:tcW w:w="510" w:type="dxa"/>
        </w:tcPr>
        <w:p w14:paraId="7071DCA8" w14:textId="77777777" w:rsidR="00323463" w:rsidRDefault="00323463">
          <w:pPr>
            <w:pStyle w:val="Footer"/>
            <w:ind w:right="360" w:firstLine="360"/>
          </w:pPr>
        </w:p>
      </w:tc>
      <w:tc>
        <w:tcPr>
          <w:tcW w:w="7767" w:type="dxa"/>
        </w:tcPr>
        <w:p w14:paraId="5B2B1E41" w14:textId="77777777" w:rsidR="00323463" w:rsidRPr="00BA5B14" w:rsidRDefault="00323463"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Issues Paper</w:t>
          </w:r>
          <w:r w:rsidRPr="00BA5B14">
            <w:rPr>
              <w:rFonts w:cs="Arial"/>
            </w:rPr>
            <w:fldChar w:fldCharType="end"/>
          </w:r>
        </w:p>
      </w:tc>
      <w:tc>
        <w:tcPr>
          <w:tcW w:w="510" w:type="dxa"/>
        </w:tcPr>
        <w:p w14:paraId="20347BCE" w14:textId="77777777" w:rsidR="00323463" w:rsidRPr="00A24443" w:rsidRDefault="00323463">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2046F">
            <w:rPr>
              <w:rStyle w:val="PageNumber"/>
              <w:caps w:val="0"/>
              <w:noProof/>
            </w:rPr>
            <w:t>29</w:t>
          </w:r>
          <w:r w:rsidRPr="00A24443">
            <w:rPr>
              <w:rStyle w:val="PageNumber"/>
              <w:caps w:val="0"/>
            </w:rPr>
            <w:fldChar w:fldCharType="end"/>
          </w:r>
        </w:p>
      </w:tc>
    </w:tr>
  </w:tbl>
  <w:p w14:paraId="4328975C" w14:textId="77777777" w:rsidR="00323463" w:rsidRDefault="00323463">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3C7F2" w14:textId="77777777" w:rsidR="00323463" w:rsidRDefault="00323463">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51C62" w14:textId="77777777" w:rsidR="00B12239" w:rsidRDefault="00B1223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23463" w14:paraId="36CC5D3A" w14:textId="77777777" w:rsidTr="003C650D">
      <w:trPr>
        <w:trHeight w:hRule="exact" w:val="567"/>
      </w:trPr>
      <w:tc>
        <w:tcPr>
          <w:tcW w:w="510" w:type="dxa"/>
        </w:tcPr>
        <w:p w14:paraId="77C4B8DA" w14:textId="77777777" w:rsidR="00323463" w:rsidRPr="00A24443" w:rsidRDefault="00323463" w:rsidP="003C650D">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2046F">
            <w:rPr>
              <w:rStyle w:val="PageNumber"/>
              <w:caps w:val="0"/>
              <w:noProof/>
            </w:rPr>
            <w:t>iv</w:t>
          </w:r>
          <w:r w:rsidRPr="00A24443">
            <w:rPr>
              <w:rStyle w:val="PageNumber"/>
              <w:caps w:val="0"/>
            </w:rPr>
            <w:fldChar w:fldCharType="end"/>
          </w:r>
        </w:p>
      </w:tc>
      <w:tc>
        <w:tcPr>
          <w:tcW w:w="7767" w:type="dxa"/>
        </w:tcPr>
        <w:p w14:paraId="50F48545" w14:textId="7A50F98B" w:rsidR="00323463" w:rsidRPr="0013739A" w:rsidRDefault="00323463" w:rsidP="00E833B7">
          <w:pPr>
            <w:pStyle w:val="Footer"/>
            <w:rPr>
              <w:rFonts w:cs="Arial"/>
            </w:rPr>
          </w:pPr>
          <w:r>
            <w:rPr>
              <w:rFonts w:cs="Arial"/>
            </w:rPr>
            <w:t>Mutual recognition schemes</w:t>
          </w:r>
        </w:p>
      </w:tc>
      <w:tc>
        <w:tcPr>
          <w:tcW w:w="510" w:type="dxa"/>
        </w:tcPr>
        <w:p w14:paraId="4FA98E7E" w14:textId="77777777" w:rsidR="00323463" w:rsidRDefault="00323463" w:rsidP="003C650D">
          <w:pPr>
            <w:pStyle w:val="Footer"/>
          </w:pPr>
        </w:p>
      </w:tc>
    </w:tr>
  </w:tbl>
  <w:p w14:paraId="592151A9" w14:textId="77777777" w:rsidR="00323463" w:rsidRDefault="00323463" w:rsidP="009F6FCD">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23463" w14:paraId="7E7E5268" w14:textId="77777777" w:rsidTr="005F48ED">
      <w:trPr>
        <w:trHeight w:hRule="exact" w:val="567"/>
      </w:trPr>
      <w:tc>
        <w:tcPr>
          <w:tcW w:w="510" w:type="dxa"/>
        </w:tcPr>
        <w:p w14:paraId="27890B19" w14:textId="77777777" w:rsidR="00323463" w:rsidRDefault="00323463">
          <w:pPr>
            <w:pStyle w:val="Footer"/>
            <w:ind w:right="360" w:firstLine="360"/>
          </w:pPr>
        </w:p>
      </w:tc>
      <w:tc>
        <w:tcPr>
          <w:tcW w:w="7767" w:type="dxa"/>
        </w:tcPr>
        <w:p w14:paraId="4F7B8124" w14:textId="77777777" w:rsidR="00323463" w:rsidRPr="00BA5B14" w:rsidRDefault="00323463"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Issues Paper</w:t>
          </w:r>
          <w:r w:rsidRPr="00BA5B14">
            <w:rPr>
              <w:rFonts w:cs="Arial"/>
            </w:rPr>
            <w:fldChar w:fldCharType="end"/>
          </w:r>
        </w:p>
      </w:tc>
      <w:tc>
        <w:tcPr>
          <w:tcW w:w="510" w:type="dxa"/>
        </w:tcPr>
        <w:p w14:paraId="501631B8" w14:textId="77777777" w:rsidR="00323463" w:rsidRPr="00A24443" w:rsidRDefault="00323463">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2046F">
            <w:rPr>
              <w:rStyle w:val="PageNumber"/>
              <w:caps w:val="0"/>
              <w:noProof/>
            </w:rPr>
            <w:t>iii</w:t>
          </w:r>
          <w:r w:rsidRPr="00A24443">
            <w:rPr>
              <w:rStyle w:val="PageNumber"/>
              <w:caps w:val="0"/>
            </w:rPr>
            <w:fldChar w:fldCharType="end"/>
          </w:r>
        </w:p>
      </w:tc>
    </w:tr>
  </w:tbl>
  <w:p w14:paraId="4F2C5591" w14:textId="77777777" w:rsidR="00323463" w:rsidRDefault="00323463">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23463" w14:paraId="401A795D" w14:textId="77777777" w:rsidTr="005F48ED">
      <w:trPr>
        <w:trHeight w:hRule="exact" w:val="567"/>
      </w:trPr>
      <w:tc>
        <w:tcPr>
          <w:tcW w:w="510" w:type="dxa"/>
        </w:tcPr>
        <w:p w14:paraId="3098ECCB" w14:textId="77777777" w:rsidR="00323463" w:rsidRPr="00A24443" w:rsidRDefault="00323463"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2046F">
            <w:rPr>
              <w:rStyle w:val="PageNumber"/>
              <w:caps w:val="0"/>
              <w:noProof/>
            </w:rPr>
            <w:t>28</w:t>
          </w:r>
          <w:r w:rsidRPr="00A24443">
            <w:rPr>
              <w:rStyle w:val="PageNumber"/>
              <w:caps w:val="0"/>
            </w:rPr>
            <w:fldChar w:fldCharType="end"/>
          </w:r>
        </w:p>
      </w:tc>
      <w:tc>
        <w:tcPr>
          <w:tcW w:w="7767" w:type="dxa"/>
        </w:tcPr>
        <w:p w14:paraId="75C0FF09" w14:textId="15F5D6E5" w:rsidR="00323463" w:rsidRPr="0013739A" w:rsidRDefault="00323463" w:rsidP="0013739A">
          <w:pPr>
            <w:pStyle w:val="Footer"/>
            <w:rPr>
              <w:rFonts w:cs="Arial"/>
            </w:rPr>
          </w:pPr>
          <w:r>
            <w:rPr>
              <w:rFonts w:cs="Arial"/>
            </w:rPr>
            <w:t>mutual recognition schemes</w:t>
          </w:r>
        </w:p>
      </w:tc>
      <w:tc>
        <w:tcPr>
          <w:tcW w:w="510" w:type="dxa"/>
        </w:tcPr>
        <w:p w14:paraId="0804ED91" w14:textId="77777777" w:rsidR="00323463" w:rsidRDefault="00323463" w:rsidP="0019293B">
          <w:pPr>
            <w:pStyle w:val="Footer"/>
          </w:pPr>
        </w:p>
      </w:tc>
    </w:tr>
  </w:tbl>
  <w:p w14:paraId="52AECCA3" w14:textId="77777777" w:rsidR="00323463" w:rsidRDefault="00323463" w:rsidP="0019293B">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23463" w14:paraId="5092CEA2" w14:textId="77777777" w:rsidTr="005F48ED">
      <w:trPr>
        <w:trHeight w:hRule="exact" w:val="567"/>
      </w:trPr>
      <w:tc>
        <w:tcPr>
          <w:tcW w:w="510" w:type="dxa"/>
        </w:tcPr>
        <w:p w14:paraId="2A93B20E" w14:textId="77777777" w:rsidR="00323463" w:rsidRDefault="00323463">
          <w:pPr>
            <w:pStyle w:val="Footer"/>
            <w:ind w:right="360" w:firstLine="360"/>
          </w:pPr>
        </w:p>
      </w:tc>
      <w:tc>
        <w:tcPr>
          <w:tcW w:w="7767" w:type="dxa"/>
        </w:tcPr>
        <w:p w14:paraId="7F228AA4" w14:textId="77777777" w:rsidR="00323463" w:rsidRPr="00BA5B14" w:rsidRDefault="00323463"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Issues Paper</w:t>
          </w:r>
          <w:r w:rsidRPr="00BA5B14">
            <w:rPr>
              <w:rFonts w:cs="Arial"/>
            </w:rPr>
            <w:fldChar w:fldCharType="end"/>
          </w:r>
        </w:p>
      </w:tc>
      <w:tc>
        <w:tcPr>
          <w:tcW w:w="510" w:type="dxa"/>
        </w:tcPr>
        <w:p w14:paraId="6B2DA153" w14:textId="77777777" w:rsidR="00323463" w:rsidRPr="00A24443" w:rsidRDefault="00323463">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2046F">
            <w:rPr>
              <w:rStyle w:val="PageNumber"/>
              <w:caps w:val="0"/>
              <w:noProof/>
            </w:rPr>
            <w:t>v</w:t>
          </w:r>
          <w:r w:rsidRPr="00A24443">
            <w:rPr>
              <w:rStyle w:val="PageNumber"/>
              <w:caps w:val="0"/>
            </w:rPr>
            <w:fldChar w:fldCharType="end"/>
          </w:r>
        </w:p>
      </w:tc>
    </w:tr>
  </w:tbl>
  <w:p w14:paraId="2B0E02D5" w14:textId="77777777" w:rsidR="00323463" w:rsidRDefault="00323463">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23463" w14:paraId="0ECD129F" w14:textId="77777777" w:rsidTr="005F48ED">
      <w:trPr>
        <w:trHeight w:hRule="exact" w:val="567"/>
      </w:trPr>
      <w:tc>
        <w:tcPr>
          <w:tcW w:w="510" w:type="dxa"/>
        </w:tcPr>
        <w:p w14:paraId="55DA1B96" w14:textId="77777777" w:rsidR="00323463" w:rsidRDefault="00323463">
          <w:pPr>
            <w:pStyle w:val="Footer"/>
            <w:ind w:right="360" w:firstLine="360"/>
          </w:pPr>
        </w:p>
      </w:tc>
      <w:tc>
        <w:tcPr>
          <w:tcW w:w="7767" w:type="dxa"/>
        </w:tcPr>
        <w:p w14:paraId="2B611CD0" w14:textId="77777777" w:rsidR="00323463" w:rsidRPr="00BA5B14" w:rsidRDefault="00323463"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Issues Paper</w:t>
          </w:r>
          <w:r w:rsidRPr="00BA5B14">
            <w:rPr>
              <w:rFonts w:cs="Arial"/>
            </w:rPr>
            <w:fldChar w:fldCharType="end"/>
          </w:r>
        </w:p>
      </w:tc>
      <w:tc>
        <w:tcPr>
          <w:tcW w:w="510" w:type="dxa"/>
        </w:tcPr>
        <w:p w14:paraId="479B30CD" w14:textId="77777777" w:rsidR="00323463" w:rsidRDefault="00323463">
          <w:pPr>
            <w:pStyle w:val="Footer"/>
            <w:jc w:val="right"/>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2046F">
            <w:rPr>
              <w:rStyle w:val="PageNumber"/>
              <w:caps w:val="0"/>
              <w:noProof/>
            </w:rPr>
            <w:t>27</w:t>
          </w:r>
          <w:r w:rsidRPr="00A24443">
            <w:rPr>
              <w:rStyle w:val="PageNumber"/>
              <w:caps w:val="0"/>
            </w:rPr>
            <w:fldChar w:fldCharType="end"/>
          </w:r>
        </w:p>
        <w:p w14:paraId="27AC0F20" w14:textId="77777777" w:rsidR="00323463" w:rsidRPr="00A24443" w:rsidRDefault="00323463">
          <w:pPr>
            <w:pStyle w:val="Footer"/>
            <w:jc w:val="right"/>
            <w:rPr>
              <w:caps w:val="0"/>
            </w:rPr>
          </w:pPr>
        </w:p>
      </w:tc>
    </w:tr>
  </w:tbl>
  <w:p w14:paraId="6C5028FD" w14:textId="77777777" w:rsidR="00323463" w:rsidRDefault="00323463">
    <w:pPr>
      <w:pStyle w:val="FooterEn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23463" w14:paraId="4D463687" w14:textId="77777777" w:rsidTr="005F48ED">
      <w:trPr>
        <w:trHeight w:hRule="exact" w:val="567"/>
      </w:trPr>
      <w:tc>
        <w:tcPr>
          <w:tcW w:w="510" w:type="dxa"/>
        </w:tcPr>
        <w:p w14:paraId="543816C1" w14:textId="77777777" w:rsidR="00323463" w:rsidRPr="00A24443" w:rsidRDefault="00323463"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2046F">
            <w:rPr>
              <w:rStyle w:val="PageNumber"/>
              <w:caps w:val="0"/>
              <w:noProof/>
            </w:rPr>
            <w:t>30</w:t>
          </w:r>
          <w:r w:rsidRPr="00A24443">
            <w:rPr>
              <w:rStyle w:val="PageNumber"/>
              <w:caps w:val="0"/>
            </w:rPr>
            <w:fldChar w:fldCharType="end"/>
          </w:r>
        </w:p>
      </w:tc>
      <w:tc>
        <w:tcPr>
          <w:tcW w:w="7767" w:type="dxa"/>
        </w:tcPr>
        <w:p w14:paraId="06CDBDBD" w14:textId="2460F5E1" w:rsidR="00323463" w:rsidRPr="0013739A" w:rsidRDefault="00323463" w:rsidP="0013739A">
          <w:pPr>
            <w:pStyle w:val="Footer"/>
            <w:rPr>
              <w:rFonts w:cs="Arial"/>
            </w:rPr>
          </w:pPr>
          <w:r>
            <w:rPr>
              <w:rFonts w:cs="Arial"/>
            </w:rPr>
            <w:t>mutual recognition schemes</w:t>
          </w:r>
        </w:p>
      </w:tc>
      <w:tc>
        <w:tcPr>
          <w:tcW w:w="510" w:type="dxa"/>
        </w:tcPr>
        <w:p w14:paraId="1DF4A40D" w14:textId="77777777" w:rsidR="00323463" w:rsidRDefault="00323463" w:rsidP="0019293B">
          <w:pPr>
            <w:pStyle w:val="Footer"/>
          </w:pPr>
        </w:p>
      </w:tc>
    </w:tr>
  </w:tbl>
  <w:p w14:paraId="19A6AE8A" w14:textId="77777777" w:rsidR="00323463" w:rsidRDefault="00323463" w:rsidP="0019293B">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36B0E" w14:textId="77777777" w:rsidR="00323463" w:rsidRDefault="00323463">
      <w:r>
        <w:separator/>
      </w:r>
    </w:p>
  </w:footnote>
  <w:footnote w:type="continuationSeparator" w:id="0">
    <w:p w14:paraId="4458F603" w14:textId="77777777" w:rsidR="00323463" w:rsidRDefault="00323463">
      <w:r>
        <w:continuationSeparator/>
      </w:r>
    </w:p>
  </w:footnote>
  <w:footnote w:type="continuationNotice" w:id="1">
    <w:p w14:paraId="48658DE9" w14:textId="77777777" w:rsidR="00323463" w:rsidRDefault="00323463"/>
  </w:footnote>
  <w:footnote w:id="2">
    <w:p w14:paraId="68AA6EB6" w14:textId="77777777" w:rsidR="00323463" w:rsidRDefault="00323463" w:rsidP="00791B1F">
      <w:pPr>
        <w:pStyle w:val="FootnoteText"/>
      </w:pPr>
      <w:r w:rsidRPr="003E6C5D">
        <w:rPr>
          <w:rStyle w:val="FootnoteReference"/>
        </w:rPr>
        <w:footnoteRef/>
      </w:r>
      <w:r>
        <w:t xml:space="preserve"> </w:t>
      </w:r>
      <w:r>
        <w:tab/>
        <w:t xml:space="preserve">The CJRF is an </w:t>
      </w:r>
      <w:proofErr w:type="spellStart"/>
      <w:r>
        <w:t>interjurisdictional</w:t>
      </w:r>
      <w:proofErr w:type="spellEnd"/>
      <w:r>
        <w:t xml:space="preserve"> </w:t>
      </w:r>
      <w:r w:rsidRPr="00317EA7">
        <w:t xml:space="preserve">committee of officials </w:t>
      </w:r>
      <w:r>
        <w:t>that oversees the MRA and TTMRA.</w:t>
      </w:r>
    </w:p>
  </w:footnote>
  <w:footnote w:id="3">
    <w:p w14:paraId="56773A00" w14:textId="77777777" w:rsidR="00323463" w:rsidRDefault="00323463">
      <w:pPr>
        <w:pStyle w:val="FootnoteText"/>
      </w:pPr>
      <w:r w:rsidRPr="003E6C5D">
        <w:rPr>
          <w:rStyle w:val="FootnoteReference"/>
        </w:rPr>
        <w:footnoteRef/>
      </w:r>
      <w:r>
        <w:t xml:space="preserve"> </w:t>
      </w:r>
      <w:r>
        <w:tab/>
        <w:t xml:space="preserve">Australia and New Zealand are participants in the </w:t>
      </w:r>
      <w:r w:rsidRPr="00085924">
        <w:t>World Forum for Harmoni</w:t>
      </w:r>
      <w:r>
        <w:t>s</w:t>
      </w:r>
      <w:r w:rsidRPr="00085924">
        <w:t>ation of Vehicle Regulations</w:t>
      </w:r>
      <w:r>
        <w:t xml:space="preserve">, which is overseen by the </w:t>
      </w:r>
      <w:r w:rsidRPr="00986DE2">
        <w:t>United Nations Economic Commission for Europe</w:t>
      </w:r>
      <w:r>
        <w:t>.</w:t>
      </w:r>
    </w:p>
  </w:footnote>
  <w:footnote w:id="4">
    <w:p w14:paraId="350814C7" w14:textId="6A0CB756" w:rsidR="00323463" w:rsidRDefault="00323463">
      <w:pPr>
        <w:pStyle w:val="FootnoteText"/>
      </w:pPr>
      <w:r w:rsidRPr="003E6C5D">
        <w:rPr>
          <w:rStyle w:val="FootnoteReference"/>
        </w:rPr>
        <w:footnoteRef/>
      </w:r>
      <w:r>
        <w:t xml:space="preserve"> </w:t>
      </w:r>
      <w:r>
        <w:tab/>
      </w:r>
      <w:r w:rsidRPr="00475BAB">
        <w:t xml:space="preserve">The following professions are nationally regulated by a corresponding national board: Aboriginal and Torres Strait Islander health practitioners, Chinese medicine practitioners, chiropractors, dental practitioners, medical practitioners, medical radiation practitioners, nurses and midwives, occupational therapists, optometrists, osteopaths, pharmacists, physiotherapists, podiatrists, </w:t>
      </w:r>
      <w:r>
        <w:t xml:space="preserve">and </w:t>
      </w:r>
      <w:r w:rsidRPr="00475BAB">
        <w:t>psychologists.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89719" w14:textId="07D94084" w:rsidR="00323463" w:rsidRDefault="0032346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323463" w14:paraId="5D6435FA" w14:textId="77777777">
      <w:tc>
        <w:tcPr>
          <w:tcW w:w="2155" w:type="dxa"/>
          <w:tcBorders>
            <w:top w:val="single" w:sz="24" w:space="0" w:color="auto"/>
          </w:tcBorders>
        </w:tcPr>
        <w:p w14:paraId="3E89ED22" w14:textId="4A497C18" w:rsidR="00323463" w:rsidRDefault="00323463" w:rsidP="0019293B">
          <w:pPr>
            <w:pStyle w:val="HeaderEven"/>
          </w:pPr>
        </w:p>
      </w:tc>
      <w:tc>
        <w:tcPr>
          <w:tcW w:w="6634" w:type="dxa"/>
          <w:tcBorders>
            <w:top w:val="single" w:sz="6" w:space="0" w:color="auto"/>
          </w:tcBorders>
        </w:tcPr>
        <w:p w14:paraId="4C5B15E8" w14:textId="6D0EF0F9" w:rsidR="00323463" w:rsidRDefault="00323463" w:rsidP="000D1D0C">
          <w:pPr>
            <w:pStyle w:val="HeaderEven"/>
            <w:jc w:val="right"/>
          </w:pPr>
        </w:p>
      </w:tc>
    </w:tr>
  </w:tbl>
  <w:p w14:paraId="6877A9B6" w14:textId="77777777" w:rsidR="00323463" w:rsidRDefault="00323463" w:rsidP="0019293B">
    <w:pPr>
      <w:pStyle w:val="HeaderEnd"/>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23463" w14:paraId="36DB461E" w14:textId="77777777">
      <w:tc>
        <w:tcPr>
          <w:tcW w:w="6634" w:type="dxa"/>
          <w:tcBorders>
            <w:top w:val="single" w:sz="6" w:space="0" w:color="auto"/>
          </w:tcBorders>
        </w:tcPr>
        <w:p w14:paraId="62A17677" w14:textId="002A7DF6" w:rsidR="00323463" w:rsidRDefault="00323463" w:rsidP="00E669E2">
          <w:pPr>
            <w:pStyle w:val="HeaderOdd"/>
          </w:pPr>
        </w:p>
      </w:tc>
      <w:tc>
        <w:tcPr>
          <w:tcW w:w="2155" w:type="dxa"/>
          <w:tcBorders>
            <w:top w:val="single" w:sz="24" w:space="0" w:color="auto"/>
          </w:tcBorders>
        </w:tcPr>
        <w:p w14:paraId="674AACFD" w14:textId="77777777" w:rsidR="00323463" w:rsidRDefault="00323463" w:rsidP="00E669E2">
          <w:pPr>
            <w:pStyle w:val="HeaderOdd"/>
          </w:pPr>
        </w:p>
      </w:tc>
    </w:tr>
  </w:tbl>
  <w:p w14:paraId="151DCF6F" w14:textId="77777777" w:rsidR="00323463" w:rsidRDefault="00323463" w:rsidP="00E669E2">
    <w:pPr>
      <w:pStyle w:val="HeaderEnd"/>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7835E" w14:textId="738B83BA" w:rsidR="00323463" w:rsidRDefault="0032346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323463" w14:paraId="6633065C" w14:textId="77777777">
      <w:tc>
        <w:tcPr>
          <w:tcW w:w="2155" w:type="dxa"/>
          <w:tcBorders>
            <w:top w:val="single" w:sz="24" w:space="0" w:color="auto"/>
          </w:tcBorders>
        </w:tcPr>
        <w:p w14:paraId="18203E30" w14:textId="1C1F2F08" w:rsidR="00323463" w:rsidRDefault="00323463" w:rsidP="0019293B">
          <w:pPr>
            <w:pStyle w:val="HeaderEven"/>
          </w:pPr>
        </w:p>
      </w:tc>
      <w:tc>
        <w:tcPr>
          <w:tcW w:w="6634" w:type="dxa"/>
          <w:tcBorders>
            <w:top w:val="single" w:sz="6" w:space="0" w:color="auto"/>
          </w:tcBorders>
        </w:tcPr>
        <w:p w14:paraId="27FE69F1" w14:textId="77777777" w:rsidR="00323463" w:rsidRDefault="00323463" w:rsidP="0019293B">
          <w:pPr>
            <w:pStyle w:val="HeaderEven"/>
          </w:pPr>
        </w:p>
      </w:tc>
    </w:tr>
  </w:tbl>
  <w:p w14:paraId="4E87E005" w14:textId="77777777" w:rsidR="00323463" w:rsidRDefault="00323463" w:rsidP="0019293B">
    <w:pPr>
      <w:pStyle w:val="HeaderEnd"/>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23463" w14:paraId="0E0DD718" w14:textId="77777777">
      <w:tc>
        <w:tcPr>
          <w:tcW w:w="6634" w:type="dxa"/>
          <w:tcBorders>
            <w:top w:val="single" w:sz="6" w:space="0" w:color="auto"/>
          </w:tcBorders>
        </w:tcPr>
        <w:p w14:paraId="1022CDF1" w14:textId="735BF93B" w:rsidR="00323463" w:rsidRDefault="00323463" w:rsidP="00E669E2">
          <w:pPr>
            <w:pStyle w:val="HeaderOdd"/>
          </w:pPr>
        </w:p>
      </w:tc>
      <w:tc>
        <w:tcPr>
          <w:tcW w:w="2155" w:type="dxa"/>
          <w:tcBorders>
            <w:top w:val="single" w:sz="24" w:space="0" w:color="auto"/>
          </w:tcBorders>
        </w:tcPr>
        <w:p w14:paraId="224361DB" w14:textId="77777777" w:rsidR="00323463" w:rsidRDefault="00323463" w:rsidP="00E669E2">
          <w:pPr>
            <w:pStyle w:val="HeaderOdd"/>
          </w:pPr>
        </w:p>
      </w:tc>
    </w:tr>
  </w:tbl>
  <w:p w14:paraId="4401609A" w14:textId="77777777" w:rsidR="00323463" w:rsidRDefault="00323463" w:rsidP="00E669E2">
    <w:pPr>
      <w:pStyle w:val="HeaderEnd"/>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DD45F" w14:textId="792F06A7" w:rsidR="00323463" w:rsidRDefault="003234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23463" w14:paraId="635DF992" w14:textId="77777777">
      <w:tc>
        <w:tcPr>
          <w:tcW w:w="6634" w:type="dxa"/>
          <w:tcBorders>
            <w:top w:val="single" w:sz="6" w:space="0" w:color="auto"/>
          </w:tcBorders>
        </w:tcPr>
        <w:p w14:paraId="6A81D63E" w14:textId="348CAA92" w:rsidR="00323463" w:rsidRDefault="00323463" w:rsidP="00E669E2">
          <w:pPr>
            <w:pStyle w:val="HeaderOdd"/>
          </w:pPr>
        </w:p>
      </w:tc>
      <w:tc>
        <w:tcPr>
          <w:tcW w:w="2155" w:type="dxa"/>
          <w:tcBorders>
            <w:top w:val="single" w:sz="24" w:space="0" w:color="auto"/>
          </w:tcBorders>
        </w:tcPr>
        <w:p w14:paraId="1204F5FF" w14:textId="77777777" w:rsidR="00323463" w:rsidRDefault="00323463" w:rsidP="00E669E2">
          <w:pPr>
            <w:pStyle w:val="HeaderOdd"/>
          </w:pPr>
        </w:p>
      </w:tc>
    </w:tr>
  </w:tbl>
  <w:p w14:paraId="273C5040" w14:textId="77777777" w:rsidR="00323463" w:rsidRDefault="00323463"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35966" w14:textId="266B9253" w:rsidR="00323463" w:rsidRDefault="0032346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323463" w14:paraId="0103B3C7" w14:textId="77777777" w:rsidTr="003C650D">
      <w:tc>
        <w:tcPr>
          <w:tcW w:w="2155" w:type="dxa"/>
          <w:tcBorders>
            <w:top w:val="single" w:sz="24" w:space="0" w:color="auto"/>
          </w:tcBorders>
        </w:tcPr>
        <w:p w14:paraId="64478197" w14:textId="0FE2DAD8" w:rsidR="00323463" w:rsidRDefault="00323463" w:rsidP="003C650D">
          <w:pPr>
            <w:pStyle w:val="HeaderEven"/>
          </w:pPr>
        </w:p>
      </w:tc>
      <w:tc>
        <w:tcPr>
          <w:tcW w:w="6634" w:type="dxa"/>
          <w:tcBorders>
            <w:top w:val="single" w:sz="6" w:space="0" w:color="auto"/>
          </w:tcBorders>
        </w:tcPr>
        <w:p w14:paraId="26435AEB" w14:textId="77777777" w:rsidR="00323463" w:rsidRDefault="00323463" w:rsidP="003C650D">
          <w:pPr>
            <w:pStyle w:val="HeaderEven"/>
          </w:pPr>
        </w:p>
      </w:tc>
    </w:tr>
  </w:tbl>
  <w:p w14:paraId="06149AEF" w14:textId="77777777" w:rsidR="00323463" w:rsidRDefault="00323463" w:rsidP="009F6FCD">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23463" w14:paraId="52D76D6C" w14:textId="77777777">
      <w:tc>
        <w:tcPr>
          <w:tcW w:w="6634" w:type="dxa"/>
          <w:tcBorders>
            <w:top w:val="single" w:sz="6" w:space="0" w:color="auto"/>
          </w:tcBorders>
        </w:tcPr>
        <w:p w14:paraId="11DBBD64" w14:textId="0CF25721" w:rsidR="00323463" w:rsidRDefault="00323463" w:rsidP="00E669E2">
          <w:pPr>
            <w:pStyle w:val="HeaderOdd"/>
          </w:pPr>
        </w:p>
      </w:tc>
      <w:tc>
        <w:tcPr>
          <w:tcW w:w="2155" w:type="dxa"/>
          <w:tcBorders>
            <w:top w:val="single" w:sz="24" w:space="0" w:color="auto"/>
          </w:tcBorders>
        </w:tcPr>
        <w:p w14:paraId="35FD55F5" w14:textId="77777777" w:rsidR="00323463" w:rsidRDefault="00323463" w:rsidP="00E669E2">
          <w:pPr>
            <w:pStyle w:val="HeaderOdd"/>
          </w:pPr>
        </w:p>
      </w:tc>
    </w:tr>
  </w:tbl>
  <w:p w14:paraId="2D8DA4C6" w14:textId="77777777" w:rsidR="00323463" w:rsidRDefault="00323463"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739E7" w14:textId="137879BC" w:rsidR="00323463" w:rsidRDefault="0032346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323463" w14:paraId="22581F38" w14:textId="77777777">
      <w:tc>
        <w:tcPr>
          <w:tcW w:w="2155" w:type="dxa"/>
          <w:tcBorders>
            <w:top w:val="single" w:sz="24" w:space="0" w:color="auto"/>
          </w:tcBorders>
        </w:tcPr>
        <w:p w14:paraId="6B5176EE" w14:textId="0E2D73E5" w:rsidR="00323463" w:rsidRDefault="00323463" w:rsidP="0019293B">
          <w:pPr>
            <w:pStyle w:val="HeaderEven"/>
          </w:pPr>
        </w:p>
      </w:tc>
      <w:tc>
        <w:tcPr>
          <w:tcW w:w="6634" w:type="dxa"/>
          <w:tcBorders>
            <w:top w:val="single" w:sz="6" w:space="0" w:color="auto"/>
          </w:tcBorders>
        </w:tcPr>
        <w:p w14:paraId="2F4C6F57" w14:textId="77777777" w:rsidR="00323463" w:rsidRDefault="00323463" w:rsidP="0019293B">
          <w:pPr>
            <w:pStyle w:val="HeaderEven"/>
          </w:pPr>
        </w:p>
      </w:tc>
    </w:tr>
  </w:tbl>
  <w:p w14:paraId="29B26D2E" w14:textId="77777777" w:rsidR="00323463" w:rsidRDefault="00323463" w:rsidP="0019293B">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23463" w14:paraId="38A90F8C" w14:textId="77777777">
      <w:tc>
        <w:tcPr>
          <w:tcW w:w="6634" w:type="dxa"/>
          <w:tcBorders>
            <w:top w:val="single" w:sz="6" w:space="0" w:color="auto"/>
          </w:tcBorders>
        </w:tcPr>
        <w:p w14:paraId="25FC3CF9" w14:textId="00C3D33D" w:rsidR="00323463" w:rsidRDefault="00323463" w:rsidP="00E669E2">
          <w:pPr>
            <w:pStyle w:val="HeaderOdd"/>
          </w:pPr>
        </w:p>
      </w:tc>
      <w:tc>
        <w:tcPr>
          <w:tcW w:w="2155" w:type="dxa"/>
          <w:tcBorders>
            <w:top w:val="single" w:sz="24" w:space="0" w:color="auto"/>
          </w:tcBorders>
        </w:tcPr>
        <w:p w14:paraId="58BBD361" w14:textId="77777777" w:rsidR="00323463" w:rsidRDefault="00323463" w:rsidP="00E669E2">
          <w:pPr>
            <w:pStyle w:val="HeaderOdd"/>
          </w:pPr>
        </w:p>
      </w:tc>
    </w:tr>
  </w:tbl>
  <w:p w14:paraId="48C6497F" w14:textId="77777777" w:rsidR="00323463" w:rsidRDefault="00323463" w:rsidP="00E669E2">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1AE40" w14:textId="48054B7A" w:rsidR="00323463" w:rsidRDefault="003234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DB8D1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FB47DB0"/>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E7904424"/>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5CAEEF6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5">
    <w:nsid w:val="FFFFFFFE"/>
    <w:multiLevelType w:val="singleLevel"/>
    <w:tmpl w:val="FFFFFFFF"/>
    <w:lvl w:ilvl="0">
      <w:numFmt w:val="decimal"/>
      <w:lvlText w:val="*"/>
      <w:lvlJc w:val="left"/>
    </w:lvl>
  </w:abstractNum>
  <w:abstractNum w:abstractNumId="6">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ED95F65"/>
    <w:multiLevelType w:val="multilevel"/>
    <w:tmpl w:val="A33CD710"/>
    <w:lvl w:ilvl="0">
      <w:start w:val="1"/>
      <w:numFmt w:val="decimal"/>
      <w:pStyle w:val="ListNumber"/>
      <w:lvlText w:val="%1."/>
      <w:lvlJc w:val="left"/>
      <w:pPr>
        <w:tabs>
          <w:tab w:val="num" w:pos="624"/>
        </w:tabs>
        <w:ind w:left="624" w:hanging="340"/>
      </w:pPr>
      <w:rPr>
        <w:b w:val="0"/>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D394788"/>
    <w:multiLevelType w:val="hybridMultilevel"/>
    <w:tmpl w:val="019AD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9">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1">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4">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5">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6"/>
  </w:num>
  <w:num w:numId="3">
    <w:abstractNumId w:val="18"/>
  </w:num>
  <w:num w:numId="4">
    <w:abstractNumId w:val="7"/>
  </w:num>
  <w:num w:numId="5">
    <w:abstractNumId w:val="23"/>
  </w:num>
  <w:num w:numId="6">
    <w:abstractNumId w:val="20"/>
  </w:num>
  <w:num w:numId="7">
    <w:abstractNumId w:val="11"/>
  </w:num>
  <w:num w:numId="8">
    <w:abstractNumId w:val="19"/>
  </w:num>
  <w:num w:numId="9">
    <w:abstractNumId w:val="10"/>
  </w:num>
  <w:num w:numId="10">
    <w:abstractNumId w:val="9"/>
  </w:num>
  <w:num w:numId="11">
    <w:abstractNumId w:val="13"/>
  </w:num>
  <w:num w:numId="12">
    <w:abstractNumId w:val="14"/>
  </w:num>
  <w:num w:numId="13">
    <w:abstractNumId w:val="8"/>
  </w:num>
  <w:num w:numId="14">
    <w:abstractNumId w:val="21"/>
  </w:num>
  <w:num w:numId="15">
    <w:abstractNumId w:val="24"/>
  </w:num>
  <w:num w:numId="16">
    <w:abstractNumId w:val="16"/>
  </w:num>
  <w:num w:numId="17">
    <w:abstractNumId w:val="25"/>
  </w:num>
  <w:num w:numId="18">
    <w:abstractNumId w:val="4"/>
  </w:num>
  <w:num w:numId="19">
    <w:abstractNumId w:val="5"/>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2"/>
  </w:num>
  <w:num w:numId="21">
    <w:abstractNumId w:val="12"/>
  </w:num>
  <w:num w:numId="22">
    <w:abstractNumId w:val="3"/>
  </w:num>
  <w:num w:numId="23">
    <w:abstractNumId w:val="2"/>
  </w:num>
  <w:num w:numId="24">
    <w:abstractNumId w:val="1"/>
  </w:num>
  <w:num w:numId="25">
    <w:abstractNumId w:val="0"/>
  </w:num>
  <w:num w:numId="26">
    <w:abstractNumId w:val="18"/>
  </w:num>
  <w:num w:numId="27">
    <w:abstractNumId w:val="18"/>
  </w:num>
  <w:num w:numId="28">
    <w:abstractNumId w:val="18"/>
  </w:num>
  <w:num w:numId="29">
    <w:abstractNumId w:val="17"/>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evenAndOddHeaders/>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E31F58"/>
    <w:rsid w:val="0000004A"/>
    <w:rsid w:val="000000D5"/>
    <w:rsid w:val="000000FB"/>
    <w:rsid w:val="0000018F"/>
    <w:rsid w:val="000017FA"/>
    <w:rsid w:val="0000182A"/>
    <w:rsid w:val="0000198B"/>
    <w:rsid w:val="00001AA8"/>
    <w:rsid w:val="00002133"/>
    <w:rsid w:val="000024C0"/>
    <w:rsid w:val="00004C88"/>
    <w:rsid w:val="00005C8D"/>
    <w:rsid w:val="00005DE3"/>
    <w:rsid w:val="00005E2F"/>
    <w:rsid w:val="00006689"/>
    <w:rsid w:val="000067E5"/>
    <w:rsid w:val="00007CC3"/>
    <w:rsid w:val="000103FB"/>
    <w:rsid w:val="00011FCB"/>
    <w:rsid w:val="000146CC"/>
    <w:rsid w:val="00015EC8"/>
    <w:rsid w:val="00015F36"/>
    <w:rsid w:val="000164EE"/>
    <w:rsid w:val="000174BD"/>
    <w:rsid w:val="00020532"/>
    <w:rsid w:val="00020CE1"/>
    <w:rsid w:val="0002108D"/>
    <w:rsid w:val="00021494"/>
    <w:rsid w:val="00021551"/>
    <w:rsid w:val="0002169A"/>
    <w:rsid w:val="0002194D"/>
    <w:rsid w:val="00022061"/>
    <w:rsid w:val="000227D5"/>
    <w:rsid w:val="00022B4F"/>
    <w:rsid w:val="00023016"/>
    <w:rsid w:val="0002314B"/>
    <w:rsid w:val="00023EE3"/>
    <w:rsid w:val="000245AA"/>
    <w:rsid w:val="00024A47"/>
    <w:rsid w:val="00024CDC"/>
    <w:rsid w:val="00025293"/>
    <w:rsid w:val="00025B99"/>
    <w:rsid w:val="00025BCD"/>
    <w:rsid w:val="00025FB0"/>
    <w:rsid w:val="00026146"/>
    <w:rsid w:val="00026315"/>
    <w:rsid w:val="00026866"/>
    <w:rsid w:val="00026E4D"/>
    <w:rsid w:val="00027AA6"/>
    <w:rsid w:val="00027AB0"/>
    <w:rsid w:val="00031B85"/>
    <w:rsid w:val="00031C2C"/>
    <w:rsid w:val="000338A1"/>
    <w:rsid w:val="00033B43"/>
    <w:rsid w:val="000341FC"/>
    <w:rsid w:val="00034671"/>
    <w:rsid w:val="00035DDB"/>
    <w:rsid w:val="0003664B"/>
    <w:rsid w:val="00036E3E"/>
    <w:rsid w:val="0003728F"/>
    <w:rsid w:val="00037653"/>
    <w:rsid w:val="000401E2"/>
    <w:rsid w:val="00040942"/>
    <w:rsid w:val="0004111F"/>
    <w:rsid w:val="00041D9F"/>
    <w:rsid w:val="00042193"/>
    <w:rsid w:val="000422B8"/>
    <w:rsid w:val="0004363A"/>
    <w:rsid w:val="00043D67"/>
    <w:rsid w:val="00043E81"/>
    <w:rsid w:val="00043EC4"/>
    <w:rsid w:val="00045036"/>
    <w:rsid w:val="000452EE"/>
    <w:rsid w:val="0004614F"/>
    <w:rsid w:val="00046AF0"/>
    <w:rsid w:val="00047092"/>
    <w:rsid w:val="000470AC"/>
    <w:rsid w:val="00050A29"/>
    <w:rsid w:val="00051059"/>
    <w:rsid w:val="0005224C"/>
    <w:rsid w:val="00052958"/>
    <w:rsid w:val="00052F41"/>
    <w:rsid w:val="0005367D"/>
    <w:rsid w:val="000543AF"/>
    <w:rsid w:val="000547D9"/>
    <w:rsid w:val="00054AEB"/>
    <w:rsid w:val="00055077"/>
    <w:rsid w:val="00055899"/>
    <w:rsid w:val="000565B3"/>
    <w:rsid w:val="000568F5"/>
    <w:rsid w:val="00057183"/>
    <w:rsid w:val="0005756B"/>
    <w:rsid w:val="00060738"/>
    <w:rsid w:val="00062064"/>
    <w:rsid w:val="0006233D"/>
    <w:rsid w:val="00063251"/>
    <w:rsid w:val="00063833"/>
    <w:rsid w:val="00064E75"/>
    <w:rsid w:val="00064F71"/>
    <w:rsid w:val="0006528F"/>
    <w:rsid w:val="0006663A"/>
    <w:rsid w:val="00066642"/>
    <w:rsid w:val="00066A92"/>
    <w:rsid w:val="00066DC9"/>
    <w:rsid w:val="00067CE6"/>
    <w:rsid w:val="00070223"/>
    <w:rsid w:val="00070CC8"/>
    <w:rsid w:val="00070F82"/>
    <w:rsid w:val="0007150B"/>
    <w:rsid w:val="000722E5"/>
    <w:rsid w:val="000729E0"/>
    <w:rsid w:val="000744CE"/>
    <w:rsid w:val="0007450D"/>
    <w:rsid w:val="00075E42"/>
    <w:rsid w:val="00075F25"/>
    <w:rsid w:val="000770D4"/>
    <w:rsid w:val="00077DCC"/>
    <w:rsid w:val="00077EA5"/>
    <w:rsid w:val="00080150"/>
    <w:rsid w:val="00080BCB"/>
    <w:rsid w:val="00080DF7"/>
    <w:rsid w:val="000835D6"/>
    <w:rsid w:val="000836DD"/>
    <w:rsid w:val="000837E7"/>
    <w:rsid w:val="0008394B"/>
    <w:rsid w:val="0008397B"/>
    <w:rsid w:val="00084414"/>
    <w:rsid w:val="000846E3"/>
    <w:rsid w:val="00084741"/>
    <w:rsid w:val="000847FE"/>
    <w:rsid w:val="00084913"/>
    <w:rsid w:val="00084DE2"/>
    <w:rsid w:val="00084E90"/>
    <w:rsid w:val="00085216"/>
    <w:rsid w:val="00085924"/>
    <w:rsid w:val="00085FDA"/>
    <w:rsid w:val="0009029D"/>
    <w:rsid w:val="00090862"/>
    <w:rsid w:val="000908CA"/>
    <w:rsid w:val="00090BF5"/>
    <w:rsid w:val="00090D4A"/>
    <w:rsid w:val="0009160A"/>
    <w:rsid w:val="000921F1"/>
    <w:rsid w:val="00093206"/>
    <w:rsid w:val="0009371A"/>
    <w:rsid w:val="000938F5"/>
    <w:rsid w:val="000940B4"/>
    <w:rsid w:val="0009423A"/>
    <w:rsid w:val="00095484"/>
    <w:rsid w:val="00095663"/>
    <w:rsid w:val="0009623D"/>
    <w:rsid w:val="00096E55"/>
    <w:rsid w:val="00096FF3"/>
    <w:rsid w:val="0009783E"/>
    <w:rsid w:val="000A0348"/>
    <w:rsid w:val="000A0DE5"/>
    <w:rsid w:val="000A104C"/>
    <w:rsid w:val="000A11B6"/>
    <w:rsid w:val="000A2797"/>
    <w:rsid w:val="000A4BFE"/>
    <w:rsid w:val="000A4F32"/>
    <w:rsid w:val="000A5127"/>
    <w:rsid w:val="000A5551"/>
    <w:rsid w:val="000A6267"/>
    <w:rsid w:val="000A6271"/>
    <w:rsid w:val="000A6FA9"/>
    <w:rsid w:val="000A75D7"/>
    <w:rsid w:val="000B0479"/>
    <w:rsid w:val="000B1022"/>
    <w:rsid w:val="000B1136"/>
    <w:rsid w:val="000B1535"/>
    <w:rsid w:val="000B1CB9"/>
    <w:rsid w:val="000B2DE4"/>
    <w:rsid w:val="000B37F3"/>
    <w:rsid w:val="000B3B60"/>
    <w:rsid w:val="000B59EF"/>
    <w:rsid w:val="000B5F98"/>
    <w:rsid w:val="000B601B"/>
    <w:rsid w:val="000B607F"/>
    <w:rsid w:val="000B6541"/>
    <w:rsid w:val="000B73E8"/>
    <w:rsid w:val="000B7DFC"/>
    <w:rsid w:val="000C1A2C"/>
    <w:rsid w:val="000C207E"/>
    <w:rsid w:val="000C2B4E"/>
    <w:rsid w:val="000C319D"/>
    <w:rsid w:val="000C37A9"/>
    <w:rsid w:val="000C4209"/>
    <w:rsid w:val="000C4852"/>
    <w:rsid w:val="000C56FB"/>
    <w:rsid w:val="000C5945"/>
    <w:rsid w:val="000C5DB8"/>
    <w:rsid w:val="000C6713"/>
    <w:rsid w:val="000C74D2"/>
    <w:rsid w:val="000C7690"/>
    <w:rsid w:val="000C782C"/>
    <w:rsid w:val="000C7947"/>
    <w:rsid w:val="000D0504"/>
    <w:rsid w:val="000D06B8"/>
    <w:rsid w:val="000D09E6"/>
    <w:rsid w:val="000D1D0C"/>
    <w:rsid w:val="000D1E02"/>
    <w:rsid w:val="000D311C"/>
    <w:rsid w:val="000D32A8"/>
    <w:rsid w:val="000D32F7"/>
    <w:rsid w:val="000D36BA"/>
    <w:rsid w:val="000D3B66"/>
    <w:rsid w:val="000D41E9"/>
    <w:rsid w:val="000D4CEA"/>
    <w:rsid w:val="000D797E"/>
    <w:rsid w:val="000E0B63"/>
    <w:rsid w:val="000E0BF9"/>
    <w:rsid w:val="000E0F3C"/>
    <w:rsid w:val="000E1C87"/>
    <w:rsid w:val="000E37A9"/>
    <w:rsid w:val="000E4448"/>
    <w:rsid w:val="000E5391"/>
    <w:rsid w:val="000E5C19"/>
    <w:rsid w:val="000E6755"/>
    <w:rsid w:val="000F0035"/>
    <w:rsid w:val="000F29EB"/>
    <w:rsid w:val="000F2F33"/>
    <w:rsid w:val="000F3E72"/>
    <w:rsid w:val="000F40E7"/>
    <w:rsid w:val="000F420B"/>
    <w:rsid w:val="000F5175"/>
    <w:rsid w:val="000F5EAF"/>
    <w:rsid w:val="000F62A8"/>
    <w:rsid w:val="000F6337"/>
    <w:rsid w:val="000F63E3"/>
    <w:rsid w:val="000F732E"/>
    <w:rsid w:val="000F7A24"/>
    <w:rsid w:val="0010019C"/>
    <w:rsid w:val="001004EB"/>
    <w:rsid w:val="001005A6"/>
    <w:rsid w:val="00100942"/>
    <w:rsid w:val="001012E1"/>
    <w:rsid w:val="0010145B"/>
    <w:rsid w:val="00102313"/>
    <w:rsid w:val="00102CF4"/>
    <w:rsid w:val="00102E82"/>
    <w:rsid w:val="001034D6"/>
    <w:rsid w:val="00103DDB"/>
    <w:rsid w:val="00104C7D"/>
    <w:rsid w:val="00104D1C"/>
    <w:rsid w:val="00105891"/>
    <w:rsid w:val="001069FB"/>
    <w:rsid w:val="0010747A"/>
    <w:rsid w:val="00110116"/>
    <w:rsid w:val="00110818"/>
    <w:rsid w:val="001113CE"/>
    <w:rsid w:val="00111CF0"/>
    <w:rsid w:val="00112A6C"/>
    <w:rsid w:val="00112A7D"/>
    <w:rsid w:val="00113D66"/>
    <w:rsid w:val="00113E03"/>
    <w:rsid w:val="00113E63"/>
    <w:rsid w:val="00114D7D"/>
    <w:rsid w:val="001174B4"/>
    <w:rsid w:val="00117A36"/>
    <w:rsid w:val="00120072"/>
    <w:rsid w:val="001206FC"/>
    <w:rsid w:val="00120AD8"/>
    <w:rsid w:val="00121B52"/>
    <w:rsid w:val="00121F44"/>
    <w:rsid w:val="00122746"/>
    <w:rsid w:val="00122C15"/>
    <w:rsid w:val="00123014"/>
    <w:rsid w:val="001240C2"/>
    <w:rsid w:val="001240F4"/>
    <w:rsid w:val="00124171"/>
    <w:rsid w:val="00124433"/>
    <w:rsid w:val="00124D04"/>
    <w:rsid w:val="00126DD2"/>
    <w:rsid w:val="00126EB8"/>
    <w:rsid w:val="001274D4"/>
    <w:rsid w:val="001277FA"/>
    <w:rsid w:val="00130106"/>
    <w:rsid w:val="00130DE0"/>
    <w:rsid w:val="00131031"/>
    <w:rsid w:val="001313B9"/>
    <w:rsid w:val="00131961"/>
    <w:rsid w:val="00131A7F"/>
    <w:rsid w:val="00131C36"/>
    <w:rsid w:val="00132483"/>
    <w:rsid w:val="001330EE"/>
    <w:rsid w:val="0013337C"/>
    <w:rsid w:val="00133541"/>
    <w:rsid w:val="00133B38"/>
    <w:rsid w:val="00133DE4"/>
    <w:rsid w:val="00134288"/>
    <w:rsid w:val="00134932"/>
    <w:rsid w:val="001357C8"/>
    <w:rsid w:val="00135AD4"/>
    <w:rsid w:val="00135ADA"/>
    <w:rsid w:val="001360B1"/>
    <w:rsid w:val="001363AA"/>
    <w:rsid w:val="00136BFB"/>
    <w:rsid w:val="0013739A"/>
    <w:rsid w:val="001373A0"/>
    <w:rsid w:val="00140A9E"/>
    <w:rsid w:val="00141DC0"/>
    <w:rsid w:val="00141F03"/>
    <w:rsid w:val="0014225F"/>
    <w:rsid w:val="00142633"/>
    <w:rsid w:val="001429A5"/>
    <w:rsid w:val="00142FAE"/>
    <w:rsid w:val="00143C30"/>
    <w:rsid w:val="00143C9E"/>
    <w:rsid w:val="00143F7B"/>
    <w:rsid w:val="00144A62"/>
    <w:rsid w:val="00144AFC"/>
    <w:rsid w:val="00144CDA"/>
    <w:rsid w:val="00145A89"/>
    <w:rsid w:val="001462AA"/>
    <w:rsid w:val="0014681C"/>
    <w:rsid w:val="001469B7"/>
    <w:rsid w:val="00147BEB"/>
    <w:rsid w:val="001502AA"/>
    <w:rsid w:val="0015061E"/>
    <w:rsid w:val="00150FD3"/>
    <w:rsid w:val="001513EE"/>
    <w:rsid w:val="001514EA"/>
    <w:rsid w:val="0015249F"/>
    <w:rsid w:val="00152926"/>
    <w:rsid w:val="00152D9E"/>
    <w:rsid w:val="00152F30"/>
    <w:rsid w:val="001538C2"/>
    <w:rsid w:val="001541A1"/>
    <w:rsid w:val="00154E0B"/>
    <w:rsid w:val="0016037F"/>
    <w:rsid w:val="001608BF"/>
    <w:rsid w:val="001611E9"/>
    <w:rsid w:val="0016209E"/>
    <w:rsid w:val="001638CF"/>
    <w:rsid w:val="001639F8"/>
    <w:rsid w:val="00164027"/>
    <w:rsid w:val="001652D4"/>
    <w:rsid w:val="00165309"/>
    <w:rsid w:val="00165AD6"/>
    <w:rsid w:val="001702F1"/>
    <w:rsid w:val="00170FAE"/>
    <w:rsid w:val="00171BBD"/>
    <w:rsid w:val="001731D2"/>
    <w:rsid w:val="00174030"/>
    <w:rsid w:val="001740D1"/>
    <w:rsid w:val="0017449A"/>
    <w:rsid w:val="00177C17"/>
    <w:rsid w:val="0018002D"/>
    <w:rsid w:val="0018146A"/>
    <w:rsid w:val="00181E06"/>
    <w:rsid w:val="001828ED"/>
    <w:rsid w:val="00182BBC"/>
    <w:rsid w:val="00183E82"/>
    <w:rsid w:val="001841B8"/>
    <w:rsid w:val="00184336"/>
    <w:rsid w:val="00184F0A"/>
    <w:rsid w:val="00185287"/>
    <w:rsid w:val="00185594"/>
    <w:rsid w:val="00185689"/>
    <w:rsid w:val="00185EC5"/>
    <w:rsid w:val="00186342"/>
    <w:rsid w:val="00186562"/>
    <w:rsid w:val="001865F8"/>
    <w:rsid w:val="00186C84"/>
    <w:rsid w:val="00187600"/>
    <w:rsid w:val="001878BB"/>
    <w:rsid w:val="00187A40"/>
    <w:rsid w:val="0019078A"/>
    <w:rsid w:val="001910BA"/>
    <w:rsid w:val="00191537"/>
    <w:rsid w:val="00191AE0"/>
    <w:rsid w:val="0019205D"/>
    <w:rsid w:val="0019293B"/>
    <w:rsid w:val="00192B3B"/>
    <w:rsid w:val="001935D4"/>
    <w:rsid w:val="00193C85"/>
    <w:rsid w:val="00193F08"/>
    <w:rsid w:val="0019426B"/>
    <w:rsid w:val="00194985"/>
    <w:rsid w:val="001954D6"/>
    <w:rsid w:val="00196B63"/>
    <w:rsid w:val="00196BAF"/>
    <w:rsid w:val="00197A11"/>
    <w:rsid w:val="00197BFF"/>
    <w:rsid w:val="00197CFE"/>
    <w:rsid w:val="00197DC1"/>
    <w:rsid w:val="001A0067"/>
    <w:rsid w:val="001A0CF2"/>
    <w:rsid w:val="001A0F3C"/>
    <w:rsid w:val="001A1552"/>
    <w:rsid w:val="001A4380"/>
    <w:rsid w:val="001A4B8E"/>
    <w:rsid w:val="001A57EA"/>
    <w:rsid w:val="001A71C8"/>
    <w:rsid w:val="001A7713"/>
    <w:rsid w:val="001A7AF1"/>
    <w:rsid w:val="001B0DE5"/>
    <w:rsid w:val="001B111F"/>
    <w:rsid w:val="001B133F"/>
    <w:rsid w:val="001B467A"/>
    <w:rsid w:val="001B560D"/>
    <w:rsid w:val="001B7406"/>
    <w:rsid w:val="001B7567"/>
    <w:rsid w:val="001B7B80"/>
    <w:rsid w:val="001C008E"/>
    <w:rsid w:val="001C0865"/>
    <w:rsid w:val="001C0CFF"/>
    <w:rsid w:val="001C11E7"/>
    <w:rsid w:val="001C1A8A"/>
    <w:rsid w:val="001C205F"/>
    <w:rsid w:val="001C2AD4"/>
    <w:rsid w:val="001C2EC6"/>
    <w:rsid w:val="001C312A"/>
    <w:rsid w:val="001C3ABA"/>
    <w:rsid w:val="001C3B33"/>
    <w:rsid w:val="001C3FDA"/>
    <w:rsid w:val="001C46FE"/>
    <w:rsid w:val="001C4D0D"/>
    <w:rsid w:val="001C5111"/>
    <w:rsid w:val="001C5DC2"/>
    <w:rsid w:val="001C640F"/>
    <w:rsid w:val="001C746C"/>
    <w:rsid w:val="001C7EFA"/>
    <w:rsid w:val="001D02E4"/>
    <w:rsid w:val="001D0B71"/>
    <w:rsid w:val="001D0D65"/>
    <w:rsid w:val="001D0F38"/>
    <w:rsid w:val="001D1226"/>
    <w:rsid w:val="001D1F34"/>
    <w:rsid w:val="001D2214"/>
    <w:rsid w:val="001D2B22"/>
    <w:rsid w:val="001D2D2E"/>
    <w:rsid w:val="001D2D8A"/>
    <w:rsid w:val="001D3827"/>
    <w:rsid w:val="001D3CF1"/>
    <w:rsid w:val="001D49C5"/>
    <w:rsid w:val="001D4E5C"/>
    <w:rsid w:val="001D514E"/>
    <w:rsid w:val="001D54C7"/>
    <w:rsid w:val="001D5C37"/>
    <w:rsid w:val="001D61E8"/>
    <w:rsid w:val="001D63A0"/>
    <w:rsid w:val="001D6619"/>
    <w:rsid w:val="001D7AAD"/>
    <w:rsid w:val="001D7B00"/>
    <w:rsid w:val="001E1258"/>
    <w:rsid w:val="001E193E"/>
    <w:rsid w:val="001E1AE1"/>
    <w:rsid w:val="001E1B42"/>
    <w:rsid w:val="001E2343"/>
    <w:rsid w:val="001E45C9"/>
    <w:rsid w:val="001E4614"/>
    <w:rsid w:val="001E4816"/>
    <w:rsid w:val="001E486C"/>
    <w:rsid w:val="001E4A9B"/>
    <w:rsid w:val="001E51D3"/>
    <w:rsid w:val="001E525A"/>
    <w:rsid w:val="001E5301"/>
    <w:rsid w:val="001E5418"/>
    <w:rsid w:val="001E5AB4"/>
    <w:rsid w:val="001E5DB3"/>
    <w:rsid w:val="001E639C"/>
    <w:rsid w:val="001E6567"/>
    <w:rsid w:val="001E7BE8"/>
    <w:rsid w:val="001F0248"/>
    <w:rsid w:val="001F1687"/>
    <w:rsid w:val="001F2D53"/>
    <w:rsid w:val="001F306A"/>
    <w:rsid w:val="001F3EB3"/>
    <w:rsid w:val="001F49AE"/>
    <w:rsid w:val="001F4A93"/>
    <w:rsid w:val="001F4CB0"/>
    <w:rsid w:val="001F4F86"/>
    <w:rsid w:val="001F513C"/>
    <w:rsid w:val="001F59EE"/>
    <w:rsid w:val="001F6024"/>
    <w:rsid w:val="001F6041"/>
    <w:rsid w:val="001F70D7"/>
    <w:rsid w:val="001F7242"/>
    <w:rsid w:val="001F7B58"/>
    <w:rsid w:val="001F7FE9"/>
    <w:rsid w:val="00200122"/>
    <w:rsid w:val="00200BA3"/>
    <w:rsid w:val="00202C2C"/>
    <w:rsid w:val="00203CC1"/>
    <w:rsid w:val="00204E06"/>
    <w:rsid w:val="00205870"/>
    <w:rsid w:val="00205F8E"/>
    <w:rsid w:val="00206309"/>
    <w:rsid w:val="0021058B"/>
    <w:rsid w:val="00210A69"/>
    <w:rsid w:val="00210F3F"/>
    <w:rsid w:val="00211377"/>
    <w:rsid w:val="0021212E"/>
    <w:rsid w:val="002129AB"/>
    <w:rsid w:val="00212F1A"/>
    <w:rsid w:val="0021339F"/>
    <w:rsid w:val="0021354A"/>
    <w:rsid w:val="002135AB"/>
    <w:rsid w:val="00213AE7"/>
    <w:rsid w:val="002144BE"/>
    <w:rsid w:val="0021466A"/>
    <w:rsid w:val="00216221"/>
    <w:rsid w:val="0021697B"/>
    <w:rsid w:val="00216A87"/>
    <w:rsid w:val="00216EAD"/>
    <w:rsid w:val="00217996"/>
    <w:rsid w:val="00220B37"/>
    <w:rsid w:val="0022268F"/>
    <w:rsid w:val="00223135"/>
    <w:rsid w:val="002234C4"/>
    <w:rsid w:val="00224F0E"/>
    <w:rsid w:val="002251DD"/>
    <w:rsid w:val="002260C7"/>
    <w:rsid w:val="002267A4"/>
    <w:rsid w:val="002267B4"/>
    <w:rsid w:val="00227DBA"/>
    <w:rsid w:val="00230465"/>
    <w:rsid w:val="0023163C"/>
    <w:rsid w:val="00231BDB"/>
    <w:rsid w:val="00232AAD"/>
    <w:rsid w:val="00233BA8"/>
    <w:rsid w:val="00233F63"/>
    <w:rsid w:val="00234DFB"/>
    <w:rsid w:val="00235F73"/>
    <w:rsid w:val="002360D2"/>
    <w:rsid w:val="002366F1"/>
    <w:rsid w:val="002368AB"/>
    <w:rsid w:val="002402BC"/>
    <w:rsid w:val="00240A8F"/>
    <w:rsid w:val="00241093"/>
    <w:rsid w:val="002413FA"/>
    <w:rsid w:val="00242279"/>
    <w:rsid w:val="00242F92"/>
    <w:rsid w:val="0024305C"/>
    <w:rsid w:val="00243997"/>
    <w:rsid w:val="0024498B"/>
    <w:rsid w:val="0024516C"/>
    <w:rsid w:val="00245C82"/>
    <w:rsid w:val="00245CF7"/>
    <w:rsid w:val="00247957"/>
    <w:rsid w:val="002505F4"/>
    <w:rsid w:val="00250769"/>
    <w:rsid w:val="00251C8B"/>
    <w:rsid w:val="0025254E"/>
    <w:rsid w:val="00252BD1"/>
    <w:rsid w:val="00252E6E"/>
    <w:rsid w:val="00252F6B"/>
    <w:rsid w:val="002531B1"/>
    <w:rsid w:val="002532FC"/>
    <w:rsid w:val="00254F4D"/>
    <w:rsid w:val="002556DA"/>
    <w:rsid w:val="002564AB"/>
    <w:rsid w:val="002566B1"/>
    <w:rsid w:val="00256BAA"/>
    <w:rsid w:val="00256DBC"/>
    <w:rsid w:val="00261303"/>
    <w:rsid w:val="002615E2"/>
    <w:rsid w:val="00262102"/>
    <w:rsid w:val="00262A3F"/>
    <w:rsid w:val="00262C3B"/>
    <w:rsid w:val="00262D83"/>
    <w:rsid w:val="00263D2F"/>
    <w:rsid w:val="002646A6"/>
    <w:rsid w:val="00264727"/>
    <w:rsid w:val="00265381"/>
    <w:rsid w:val="00266110"/>
    <w:rsid w:val="002667A3"/>
    <w:rsid w:val="002668DD"/>
    <w:rsid w:val="0026749E"/>
    <w:rsid w:val="00267E31"/>
    <w:rsid w:val="002704E7"/>
    <w:rsid w:val="00270661"/>
    <w:rsid w:val="00270724"/>
    <w:rsid w:val="00270A4D"/>
    <w:rsid w:val="00271178"/>
    <w:rsid w:val="002724BA"/>
    <w:rsid w:val="00272CBD"/>
    <w:rsid w:val="00272FB6"/>
    <w:rsid w:val="00273222"/>
    <w:rsid w:val="0027405E"/>
    <w:rsid w:val="00275998"/>
    <w:rsid w:val="00275DAF"/>
    <w:rsid w:val="00275DDD"/>
    <w:rsid w:val="00276FA5"/>
    <w:rsid w:val="00280A6F"/>
    <w:rsid w:val="00280FBA"/>
    <w:rsid w:val="00282049"/>
    <w:rsid w:val="002824D0"/>
    <w:rsid w:val="00282547"/>
    <w:rsid w:val="00282F97"/>
    <w:rsid w:val="002830F0"/>
    <w:rsid w:val="002834E0"/>
    <w:rsid w:val="00283795"/>
    <w:rsid w:val="0028432B"/>
    <w:rsid w:val="0028439E"/>
    <w:rsid w:val="002853DA"/>
    <w:rsid w:val="002855E5"/>
    <w:rsid w:val="00287161"/>
    <w:rsid w:val="002872B8"/>
    <w:rsid w:val="002877FE"/>
    <w:rsid w:val="00287A73"/>
    <w:rsid w:val="00287D63"/>
    <w:rsid w:val="00287EDD"/>
    <w:rsid w:val="00291B40"/>
    <w:rsid w:val="00292CD7"/>
    <w:rsid w:val="0029427E"/>
    <w:rsid w:val="0029429C"/>
    <w:rsid w:val="002953AE"/>
    <w:rsid w:val="00295BD9"/>
    <w:rsid w:val="0029623E"/>
    <w:rsid w:val="0029797D"/>
    <w:rsid w:val="00297A42"/>
    <w:rsid w:val="002A035A"/>
    <w:rsid w:val="002A11FC"/>
    <w:rsid w:val="002A14B9"/>
    <w:rsid w:val="002A204C"/>
    <w:rsid w:val="002A24B9"/>
    <w:rsid w:val="002A3EC4"/>
    <w:rsid w:val="002A4E29"/>
    <w:rsid w:val="002A5D91"/>
    <w:rsid w:val="002A6082"/>
    <w:rsid w:val="002A62C9"/>
    <w:rsid w:val="002A7ACC"/>
    <w:rsid w:val="002B0452"/>
    <w:rsid w:val="002B12AE"/>
    <w:rsid w:val="002B1426"/>
    <w:rsid w:val="002B19DA"/>
    <w:rsid w:val="002B20F4"/>
    <w:rsid w:val="002B25C5"/>
    <w:rsid w:val="002B2E5C"/>
    <w:rsid w:val="002B37DA"/>
    <w:rsid w:val="002B4008"/>
    <w:rsid w:val="002B402B"/>
    <w:rsid w:val="002B498F"/>
    <w:rsid w:val="002B4B2F"/>
    <w:rsid w:val="002B4C2D"/>
    <w:rsid w:val="002B54FB"/>
    <w:rsid w:val="002B5AEF"/>
    <w:rsid w:val="002B660E"/>
    <w:rsid w:val="002B7AA2"/>
    <w:rsid w:val="002B7E6F"/>
    <w:rsid w:val="002C06EB"/>
    <w:rsid w:val="002C19BB"/>
    <w:rsid w:val="002C2F1A"/>
    <w:rsid w:val="002C316F"/>
    <w:rsid w:val="002C439F"/>
    <w:rsid w:val="002C4CA1"/>
    <w:rsid w:val="002C570B"/>
    <w:rsid w:val="002C63A8"/>
    <w:rsid w:val="002C76B0"/>
    <w:rsid w:val="002C77D2"/>
    <w:rsid w:val="002C7A1C"/>
    <w:rsid w:val="002C7A33"/>
    <w:rsid w:val="002C7C82"/>
    <w:rsid w:val="002D0B53"/>
    <w:rsid w:val="002D0E8E"/>
    <w:rsid w:val="002D180D"/>
    <w:rsid w:val="002D1E24"/>
    <w:rsid w:val="002D3F5B"/>
    <w:rsid w:val="002D44E6"/>
    <w:rsid w:val="002D5F33"/>
    <w:rsid w:val="002D6657"/>
    <w:rsid w:val="002D721E"/>
    <w:rsid w:val="002D7B52"/>
    <w:rsid w:val="002D7DFC"/>
    <w:rsid w:val="002E0511"/>
    <w:rsid w:val="002E0994"/>
    <w:rsid w:val="002E2203"/>
    <w:rsid w:val="002E2577"/>
    <w:rsid w:val="002E514C"/>
    <w:rsid w:val="002E5209"/>
    <w:rsid w:val="002E533A"/>
    <w:rsid w:val="002E5688"/>
    <w:rsid w:val="002E66D7"/>
    <w:rsid w:val="002E7145"/>
    <w:rsid w:val="002E743C"/>
    <w:rsid w:val="002E7E27"/>
    <w:rsid w:val="002F07E7"/>
    <w:rsid w:val="002F0F4F"/>
    <w:rsid w:val="002F1007"/>
    <w:rsid w:val="002F12E0"/>
    <w:rsid w:val="002F13F0"/>
    <w:rsid w:val="002F1903"/>
    <w:rsid w:val="002F2AA6"/>
    <w:rsid w:val="002F43BA"/>
    <w:rsid w:val="002F51CD"/>
    <w:rsid w:val="002F5ED4"/>
    <w:rsid w:val="002F67C0"/>
    <w:rsid w:val="002F78F3"/>
    <w:rsid w:val="003005BA"/>
    <w:rsid w:val="00300DA5"/>
    <w:rsid w:val="00301189"/>
    <w:rsid w:val="003014B0"/>
    <w:rsid w:val="003018EC"/>
    <w:rsid w:val="00301E4A"/>
    <w:rsid w:val="003027A7"/>
    <w:rsid w:val="00302F20"/>
    <w:rsid w:val="003036C3"/>
    <w:rsid w:val="00303C91"/>
    <w:rsid w:val="003052D9"/>
    <w:rsid w:val="003053F4"/>
    <w:rsid w:val="00306CBF"/>
    <w:rsid w:val="003075C5"/>
    <w:rsid w:val="00310282"/>
    <w:rsid w:val="0031108B"/>
    <w:rsid w:val="00313A35"/>
    <w:rsid w:val="00314284"/>
    <w:rsid w:val="00315E34"/>
    <w:rsid w:val="003168B8"/>
    <w:rsid w:val="00317002"/>
    <w:rsid w:val="003200D6"/>
    <w:rsid w:val="0032046F"/>
    <w:rsid w:val="003227AA"/>
    <w:rsid w:val="00323463"/>
    <w:rsid w:val="00323E09"/>
    <w:rsid w:val="003242A0"/>
    <w:rsid w:val="0032483E"/>
    <w:rsid w:val="00324EAD"/>
    <w:rsid w:val="0032634C"/>
    <w:rsid w:val="0032713E"/>
    <w:rsid w:val="00327BA4"/>
    <w:rsid w:val="0033057D"/>
    <w:rsid w:val="00330BFE"/>
    <w:rsid w:val="0033161A"/>
    <w:rsid w:val="00332288"/>
    <w:rsid w:val="00332649"/>
    <w:rsid w:val="00332913"/>
    <w:rsid w:val="00333932"/>
    <w:rsid w:val="003339D6"/>
    <w:rsid w:val="00333DE4"/>
    <w:rsid w:val="003349A0"/>
    <w:rsid w:val="00334F86"/>
    <w:rsid w:val="00335A79"/>
    <w:rsid w:val="0033736B"/>
    <w:rsid w:val="00337DEC"/>
    <w:rsid w:val="003403DB"/>
    <w:rsid w:val="00340ADF"/>
    <w:rsid w:val="00341458"/>
    <w:rsid w:val="0034172E"/>
    <w:rsid w:val="00341ADA"/>
    <w:rsid w:val="00341D64"/>
    <w:rsid w:val="00341FDE"/>
    <w:rsid w:val="003426FD"/>
    <w:rsid w:val="00342D61"/>
    <w:rsid w:val="00343F7C"/>
    <w:rsid w:val="00344168"/>
    <w:rsid w:val="00344DB1"/>
    <w:rsid w:val="003454B0"/>
    <w:rsid w:val="0034632B"/>
    <w:rsid w:val="0034681B"/>
    <w:rsid w:val="003470C1"/>
    <w:rsid w:val="003474C6"/>
    <w:rsid w:val="003518AA"/>
    <w:rsid w:val="00351A90"/>
    <w:rsid w:val="00352165"/>
    <w:rsid w:val="0035252A"/>
    <w:rsid w:val="0035297E"/>
    <w:rsid w:val="00352F70"/>
    <w:rsid w:val="00353182"/>
    <w:rsid w:val="00354574"/>
    <w:rsid w:val="003550A8"/>
    <w:rsid w:val="00355979"/>
    <w:rsid w:val="003565D9"/>
    <w:rsid w:val="003565EE"/>
    <w:rsid w:val="003568CC"/>
    <w:rsid w:val="00356F7D"/>
    <w:rsid w:val="00357A7C"/>
    <w:rsid w:val="003602E1"/>
    <w:rsid w:val="00360589"/>
    <w:rsid w:val="00363086"/>
    <w:rsid w:val="00363EDC"/>
    <w:rsid w:val="003651C3"/>
    <w:rsid w:val="00365E69"/>
    <w:rsid w:val="003664AC"/>
    <w:rsid w:val="003673A0"/>
    <w:rsid w:val="00367725"/>
    <w:rsid w:val="00367AF6"/>
    <w:rsid w:val="0037026F"/>
    <w:rsid w:val="00370AF5"/>
    <w:rsid w:val="00371240"/>
    <w:rsid w:val="00371672"/>
    <w:rsid w:val="003730D0"/>
    <w:rsid w:val="00373460"/>
    <w:rsid w:val="0037402D"/>
    <w:rsid w:val="00374731"/>
    <w:rsid w:val="003752EC"/>
    <w:rsid w:val="003755C0"/>
    <w:rsid w:val="00376CBC"/>
    <w:rsid w:val="00376E59"/>
    <w:rsid w:val="003800AE"/>
    <w:rsid w:val="00380340"/>
    <w:rsid w:val="00380E12"/>
    <w:rsid w:val="00381908"/>
    <w:rsid w:val="00381A35"/>
    <w:rsid w:val="00381D07"/>
    <w:rsid w:val="0038296D"/>
    <w:rsid w:val="003831C1"/>
    <w:rsid w:val="00384800"/>
    <w:rsid w:val="0038576B"/>
    <w:rsid w:val="00385999"/>
    <w:rsid w:val="00385CD8"/>
    <w:rsid w:val="003902E6"/>
    <w:rsid w:val="003909CB"/>
    <w:rsid w:val="00390A11"/>
    <w:rsid w:val="00391107"/>
    <w:rsid w:val="00391500"/>
    <w:rsid w:val="003919F9"/>
    <w:rsid w:val="003923A2"/>
    <w:rsid w:val="00392503"/>
    <w:rsid w:val="00395B08"/>
    <w:rsid w:val="00396696"/>
    <w:rsid w:val="00397649"/>
    <w:rsid w:val="003A04FD"/>
    <w:rsid w:val="003A068A"/>
    <w:rsid w:val="003A0C5A"/>
    <w:rsid w:val="003A1387"/>
    <w:rsid w:val="003A1EF0"/>
    <w:rsid w:val="003A5291"/>
    <w:rsid w:val="003A5BB1"/>
    <w:rsid w:val="003A64A2"/>
    <w:rsid w:val="003B051D"/>
    <w:rsid w:val="003B05E1"/>
    <w:rsid w:val="003B2099"/>
    <w:rsid w:val="003B23C2"/>
    <w:rsid w:val="003B2DEB"/>
    <w:rsid w:val="003B3400"/>
    <w:rsid w:val="003B4DB2"/>
    <w:rsid w:val="003B6E24"/>
    <w:rsid w:val="003B794B"/>
    <w:rsid w:val="003C0C43"/>
    <w:rsid w:val="003C0EBB"/>
    <w:rsid w:val="003C0F1A"/>
    <w:rsid w:val="003C2C5E"/>
    <w:rsid w:val="003C319B"/>
    <w:rsid w:val="003C327E"/>
    <w:rsid w:val="003C38B5"/>
    <w:rsid w:val="003C3A14"/>
    <w:rsid w:val="003C3E9B"/>
    <w:rsid w:val="003C5AA5"/>
    <w:rsid w:val="003C5BBC"/>
    <w:rsid w:val="003C5C71"/>
    <w:rsid w:val="003C5D99"/>
    <w:rsid w:val="003C60EE"/>
    <w:rsid w:val="003C650D"/>
    <w:rsid w:val="003D1087"/>
    <w:rsid w:val="003D12A0"/>
    <w:rsid w:val="003D130C"/>
    <w:rsid w:val="003D1443"/>
    <w:rsid w:val="003D179D"/>
    <w:rsid w:val="003D23B8"/>
    <w:rsid w:val="003D2869"/>
    <w:rsid w:val="003D300F"/>
    <w:rsid w:val="003D32B7"/>
    <w:rsid w:val="003D38AE"/>
    <w:rsid w:val="003D3BDD"/>
    <w:rsid w:val="003D3F1D"/>
    <w:rsid w:val="003D589F"/>
    <w:rsid w:val="003D5ABE"/>
    <w:rsid w:val="003D62A3"/>
    <w:rsid w:val="003D6402"/>
    <w:rsid w:val="003D671A"/>
    <w:rsid w:val="003D749E"/>
    <w:rsid w:val="003D7DD7"/>
    <w:rsid w:val="003E2BE0"/>
    <w:rsid w:val="003E2DCF"/>
    <w:rsid w:val="003E2F59"/>
    <w:rsid w:val="003E39D6"/>
    <w:rsid w:val="003E3D92"/>
    <w:rsid w:val="003E3F39"/>
    <w:rsid w:val="003E4878"/>
    <w:rsid w:val="003E4B37"/>
    <w:rsid w:val="003E5004"/>
    <w:rsid w:val="003E50F7"/>
    <w:rsid w:val="003E59AA"/>
    <w:rsid w:val="003E6208"/>
    <w:rsid w:val="003E6C5D"/>
    <w:rsid w:val="003E6DC2"/>
    <w:rsid w:val="003E746B"/>
    <w:rsid w:val="003F0181"/>
    <w:rsid w:val="003F0461"/>
    <w:rsid w:val="003F0789"/>
    <w:rsid w:val="003F0B7C"/>
    <w:rsid w:val="003F191E"/>
    <w:rsid w:val="003F3C2C"/>
    <w:rsid w:val="003F3EB9"/>
    <w:rsid w:val="003F4DB5"/>
    <w:rsid w:val="003F52D0"/>
    <w:rsid w:val="003F5AA3"/>
    <w:rsid w:val="003F6009"/>
    <w:rsid w:val="00400815"/>
    <w:rsid w:val="00400BEA"/>
    <w:rsid w:val="00400C07"/>
    <w:rsid w:val="00401882"/>
    <w:rsid w:val="00401DAA"/>
    <w:rsid w:val="00402A6B"/>
    <w:rsid w:val="00403229"/>
    <w:rsid w:val="00403D9D"/>
    <w:rsid w:val="0040464F"/>
    <w:rsid w:val="00404FD8"/>
    <w:rsid w:val="00405159"/>
    <w:rsid w:val="00406567"/>
    <w:rsid w:val="00406A95"/>
    <w:rsid w:val="004100C8"/>
    <w:rsid w:val="0041014E"/>
    <w:rsid w:val="0041070D"/>
    <w:rsid w:val="0041082F"/>
    <w:rsid w:val="00411B9A"/>
    <w:rsid w:val="00411C2D"/>
    <w:rsid w:val="00411DBD"/>
    <w:rsid w:val="004121F5"/>
    <w:rsid w:val="004126AE"/>
    <w:rsid w:val="00412ACE"/>
    <w:rsid w:val="00414598"/>
    <w:rsid w:val="004145D2"/>
    <w:rsid w:val="00414ADC"/>
    <w:rsid w:val="00415350"/>
    <w:rsid w:val="0041549B"/>
    <w:rsid w:val="00415F39"/>
    <w:rsid w:val="00416496"/>
    <w:rsid w:val="00416755"/>
    <w:rsid w:val="0041680C"/>
    <w:rsid w:val="00416DB9"/>
    <w:rsid w:val="004177D3"/>
    <w:rsid w:val="004204F7"/>
    <w:rsid w:val="00420B98"/>
    <w:rsid w:val="00421601"/>
    <w:rsid w:val="00421977"/>
    <w:rsid w:val="00421F0D"/>
    <w:rsid w:val="004227E5"/>
    <w:rsid w:val="00422FB2"/>
    <w:rsid w:val="0042349E"/>
    <w:rsid w:val="004235B9"/>
    <w:rsid w:val="00423A5A"/>
    <w:rsid w:val="00423A85"/>
    <w:rsid w:val="00423C1C"/>
    <w:rsid w:val="004243E6"/>
    <w:rsid w:val="00424E89"/>
    <w:rsid w:val="00424F33"/>
    <w:rsid w:val="00425B4B"/>
    <w:rsid w:val="00425D0C"/>
    <w:rsid w:val="00426CB4"/>
    <w:rsid w:val="00427018"/>
    <w:rsid w:val="0043109B"/>
    <w:rsid w:val="00431113"/>
    <w:rsid w:val="00431249"/>
    <w:rsid w:val="0043146A"/>
    <w:rsid w:val="00431C36"/>
    <w:rsid w:val="00431EB0"/>
    <w:rsid w:val="00432253"/>
    <w:rsid w:val="00432668"/>
    <w:rsid w:val="00433F04"/>
    <w:rsid w:val="00434C19"/>
    <w:rsid w:val="00435A87"/>
    <w:rsid w:val="00435C8A"/>
    <w:rsid w:val="00435EDE"/>
    <w:rsid w:val="00436908"/>
    <w:rsid w:val="00437419"/>
    <w:rsid w:val="00440880"/>
    <w:rsid w:val="00441DD1"/>
    <w:rsid w:val="00442F7B"/>
    <w:rsid w:val="00443979"/>
    <w:rsid w:val="00443BD8"/>
    <w:rsid w:val="0044459C"/>
    <w:rsid w:val="00445562"/>
    <w:rsid w:val="00445844"/>
    <w:rsid w:val="00445971"/>
    <w:rsid w:val="0044628E"/>
    <w:rsid w:val="00446C16"/>
    <w:rsid w:val="00447402"/>
    <w:rsid w:val="00450506"/>
    <w:rsid w:val="00450810"/>
    <w:rsid w:val="00450A47"/>
    <w:rsid w:val="00453014"/>
    <w:rsid w:val="004532F4"/>
    <w:rsid w:val="00453EB8"/>
    <w:rsid w:val="0045417B"/>
    <w:rsid w:val="004548B6"/>
    <w:rsid w:val="0045524C"/>
    <w:rsid w:val="00456859"/>
    <w:rsid w:val="00460B88"/>
    <w:rsid w:val="00460C1E"/>
    <w:rsid w:val="00461543"/>
    <w:rsid w:val="00461A11"/>
    <w:rsid w:val="0046210B"/>
    <w:rsid w:val="004629BB"/>
    <w:rsid w:val="00463123"/>
    <w:rsid w:val="0046393E"/>
    <w:rsid w:val="004643C9"/>
    <w:rsid w:val="004669D6"/>
    <w:rsid w:val="00466A8C"/>
    <w:rsid w:val="00466D56"/>
    <w:rsid w:val="00467665"/>
    <w:rsid w:val="0047054B"/>
    <w:rsid w:val="00470737"/>
    <w:rsid w:val="00471A7F"/>
    <w:rsid w:val="00472091"/>
    <w:rsid w:val="00473471"/>
    <w:rsid w:val="0047394A"/>
    <w:rsid w:val="00474552"/>
    <w:rsid w:val="00474740"/>
    <w:rsid w:val="00475B2E"/>
    <w:rsid w:val="00475BAB"/>
    <w:rsid w:val="00475E55"/>
    <w:rsid w:val="004760BD"/>
    <w:rsid w:val="00477144"/>
    <w:rsid w:val="00477F77"/>
    <w:rsid w:val="00480BF7"/>
    <w:rsid w:val="004819A3"/>
    <w:rsid w:val="00481A9F"/>
    <w:rsid w:val="00481BA0"/>
    <w:rsid w:val="004826F7"/>
    <w:rsid w:val="004830AC"/>
    <w:rsid w:val="00483B44"/>
    <w:rsid w:val="00483EC5"/>
    <w:rsid w:val="00483FD4"/>
    <w:rsid w:val="004844A9"/>
    <w:rsid w:val="0048542F"/>
    <w:rsid w:val="00490E24"/>
    <w:rsid w:val="00491380"/>
    <w:rsid w:val="004915FE"/>
    <w:rsid w:val="004935CB"/>
    <w:rsid w:val="0049459F"/>
    <w:rsid w:val="004956CA"/>
    <w:rsid w:val="00495E74"/>
    <w:rsid w:val="004A045A"/>
    <w:rsid w:val="004A0BA4"/>
    <w:rsid w:val="004A16D8"/>
    <w:rsid w:val="004A2008"/>
    <w:rsid w:val="004A2873"/>
    <w:rsid w:val="004A38DD"/>
    <w:rsid w:val="004A50E7"/>
    <w:rsid w:val="004A6AAB"/>
    <w:rsid w:val="004A6D02"/>
    <w:rsid w:val="004A70DC"/>
    <w:rsid w:val="004B09E4"/>
    <w:rsid w:val="004B1239"/>
    <w:rsid w:val="004B273A"/>
    <w:rsid w:val="004B353D"/>
    <w:rsid w:val="004B43AE"/>
    <w:rsid w:val="004B44FA"/>
    <w:rsid w:val="004B4A02"/>
    <w:rsid w:val="004B579B"/>
    <w:rsid w:val="004C05FF"/>
    <w:rsid w:val="004C116E"/>
    <w:rsid w:val="004C194F"/>
    <w:rsid w:val="004C1B8F"/>
    <w:rsid w:val="004C30ED"/>
    <w:rsid w:val="004C32A4"/>
    <w:rsid w:val="004C3363"/>
    <w:rsid w:val="004C3962"/>
    <w:rsid w:val="004C39A0"/>
    <w:rsid w:val="004C3B9E"/>
    <w:rsid w:val="004C3EAE"/>
    <w:rsid w:val="004C520A"/>
    <w:rsid w:val="004C5C05"/>
    <w:rsid w:val="004C6132"/>
    <w:rsid w:val="004C6144"/>
    <w:rsid w:val="004C61FB"/>
    <w:rsid w:val="004C6842"/>
    <w:rsid w:val="004C73ED"/>
    <w:rsid w:val="004D179C"/>
    <w:rsid w:val="004D27F1"/>
    <w:rsid w:val="004D2AC2"/>
    <w:rsid w:val="004D4340"/>
    <w:rsid w:val="004D4584"/>
    <w:rsid w:val="004D51D9"/>
    <w:rsid w:val="004D551C"/>
    <w:rsid w:val="004D5675"/>
    <w:rsid w:val="004D6217"/>
    <w:rsid w:val="004D6D0E"/>
    <w:rsid w:val="004E0DA3"/>
    <w:rsid w:val="004E1759"/>
    <w:rsid w:val="004E2277"/>
    <w:rsid w:val="004E28AD"/>
    <w:rsid w:val="004E29A5"/>
    <w:rsid w:val="004E2ACF"/>
    <w:rsid w:val="004E2F5F"/>
    <w:rsid w:val="004E52E8"/>
    <w:rsid w:val="004E55CE"/>
    <w:rsid w:val="004E55E0"/>
    <w:rsid w:val="004E6523"/>
    <w:rsid w:val="004E6984"/>
    <w:rsid w:val="004E7F40"/>
    <w:rsid w:val="004F0EFC"/>
    <w:rsid w:val="004F1C20"/>
    <w:rsid w:val="004F2853"/>
    <w:rsid w:val="004F335A"/>
    <w:rsid w:val="004F419D"/>
    <w:rsid w:val="004F4841"/>
    <w:rsid w:val="004F5F41"/>
    <w:rsid w:val="004F7834"/>
    <w:rsid w:val="00500AFE"/>
    <w:rsid w:val="0050290D"/>
    <w:rsid w:val="00502AB3"/>
    <w:rsid w:val="00504596"/>
    <w:rsid w:val="00504D09"/>
    <w:rsid w:val="005051AA"/>
    <w:rsid w:val="00505F54"/>
    <w:rsid w:val="00506889"/>
    <w:rsid w:val="0050780F"/>
    <w:rsid w:val="0051059A"/>
    <w:rsid w:val="00510C07"/>
    <w:rsid w:val="00510D8F"/>
    <w:rsid w:val="005152FB"/>
    <w:rsid w:val="0051583D"/>
    <w:rsid w:val="00515947"/>
    <w:rsid w:val="00515C18"/>
    <w:rsid w:val="00517795"/>
    <w:rsid w:val="005177E1"/>
    <w:rsid w:val="00517BAB"/>
    <w:rsid w:val="00517E3F"/>
    <w:rsid w:val="00517E68"/>
    <w:rsid w:val="005207DB"/>
    <w:rsid w:val="00521960"/>
    <w:rsid w:val="00521B26"/>
    <w:rsid w:val="005226B0"/>
    <w:rsid w:val="00522F8B"/>
    <w:rsid w:val="00523639"/>
    <w:rsid w:val="00523922"/>
    <w:rsid w:val="00523FDA"/>
    <w:rsid w:val="00524383"/>
    <w:rsid w:val="0052552D"/>
    <w:rsid w:val="00525681"/>
    <w:rsid w:val="00525E2B"/>
    <w:rsid w:val="00526375"/>
    <w:rsid w:val="0052644A"/>
    <w:rsid w:val="005312EB"/>
    <w:rsid w:val="0053144F"/>
    <w:rsid w:val="005316BD"/>
    <w:rsid w:val="005319AD"/>
    <w:rsid w:val="005319E1"/>
    <w:rsid w:val="00531D50"/>
    <w:rsid w:val="00531FE5"/>
    <w:rsid w:val="00532614"/>
    <w:rsid w:val="00533B4C"/>
    <w:rsid w:val="00535D82"/>
    <w:rsid w:val="00536AF4"/>
    <w:rsid w:val="00537982"/>
    <w:rsid w:val="00537B02"/>
    <w:rsid w:val="005402FA"/>
    <w:rsid w:val="00543DBB"/>
    <w:rsid w:val="00543E02"/>
    <w:rsid w:val="005446E8"/>
    <w:rsid w:val="005452C6"/>
    <w:rsid w:val="005457D0"/>
    <w:rsid w:val="005460AA"/>
    <w:rsid w:val="005471DC"/>
    <w:rsid w:val="00551B13"/>
    <w:rsid w:val="00552677"/>
    <w:rsid w:val="005529F9"/>
    <w:rsid w:val="00552AAE"/>
    <w:rsid w:val="005537C0"/>
    <w:rsid w:val="005547C6"/>
    <w:rsid w:val="00555587"/>
    <w:rsid w:val="00556C35"/>
    <w:rsid w:val="005577D7"/>
    <w:rsid w:val="00560E4C"/>
    <w:rsid w:val="00561137"/>
    <w:rsid w:val="0056201C"/>
    <w:rsid w:val="005644C5"/>
    <w:rsid w:val="0056599A"/>
    <w:rsid w:val="0056696A"/>
    <w:rsid w:val="00566C01"/>
    <w:rsid w:val="00566C80"/>
    <w:rsid w:val="00567F73"/>
    <w:rsid w:val="005721DC"/>
    <w:rsid w:val="005729BD"/>
    <w:rsid w:val="00574907"/>
    <w:rsid w:val="00574B70"/>
    <w:rsid w:val="005750FA"/>
    <w:rsid w:val="00575EE4"/>
    <w:rsid w:val="0057682E"/>
    <w:rsid w:val="005802E3"/>
    <w:rsid w:val="005807BB"/>
    <w:rsid w:val="00581144"/>
    <w:rsid w:val="00581218"/>
    <w:rsid w:val="00581D57"/>
    <w:rsid w:val="005825EF"/>
    <w:rsid w:val="00582828"/>
    <w:rsid w:val="005828FE"/>
    <w:rsid w:val="00583A63"/>
    <w:rsid w:val="00583C39"/>
    <w:rsid w:val="00583D16"/>
    <w:rsid w:val="00584A80"/>
    <w:rsid w:val="0058524A"/>
    <w:rsid w:val="00586332"/>
    <w:rsid w:val="00586AA2"/>
    <w:rsid w:val="0058793B"/>
    <w:rsid w:val="00587EAC"/>
    <w:rsid w:val="00587F28"/>
    <w:rsid w:val="005901D2"/>
    <w:rsid w:val="00590614"/>
    <w:rsid w:val="005907CD"/>
    <w:rsid w:val="005909CF"/>
    <w:rsid w:val="00590FDE"/>
    <w:rsid w:val="00591CB7"/>
    <w:rsid w:val="00591E71"/>
    <w:rsid w:val="005939DC"/>
    <w:rsid w:val="0059463D"/>
    <w:rsid w:val="0059598A"/>
    <w:rsid w:val="00596253"/>
    <w:rsid w:val="00596C2A"/>
    <w:rsid w:val="00597BBE"/>
    <w:rsid w:val="00597D29"/>
    <w:rsid w:val="005A0107"/>
    <w:rsid w:val="005A01E1"/>
    <w:rsid w:val="005A0B3F"/>
    <w:rsid w:val="005A0D41"/>
    <w:rsid w:val="005A15B7"/>
    <w:rsid w:val="005A1738"/>
    <w:rsid w:val="005A1CC8"/>
    <w:rsid w:val="005A249F"/>
    <w:rsid w:val="005A2891"/>
    <w:rsid w:val="005A2AF5"/>
    <w:rsid w:val="005A2EF6"/>
    <w:rsid w:val="005A311C"/>
    <w:rsid w:val="005A4444"/>
    <w:rsid w:val="005A58A8"/>
    <w:rsid w:val="005A5A63"/>
    <w:rsid w:val="005A7844"/>
    <w:rsid w:val="005A7966"/>
    <w:rsid w:val="005B05D1"/>
    <w:rsid w:val="005B0A3A"/>
    <w:rsid w:val="005B22B4"/>
    <w:rsid w:val="005B253D"/>
    <w:rsid w:val="005B36BE"/>
    <w:rsid w:val="005B4D05"/>
    <w:rsid w:val="005B5046"/>
    <w:rsid w:val="005B5BF2"/>
    <w:rsid w:val="005B7BFA"/>
    <w:rsid w:val="005C05FD"/>
    <w:rsid w:val="005C174F"/>
    <w:rsid w:val="005C2E59"/>
    <w:rsid w:val="005C2E97"/>
    <w:rsid w:val="005C34DD"/>
    <w:rsid w:val="005C3B69"/>
    <w:rsid w:val="005C3D8C"/>
    <w:rsid w:val="005C410B"/>
    <w:rsid w:val="005C4D27"/>
    <w:rsid w:val="005C5D18"/>
    <w:rsid w:val="005C5E19"/>
    <w:rsid w:val="005C5F1E"/>
    <w:rsid w:val="005C7CAD"/>
    <w:rsid w:val="005D08B3"/>
    <w:rsid w:val="005D20E8"/>
    <w:rsid w:val="005D27FB"/>
    <w:rsid w:val="005D3421"/>
    <w:rsid w:val="005D3983"/>
    <w:rsid w:val="005D51F1"/>
    <w:rsid w:val="005D5781"/>
    <w:rsid w:val="005D5911"/>
    <w:rsid w:val="005D7746"/>
    <w:rsid w:val="005E076A"/>
    <w:rsid w:val="005E203B"/>
    <w:rsid w:val="005E2AAE"/>
    <w:rsid w:val="005E2DC7"/>
    <w:rsid w:val="005E447E"/>
    <w:rsid w:val="005E5B73"/>
    <w:rsid w:val="005E656B"/>
    <w:rsid w:val="005E67E6"/>
    <w:rsid w:val="005E6910"/>
    <w:rsid w:val="005E6B54"/>
    <w:rsid w:val="005E743B"/>
    <w:rsid w:val="005F0215"/>
    <w:rsid w:val="005F0E3B"/>
    <w:rsid w:val="005F1304"/>
    <w:rsid w:val="005F1E84"/>
    <w:rsid w:val="005F323C"/>
    <w:rsid w:val="005F48ED"/>
    <w:rsid w:val="005F4B5D"/>
    <w:rsid w:val="005F4F65"/>
    <w:rsid w:val="005F661C"/>
    <w:rsid w:val="005F6A78"/>
    <w:rsid w:val="005F7903"/>
    <w:rsid w:val="005F7D6E"/>
    <w:rsid w:val="0060030C"/>
    <w:rsid w:val="0060041C"/>
    <w:rsid w:val="00601467"/>
    <w:rsid w:val="00602081"/>
    <w:rsid w:val="00602772"/>
    <w:rsid w:val="00602CF4"/>
    <w:rsid w:val="00603889"/>
    <w:rsid w:val="00605C3C"/>
    <w:rsid w:val="00606E78"/>
    <w:rsid w:val="00607BF1"/>
    <w:rsid w:val="0061058B"/>
    <w:rsid w:val="00611879"/>
    <w:rsid w:val="00612CF9"/>
    <w:rsid w:val="0061305B"/>
    <w:rsid w:val="00613C09"/>
    <w:rsid w:val="006144D8"/>
    <w:rsid w:val="00614E5C"/>
    <w:rsid w:val="00616803"/>
    <w:rsid w:val="00617D9F"/>
    <w:rsid w:val="006205EC"/>
    <w:rsid w:val="00620666"/>
    <w:rsid w:val="00621894"/>
    <w:rsid w:val="00622FF0"/>
    <w:rsid w:val="00623962"/>
    <w:rsid w:val="00624CB8"/>
    <w:rsid w:val="00624DF6"/>
    <w:rsid w:val="00626022"/>
    <w:rsid w:val="0062624F"/>
    <w:rsid w:val="00626701"/>
    <w:rsid w:val="0062719D"/>
    <w:rsid w:val="00627FDE"/>
    <w:rsid w:val="00630D4D"/>
    <w:rsid w:val="00631BD3"/>
    <w:rsid w:val="00631D05"/>
    <w:rsid w:val="00632A74"/>
    <w:rsid w:val="00633801"/>
    <w:rsid w:val="00633CF3"/>
    <w:rsid w:val="00634D37"/>
    <w:rsid w:val="00634FFE"/>
    <w:rsid w:val="00635284"/>
    <w:rsid w:val="00635450"/>
    <w:rsid w:val="00635F40"/>
    <w:rsid w:val="00636D5B"/>
    <w:rsid w:val="006378A1"/>
    <w:rsid w:val="00637B90"/>
    <w:rsid w:val="00637D9D"/>
    <w:rsid w:val="00637E1A"/>
    <w:rsid w:val="00640544"/>
    <w:rsid w:val="006418E0"/>
    <w:rsid w:val="006420C9"/>
    <w:rsid w:val="006425E2"/>
    <w:rsid w:val="00642F12"/>
    <w:rsid w:val="006441B7"/>
    <w:rsid w:val="006462C6"/>
    <w:rsid w:val="0064697A"/>
    <w:rsid w:val="00647ECF"/>
    <w:rsid w:val="00650572"/>
    <w:rsid w:val="006512DE"/>
    <w:rsid w:val="00651E48"/>
    <w:rsid w:val="00651E71"/>
    <w:rsid w:val="006528EA"/>
    <w:rsid w:val="00652A04"/>
    <w:rsid w:val="00652D1A"/>
    <w:rsid w:val="00653ABD"/>
    <w:rsid w:val="006543B2"/>
    <w:rsid w:val="006543D7"/>
    <w:rsid w:val="006545FA"/>
    <w:rsid w:val="00654608"/>
    <w:rsid w:val="00654D42"/>
    <w:rsid w:val="006552C0"/>
    <w:rsid w:val="00655F9B"/>
    <w:rsid w:val="00655FB7"/>
    <w:rsid w:val="0065627B"/>
    <w:rsid w:val="006563A6"/>
    <w:rsid w:val="00656E83"/>
    <w:rsid w:val="006576C5"/>
    <w:rsid w:val="00657D91"/>
    <w:rsid w:val="0066094F"/>
    <w:rsid w:val="006609DC"/>
    <w:rsid w:val="0066105D"/>
    <w:rsid w:val="006612C6"/>
    <w:rsid w:val="00661E9A"/>
    <w:rsid w:val="00662246"/>
    <w:rsid w:val="00662841"/>
    <w:rsid w:val="006634B8"/>
    <w:rsid w:val="006639CA"/>
    <w:rsid w:val="00664141"/>
    <w:rsid w:val="0066417B"/>
    <w:rsid w:val="0066472F"/>
    <w:rsid w:val="006649F3"/>
    <w:rsid w:val="00665086"/>
    <w:rsid w:val="00665A0D"/>
    <w:rsid w:val="00666971"/>
    <w:rsid w:val="00667929"/>
    <w:rsid w:val="00670264"/>
    <w:rsid w:val="006708E8"/>
    <w:rsid w:val="00670990"/>
    <w:rsid w:val="006715C4"/>
    <w:rsid w:val="006722E1"/>
    <w:rsid w:val="0067241B"/>
    <w:rsid w:val="00673A23"/>
    <w:rsid w:val="00673DAF"/>
    <w:rsid w:val="00674C7D"/>
    <w:rsid w:val="00675D45"/>
    <w:rsid w:val="00675F59"/>
    <w:rsid w:val="00676150"/>
    <w:rsid w:val="00676532"/>
    <w:rsid w:val="00677C13"/>
    <w:rsid w:val="0068081E"/>
    <w:rsid w:val="00680BD9"/>
    <w:rsid w:val="00680D33"/>
    <w:rsid w:val="0068232F"/>
    <w:rsid w:val="00682D18"/>
    <w:rsid w:val="00683206"/>
    <w:rsid w:val="0068326A"/>
    <w:rsid w:val="00683524"/>
    <w:rsid w:val="00683560"/>
    <w:rsid w:val="00685014"/>
    <w:rsid w:val="006874CA"/>
    <w:rsid w:val="006878E0"/>
    <w:rsid w:val="00691977"/>
    <w:rsid w:val="00691CF4"/>
    <w:rsid w:val="00692554"/>
    <w:rsid w:val="00692646"/>
    <w:rsid w:val="00692BDD"/>
    <w:rsid w:val="00692D23"/>
    <w:rsid w:val="00692EEC"/>
    <w:rsid w:val="00692F31"/>
    <w:rsid w:val="00693DEB"/>
    <w:rsid w:val="0069469E"/>
    <w:rsid w:val="0069594E"/>
    <w:rsid w:val="00695E5A"/>
    <w:rsid w:val="00697A29"/>
    <w:rsid w:val="006A0D33"/>
    <w:rsid w:val="006A1235"/>
    <w:rsid w:val="006A1A42"/>
    <w:rsid w:val="006A2D6B"/>
    <w:rsid w:val="006A4655"/>
    <w:rsid w:val="006A480B"/>
    <w:rsid w:val="006A516F"/>
    <w:rsid w:val="006A5FC8"/>
    <w:rsid w:val="006A63BA"/>
    <w:rsid w:val="006A655A"/>
    <w:rsid w:val="006A691B"/>
    <w:rsid w:val="006A7FA6"/>
    <w:rsid w:val="006B222D"/>
    <w:rsid w:val="006B2B3C"/>
    <w:rsid w:val="006B3501"/>
    <w:rsid w:val="006B38C5"/>
    <w:rsid w:val="006C0516"/>
    <w:rsid w:val="006C0CD9"/>
    <w:rsid w:val="006C1447"/>
    <w:rsid w:val="006C15E9"/>
    <w:rsid w:val="006C17CC"/>
    <w:rsid w:val="006C1D81"/>
    <w:rsid w:val="006C1E3D"/>
    <w:rsid w:val="006C1F69"/>
    <w:rsid w:val="006C23EE"/>
    <w:rsid w:val="006C33AD"/>
    <w:rsid w:val="006C34AF"/>
    <w:rsid w:val="006C4399"/>
    <w:rsid w:val="006C5CD1"/>
    <w:rsid w:val="006C5D00"/>
    <w:rsid w:val="006C6468"/>
    <w:rsid w:val="006C6543"/>
    <w:rsid w:val="006C6C7C"/>
    <w:rsid w:val="006C7038"/>
    <w:rsid w:val="006C708F"/>
    <w:rsid w:val="006C7A93"/>
    <w:rsid w:val="006D132A"/>
    <w:rsid w:val="006D1C1D"/>
    <w:rsid w:val="006D2924"/>
    <w:rsid w:val="006D2C0B"/>
    <w:rsid w:val="006D2D0A"/>
    <w:rsid w:val="006D2D21"/>
    <w:rsid w:val="006D4380"/>
    <w:rsid w:val="006D461A"/>
    <w:rsid w:val="006D5FE3"/>
    <w:rsid w:val="006D666E"/>
    <w:rsid w:val="006D780D"/>
    <w:rsid w:val="006E1360"/>
    <w:rsid w:val="006E1D7C"/>
    <w:rsid w:val="006E1EE4"/>
    <w:rsid w:val="006E3031"/>
    <w:rsid w:val="006E30DD"/>
    <w:rsid w:val="006E3559"/>
    <w:rsid w:val="006E421B"/>
    <w:rsid w:val="006E4C8A"/>
    <w:rsid w:val="006E5513"/>
    <w:rsid w:val="006E57F3"/>
    <w:rsid w:val="006E6570"/>
    <w:rsid w:val="006E6920"/>
    <w:rsid w:val="006E6B94"/>
    <w:rsid w:val="006E73EF"/>
    <w:rsid w:val="006E79F2"/>
    <w:rsid w:val="006E7F5F"/>
    <w:rsid w:val="006F19B7"/>
    <w:rsid w:val="006F285E"/>
    <w:rsid w:val="006F37EC"/>
    <w:rsid w:val="006F5788"/>
    <w:rsid w:val="006F5DC0"/>
    <w:rsid w:val="006F66ED"/>
    <w:rsid w:val="006F6926"/>
    <w:rsid w:val="006F6A98"/>
    <w:rsid w:val="006F6FE6"/>
    <w:rsid w:val="006F7BF8"/>
    <w:rsid w:val="007015AE"/>
    <w:rsid w:val="00701B2E"/>
    <w:rsid w:val="00702B69"/>
    <w:rsid w:val="007030B2"/>
    <w:rsid w:val="00703362"/>
    <w:rsid w:val="007044E4"/>
    <w:rsid w:val="00704F8F"/>
    <w:rsid w:val="0070608E"/>
    <w:rsid w:val="00706189"/>
    <w:rsid w:val="00707010"/>
    <w:rsid w:val="007079C9"/>
    <w:rsid w:val="00710221"/>
    <w:rsid w:val="00710EC4"/>
    <w:rsid w:val="00711520"/>
    <w:rsid w:val="00711957"/>
    <w:rsid w:val="00711D7F"/>
    <w:rsid w:val="00712DA5"/>
    <w:rsid w:val="007138A5"/>
    <w:rsid w:val="00713E21"/>
    <w:rsid w:val="007149DA"/>
    <w:rsid w:val="00714D4D"/>
    <w:rsid w:val="0071502B"/>
    <w:rsid w:val="0071603D"/>
    <w:rsid w:val="007160F3"/>
    <w:rsid w:val="007169D2"/>
    <w:rsid w:val="00716A51"/>
    <w:rsid w:val="00716F61"/>
    <w:rsid w:val="0071767B"/>
    <w:rsid w:val="00717B5C"/>
    <w:rsid w:val="00717C28"/>
    <w:rsid w:val="007217BA"/>
    <w:rsid w:val="0072272C"/>
    <w:rsid w:val="00722C9E"/>
    <w:rsid w:val="00723B38"/>
    <w:rsid w:val="00723FD7"/>
    <w:rsid w:val="007244E3"/>
    <w:rsid w:val="00724843"/>
    <w:rsid w:val="00724C67"/>
    <w:rsid w:val="007255E9"/>
    <w:rsid w:val="00726170"/>
    <w:rsid w:val="007262AE"/>
    <w:rsid w:val="007266D3"/>
    <w:rsid w:val="007273D5"/>
    <w:rsid w:val="00727B0E"/>
    <w:rsid w:val="00730161"/>
    <w:rsid w:val="00732029"/>
    <w:rsid w:val="00733FDB"/>
    <w:rsid w:val="00734855"/>
    <w:rsid w:val="00735C62"/>
    <w:rsid w:val="007365E5"/>
    <w:rsid w:val="00737D91"/>
    <w:rsid w:val="00737F9C"/>
    <w:rsid w:val="00740BF7"/>
    <w:rsid w:val="00740DBA"/>
    <w:rsid w:val="00740F7F"/>
    <w:rsid w:val="00742CD0"/>
    <w:rsid w:val="007434FA"/>
    <w:rsid w:val="00744721"/>
    <w:rsid w:val="00745FAE"/>
    <w:rsid w:val="00746C4F"/>
    <w:rsid w:val="007470DA"/>
    <w:rsid w:val="0074736B"/>
    <w:rsid w:val="007475C1"/>
    <w:rsid w:val="007476E9"/>
    <w:rsid w:val="00750C89"/>
    <w:rsid w:val="0075128E"/>
    <w:rsid w:val="0075197D"/>
    <w:rsid w:val="00751F45"/>
    <w:rsid w:val="00752C72"/>
    <w:rsid w:val="00753034"/>
    <w:rsid w:val="00754907"/>
    <w:rsid w:val="00754AC8"/>
    <w:rsid w:val="00754CEF"/>
    <w:rsid w:val="007550C3"/>
    <w:rsid w:val="00755410"/>
    <w:rsid w:val="00755D40"/>
    <w:rsid w:val="0075769C"/>
    <w:rsid w:val="00757BA7"/>
    <w:rsid w:val="007604BB"/>
    <w:rsid w:val="007614E1"/>
    <w:rsid w:val="00761D2F"/>
    <w:rsid w:val="00762328"/>
    <w:rsid w:val="007627AF"/>
    <w:rsid w:val="0076419E"/>
    <w:rsid w:val="00766976"/>
    <w:rsid w:val="00766ED3"/>
    <w:rsid w:val="007671A5"/>
    <w:rsid w:val="007673B8"/>
    <w:rsid w:val="00771114"/>
    <w:rsid w:val="007711C7"/>
    <w:rsid w:val="00771374"/>
    <w:rsid w:val="00771A22"/>
    <w:rsid w:val="00772AEF"/>
    <w:rsid w:val="00772E7D"/>
    <w:rsid w:val="00773298"/>
    <w:rsid w:val="0077393C"/>
    <w:rsid w:val="007739F8"/>
    <w:rsid w:val="007761AE"/>
    <w:rsid w:val="007761DC"/>
    <w:rsid w:val="00776D8F"/>
    <w:rsid w:val="00777735"/>
    <w:rsid w:val="007779C2"/>
    <w:rsid w:val="00777C1B"/>
    <w:rsid w:val="00780D97"/>
    <w:rsid w:val="00782271"/>
    <w:rsid w:val="007825C4"/>
    <w:rsid w:val="00783C79"/>
    <w:rsid w:val="00785232"/>
    <w:rsid w:val="007857FB"/>
    <w:rsid w:val="00785B0F"/>
    <w:rsid w:val="00787079"/>
    <w:rsid w:val="00787535"/>
    <w:rsid w:val="00787E48"/>
    <w:rsid w:val="007902CC"/>
    <w:rsid w:val="0079048B"/>
    <w:rsid w:val="00790B91"/>
    <w:rsid w:val="007912C6"/>
    <w:rsid w:val="007915E0"/>
    <w:rsid w:val="00791906"/>
    <w:rsid w:val="00791B1F"/>
    <w:rsid w:val="00792996"/>
    <w:rsid w:val="00792D40"/>
    <w:rsid w:val="00794693"/>
    <w:rsid w:val="007946D1"/>
    <w:rsid w:val="0079484C"/>
    <w:rsid w:val="007949D5"/>
    <w:rsid w:val="00795E8F"/>
    <w:rsid w:val="007968DC"/>
    <w:rsid w:val="0079701E"/>
    <w:rsid w:val="00797D9E"/>
    <w:rsid w:val="007A144E"/>
    <w:rsid w:val="007A17A5"/>
    <w:rsid w:val="007A1DCD"/>
    <w:rsid w:val="007A20C7"/>
    <w:rsid w:val="007A21EB"/>
    <w:rsid w:val="007A3512"/>
    <w:rsid w:val="007A4032"/>
    <w:rsid w:val="007A4FC4"/>
    <w:rsid w:val="007A54AE"/>
    <w:rsid w:val="007A70DB"/>
    <w:rsid w:val="007B00C8"/>
    <w:rsid w:val="007B1A10"/>
    <w:rsid w:val="007B1A93"/>
    <w:rsid w:val="007B21F1"/>
    <w:rsid w:val="007B2A35"/>
    <w:rsid w:val="007B2B1A"/>
    <w:rsid w:val="007B2F43"/>
    <w:rsid w:val="007B31C4"/>
    <w:rsid w:val="007B38B8"/>
    <w:rsid w:val="007B3B09"/>
    <w:rsid w:val="007B6177"/>
    <w:rsid w:val="007B7869"/>
    <w:rsid w:val="007C082F"/>
    <w:rsid w:val="007C0C05"/>
    <w:rsid w:val="007C1402"/>
    <w:rsid w:val="007C1B8E"/>
    <w:rsid w:val="007C2144"/>
    <w:rsid w:val="007C343B"/>
    <w:rsid w:val="007C36C9"/>
    <w:rsid w:val="007C3812"/>
    <w:rsid w:val="007C3C66"/>
    <w:rsid w:val="007C4707"/>
    <w:rsid w:val="007C5946"/>
    <w:rsid w:val="007C6E54"/>
    <w:rsid w:val="007C750C"/>
    <w:rsid w:val="007C77BD"/>
    <w:rsid w:val="007C7A55"/>
    <w:rsid w:val="007C7AED"/>
    <w:rsid w:val="007D0EAE"/>
    <w:rsid w:val="007D10A4"/>
    <w:rsid w:val="007D180D"/>
    <w:rsid w:val="007D2C08"/>
    <w:rsid w:val="007D328C"/>
    <w:rsid w:val="007D491F"/>
    <w:rsid w:val="007D4A05"/>
    <w:rsid w:val="007D58D7"/>
    <w:rsid w:val="007D5ABB"/>
    <w:rsid w:val="007D5B28"/>
    <w:rsid w:val="007D5DEE"/>
    <w:rsid w:val="007D5F9D"/>
    <w:rsid w:val="007D6401"/>
    <w:rsid w:val="007D6797"/>
    <w:rsid w:val="007D6F46"/>
    <w:rsid w:val="007E0183"/>
    <w:rsid w:val="007E01E4"/>
    <w:rsid w:val="007E06B6"/>
    <w:rsid w:val="007E0D2A"/>
    <w:rsid w:val="007E0F11"/>
    <w:rsid w:val="007E21EC"/>
    <w:rsid w:val="007E268D"/>
    <w:rsid w:val="007E3A09"/>
    <w:rsid w:val="007E3BD0"/>
    <w:rsid w:val="007E47E1"/>
    <w:rsid w:val="007E4839"/>
    <w:rsid w:val="007E4919"/>
    <w:rsid w:val="007E53BC"/>
    <w:rsid w:val="007E5685"/>
    <w:rsid w:val="007E65FA"/>
    <w:rsid w:val="007E678F"/>
    <w:rsid w:val="007E6B27"/>
    <w:rsid w:val="007E6C82"/>
    <w:rsid w:val="007E77F8"/>
    <w:rsid w:val="007E7A12"/>
    <w:rsid w:val="007E7BCF"/>
    <w:rsid w:val="007F003B"/>
    <w:rsid w:val="007F12F6"/>
    <w:rsid w:val="007F13AD"/>
    <w:rsid w:val="007F3472"/>
    <w:rsid w:val="007F4A2F"/>
    <w:rsid w:val="007F5324"/>
    <w:rsid w:val="007F5901"/>
    <w:rsid w:val="007F7107"/>
    <w:rsid w:val="007F75C4"/>
    <w:rsid w:val="008000C9"/>
    <w:rsid w:val="00800846"/>
    <w:rsid w:val="008008C4"/>
    <w:rsid w:val="00800D4C"/>
    <w:rsid w:val="00801A29"/>
    <w:rsid w:val="00801FE9"/>
    <w:rsid w:val="00802163"/>
    <w:rsid w:val="00802192"/>
    <w:rsid w:val="008023B6"/>
    <w:rsid w:val="00802A7C"/>
    <w:rsid w:val="0080418D"/>
    <w:rsid w:val="00804D4A"/>
    <w:rsid w:val="00805D0D"/>
    <w:rsid w:val="00807C2A"/>
    <w:rsid w:val="0081030F"/>
    <w:rsid w:val="0081059F"/>
    <w:rsid w:val="008114CA"/>
    <w:rsid w:val="00811701"/>
    <w:rsid w:val="008122E2"/>
    <w:rsid w:val="008124F2"/>
    <w:rsid w:val="00812A56"/>
    <w:rsid w:val="00812F4A"/>
    <w:rsid w:val="00814206"/>
    <w:rsid w:val="00814B7B"/>
    <w:rsid w:val="00816050"/>
    <w:rsid w:val="008175CE"/>
    <w:rsid w:val="00817B0B"/>
    <w:rsid w:val="0082053B"/>
    <w:rsid w:val="0082087D"/>
    <w:rsid w:val="00821F36"/>
    <w:rsid w:val="008221E3"/>
    <w:rsid w:val="008222FC"/>
    <w:rsid w:val="00822637"/>
    <w:rsid w:val="00823822"/>
    <w:rsid w:val="00823E45"/>
    <w:rsid w:val="00824794"/>
    <w:rsid w:val="008248BF"/>
    <w:rsid w:val="008252E1"/>
    <w:rsid w:val="00826300"/>
    <w:rsid w:val="008271FC"/>
    <w:rsid w:val="00827207"/>
    <w:rsid w:val="008278FD"/>
    <w:rsid w:val="00830471"/>
    <w:rsid w:val="008304F9"/>
    <w:rsid w:val="008309B9"/>
    <w:rsid w:val="008311E0"/>
    <w:rsid w:val="00831653"/>
    <w:rsid w:val="00832090"/>
    <w:rsid w:val="0083306E"/>
    <w:rsid w:val="008331C9"/>
    <w:rsid w:val="0083402E"/>
    <w:rsid w:val="0083452B"/>
    <w:rsid w:val="00835771"/>
    <w:rsid w:val="00835C7B"/>
    <w:rsid w:val="00836A0B"/>
    <w:rsid w:val="00837375"/>
    <w:rsid w:val="00837E4A"/>
    <w:rsid w:val="008417A9"/>
    <w:rsid w:val="00842933"/>
    <w:rsid w:val="00842C61"/>
    <w:rsid w:val="00842FD1"/>
    <w:rsid w:val="00843BC8"/>
    <w:rsid w:val="008440B8"/>
    <w:rsid w:val="008443D1"/>
    <w:rsid w:val="00845775"/>
    <w:rsid w:val="0084694A"/>
    <w:rsid w:val="00846AA1"/>
    <w:rsid w:val="00846BBA"/>
    <w:rsid w:val="00846D5A"/>
    <w:rsid w:val="00846E73"/>
    <w:rsid w:val="00847BE0"/>
    <w:rsid w:val="00850A18"/>
    <w:rsid w:val="00850CF7"/>
    <w:rsid w:val="008518B7"/>
    <w:rsid w:val="008525F0"/>
    <w:rsid w:val="00852CAA"/>
    <w:rsid w:val="00852F81"/>
    <w:rsid w:val="008534D3"/>
    <w:rsid w:val="00853B41"/>
    <w:rsid w:val="00855020"/>
    <w:rsid w:val="00856EE2"/>
    <w:rsid w:val="00857AD8"/>
    <w:rsid w:val="0086082C"/>
    <w:rsid w:val="0086086A"/>
    <w:rsid w:val="00860A6E"/>
    <w:rsid w:val="00861FBE"/>
    <w:rsid w:val="008624F4"/>
    <w:rsid w:val="00862625"/>
    <w:rsid w:val="00863A86"/>
    <w:rsid w:val="00864368"/>
    <w:rsid w:val="00864ADC"/>
    <w:rsid w:val="00864B94"/>
    <w:rsid w:val="0086629D"/>
    <w:rsid w:val="00866B3E"/>
    <w:rsid w:val="00866EA7"/>
    <w:rsid w:val="0086715B"/>
    <w:rsid w:val="00867847"/>
    <w:rsid w:val="0086786B"/>
    <w:rsid w:val="00871CD5"/>
    <w:rsid w:val="00871F7A"/>
    <w:rsid w:val="00872C52"/>
    <w:rsid w:val="00874594"/>
    <w:rsid w:val="00874A3E"/>
    <w:rsid w:val="00874CBE"/>
    <w:rsid w:val="00875983"/>
    <w:rsid w:val="00876466"/>
    <w:rsid w:val="00877060"/>
    <w:rsid w:val="0087738D"/>
    <w:rsid w:val="00880153"/>
    <w:rsid w:val="0088055A"/>
    <w:rsid w:val="0088057B"/>
    <w:rsid w:val="00880F97"/>
    <w:rsid w:val="0088133A"/>
    <w:rsid w:val="008818BC"/>
    <w:rsid w:val="00881E34"/>
    <w:rsid w:val="00881E55"/>
    <w:rsid w:val="008820CF"/>
    <w:rsid w:val="008821E9"/>
    <w:rsid w:val="0088224F"/>
    <w:rsid w:val="00883885"/>
    <w:rsid w:val="00884468"/>
    <w:rsid w:val="00884782"/>
    <w:rsid w:val="00884938"/>
    <w:rsid w:val="00886939"/>
    <w:rsid w:val="008878B0"/>
    <w:rsid w:val="00887DE3"/>
    <w:rsid w:val="0089170F"/>
    <w:rsid w:val="00891A13"/>
    <w:rsid w:val="0089285E"/>
    <w:rsid w:val="00893496"/>
    <w:rsid w:val="008937AB"/>
    <w:rsid w:val="0089436C"/>
    <w:rsid w:val="00895C4F"/>
    <w:rsid w:val="00895D98"/>
    <w:rsid w:val="00896DE3"/>
    <w:rsid w:val="00897CE1"/>
    <w:rsid w:val="008A0AFB"/>
    <w:rsid w:val="008A35CD"/>
    <w:rsid w:val="008A455D"/>
    <w:rsid w:val="008A5255"/>
    <w:rsid w:val="008A542E"/>
    <w:rsid w:val="008A59AF"/>
    <w:rsid w:val="008A69D9"/>
    <w:rsid w:val="008A702B"/>
    <w:rsid w:val="008A7082"/>
    <w:rsid w:val="008B0F2C"/>
    <w:rsid w:val="008B15C6"/>
    <w:rsid w:val="008B16B4"/>
    <w:rsid w:val="008B358A"/>
    <w:rsid w:val="008B38E8"/>
    <w:rsid w:val="008B39D6"/>
    <w:rsid w:val="008B7DBA"/>
    <w:rsid w:val="008C014B"/>
    <w:rsid w:val="008C079F"/>
    <w:rsid w:val="008C0F0C"/>
    <w:rsid w:val="008C3104"/>
    <w:rsid w:val="008C32D7"/>
    <w:rsid w:val="008C4764"/>
    <w:rsid w:val="008C4B9E"/>
    <w:rsid w:val="008C5C49"/>
    <w:rsid w:val="008C7494"/>
    <w:rsid w:val="008C7983"/>
    <w:rsid w:val="008D032C"/>
    <w:rsid w:val="008D09C7"/>
    <w:rsid w:val="008D09F1"/>
    <w:rsid w:val="008D0FF2"/>
    <w:rsid w:val="008D1101"/>
    <w:rsid w:val="008D149F"/>
    <w:rsid w:val="008D1FB8"/>
    <w:rsid w:val="008D334D"/>
    <w:rsid w:val="008D33B9"/>
    <w:rsid w:val="008D365C"/>
    <w:rsid w:val="008D3D4C"/>
    <w:rsid w:val="008D4346"/>
    <w:rsid w:val="008D444B"/>
    <w:rsid w:val="008D4492"/>
    <w:rsid w:val="008D4DEC"/>
    <w:rsid w:val="008D4E20"/>
    <w:rsid w:val="008D4F20"/>
    <w:rsid w:val="008D54E7"/>
    <w:rsid w:val="008D74BE"/>
    <w:rsid w:val="008D7A29"/>
    <w:rsid w:val="008D7F58"/>
    <w:rsid w:val="008E026B"/>
    <w:rsid w:val="008E0B35"/>
    <w:rsid w:val="008E2000"/>
    <w:rsid w:val="008E218C"/>
    <w:rsid w:val="008E2528"/>
    <w:rsid w:val="008E2A12"/>
    <w:rsid w:val="008E30B0"/>
    <w:rsid w:val="008E3280"/>
    <w:rsid w:val="008E55CB"/>
    <w:rsid w:val="008E7681"/>
    <w:rsid w:val="008E7834"/>
    <w:rsid w:val="008E78C8"/>
    <w:rsid w:val="008F0550"/>
    <w:rsid w:val="008F0E63"/>
    <w:rsid w:val="008F1564"/>
    <w:rsid w:val="008F1C4C"/>
    <w:rsid w:val="008F2573"/>
    <w:rsid w:val="008F2B58"/>
    <w:rsid w:val="008F2BC1"/>
    <w:rsid w:val="008F2E6E"/>
    <w:rsid w:val="008F3B29"/>
    <w:rsid w:val="008F4085"/>
    <w:rsid w:val="008F4785"/>
    <w:rsid w:val="008F4D6D"/>
    <w:rsid w:val="008F4F7F"/>
    <w:rsid w:val="008F5C6C"/>
    <w:rsid w:val="008F6CB1"/>
    <w:rsid w:val="008F7AFF"/>
    <w:rsid w:val="009002F4"/>
    <w:rsid w:val="00900710"/>
    <w:rsid w:val="0090166F"/>
    <w:rsid w:val="0090255F"/>
    <w:rsid w:val="00902B2B"/>
    <w:rsid w:val="009030BF"/>
    <w:rsid w:val="00903B52"/>
    <w:rsid w:val="00903B8E"/>
    <w:rsid w:val="009044A1"/>
    <w:rsid w:val="009046E4"/>
    <w:rsid w:val="00904B92"/>
    <w:rsid w:val="00905405"/>
    <w:rsid w:val="00906383"/>
    <w:rsid w:val="00906652"/>
    <w:rsid w:val="00906AC9"/>
    <w:rsid w:val="00906D94"/>
    <w:rsid w:val="009071B3"/>
    <w:rsid w:val="00907CE8"/>
    <w:rsid w:val="0091032F"/>
    <w:rsid w:val="009105BD"/>
    <w:rsid w:val="0091195D"/>
    <w:rsid w:val="00912250"/>
    <w:rsid w:val="00913BB4"/>
    <w:rsid w:val="00914368"/>
    <w:rsid w:val="00915425"/>
    <w:rsid w:val="00916639"/>
    <w:rsid w:val="009168C7"/>
    <w:rsid w:val="00921675"/>
    <w:rsid w:val="00922CF0"/>
    <w:rsid w:val="00923632"/>
    <w:rsid w:val="0092377C"/>
    <w:rsid w:val="00923F56"/>
    <w:rsid w:val="00924852"/>
    <w:rsid w:val="00925386"/>
    <w:rsid w:val="009253BB"/>
    <w:rsid w:val="009274F4"/>
    <w:rsid w:val="00931076"/>
    <w:rsid w:val="00931494"/>
    <w:rsid w:val="009321AA"/>
    <w:rsid w:val="009321EC"/>
    <w:rsid w:val="00932254"/>
    <w:rsid w:val="00932A94"/>
    <w:rsid w:val="00932F0F"/>
    <w:rsid w:val="009345D9"/>
    <w:rsid w:val="00934B15"/>
    <w:rsid w:val="00935096"/>
    <w:rsid w:val="00935525"/>
    <w:rsid w:val="00935A7A"/>
    <w:rsid w:val="00936DE8"/>
    <w:rsid w:val="0093748A"/>
    <w:rsid w:val="0093798C"/>
    <w:rsid w:val="00940019"/>
    <w:rsid w:val="00940370"/>
    <w:rsid w:val="00940C87"/>
    <w:rsid w:val="0094135F"/>
    <w:rsid w:val="00942B62"/>
    <w:rsid w:val="009437F6"/>
    <w:rsid w:val="00943877"/>
    <w:rsid w:val="00944542"/>
    <w:rsid w:val="0094462D"/>
    <w:rsid w:val="009456FD"/>
    <w:rsid w:val="009459ED"/>
    <w:rsid w:val="00946847"/>
    <w:rsid w:val="00947AC3"/>
    <w:rsid w:val="00947AEE"/>
    <w:rsid w:val="00947C46"/>
    <w:rsid w:val="009500E2"/>
    <w:rsid w:val="00951479"/>
    <w:rsid w:val="0095167E"/>
    <w:rsid w:val="00951802"/>
    <w:rsid w:val="00953097"/>
    <w:rsid w:val="0095323B"/>
    <w:rsid w:val="00954D31"/>
    <w:rsid w:val="009550A1"/>
    <w:rsid w:val="009555C2"/>
    <w:rsid w:val="00956129"/>
    <w:rsid w:val="00956A0C"/>
    <w:rsid w:val="00956BD9"/>
    <w:rsid w:val="009570E5"/>
    <w:rsid w:val="009605AF"/>
    <w:rsid w:val="009609D0"/>
    <w:rsid w:val="00962489"/>
    <w:rsid w:val="0096263D"/>
    <w:rsid w:val="00962D81"/>
    <w:rsid w:val="009637E7"/>
    <w:rsid w:val="0096513C"/>
    <w:rsid w:val="009656CE"/>
    <w:rsid w:val="0096571F"/>
    <w:rsid w:val="00966518"/>
    <w:rsid w:val="00967190"/>
    <w:rsid w:val="009677E7"/>
    <w:rsid w:val="00967CD3"/>
    <w:rsid w:val="0097023D"/>
    <w:rsid w:val="00970946"/>
    <w:rsid w:val="00970EFB"/>
    <w:rsid w:val="0097221B"/>
    <w:rsid w:val="00973FD9"/>
    <w:rsid w:val="00973FFB"/>
    <w:rsid w:val="009740D6"/>
    <w:rsid w:val="00975348"/>
    <w:rsid w:val="00975D26"/>
    <w:rsid w:val="00977308"/>
    <w:rsid w:val="009807FC"/>
    <w:rsid w:val="0098080C"/>
    <w:rsid w:val="00981E53"/>
    <w:rsid w:val="0098206D"/>
    <w:rsid w:val="009836D7"/>
    <w:rsid w:val="009839EF"/>
    <w:rsid w:val="00983B51"/>
    <w:rsid w:val="0098486A"/>
    <w:rsid w:val="00984F1A"/>
    <w:rsid w:val="009850F7"/>
    <w:rsid w:val="00985CA5"/>
    <w:rsid w:val="009869D8"/>
    <w:rsid w:val="00986A8E"/>
    <w:rsid w:val="00986C90"/>
    <w:rsid w:val="00986DE2"/>
    <w:rsid w:val="009873A9"/>
    <w:rsid w:val="009875DA"/>
    <w:rsid w:val="00987885"/>
    <w:rsid w:val="00987BB2"/>
    <w:rsid w:val="00990C2C"/>
    <w:rsid w:val="00991115"/>
    <w:rsid w:val="009919C6"/>
    <w:rsid w:val="00992300"/>
    <w:rsid w:val="009928D9"/>
    <w:rsid w:val="00992F10"/>
    <w:rsid w:val="00993679"/>
    <w:rsid w:val="0099389B"/>
    <w:rsid w:val="009938B8"/>
    <w:rsid w:val="00994530"/>
    <w:rsid w:val="00995C33"/>
    <w:rsid w:val="00996668"/>
    <w:rsid w:val="009968DA"/>
    <w:rsid w:val="009A2FDF"/>
    <w:rsid w:val="009A304C"/>
    <w:rsid w:val="009A33A4"/>
    <w:rsid w:val="009A340B"/>
    <w:rsid w:val="009A3658"/>
    <w:rsid w:val="009A541B"/>
    <w:rsid w:val="009A78CF"/>
    <w:rsid w:val="009A7A5F"/>
    <w:rsid w:val="009A7C8D"/>
    <w:rsid w:val="009A7D4D"/>
    <w:rsid w:val="009B106F"/>
    <w:rsid w:val="009B169F"/>
    <w:rsid w:val="009B25A1"/>
    <w:rsid w:val="009B27EE"/>
    <w:rsid w:val="009B307D"/>
    <w:rsid w:val="009B3C04"/>
    <w:rsid w:val="009B3E8F"/>
    <w:rsid w:val="009B4216"/>
    <w:rsid w:val="009B4891"/>
    <w:rsid w:val="009B49A5"/>
    <w:rsid w:val="009B53BA"/>
    <w:rsid w:val="009B57D3"/>
    <w:rsid w:val="009B5A57"/>
    <w:rsid w:val="009B5C83"/>
    <w:rsid w:val="009B641C"/>
    <w:rsid w:val="009B7915"/>
    <w:rsid w:val="009B7CBC"/>
    <w:rsid w:val="009B7E0C"/>
    <w:rsid w:val="009C0075"/>
    <w:rsid w:val="009C0728"/>
    <w:rsid w:val="009C1351"/>
    <w:rsid w:val="009C1EF0"/>
    <w:rsid w:val="009C2819"/>
    <w:rsid w:val="009C3815"/>
    <w:rsid w:val="009C5362"/>
    <w:rsid w:val="009C5631"/>
    <w:rsid w:val="009C5E37"/>
    <w:rsid w:val="009C6854"/>
    <w:rsid w:val="009C6E72"/>
    <w:rsid w:val="009C7707"/>
    <w:rsid w:val="009C77E7"/>
    <w:rsid w:val="009C7C77"/>
    <w:rsid w:val="009D0205"/>
    <w:rsid w:val="009D0A36"/>
    <w:rsid w:val="009D18AD"/>
    <w:rsid w:val="009D1DF9"/>
    <w:rsid w:val="009D1EDD"/>
    <w:rsid w:val="009D2D55"/>
    <w:rsid w:val="009D402C"/>
    <w:rsid w:val="009D4F22"/>
    <w:rsid w:val="009D5C17"/>
    <w:rsid w:val="009D6005"/>
    <w:rsid w:val="009D6255"/>
    <w:rsid w:val="009D6395"/>
    <w:rsid w:val="009D6D58"/>
    <w:rsid w:val="009D75C2"/>
    <w:rsid w:val="009D77C3"/>
    <w:rsid w:val="009D7E48"/>
    <w:rsid w:val="009E0303"/>
    <w:rsid w:val="009E1844"/>
    <w:rsid w:val="009E19AE"/>
    <w:rsid w:val="009E1EDF"/>
    <w:rsid w:val="009E2843"/>
    <w:rsid w:val="009E320E"/>
    <w:rsid w:val="009E3907"/>
    <w:rsid w:val="009E3D92"/>
    <w:rsid w:val="009E466F"/>
    <w:rsid w:val="009E50EA"/>
    <w:rsid w:val="009E536E"/>
    <w:rsid w:val="009E5F56"/>
    <w:rsid w:val="009E6480"/>
    <w:rsid w:val="009E6DB0"/>
    <w:rsid w:val="009E709E"/>
    <w:rsid w:val="009E7912"/>
    <w:rsid w:val="009E7B0A"/>
    <w:rsid w:val="009F05DC"/>
    <w:rsid w:val="009F08E4"/>
    <w:rsid w:val="009F0A2F"/>
    <w:rsid w:val="009F0D1B"/>
    <w:rsid w:val="009F1906"/>
    <w:rsid w:val="009F3589"/>
    <w:rsid w:val="009F38BE"/>
    <w:rsid w:val="009F3E26"/>
    <w:rsid w:val="009F3E42"/>
    <w:rsid w:val="009F4E21"/>
    <w:rsid w:val="009F5BBD"/>
    <w:rsid w:val="009F5E83"/>
    <w:rsid w:val="009F696D"/>
    <w:rsid w:val="009F6BC6"/>
    <w:rsid w:val="009F6FCD"/>
    <w:rsid w:val="009F74EF"/>
    <w:rsid w:val="00A00077"/>
    <w:rsid w:val="00A0009C"/>
    <w:rsid w:val="00A00E7C"/>
    <w:rsid w:val="00A01DB1"/>
    <w:rsid w:val="00A02622"/>
    <w:rsid w:val="00A02A56"/>
    <w:rsid w:val="00A02EA8"/>
    <w:rsid w:val="00A02FD8"/>
    <w:rsid w:val="00A03415"/>
    <w:rsid w:val="00A036C4"/>
    <w:rsid w:val="00A03770"/>
    <w:rsid w:val="00A03EAF"/>
    <w:rsid w:val="00A04B69"/>
    <w:rsid w:val="00A05B06"/>
    <w:rsid w:val="00A05DE0"/>
    <w:rsid w:val="00A060A2"/>
    <w:rsid w:val="00A0703F"/>
    <w:rsid w:val="00A07946"/>
    <w:rsid w:val="00A104DD"/>
    <w:rsid w:val="00A10986"/>
    <w:rsid w:val="00A11EDF"/>
    <w:rsid w:val="00A12D1E"/>
    <w:rsid w:val="00A13A40"/>
    <w:rsid w:val="00A13BA3"/>
    <w:rsid w:val="00A15769"/>
    <w:rsid w:val="00A15D5A"/>
    <w:rsid w:val="00A161B6"/>
    <w:rsid w:val="00A16755"/>
    <w:rsid w:val="00A17328"/>
    <w:rsid w:val="00A178BA"/>
    <w:rsid w:val="00A17AED"/>
    <w:rsid w:val="00A200F2"/>
    <w:rsid w:val="00A20498"/>
    <w:rsid w:val="00A20867"/>
    <w:rsid w:val="00A21A16"/>
    <w:rsid w:val="00A226E3"/>
    <w:rsid w:val="00A22B7C"/>
    <w:rsid w:val="00A2372B"/>
    <w:rsid w:val="00A23A20"/>
    <w:rsid w:val="00A240AF"/>
    <w:rsid w:val="00A24443"/>
    <w:rsid w:val="00A245BF"/>
    <w:rsid w:val="00A24C66"/>
    <w:rsid w:val="00A24CC6"/>
    <w:rsid w:val="00A25058"/>
    <w:rsid w:val="00A25195"/>
    <w:rsid w:val="00A254CA"/>
    <w:rsid w:val="00A25D66"/>
    <w:rsid w:val="00A25E08"/>
    <w:rsid w:val="00A266CE"/>
    <w:rsid w:val="00A268B9"/>
    <w:rsid w:val="00A2703A"/>
    <w:rsid w:val="00A30101"/>
    <w:rsid w:val="00A30B91"/>
    <w:rsid w:val="00A31616"/>
    <w:rsid w:val="00A33540"/>
    <w:rsid w:val="00A33DFF"/>
    <w:rsid w:val="00A34098"/>
    <w:rsid w:val="00A35115"/>
    <w:rsid w:val="00A36AB2"/>
    <w:rsid w:val="00A36D9A"/>
    <w:rsid w:val="00A40DED"/>
    <w:rsid w:val="00A415B8"/>
    <w:rsid w:val="00A42126"/>
    <w:rsid w:val="00A421C4"/>
    <w:rsid w:val="00A421D9"/>
    <w:rsid w:val="00A425DE"/>
    <w:rsid w:val="00A4393E"/>
    <w:rsid w:val="00A43AFD"/>
    <w:rsid w:val="00A43E9B"/>
    <w:rsid w:val="00A44B29"/>
    <w:rsid w:val="00A46E3A"/>
    <w:rsid w:val="00A5022B"/>
    <w:rsid w:val="00A503C4"/>
    <w:rsid w:val="00A51CFC"/>
    <w:rsid w:val="00A52542"/>
    <w:rsid w:val="00A54484"/>
    <w:rsid w:val="00A54560"/>
    <w:rsid w:val="00A54B03"/>
    <w:rsid w:val="00A54CCC"/>
    <w:rsid w:val="00A54F19"/>
    <w:rsid w:val="00A554AB"/>
    <w:rsid w:val="00A557C3"/>
    <w:rsid w:val="00A56299"/>
    <w:rsid w:val="00A56B42"/>
    <w:rsid w:val="00A56E16"/>
    <w:rsid w:val="00A57026"/>
    <w:rsid w:val="00A57062"/>
    <w:rsid w:val="00A571BC"/>
    <w:rsid w:val="00A6242B"/>
    <w:rsid w:val="00A639EB"/>
    <w:rsid w:val="00A64B34"/>
    <w:rsid w:val="00A64D25"/>
    <w:rsid w:val="00A65208"/>
    <w:rsid w:val="00A65B5A"/>
    <w:rsid w:val="00A67781"/>
    <w:rsid w:val="00A679C5"/>
    <w:rsid w:val="00A67C86"/>
    <w:rsid w:val="00A67E55"/>
    <w:rsid w:val="00A70006"/>
    <w:rsid w:val="00A70329"/>
    <w:rsid w:val="00A706A1"/>
    <w:rsid w:val="00A71319"/>
    <w:rsid w:val="00A714B1"/>
    <w:rsid w:val="00A71AE7"/>
    <w:rsid w:val="00A728AE"/>
    <w:rsid w:val="00A72F56"/>
    <w:rsid w:val="00A73079"/>
    <w:rsid w:val="00A7308A"/>
    <w:rsid w:val="00A7393D"/>
    <w:rsid w:val="00A744C5"/>
    <w:rsid w:val="00A74B2D"/>
    <w:rsid w:val="00A74FC5"/>
    <w:rsid w:val="00A75CE1"/>
    <w:rsid w:val="00A761F9"/>
    <w:rsid w:val="00A7769C"/>
    <w:rsid w:val="00A80065"/>
    <w:rsid w:val="00A807FC"/>
    <w:rsid w:val="00A808C5"/>
    <w:rsid w:val="00A80B1C"/>
    <w:rsid w:val="00A80D54"/>
    <w:rsid w:val="00A81382"/>
    <w:rsid w:val="00A826A9"/>
    <w:rsid w:val="00A82FF9"/>
    <w:rsid w:val="00A831D9"/>
    <w:rsid w:val="00A83AC1"/>
    <w:rsid w:val="00A83DDA"/>
    <w:rsid w:val="00A85E42"/>
    <w:rsid w:val="00A85FCF"/>
    <w:rsid w:val="00A864D3"/>
    <w:rsid w:val="00A86E45"/>
    <w:rsid w:val="00A903DD"/>
    <w:rsid w:val="00A91824"/>
    <w:rsid w:val="00A91976"/>
    <w:rsid w:val="00A920FB"/>
    <w:rsid w:val="00A925D7"/>
    <w:rsid w:val="00A92B53"/>
    <w:rsid w:val="00A936B8"/>
    <w:rsid w:val="00A93A36"/>
    <w:rsid w:val="00A93AD7"/>
    <w:rsid w:val="00A94A1B"/>
    <w:rsid w:val="00A94E47"/>
    <w:rsid w:val="00A94FA6"/>
    <w:rsid w:val="00A950B7"/>
    <w:rsid w:val="00A950F2"/>
    <w:rsid w:val="00A95720"/>
    <w:rsid w:val="00A9680D"/>
    <w:rsid w:val="00A97777"/>
    <w:rsid w:val="00AA0638"/>
    <w:rsid w:val="00AA0756"/>
    <w:rsid w:val="00AA14EB"/>
    <w:rsid w:val="00AA40EF"/>
    <w:rsid w:val="00AA4178"/>
    <w:rsid w:val="00AA45CE"/>
    <w:rsid w:val="00AA49A0"/>
    <w:rsid w:val="00AA4A5B"/>
    <w:rsid w:val="00AA60AA"/>
    <w:rsid w:val="00AA6710"/>
    <w:rsid w:val="00AA74E9"/>
    <w:rsid w:val="00AB01D9"/>
    <w:rsid w:val="00AB0681"/>
    <w:rsid w:val="00AB0A6E"/>
    <w:rsid w:val="00AB102A"/>
    <w:rsid w:val="00AB22F6"/>
    <w:rsid w:val="00AB346E"/>
    <w:rsid w:val="00AB3C21"/>
    <w:rsid w:val="00AB4590"/>
    <w:rsid w:val="00AB51DD"/>
    <w:rsid w:val="00AB58FF"/>
    <w:rsid w:val="00AB5A26"/>
    <w:rsid w:val="00AB6220"/>
    <w:rsid w:val="00AB6397"/>
    <w:rsid w:val="00AB668D"/>
    <w:rsid w:val="00AB6C43"/>
    <w:rsid w:val="00AC0641"/>
    <w:rsid w:val="00AC10D4"/>
    <w:rsid w:val="00AC1EFC"/>
    <w:rsid w:val="00AC1F01"/>
    <w:rsid w:val="00AC3748"/>
    <w:rsid w:val="00AC38BE"/>
    <w:rsid w:val="00AC4199"/>
    <w:rsid w:val="00AC4459"/>
    <w:rsid w:val="00AC4B72"/>
    <w:rsid w:val="00AC596D"/>
    <w:rsid w:val="00AC61D2"/>
    <w:rsid w:val="00AC6686"/>
    <w:rsid w:val="00AC67FD"/>
    <w:rsid w:val="00AC79B3"/>
    <w:rsid w:val="00AC7E08"/>
    <w:rsid w:val="00AD0DB3"/>
    <w:rsid w:val="00AD1047"/>
    <w:rsid w:val="00AD178B"/>
    <w:rsid w:val="00AD38FA"/>
    <w:rsid w:val="00AD4757"/>
    <w:rsid w:val="00AD4F09"/>
    <w:rsid w:val="00AD500C"/>
    <w:rsid w:val="00AD5049"/>
    <w:rsid w:val="00AD520B"/>
    <w:rsid w:val="00AD5856"/>
    <w:rsid w:val="00AD5D97"/>
    <w:rsid w:val="00AD7C61"/>
    <w:rsid w:val="00AE08DE"/>
    <w:rsid w:val="00AE0D4F"/>
    <w:rsid w:val="00AE342B"/>
    <w:rsid w:val="00AE3BCC"/>
    <w:rsid w:val="00AE502A"/>
    <w:rsid w:val="00AE55B0"/>
    <w:rsid w:val="00AE5A19"/>
    <w:rsid w:val="00AE5FEB"/>
    <w:rsid w:val="00AE6EB6"/>
    <w:rsid w:val="00AF090F"/>
    <w:rsid w:val="00AF0ADA"/>
    <w:rsid w:val="00AF0E85"/>
    <w:rsid w:val="00AF2324"/>
    <w:rsid w:val="00AF2E04"/>
    <w:rsid w:val="00AF33D5"/>
    <w:rsid w:val="00AF4335"/>
    <w:rsid w:val="00AF59AB"/>
    <w:rsid w:val="00AF65CE"/>
    <w:rsid w:val="00AF6924"/>
    <w:rsid w:val="00AF7665"/>
    <w:rsid w:val="00B00137"/>
    <w:rsid w:val="00B00742"/>
    <w:rsid w:val="00B0243F"/>
    <w:rsid w:val="00B026E0"/>
    <w:rsid w:val="00B04065"/>
    <w:rsid w:val="00B058FF"/>
    <w:rsid w:val="00B07067"/>
    <w:rsid w:val="00B07068"/>
    <w:rsid w:val="00B0769F"/>
    <w:rsid w:val="00B10193"/>
    <w:rsid w:val="00B10277"/>
    <w:rsid w:val="00B10CD9"/>
    <w:rsid w:val="00B115E3"/>
    <w:rsid w:val="00B11618"/>
    <w:rsid w:val="00B119BD"/>
    <w:rsid w:val="00B119BF"/>
    <w:rsid w:val="00B1204B"/>
    <w:rsid w:val="00B12239"/>
    <w:rsid w:val="00B12A0F"/>
    <w:rsid w:val="00B13071"/>
    <w:rsid w:val="00B157C7"/>
    <w:rsid w:val="00B15C91"/>
    <w:rsid w:val="00B15FBC"/>
    <w:rsid w:val="00B16732"/>
    <w:rsid w:val="00B1769D"/>
    <w:rsid w:val="00B17C46"/>
    <w:rsid w:val="00B17E3E"/>
    <w:rsid w:val="00B20206"/>
    <w:rsid w:val="00B20626"/>
    <w:rsid w:val="00B21008"/>
    <w:rsid w:val="00B21CAE"/>
    <w:rsid w:val="00B238ED"/>
    <w:rsid w:val="00B24322"/>
    <w:rsid w:val="00B2469D"/>
    <w:rsid w:val="00B2488A"/>
    <w:rsid w:val="00B24FDF"/>
    <w:rsid w:val="00B25E6D"/>
    <w:rsid w:val="00B27981"/>
    <w:rsid w:val="00B27C62"/>
    <w:rsid w:val="00B31D1F"/>
    <w:rsid w:val="00B31F9F"/>
    <w:rsid w:val="00B32CC0"/>
    <w:rsid w:val="00B32F30"/>
    <w:rsid w:val="00B3414A"/>
    <w:rsid w:val="00B34FBC"/>
    <w:rsid w:val="00B35B21"/>
    <w:rsid w:val="00B367D7"/>
    <w:rsid w:val="00B3694B"/>
    <w:rsid w:val="00B36D14"/>
    <w:rsid w:val="00B372F3"/>
    <w:rsid w:val="00B37E88"/>
    <w:rsid w:val="00B37EEF"/>
    <w:rsid w:val="00B40089"/>
    <w:rsid w:val="00B4075F"/>
    <w:rsid w:val="00B41E69"/>
    <w:rsid w:val="00B42010"/>
    <w:rsid w:val="00B42196"/>
    <w:rsid w:val="00B425C3"/>
    <w:rsid w:val="00B430B2"/>
    <w:rsid w:val="00B43A86"/>
    <w:rsid w:val="00B440AD"/>
    <w:rsid w:val="00B4435B"/>
    <w:rsid w:val="00B45A23"/>
    <w:rsid w:val="00B4625C"/>
    <w:rsid w:val="00B46343"/>
    <w:rsid w:val="00B4723C"/>
    <w:rsid w:val="00B478F3"/>
    <w:rsid w:val="00B479BB"/>
    <w:rsid w:val="00B505C0"/>
    <w:rsid w:val="00B51C67"/>
    <w:rsid w:val="00B51E97"/>
    <w:rsid w:val="00B52B33"/>
    <w:rsid w:val="00B53062"/>
    <w:rsid w:val="00B53DB4"/>
    <w:rsid w:val="00B53E7E"/>
    <w:rsid w:val="00B5511B"/>
    <w:rsid w:val="00B55232"/>
    <w:rsid w:val="00B565A8"/>
    <w:rsid w:val="00B56C81"/>
    <w:rsid w:val="00B57797"/>
    <w:rsid w:val="00B57B79"/>
    <w:rsid w:val="00B60040"/>
    <w:rsid w:val="00B60236"/>
    <w:rsid w:val="00B6140F"/>
    <w:rsid w:val="00B6342E"/>
    <w:rsid w:val="00B64329"/>
    <w:rsid w:val="00B6495F"/>
    <w:rsid w:val="00B657D6"/>
    <w:rsid w:val="00B65B20"/>
    <w:rsid w:val="00B66378"/>
    <w:rsid w:val="00B673D0"/>
    <w:rsid w:val="00B6767C"/>
    <w:rsid w:val="00B67BA3"/>
    <w:rsid w:val="00B67F91"/>
    <w:rsid w:val="00B7113F"/>
    <w:rsid w:val="00B722B9"/>
    <w:rsid w:val="00B72328"/>
    <w:rsid w:val="00B725F7"/>
    <w:rsid w:val="00B72A7E"/>
    <w:rsid w:val="00B742A2"/>
    <w:rsid w:val="00B74371"/>
    <w:rsid w:val="00B74628"/>
    <w:rsid w:val="00B75BCC"/>
    <w:rsid w:val="00B77107"/>
    <w:rsid w:val="00B7714C"/>
    <w:rsid w:val="00B77BED"/>
    <w:rsid w:val="00B80CBE"/>
    <w:rsid w:val="00B81E3C"/>
    <w:rsid w:val="00B82519"/>
    <w:rsid w:val="00B8303A"/>
    <w:rsid w:val="00B85F05"/>
    <w:rsid w:val="00B86C74"/>
    <w:rsid w:val="00B879AD"/>
    <w:rsid w:val="00B87CDC"/>
    <w:rsid w:val="00B87FD7"/>
    <w:rsid w:val="00B90B26"/>
    <w:rsid w:val="00B95245"/>
    <w:rsid w:val="00B959A8"/>
    <w:rsid w:val="00B95B3D"/>
    <w:rsid w:val="00B95C44"/>
    <w:rsid w:val="00B95ED4"/>
    <w:rsid w:val="00B96F36"/>
    <w:rsid w:val="00BA07B5"/>
    <w:rsid w:val="00BA0E6F"/>
    <w:rsid w:val="00BA20F7"/>
    <w:rsid w:val="00BA2BCF"/>
    <w:rsid w:val="00BA2BDC"/>
    <w:rsid w:val="00BA31CC"/>
    <w:rsid w:val="00BA5B14"/>
    <w:rsid w:val="00BA5DB4"/>
    <w:rsid w:val="00BA73B6"/>
    <w:rsid w:val="00BA7899"/>
    <w:rsid w:val="00BA7CDE"/>
    <w:rsid w:val="00BA7DA1"/>
    <w:rsid w:val="00BA7E27"/>
    <w:rsid w:val="00BB04CE"/>
    <w:rsid w:val="00BB0C3E"/>
    <w:rsid w:val="00BB0ECF"/>
    <w:rsid w:val="00BB236D"/>
    <w:rsid w:val="00BB2603"/>
    <w:rsid w:val="00BB299D"/>
    <w:rsid w:val="00BB32AD"/>
    <w:rsid w:val="00BB4054"/>
    <w:rsid w:val="00BB4115"/>
    <w:rsid w:val="00BB41D4"/>
    <w:rsid w:val="00BB4FCD"/>
    <w:rsid w:val="00BB5427"/>
    <w:rsid w:val="00BB5BC5"/>
    <w:rsid w:val="00BB5E32"/>
    <w:rsid w:val="00BB5FA8"/>
    <w:rsid w:val="00BB7476"/>
    <w:rsid w:val="00BC04E9"/>
    <w:rsid w:val="00BC1506"/>
    <w:rsid w:val="00BC17F2"/>
    <w:rsid w:val="00BC31C2"/>
    <w:rsid w:val="00BC4649"/>
    <w:rsid w:val="00BC519F"/>
    <w:rsid w:val="00BC6EF8"/>
    <w:rsid w:val="00BD0FF0"/>
    <w:rsid w:val="00BD114B"/>
    <w:rsid w:val="00BD13EA"/>
    <w:rsid w:val="00BD13F8"/>
    <w:rsid w:val="00BD150E"/>
    <w:rsid w:val="00BD15A4"/>
    <w:rsid w:val="00BD1B5E"/>
    <w:rsid w:val="00BD433D"/>
    <w:rsid w:val="00BD4982"/>
    <w:rsid w:val="00BD5186"/>
    <w:rsid w:val="00BD58C0"/>
    <w:rsid w:val="00BD5E3E"/>
    <w:rsid w:val="00BD64B8"/>
    <w:rsid w:val="00BD68DB"/>
    <w:rsid w:val="00BD6C77"/>
    <w:rsid w:val="00BD708F"/>
    <w:rsid w:val="00BD721D"/>
    <w:rsid w:val="00BD756D"/>
    <w:rsid w:val="00BD772E"/>
    <w:rsid w:val="00BD7A75"/>
    <w:rsid w:val="00BE0540"/>
    <w:rsid w:val="00BE1D69"/>
    <w:rsid w:val="00BE1D93"/>
    <w:rsid w:val="00BE2129"/>
    <w:rsid w:val="00BE226A"/>
    <w:rsid w:val="00BE3445"/>
    <w:rsid w:val="00BE3808"/>
    <w:rsid w:val="00BE3A07"/>
    <w:rsid w:val="00BE412A"/>
    <w:rsid w:val="00BE641D"/>
    <w:rsid w:val="00BE6AD8"/>
    <w:rsid w:val="00BE7373"/>
    <w:rsid w:val="00BF2156"/>
    <w:rsid w:val="00BF2368"/>
    <w:rsid w:val="00BF2814"/>
    <w:rsid w:val="00BF2EAF"/>
    <w:rsid w:val="00BF3A11"/>
    <w:rsid w:val="00BF4901"/>
    <w:rsid w:val="00BF4E2A"/>
    <w:rsid w:val="00BF57F8"/>
    <w:rsid w:val="00BF5BBC"/>
    <w:rsid w:val="00BF5D77"/>
    <w:rsid w:val="00BF5E67"/>
    <w:rsid w:val="00BF666C"/>
    <w:rsid w:val="00BF794F"/>
    <w:rsid w:val="00BF7A41"/>
    <w:rsid w:val="00C00180"/>
    <w:rsid w:val="00C007B7"/>
    <w:rsid w:val="00C00868"/>
    <w:rsid w:val="00C016D2"/>
    <w:rsid w:val="00C02516"/>
    <w:rsid w:val="00C030F8"/>
    <w:rsid w:val="00C03274"/>
    <w:rsid w:val="00C03A65"/>
    <w:rsid w:val="00C05F7F"/>
    <w:rsid w:val="00C062E9"/>
    <w:rsid w:val="00C076D8"/>
    <w:rsid w:val="00C07808"/>
    <w:rsid w:val="00C07B64"/>
    <w:rsid w:val="00C109B7"/>
    <w:rsid w:val="00C11C5E"/>
    <w:rsid w:val="00C124C9"/>
    <w:rsid w:val="00C13721"/>
    <w:rsid w:val="00C13CE4"/>
    <w:rsid w:val="00C13D01"/>
    <w:rsid w:val="00C1410A"/>
    <w:rsid w:val="00C14218"/>
    <w:rsid w:val="00C1472A"/>
    <w:rsid w:val="00C14873"/>
    <w:rsid w:val="00C14FE4"/>
    <w:rsid w:val="00C15415"/>
    <w:rsid w:val="00C1548B"/>
    <w:rsid w:val="00C15561"/>
    <w:rsid w:val="00C1694D"/>
    <w:rsid w:val="00C20F87"/>
    <w:rsid w:val="00C21161"/>
    <w:rsid w:val="00C216E5"/>
    <w:rsid w:val="00C22861"/>
    <w:rsid w:val="00C22CFE"/>
    <w:rsid w:val="00C236FD"/>
    <w:rsid w:val="00C246BB"/>
    <w:rsid w:val="00C25170"/>
    <w:rsid w:val="00C25D30"/>
    <w:rsid w:val="00C2717D"/>
    <w:rsid w:val="00C30073"/>
    <w:rsid w:val="00C305CC"/>
    <w:rsid w:val="00C3066D"/>
    <w:rsid w:val="00C31EFA"/>
    <w:rsid w:val="00C3227A"/>
    <w:rsid w:val="00C3259D"/>
    <w:rsid w:val="00C32BC8"/>
    <w:rsid w:val="00C33289"/>
    <w:rsid w:val="00C3345B"/>
    <w:rsid w:val="00C33AAB"/>
    <w:rsid w:val="00C33C3C"/>
    <w:rsid w:val="00C34676"/>
    <w:rsid w:val="00C34790"/>
    <w:rsid w:val="00C35ADD"/>
    <w:rsid w:val="00C367FD"/>
    <w:rsid w:val="00C36837"/>
    <w:rsid w:val="00C37289"/>
    <w:rsid w:val="00C42155"/>
    <w:rsid w:val="00C426EE"/>
    <w:rsid w:val="00C42C7A"/>
    <w:rsid w:val="00C435A5"/>
    <w:rsid w:val="00C4599C"/>
    <w:rsid w:val="00C473A0"/>
    <w:rsid w:val="00C477ED"/>
    <w:rsid w:val="00C518FA"/>
    <w:rsid w:val="00C51910"/>
    <w:rsid w:val="00C51A72"/>
    <w:rsid w:val="00C52416"/>
    <w:rsid w:val="00C528AA"/>
    <w:rsid w:val="00C5365D"/>
    <w:rsid w:val="00C543F4"/>
    <w:rsid w:val="00C54608"/>
    <w:rsid w:val="00C562CC"/>
    <w:rsid w:val="00C56917"/>
    <w:rsid w:val="00C57017"/>
    <w:rsid w:val="00C5782C"/>
    <w:rsid w:val="00C57A7E"/>
    <w:rsid w:val="00C602CC"/>
    <w:rsid w:val="00C60ED0"/>
    <w:rsid w:val="00C613A4"/>
    <w:rsid w:val="00C61D1E"/>
    <w:rsid w:val="00C61D70"/>
    <w:rsid w:val="00C61DC3"/>
    <w:rsid w:val="00C6291C"/>
    <w:rsid w:val="00C62C42"/>
    <w:rsid w:val="00C633CB"/>
    <w:rsid w:val="00C63B5E"/>
    <w:rsid w:val="00C643A4"/>
    <w:rsid w:val="00C64A26"/>
    <w:rsid w:val="00C6509F"/>
    <w:rsid w:val="00C664CD"/>
    <w:rsid w:val="00C66B13"/>
    <w:rsid w:val="00C67173"/>
    <w:rsid w:val="00C67857"/>
    <w:rsid w:val="00C70A41"/>
    <w:rsid w:val="00C71079"/>
    <w:rsid w:val="00C73017"/>
    <w:rsid w:val="00C730CB"/>
    <w:rsid w:val="00C7340B"/>
    <w:rsid w:val="00C736B7"/>
    <w:rsid w:val="00C738C7"/>
    <w:rsid w:val="00C743F0"/>
    <w:rsid w:val="00C7465B"/>
    <w:rsid w:val="00C74B44"/>
    <w:rsid w:val="00C75812"/>
    <w:rsid w:val="00C76A9F"/>
    <w:rsid w:val="00C770B7"/>
    <w:rsid w:val="00C7749A"/>
    <w:rsid w:val="00C77730"/>
    <w:rsid w:val="00C77A3C"/>
    <w:rsid w:val="00C77FE6"/>
    <w:rsid w:val="00C802C3"/>
    <w:rsid w:val="00C8031E"/>
    <w:rsid w:val="00C81D4A"/>
    <w:rsid w:val="00C81ED4"/>
    <w:rsid w:val="00C82CA5"/>
    <w:rsid w:val="00C843BD"/>
    <w:rsid w:val="00C8762C"/>
    <w:rsid w:val="00C902B6"/>
    <w:rsid w:val="00C90F9C"/>
    <w:rsid w:val="00C913D9"/>
    <w:rsid w:val="00C91501"/>
    <w:rsid w:val="00C9268B"/>
    <w:rsid w:val="00C926EA"/>
    <w:rsid w:val="00C9339A"/>
    <w:rsid w:val="00C93422"/>
    <w:rsid w:val="00C95734"/>
    <w:rsid w:val="00C95996"/>
    <w:rsid w:val="00C96391"/>
    <w:rsid w:val="00CA00F9"/>
    <w:rsid w:val="00CA0651"/>
    <w:rsid w:val="00CA0C16"/>
    <w:rsid w:val="00CA0E1E"/>
    <w:rsid w:val="00CA12F2"/>
    <w:rsid w:val="00CA2961"/>
    <w:rsid w:val="00CA2B8C"/>
    <w:rsid w:val="00CA364D"/>
    <w:rsid w:val="00CA3D7F"/>
    <w:rsid w:val="00CA3EE8"/>
    <w:rsid w:val="00CA42C9"/>
    <w:rsid w:val="00CA49F7"/>
    <w:rsid w:val="00CA5365"/>
    <w:rsid w:val="00CA6BDC"/>
    <w:rsid w:val="00CA766F"/>
    <w:rsid w:val="00CB18D4"/>
    <w:rsid w:val="00CB1FB6"/>
    <w:rsid w:val="00CB2127"/>
    <w:rsid w:val="00CB3141"/>
    <w:rsid w:val="00CB45C1"/>
    <w:rsid w:val="00CB50D7"/>
    <w:rsid w:val="00CB5B91"/>
    <w:rsid w:val="00CB7147"/>
    <w:rsid w:val="00CB7177"/>
    <w:rsid w:val="00CB7CED"/>
    <w:rsid w:val="00CC0153"/>
    <w:rsid w:val="00CC070F"/>
    <w:rsid w:val="00CC1197"/>
    <w:rsid w:val="00CC11B1"/>
    <w:rsid w:val="00CC133B"/>
    <w:rsid w:val="00CC13CD"/>
    <w:rsid w:val="00CC1906"/>
    <w:rsid w:val="00CC1998"/>
    <w:rsid w:val="00CC1B0B"/>
    <w:rsid w:val="00CC1C8D"/>
    <w:rsid w:val="00CC1E62"/>
    <w:rsid w:val="00CC21D5"/>
    <w:rsid w:val="00CC2200"/>
    <w:rsid w:val="00CC2357"/>
    <w:rsid w:val="00CC2EFC"/>
    <w:rsid w:val="00CC3570"/>
    <w:rsid w:val="00CC3640"/>
    <w:rsid w:val="00CC416F"/>
    <w:rsid w:val="00CC44EA"/>
    <w:rsid w:val="00CC4946"/>
    <w:rsid w:val="00CC5D05"/>
    <w:rsid w:val="00CC6415"/>
    <w:rsid w:val="00CC64A1"/>
    <w:rsid w:val="00CC6D5A"/>
    <w:rsid w:val="00CC7AC9"/>
    <w:rsid w:val="00CD0825"/>
    <w:rsid w:val="00CD1720"/>
    <w:rsid w:val="00CD1EC6"/>
    <w:rsid w:val="00CD2630"/>
    <w:rsid w:val="00CD2C17"/>
    <w:rsid w:val="00CD3548"/>
    <w:rsid w:val="00CD3BFE"/>
    <w:rsid w:val="00CD3F9E"/>
    <w:rsid w:val="00CD49F6"/>
    <w:rsid w:val="00CD4D50"/>
    <w:rsid w:val="00CD5579"/>
    <w:rsid w:val="00CD573C"/>
    <w:rsid w:val="00CD5D85"/>
    <w:rsid w:val="00CD6481"/>
    <w:rsid w:val="00CD69A0"/>
    <w:rsid w:val="00CD69B3"/>
    <w:rsid w:val="00CD6D3E"/>
    <w:rsid w:val="00CD76BE"/>
    <w:rsid w:val="00CE02A3"/>
    <w:rsid w:val="00CE2F9D"/>
    <w:rsid w:val="00CE3589"/>
    <w:rsid w:val="00CE72C5"/>
    <w:rsid w:val="00CE72E3"/>
    <w:rsid w:val="00CE74A9"/>
    <w:rsid w:val="00CF034F"/>
    <w:rsid w:val="00CF0C42"/>
    <w:rsid w:val="00CF0DD6"/>
    <w:rsid w:val="00CF0DE8"/>
    <w:rsid w:val="00CF12E5"/>
    <w:rsid w:val="00CF1C09"/>
    <w:rsid w:val="00CF1F85"/>
    <w:rsid w:val="00CF1FD8"/>
    <w:rsid w:val="00CF2380"/>
    <w:rsid w:val="00CF23B1"/>
    <w:rsid w:val="00CF38F0"/>
    <w:rsid w:val="00CF3B11"/>
    <w:rsid w:val="00CF5CA3"/>
    <w:rsid w:val="00CF72A9"/>
    <w:rsid w:val="00CF7498"/>
    <w:rsid w:val="00D007C3"/>
    <w:rsid w:val="00D00E20"/>
    <w:rsid w:val="00D0100B"/>
    <w:rsid w:val="00D016DB"/>
    <w:rsid w:val="00D01918"/>
    <w:rsid w:val="00D0222B"/>
    <w:rsid w:val="00D02423"/>
    <w:rsid w:val="00D02DDE"/>
    <w:rsid w:val="00D03227"/>
    <w:rsid w:val="00D035CA"/>
    <w:rsid w:val="00D04561"/>
    <w:rsid w:val="00D05604"/>
    <w:rsid w:val="00D059AD"/>
    <w:rsid w:val="00D05F60"/>
    <w:rsid w:val="00D05F64"/>
    <w:rsid w:val="00D0609E"/>
    <w:rsid w:val="00D0631C"/>
    <w:rsid w:val="00D07B10"/>
    <w:rsid w:val="00D07F47"/>
    <w:rsid w:val="00D07F70"/>
    <w:rsid w:val="00D10A06"/>
    <w:rsid w:val="00D10A15"/>
    <w:rsid w:val="00D10DBE"/>
    <w:rsid w:val="00D11330"/>
    <w:rsid w:val="00D12409"/>
    <w:rsid w:val="00D129DE"/>
    <w:rsid w:val="00D130B5"/>
    <w:rsid w:val="00D1314D"/>
    <w:rsid w:val="00D14C1F"/>
    <w:rsid w:val="00D151DA"/>
    <w:rsid w:val="00D15BA3"/>
    <w:rsid w:val="00D167C0"/>
    <w:rsid w:val="00D230D5"/>
    <w:rsid w:val="00D23A54"/>
    <w:rsid w:val="00D2407F"/>
    <w:rsid w:val="00D24158"/>
    <w:rsid w:val="00D24880"/>
    <w:rsid w:val="00D252CF"/>
    <w:rsid w:val="00D257E4"/>
    <w:rsid w:val="00D25809"/>
    <w:rsid w:val="00D26303"/>
    <w:rsid w:val="00D2630E"/>
    <w:rsid w:val="00D264ED"/>
    <w:rsid w:val="00D27022"/>
    <w:rsid w:val="00D270A4"/>
    <w:rsid w:val="00D27277"/>
    <w:rsid w:val="00D27EA5"/>
    <w:rsid w:val="00D302F2"/>
    <w:rsid w:val="00D30BDF"/>
    <w:rsid w:val="00D316F2"/>
    <w:rsid w:val="00D31F16"/>
    <w:rsid w:val="00D31FE9"/>
    <w:rsid w:val="00D32223"/>
    <w:rsid w:val="00D32FB1"/>
    <w:rsid w:val="00D33EA4"/>
    <w:rsid w:val="00D3438C"/>
    <w:rsid w:val="00D34E1B"/>
    <w:rsid w:val="00D35480"/>
    <w:rsid w:val="00D35537"/>
    <w:rsid w:val="00D359CA"/>
    <w:rsid w:val="00D35C30"/>
    <w:rsid w:val="00D36323"/>
    <w:rsid w:val="00D3655A"/>
    <w:rsid w:val="00D376BA"/>
    <w:rsid w:val="00D41AD7"/>
    <w:rsid w:val="00D420B5"/>
    <w:rsid w:val="00D4234F"/>
    <w:rsid w:val="00D42A7C"/>
    <w:rsid w:val="00D43713"/>
    <w:rsid w:val="00D44F63"/>
    <w:rsid w:val="00D45634"/>
    <w:rsid w:val="00D45870"/>
    <w:rsid w:val="00D45B21"/>
    <w:rsid w:val="00D46589"/>
    <w:rsid w:val="00D47D42"/>
    <w:rsid w:val="00D50AFC"/>
    <w:rsid w:val="00D50C2F"/>
    <w:rsid w:val="00D51702"/>
    <w:rsid w:val="00D51A3C"/>
    <w:rsid w:val="00D5204F"/>
    <w:rsid w:val="00D52A90"/>
    <w:rsid w:val="00D52E99"/>
    <w:rsid w:val="00D53139"/>
    <w:rsid w:val="00D53E58"/>
    <w:rsid w:val="00D54E29"/>
    <w:rsid w:val="00D5568A"/>
    <w:rsid w:val="00D56868"/>
    <w:rsid w:val="00D57710"/>
    <w:rsid w:val="00D57B30"/>
    <w:rsid w:val="00D57FAC"/>
    <w:rsid w:val="00D60456"/>
    <w:rsid w:val="00D608BC"/>
    <w:rsid w:val="00D6101C"/>
    <w:rsid w:val="00D6149A"/>
    <w:rsid w:val="00D61907"/>
    <w:rsid w:val="00D62B93"/>
    <w:rsid w:val="00D63D73"/>
    <w:rsid w:val="00D64452"/>
    <w:rsid w:val="00D65383"/>
    <w:rsid w:val="00D65589"/>
    <w:rsid w:val="00D66E1E"/>
    <w:rsid w:val="00D670F7"/>
    <w:rsid w:val="00D673D2"/>
    <w:rsid w:val="00D70696"/>
    <w:rsid w:val="00D708EA"/>
    <w:rsid w:val="00D71339"/>
    <w:rsid w:val="00D7144C"/>
    <w:rsid w:val="00D72E66"/>
    <w:rsid w:val="00D73AC0"/>
    <w:rsid w:val="00D73B32"/>
    <w:rsid w:val="00D74122"/>
    <w:rsid w:val="00D74C8E"/>
    <w:rsid w:val="00D75722"/>
    <w:rsid w:val="00D76219"/>
    <w:rsid w:val="00D7623C"/>
    <w:rsid w:val="00D76B9E"/>
    <w:rsid w:val="00D77B79"/>
    <w:rsid w:val="00D80CF5"/>
    <w:rsid w:val="00D813E5"/>
    <w:rsid w:val="00D81463"/>
    <w:rsid w:val="00D816F9"/>
    <w:rsid w:val="00D819AE"/>
    <w:rsid w:val="00D81E65"/>
    <w:rsid w:val="00D825F2"/>
    <w:rsid w:val="00D8295E"/>
    <w:rsid w:val="00D82A65"/>
    <w:rsid w:val="00D82DE8"/>
    <w:rsid w:val="00D82F08"/>
    <w:rsid w:val="00D85EAC"/>
    <w:rsid w:val="00D86521"/>
    <w:rsid w:val="00D865F1"/>
    <w:rsid w:val="00D8683F"/>
    <w:rsid w:val="00D90642"/>
    <w:rsid w:val="00D911E9"/>
    <w:rsid w:val="00D913B7"/>
    <w:rsid w:val="00D913CD"/>
    <w:rsid w:val="00D93CD6"/>
    <w:rsid w:val="00D94AFE"/>
    <w:rsid w:val="00D94DA2"/>
    <w:rsid w:val="00D955CB"/>
    <w:rsid w:val="00D95E09"/>
    <w:rsid w:val="00D96544"/>
    <w:rsid w:val="00D969EB"/>
    <w:rsid w:val="00D96C87"/>
    <w:rsid w:val="00D973C4"/>
    <w:rsid w:val="00D975F8"/>
    <w:rsid w:val="00D97A81"/>
    <w:rsid w:val="00DA0D37"/>
    <w:rsid w:val="00DA0D9F"/>
    <w:rsid w:val="00DA12FE"/>
    <w:rsid w:val="00DA1809"/>
    <w:rsid w:val="00DA214C"/>
    <w:rsid w:val="00DA2905"/>
    <w:rsid w:val="00DA3B68"/>
    <w:rsid w:val="00DA3EB4"/>
    <w:rsid w:val="00DA490F"/>
    <w:rsid w:val="00DA4F01"/>
    <w:rsid w:val="00DA555B"/>
    <w:rsid w:val="00DA5615"/>
    <w:rsid w:val="00DA5BBA"/>
    <w:rsid w:val="00DA5DB4"/>
    <w:rsid w:val="00DA6896"/>
    <w:rsid w:val="00DA7D50"/>
    <w:rsid w:val="00DB0BE5"/>
    <w:rsid w:val="00DB0E97"/>
    <w:rsid w:val="00DB108F"/>
    <w:rsid w:val="00DB1335"/>
    <w:rsid w:val="00DB26D2"/>
    <w:rsid w:val="00DB2AE0"/>
    <w:rsid w:val="00DB2B0A"/>
    <w:rsid w:val="00DB33FD"/>
    <w:rsid w:val="00DB367D"/>
    <w:rsid w:val="00DB3C67"/>
    <w:rsid w:val="00DB4499"/>
    <w:rsid w:val="00DB5688"/>
    <w:rsid w:val="00DB56B0"/>
    <w:rsid w:val="00DB6681"/>
    <w:rsid w:val="00DB67C9"/>
    <w:rsid w:val="00DB6A6D"/>
    <w:rsid w:val="00DB6C6D"/>
    <w:rsid w:val="00DB75BA"/>
    <w:rsid w:val="00DC04A9"/>
    <w:rsid w:val="00DC0898"/>
    <w:rsid w:val="00DC0AB8"/>
    <w:rsid w:val="00DC0C95"/>
    <w:rsid w:val="00DC0FCA"/>
    <w:rsid w:val="00DC278C"/>
    <w:rsid w:val="00DC28F0"/>
    <w:rsid w:val="00DC3795"/>
    <w:rsid w:val="00DC382B"/>
    <w:rsid w:val="00DC39BD"/>
    <w:rsid w:val="00DC3AC4"/>
    <w:rsid w:val="00DC3BCE"/>
    <w:rsid w:val="00DC3CEF"/>
    <w:rsid w:val="00DC634D"/>
    <w:rsid w:val="00DC6C3E"/>
    <w:rsid w:val="00DC6CA9"/>
    <w:rsid w:val="00DC7059"/>
    <w:rsid w:val="00DC71DB"/>
    <w:rsid w:val="00DC7688"/>
    <w:rsid w:val="00DD1B73"/>
    <w:rsid w:val="00DD1CAB"/>
    <w:rsid w:val="00DD268E"/>
    <w:rsid w:val="00DD29C8"/>
    <w:rsid w:val="00DD3D1E"/>
    <w:rsid w:val="00DD4918"/>
    <w:rsid w:val="00DD5429"/>
    <w:rsid w:val="00DD6580"/>
    <w:rsid w:val="00DD6890"/>
    <w:rsid w:val="00DD6CE5"/>
    <w:rsid w:val="00DD7821"/>
    <w:rsid w:val="00DD7B21"/>
    <w:rsid w:val="00DE19C3"/>
    <w:rsid w:val="00DE1D19"/>
    <w:rsid w:val="00DE1E4F"/>
    <w:rsid w:val="00DE24E1"/>
    <w:rsid w:val="00DE2C77"/>
    <w:rsid w:val="00DE41B9"/>
    <w:rsid w:val="00DE4D30"/>
    <w:rsid w:val="00DE4E7F"/>
    <w:rsid w:val="00DE55E2"/>
    <w:rsid w:val="00DE583F"/>
    <w:rsid w:val="00DE61BE"/>
    <w:rsid w:val="00DE6395"/>
    <w:rsid w:val="00DE6509"/>
    <w:rsid w:val="00DE65A1"/>
    <w:rsid w:val="00DE6B4E"/>
    <w:rsid w:val="00DE7A22"/>
    <w:rsid w:val="00DE7AD7"/>
    <w:rsid w:val="00DF045B"/>
    <w:rsid w:val="00DF07C2"/>
    <w:rsid w:val="00DF0CDD"/>
    <w:rsid w:val="00DF11CD"/>
    <w:rsid w:val="00DF12F8"/>
    <w:rsid w:val="00DF183B"/>
    <w:rsid w:val="00DF2449"/>
    <w:rsid w:val="00DF2A66"/>
    <w:rsid w:val="00DF4DFA"/>
    <w:rsid w:val="00DF569F"/>
    <w:rsid w:val="00DF609E"/>
    <w:rsid w:val="00DF626B"/>
    <w:rsid w:val="00DF7B1C"/>
    <w:rsid w:val="00E01C37"/>
    <w:rsid w:val="00E01D7F"/>
    <w:rsid w:val="00E021E7"/>
    <w:rsid w:val="00E02640"/>
    <w:rsid w:val="00E02C62"/>
    <w:rsid w:val="00E02DEE"/>
    <w:rsid w:val="00E03321"/>
    <w:rsid w:val="00E0369B"/>
    <w:rsid w:val="00E03D3E"/>
    <w:rsid w:val="00E061AC"/>
    <w:rsid w:val="00E06E0E"/>
    <w:rsid w:val="00E10287"/>
    <w:rsid w:val="00E1108E"/>
    <w:rsid w:val="00E12461"/>
    <w:rsid w:val="00E12B68"/>
    <w:rsid w:val="00E130A4"/>
    <w:rsid w:val="00E1348A"/>
    <w:rsid w:val="00E13B51"/>
    <w:rsid w:val="00E145BC"/>
    <w:rsid w:val="00E158A7"/>
    <w:rsid w:val="00E161DA"/>
    <w:rsid w:val="00E16853"/>
    <w:rsid w:val="00E169E0"/>
    <w:rsid w:val="00E17C72"/>
    <w:rsid w:val="00E21FC6"/>
    <w:rsid w:val="00E225D4"/>
    <w:rsid w:val="00E239BB"/>
    <w:rsid w:val="00E243D6"/>
    <w:rsid w:val="00E24E37"/>
    <w:rsid w:val="00E25E33"/>
    <w:rsid w:val="00E26D0A"/>
    <w:rsid w:val="00E300D7"/>
    <w:rsid w:val="00E3138F"/>
    <w:rsid w:val="00E31472"/>
    <w:rsid w:val="00E31CAE"/>
    <w:rsid w:val="00E31F58"/>
    <w:rsid w:val="00E33374"/>
    <w:rsid w:val="00E33ACA"/>
    <w:rsid w:val="00E3407F"/>
    <w:rsid w:val="00E34FD5"/>
    <w:rsid w:val="00E34FD6"/>
    <w:rsid w:val="00E374BF"/>
    <w:rsid w:val="00E37582"/>
    <w:rsid w:val="00E4051C"/>
    <w:rsid w:val="00E40E7F"/>
    <w:rsid w:val="00E42E13"/>
    <w:rsid w:val="00E430FD"/>
    <w:rsid w:val="00E431A9"/>
    <w:rsid w:val="00E450E2"/>
    <w:rsid w:val="00E4565B"/>
    <w:rsid w:val="00E46C73"/>
    <w:rsid w:val="00E47355"/>
    <w:rsid w:val="00E47C73"/>
    <w:rsid w:val="00E50262"/>
    <w:rsid w:val="00E50802"/>
    <w:rsid w:val="00E51463"/>
    <w:rsid w:val="00E5163A"/>
    <w:rsid w:val="00E52FC4"/>
    <w:rsid w:val="00E53340"/>
    <w:rsid w:val="00E53405"/>
    <w:rsid w:val="00E5366C"/>
    <w:rsid w:val="00E54073"/>
    <w:rsid w:val="00E5543F"/>
    <w:rsid w:val="00E55F25"/>
    <w:rsid w:val="00E57E24"/>
    <w:rsid w:val="00E60317"/>
    <w:rsid w:val="00E61102"/>
    <w:rsid w:val="00E61391"/>
    <w:rsid w:val="00E61F0A"/>
    <w:rsid w:val="00E62620"/>
    <w:rsid w:val="00E6602B"/>
    <w:rsid w:val="00E66711"/>
    <w:rsid w:val="00E669E2"/>
    <w:rsid w:val="00E66EA8"/>
    <w:rsid w:val="00E66F0E"/>
    <w:rsid w:val="00E67CD8"/>
    <w:rsid w:val="00E67EED"/>
    <w:rsid w:val="00E70C1F"/>
    <w:rsid w:val="00E71C64"/>
    <w:rsid w:val="00E72293"/>
    <w:rsid w:val="00E723E6"/>
    <w:rsid w:val="00E72766"/>
    <w:rsid w:val="00E727E7"/>
    <w:rsid w:val="00E72A53"/>
    <w:rsid w:val="00E72F55"/>
    <w:rsid w:val="00E732A4"/>
    <w:rsid w:val="00E7519E"/>
    <w:rsid w:val="00E75D23"/>
    <w:rsid w:val="00E76135"/>
    <w:rsid w:val="00E763E7"/>
    <w:rsid w:val="00E76923"/>
    <w:rsid w:val="00E77204"/>
    <w:rsid w:val="00E77627"/>
    <w:rsid w:val="00E806A2"/>
    <w:rsid w:val="00E81A83"/>
    <w:rsid w:val="00E82F4F"/>
    <w:rsid w:val="00E833B7"/>
    <w:rsid w:val="00E837D7"/>
    <w:rsid w:val="00E83808"/>
    <w:rsid w:val="00E844DB"/>
    <w:rsid w:val="00E864DF"/>
    <w:rsid w:val="00E86B80"/>
    <w:rsid w:val="00E874F2"/>
    <w:rsid w:val="00E91E1F"/>
    <w:rsid w:val="00E921AD"/>
    <w:rsid w:val="00E932C2"/>
    <w:rsid w:val="00E9369C"/>
    <w:rsid w:val="00E937B8"/>
    <w:rsid w:val="00E948FB"/>
    <w:rsid w:val="00E94CF0"/>
    <w:rsid w:val="00E95000"/>
    <w:rsid w:val="00E96023"/>
    <w:rsid w:val="00E96545"/>
    <w:rsid w:val="00E96600"/>
    <w:rsid w:val="00E97639"/>
    <w:rsid w:val="00E97B55"/>
    <w:rsid w:val="00E97DEB"/>
    <w:rsid w:val="00EA0D4A"/>
    <w:rsid w:val="00EA1018"/>
    <w:rsid w:val="00EA132A"/>
    <w:rsid w:val="00EA1C2E"/>
    <w:rsid w:val="00EA1D43"/>
    <w:rsid w:val="00EA2732"/>
    <w:rsid w:val="00EA2E46"/>
    <w:rsid w:val="00EA354B"/>
    <w:rsid w:val="00EA39D5"/>
    <w:rsid w:val="00EA3C93"/>
    <w:rsid w:val="00EA4557"/>
    <w:rsid w:val="00EA6270"/>
    <w:rsid w:val="00EA63D6"/>
    <w:rsid w:val="00EA6799"/>
    <w:rsid w:val="00EA69CA"/>
    <w:rsid w:val="00EA6C16"/>
    <w:rsid w:val="00EA7FEC"/>
    <w:rsid w:val="00EB063A"/>
    <w:rsid w:val="00EB0DE3"/>
    <w:rsid w:val="00EB1A1A"/>
    <w:rsid w:val="00EB3A86"/>
    <w:rsid w:val="00EB4D06"/>
    <w:rsid w:val="00EB5AD7"/>
    <w:rsid w:val="00EB5D69"/>
    <w:rsid w:val="00EB6A9B"/>
    <w:rsid w:val="00EC0A05"/>
    <w:rsid w:val="00EC0C74"/>
    <w:rsid w:val="00EC1CC0"/>
    <w:rsid w:val="00EC1E90"/>
    <w:rsid w:val="00EC2338"/>
    <w:rsid w:val="00EC2844"/>
    <w:rsid w:val="00EC3403"/>
    <w:rsid w:val="00EC41A5"/>
    <w:rsid w:val="00EC421F"/>
    <w:rsid w:val="00EC4A9B"/>
    <w:rsid w:val="00EC4EBC"/>
    <w:rsid w:val="00EC5500"/>
    <w:rsid w:val="00EC57B7"/>
    <w:rsid w:val="00EC59F6"/>
    <w:rsid w:val="00EC6330"/>
    <w:rsid w:val="00EC67E1"/>
    <w:rsid w:val="00EC7C00"/>
    <w:rsid w:val="00ED018A"/>
    <w:rsid w:val="00ED0415"/>
    <w:rsid w:val="00ED042A"/>
    <w:rsid w:val="00ED05C0"/>
    <w:rsid w:val="00ED18F8"/>
    <w:rsid w:val="00ED2BF8"/>
    <w:rsid w:val="00ED3375"/>
    <w:rsid w:val="00ED3A31"/>
    <w:rsid w:val="00ED3D3E"/>
    <w:rsid w:val="00ED46DF"/>
    <w:rsid w:val="00ED5472"/>
    <w:rsid w:val="00ED562D"/>
    <w:rsid w:val="00ED6407"/>
    <w:rsid w:val="00EE01B1"/>
    <w:rsid w:val="00EE0BAA"/>
    <w:rsid w:val="00EE0EC4"/>
    <w:rsid w:val="00EE14BB"/>
    <w:rsid w:val="00EE1BF1"/>
    <w:rsid w:val="00EE22BE"/>
    <w:rsid w:val="00EE491E"/>
    <w:rsid w:val="00EE5C54"/>
    <w:rsid w:val="00EE6BE6"/>
    <w:rsid w:val="00EE6EDA"/>
    <w:rsid w:val="00EE78B8"/>
    <w:rsid w:val="00EF0731"/>
    <w:rsid w:val="00EF1E03"/>
    <w:rsid w:val="00EF2081"/>
    <w:rsid w:val="00EF4EF6"/>
    <w:rsid w:val="00EF6C6C"/>
    <w:rsid w:val="00EF6E04"/>
    <w:rsid w:val="00F00505"/>
    <w:rsid w:val="00F0137F"/>
    <w:rsid w:val="00F015B9"/>
    <w:rsid w:val="00F02BAB"/>
    <w:rsid w:val="00F0314E"/>
    <w:rsid w:val="00F03A5F"/>
    <w:rsid w:val="00F055AD"/>
    <w:rsid w:val="00F055BD"/>
    <w:rsid w:val="00F056FC"/>
    <w:rsid w:val="00F05C6D"/>
    <w:rsid w:val="00F05F84"/>
    <w:rsid w:val="00F060C4"/>
    <w:rsid w:val="00F0632F"/>
    <w:rsid w:val="00F0683B"/>
    <w:rsid w:val="00F069AE"/>
    <w:rsid w:val="00F06A73"/>
    <w:rsid w:val="00F06CFB"/>
    <w:rsid w:val="00F06E52"/>
    <w:rsid w:val="00F0772B"/>
    <w:rsid w:val="00F100EA"/>
    <w:rsid w:val="00F10305"/>
    <w:rsid w:val="00F10476"/>
    <w:rsid w:val="00F11804"/>
    <w:rsid w:val="00F11B3B"/>
    <w:rsid w:val="00F11F2A"/>
    <w:rsid w:val="00F12279"/>
    <w:rsid w:val="00F125EC"/>
    <w:rsid w:val="00F132D2"/>
    <w:rsid w:val="00F1347D"/>
    <w:rsid w:val="00F135D8"/>
    <w:rsid w:val="00F140BB"/>
    <w:rsid w:val="00F14F63"/>
    <w:rsid w:val="00F1555B"/>
    <w:rsid w:val="00F15782"/>
    <w:rsid w:val="00F158C3"/>
    <w:rsid w:val="00F15924"/>
    <w:rsid w:val="00F1669B"/>
    <w:rsid w:val="00F17049"/>
    <w:rsid w:val="00F175DC"/>
    <w:rsid w:val="00F17678"/>
    <w:rsid w:val="00F214E8"/>
    <w:rsid w:val="00F21AFE"/>
    <w:rsid w:val="00F231DA"/>
    <w:rsid w:val="00F232B3"/>
    <w:rsid w:val="00F23B5E"/>
    <w:rsid w:val="00F23B62"/>
    <w:rsid w:val="00F26B89"/>
    <w:rsid w:val="00F27F6D"/>
    <w:rsid w:val="00F31299"/>
    <w:rsid w:val="00F327E2"/>
    <w:rsid w:val="00F32FC8"/>
    <w:rsid w:val="00F3324B"/>
    <w:rsid w:val="00F341E2"/>
    <w:rsid w:val="00F3443E"/>
    <w:rsid w:val="00F3469B"/>
    <w:rsid w:val="00F34AD8"/>
    <w:rsid w:val="00F34F6D"/>
    <w:rsid w:val="00F3534A"/>
    <w:rsid w:val="00F359B5"/>
    <w:rsid w:val="00F35F30"/>
    <w:rsid w:val="00F360AC"/>
    <w:rsid w:val="00F36382"/>
    <w:rsid w:val="00F363DA"/>
    <w:rsid w:val="00F36EA0"/>
    <w:rsid w:val="00F37186"/>
    <w:rsid w:val="00F3782D"/>
    <w:rsid w:val="00F3789A"/>
    <w:rsid w:val="00F413FF"/>
    <w:rsid w:val="00F41C76"/>
    <w:rsid w:val="00F42FDE"/>
    <w:rsid w:val="00F43A09"/>
    <w:rsid w:val="00F43ED3"/>
    <w:rsid w:val="00F43FBE"/>
    <w:rsid w:val="00F43FC8"/>
    <w:rsid w:val="00F44032"/>
    <w:rsid w:val="00F455A7"/>
    <w:rsid w:val="00F4565B"/>
    <w:rsid w:val="00F45EDB"/>
    <w:rsid w:val="00F46660"/>
    <w:rsid w:val="00F47EC2"/>
    <w:rsid w:val="00F50690"/>
    <w:rsid w:val="00F514A8"/>
    <w:rsid w:val="00F51609"/>
    <w:rsid w:val="00F52DBB"/>
    <w:rsid w:val="00F530EA"/>
    <w:rsid w:val="00F53301"/>
    <w:rsid w:val="00F540B9"/>
    <w:rsid w:val="00F54E04"/>
    <w:rsid w:val="00F55033"/>
    <w:rsid w:val="00F559FC"/>
    <w:rsid w:val="00F55C25"/>
    <w:rsid w:val="00F57802"/>
    <w:rsid w:val="00F602A5"/>
    <w:rsid w:val="00F60305"/>
    <w:rsid w:val="00F6053A"/>
    <w:rsid w:val="00F605EA"/>
    <w:rsid w:val="00F61566"/>
    <w:rsid w:val="00F62138"/>
    <w:rsid w:val="00F62159"/>
    <w:rsid w:val="00F62A78"/>
    <w:rsid w:val="00F62CE0"/>
    <w:rsid w:val="00F647A1"/>
    <w:rsid w:val="00F64FDA"/>
    <w:rsid w:val="00F6581F"/>
    <w:rsid w:val="00F6588C"/>
    <w:rsid w:val="00F667A7"/>
    <w:rsid w:val="00F670C3"/>
    <w:rsid w:val="00F705ED"/>
    <w:rsid w:val="00F70B8C"/>
    <w:rsid w:val="00F70DE8"/>
    <w:rsid w:val="00F70F4C"/>
    <w:rsid w:val="00F717C7"/>
    <w:rsid w:val="00F721F8"/>
    <w:rsid w:val="00F72836"/>
    <w:rsid w:val="00F757C4"/>
    <w:rsid w:val="00F758E9"/>
    <w:rsid w:val="00F75DCC"/>
    <w:rsid w:val="00F764F5"/>
    <w:rsid w:val="00F766A7"/>
    <w:rsid w:val="00F7670B"/>
    <w:rsid w:val="00F76EEA"/>
    <w:rsid w:val="00F77310"/>
    <w:rsid w:val="00F77D51"/>
    <w:rsid w:val="00F800EB"/>
    <w:rsid w:val="00F80126"/>
    <w:rsid w:val="00F81006"/>
    <w:rsid w:val="00F8167D"/>
    <w:rsid w:val="00F822F8"/>
    <w:rsid w:val="00F83005"/>
    <w:rsid w:val="00F835AB"/>
    <w:rsid w:val="00F83C99"/>
    <w:rsid w:val="00F83CAC"/>
    <w:rsid w:val="00F85325"/>
    <w:rsid w:val="00F8555C"/>
    <w:rsid w:val="00F868AC"/>
    <w:rsid w:val="00F8766D"/>
    <w:rsid w:val="00F877AD"/>
    <w:rsid w:val="00F9084D"/>
    <w:rsid w:val="00F9093F"/>
    <w:rsid w:val="00F90DF8"/>
    <w:rsid w:val="00F90E14"/>
    <w:rsid w:val="00F910C0"/>
    <w:rsid w:val="00F91CB4"/>
    <w:rsid w:val="00F922BD"/>
    <w:rsid w:val="00F92720"/>
    <w:rsid w:val="00F92BB3"/>
    <w:rsid w:val="00F92DA2"/>
    <w:rsid w:val="00F93580"/>
    <w:rsid w:val="00F945A6"/>
    <w:rsid w:val="00F959FC"/>
    <w:rsid w:val="00F96512"/>
    <w:rsid w:val="00F9660C"/>
    <w:rsid w:val="00F9706A"/>
    <w:rsid w:val="00F979C5"/>
    <w:rsid w:val="00FA1BCE"/>
    <w:rsid w:val="00FA249F"/>
    <w:rsid w:val="00FA2801"/>
    <w:rsid w:val="00FA4E4A"/>
    <w:rsid w:val="00FA4FBF"/>
    <w:rsid w:val="00FA555A"/>
    <w:rsid w:val="00FA618D"/>
    <w:rsid w:val="00FA6249"/>
    <w:rsid w:val="00FA6CE8"/>
    <w:rsid w:val="00FA715D"/>
    <w:rsid w:val="00FA72FE"/>
    <w:rsid w:val="00FA7A9C"/>
    <w:rsid w:val="00FA7D39"/>
    <w:rsid w:val="00FB1536"/>
    <w:rsid w:val="00FB21CE"/>
    <w:rsid w:val="00FB2C6E"/>
    <w:rsid w:val="00FB4EAA"/>
    <w:rsid w:val="00FB5488"/>
    <w:rsid w:val="00FB5BB0"/>
    <w:rsid w:val="00FB61AA"/>
    <w:rsid w:val="00FB64BA"/>
    <w:rsid w:val="00FB6CBE"/>
    <w:rsid w:val="00FB6E94"/>
    <w:rsid w:val="00FB760C"/>
    <w:rsid w:val="00FC0350"/>
    <w:rsid w:val="00FC2ABA"/>
    <w:rsid w:val="00FC2F19"/>
    <w:rsid w:val="00FC301D"/>
    <w:rsid w:val="00FC3939"/>
    <w:rsid w:val="00FC465E"/>
    <w:rsid w:val="00FC5E8F"/>
    <w:rsid w:val="00FC61D6"/>
    <w:rsid w:val="00FC735C"/>
    <w:rsid w:val="00FC7438"/>
    <w:rsid w:val="00FC779F"/>
    <w:rsid w:val="00FC7AB0"/>
    <w:rsid w:val="00FD0514"/>
    <w:rsid w:val="00FD0967"/>
    <w:rsid w:val="00FD0B17"/>
    <w:rsid w:val="00FD203F"/>
    <w:rsid w:val="00FD22B1"/>
    <w:rsid w:val="00FD33F1"/>
    <w:rsid w:val="00FD3566"/>
    <w:rsid w:val="00FD438B"/>
    <w:rsid w:val="00FD4483"/>
    <w:rsid w:val="00FD44C2"/>
    <w:rsid w:val="00FD45E8"/>
    <w:rsid w:val="00FD4C97"/>
    <w:rsid w:val="00FD5709"/>
    <w:rsid w:val="00FD662E"/>
    <w:rsid w:val="00FD6AA6"/>
    <w:rsid w:val="00FD6D35"/>
    <w:rsid w:val="00FD73BA"/>
    <w:rsid w:val="00FE032F"/>
    <w:rsid w:val="00FE14B9"/>
    <w:rsid w:val="00FE246F"/>
    <w:rsid w:val="00FE27CA"/>
    <w:rsid w:val="00FE3835"/>
    <w:rsid w:val="00FE41D4"/>
    <w:rsid w:val="00FE4326"/>
    <w:rsid w:val="00FE4474"/>
    <w:rsid w:val="00FE4566"/>
    <w:rsid w:val="00FE47F5"/>
    <w:rsid w:val="00FE5397"/>
    <w:rsid w:val="00FE5C70"/>
    <w:rsid w:val="00FE693A"/>
    <w:rsid w:val="00FE7B83"/>
    <w:rsid w:val="00FF01A7"/>
    <w:rsid w:val="00FF0985"/>
    <w:rsid w:val="00FF1AC5"/>
    <w:rsid w:val="00FF206A"/>
    <w:rsid w:val="00FF2568"/>
    <w:rsid w:val="00FF36B2"/>
    <w:rsid w:val="00FF64FD"/>
    <w:rsid w:val="00FF65CA"/>
    <w:rsid w:val="00FF78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30721"/>
    <o:shapelayout v:ext="edit">
      <o:idmap v:ext="edit" data="1"/>
    </o:shapelayout>
  </w:shapeDefaults>
  <w:decimalSymbol w:val="."/>
  <w:listSeparator w:val=","/>
  <w14:docId w14:val="005D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uiPriority="9" w:qFormat="1"/>
    <w:lsdException w:name="heading 4" w:qFormat="1"/>
    <w:lsdException w:name="heading 5" w:qFormat="1"/>
    <w:lsdException w:name="toc 1" w:uiPriority="39" w:qFormat="1"/>
    <w:lsdException w:name="toc 2" w:uiPriority="39" w:qFormat="1"/>
    <w:lsdException w:name="toc 3" w:uiPriority="39" w:qFormat="1"/>
    <w:lsdException w:name="List Bullet" w:qFormat="1"/>
    <w:lsdException w:name="Default Paragraph Font" w:uiPriority="1"/>
    <w:lsdException w:name="Body Text" w:qFormat="1"/>
    <w:lsdException w:name="Subtitle"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F49AE"/>
    <w:rPr>
      <w:sz w:val="26"/>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uiPriority w:val="9"/>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qForma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rPr>
      <w:sz w:val="24"/>
    </w:r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rsid w:val="00A17328"/>
    <w:rPr>
      <w:b/>
      <w:vanish/>
      <w:color w:val="FF00FF"/>
      <w:sz w:val="20"/>
    </w:rPr>
  </w:style>
  <w:style w:type="paragraph" w:styleId="CommentText">
    <w:name w:val="annotation text"/>
    <w:basedOn w:val="Normal"/>
    <w:link w:val="CommentTextChar"/>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qForma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rPr>
      <w:sz w:val="24"/>
    </w:r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qForma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link w:val="ListNumberChar"/>
    <w:rsid w:val="00864ADC"/>
    <w:pPr>
      <w:numPr>
        <w:numId w:val="4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uiPriority w:val="39"/>
    <w:qFormat/>
    <w:rsid w:val="005C5E19"/>
    <w:pPr>
      <w:tabs>
        <w:tab w:val="right" w:pos="8789"/>
      </w:tabs>
      <w:ind w:left="510" w:right="851" w:hanging="510"/>
      <w:jc w:val="left"/>
    </w:pPr>
    <w:rPr>
      <w:rFonts w:ascii="Arial" w:hAnsi="Arial"/>
      <w:b/>
    </w:rPr>
  </w:style>
  <w:style w:type="paragraph" w:styleId="TOC3">
    <w:name w:val="toc 3"/>
    <w:basedOn w:val="TOC2"/>
    <w:uiPriority w:val="39"/>
    <w:qFormat/>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rPr>
      <w:sz w:val="24"/>
    </w:rPr>
  </w:style>
  <w:style w:type="paragraph" w:customStyle="1" w:styleId="TableUnitsRow">
    <w:name w:val="Table Units Row"/>
    <w:basedOn w:val="TableBodyText"/>
    <w:rsid w:val="00812F4A"/>
    <w:pPr>
      <w:spacing w:before="80" w:after="80"/>
    </w:pPr>
  </w:style>
  <w:style w:type="paragraph" w:styleId="TOC1">
    <w:name w:val="toc 1"/>
    <w:basedOn w:val="Normal"/>
    <w:next w:val="TOC2"/>
    <w:link w:val="TOC1Char"/>
    <w:uiPriority w:val="39"/>
    <w:qFormat/>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rsid w:val="0013739A"/>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uiPriority w:val="99"/>
    <w:rsid w:val="00415F39"/>
    <w:rPr>
      <w:color w:val="78A22F" w:themeColor="hyperlink"/>
      <w:u w:val="single"/>
    </w:rPr>
  </w:style>
  <w:style w:type="table" w:styleId="TableGrid">
    <w:name w:val="Table Grid"/>
    <w:basedOn w:val="TableNormal"/>
    <w:rsid w:val="009F3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rsid w:val="001F49AE"/>
    <w:rPr>
      <w:lang w:eastAsia="en-US"/>
    </w:rPr>
  </w:style>
  <w:style w:type="character" w:customStyle="1" w:styleId="BoxChar">
    <w:name w:val="Box Char"/>
    <w:link w:val="Box"/>
    <w:locked/>
    <w:rsid w:val="004243E6"/>
    <w:rPr>
      <w:rFonts w:ascii="Arial" w:hAnsi="Arial"/>
    </w:rPr>
  </w:style>
  <w:style w:type="character" w:customStyle="1" w:styleId="FootnoteTextChar">
    <w:name w:val="Footnote Text Char"/>
    <w:link w:val="FootnoteText"/>
    <w:rsid w:val="004243E6"/>
  </w:style>
  <w:style w:type="paragraph" w:customStyle="1" w:styleId="Question">
    <w:name w:val="Question"/>
    <w:basedOn w:val="BodyText"/>
    <w:next w:val="BodyText"/>
    <w:qFormat/>
    <w:rsid w:val="00DB56B0"/>
    <w:pPr>
      <w:spacing w:line="320" w:lineRule="atLeast"/>
    </w:pPr>
    <w:rPr>
      <w:i/>
      <w:sz w:val="26"/>
    </w:rPr>
  </w:style>
  <w:style w:type="character" w:customStyle="1" w:styleId="QuoteChar">
    <w:name w:val="Quote Char"/>
    <w:link w:val="Quote"/>
    <w:rsid w:val="008F2573"/>
    <w:rPr>
      <w:sz w:val="22"/>
    </w:rPr>
  </w:style>
  <w:style w:type="paragraph" w:customStyle="1" w:styleId="Heading1NotTOC">
    <w:name w:val="Heading 1 Not TOC"/>
    <w:basedOn w:val="Heading1"/>
    <w:next w:val="BodyText"/>
    <w:rsid w:val="008F5C6C"/>
    <w:rPr>
      <w:kern w:val="28"/>
      <w:szCs w:val="26"/>
      <w:lang w:eastAsia="en-US"/>
    </w:rPr>
  </w:style>
  <w:style w:type="character" w:customStyle="1" w:styleId="TOC1Char">
    <w:name w:val="TOC 1 Char"/>
    <w:basedOn w:val="DefaultParagraphFont"/>
    <w:link w:val="TOC1"/>
    <w:uiPriority w:val="39"/>
    <w:rsid w:val="008F5C6C"/>
    <w:rPr>
      <w:rFonts w:ascii="Arial" w:hAnsi="Arial"/>
      <w:b/>
      <w:caps/>
      <w:sz w:val="26"/>
      <w:lang w:eastAsia="en-US"/>
    </w:rPr>
  </w:style>
  <w:style w:type="paragraph" w:styleId="CommentSubject">
    <w:name w:val="annotation subject"/>
    <w:basedOn w:val="CommentText"/>
    <w:next w:val="CommentText"/>
    <w:link w:val="CommentSubjectChar"/>
    <w:rsid w:val="00124171"/>
    <w:pPr>
      <w:spacing w:before="0" w:line="240" w:lineRule="auto"/>
      <w:ind w:left="0" w:firstLine="0"/>
    </w:pPr>
    <w:rPr>
      <w:b/>
      <w:bCs/>
    </w:rPr>
  </w:style>
  <w:style w:type="character" w:customStyle="1" w:styleId="CommentSubjectChar">
    <w:name w:val="Comment Subject Char"/>
    <w:basedOn w:val="CommentTextChar"/>
    <w:link w:val="CommentSubject"/>
    <w:rsid w:val="00124171"/>
    <w:rPr>
      <w:b/>
      <w:bCs/>
      <w:lang w:eastAsia="en-US"/>
    </w:rPr>
  </w:style>
  <w:style w:type="paragraph" w:styleId="Bibliography">
    <w:name w:val="Bibliography"/>
    <w:basedOn w:val="Normal"/>
    <w:next w:val="Normal"/>
    <w:uiPriority w:val="37"/>
    <w:unhideWhenUsed/>
    <w:rsid w:val="003F5AA3"/>
    <w:pPr>
      <w:spacing w:after="240"/>
      <w:ind w:left="720" w:hanging="720"/>
    </w:pPr>
  </w:style>
  <w:style w:type="paragraph" w:customStyle="1" w:styleId="Default">
    <w:name w:val="Default"/>
    <w:rsid w:val="00787E48"/>
    <w:pPr>
      <w:autoSpaceDE w:val="0"/>
      <w:autoSpaceDN w:val="0"/>
      <w:adjustRightInd w:val="0"/>
    </w:pPr>
    <w:rPr>
      <w:color w:val="000000"/>
      <w:sz w:val="24"/>
      <w:szCs w:val="24"/>
    </w:rPr>
  </w:style>
  <w:style w:type="paragraph" w:styleId="Revision">
    <w:name w:val="Revision"/>
    <w:hidden/>
    <w:uiPriority w:val="99"/>
    <w:semiHidden/>
    <w:rsid w:val="004C3363"/>
    <w:rPr>
      <w:sz w:val="26"/>
      <w:lang w:eastAsia="en-US"/>
    </w:rPr>
  </w:style>
  <w:style w:type="paragraph" w:styleId="EndnoteText">
    <w:name w:val="endnote text"/>
    <w:basedOn w:val="Normal"/>
    <w:link w:val="EndnoteTextChar"/>
    <w:rsid w:val="005152FB"/>
    <w:rPr>
      <w:sz w:val="20"/>
    </w:rPr>
  </w:style>
  <w:style w:type="character" w:customStyle="1" w:styleId="EndnoteTextChar">
    <w:name w:val="Endnote Text Char"/>
    <w:basedOn w:val="DefaultParagraphFont"/>
    <w:link w:val="EndnoteText"/>
    <w:rsid w:val="005152FB"/>
    <w:rPr>
      <w:lang w:eastAsia="en-US"/>
    </w:rPr>
  </w:style>
  <w:style w:type="character" w:styleId="EndnoteReference">
    <w:name w:val="endnote reference"/>
    <w:basedOn w:val="DefaultParagraphFont"/>
    <w:rsid w:val="005152FB"/>
    <w:rPr>
      <w:vertAlign w:val="superscript"/>
    </w:rPr>
  </w:style>
  <w:style w:type="paragraph" w:styleId="TOCHeading">
    <w:name w:val="TOC Heading"/>
    <w:basedOn w:val="Heading1"/>
    <w:next w:val="Normal"/>
    <w:uiPriority w:val="39"/>
    <w:semiHidden/>
    <w:unhideWhenUsed/>
    <w:qFormat/>
    <w:rsid w:val="00DF626B"/>
    <w:pPr>
      <w:keepLines/>
      <w:spacing w:before="480" w:after="0" w:line="276" w:lineRule="auto"/>
      <w:ind w:left="0" w:firstLine="0"/>
      <w:outlineLvl w:val="9"/>
    </w:pPr>
    <w:rPr>
      <w:rFonts w:asciiTheme="majorHAnsi" w:eastAsiaTheme="majorEastAsia" w:hAnsiTheme="majorHAnsi" w:cstheme="majorBidi"/>
      <w:b/>
      <w:bCs/>
      <w:color w:val="597923" w:themeColor="accent1" w:themeShade="BF"/>
      <w:sz w:val="28"/>
      <w:szCs w:val="28"/>
      <w:lang w:val="en-US" w:eastAsia="ja-JP"/>
    </w:rPr>
  </w:style>
  <w:style w:type="character" w:customStyle="1" w:styleId="Heading4Char">
    <w:name w:val="Heading 4 Char"/>
    <w:basedOn w:val="DefaultParagraphFont"/>
    <w:link w:val="Heading4"/>
    <w:rsid w:val="00A56B42"/>
    <w:rPr>
      <w:rFonts w:ascii="Arial" w:hAnsi="Arial"/>
      <w:sz w:val="24"/>
    </w:rPr>
  </w:style>
  <w:style w:type="character" w:customStyle="1" w:styleId="apple-converted-space">
    <w:name w:val="apple-converted-space"/>
    <w:basedOn w:val="DefaultParagraphFont"/>
    <w:rsid w:val="008525F0"/>
  </w:style>
  <w:style w:type="character" w:styleId="FollowedHyperlink">
    <w:name w:val="FollowedHyperlink"/>
    <w:basedOn w:val="DefaultParagraphFont"/>
    <w:rsid w:val="00F455A7"/>
    <w:rPr>
      <w:color w:val="387DD2" w:themeColor="followedHyperlink"/>
      <w:u w:val="single"/>
    </w:rPr>
  </w:style>
  <w:style w:type="table" w:customStyle="1" w:styleId="TableGrid1">
    <w:name w:val="Table Grid1"/>
    <w:basedOn w:val="TableNormal"/>
    <w:next w:val="TableGrid"/>
    <w:uiPriority w:val="59"/>
    <w:rsid w:val="004A16D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indented">
    <w:name w:val="Question indented"/>
    <w:basedOn w:val="ListNumber"/>
    <w:link w:val="QuestionindentedChar"/>
    <w:qFormat/>
    <w:rsid w:val="00287D63"/>
    <w:rPr>
      <w:i/>
    </w:rPr>
  </w:style>
  <w:style w:type="character" w:customStyle="1" w:styleId="ListNumberChar">
    <w:name w:val="List Number Char"/>
    <w:basedOn w:val="BodyTextChar"/>
    <w:link w:val="ListNumber"/>
    <w:rsid w:val="00287D63"/>
    <w:rPr>
      <w:sz w:val="24"/>
    </w:rPr>
  </w:style>
  <w:style w:type="character" w:customStyle="1" w:styleId="QuestionindentedChar">
    <w:name w:val="Question indented Char"/>
    <w:basedOn w:val="ListNumberChar"/>
    <w:link w:val="Questionindented"/>
    <w:rsid w:val="00287D63"/>
    <w:rPr>
      <w:i/>
      <w:sz w:val="24"/>
    </w:rPr>
  </w:style>
  <w:style w:type="paragraph" w:styleId="BlockText">
    <w:name w:val="Block Text"/>
    <w:basedOn w:val="Normal"/>
    <w:rsid w:val="004B44FA"/>
    <w:pPr>
      <w:pBdr>
        <w:top w:val="single" w:sz="2" w:space="10" w:color="78A22F" w:themeColor="accent1" w:shadow="1"/>
        <w:left w:val="single" w:sz="2" w:space="10" w:color="78A22F" w:themeColor="accent1" w:shadow="1"/>
        <w:bottom w:val="single" w:sz="2" w:space="10" w:color="78A22F" w:themeColor="accent1" w:shadow="1"/>
        <w:right w:val="single" w:sz="2" w:space="10" w:color="78A22F" w:themeColor="accent1" w:shadow="1"/>
      </w:pBdr>
      <w:ind w:left="1152" w:right="1152"/>
    </w:pPr>
    <w:rPr>
      <w:rFonts w:asciiTheme="minorHAnsi" w:eastAsiaTheme="minorEastAsia" w:hAnsiTheme="minorHAnsi" w:cstheme="minorBidi"/>
      <w:i/>
      <w:iCs/>
      <w:color w:val="78A22F" w:themeColor="accent1"/>
    </w:rPr>
  </w:style>
  <w:style w:type="paragraph" w:styleId="BodyText2">
    <w:name w:val="Body Text 2"/>
    <w:basedOn w:val="Normal"/>
    <w:link w:val="BodyText2Char"/>
    <w:rsid w:val="004B44FA"/>
    <w:pPr>
      <w:spacing w:after="120" w:line="480" w:lineRule="auto"/>
    </w:pPr>
  </w:style>
  <w:style w:type="character" w:customStyle="1" w:styleId="BodyText2Char">
    <w:name w:val="Body Text 2 Char"/>
    <w:basedOn w:val="DefaultParagraphFont"/>
    <w:link w:val="BodyText2"/>
    <w:rsid w:val="004B44FA"/>
    <w:rPr>
      <w:sz w:val="26"/>
      <w:lang w:eastAsia="en-US"/>
    </w:rPr>
  </w:style>
  <w:style w:type="paragraph" w:styleId="BodyText3">
    <w:name w:val="Body Text 3"/>
    <w:basedOn w:val="Normal"/>
    <w:link w:val="BodyText3Char"/>
    <w:rsid w:val="004B44FA"/>
    <w:pPr>
      <w:spacing w:after="120"/>
    </w:pPr>
    <w:rPr>
      <w:sz w:val="16"/>
      <w:szCs w:val="16"/>
    </w:rPr>
  </w:style>
  <w:style w:type="character" w:customStyle="1" w:styleId="BodyText3Char">
    <w:name w:val="Body Text 3 Char"/>
    <w:basedOn w:val="DefaultParagraphFont"/>
    <w:link w:val="BodyText3"/>
    <w:rsid w:val="004B44FA"/>
    <w:rPr>
      <w:sz w:val="16"/>
      <w:szCs w:val="16"/>
      <w:lang w:eastAsia="en-US"/>
    </w:rPr>
  </w:style>
  <w:style w:type="paragraph" w:styleId="BodyTextFirstIndent">
    <w:name w:val="Body Text First Indent"/>
    <w:basedOn w:val="BodyText"/>
    <w:link w:val="BodyTextFirstIndentChar"/>
    <w:rsid w:val="004B44FA"/>
    <w:pPr>
      <w:spacing w:before="0" w:line="240" w:lineRule="auto"/>
      <w:ind w:firstLine="360"/>
      <w:jc w:val="left"/>
    </w:pPr>
    <w:rPr>
      <w:sz w:val="26"/>
      <w:lang w:eastAsia="en-US"/>
    </w:rPr>
  </w:style>
  <w:style w:type="character" w:customStyle="1" w:styleId="BodyTextFirstIndentChar">
    <w:name w:val="Body Text First Indent Char"/>
    <w:basedOn w:val="BodyTextChar"/>
    <w:link w:val="BodyTextFirstIndent"/>
    <w:rsid w:val="004B44FA"/>
    <w:rPr>
      <w:sz w:val="26"/>
      <w:lang w:eastAsia="en-US"/>
    </w:rPr>
  </w:style>
  <w:style w:type="paragraph" w:styleId="BodyTextIndent">
    <w:name w:val="Body Text Indent"/>
    <w:basedOn w:val="Normal"/>
    <w:link w:val="BodyTextIndentChar"/>
    <w:rsid w:val="004B44FA"/>
    <w:pPr>
      <w:spacing w:after="120"/>
      <w:ind w:left="283"/>
    </w:pPr>
  </w:style>
  <w:style w:type="character" w:customStyle="1" w:styleId="BodyTextIndentChar">
    <w:name w:val="Body Text Indent Char"/>
    <w:basedOn w:val="DefaultParagraphFont"/>
    <w:link w:val="BodyTextIndent"/>
    <w:rsid w:val="004B44FA"/>
    <w:rPr>
      <w:sz w:val="26"/>
      <w:lang w:eastAsia="en-US"/>
    </w:rPr>
  </w:style>
  <w:style w:type="paragraph" w:styleId="BodyTextFirstIndent2">
    <w:name w:val="Body Text First Indent 2"/>
    <w:basedOn w:val="BodyTextIndent"/>
    <w:link w:val="BodyTextFirstIndent2Char"/>
    <w:rsid w:val="004B44FA"/>
    <w:pPr>
      <w:spacing w:after="0"/>
      <w:ind w:left="360" w:firstLine="360"/>
    </w:pPr>
  </w:style>
  <w:style w:type="character" w:customStyle="1" w:styleId="BodyTextFirstIndent2Char">
    <w:name w:val="Body Text First Indent 2 Char"/>
    <w:basedOn w:val="BodyTextIndentChar"/>
    <w:link w:val="BodyTextFirstIndent2"/>
    <w:rsid w:val="004B44FA"/>
    <w:rPr>
      <w:sz w:val="26"/>
      <w:lang w:eastAsia="en-US"/>
    </w:rPr>
  </w:style>
  <w:style w:type="paragraph" w:styleId="BodyTextIndent2">
    <w:name w:val="Body Text Indent 2"/>
    <w:basedOn w:val="Normal"/>
    <w:link w:val="BodyTextIndent2Char"/>
    <w:rsid w:val="004B44FA"/>
    <w:pPr>
      <w:spacing w:after="120" w:line="480" w:lineRule="auto"/>
      <w:ind w:left="283"/>
    </w:pPr>
  </w:style>
  <w:style w:type="character" w:customStyle="1" w:styleId="BodyTextIndent2Char">
    <w:name w:val="Body Text Indent 2 Char"/>
    <w:basedOn w:val="DefaultParagraphFont"/>
    <w:link w:val="BodyTextIndent2"/>
    <w:rsid w:val="004B44FA"/>
    <w:rPr>
      <w:sz w:val="26"/>
      <w:lang w:eastAsia="en-US"/>
    </w:rPr>
  </w:style>
  <w:style w:type="paragraph" w:styleId="BodyTextIndent3">
    <w:name w:val="Body Text Indent 3"/>
    <w:basedOn w:val="Normal"/>
    <w:link w:val="BodyTextIndent3Char"/>
    <w:rsid w:val="004B44FA"/>
    <w:pPr>
      <w:spacing w:after="120"/>
      <w:ind w:left="283"/>
    </w:pPr>
    <w:rPr>
      <w:sz w:val="16"/>
      <w:szCs w:val="16"/>
    </w:rPr>
  </w:style>
  <w:style w:type="character" w:customStyle="1" w:styleId="BodyTextIndent3Char">
    <w:name w:val="Body Text Indent 3 Char"/>
    <w:basedOn w:val="DefaultParagraphFont"/>
    <w:link w:val="BodyTextIndent3"/>
    <w:rsid w:val="004B44FA"/>
    <w:rPr>
      <w:sz w:val="16"/>
      <w:szCs w:val="16"/>
      <w:lang w:eastAsia="en-US"/>
    </w:rPr>
  </w:style>
  <w:style w:type="paragraph" w:styleId="Closing">
    <w:name w:val="Closing"/>
    <w:basedOn w:val="Normal"/>
    <w:link w:val="ClosingChar"/>
    <w:rsid w:val="004B44FA"/>
    <w:pPr>
      <w:ind w:left="4252"/>
    </w:pPr>
  </w:style>
  <w:style w:type="character" w:customStyle="1" w:styleId="ClosingChar">
    <w:name w:val="Closing Char"/>
    <w:basedOn w:val="DefaultParagraphFont"/>
    <w:link w:val="Closing"/>
    <w:rsid w:val="004B44FA"/>
    <w:rPr>
      <w:sz w:val="26"/>
      <w:lang w:eastAsia="en-US"/>
    </w:rPr>
  </w:style>
  <w:style w:type="paragraph" w:styleId="Date">
    <w:name w:val="Date"/>
    <w:basedOn w:val="Normal"/>
    <w:next w:val="Normal"/>
    <w:link w:val="DateChar"/>
    <w:rsid w:val="004B44FA"/>
  </w:style>
  <w:style w:type="character" w:customStyle="1" w:styleId="DateChar">
    <w:name w:val="Date Char"/>
    <w:basedOn w:val="DefaultParagraphFont"/>
    <w:link w:val="Date"/>
    <w:rsid w:val="004B44FA"/>
    <w:rPr>
      <w:sz w:val="26"/>
      <w:lang w:eastAsia="en-US"/>
    </w:rPr>
  </w:style>
  <w:style w:type="paragraph" w:styleId="DocumentMap">
    <w:name w:val="Document Map"/>
    <w:basedOn w:val="Normal"/>
    <w:link w:val="DocumentMapChar"/>
    <w:rsid w:val="004B44FA"/>
    <w:rPr>
      <w:rFonts w:ascii="Tahoma" w:hAnsi="Tahoma" w:cs="Tahoma"/>
      <w:sz w:val="16"/>
      <w:szCs w:val="16"/>
    </w:rPr>
  </w:style>
  <w:style w:type="character" w:customStyle="1" w:styleId="DocumentMapChar">
    <w:name w:val="Document Map Char"/>
    <w:basedOn w:val="DefaultParagraphFont"/>
    <w:link w:val="DocumentMap"/>
    <w:rsid w:val="004B44FA"/>
    <w:rPr>
      <w:rFonts w:ascii="Tahoma" w:hAnsi="Tahoma" w:cs="Tahoma"/>
      <w:sz w:val="16"/>
      <w:szCs w:val="16"/>
      <w:lang w:eastAsia="en-US"/>
    </w:rPr>
  </w:style>
  <w:style w:type="paragraph" w:styleId="E-mailSignature">
    <w:name w:val="E-mail Signature"/>
    <w:basedOn w:val="Normal"/>
    <w:link w:val="E-mailSignatureChar"/>
    <w:rsid w:val="004B44FA"/>
  </w:style>
  <w:style w:type="character" w:customStyle="1" w:styleId="E-mailSignatureChar">
    <w:name w:val="E-mail Signature Char"/>
    <w:basedOn w:val="DefaultParagraphFont"/>
    <w:link w:val="E-mailSignature"/>
    <w:rsid w:val="004B44FA"/>
    <w:rPr>
      <w:sz w:val="26"/>
      <w:lang w:eastAsia="en-US"/>
    </w:rPr>
  </w:style>
  <w:style w:type="paragraph" w:styleId="EnvelopeAddress">
    <w:name w:val="envelope address"/>
    <w:basedOn w:val="Normal"/>
    <w:rsid w:val="004B44F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4B44FA"/>
    <w:rPr>
      <w:rFonts w:asciiTheme="majorHAnsi" w:eastAsiaTheme="majorEastAsia" w:hAnsiTheme="majorHAnsi" w:cstheme="majorBidi"/>
      <w:sz w:val="20"/>
    </w:rPr>
  </w:style>
  <w:style w:type="paragraph" w:styleId="HTMLAddress">
    <w:name w:val="HTML Address"/>
    <w:basedOn w:val="Normal"/>
    <w:link w:val="HTMLAddressChar"/>
    <w:rsid w:val="004B44FA"/>
    <w:rPr>
      <w:i/>
      <w:iCs/>
    </w:rPr>
  </w:style>
  <w:style w:type="character" w:customStyle="1" w:styleId="HTMLAddressChar">
    <w:name w:val="HTML Address Char"/>
    <w:basedOn w:val="DefaultParagraphFont"/>
    <w:link w:val="HTMLAddress"/>
    <w:rsid w:val="004B44FA"/>
    <w:rPr>
      <w:i/>
      <w:iCs/>
      <w:sz w:val="26"/>
      <w:lang w:eastAsia="en-US"/>
    </w:rPr>
  </w:style>
  <w:style w:type="paragraph" w:styleId="HTMLPreformatted">
    <w:name w:val="HTML Preformatted"/>
    <w:basedOn w:val="Normal"/>
    <w:link w:val="HTMLPreformattedChar"/>
    <w:rsid w:val="004B44FA"/>
    <w:rPr>
      <w:rFonts w:ascii="Consolas" w:hAnsi="Consolas" w:cs="Consolas"/>
      <w:sz w:val="20"/>
    </w:rPr>
  </w:style>
  <w:style w:type="character" w:customStyle="1" w:styleId="HTMLPreformattedChar">
    <w:name w:val="HTML Preformatted Char"/>
    <w:basedOn w:val="DefaultParagraphFont"/>
    <w:link w:val="HTMLPreformatted"/>
    <w:rsid w:val="004B44FA"/>
    <w:rPr>
      <w:rFonts w:ascii="Consolas" w:hAnsi="Consolas" w:cs="Consolas"/>
      <w:lang w:eastAsia="en-US"/>
    </w:rPr>
  </w:style>
  <w:style w:type="paragraph" w:styleId="Index1">
    <w:name w:val="index 1"/>
    <w:basedOn w:val="Normal"/>
    <w:next w:val="Normal"/>
    <w:autoRedefine/>
    <w:rsid w:val="004B44FA"/>
    <w:pPr>
      <w:ind w:left="260" w:hanging="260"/>
    </w:pPr>
  </w:style>
  <w:style w:type="paragraph" w:styleId="Index2">
    <w:name w:val="index 2"/>
    <w:basedOn w:val="Normal"/>
    <w:next w:val="Normal"/>
    <w:autoRedefine/>
    <w:rsid w:val="004B44FA"/>
    <w:pPr>
      <w:ind w:left="520" w:hanging="260"/>
    </w:pPr>
  </w:style>
  <w:style w:type="paragraph" w:styleId="Index3">
    <w:name w:val="index 3"/>
    <w:basedOn w:val="Normal"/>
    <w:next w:val="Normal"/>
    <w:autoRedefine/>
    <w:rsid w:val="004B44FA"/>
    <w:pPr>
      <w:ind w:left="780" w:hanging="260"/>
    </w:pPr>
  </w:style>
  <w:style w:type="paragraph" w:styleId="Index4">
    <w:name w:val="index 4"/>
    <w:basedOn w:val="Normal"/>
    <w:next w:val="Normal"/>
    <w:autoRedefine/>
    <w:rsid w:val="004B44FA"/>
    <w:pPr>
      <w:ind w:left="1040" w:hanging="260"/>
    </w:pPr>
  </w:style>
  <w:style w:type="paragraph" w:styleId="Index5">
    <w:name w:val="index 5"/>
    <w:basedOn w:val="Normal"/>
    <w:next w:val="Normal"/>
    <w:autoRedefine/>
    <w:rsid w:val="004B44FA"/>
    <w:pPr>
      <w:ind w:left="1300" w:hanging="260"/>
    </w:pPr>
  </w:style>
  <w:style w:type="paragraph" w:styleId="Index6">
    <w:name w:val="index 6"/>
    <w:basedOn w:val="Normal"/>
    <w:next w:val="Normal"/>
    <w:autoRedefine/>
    <w:rsid w:val="004B44FA"/>
    <w:pPr>
      <w:ind w:left="1560" w:hanging="260"/>
    </w:pPr>
  </w:style>
  <w:style w:type="paragraph" w:styleId="Index7">
    <w:name w:val="index 7"/>
    <w:basedOn w:val="Normal"/>
    <w:next w:val="Normal"/>
    <w:autoRedefine/>
    <w:rsid w:val="004B44FA"/>
    <w:pPr>
      <w:ind w:left="1820" w:hanging="260"/>
    </w:pPr>
  </w:style>
  <w:style w:type="paragraph" w:styleId="Index8">
    <w:name w:val="index 8"/>
    <w:basedOn w:val="Normal"/>
    <w:next w:val="Normal"/>
    <w:autoRedefine/>
    <w:rsid w:val="004B44FA"/>
    <w:pPr>
      <w:ind w:left="2080" w:hanging="260"/>
    </w:pPr>
  </w:style>
  <w:style w:type="paragraph" w:styleId="Index9">
    <w:name w:val="index 9"/>
    <w:basedOn w:val="Normal"/>
    <w:next w:val="Normal"/>
    <w:autoRedefine/>
    <w:rsid w:val="004B44FA"/>
    <w:pPr>
      <w:ind w:left="2340" w:hanging="260"/>
    </w:pPr>
  </w:style>
  <w:style w:type="paragraph" w:styleId="IndexHeading">
    <w:name w:val="index heading"/>
    <w:basedOn w:val="Normal"/>
    <w:next w:val="Index1"/>
    <w:rsid w:val="004B44FA"/>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4B44FA"/>
    <w:pPr>
      <w:pBdr>
        <w:bottom w:val="single" w:sz="4" w:space="4" w:color="78A22F" w:themeColor="accent1"/>
      </w:pBdr>
      <w:spacing w:before="200" w:after="280"/>
      <w:ind w:left="936" w:right="936"/>
    </w:pPr>
    <w:rPr>
      <w:b/>
      <w:bCs/>
      <w:i/>
      <w:iCs/>
      <w:color w:val="78A22F" w:themeColor="accent1"/>
    </w:rPr>
  </w:style>
  <w:style w:type="character" w:customStyle="1" w:styleId="IntenseQuoteChar">
    <w:name w:val="Intense Quote Char"/>
    <w:basedOn w:val="DefaultParagraphFont"/>
    <w:link w:val="IntenseQuote"/>
    <w:uiPriority w:val="30"/>
    <w:rsid w:val="004B44FA"/>
    <w:rPr>
      <w:b/>
      <w:bCs/>
      <w:i/>
      <w:iCs/>
      <w:color w:val="78A22F" w:themeColor="accent1"/>
      <w:sz w:val="26"/>
      <w:lang w:eastAsia="en-US"/>
    </w:rPr>
  </w:style>
  <w:style w:type="paragraph" w:styleId="List">
    <w:name w:val="List"/>
    <w:basedOn w:val="Normal"/>
    <w:rsid w:val="004B44FA"/>
    <w:pPr>
      <w:ind w:left="283" w:hanging="283"/>
      <w:contextualSpacing/>
    </w:pPr>
  </w:style>
  <w:style w:type="paragraph" w:styleId="List2">
    <w:name w:val="List 2"/>
    <w:basedOn w:val="Normal"/>
    <w:rsid w:val="004B44FA"/>
    <w:pPr>
      <w:ind w:left="566" w:hanging="283"/>
      <w:contextualSpacing/>
    </w:pPr>
  </w:style>
  <w:style w:type="paragraph" w:styleId="List3">
    <w:name w:val="List 3"/>
    <w:basedOn w:val="Normal"/>
    <w:rsid w:val="004B44FA"/>
    <w:pPr>
      <w:ind w:left="849" w:hanging="283"/>
      <w:contextualSpacing/>
    </w:pPr>
  </w:style>
  <w:style w:type="paragraph" w:styleId="List4">
    <w:name w:val="List 4"/>
    <w:basedOn w:val="Normal"/>
    <w:rsid w:val="004B44FA"/>
    <w:pPr>
      <w:ind w:left="1132" w:hanging="283"/>
      <w:contextualSpacing/>
    </w:pPr>
  </w:style>
  <w:style w:type="paragraph" w:styleId="List5">
    <w:name w:val="List 5"/>
    <w:basedOn w:val="Normal"/>
    <w:rsid w:val="004B44FA"/>
    <w:pPr>
      <w:ind w:left="1415" w:hanging="283"/>
      <w:contextualSpacing/>
    </w:pPr>
  </w:style>
  <w:style w:type="paragraph" w:styleId="ListBullet4">
    <w:name w:val="List Bullet 4"/>
    <w:basedOn w:val="Normal"/>
    <w:rsid w:val="004B44FA"/>
    <w:pPr>
      <w:numPr>
        <w:numId w:val="22"/>
      </w:numPr>
      <w:contextualSpacing/>
    </w:pPr>
  </w:style>
  <w:style w:type="paragraph" w:styleId="ListBullet5">
    <w:name w:val="List Bullet 5"/>
    <w:basedOn w:val="Normal"/>
    <w:rsid w:val="004B44FA"/>
    <w:pPr>
      <w:numPr>
        <w:numId w:val="23"/>
      </w:numPr>
      <w:contextualSpacing/>
    </w:pPr>
  </w:style>
  <w:style w:type="paragraph" w:styleId="ListContinue">
    <w:name w:val="List Continue"/>
    <w:basedOn w:val="Normal"/>
    <w:rsid w:val="004B44FA"/>
    <w:pPr>
      <w:spacing w:after="120"/>
      <w:ind w:left="283"/>
      <w:contextualSpacing/>
    </w:pPr>
  </w:style>
  <w:style w:type="paragraph" w:styleId="ListContinue2">
    <w:name w:val="List Continue 2"/>
    <w:basedOn w:val="Normal"/>
    <w:rsid w:val="004B44FA"/>
    <w:pPr>
      <w:spacing w:after="120"/>
      <w:ind w:left="566"/>
      <w:contextualSpacing/>
    </w:pPr>
  </w:style>
  <w:style w:type="paragraph" w:styleId="ListContinue3">
    <w:name w:val="List Continue 3"/>
    <w:basedOn w:val="Normal"/>
    <w:rsid w:val="004B44FA"/>
    <w:pPr>
      <w:spacing w:after="120"/>
      <w:ind w:left="849"/>
      <w:contextualSpacing/>
    </w:pPr>
  </w:style>
  <w:style w:type="paragraph" w:styleId="ListContinue4">
    <w:name w:val="List Continue 4"/>
    <w:basedOn w:val="Normal"/>
    <w:rsid w:val="004B44FA"/>
    <w:pPr>
      <w:spacing w:after="120"/>
      <w:ind w:left="1132"/>
      <w:contextualSpacing/>
    </w:pPr>
  </w:style>
  <w:style w:type="paragraph" w:styleId="ListContinue5">
    <w:name w:val="List Continue 5"/>
    <w:basedOn w:val="Normal"/>
    <w:rsid w:val="004B44FA"/>
    <w:pPr>
      <w:spacing w:after="120"/>
      <w:ind w:left="1415"/>
      <w:contextualSpacing/>
    </w:pPr>
  </w:style>
  <w:style w:type="paragraph" w:styleId="ListNumber4">
    <w:name w:val="List Number 4"/>
    <w:basedOn w:val="Normal"/>
    <w:rsid w:val="004B44FA"/>
    <w:pPr>
      <w:numPr>
        <w:numId w:val="24"/>
      </w:numPr>
      <w:contextualSpacing/>
    </w:pPr>
  </w:style>
  <w:style w:type="paragraph" w:styleId="ListNumber5">
    <w:name w:val="List Number 5"/>
    <w:basedOn w:val="Normal"/>
    <w:rsid w:val="004B44FA"/>
    <w:pPr>
      <w:numPr>
        <w:numId w:val="25"/>
      </w:numPr>
      <w:contextualSpacing/>
    </w:pPr>
  </w:style>
  <w:style w:type="paragraph" w:styleId="ListParagraph">
    <w:name w:val="List Paragraph"/>
    <w:basedOn w:val="Normal"/>
    <w:uiPriority w:val="34"/>
    <w:rsid w:val="004B44FA"/>
    <w:pPr>
      <w:ind w:left="720"/>
      <w:contextualSpacing/>
    </w:pPr>
  </w:style>
  <w:style w:type="paragraph" w:styleId="MacroText">
    <w:name w:val="macro"/>
    <w:link w:val="MacroTextChar"/>
    <w:rsid w:val="004B44FA"/>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4B44FA"/>
    <w:rPr>
      <w:rFonts w:ascii="Consolas" w:hAnsi="Consolas" w:cs="Consolas"/>
      <w:lang w:eastAsia="en-US"/>
    </w:rPr>
  </w:style>
  <w:style w:type="paragraph" w:styleId="MessageHeader">
    <w:name w:val="Message Header"/>
    <w:basedOn w:val="Normal"/>
    <w:link w:val="MessageHeaderChar"/>
    <w:rsid w:val="004B44F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B44FA"/>
    <w:rPr>
      <w:rFonts w:asciiTheme="majorHAnsi" w:eastAsiaTheme="majorEastAsia" w:hAnsiTheme="majorHAnsi" w:cstheme="majorBidi"/>
      <w:sz w:val="24"/>
      <w:szCs w:val="24"/>
      <w:shd w:val="pct20" w:color="auto" w:fill="auto"/>
      <w:lang w:eastAsia="en-US"/>
    </w:rPr>
  </w:style>
  <w:style w:type="paragraph" w:styleId="NoSpacing">
    <w:name w:val="No Spacing"/>
    <w:uiPriority w:val="1"/>
    <w:rsid w:val="004B44FA"/>
    <w:rPr>
      <w:sz w:val="26"/>
      <w:lang w:eastAsia="en-US"/>
    </w:rPr>
  </w:style>
  <w:style w:type="paragraph" w:styleId="NormalWeb">
    <w:name w:val="Normal (Web)"/>
    <w:basedOn w:val="Normal"/>
    <w:rsid w:val="004B44FA"/>
    <w:rPr>
      <w:sz w:val="24"/>
      <w:szCs w:val="24"/>
    </w:rPr>
  </w:style>
  <w:style w:type="paragraph" w:styleId="NormalIndent">
    <w:name w:val="Normal Indent"/>
    <w:basedOn w:val="Normal"/>
    <w:rsid w:val="004B44FA"/>
    <w:pPr>
      <w:ind w:left="720"/>
    </w:pPr>
  </w:style>
  <w:style w:type="paragraph" w:styleId="NoteHeading">
    <w:name w:val="Note Heading"/>
    <w:basedOn w:val="Normal"/>
    <w:next w:val="Normal"/>
    <w:link w:val="NoteHeadingChar"/>
    <w:rsid w:val="004B44FA"/>
  </w:style>
  <w:style w:type="character" w:customStyle="1" w:styleId="NoteHeadingChar">
    <w:name w:val="Note Heading Char"/>
    <w:basedOn w:val="DefaultParagraphFont"/>
    <w:link w:val="NoteHeading"/>
    <w:rsid w:val="004B44FA"/>
    <w:rPr>
      <w:sz w:val="26"/>
      <w:lang w:eastAsia="en-US"/>
    </w:rPr>
  </w:style>
  <w:style w:type="paragraph" w:styleId="PlainText">
    <w:name w:val="Plain Text"/>
    <w:basedOn w:val="Normal"/>
    <w:link w:val="PlainTextChar"/>
    <w:rsid w:val="004B44FA"/>
    <w:rPr>
      <w:rFonts w:ascii="Consolas" w:hAnsi="Consolas" w:cs="Consolas"/>
      <w:sz w:val="21"/>
      <w:szCs w:val="21"/>
    </w:rPr>
  </w:style>
  <w:style w:type="character" w:customStyle="1" w:styleId="PlainTextChar">
    <w:name w:val="Plain Text Char"/>
    <w:basedOn w:val="DefaultParagraphFont"/>
    <w:link w:val="PlainText"/>
    <w:rsid w:val="004B44FA"/>
    <w:rPr>
      <w:rFonts w:ascii="Consolas" w:hAnsi="Consolas" w:cs="Consolas"/>
      <w:sz w:val="21"/>
      <w:szCs w:val="21"/>
      <w:lang w:eastAsia="en-US"/>
    </w:rPr>
  </w:style>
  <w:style w:type="paragraph" w:styleId="Salutation">
    <w:name w:val="Salutation"/>
    <w:basedOn w:val="Normal"/>
    <w:next w:val="Normal"/>
    <w:link w:val="SalutationChar"/>
    <w:rsid w:val="004B44FA"/>
  </w:style>
  <w:style w:type="character" w:customStyle="1" w:styleId="SalutationChar">
    <w:name w:val="Salutation Char"/>
    <w:basedOn w:val="DefaultParagraphFont"/>
    <w:link w:val="Salutation"/>
    <w:rsid w:val="004B44FA"/>
    <w:rPr>
      <w:sz w:val="26"/>
      <w:lang w:eastAsia="en-US"/>
    </w:rPr>
  </w:style>
  <w:style w:type="paragraph" w:styleId="Signature">
    <w:name w:val="Signature"/>
    <w:basedOn w:val="Normal"/>
    <w:link w:val="SignatureChar"/>
    <w:rsid w:val="004B44FA"/>
    <w:pPr>
      <w:ind w:left="4252"/>
    </w:pPr>
  </w:style>
  <w:style w:type="character" w:customStyle="1" w:styleId="SignatureChar">
    <w:name w:val="Signature Char"/>
    <w:basedOn w:val="DefaultParagraphFont"/>
    <w:link w:val="Signature"/>
    <w:rsid w:val="004B44FA"/>
    <w:rPr>
      <w:sz w:val="26"/>
      <w:lang w:eastAsia="en-US"/>
    </w:rPr>
  </w:style>
  <w:style w:type="paragraph" w:styleId="TableofAuthorities">
    <w:name w:val="table of authorities"/>
    <w:basedOn w:val="Normal"/>
    <w:next w:val="Normal"/>
    <w:rsid w:val="004B44FA"/>
    <w:pPr>
      <w:ind w:left="260" w:hanging="260"/>
    </w:pPr>
  </w:style>
  <w:style w:type="paragraph" w:styleId="Title">
    <w:name w:val="Title"/>
    <w:basedOn w:val="Normal"/>
    <w:next w:val="Normal"/>
    <w:link w:val="TitleChar"/>
    <w:rsid w:val="004B44FA"/>
    <w:pPr>
      <w:pBdr>
        <w:bottom w:val="single" w:sz="8" w:space="4" w:color="78A22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rsid w:val="004B44FA"/>
    <w:rPr>
      <w:rFonts w:asciiTheme="majorHAnsi" w:eastAsiaTheme="majorEastAsia" w:hAnsiTheme="majorHAnsi" w:cstheme="majorBidi"/>
      <w:color w:val="000000" w:themeColor="text2" w:themeShade="BF"/>
      <w:spacing w:val="5"/>
      <w:kern w:val="28"/>
      <w:sz w:val="52"/>
      <w:szCs w:val="52"/>
      <w:lang w:eastAsia="en-US"/>
    </w:rPr>
  </w:style>
  <w:style w:type="paragraph" w:styleId="TOAHeading">
    <w:name w:val="toa heading"/>
    <w:basedOn w:val="Normal"/>
    <w:next w:val="Normal"/>
    <w:rsid w:val="004B44FA"/>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rsid w:val="004B44FA"/>
    <w:pPr>
      <w:spacing w:after="100"/>
      <w:ind w:left="1040"/>
    </w:pPr>
  </w:style>
  <w:style w:type="paragraph" w:styleId="TOC6">
    <w:name w:val="toc 6"/>
    <w:basedOn w:val="Normal"/>
    <w:next w:val="Normal"/>
    <w:autoRedefine/>
    <w:rsid w:val="004B44FA"/>
    <w:pPr>
      <w:spacing w:after="100"/>
      <w:ind w:left="1300"/>
    </w:pPr>
  </w:style>
  <w:style w:type="paragraph" w:styleId="TOC7">
    <w:name w:val="toc 7"/>
    <w:basedOn w:val="Normal"/>
    <w:next w:val="Normal"/>
    <w:autoRedefine/>
    <w:rsid w:val="004B44FA"/>
    <w:pPr>
      <w:spacing w:after="100"/>
      <w:ind w:left="1560"/>
    </w:pPr>
  </w:style>
  <w:style w:type="paragraph" w:styleId="TOC8">
    <w:name w:val="toc 8"/>
    <w:basedOn w:val="Normal"/>
    <w:next w:val="Normal"/>
    <w:autoRedefine/>
    <w:rsid w:val="004B44FA"/>
    <w:pPr>
      <w:spacing w:after="100"/>
      <w:ind w:left="1820"/>
    </w:pPr>
  </w:style>
  <w:style w:type="paragraph" w:styleId="TOC9">
    <w:name w:val="toc 9"/>
    <w:basedOn w:val="Normal"/>
    <w:next w:val="Normal"/>
    <w:autoRedefine/>
    <w:rsid w:val="004B44FA"/>
    <w:pPr>
      <w:spacing w:after="100"/>
      <w:ind w:left="2080"/>
    </w:pPr>
  </w:style>
  <w:style w:type="paragraph" w:customStyle="1" w:styleId="BoxSpaceAboveElement">
    <w:name w:val="Box Space Above Element"/>
    <w:basedOn w:val="BoxSpaceAbove"/>
    <w:link w:val="BoxSpaceAboveElementChar"/>
    <w:qFormat/>
    <w:rsid w:val="004A70DC"/>
    <w:pPr>
      <w:spacing w:before="240"/>
    </w:pPr>
    <w:rPr>
      <w:b/>
      <w:vanish/>
      <w:color w:val="FF00FF"/>
      <w:sz w:val="14"/>
    </w:rPr>
  </w:style>
  <w:style w:type="character" w:customStyle="1" w:styleId="BoxSpaceAboveElementChar">
    <w:name w:val="Box Space Above Element Char"/>
    <w:basedOn w:val="DefaultParagraphFont"/>
    <w:link w:val="BoxSpaceAboveElement"/>
    <w:rsid w:val="004A70DC"/>
    <w:rPr>
      <w:b/>
      <w:vanish/>
      <w:color w:val="FF00FF"/>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uiPriority="9" w:qFormat="1"/>
    <w:lsdException w:name="heading 4" w:qFormat="1"/>
    <w:lsdException w:name="heading 5" w:qFormat="1"/>
    <w:lsdException w:name="toc 1" w:uiPriority="39" w:qFormat="1"/>
    <w:lsdException w:name="toc 2" w:uiPriority="39" w:qFormat="1"/>
    <w:lsdException w:name="toc 3" w:uiPriority="39" w:qFormat="1"/>
    <w:lsdException w:name="List Bullet" w:qFormat="1"/>
    <w:lsdException w:name="Default Paragraph Font" w:uiPriority="1"/>
    <w:lsdException w:name="Body Text" w:qFormat="1"/>
    <w:lsdException w:name="Subtitle"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F49AE"/>
    <w:rPr>
      <w:sz w:val="26"/>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uiPriority w:val="9"/>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qForma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rPr>
      <w:sz w:val="24"/>
    </w:r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rsid w:val="00A17328"/>
    <w:rPr>
      <w:b/>
      <w:vanish/>
      <w:color w:val="FF00FF"/>
      <w:sz w:val="20"/>
    </w:rPr>
  </w:style>
  <w:style w:type="paragraph" w:styleId="CommentText">
    <w:name w:val="annotation text"/>
    <w:basedOn w:val="Normal"/>
    <w:link w:val="CommentTextChar"/>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qForma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rPr>
      <w:sz w:val="24"/>
    </w:r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qForma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link w:val="ListNumberChar"/>
    <w:rsid w:val="00864ADC"/>
    <w:pPr>
      <w:numPr>
        <w:numId w:val="4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uiPriority w:val="39"/>
    <w:qFormat/>
    <w:rsid w:val="005C5E19"/>
    <w:pPr>
      <w:tabs>
        <w:tab w:val="right" w:pos="8789"/>
      </w:tabs>
      <w:ind w:left="510" w:right="851" w:hanging="510"/>
      <w:jc w:val="left"/>
    </w:pPr>
    <w:rPr>
      <w:rFonts w:ascii="Arial" w:hAnsi="Arial"/>
      <w:b/>
    </w:rPr>
  </w:style>
  <w:style w:type="paragraph" w:styleId="TOC3">
    <w:name w:val="toc 3"/>
    <w:basedOn w:val="TOC2"/>
    <w:uiPriority w:val="39"/>
    <w:qFormat/>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rPr>
      <w:sz w:val="24"/>
    </w:rPr>
  </w:style>
  <w:style w:type="paragraph" w:customStyle="1" w:styleId="TableUnitsRow">
    <w:name w:val="Table Units Row"/>
    <w:basedOn w:val="TableBodyText"/>
    <w:rsid w:val="00812F4A"/>
    <w:pPr>
      <w:spacing w:before="80" w:after="80"/>
    </w:pPr>
  </w:style>
  <w:style w:type="paragraph" w:styleId="TOC1">
    <w:name w:val="toc 1"/>
    <w:basedOn w:val="Normal"/>
    <w:next w:val="TOC2"/>
    <w:link w:val="TOC1Char"/>
    <w:uiPriority w:val="39"/>
    <w:qFormat/>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rsid w:val="0013739A"/>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uiPriority w:val="99"/>
    <w:rsid w:val="00415F39"/>
    <w:rPr>
      <w:color w:val="78A22F" w:themeColor="hyperlink"/>
      <w:u w:val="single"/>
    </w:rPr>
  </w:style>
  <w:style w:type="table" w:styleId="TableGrid">
    <w:name w:val="Table Grid"/>
    <w:basedOn w:val="TableNormal"/>
    <w:rsid w:val="009F3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rsid w:val="001F49AE"/>
    <w:rPr>
      <w:lang w:eastAsia="en-US"/>
    </w:rPr>
  </w:style>
  <w:style w:type="character" w:customStyle="1" w:styleId="BoxChar">
    <w:name w:val="Box Char"/>
    <w:link w:val="Box"/>
    <w:locked/>
    <w:rsid w:val="004243E6"/>
    <w:rPr>
      <w:rFonts w:ascii="Arial" w:hAnsi="Arial"/>
    </w:rPr>
  </w:style>
  <w:style w:type="character" w:customStyle="1" w:styleId="FootnoteTextChar">
    <w:name w:val="Footnote Text Char"/>
    <w:link w:val="FootnoteText"/>
    <w:rsid w:val="004243E6"/>
  </w:style>
  <w:style w:type="paragraph" w:customStyle="1" w:styleId="Question">
    <w:name w:val="Question"/>
    <w:basedOn w:val="BodyText"/>
    <w:next w:val="BodyText"/>
    <w:qFormat/>
    <w:rsid w:val="00DB56B0"/>
    <w:pPr>
      <w:spacing w:line="320" w:lineRule="atLeast"/>
    </w:pPr>
    <w:rPr>
      <w:i/>
      <w:sz w:val="26"/>
    </w:rPr>
  </w:style>
  <w:style w:type="character" w:customStyle="1" w:styleId="QuoteChar">
    <w:name w:val="Quote Char"/>
    <w:link w:val="Quote"/>
    <w:rsid w:val="008F2573"/>
    <w:rPr>
      <w:sz w:val="22"/>
    </w:rPr>
  </w:style>
  <w:style w:type="paragraph" w:customStyle="1" w:styleId="Heading1NotTOC">
    <w:name w:val="Heading 1 Not TOC"/>
    <w:basedOn w:val="Heading1"/>
    <w:next w:val="BodyText"/>
    <w:rsid w:val="008F5C6C"/>
    <w:rPr>
      <w:kern w:val="28"/>
      <w:szCs w:val="26"/>
      <w:lang w:eastAsia="en-US"/>
    </w:rPr>
  </w:style>
  <w:style w:type="character" w:customStyle="1" w:styleId="TOC1Char">
    <w:name w:val="TOC 1 Char"/>
    <w:basedOn w:val="DefaultParagraphFont"/>
    <w:link w:val="TOC1"/>
    <w:uiPriority w:val="39"/>
    <w:rsid w:val="008F5C6C"/>
    <w:rPr>
      <w:rFonts w:ascii="Arial" w:hAnsi="Arial"/>
      <w:b/>
      <w:caps/>
      <w:sz w:val="26"/>
      <w:lang w:eastAsia="en-US"/>
    </w:rPr>
  </w:style>
  <w:style w:type="paragraph" w:styleId="CommentSubject">
    <w:name w:val="annotation subject"/>
    <w:basedOn w:val="CommentText"/>
    <w:next w:val="CommentText"/>
    <w:link w:val="CommentSubjectChar"/>
    <w:rsid w:val="00124171"/>
    <w:pPr>
      <w:spacing w:before="0" w:line="240" w:lineRule="auto"/>
      <w:ind w:left="0" w:firstLine="0"/>
    </w:pPr>
    <w:rPr>
      <w:b/>
      <w:bCs/>
    </w:rPr>
  </w:style>
  <w:style w:type="character" w:customStyle="1" w:styleId="CommentSubjectChar">
    <w:name w:val="Comment Subject Char"/>
    <w:basedOn w:val="CommentTextChar"/>
    <w:link w:val="CommentSubject"/>
    <w:rsid w:val="00124171"/>
    <w:rPr>
      <w:b/>
      <w:bCs/>
      <w:lang w:eastAsia="en-US"/>
    </w:rPr>
  </w:style>
  <w:style w:type="paragraph" w:styleId="Bibliography">
    <w:name w:val="Bibliography"/>
    <w:basedOn w:val="Normal"/>
    <w:next w:val="Normal"/>
    <w:uiPriority w:val="37"/>
    <w:unhideWhenUsed/>
    <w:rsid w:val="003F5AA3"/>
    <w:pPr>
      <w:spacing w:after="240"/>
      <w:ind w:left="720" w:hanging="720"/>
    </w:pPr>
  </w:style>
  <w:style w:type="paragraph" w:customStyle="1" w:styleId="Default">
    <w:name w:val="Default"/>
    <w:rsid w:val="00787E48"/>
    <w:pPr>
      <w:autoSpaceDE w:val="0"/>
      <w:autoSpaceDN w:val="0"/>
      <w:adjustRightInd w:val="0"/>
    </w:pPr>
    <w:rPr>
      <w:color w:val="000000"/>
      <w:sz w:val="24"/>
      <w:szCs w:val="24"/>
    </w:rPr>
  </w:style>
  <w:style w:type="paragraph" w:styleId="Revision">
    <w:name w:val="Revision"/>
    <w:hidden/>
    <w:uiPriority w:val="99"/>
    <w:semiHidden/>
    <w:rsid w:val="004C3363"/>
    <w:rPr>
      <w:sz w:val="26"/>
      <w:lang w:eastAsia="en-US"/>
    </w:rPr>
  </w:style>
  <w:style w:type="paragraph" w:styleId="EndnoteText">
    <w:name w:val="endnote text"/>
    <w:basedOn w:val="Normal"/>
    <w:link w:val="EndnoteTextChar"/>
    <w:rsid w:val="005152FB"/>
    <w:rPr>
      <w:sz w:val="20"/>
    </w:rPr>
  </w:style>
  <w:style w:type="character" w:customStyle="1" w:styleId="EndnoteTextChar">
    <w:name w:val="Endnote Text Char"/>
    <w:basedOn w:val="DefaultParagraphFont"/>
    <w:link w:val="EndnoteText"/>
    <w:rsid w:val="005152FB"/>
    <w:rPr>
      <w:lang w:eastAsia="en-US"/>
    </w:rPr>
  </w:style>
  <w:style w:type="character" w:styleId="EndnoteReference">
    <w:name w:val="endnote reference"/>
    <w:basedOn w:val="DefaultParagraphFont"/>
    <w:rsid w:val="005152FB"/>
    <w:rPr>
      <w:vertAlign w:val="superscript"/>
    </w:rPr>
  </w:style>
  <w:style w:type="paragraph" w:styleId="TOCHeading">
    <w:name w:val="TOC Heading"/>
    <w:basedOn w:val="Heading1"/>
    <w:next w:val="Normal"/>
    <w:uiPriority w:val="39"/>
    <w:semiHidden/>
    <w:unhideWhenUsed/>
    <w:qFormat/>
    <w:rsid w:val="00DF626B"/>
    <w:pPr>
      <w:keepLines/>
      <w:spacing w:before="480" w:after="0" w:line="276" w:lineRule="auto"/>
      <w:ind w:left="0" w:firstLine="0"/>
      <w:outlineLvl w:val="9"/>
    </w:pPr>
    <w:rPr>
      <w:rFonts w:asciiTheme="majorHAnsi" w:eastAsiaTheme="majorEastAsia" w:hAnsiTheme="majorHAnsi" w:cstheme="majorBidi"/>
      <w:b/>
      <w:bCs/>
      <w:color w:val="597923" w:themeColor="accent1" w:themeShade="BF"/>
      <w:sz w:val="28"/>
      <w:szCs w:val="28"/>
      <w:lang w:val="en-US" w:eastAsia="ja-JP"/>
    </w:rPr>
  </w:style>
  <w:style w:type="character" w:customStyle="1" w:styleId="Heading4Char">
    <w:name w:val="Heading 4 Char"/>
    <w:basedOn w:val="DefaultParagraphFont"/>
    <w:link w:val="Heading4"/>
    <w:rsid w:val="00A56B42"/>
    <w:rPr>
      <w:rFonts w:ascii="Arial" w:hAnsi="Arial"/>
      <w:sz w:val="24"/>
    </w:rPr>
  </w:style>
  <w:style w:type="character" w:customStyle="1" w:styleId="apple-converted-space">
    <w:name w:val="apple-converted-space"/>
    <w:basedOn w:val="DefaultParagraphFont"/>
    <w:rsid w:val="008525F0"/>
  </w:style>
  <w:style w:type="character" w:styleId="FollowedHyperlink">
    <w:name w:val="FollowedHyperlink"/>
    <w:basedOn w:val="DefaultParagraphFont"/>
    <w:rsid w:val="00F455A7"/>
    <w:rPr>
      <w:color w:val="387DD2" w:themeColor="followedHyperlink"/>
      <w:u w:val="single"/>
    </w:rPr>
  </w:style>
  <w:style w:type="table" w:customStyle="1" w:styleId="TableGrid1">
    <w:name w:val="Table Grid1"/>
    <w:basedOn w:val="TableNormal"/>
    <w:next w:val="TableGrid"/>
    <w:uiPriority w:val="59"/>
    <w:rsid w:val="004A16D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indented">
    <w:name w:val="Question indented"/>
    <w:basedOn w:val="ListNumber"/>
    <w:link w:val="QuestionindentedChar"/>
    <w:qFormat/>
    <w:rsid w:val="00287D63"/>
    <w:rPr>
      <w:i/>
    </w:rPr>
  </w:style>
  <w:style w:type="character" w:customStyle="1" w:styleId="ListNumberChar">
    <w:name w:val="List Number Char"/>
    <w:basedOn w:val="BodyTextChar"/>
    <w:link w:val="ListNumber"/>
    <w:rsid w:val="00287D63"/>
    <w:rPr>
      <w:sz w:val="24"/>
    </w:rPr>
  </w:style>
  <w:style w:type="character" w:customStyle="1" w:styleId="QuestionindentedChar">
    <w:name w:val="Question indented Char"/>
    <w:basedOn w:val="ListNumberChar"/>
    <w:link w:val="Questionindented"/>
    <w:rsid w:val="00287D63"/>
    <w:rPr>
      <w:i/>
      <w:sz w:val="24"/>
    </w:rPr>
  </w:style>
  <w:style w:type="paragraph" w:styleId="BlockText">
    <w:name w:val="Block Text"/>
    <w:basedOn w:val="Normal"/>
    <w:rsid w:val="004B44FA"/>
    <w:pPr>
      <w:pBdr>
        <w:top w:val="single" w:sz="2" w:space="10" w:color="78A22F" w:themeColor="accent1" w:shadow="1"/>
        <w:left w:val="single" w:sz="2" w:space="10" w:color="78A22F" w:themeColor="accent1" w:shadow="1"/>
        <w:bottom w:val="single" w:sz="2" w:space="10" w:color="78A22F" w:themeColor="accent1" w:shadow="1"/>
        <w:right w:val="single" w:sz="2" w:space="10" w:color="78A22F" w:themeColor="accent1" w:shadow="1"/>
      </w:pBdr>
      <w:ind w:left="1152" w:right="1152"/>
    </w:pPr>
    <w:rPr>
      <w:rFonts w:asciiTheme="minorHAnsi" w:eastAsiaTheme="minorEastAsia" w:hAnsiTheme="minorHAnsi" w:cstheme="minorBidi"/>
      <w:i/>
      <w:iCs/>
      <w:color w:val="78A22F" w:themeColor="accent1"/>
    </w:rPr>
  </w:style>
  <w:style w:type="paragraph" w:styleId="BodyText2">
    <w:name w:val="Body Text 2"/>
    <w:basedOn w:val="Normal"/>
    <w:link w:val="BodyText2Char"/>
    <w:rsid w:val="004B44FA"/>
    <w:pPr>
      <w:spacing w:after="120" w:line="480" w:lineRule="auto"/>
    </w:pPr>
  </w:style>
  <w:style w:type="character" w:customStyle="1" w:styleId="BodyText2Char">
    <w:name w:val="Body Text 2 Char"/>
    <w:basedOn w:val="DefaultParagraphFont"/>
    <w:link w:val="BodyText2"/>
    <w:rsid w:val="004B44FA"/>
    <w:rPr>
      <w:sz w:val="26"/>
      <w:lang w:eastAsia="en-US"/>
    </w:rPr>
  </w:style>
  <w:style w:type="paragraph" w:styleId="BodyText3">
    <w:name w:val="Body Text 3"/>
    <w:basedOn w:val="Normal"/>
    <w:link w:val="BodyText3Char"/>
    <w:rsid w:val="004B44FA"/>
    <w:pPr>
      <w:spacing w:after="120"/>
    </w:pPr>
    <w:rPr>
      <w:sz w:val="16"/>
      <w:szCs w:val="16"/>
    </w:rPr>
  </w:style>
  <w:style w:type="character" w:customStyle="1" w:styleId="BodyText3Char">
    <w:name w:val="Body Text 3 Char"/>
    <w:basedOn w:val="DefaultParagraphFont"/>
    <w:link w:val="BodyText3"/>
    <w:rsid w:val="004B44FA"/>
    <w:rPr>
      <w:sz w:val="16"/>
      <w:szCs w:val="16"/>
      <w:lang w:eastAsia="en-US"/>
    </w:rPr>
  </w:style>
  <w:style w:type="paragraph" w:styleId="BodyTextFirstIndent">
    <w:name w:val="Body Text First Indent"/>
    <w:basedOn w:val="BodyText"/>
    <w:link w:val="BodyTextFirstIndentChar"/>
    <w:rsid w:val="004B44FA"/>
    <w:pPr>
      <w:spacing w:before="0" w:line="240" w:lineRule="auto"/>
      <w:ind w:firstLine="360"/>
      <w:jc w:val="left"/>
    </w:pPr>
    <w:rPr>
      <w:sz w:val="26"/>
      <w:lang w:eastAsia="en-US"/>
    </w:rPr>
  </w:style>
  <w:style w:type="character" w:customStyle="1" w:styleId="BodyTextFirstIndentChar">
    <w:name w:val="Body Text First Indent Char"/>
    <w:basedOn w:val="BodyTextChar"/>
    <w:link w:val="BodyTextFirstIndent"/>
    <w:rsid w:val="004B44FA"/>
    <w:rPr>
      <w:sz w:val="26"/>
      <w:lang w:eastAsia="en-US"/>
    </w:rPr>
  </w:style>
  <w:style w:type="paragraph" w:styleId="BodyTextIndent">
    <w:name w:val="Body Text Indent"/>
    <w:basedOn w:val="Normal"/>
    <w:link w:val="BodyTextIndentChar"/>
    <w:rsid w:val="004B44FA"/>
    <w:pPr>
      <w:spacing w:after="120"/>
      <w:ind w:left="283"/>
    </w:pPr>
  </w:style>
  <w:style w:type="character" w:customStyle="1" w:styleId="BodyTextIndentChar">
    <w:name w:val="Body Text Indent Char"/>
    <w:basedOn w:val="DefaultParagraphFont"/>
    <w:link w:val="BodyTextIndent"/>
    <w:rsid w:val="004B44FA"/>
    <w:rPr>
      <w:sz w:val="26"/>
      <w:lang w:eastAsia="en-US"/>
    </w:rPr>
  </w:style>
  <w:style w:type="paragraph" w:styleId="BodyTextFirstIndent2">
    <w:name w:val="Body Text First Indent 2"/>
    <w:basedOn w:val="BodyTextIndent"/>
    <w:link w:val="BodyTextFirstIndent2Char"/>
    <w:rsid w:val="004B44FA"/>
    <w:pPr>
      <w:spacing w:after="0"/>
      <w:ind w:left="360" w:firstLine="360"/>
    </w:pPr>
  </w:style>
  <w:style w:type="character" w:customStyle="1" w:styleId="BodyTextFirstIndent2Char">
    <w:name w:val="Body Text First Indent 2 Char"/>
    <w:basedOn w:val="BodyTextIndentChar"/>
    <w:link w:val="BodyTextFirstIndent2"/>
    <w:rsid w:val="004B44FA"/>
    <w:rPr>
      <w:sz w:val="26"/>
      <w:lang w:eastAsia="en-US"/>
    </w:rPr>
  </w:style>
  <w:style w:type="paragraph" w:styleId="BodyTextIndent2">
    <w:name w:val="Body Text Indent 2"/>
    <w:basedOn w:val="Normal"/>
    <w:link w:val="BodyTextIndent2Char"/>
    <w:rsid w:val="004B44FA"/>
    <w:pPr>
      <w:spacing w:after="120" w:line="480" w:lineRule="auto"/>
      <w:ind w:left="283"/>
    </w:pPr>
  </w:style>
  <w:style w:type="character" w:customStyle="1" w:styleId="BodyTextIndent2Char">
    <w:name w:val="Body Text Indent 2 Char"/>
    <w:basedOn w:val="DefaultParagraphFont"/>
    <w:link w:val="BodyTextIndent2"/>
    <w:rsid w:val="004B44FA"/>
    <w:rPr>
      <w:sz w:val="26"/>
      <w:lang w:eastAsia="en-US"/>
    </w:rPr>
  </w:style>
  <w:style w:type="paragraph" w:styleId="BodyTextIndent3">
    <w:name w:val="Body Text Indent 3"/>
    <w:basedOn w:val="Normal"/>
    <w:link w:val="BodyTextIndent3Char"/>
    <w:rsid w:val="004B44FA"/>
    <w:pPr>
      <w:spacing w:after="120"/>
      <w:ind w:left="283"/>
    </w:pPr>
    <w:rPr>
      <w:sz w:val="16"/>
      <w:szCs w:val="16"/>
    </w:rPr>
  </w:style>
  <w:style w:type="character" w:customStyle="1" w:styleId="BodyTextIndent3Char">
    <w:name w:val="Body Text Indent 3 Char"/>
    <w:basedOn w:val="DefaultParagraphFont"/>
    <w:link w:val="BodyTextIndent3"/>
    <w:rsid w:val="004B44FA"/>
    <w:rPr>
      <w:sz w:val="16"/>
      <w:szCs w:val="16"/>
      <w:lang w:eastAsia="en-US"/>
    </w:rPr>
  </w:style>
  <w:style w:type="paragraph" w:styleId="Closing">
    <w:name w:val="Closing"/>
    <w:basedOn w:val="Normal"/>
    <w:link w:val="ClosingChar"/>
    <w:rsid w:val="004B44FA"/>
    <w:pPr>
      <w:ind w:left="4252"/>
    </w:pPr>
  </w:style>
  <w:style w:type="character" w:customStyle="1" w:styleId="ClosingChar">
    <w:name w:val="Closing Char"/>
    <w:basedOn w:val="DefaultParagraphFont"/>
    <w:link w:val="Closing"/>
    <w:rsid w:val="004B44FA"/>
    <w:rPr>
      <w:sz w:val="26"/>
      <w:lang w:eastAsia="en-US"/>
    </w:rPr>
  </w:style>
  <w:style w:type="paragraph" w:styleId="Date">
    <w:name w:val="Date"/>
    <w:basedOn w:val="Normal"/>
    <w:next w:val="Normal"/>
    <w:link w:val="DateChar"/>
    <w:rsid w:val="004B44FA"/>
  </w:style>
  <w:style w:type="character" w:customStyle="1" w:styleId="DateChar">
    <w:name w:val="Date Char"/>
    <w:basedOn w:val="DefaultParagraphFont"/>
    <w:link w:val="Date"/>
    <w:rsid w:val="004B44FA"/>
    <w:rPr>
      <w:sz w:val="26"/>
      <w:lang w:eastAsia="en-US"/>
    </w:rPr>
  </w:style>
  <w:style w:type="paragraph" w:styleId="DocumentMap">
    <w:name w:val="Document Map"/>
    <w:basedOn w:val="Normal"/>
    <w:link w:val="DocumentMapChar"/>
    <w:rsid w:val="004B44FA"/>
    <w:rPr>
      <w:rFonts w:ascii="Tahoma" w:hAnsi="Tahoma" w:cs="Tahoma"/>
      <w:sz w:val="16"/>
      <w:szCs w:val="16"/>
    </w:rPr>
  </w:style>
  <w:style w:type="character" w:customStyle="1" w:styleId="DocumentMapChar">
    <w:name w:val="Document Map Char"/>
    <w:basedOn w:val="DefaultParagraphFont"/>
    <w:link w:val="DocumentMap"/>
    <w:rsid w:val="004B44FA"/>
    <w:rPr>
      <w:rFonts w:ascii="Tahoma" w:hAnsi="Tahoma" w:cs="Tahoma"/>
      <w:sz w:val="16"/>
      <w:szCs w:val="16"/>
      <w:lang w:eastAsia="en-US"/>
    </w:rPr>
  </w:style>
  <w:style w:type="paragraph" w:styleId="E-mailSignature">
    <w:name w:val="E-mail Signature"/>
    <w:basedOn w:val="Normal"/>
    <w:link w:val="E-mailSignatureChar"/>
    <w:rsid w:val="004B44FA"/>
  </w:style>
  <w:style w:type="character" w:customStyle="1" w:styleId="E-mailSignatureChar">
    <w:name w:val="E-mail Signature Char"/>
    <w:basedOn w:val="DefaultParagraphFont"/>
    <w:link w:val="E-mailSignature"/>
    <w:rsid w:val="004B44FA"/>
    <w:rPr>
      <w:sz w:val="26"/>
      <w:lang w:eastAsia="en-US"/>
    </w:rPr>
  </w:style>
  <w:style w:type="paragraph" w:styleId="EnvelopeAddress">
    <w:name w:val="envelope address"/>
    <w:basedOn w:val="Normal"/>
    <w:rsid w:val="004B44F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4B44FA"/>
    <w:rPr>
      <w:rFonts w:asciiTheme="majorHAnsi" w:eastAsiaTheme="majorEastAsia" w:hAnsiTheme="majorHAnsi" w:cstheme="majorBidi"/>
      <w:sz w:val="20"/>
    </w:rPr>
  </w:style>
  <w:style w:type="paragraph" w:styleId="HTMLAddress">
    <w:name w:val="HTML Address"/>
    <w:basedOn w:val="Normal"/>
    <w:link w:val="HTMLAddressChar"/>
    <w:rsid w:val="004B44FA"/>
    <w:rPr>
      <w:i/>
      <w:iCs/>
    </w:rPr>
  </w:style>
  <w:style w:type="character" w:customStyle="1" w:styleId="HTMLAddressChar">
    <w:name w:val="HTML Address Char"/>
    <w:basedOn w:val="DefaultParagraphFont"/>
    <w:link w:val="HTMLAddress"/>
    <w:rsid w:val="004B44FA"/>
    <w:rPr>
      <w:i/>
      <w:iCs/>
      <w:sz w:val="26"/>
      <w:lang w:eastAsia="en-US"/>
    </w:rPr>
  </w:style>
  <w:style w:type="paragraph" w:styleId="HTMLPreformatted">
    <w:name w:val="HTML Preformatted"/>
    <w:basedOn w:val="Normal"/>
    <w:link w:val="HTMLPreformattedChar"/>
    <w:rsid w:val="004B44FA"/>
    <w:rPr>
      <w:rFonts w:ascii="Consolas" w:hAnsi="Consolas" w:cs="Consolas"/>
      <w:sz w:val="20"/>
    </w:rPr>
  </w:style>
  <w:style w:type="character" w:customStyle="1" w:styleId="HTMLPreformattedChar">
    <w:name w:val="HTML Preformatted Char"/>
    <w:basedOn w:val="DefaultParagraphFont"/>
    <w:link w:val="HTMLPreformatted"/>
    <w:rsid w:val="004B44FA"/>
    <w:rPr>
      <w:rFonts w:ascii="Consolas" w:hAnsi="Consolas" w:cs="Consolas"/>
      <w:lang w:eastAsia="en-US"/>
    </w:rPr>
  </w:style>
  <w:style w:type="paragraph" w:styleId="Index1">
    <w:name w:val="index 1"/>
    <w:basedOn w:val="Normal"/>
    <w:next w:val="Normal"/>
    <w:autoRedefine/>
    <w:rsid w:val="004B44FA"/>
    <w:pPr>
      <w:ind w:left="260" w:hanging="260"/>
    </w:pPr>
  </w:style>
  <w:style w:type="paragraph" w:styleId="Index2">
    <w:name w:val="index 2"/>
    <w:basedOn w:val="Normal"/>
    <w:next w:val="Normal"/>
    <w:autoRedefine/>
    <w:rsid w:val="004B44FA"/>
    <w:pPr>
      <w:ind w:left="520" w:hanging="260"/>
    </w:pPr>
  </w:style>
  <w:style w:type="paragraph" w:styleId="Index3">
    <w:name w:val="index 3"/>
    <w:basedOn w:val="Normal"/>
    <w:next w:val="Normal"/>
    <w:autoRedefine/>
    <w:rsid w:val="004B44FA"/>
    <w:pPr>
      <w:ind w:left="780" w:hanging="260"/>
    </w:pPr>
  </w:style>
  <w:style w:type="paragraph" w:styleId="Index4">
    <w:name w:val="index 4"/>
    <w:basedOn w:val="Normal"/>
    <w:next w:val="Normal"/>
    <w:autoRedefine/>
    <w:rsid w:val="004B44FA"/>
    <w:pPr>
      <w:ind w:left="1040" w:hanging="260"/>
    </w:pPr>
  </w:style>
  <w:style w:type="paragraph" w:styleId="Index5">
    <w:name w:val="index 5"/>
    <w:basedOn w:val="Normal"/>
    <w:next w:val="Normal"/>
    <w:autoRedefine/>
    <w:rsid w:val="004B44FA"/>
    <w:pPr>
      <w:ind w:left="1300" w:hanging="260"/>
    </w:pPr>
  </w:style>
  <w:style w:type="paragraph" w:styleId="Index6">
    <w:name w:val="index 6"/>
    <w:basedOn w:val="Normal"/>
    <w:next w:val="Normal"/>
    <w:autoRedefine/>
    <w:rsid w:val="004B44FA"/>
    <w:pPr>
      <w:ind w:left="1560" w:hanging="260"/>
    </w:pPr>
  </w:style>
  <w:style w:type="paragraph" w:styleId="Index7">
    <w:name w:val="index 7"/>
    <w:basedOn w:val="Normal"/>
    <w:next w:val="Normal"/>
    <w:autoRedefine/>
    <w:rsid w:val="004B44FA"/>
    <w:pPr>
      <w:ind w:left="1820" w:hanging="260"/>
    </w:pPr>
  </w:style>
  <w:style w:type="paragraph" w:styleId="Index8">
    <w:name w:val="index 8"/>
    <w:basedOn w:val="Normal"/>
    <w:next w:val="Normal"/>
    <w:autoRedefine/>
    <w:rsid w:val="004B44FA"/>
    <w:pPr>
      <w:ind w:left="2080" w:hanging="260"/>
    </w:pPr>
  </w:style>
  <w:style w:type="paragraph" w:styleId="Index9">
    <w:name w:val="index 9"/>
    <w:basedOn w:val="Normal"/>
    <w:next w:val="Normal"/>
    <w:autoRedefine/>
    <w:rsid w:val="004B44FA"/>
    <w:pPr>
      <w:ind w:left="2340" w:hanging="260"/>
    </w:pPr>
  </w:style>
  <w:style w:type="paragraph" w:styleId="IndexHeading">
    <w:name w:val="index heading"/>
    <w:basedOn w:val="Normal"/>
    <w:next w:val="Index1"/>
    <w:rsid w:val="004B44FA"/>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4B44FA"/>
    <w:pPr>
      <w:pBdr>
        <w:bottom w:val="single" w:sz="4" w:space="4" w:color="78A22F" w:themeColor="accent1"/>
      </w:pBdr>
      <w:spacing w:before="200" w:after="280"/>
      <w:ind w:left="936" w:right="936"/>
    </w:pPr>
    <w:rPr>
      <w:b/>
      <w:bCs/>
      <w:i/>
      <w:iCs/>
      <w:color w:val="78A22F" w:themeColor="accent1"/>
    </w:rPr>
  </w:style>
  <w:style w:type="character" w:customStyle="1" w:styleId="IntenseQuoteChar">
    <w:name w:val="Intense Quote Char"/>
    <w:basedOn w:val="DefaultParagraphFont"/>
    <w:link w:val="IntenseQuote"/>
    <w:uiPriority w:val="30"/>
    <w:rsid w:val="004B44FA"/>
    <w:rPr>
      <w:b/>
      <w:bCs/>
      <w:i/>
      <w:iCs/>
      <w:color w:val="78A22F" w:themeColor="accent1"/>
      <w:sz w:val="26"/>
      <w:lang w:eastAsia="en-US"/>
    </w:rPr>
  </w:style>
  <w:style w:type="paragraph" w:styleId="List">
    <w:name w:val="List"/>
    <w:basedOn w:val="Normal"/>
    <w:rsid w:val="004B44FA"/>
    <w:pPr>
      <w:ind w:left="283" w:hanging="283"/>
      <w:contextualSpacing/>
    </w:pPr>
  </w:style>
  <w:style w:type="paragraph" w:styleId="List2">
    <w:name w:val="List 2"/>
    <w:basedOn w:val="Normal"/>
    <w:rsid w:val="004B44FA"/>
    <w:pPr>
      <w:ind w:left="566" w:hanging="283"/>
      <w:contextualSpacing/>
    </w:pPr>
  </w:style>
  <w:style w:type="paragraph" w:styleId="List3">
    <w:name w:val="List 3"/>
    <w:basedOn w:val="Normal"/>
    <w:rsid w:val="004B44FA"/>
    <w:pPr>
      <w:ind w:left="849" w:hanging="283"/>
      <w:contextualSpacing/>
    </w:pPr>
  </w:style>
  <w:style w:type="paragraph" w:styleId="List4">
    <w:name w:val="List 4"/>
    <w:basedOn w:val="Normal"/>
    <w:rsid w:val="004B44FA"/>
    <w:pPr>
      <w:ind w:left="1132" w:hanging="283"/>
      <w:contextualSpacing/>
    </w:pPr>
  </w:style>
  <w:style w:type="paragraph" w:styleId="List5">
    <w:name w:val="List 5"/>
    <w:basedOn w:val="Normal"/>
    <w:rsid w:val="004B44FA"/>
    <w:pPr>
      <w:ind w:left="1415" w:hanging="283"/>
      <w:contextualSpacing/>
    </w:pPr>
  </w:style>
  <w:style w:type="paragraph" w:styleId="ListBullet4">
    <w:name w:val="List Bullet 4"/>
    <w:basedOn w:val="Normal"/>
    <w:rsid w:val="004B44FA"/>
    <w:pPr>
      <w:numPr>
        <w:numId w:val="22"/>
      </w:numPr>
      <w:contextualSpacing/>
    </w:pPr>
  </w:style>
  <w:style w:type="paragraph" w:styleId="ListBullet5">
    <w:name w:val="List Bullet 5"/>
    <w:basedOn w:val="Normal"/>
    <w:rsid w:val="004B44FA"/>
    <w:pPr>
      <w:numPr>
        <w:numId w:val="23"/>
      </w:numPr>
      <w:contextualSpacing/>
    </w:pPr>
  </w:style>
  <w:style w:type="paragraph" w:styleId="ListContinue">
    <w:name w:val="List Continue"/>
    <w:basedOn w:val="Normal"/>
    <w:rsid w:val="004B44FA"/>
    <w:pPr>
      <w:spacing w:after="120"/>
      <w:ind w:left="283"/>
      <w:contextualSpacing/>
    </w:pPr>
  </w:style>
  <w:style w:type="paragraph" w:styleId="ListContinue2">
    <w:name w:val="List Continue 2"/>
    <w:basedOn w:val="Normal"/>
    <w:rsid w:val="004B44FA"/>
    <w:pPr>
      <w:spacing w:after="120"/>
      <w:ind w:left="566"/>
      <w:contextualSpacing/>
    </w:pPr>
  </w:style>
  <w:style w:type="paragraph" w:styleId="ListContinue3">
    <w:name w:val="List Continue 3"/>
    <w:basedOn w:val="Normal"/>
    <w:rsid w:val="004B44FA"/>
    <w:pPr>
      <w:spacing w:after="120"/>
      <w:ind w:left="849"/>
      <w:contextualSpacing/>
    </w:pPr>
  </w:style>
  <w:style w:type="paragraph" w:styleId="ListContinue4">
    <w:name w:val="List Continue 4"/>
    <w:basedOn w:val="Normal"/>
    <w:rsid w:val="004B44FA"/>
    <w:pPr>
      <w:spacing w:after="120"/>
      <w:ind w:left="1132"/>
      <w:contextualSpacing/>
    </w:pPr>
  </w:style>
  <w:style w:type="paragraph" w:styleId="ListContinue5">
    <w:name w:val="List Continue 5"/>
    <w:basedOn w:val="Normal"/>
    <w:rsid w:val="004B44FA"/>
    <w:pPr>
      <w:spacing w:after="120"/>
      <w:ind w:left="1415"/>
      <w:contextualSpacing/>
    </w:pPr>
  </w:style>
  <w:style w:type="paragraph" w:styleId="ListNumber4">
    <w:name w:val="List Number 4"/>
    <w:basedOn w:val="Normal"/>
    <w:rsid w:val="004B44FA"/>
    <w:pPr>
      <w:numPr>
        <w:numId w:val="24"/>
      </w:numPr>
      <w:contextualSpacing/>
    </w:pPr>
  </w:style>
  <w:style w:type="paragraph" w:styleId="ListNumber5">
    <w:name w:val="List Number 5"/>
    <w:basedOn w:val="Normal"/>
    <w:rsid w:val="004B44FA"/>
    <w:pPr>
      <w:numPr>
        <w:numId w:val="25"/>
      </w:numPr>
      <w:contextualSpacing/>
    </w:pPr>
  </w:style>
  <w:style w:type="paragraph" w:styleId="ListParagraph">
    <w:name w:val="List Paragraph"/>
    <w:basedOn w:val="Normal"/>
    <w:uiPriority w:val="34"/>
    <w:rsid w:val="004B44FA"/>
    <w:pPr>
      <w:ind w:left="720"/>
      <w:contextualSpacing/>
    </w:pPr>
  </w:style>
  <w:style w:type="paragraph" w:styleId="MacroText">
    <w:name w:val="macro"/>
    <w:link w:val="MacroTextChar"/>
    <w:rsid w:val="004B44FA"/>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4B44FA"/>
    <w:rPr>
      <w:rFonts w:ascii="Consolas" w:hAnsi="Consolas" w:cs="Consolas"/>
      <w:lang w:eastAsia="en-US"/>
    </w:rPr>
  </w:style>
  <w:style w:type="paragraph" w:styleId="MessageHeader">
    <w:name w:val="Message Header"/>
    <w:basedOn w:val="Normal"/>
    <w:link w:val="MessageHeaderChar"/>
    <w:rsid w:val="004B44F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B44FA"/>
    <w:rPr>
      <w:rFonts w:asciiTheme="majorHAnsi" w:eastAsiaTheme="majorEastAsia" w:hAnsiTheme="majorHAnsi" w:cstheme="majorBidi"/>
      <w:sz w:val="24"/>
      <w:szCs w:val="24"/>
      <w:shd w:val="pct20" w:color="auto" w:fill="auto"/>
      <w:lang w:eastAsia="en-US"/>
    </w:rPr>
  </w:style>
  <w:style w:type="paragraph" w:styleId="NoSpacing">
    <w:name w:val="No Spacing"/>
    <w:uiPriority w:val="1"/>
    <w:rsid w:val="004B44FA"/>
    <w:rPr>
      <w:sz w:val="26"/>
      <w:lang w:eastAsia="en-US"/>
    </w:rPr>
  </w:style>
  <w:style w:type="paragraph" w:styleId="NormalWeb">
    <w:name w:val="Normal (Web)"/>
    <w:basedOn w:val="Normal"/>
    <w:rsid w:val="004B44FA"/>
    <w:rPr>
      <w:sz w:val="24"/>
      <w:szCs w:val="24"/>
    </w:rPr>
  </w:style>
  <w:style w:type="paragraph" w:styleId="NormalIndent">
    <w:name w:val="Normal Indent"/>
    <w:basedOn w:val="Normal"/>
    <w:rsid w:val="004B44FA"/>
    <w:pPr>
      <w:ind w:left="720"/>
    </w:pPr>
  </w:style>
  <w:style w:type="paragraph" w:styleId="NoteHeading">
    <w:name w:val="Note Heading"/>
    <w:basedOn w:val="Normal"/>
    <w:next w:val="Normal"/>
    <w:link w:val="NoteHeadingChar"/>
    <w:rsid w:val="004B44FA"/>
  </w:style>
  <w:style w:type="character" w:customStyle="1" w:styleId="NoteHeadingChar">
    <w:name w:val="Note Heading Char"/>
    <w:basedOn w:val="DefaultParagraphFont"/>
    <w:link w:val="NoteHeading"/>
    <w:rsid w:val="004B44FA"/>
    <w:rPr>
      <w:sz w:val="26"/>
      <w:lang w:eastAsia="en-US"/>
    </w:rPr>
  </w:style>
  <w:style w:type="paragraph" w:styleId="PlainText">
    <w:name w:val="Plain Text"/>
    <w:basedOn w:val="Normal"/>
    <w:link w:val="PlainTextChar"/>
    <w:rsid w:val="004B44FA"/>
    <w:rPr>
      <w:rFonts w:ascii="Consolas" w:hAnsi="Consolas" w:cs="Consolas"/>
      <w:sz w:val="21"/>
      <w:szCs w:val="21"/>
    </w:rPr>
  </w:style>
  <w:style w:type="character" w:customStyle="1" w:styleId="PlainTextChar">
    <w:name w:val="Plain Text Char"/>
    <w:basedOn w:val="DefaultParagraphFont"/>
    <w:link w:val="PlainText"/>
    <w:rsid w:val="004B44FA"/>
    <w:rPr>
      <w:rFonts w:ascii="Consolas" w:hAnsi="Consolas" w:cs="Consolas"/>
      <w:sz w:val="21"/>
      <w:szCs w:val="21"/>
      <w:lang w:eastAsia="en-US"/>
    </w:rPr>
  </w:style>
  <w:style w:type="paragraph" w:styleId="Salutation">
    <w:name w:val="Salutation"/>
    <w:basedOn w:val="Normal"/>
    <w:next w:val="Normal"/>
    <w:link w:val="SalutationChar"/>
    <w:rsid w:val="004B44FA"/>
  </w:style>
  <w:style w:type="character" w:customStyle="1" w:styleId="SalutationChar">
    <w:name w:val="Salutation Char"/>
    <w:basedOn w:val="DefaultParagraphFont"/>
    <w:link w:val="Salutation"/>
    <w:rsid w:val="004B44FA"/>
    <w:rPr>
      <w:sz w:val="26"/>
      <w:lang w:eastAsia="en-US"/>
    </w:rPr>
  </w:style>
  <w:style w:type="paragraph" w:styleId="Signature">
    <w:name w:val="Signature"/>
    <w:basedOn w:val="Normal"/>
    <w:link w:val="SignatureChar"/>
    <w:rsid w:val="004B44FA"/>
    <w:pPr>
      <w:ind w:left="4252"/>
    </w:pPr>
  </w:style>
  <w:style w:type="character" w:customStyle="1" w:styleId="SignatureChar">
    <w:name w:val="Signature Char"/>
    <w:basedOn w:val="DefaultParagraphFont"/>
    <w:link w:val="Signature"/>
    <w:rsid w:val="004B44FA"/>
    <w:rPr>
      <w:sz w:val="26"/>
      <w:lang w:eastAsia="en-US"/>
    </w:rPr>
  </w:style>
  <w:style w:type="paragraph" w:styleId="TableofAuthorities">
    <w:name w:val="table of authorities"/>
    <w:basedOn w:val="Normal"/>
    <w:next w:val="Normal"/>
    <w:rsid w:val="004B44FA"/>
    <w:pPr>
      <w:ind w:left="260" w:hanging="260"/>
    </w:pPr>
  </w:style>
  <w:style w:type="paragraph" w:styleId="Title">
    <w:name w:val="Title"/>
    <w:basedOn w:val="Normal"/>
    <w:next w:val="Normal"/>
    <w:link w:val="TitleChar"/>
    <w:rsid w:val="004B44FA"/>
    <w:pPr>
      <w:pBdr>
        <w:bottom w:val="single" w:sz="8" w:space="4" w:color="78A22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rsid w:val="004B44FA"/>
    <w:rPr>
      <w:rFonts w:asciiTheme="majorHAnsi" w:eastAsiaTheme="majorEastAsia" w:hAnsiTheme="majorHAnsi" w:cstheme="majorBidi"/>
      <w:color w:val="000000" w:themeColor="text2" w:themeShade="BF"/>
      <w:spacing w:val="5"/>
      <w:kern w:val="28"/>
      <w:sz w:val="52"/>
      <w:szCs w:val="52"/>
      <w:lang w:eastAsia="en-US"/>
    </w:rPr>
  </w:style>
  <w:style w:type="paragraph" w:styleId="TOAHeading">
    <w:name w:val="toa heading"/>
    <w:basedOn w:val="Normal"/>
    <w:next w:val="Normal"/>
    <w:rsid w:val="004B44FA"/>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rsid w:val="004B44FA"/>
    <w:pPr>
      <w:spacing w:after="100"/>
      <w:ind w:left="1040"/>
    </w:pPr>
  </w:style>
  <w:style w:type="paragraph" w:styleId="TOC6">
    <w:name w:val="toc 6"/>
    <w:basedOn w:val="Normal"/>
    <w:next w:val="Normal"/>
    <w:autoRedefine/>
    <w:rsid w:val="004B44FA"/>
    <w:pPr>
      <w:spacing w:after="100"/>
      <w:ind w:left="1300"/>
    </w:pPr>
  </w:style>
  <w:style w:type="paragraph" w:styleId="TOC7">
    <w:name w:val="toc 7"/>
    <w:basedOn w:val="Normal"/>
    <w:next w:val="Normal"/>
    <w:autoRedefine/>
    <w:rsid w:val="004B44FA"/>
    <w:pPr>
      <w:spacing w:after="100"/>
      <w:ind w:left="1560"/>
    </w:pPr>
  </w:style>
  <w:style w:type="paragraph" w:styleId="TOC8">
    <w:name w:val="toc 8"/>
    <w:basedOn w:val="Normal"/>
    <w:next w:val="Normal"/>
    <w:autoRedefine/>
    <w:rsid w:val="004B44FA"/>
    <w:pPr>
      <w:spacing w:after="100"/>
      <w:ind w:left="1820"/>
    </w:pPr>
  </w:style>
  <w:style w:type="paragraph" w:styleId="TOC9">
    <w:name w:val="toc 9"/>
    <w:basedOn w:val="Normal"/>
    <w:next w:val="Normal"/>
    <w:autoRedefine/>
    <w:rsid w:val="004B44FA"/>
    <w:pPr>
      <w:spacing w:after="100"/>
      <w:ind w:left="2080"/>
    </w:pPr>
  </w:style>
  <w:style w:type="paragraph" w:customStyle="1" w:styleId="BoxSpaceAboveElement">
    <w:name w:val="Box Space Above Element"/>
    <w:basedOn w:val="BoxSpaceAbove"/>
    <w:link w:val="BoxSpaceAboveElementChar"/>
    <w:qFormat/>
    <w:rsid w:val="004A70DC"/>
    <w:pPr>
      <w:spacing w:before="240"/>
    </w:pPr>
    <w:rPr>
      <w:b/>
      <w:vanish/>
      <w:color w:val="FF00FF"/>
      <w:sz w:val="14"/>
    </w:rPr>
  </w:style>
  <w:style w:type="character" w:customStyle="1" w:styleId="BoxSpaceAboveElementChar">
    <w:name w:val="Box Space Above Element Char"/>
    <w:basedOn w:val="DefaultParagraphFont"/>
    <w:link w:val="BoxSpaceAboveElement"/>
    <w:rsid w:val="004A70DC"/>
    <w:rPr>
      <w:b/>
      <w:vanish/>
      <w:color w:val="FF00FF"/>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86714">
      <w:bodyDiv w:val="1"/>
      <w:marLeft w:val="0"/>
      <w:marRight w:val="0"/>
      <w:marTop w:val="0"/>
      <w:marBottom w:val="0"/>
      <w:divBdr>
        <w:top w:val="none" w:sz="0" w:space="0" w:color="auto"/>
        <w:left w:val="none" w:sz="0" w:space="0" w:color="auto"/>
        <w:bottom w:val="none" w:sz="0" w:space="0" w:color="auto"/>
        <w:right w:val="none" w:sz="0" w:space="0" w:color="auto"/>
      </w:divBdr>
    </w:div>
    <w:div w:id="338041514">
      <w:bodyDiv w:val="1"/>
      <w:marLeft w:val="0"/>
      <w:marRight w:val="0"/>
      <w:marTop w:val="0"/>
      <w:marBottom w:val="0"/>
      <w:divBdr>
        <w:top w:val="none" w:sz="0" w:space="0" w:color="auto"/>
        <w:left w:val="none" w:sz="0" w:space="0" w:color="auto"/>
        <w:bottom w:val="none" w:sz="0" w:space="0" w:color="auto"/>
        <w:right w:val="none" w:sz="0" w:space="0" w:color="auto"/>
      </w:divBdr>
    </w:div>
    <w:div w:id="362902060">
      <w:bodyDiv w:val="1"/>
      <w:marLeft w:val="0"/>
      <w:marRight w:val="0"/>
      <w:marTop w:val="0"/>
      <w:marBottom w:val="0"/>
      <w:divBdr>
        <w:top w:val="none" w:sz="0" w:space="0" w:color="auto"/>
        <w:left w:val="none" w:sz="0" w:space="0" w:color="auto"/>
        <w:bottom w:val="none" w:sz="0" w:space="0" w:color="auto"/>
        <w:right w:val="none" w:sz="0" w:space="0" w:color="auto"/>
      </w:divBdr>
    </w:div>
    <w:div w:id="572740621">
      <w:bodyDiv w:val="1"/>
      <w:marLeft w:val="0"/>
      <w:marRight w:val="0"/>
      <w:marTop w:val="0"/>
      <w:marBottom w:val="0"/>
      <w:divBdr>
        <w:top w:val="none" w:sz="0" w:space="0" w:color="auto"/>
        <w:left w:val="none" w:sz="0" w:space="0" w:color="auto"/>
        <w:bottom w:val="none" w:sz="0" w:space="0" w:color="auto"/>
        <w:right w:val="none" w:sz="0" w:space="0" w:color="auto"/>
      </w:divBdr>
    </w:div>
    <w:div w:id="159825067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526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hyperlink" Target="http://www.w3.org/TR/WCAG20/"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yperlink" Target="http://www.licencerecognition.gov.au" TargetMode="External"/><Relationship Id="rId42" Type="http://schemas.openxmlformats.org/officeDocument/2006/relationships/header" Target="header14.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image" Target="media/image5.emf"/><Relationship Id="rId38" Type="http://schemas.openxmlformats.org/officeDocument/2006/relationships/header" Target="header12.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image" Target="media/image4.emf"/><Relationship Id="rId37" Type="http://schemas.openxmlformats.org/officeDocument/2006/relationships/footer" Target="footer8.xml"/><Relationship Id="rId40" Type="http://schemas.openxmlformats.org/officeDocument/2006/relationships/hyperlink" Target="http://www.w3.org/TR/WCAG20/" TargetMode="External"/><Relationship Id="rId45" Type="http://schemas.openxmlformats.org/officeDocument/2006/relationships/header" Target="header1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image" Target="media/image3.emf"/><Relationship Id="rId44"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image" Target="media/image2.emf"/><Relationship Id="rId35" Type="http://schemas.openxmlformats.org/officeDocument/2006/relationships/header" Target="header10.xml"/><Relationship Id="rId43"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issues-paper-template.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FC12F25B6C5A545B96E3BD41F8E302E" ma:contentTypeVersion="0" ma:contentTypeDescription="Create a new document." ma:contentTypeScope="" ma:versionID="225fca121c3b34146f990007c8e2d62c">
  <xsd:schema xmlns:xsd="http://www.w3.org/2001/XMLSchema" xmlns:xs="http://www.w3.org/2001/XMLSchema" xmlns:p="http://schemas.microsoft.com/office/2006/metadata/properties" targetNamespace="http://schemas.microsoft.com/office/2006/metadata/properties" ma:root="true" ma:fieldsID="8b741d7760e7820ac40a9c32876c49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244C8-2BF3-4E3F-AF9C-600148F13AB9}">
  <ds:schemaRefs>
    <ds:schemaRef ds:uri="http://schemas.microsoft.com/sharepoint/v3/contenttype/forms"/>
  </ds:schemaRefs>
</ds:datastoreItem>
</file>

<file path=customXml/itemProps2.xml><?xml version="1.0" encoding="utf-8"?>
<ds:datastoreItem xmlns:ds="http://schemas.openxmlformats.org/officeDocument/2006/customXml" ds:itemID="{146F2089-4C1C-47B0-B597-C6FB26D6F77C}">
  <ds:schemaRefs>
    <ds:schemaRef ds:uri="http://schemas.microsoft.com/office/2006/metadata/customXsn"/>
  </ds:schemaRefs>
</ds:datastoreItem>
</file>

<file path=customXml/itemProps3.xml><?xml version="1.0" encoding="utf-8"?>
<ds:datastoreItem xmlns:ds="http://schemas.openxmlformats.org/officeDocument/2006/customXml" ds:itemID="{252ADE89-61DA-41CC-8C77-635ECF411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30D6D4-DDAB-44C0-9424-09D148F79102}">
  <ds:schemaRefs>
    <ds:schemaRef ds:uri="http://schemas.microsoft.com/office/2006/metadata/propertie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s>
</ds:datastoreItem>
</file>

<file path=customXml/itemProps5.xml><?xml version="1.0" encoding="utf-8"?>
<ds:datastoreItem xmlns:ds="http://schemas.openxmlformats.org/officeDocument/2006/customXml" ds:itemID="{8FAFA399-A0D4-4623-83B0-ABDE22AA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issues-paper-template.dotm</Template>
  <TotalTime>81</TotalTime>
  <Pages>36</Pages>
  <Words>11200</Words>
  <Characters>66018</Characters>
  <Application>Microsoft Office Word</Application>
  <DocSecurity>0</DocSecurity>
  <Lines>1138</Lines>
  <Paragraphs>451</Paragraphs>
  <ScaleCrop>false</ScaleCrop>
  <HeadingPairs>
    <vt:vector size="2" baseType="variant">
      <vt:variant>
        <vt:lpstr>Title</vt:lpstr>
      </vt:variant>
      <vt:variant>
        <vt:i4>1</vt:i4>
      </vt:variant>
    </vt:vector>
  </HeadingPairs>
  <TitlesOfParts>
    <vt:vector size="1" baseType="lpstr">
      <vt:lpstr>Issues Paper</vt:lpstr>
    </vt:vector>
  </TitlesOfParts>
  <Company>Productivity Commission</Company>
  <LinksUpToDate>false</LinksUpToDate>
  <CharactersWithSpaces>76767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dc:title>
  <dc:subject>Report</dc:subject>
  <dc:creator>Productivity Commission</dc:creator>
  <dc:description>1.</dc:description>
  <cp:lastModifiedBy>Mark Pimperl</cp:lastModifiedBy>
  <cp:revision>7</cp:revision>
  <cp:lastPrinted>2015-01-14T03:58:00Z</cp:lastPrinted>
  <dcterms:created xsi:type="dcterms:W3CDTF">2015-01-14T04:59:00Z</dcterms:created>
  <dcterms:modified xsi:type="dcterms:W3CDTF">2015-01-14T23:00:00Z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0x0101001FC12F25B6C5A545B96E3BD41F8E302E</vt:lpwstr>
  </property>
  <property fmtid="{D5CDD505-2E9C-101B-9397-08002B2CF9AE}" pid="3" name="ZOTERO_PREF_2">
    <vt:lpwstr>lue="true"/&gt;&lt;pref name="automaticJournalAbbreviations" value="true"/&gt;&lt;pref name="noteType" value="0"/&gt;&lt;/prefs&gt;&lt;/data&gt;</vt:lpwstr>
  </property>
  <property fmtid="{D5CDD505-2E9C-101B-9397-08002B2CF9AE}" pid="4" name="RecordPoint_WorkflowType">
    <vt:lpwstr>ActiveSubmitStub</vt:lpwstr>
  </property>
  <property fmtid="{D5CDD505-2E9C-101B-9397-08002B2CF9AE}" pid="5" name="RecordPoint_ActiveItemSiteId">
    <vt:lpwstr>{5750d626-0aa0-474c-a55f-8063909d4906}</vt:lpwstr>
  </property>
  <property fmtid="{D5CDD505-2E9C-101B-9397-08002B2CF9AE}" pid="6" name="RecordPoint_ActiveItemListId">
    <vt:lpwstr>{8af5aa58-d706-405f-bd4e-05fa68392562}</vt:lpwstr>
  </property>
  <property fmtid="{D5CDD505-2E9C-101B-9397-08002B2CF9AE}" pid="7" name="RecordPoint_ActiveItemUniqueId">
    <vt:lpwstr>{1f9469b7-c934-4d44-a145-2b00da6fba55}</vt:lpwstr>
  </property>
  <property fmtid="{D5CDD505-2E9C-101B-9397-08002B2CF9AE}" pid="8" name="RecordPoint_ActiveItemWebId">
    <vt:lpwstr>{6ef9567b-cc06-4b04-94f3-bd3ca7818bc7}</vt:lpwstr>
  </property>
  <property fmtid="{D5CDD505-2E9C-101B-9397-08002B2CF9AE}" pid="9" name="RecordPoint_SubmissionCompleted">
    <vt:lpwstr>2015-01-05T07:59:06.5376308+11:00</vt:lpwstr>
  </property>
  <property fmtid="{D5CDD505-2E9C-101B-9397-08002B2CF9AE}" pid="10" name="IconOverlay">
    <vt:lpwstr/>
  </property>
  <property fmtid="{D5CDD505-2E9C-101B-9397-08002B2CF9AE}" pid="11" name="RecordPoint_RecordNumberSubmitted">
    <vt:lpwstr>R0000003290</vt:lpwstr>
  </property>
  <property fmtid="{D5CDD505-2E9C-101B-9397-08002B2CF9AE}" pid="12" name="ZOTERO_PREF_1">
    <vt:lpwstr>&lt;data data-version="3" zotero-version="4.0.20"&gt;&lt;session id="WgSEMQbE"/&gt;&lt;style id="http://www.zotero.org/styles/unisa-harvard" hasBibliography="1" bibliographyStyleHasBeenSet="1"/&gt;&lt;prefs&gt;&lt;pref name="fieldType" value="Field"/&gt;&lt;pref name="storeReferences" va</vt:lpwstr>
  </property>
</Properties>
</file>