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57EC12" w14:textId="7CD192A2" w:rsidR="00A45A48" w:rsidRPr="00A45A48" w:rsidRDefault="00F122BD" w:rsidP="00A45A48">
      <w:pPr>
        <w:pStyle w:val="Heading1"/>
        <w:rPr>
          <w:color w:val="FFFFFF" w:themeColor="background1"/>
          <w:sz w:val="12"/>
          <w:szCs w:val="12"/>
        </w:rPr>
      </w:pPr>
      <w:r>
        <w:rPr>
          <w:noProof/>
          <w:lang w:eastAsia="en-AU"/>
        </w:rPr>
        <w:drawing>
          <wp:anchor distT="0" distB="0" distL="114300" distR="114300" simplePos="0" relativeHeight="251658240" behindDoc="0" locked="0" layoutInCell="1" allowOverlap="1" wp14:anchorId="0545D419" wp14:editId="52E15758">
            <wp:simplePos x="0" y="0"/>
            <wp:positionH relativeFrom="page">
              <wp:align>center</wp:align>
            </wp:positionH>
            <wp:positionV relativeFrom="page">
              <wp:align>center</wp:align>
            </wp:positionV>
            <wp:extent cx="7563600" cy="10738800"/>
            <wp:effectExtent l="0" t="0" r="0" b="5715"/>
            <wp:wrapNone/>
            <wp:docPr id="1" name="Picture 1" descr="Cover image: Mutual Recognition Schemes, Productivity Commission Research Report, September 2015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tual-recognition-final-cover-WEB.png"/>
                    <pic:cNvPicPr/>
                  </pic:nvPicPr>
                  <pic:blipFill>
                    <a:blip r:embed="rId13">
                      <a:extLst>
                        <a:ext uri="{28A0092B-C50C-407E-A947-70E740481C1C}">
                          <a14:useLocalDpi xmlns:a14="http://schemas.microsoft.com/office/drawing/2010/main" val="0"/>
                        </a:ext>
                      </a:extLst>
                    </a:blip>
                    <a:stretch>
                      <a:fillRect/>
                    </a:stretch>
                  </pic:blipFill>
                  <pic:spPr>
                    <a:xfrm>
                      <a:off x="0" y="0"/>
                      <a:ext cx="7563600" cy="10738800"/>
                    </a:xfrm>
                    <a:prstGeom prst="rect">
                      <a:avLst/>
                    </a:prstGeom>
                  </pic:spPr>
                </pic:pic>
              </a:graphicData>
            </a:graphic>
            <wp14:sizeRelH relativeFrom="margin">
              <wp14:pctWidth>0</wp14:pctWidth>
            </wp14:sizeRelH>
            <wp14:sizeRelV relativeFrom="margin">
              <wp14:pctHeight>0</wp14:pctHeight>
            </wp14:sizeRelV>
          </wp:anchor>
        </w:drawing>
      </w:r>
      <w:r w:rsidR="00A45A48" w:rsidRPr="00A45A48">
        <w:rPr>
          <w:color w:val="FFFFFF" w:themeColor="background1"/>
          <w:sz w:val="12"/>
          <w:szCs w:val="12"/>
        </w:rPr>
        <w:t xml:space="preserve">Mutual Recognition Schemes </w:t>
      </w:r>
    </w:p>
    <w:p w14:paraId="0DB9F0B9" w14:textId="6E4F8C98" w:rsidR="00B04D19" w:rsidRDefault="00A45A48" w:rsidP="00CD5E6B">
      <w:pPr>
        <w:pStyle w:val="BodyText"/>
        <w:rPr>
          <w:b/>
          <w:szCs w:val="26"/>
        </w:rPr>
      </w:pPr>
      <w:r w:rsidRPr="00A45A48">
        <w:rPr>
          <w:color w:val="FFFFFF" w:themeColor="background1"/>
        </w:rPr>
        <w:t xml:space="preserve">Productivity Commission Research Report, September 2015 </w:t>
      </w:r>
      <w:r w:rsidR="00B04D19">
        <w:br w:type="page"/>
      </w:r>
    </w:p>
    <w:p w14:paraId="31549B43"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39812771" w14:textId="62BC8B22" w:rsidR="00606BA7" w:rsidRPr="00606BA7" w:rsidRDefault="00606BA7" w:rsidP="00606BA7">
      <w:pPr>
        <w:pStyle w:val="Copyrightheading"/>
        <w:tabs>
          <w:tab w:val="left" w:pos="1134"/>
        </w:tabs>
        <w:ind w:left="0" w:firstLine="0"/>
        <w:rPr>
          <w:rFonts w:ascii="Times New Roman" w:hAnsi="Times New Roman"/>
          <w:sz w:val="24"/>
          <w:szCs w:val="20"/>
          <w:lang w:eastAsia="en-AU"/>
        </w:rPr>
      </w:pPr>
      <w:r w:rsidRPr="00606BA7">
        <w:rPr>
          <w:rFonts w:ascii="Times New Roman" w:hAnsi="Times New Roman"/>
          <w:sz w:val="24"/>
          <w:szCs w:val="20"/>
          <w:lang w:eastAsia="en-AU"/>
        </w:rPr>
        <w:t>ISBN</w:t>
      </w:r>
      <w:r w:rsidRPr="00606BA7">
        <w:rPr>
          <w:rFonts w:ascii="Times New Roman" w:hAnsi="Times New Roman"/>
          <w:sz w:val="24"/>
          <w:szCs w:val="20"/>
          <w:lang w:eastAsia="en-AU"/>
        </w:rPr>
        <w:tab/>
        <w:t>978-1-74037-556-6 (PDF)</w:t>
      </w:r>
      <w:r w:rsidRPr="00606BA7">
        <w:rPr>
          <w:rFonts w:ascii="Times New Roman" w:hAnsi="Times New Roman"/>
          <w:sz w:val="24"/>
          <w:szCs w:val="20"/>
          <w:lang w:eastAsia="en-AU"/>
        </w:rPr>
        <w:br/>
        <w:t>ISBN</w:t>
      </w:r>
      <w:r w:rsidRPr="00606BA7">
        <w:rPr>
          <w:rFonts w:ascii="Times New Roman" w:hAnsi="Times New Roman"/>
          <w:sz w:val="24"/>
          <w:szCs w:val="20"/>
          <w:lang w:eastAsia="en-AU"/>
        </w:rPr>
        <w:tab/>
        <w:t>978-1-74037-555-9 (Print)</w:t>
      </w:r>
    </w:p>
    <w:p w14:paraId="15D519B5"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32072374" wp14:editId="56E7E7D0">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2B47E95B" w14:textId="0CC04728"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00D00F2B" w14:textId="77777777" w:rsidR="008A3857" w:rsidRPr="008A3857" w:rsidRDefault="008A3857" w:rsidP="008A3857">
      <w:pPr>
        <w:pStyle w:val="Copyrightsubtitle"/>
      </w:pPr>
      <w:r w:rsidRPr="008A3857">
        <w:t>Use of the Commonwealth Coat of Arms</w:t>
      </w:r>
    </w:p>
    <w:p w14:paraId="48E2A68F" w14:textId="0EC2A90A"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3A1C8FCC" w14:textId="77777777" w:rsidR="008A3857" w:rsidRPr="008A3857" w:rsidRDefault="008A3857" w:rsidP="008A3857">
      <w:pPr>
        <w:pStyle w:val="Copyrightsubtitle"/>
      </w:pPr>
      <w:r w:rsidRPr="008A3857">
        <w:t>Third party copyright</w:t>
      </w:r>
    </w:p>
    <w:p w14:paraId="74C54DDD"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5048FF6F" w14:textId="77777777" w:rsidR="008A3857" w:rsidRPr="008A3857" w:rsidRDefault="008A3857" w:rsidP="008A3857">
      <w:pPr>
        <w:pStyle w:val="Copyrightsubtitle"/>
      </w:pPr>
      <w:r w:rsidRPr="008A3857">
        <w:t>Attribution</w:t>
      </w:r>
    </w:p>
    <w:p w14:paraId="1B7C3199" w14:textId="7F006737"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EA6339">
        <w:rPr>
          <w:i/>
        </w:rPr>
        <w:t>Mutual Recognition Schemes</w:t>
      </w:r>
      <w:r w:rsidRPr="008A3857">
        <w:t>.</w:t>
      </w:r>
    </w:p>
    <w:p w14:paraId="0687801F" w14:textId="53A8B8C5"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073307">
        <w:rPr>
          <w:i/>
        </w:rPr>
        <w:t>Mutual Recognition Schemes</w:t>
      </w:r>
      <w:r w:rsidRPr="008A3857">
        <w:t>.</w:t>
      </w:r>
    </w:p>
    <w:p w14:paraId="174AC7F5"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2AE5B94D" w14:textId="2D2F6A79" w:rsidR="008A3857" w:rsidRPr="008A3857" w:rsidRDefault="001D5FC0" w:rsidP="008A3857">
      <w:pPr>
        <w:pStyle w:val="Copyrightbodytext"/>
      </w:pPr>
      <w:r>
        <w:t xml:space="preserve">Productivity Commission 2015, </w:t>
      </w:r>
      <w:r>
        <w:rPr>
          <w:i/>
          <w:iCs/>
        </w:rPr>
        <w:t>Mutual Recognition Schemes</w:t>
      </w:r>
      <w:r>
        <w:t xml:space="preserve">, </w:t>
      </w:r>
      <w:r w:rsidR="00073307">
        <w:t>Research</w:t>
      </w:r>
      <w:r>
        <w:t xml:space="preserve"> Report, Canberra.</w:t>
      </w:r>
    </w:p>
    <w:p w14:paraId="4A029AC2" w14:textId="77777777" w:rsidR="008A3857" w:rsidRPr="008A3857" w:rsidRDefault="008A3857" w:rsidP="008A3857">
      <w:pPr>
        <w:pStyle w:val="Copyrightsubtitle"/>
      </w:pPr>
      <w:bookmarkStart w:id="1" w:name="JEL"/>
      <w:bookmarkEnd w:id="1"/>
      <w:r w:rsidRPr="008A3857">
        <w:t>Publications enquiries</w:t>
      </w:r>
    </w:p>
    <w:p w14:paraId="60F7F1DF"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2306D958"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4644A01B" w14:textId="77777777" w:rsidTr="00F62D39">
        <w:trPr>
          <w:tblHeader/>
        </w:trPr>
        <w:tc>
          <w:tcPr>
            <w:tcW w:w="8771" w:type="dxa"/>
            <w:tcBorders>
              <w:top w:val="single" w:sz="6" w:space="0" w:color="78A22F"/>
              <w:left w:val="nil"/>
              <w:bottom w:val="nil"/>
              <w:right w:val="nil"/>
            </w:tcBorders>
            <w:shd w:val="clear" w:color="auto" w:fill="F2F2F2" w:themeFill="background1" w:themeFillShade="F2"/>
          </w:tcPr>
          <w:p w14:paraId="58CCDCEF" w14:textId="77777777" w:rsidR="008A3857" w:rsidRPr="008A3857" w:rsidRDefault="008A3857" w:rsidP="00E5090E">
            <w:pPr>
              <w:pStyle w:val="BoxTitle"/>
              <w:rPr>
                <w:sz w:val="22"/>
                <w:szCs w:val="22"/>
              </w:rPr>
            </w:pPr>
            <w:r w:rsidRPr="008A3857">
              <w:rPr>
                <w:sz w:val="22"/>
                <w:szCs w:val="22"/>
              </w:rPr>
              <w:t>The Productivity Commission</w:t>
            </w:r>
          </w:p>
        </w:tc>
      </w:tr>
      <w:tr w:rsidR="008A3857" w14:paraId="745BB5FA" w14:textId="77777777" w:rsidTr="00E5090E">
        <w:trPr>
          <w:cantSplit/>
        </w:trPr>
        <w:tc>
          <w:tcPr>
            <w:tcW w:w="8771" w:type="dxa"/>
            <w:tcBorders>
              <w:top w:val="nil"/>
              <w:left w:val="nil"/>
              <w:bottom w:val="nil"/>
              <w:right w:val="nil"/>
            </w:tcBorders>
            <w:shd w:val="clear" w:color="auto" w:fill="F2F2F2" w:themeFill="background1" w:themeFillShade="F2"/>
          </w:tcPr>
          <w:p w14:paraId="51BEF922" w14:textId="77777777" w:rsidR="008A3857" w:rsidRDefault="008A3857" w:rsidP="00E5090E">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26687893" w14:textId="77777777" w:rsidR="008A3857" w:rsidRDefault="008A3857" w:rsidP="00E5090E">
            <w:pPr>
              <w:pStyle w:val="Box"/>
            </w:pPr>
            <w:r w:rsidRPr="00BB5DCF">
              <w:t>The Commission’s independence is underpinned by an Act of Parliament. Its processes and outputs are open to public scrutiny and are driven by concern for the wellbeing of the community as a whole.</w:t>
            </w:r>
          </w:p>
          <w:p w14:paraId="10E67679" w14:textId="3FCBC61F"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15787250" w14:textId="77777777" w:rsidTr="00E5090E">
        <w:trPr>
          <w:cantSplit/>
        </w:trPr>
        <w:tc>
          <w:tcPr>
            <w:tcW w:w="8771" w:type="dxa"/>
            <w:tcBorders>
              <w:top w:val="nil"/>
              <w:left w:val="nil"/>
              <w:bottom w:val="single" w:sz="6" w:space="0" w:color="78A22F"/>
              <w:right w:val="nil"/>
            </w:tcBorders>
            <w:shd w:val="clear" w:color="auto" w:fill="F2F2F2" w:themeFill="background1" w:themeFillShade="F2"/>
          </w:tcPr>
          <w:p w14:paraId="7D613698" w14:textId="77777777" w:rsidR="008A3857" w:rsidRDefault="008A3857" w:rsidP="00E5090E">
            <w:pPr>
              <w:pStyle w:val="Box"/>
              <w:spacing w:before="0" w:line="120" w:lineRule="exact"/>
            </w:pPr>
          </w:p>
        </w:tc>
      </w:tr>
    </w:tbl>
    <w:p w14:paraId="48C61BBD" w14:textId="77777777" w:rsidR="00735FEA" w:rsidRDefault="00735FEA">
      <w:pPr>
        <w:pStyle w:val="BodyText"/>
        <w:sectPr w:rsidR="00735FEA" w:rsidSect="00122FE9">
          <w:headerReference w:type="even" r:id="rId15"/>
          <w:headerReference w:type="default" r:id="rId16"/>
          <w:footerReference w:type="even" r:id="rId17"/>
          <w:footerReference w:type="default" r:id="rId18"/>
          <w:headerReference w:type="first" r:id="rId19"/>
          <w:footerReference w:type="first" r:id="rId20"/>
          <w:type w:val="oddPage"/>
          <w:pgSz w:w="11907" w:h="16840" w:code="9"/>
          <w:pgMar w:top="1304" w:right="1304" w:bottom="567" w:left="1814" w:header="1701" w:footer="397" w:gutter="0"/>
          <w:pgNumType w:fmt="lowerRoman" w:start="1"/>
          <w:cols w:space="720"/>
          <w:titlePg/>
        </w:sectPr>
      </w:pPr>
      <w:bookmarkStart w:id="2" w:name="cov"/>
      <w:bookmarkEnd w:id="2"/>
    </w:p>
    <w:p w14:paraId="7322EFBC" w14:textId="4166C895" w:rsidR="00340F0A" w:rsidRDefault="00DE47A4">
      <w:pPr>
        <w:pStyle w:val="Heading1"/>
      </w:pPr>
      <w:r>
        <w:lastRenderedPageBreak/>
        <w:t>For</w:t>
      </w:r>
      <w:r w:rsidR="00903EF4">
        <w:t>ewo</w:t>
      </w:r>
      <w:r>
        <w:t>rd</w:t>
      </w:r>
    </w:p>
    <w:p w14:paraId="41EEC833" w14:textId="77777777" w:rsidR="004A7959" w:rsidRPr="00CF0D43" w:rsidRDefault="004A7959" w:rsidP="004A7959">
      <w:pPr>
        <w:spacing w:after="240"/>
        <w:jc w:val="both"/>
        <w:rPr>
          <w:color w:val="000000" w:themeColor="text1"/>
          <w:sz w:val="24"/>
          <w:lang w:eastAsia="en-AU"/>
        </w:rPr>
      </w:pPr>
      <w:r w:rsidRPr="00CF0D43">
        <w:rPr>
          <w:color w:val="000000" w:themeColor="text1"/>
          <w:sz w:val="24"/>
          <w:lang w:eastAsia="en-AU"/>
        </w:rPr>
        <w:t>Australia’s and New Zealand’s mutual recognition schemes are unique in the world by their extensive scope and coverage. They make it easier to do business across borders and give consumers a wider and more competitive range of goods and services.</w:t>
      </w:r>
    </w:p>
    <w:p w14:paraId="00832FA9" w14:textId="77777777" w:rsidR="004A7959" w:rsidRDefault="004A7959" w:rsidP="004A7959">
      <w:pPr>
        <w:pStyle w:val="BodyText"/>
      </w:pPr>
      <w:r w:rsidRPr="00683314">
        <w:t xml:space="preserve">This is the third </w:t>
      </w:r>
      <w:r>
        <w:t xml:space="preserve">time that the Commission has been asked to </w:t>
      </w:r>
      <w:r w:rsidRPr="00683314">
        <w:t>review the</w:t>
      </w:r>
      <w:r w:rsidRPr="000A66C6">
        <w:t xml:space="preserve"> </w:t>
      </w:r>
      <w:r>
        <w:t>mutual recognition schemes. Such reviews are required every five years under the terms of the schemes.</w:t>
      </w:r>
    </w:p>
    <w:p w14:paraId="43C825C9" w14:textId="565B0B63" w:rsidR="004A7959" w:rsidRDefault="004A7959" w:rsidP="004A7959">
      <w:pPr>
        <w:pStyle w:val="BodyText"/>
      </w:pPr>
      <w:r>
        <w:t>The</w:t>
      </w:r>
      <w:r w:rsidRPr="00572A66">
        <w:t xml:space="preserve"> Commission has found that the schemes are operating well</w:t>
      </w:r>
      <w:r w:rsidRPr="00C7243A">
        <w:t xml:space="preserve"> </w:t>
      </w:r>
      <w:r w:rsidRPr="007B2033">
        <w:t xml:space="preserve">for </w:t>
      </w:r>
      <w:r>
        <w:t xml:space="preserve">covered </w:t>
      </w:r>
      <w:r w:rsidRPr="007B2033">
        <w:t>goods and occupations.</w:t>
      </w:r>
      <w:r w:rsidRPr="00572A66">
        <w:t xml:space="preserve"> However, the</w:t>
      </w:r>
      <w:r>
        <w:t xml:space="preserve">re is a risk of the benefits being slowly </w:t>
      </w:r>
      <w:r w:rsidRPr="00572A66">
        <w:t xml:space="preserve">eroded due to regulators not always implementing mutual recognition as required, weak oversight, and an increase in the number of goods and related laws permanently kept </w:t>
      </w:r>
      <w:r>
        <w:t xml:space="preserve">out of </w:t>
      </w:r>
      <w:r w:rsidR="00EE3623">
        <w:t>scope. Whether, and how, to</w:t>
      </w:r>
      <w:r w:rsidRPr="00572A66">
        <w:t xml:space="preserve"> address these </w:t>
      </w:r>
      <w:r>
        <w:t>issues</w:t>
      </w:r>
      <w:r w:rsidRPr="00572A66">
        <w:t xml:space="preserve"> </w:t>
      </w:r>
      <w:r>
        <w:t>was</w:t>
      </w:r>
      <w:r w:rsidRPr="00572A66">
        <w:t xml:space="preserve"> a focus for much of the review.</w:t>
      </w:r>
    </w:p>
    <w:p w14:paraId="705E5D1F" w14:textId="77777777" w:rsidR="004A7959" w:rsidRPr="00733E30" w:rsidRDefault="004A7959" w:rsidP="004A7959">
      <w:pPr>
        <w:pStyle w:val="BodyText"/>
        <w:rPr>
          <w:color w:val="000000" w:themeColor="text1"/>
        </w:rPr>
      </w:pPr>
      <w:r w:rsidRPr="00733E30">
        <w:rPr>
          <w:color w:val="000000" w:themeColor="text1"/>
        </w:rPr>
        <w:t xml:space="preserve">In conducting </w:t>
      </w:r>
      <w:r>
        <w:rPr>
          <w:color w:val="000000" w:themeColor="text1"/>
        </w:rPr>
        <w:t>the</w:t>
      </w:r>
      <w:r w:rsidRPr="00733E30">
        <w:rPr>
          <w:color w:val="000000" w:themeColor="text1"/>
        </w:rPr>
        <w:t xml:space="preserve"> review, the Commission consulted with a wide range of </w:t>
      </w:r>
      <w:r>
        <w:rPr>
          <w:color w:val="000000" w:themeColor="text1"/>
        </w:rPr>
        <w:t>stakeholders</w:t>
      </w:r>
      <w:r w:rsidRPr="00733E30">
        <w:rPr>
          <w:color w:val="000000" w:themeColor="text1"/>
        </w:rPr>
        <w:t xml:space="preserve"> in Australia and </w:t>
      </w:r>
      <w:r>
        <w:rPr>
          <w:color w:val="000000" w:themeColor="text1"/>
        </w:rPr>
        <w:t xml:space="preserve">New Zealand, including by holding roundtables in Melbourne and Wellington. Many parties also provided input through written submissions. </w:t>
      </w:r>
      <w:r w:rsidRPr="009F3CAA">
        <w:t>The Commission thanks all of those who contributed</w:t>
      </w:r>
      <w:r>
        <w:t>.</w:t>
      </w:r>
    </w:p>
    <w:p w14:paraId="6F27500A" w14:textId="77777777" w:rsidR="004A7959" w:rsidRPr="00733E30" w:rsidRDefault="004A7959" w:rsidP="004A7959">
      <w:pPr>
        <w:pStyle w:val="BodyText"/>
        <w:rPr>
          <w:color w:val="000000" w:themeColor="text1"/>
        </w:rPr>
      </w:pPr>
      <w:r w:rsidRPr="00733E30">
        <w:rPr>
          <w:color w:val="000000" w:themeColor="text1"/>
        </w:rPr>
        <w:t xml:space="preserve">The Commission is also grateful to the </w:t>
      </w:r>
      <w:r>
        <w:rPr>
          <w:color w:val="000000" w:themeColor="text1"/>
        </w:rPr>
        <w:t>NZ</w:t>
      </w:r>
      <w:r w:rsidRPr="00733E30">
        <w:rPr>
          <w:color w:val="000000" w:themeColor="text1"/>
        </w:rPr>
        <w:t xml:space="preserve"> </w:t>
      </w:r>
      <w:r w:rsidRPr="00D45E35">
        <w:rPr>
          <w:color w:val="000000" w:themeColor="text1"/>
        </w:rPr>
        <w:t>Ministry of Business, Innovation and Employment</w:t>
      </w:r>
      <w:r w:rsidRPr="00733E30">
        <w:rPr>
          <w:color w:val="000000" w:themeColor="text1"/>
        </w:rPr>
        <w:t xml:space="preserve"> for seconding one of its officials</w:t>
      </w:r>
      <w:r>
        <w:rPr>
          <w:color w:val="000000" w:themeColor="text1"/>
        </w:rPr>
        <w:t xml:space="preserve"> to the review</w:t>
      </w:r>
      <w:r w:rsidRPr="00733E30">
        <w:rPr>
          <w:color w:val="000000" w:themeColor="text1"/>
        </w:rPr>
        <w:t xml:space="preserve">. </w:t>
      </w:r>
    </w:p>
    <w:p w14:paraId="39684EBC" w14:textId="3D9DA8BB" w:rsidR="00E5549F" w:rsidRDefault="004A7959" w:rsidP="004A7959">
      <w:pPr>
        <w:pStyle w:val="BodyText"/>
        <w:rPr>
          <w:color w:val="000000" w:themeColor="text1"/>
        </w:rPr>
      </w:pPr>
      <w:r>
        <w:rPr>
          <w:color w:val="000000" w:themeColor="text1"/>
        </w:rPr>
        <w:t xml:space="preserve">The review </w:t>
      </w:r>
      <w:r w:rsidRPr="00733E30">
        <w:rPr>
          <w:color w:val="000000" w:themeColor="text1"/>
        </w:rPr>
        <w:t xml:space="preserve">was undertaken by a team in the Commission’s Melbourne office, </w:t>
      </w:r>
      <w:r>
        <w:rPr>
          <w:color w:val="000000" w:themeColor="text1"/>
        </w:rPr>
        <w:t>led by Greg Murtough.</w:t>
      </w:r>
    </w:p>
    <w:p w14:paraId="71A14B33" w14:textId="6E19D522" w:rsidR="00E5549F" w:rsidRDefault="00E5549F" w:rsidP="00FB6B59">
      <w:pPr>
        <w:pStyle w:val="BodyText"/>
        <w:spacing w:before="600"/>
        <w:jc w:val="left"/>
        <w:rPr>
          <w:color w:val="000000" w:themeColor="text1"/>
        </w:rPr>
      </w:pPr>
      <w:r w:rsidRPr="00733E30">
        <w:rPr>
          <w:color w:val="000000" w:themeColor="text1"/>
        </w:rPr>
        <w:t>Jonathan Coppel</w:t>
      </w:r>
      <w:r w:rsidRPr="00733E30">
        <w:rPr>
          <w:color w:val="000000" w:themeColor="text1"/>
        </w:rPr>
        <w:br/>
      </w:r>
      <w:r w:rsidR="004A7959">
        <w:rPr>
          <w:color w:val="000000" w:themeColor="text1"/>
        </w:rPr>
        <w:t xml:space="preserve">Presiding </w:t>
      </w:r>
      <w:r w:rsidRPr="00733E30">
        <w:rPr>
          <w:color w:val="000000" w:themeColor="text1"/>
        </w:rPr>
        <w:t>Commissioner</w:t>
      </w:r>
    </w:p>
    <w:p w14:paraId="53CED99D" w14:textId="77777777" w:rsidR="00E5549F" w:rsidRPr="00733E30" w:rsidRDefault="00E5549F" w:rsidP="00E5549F">
      <w:pPr>
        <w:pStyle w:val="BodyText"/>
        <w:jc w:val="left"/>
        <w:rPr>
          <w:color w:val="000000" w:themeColor="text1"/>
        </w:rPr>
      </w:pPr>
      <w:r w:rsidRPr="00733E30">
        <w:rPr>
          <w:color w:val="000000" w:themeColor="text1"/>
        </w:rPr>
        <w:t>September 2015</w:t>
      </w:r>
    </w:p>
    <w:p w14:paraId="7834C5C5" w14:textId="77777777" w:rsidR="00903EF4" w:rsidRDefault="00903EF4">
      <w:pPr>
        <w:pStyle w:val="BodyText"/>
      </w:pPr>
    </w:p>
    <w:p w14:paraId="361553CF" w14:textId="77777777" w:rsidR="00340F0A" w:rsidRPr="003C10D8" w:rsidRDefault="00340F0A" w:rsidP="00E5090E">
      <w:pPr>
        <w:pStyle w:val="BodyText"/>
        <w:rPr>
          <w:lang w:eastAsia="en-US"/>
        </w:rPr>
        <w:sectPr w:rsidR="00340F0A" w:rsidRPr="003C10D8" w:rsidSect="00E5090E">
          <w:headerReference w:type="even" r:id="rId21"/>
          <w:headerReference w:type="default" r:id="rId22"/>
          <w:footerReference w:type="even" r:id="rId23"/>
          <w:footerReference w:type="default" r:id="rId24"/>
          <w:type w:val="oddPage"/>
          <w:pgSz w:w="11907" w:h="16840" w:code="9"/>
          <w:pgMar w:top="1985" w:right="1304" w:bottom="1191" w:left="1814" w:header="1701" w:footer="397" w:gutter="0"/>
          <w:pgNumType w:fmt="lowerRoman"/>
          <w:cols w:space="720"/>
        </w:sectPr>
      </w:pPr>
    </w:p>
    <w:p w14:paraId="6B3CFBB2" w14:textId="77777777" w:rsidR="00340F0A" w:rsidRDefault="00340F0A" w:rsidP="00E5090E">
      <w:pPr>
        <w:pStyle w:val="Heading1"/>
      </w:pPr>
      <w:bookmarkStart w:id="3" w:name="_Toc422210836"/>
      <w:bookmarkStart w:id="4" w:name="_Toc422211296"/>
      <w:r>
        <w:lastRenderedPageBreak/>
        <w:t>Terms of reference</w:t>
      </w:r>
      <w:bookmarkEnd w:id="3"/>
      <w:bookmarkEnd w:id="4"/>
    </w:p>
    <w:p w14:paraId="2F70EDB2" w14:textId="77777777" w:rsidR="00D70B0C" w:rsidRPr="00BE1D93" w:rsidRDefault="00D70B0C" w:rsidP="00D70B0C">
      <w:pPr>
        <w:pStyle w:val="BodyText"/>
        <w:spacing w:before="600" w:after="480"/>
        <w:jc w:val="center"/>
      </w:pPr>
      <w:r w:rsidRPr="00BE1D93">
        <w:t>2014 REVIEW OF THE MUTUAL RECOGNITION AGREEMENT</w:t>
      </w:r>
      <w:r w:rsidRPr="00BE1D93">
        <w:br/>
        <w:t xml:space="preserve">AND THE </w:t>
      </w:r>
      <w:r w:rsidRPr="00BE1D93">
        <w:br/>
        <w:t>TRANS-TASMAN MUTUAL RECOGNITION ARRANGEMENT</w:t>
      </w:r>
    </w:p>
    <w:p w14:paraId="1A5BA3C7" w14:textId="1ED14646" w:rsidR="00D70B0C" w:rsidRPr="00BE1D93" w:rsidRDefault="00D70B0C" w:rsidP="00D70B0C">
      <w:pPr>
        <w:pStyle w:val="BodyText"/>
      </w:pPr>
      <w:r w:rsidRPr="00BE1D93">
        <w:t xml:space="preserve">I, Joseph Benedict Hockey, Treasurer, pursuant to Parts 2 and 4 of the </w:t>
      </w:r>
      <w:r w:rsidRPr="00D96544">
        <w:rPr>
          <w:i/>
        </w:rPr>
        <w:t>Productivity Commission Act 1998</w:t>
      </w:r>
      <w:r w:rsidRPr="00BE1D93">
        <w:t>, hereby request that the Productivity Commission undertake a review of the operation of the Mutual Recognition Agreement (MRA) and the Trans</w:t>
      </w:r>
      <w:r w:rsidR="003C330B">
        <w:noBreakHyphen/>
      </w:r>
      <w:r w:rsidRPr="00BE1D93">
        <w:t>Tasman Mutual Recognition Arrangement (</w:t>
      </w:r>
      <w:proofErr w:type="spellStart"/>
      <w:r w:rsidRPr="00BE1D93">
        <w:t>TTMRA</w:t>
      </w:r>
      <w:proofErr w:type="spellEnd"/>
      <w:r w:rsidRPr="00BE1D93">
        <w:t>) since the previous review, released in 2009.</w:t>
      </w:r>
    </w:p>
    <w:p w14:paraId="48A6C22A" w14:textId="77777777" w:rsidR="00D70B0C" w:rsidRPr="005D698B" w:rsidRDefault="00D70B0C" w:rsidP="00D70B0C">
      <w:pPr>
        <w:pStyle w:val="BodyText"/>
        <w:spacing w:before="220" w:line="240" w:lineRule="auto"/>
        <w:ind w:left="284" w:hanging="284"/>
      </w:pPr>
      <w:r w:rsidRPr="005D698B">
        <w:t>1)</w:t>
      </w:r>
      <w:r w:rsidRPr="005D698B">
        <w:tab/>
        <w:t>The Commission is to:</w:t>
      </w:r>
    </w:p>
    <w:p w14:paraId="407399ED" w14:textId="77777777" w:rsidR="00D70B0C" w:rsidRPr="005D698B" w:rsidRDefault="00D70B0C" w:rsidP="00D70B0C">
      <w:pPr>
        <w:pStyle w:val="BodyText"/>
        <w:spacing w:before="220" w:line="240" w:lineRule="auto"/>
        <w:ind w:left="709" w:hanging="283"/>
      </w:pPr>
      <w:r w:rsidRPr="005D698B">
        <w:t>a)</w:t>
      </w:r>
      <w:r w:rsidRPr="005D698B">
        <w:tab/>
        <w:t xml:space="preserve">assess the coverage, efficiency and effectiveness of the </w:t>
      </w:r>
      <w:proofErr w:type="spellStart"/>
      <w:r w:rsidRPr="005D698B">
        <w:t>MRA</w:t>
      </w:r>
      <w:proofErr w:type="spellEnd"/>
      <w:r w:rsidRPr="005D698B">
        <w:t xml:space="preserve"> and </w:t>
      </w:r>
      <w:proofErr w:type="spellStart"/>
      <w:r w:rsidRPr="005D698B">
        <w:t>TTMRA</w:t>
      </w:r>
      <w:proofErr w:type="spellEnd"/>
      <w:r w:rsidRPr="005D698B">
        <w:t>;</w:t>
      </w:r>
    </w:p>
    <w:p w14:paraId="2DE4FCAE" w14:textId="77777777" w:rsidR="00D70B0C" w:rsidRPr="005D698B" w:rsidRDefault="00D70B0C" w:rsidP="00D70B0C">
      <w:pPr>
        <w:pStyle w:val="BodyText"/>
        <w:spacing w:before="220" w:line="240" w:lineRule="auto"/>
        <w:ind w:left="709" w:hanging="283"/>
      </w:pPr>
      <w:r w:rsidRPr="005D698B">
        <w:t>b)</w:t>
      </w:r>
      <w:r w:rsidRPr="005D698B">
        <w:tab/>
        <w:t>recommend ways to further improve the inter-jurisdictional movement of goods and skilled workers, and reduce red tape, including examining the scope for automatic mutual recognition where applicable;</w:t>
      </w:r>
    </w:p>
    <w:p w14:paraId="44BE620C" w14:textId="77777777" w:rsidR="00D70B0C" w:rsidRPr="005D698B" w:rsidRDefault="00D70B0C" w:rsidP="00D70B0C">
      <w:pPr>
        <w:pStyle w:val="BodyText"/>
        <w:spacing w:before="220" w:line="240" w:lineRule="auto"/>
        <w:ind w:left="709" w:hanging="283"/>
      </w:pPr>
      <w:r w:rsidRPr="005D698B">
        <w:t>c)</w:t>
      </w:r>
      <w:r w:rsidRPr="005D698B">
        <w:tab/>
        <w:t xml:space="preserve">address matters identified by the Cross-Jurisdictional Review Forum, including, but not restricted to: </w:t>
      </w:r>
    </w:p>
    <w:p w14:paraId="56C44119" w14:textId="77777777" w:rsidR="00D70B0C" w:rsidRPr="00A902B4" w:rsidRDefault="00D70B0C" w:rsidP="00D70B0C">
      <w:pPr>
        <w:pStyle w:val="BodyText"/>
        <w:spacing w:before="220" w:line="240" w:lineRule="auto"/>
        <w:ind w:left="1134" w:hanging="425"/>
        <w:rPr>
          <w:szCs w:val="26"/>
        </w:rPr>
      </w:pPr>
      <w:r w:rsidRPr="00A902B4">
        <w:rPr>
          <w:szCs w:val="26"/>
        </w:rPr>
        <w:t>-</w:t>
      </w:r>
      <w:r w:rsidRPr="00A902B4">
        <w:rPr>
          <w:szCs w:val="26"/>
        </w:rPr>
        <w:tab/>
        <w:t xml:space="preserve">the nature and extent of any problem caused by use of goods requirements that restrict the sale of goods under both the </w:t>
      </w:r>
      <w:proofErr w:type="spellStart"/>
      <w:r w:rsidRPr="00A902B4">
        <w:rPr>
          <w:szCs w:val="26"/>
        </w:rPr>
        <w:t>MRA</w:t>
      </w:r>
      <w:proofErr w:type="spellEnd"/>
      <w:r w:rsidRPr="00A902B4">
        <w:rPr>
          <w:szCs w:val="26"/>
        </w:rPr>
        <w:t xml:space="preserve"> and </w:t>
      </w:r>
      <w:proofErr w:type="spellStart"/>
      <w:r w:rsidRPr="00A902B4">
        <w:rPr>
          <w:szCs w:val="26"/>
        </w:rPr>
        <w:t>TTMRA</w:t>
      </w:r>
      <w:proofErr w:type="spellEnd"/>
      <w:r w:rsidRPr="00A902B4">
        <w:rPr>
          <w:szCs w:val="26"/>
        </w:rPr>
        <w:t>, and the costs and benefits of any solutions proposed;</w:t>
      </w:r>
    </w:p>
    <w:p w14:paraId="420234A6" w14:textId="77777777" w:rsidR="00D70B0C" w:rsidRPr="00A902B4" w:rsidRDefault="00D70B0C" w:rsidP="00D70B0C">
      <w:pPr>
        <w:pStyle w:val="BodyText"/>
        <w:spacing w:before="220" w:line="240" w:lineRule="auto"/>
        <w:ind w:left="1134" w:hanging="425"/>
        <w:rPr>
          <w:szCs w:val="26"/>
        </w:rPr>
      </w:pPr>
      <w:r w:rsidRPr="00A902B4">
        <w:rPr>
          <w:szCs w:val="26"/>
        </w:rPr>
        <w:t>-</w:t>
      </w:r>
      <w:r w:rsidRPr="00A902B4">
        <w:rPr>
          <w:szCs w:val="26"/>
        </w:rPr>
        <w:tab/>
        <w:t xml:space="preserve">the issues associated with extending mutual recognition to business registration requirements under the </w:t>
      </w:r>
      <w:proofErr w:type="spellStart"/>
      <w:r w:rsidRPr="00A902B4">
        <w:rPr>
          <w:szCs w:val="26"/>
        </w:rPr>
        <w:t>MRA</w:t>
      </w:r>
      <w:proofErr w:type="spellEnd"/>
      <w:r w:rsidRPr="00A902B4">
        <w:rPr>
          <w:szCs w:val="26"/>
        </w:rPr>
        <w:t xml:space="preserve"> or </w:t>
      </w:r>
      <w:proofErr w:type="spellStart"/>
      <w:r w:rsidRPr="00A902B4">
        <w:rPr>
          <w:szCs w:val="26"/>
        </w:rPr>
        <w:t>TTMRA</w:t>
      </w:r>
      <w:proofErr w:type="spellEnd"/>
      <w:r w:rsidRPr="00A902B4">
        <w:rPr>
          <w:szCs w:val="26"/>
        </w:rPr>
        <w:t xml:space="preserve"> where similar requirements would result in an individual being registered, and the costs and benefits of any options proposed; and</w:t>
      </w:r>
    </w:p>
    <w:p w14:paraId="69AA929A" w14:textId="77777777" w:rsidR="00D70B0C" w:rsidRPr="005D698B" w:rsidRDefault="00D70B0C" w:rsidP="00D70B0C">
      <w:pPr>
        <w:pStyle w:val="BodyText"/>
        <w:spacing w:before="220" w:line="240" w:lineRule="auto"/>
        <w:ind w:left="709" w:hanging="283"/>
      </w:pPr>
      <w:r w:rsidRPr="005D698B">
        <w:t>d)</w:t>
      </w:r>
      <w:r w:rsidRPr="005D698B">
        <w:tab/>
        <w:t xml:space="preserve">examine, following the entry into </w:t>
      </w:r>
      <w:r>
        <w:t>force of the Agreement on Trans-</w:t>
      </w:r>
      <w:r w:rsidRPr="005D698B">
        <w:t>Tasman Court Proceedings and Regulatory Enforcement, the extent to which the Agreement could facilitate the Trans-Tasman provision of services by particular occupations, based on a single registration,</w:t>
      </w:r>
    </w:p>
    <w:p w14:paraId="4FC71707" w14:textId="77777777" w:rsidR="00D70B0C" w:rsidRPr="00A902B4" w:rsidRDefault="00D70B0C" w:rsidP="00D70B0C">
      <w:pPr>
        <w:pStyle w:val="BodyText"/>
        <w:spacing w:before="220" w:line="240" w:lineRule="auto"/>
        <w:ind w:left="1134" w:hanging="425"/>
        <w:rPr>
          <w:szCs w:val="26"/>
        </w:rPr>
      </w:pPr>
      <w:r w:rsidRPr="00A902B4">
        <w:rPr>
          <w:szCs w:val="26"/>
        </w:rPr>
        <w:t>-</w:t>
      </w:r>
      <w:r w:rsidRPr="00A902B4">
        <w:rPr>
          <w:szCs w:val="26"/>
        </w:rPr>
        <w:tab/>
        <w:t>consider how such an arrangement could operate; and</w:t>
      </w:r>
    </w:p>
    <w:p w14:paraId="23CB55C4" w14:textId="77777777" w:rsidR="00D70B0C" w:rsidRPr="00A902B4" w:rsidRDefault="00D70B0C" w:rsidP="00D70B0C">
      <w:pPr>
        <w:pStyle w:val="BodyText"/>
        <w:spacing w:before="220" w:line="240" w:lineRule="auto"/>
        <w:ind w:left="1134" w:hanging="425"/>
        <w:rPr>
          <w:szCs w:val="26"/>
        </w:rPr>
      </w:pPr>
      <w:r w:rsidRPr="00A902B4">
        <w:rPr>
          <w:szCs w:val="26"/>
        </w:rPr>
        <w:t>-</w:t>
      </w:r>
      <w:r w:rsidRPr="00A902B4">
        <w:rPr>
          <w:szCs w:val="26"/>
        </w:rPr>
        <w:tab/>
        <w:t>identify and document evidence of any occupations where there is sufficient demand for, and barriers to, cross-border service provision to merit inclusion in such an arrangement;</w:t>
      </w:r>
    </w:p>
    <w:p w14:paraId="4AA5FB19" w14:textId="77777777" w:rsidR="00D70B0C" w:rsidRDefault="00D70B0C" w:rsidP="00D70B0C">
      <w:pPr>
        <w:pStyle w:val="BodyText"/>
        <w:spacing w:before="220" w:line="240" w:lineRule="auto"/>
        <w:ind w:left="709" w:hanging="283"/>
      </w:pPr>
      <w:r w:rsidRPr="005D698B">
        <w:lastRenderedPageBreak/>
        <w:t>e)</w:t>
      </w:r>
      <w:r w:rsidRPr="005D698B">
        <w:tab/>
        <w:t xml:space="preserve">examine the extent to which Commonwealth regulatory agencies are aware of their obligations under the </w:t>
      </w:r>
      <w:proofErr w:type="spellStart"/>
      <w:r w:rsidRPr="005D698B">
        <w:t>TTMRA</w:t>
      </w:r>
      <w:proofErr w:type="spellEnd"/>
      <w:r w:rsidRPr="005D698B">
        <w:t xml:space="preserve"> and have implemented mutual recognition processes.</w:t>
      </w:r>
    </w:p>
    <w:p w14:paraId="5C9EBF14" w14:textId="77777777" w:rsidR="00D70B0C" w:rsidRPr="005D698B" w:rsidRDefault="00D70B0C" w:rsidP="00D70B0C">
      <w:pPr>
        <w:pStyle w:val="BodyText"/>
        <w:keepLines/>
        <w:spacing w:before="220" w:line="240" w:lineRule="auto"/>
        <w:ind w:left="284" w:hanging="284"/>
        <w:rPr>
          <w:szCs w:val="26"/>
        </w:rPr>
      </w:pPr>
      <w:r w:rsidRPr="005D698B">
        <w:rPr>
          <w:szCs w:val="26"/>
        </w:rPr>
        <w:t>2)</w:t>
      </w:r>
      <w:r w:rsidRPr="005D698B">
        <w:rPr>
          <w:szCs w:val="26"/>
        </w:rPr>
        <w:tab/>
        <w:t>In undertaking the research study, the Commission is to consult relevant stakeholders in Australia and New Zealand, including the Cross-Jurisdictional Review Forum and to substantiate recommendations, wherever possible, with evidence relating to the scale of the problem and the estimated cost of both the problem and any solution(s) proposed. The Commission should also have regard to the approaches being taken by the Council for the Australian Federation towards ‘minimising labour impediments to improving labour mobility’, following the decision by the ma</w:t>
      </w:r>
      <w:r>
        <w:rPr>
          <w:szCs w:val="26"/>
        </w:rPr>
        <w:t xml:space="preserve">jority of States at </w:t>
      </w:r>
      <w:proofErr w:type="spellStart"/>
      <w:r>
        <w:rPr>
          <w:szCs w:val="26"/>
        </w:rPr>
        <w:t>COAG</w:t>
      </w:r>
      <w:proofErr w:type="spellEnd"/>
      <w:r>
        <w:rPr>
          <w:szCs w:val="26"/>
        </w:rPr>
        <w:t xml:space="preserve"> on 13 </w:t>
      </w:r>
      <w:r w:rsidRPr="005D698B">
        <w:rPr>
          <w:szCs w:val="26"/>
        </w:rPr>
        <w:t>December 2013 to not pursue the National Occupational Licensing Scheme reform.</w:t>
      </w:r>
    </w:p>
    <w:p w14:paraId="511549AA" w14:textId="77777777" w:rsidR="00D70B0C" w:rsidRPr="005D698B" w:rsidRDefault="00D70B0C" w:rsidP="00D70B0C">
      <w:pPr>
        <w:pStyle w:val="BodyText"/>
        <w:spacing w:before="220" w:line="240" w:lineRule="auto"/>
        <w:ind w:left="284" w:hanging="284"/>
        <w:rPr>
          <w:szCs w:val="26"/>
        </w:rPr>
      </w:pPr>
      <w:r w:rsidRPr="005D698B">
        <w:rPr>
          <w:szCs w:val="26"/>
        </w:rPr>
        <w:t>3)</w:t>
      </w:r>
      <w:r w:rsidRPr="005D698B">
        <w:rPr>
          <w:szCs w:val="26"/>
        </w:rPr>
        <w:tab/>
        <w:t>The Commission’s report shall be presented to Australian Heads of Government and the New Zealand Prime Minister nine months from the date of commissioning and the Commission’s report is to be published.</w:t>
      </w:r>
    </w:p>
    <w:p w14:paraId="38B7F213" w14:textId="2CA13222" w:rsidR="00D70B0C" w:rsidRDefault="00D70B0C" w:rsidP="00D70B0C">
      <w:pPr>
        <w:pStyle w:val="BodyText"/>
        <w:spacing w:before="220" w:line="240" w:lineRule="auto"/>
        <w:ind w:left="284" w:hanging="284"/>
        <w:rPr>
          <w:szCs w:val="26"/>
        </w:rPr>
      </w:pPr>
      <w:r w:rsidRPr="005D698B">
        <w:rPr>
          <w:szCs w:val="26"/>
        </w:rPr>
        <w:t>4)</w:t>
      </w:r>
      <w:r w:rsidRPr="005D698B">
        <w:rPr>
          <w:szCs w:val="26"/>
        </w:rPr>
        <w:tab/>
        <w:t>Within three months of receiving the Commission’s findings, the Cross</w:t>
      </w:r>
      <w:r w:rsidR="00905583">
        <w:rPr>
          <w:szCs w:val="26"/>
        </w:rPr>
        <w:t>-</w:t>
      </w:r>
      <w:r w:rsidRPr="005D698B">
        <w:rPr>
          <w:szCs w:val="26"/>
        </w:rPr>
        <w:t>Jurisdictional Review Forum is to present to Australian Heads of Government and the New Zealand Prime Minister a Review Report responding to those findings.</w:t>
      </w:r>
    </w:p>
    <w:p w14:paraId="25C234D5" w14:textId="77777777" w:rsidR="00D70B0C" w:rsidRPr="006A1A42" w:rsidRDefault="00D70B0C" w:rsidP="00FB6B59">
      <w:pPr>
        <w:pStyle w:val="BodyText"/>
        <w:spacing w:before="600"/>
        <w:jc w:val="left"/>
      </w:pPr>
      <w:r w:rsidRPr="006A1A42">
        <w:t>J. B. HOCKEY</w:t>
      </w:r>
      <w:r w:rsidRPr="006A1A42">
        <w:br/>
        <w:t>Treasurer</w:t>
      </w:r>
    </w:p>
    <w:p w14:paraId="26718388" w14:textId="77777777" w:rsidR="00D70B0C" w:rsidRDefault="00D70B0C" w:rsidP="00D70B0C">
      <w:pPr>
        <w:pStyle w:val="BodyText"/>
        <w:jc w:val="left"/>
      </w:pPr>
      <w:r>
        <w:rPr>
          <w:szCs w:val="26"/>
        </w:rPr>
        <w:t>[Received 11 December 2014]</w:t>
      </w:r>
    </w:p>
    <w:p w14:paraId="12F5D32D" w14:textId="77777777" w:rsidR="00340F0A" w:rsidRDefault="00340F0A" w:rsidP="00E5090E">
      <w:pPr>
        <w:pStyle w:val="BodyText"/>
      </w:pPr>
    </w:p>
    <w:p w14:paraId="7BB329E7" w14:textId="77777777" w:rsidR="00340F0A" w:rsidRDefault="00340F0A" w:rsidP="00E5090E">
      <w:pPr>
        <w:pStyle w:val="BodyText"/>
        <w:sectPr w:rsidR="00340F0A" w:rsidSect="00E5090E">
          <w:headerReference w:type="even" r:id="rId25"/>
          <w:headerReference w:type="default" r:id="rId26"/>
          <w:footerReference w:type="even" r:id="rId27"/>
          <w:footerReference w:type="default" r:id="rId28"/>
          <w:pgSz w:w="11907" w:h="16840" w:code="9"/>
          <w:pgMar w:top="1985" w:right="1304" w:bottom="1247" w:left="1814" w:header="1701" w:footer="397" w:gutter="0"/>
          <w:pgNumType w:fmt="lowerRoman"/>
          <w:cols w:space="720"/>
        </w:sectPr>
      </w:pPr>
    </w:p>
    <w:p w14:paraId="13958B3C" w14:textId="6CCB7846" w:rsidR="00614DEA" w:rsidRDefault="00735FEA" w:rsidP="008206EE">
      <w:pPr>
        <w:pStyle w:val="Heading1NotTOC"/>
        <w:rPr>
          <w:noProof/>
        </w:rPr>
      </w:pPr>
      <w:bookmarkStart w:id="5" w:name="Contents"/>
      <w:bookmarkEnd w:id="5"/>
      <w:r w:rsidRPr="00B153C3">
        <w:lastRenderedPageBreak/>
        <w:t>Contents</w:t>
      </w:r>
    </w:p>
    <w:p w14:paraId="6B0B3B5C" w14:textId="3474B37A" w:rsidR="00614DEA" w:rsidRDefault="00073307">
      <w:pPr>
        <w:pStyle w:val="TOC1"/>
        <w:rPr>
          <w:rFonts w:asciiTheme="minorHAnsi" w:eastAsiaTheme="minorEastAsia" w:hAnsiTheme="minorHAnsi" w:cstheme="minorBidi"/>
          <w:b w:val="0"/>
          <w:noProof/>
          <w:sz w:val="22"/>
          <w:szCs w:val="22"/>
          <w:lang w:eastAsia="en-AU"/>
        </w:rPr>
      </w:pPr>
      <w:r>
        <w:rPr>
          <w:noProof/>
        </w:rPr>
        <w:t>Foreword</w:t>
      </w:r>
      <w:r w:rsidR="00614DEA">
        <w:rPr>
          <w:noProof/>
        </w:rPr>
        <w:tab/>
      </w:r>
      <w:r w:rsidR="005A0E8C">
        <w:rPr>
          <w:noProof/>
        </w:rPr>
        <w:t>iii</w:t>
      </w:r>
    </w:p>
    <w:p w14:paraId="28F12BF7" w14:textId="20BC7E80" w:rsidR="00614DEA" w:rsidRDefault="00614DEA">
      <w:pPr>
        <w:pStyle w:val="TOC1"/>
        <w:rPr>
          <w:noProof/>
        </w:rPr>
      </w:pPr>
      <w:r>
        <w:rPr>
          <w:noProof/>
        </w:rPr>
        <w:t>Terms of reference</w:t>
      </w:r>
      <w:r>
        <w:rPr>
          <w:noProof/>
        </w:rPr>
        <w:tab/>
      </w:r>
      <w:r w:rsidR="005A0E8C">
        <w:rPr>
          <w:noProof/>
        </w:rPr>
        <w:t>iv</w:t>
      </w:r>
    </w:p>
    <w:p w14:paraId="6EA99E05" w14:textId="0EB05A14" w:rsidR="006256BE" w:rsidRDefault="006256BE" w:rsidP="006256BE">
      <w:pPr>
        <w:pStyle w:val="TOC1"/>
        <w:rPr>
          <w:rFonts w:asciiTheme="minorHAnsi" w:eastAsiaTheme="minorEastAsia" w:hAnsiTheme="minorHAnsi" w:cstheme="minorBidi"/>
          <w:b w:val="0"/>
          <w:noProof/>
          <w:sz w:val="22"/>
          <w:szCs w:val="22"/>
          <w:lang w:eastAsia="en-AU"/>
        </w:rPr>
      </w:pPr>
      <w:r>
        <w:rPr>
          <w:rFonts w:eastAsiaTheme="minorEastAsia"/>
        </w:rPr>
        <w:t>Abbreviations</w:t>
      </w:r>
      <w:r>
        <w:rPr>
          <w:noProof/>
        </w:rPr>
        <w:tab/>
      </w:r>
      <w:r w:rsidR="00511367">
        <w:rPr>
          <w:noProof/>
        </w:rPr>
        <w:t>x</w:t>
      </w:r>
    </w:p>
    <w:p w14:paraId="74B40CBF" w14:textId="30C56D10" w:rsidR="006256BE" w:rsidRDefault="006256BE" w:rsidP="006256BE">
      <w:pPr>
        <w:pStyle w:val="TOC1"/>
        <w:rPr>
          <w:rFonts w:asciiTheme="minorHAnsi" w:eastAsiaTheme="minorEastAsia" w:hAnsiTheme="minorHAnsi" w:cstheme="minorBidi"/>
          <w:b w:val="0"/>
          <w:noProof/>
          <w:sz w:val="22"/>
          <w:szCs w:val="22"/>
          <w:lang w:eastAsia="en-AU"/>
        </w:rPr>
      </w:pPr>
      <w:r>
        <w:rPr>
          <w:noProof/>
        </w:rPr>
        <w:t>Glossary</w:t>
      </w:r>
      <w:r>
        <w:rPr>
          <w:noProof/>
        </w:rPr>
        <w:tab/>
      </w:r>
      <w:r w:rsidR="00A23087">
        <w:rPr>
          <w:noProof/>
        </w:rPr>
        <w:t>x</w:t>
      </w:r>
      <w:r w:rsidR="00511367">
        <w:rPr>
          <w:noProof/>
        </w:rPr>
        <w:t>ii</w:t>
      </w:r>
    </w:p>
    <w:p w14:paraId="2CE917C2" w14:textId="37087956" w:rsidR="0056381E" w:rsidRDefault="0056381E" w:rsidP="0056381E">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6D458CAE" w14:textId="48185DFC" w:rsidR="0056381E" w:rsidRDefault="0056381E" w:rsidP="0056381E">
      <w:pPr>
        <w:pStyle w:val="TOC1"/>
        <w:rPr>
          <w:rFonts w:asciiTheme="minorHAnsi" w:eastAsiaTheme="minorEastAsia" w:hAnsiTheme="minorHAnsi" w:cstheme="minorBidi"/>
          <w:b w:val="0"/>
          <w:noProof/>
          <w:sz w:val="22"/>
          <w:szCs w:val="22"/>
          <w:lang w:eastAsia="en-AU"/>
        </w:rPr>
      </w:pPr>
      <w:r>
        <w:rPr>
          <w:noProof/>
        </w:rPr>
        <w:t>Findings and recommendations</w:t>
      </w:r>
      <w:r>
        <w:rPr>
          <w:noProof/>
        </w:rPr>
        <w:tab/>
        <w:t>23</w:t>
      </w:r>
    </w:p>
    <w:p w14:paraId="2032EDFE" w14:textId="38F29141" w:rsidR="0056381E" w:rsidRDefault="0056381E" w:rsidP="0056381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review</w:t>
      </w:r>
      <w:r>
        <w:rPr>
          <w:noProof/>
        </w:rPr>
        <w:tab/>
        <w:t>29</w:t>
      </w:r>
    </w:p>
    <w:p w14:paraId="5CE0E9A3" w14:textId="5FE82389"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the Commission has been asked to do</w:t>
      </w:r>
      <w:r>
        <w:rPr>
          <w:noProof/>
        </w:rPr>
        <w:tab/>
        <w:t>30</w:t>
      </w:r>
    </w:p>
    <w:p w14:paraId="3B6FED2E" w14:textId="3E07DC11"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Previous reviews of the MRA and TTMRA</w:t>
      </w:r>
      <w:r>
        <w:rPr>
          <w:noProof/>
        </w:rPr>
        <w:tab/>
        <w:t>31</w:t>
      </w:r>
    </w:p>
    <w:p w14:paraId="4FEAC4D1" w14:textId="56D06F18"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Mutual recognition in the wider context</w:t>
      </w:r>
      <w:r>
        <w:rPr>
          <w:noProof/>
        </w:rPr>
        <w:tab/>
        <w:t>34</w:t>
      </w:r>
    </w:p>
    <w:p w14:paraId="7C8D6E39" w14:textId="2EF912D6"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Conduct of the review</w:t>
      </w:r>
      <w:r>
        <w:rPr>
          <w:noProof/>
        </w:rPr>
        <w:tab/>
        <w:t>37</w:t>
      </w:r>
    </w:p>
    <w:p w14:paraId="58CA7AEA" w14:textId="02CCDED5"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Structure of the report</w:t>
      </w:r>
      <w:r>
        <w:rPr>
          <w:noProof/>
        </w:rPr>
        <w:tab/>
        <w:t>37</w:t>
      </w:r>
    </w:p>
    <w:p w14:paraId="6ADA46BC" w14:textId="0150037F" w:rsidR="0056381E" w:rsidRDefault="0056381E" w:rsidP="0056381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Rationale for the schemes and approaches to their assessment</w:t>
      </w:r>
      <w:r>
        <w:rPr>
          <w:noProof/>
        </w:rPr>
        <w:tab/>
        <w:t>39</w:t>
      </w:r>
    </w:p>
    <w:p w14:paraId="52D8916F" w14:textId="5CB1F31F"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Regulatory cooperation as a tool to promote economic integration</w:t>
      </w:r>
      <w:r>
        <w:rPr>
          <w:noProof/>
        </w:rPr>
        <w:tab/>
        <w:t>40</w:t>
      </w:r>
    </w:p>
    <w:p w14:paraId="595021F8" w14:textId="3DAFBA73"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Rationale for mutual recognition in Australia and New Zealand</w:t>
      </w:r>
      <w:r>
        <w:rPr>
          <w:noProof/>
        </w:rPr>
        <w:tab/>
        <w:t>44</w:t>
      </w:r>
    </w:p>
    <w:p w14:paraId="72340E58" w14:textId="239806BD"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Benefits and costs of the schemes</w:t>
      </w:r>
      <w:r>
        <w:rPr>
          <w:noProof/>
        </w:rPr>
        <w:tab/>
        <w:t>47</w:t>
      </w:r>
    </w:p>
    <w:p w14:paraId="52172B59" w14:textId="4C919E7C"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The Commission’s framework for assessing the schemes</w:t>
      </w:r>
      <w:r>
        <w:rPr>
          <w:noProof/>
        </w:rPr>
        <w:tab/>
        <w:t>51</w:t>
      </w:r>
    </w:p>
    <w:p w14:paraId="5DE6C607" w14:textId="5CC0BE03"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Evidence used to support recommendations</w:t>
      </w:r>
      <w:r>
        <w:rPr>
          <w:noProof/>
        </w:rPr>
        <w:tab/>
        <w:t>54</w:t>
      </w:r>
    </w:p>
    <w:p w14:paraId="7947EC6E" w14:textId="6AC429A8" w:rsidR="0056381E" w:rsidRDefault="0056381E" w:rsidP="0056381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Overview of the mutual recognition schemes</w:t>
      </w:r>
      <w:r>
        <w:rPr>
          <w:noProof/>
        </w:rPr>
        <w:tab/>
        <w:t>59</w:t>
      </w:r>
    </w:p>
    <w:p w14:paraId="57463BC2" w14:textId="5BD13958"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Origins of the mutual recognition schemes</w:t>
      </w:r>
      <w:r>
        <w:rPr>
          <w:noProof/>
        </w:rPr>
        <w:tab/>
        <w:t>60</w:t>
      </w:r>
    </w:p>
    <w:p w14:paraId="3C6F6ECC" w14:textId="0DE19E35"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Legislative underpinnings</w:t>
      </w:r>
      <w:r>
        <w:rPr>
          <w:noProof/>
        </w:rPr>
        <w:tab/>
        <w:t>62</w:t>
      </w:r>
    </w:p>
    <w:p w14:paraId="19FA627A" w14:textId="0DBC6238"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Mutual recognition principles and processes</w:t>
      </w:r>
      <w:r>
        <w:rPr>
          <w:noProof/>
        </w:rPr>
        <w:tab/>
        <w:t>63</w:t>
      </w:r>
    </w:p>
    <w:p w14:paraId="35A0980B" w14:textId="47323162"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Scope and coverage of the schemes</w:t>
      </w:r>
      <w:r>
        <w:rPr>
          <w:noProof/>
        </w:rPr>
        <w:tab/>
        <w:t>66</w:t>
      </w:r>
    </w:p>
    <w:p w14:paraId="6CF5C0E6" w14:textId="5DE55490"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Review mechanisms</w:t>
      </w:r>
      <w:r>
        <w:rPr>
          <w:noProof/>
        </w:rPr>
        <w:tab/>
        <w:t>70</w:t>
      </w:r>
    </w:p>
    <w:p w14:paraId="2AF62EC4" w14:textId="738EC88C"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lastRenderedPageBreak/>
        <w:t>3.6</w:t>
      </w:r>
      <w:r>
        <w:rPr>
          <w:rFonts w:asciiTheme="minorHAnsi" w:eastAsiaTheme="minorEastAsia" w:hAnsiTheme="minorHAnsi" w:cstheme="minorBidi"/>
          <w:noProof/>
          <w:sz w:val="22"/>
          <w:szCs w:val="22"/>
          <w:lang w:eastAsia="en-AU"/>
        </w:rPr>
        <w:tab/>
      </w:r>
      <w:r>
        <w:rPr>
          <w:noProof/>
        </w:rPr>
        <w:t>Governance arrangements</w:t>
      </w:r>
      <w:r>
        <w:rPr>
          <w:noProof/>
        </w:rPr>
        <w:tab/>
        <w:t>72</w:t>
      </w:r>
    </w:p>
    <w:p w14:paraId="416CEEBE" w14:textId="109B5EA7" w:rsidR="0056381E" w:rsidRDefault="0056381E" w:rsidP="0056381E">
      <w:pPr>
        <w:pStyle w:val="TOC1"/>
        <w:rPr>
          <w:rFonts w:asciiTheme="minorHAnsi" w:eastAsiaTheme="minorEastAsia" w:hAnsiTheme="minorHAnsi" w:cstheme="minorBidi"/>
          <w:b w:val="0"/>
          <w:noProof/>
          <w:sz w:val="22"/>
          <w:szCs w:val="22"/>
          <w:lang w:eastAsia="en-AU"/>
        </w:rPr>
      </w:pPr>
      <w:r>
        <w:rPr>
          <w:noProof/>
          <w:color w:val="000000" w:themeColor="text1"/>
        </w:rPr>
        <w:t>4</w:t>
      </w:r>
      <w:r>
        <w:rPr>
          <w:rFonts w:asciiTheme="minorHAnsi" w:eastAsiaTheme="minorEastAsia" w:hAnsiTheme="minorHAnsi" w:cstheme="minorBidi"/>
          <w:b w:val="0"/>
          <w:noProof/>
          <w:sz w:val="22"/>
          <w:szCs w:val="22"/>
          <w:lang w:eastAsia="en-AU"/>
        </w:rPr>
        <w:tab/>
      </w:r>
      <w:r>
        <w:rPr>
          <w:noProof/>
          <w:color w:val="000000" w:themeColor="text1"/>
        </w:rPr>
        <w:t>Mutual recognition of goods</w:t>
      </w:r>
      <w:r>
        <w:rPr>
          <w:noProof/>
        </w:rPr>
        <w:tab/>
        <w:t>75</w:t>
      </w:r>
    </w:p>
    <w:p w14:paraId="0B0FCB30" w14:textId="6D3F4FBD"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Operation of mutual recognition</w:t>
      </w:r>
      <w:r>
        <w:rPr>
          <w:noProof/>
        </w:rPr>
        <w:tab/>
        <w:t>76</w:t>
      </w:r>
    </w:p>
    <w:p w14:paraId="77F2B3F2" w14:textId="6D50E94A"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The number of permanent exemptions has increased</w:t>
      </w:r>
      <w:r>
        <w:rPr>
          <w:noProof/>
        </w:rPr>
        <w:tab/>
        <w:t>80</w:t>
      </w:r>
    </w:p>
    <w:p w14:paraId="34EE3E01" w14:textId="18D80075"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Some permanent exemptions should be removed</w:t>
      </w:r>
      <w:r>
        <w:rPr>
          <w:noProof/>
        </w:rPr>
        <w:tab/>
        <w:t>82</w:t>
      </w:r>
    </w:p>
    <w:p w14:paraId="32CD8634" w14:textId="0E5193FB"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Some permanent exemptions should be retained</w:t>
      </w:r>
      <w:r>
        <w:rPr>
          <w:noProof/>
        </w:rPr>
        <w:tab/>
        <w:t>100</w:t>
      </w:r>
    </w:p>
    <w:p w14:paraId="11A24A91" w14:textId="2B961839"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Converting from special to permanent exemptions</w:t>
      </w:r>
      <w:r>
        <w:rPr>
          <w:noProof/>
        </w:rPr>
        <w:tab/>
        <w:t>106</w:t>
      </w:r>
    </w:p>
    <w:p w14:paraId="1A134FB4" w14:textId="0125D5E3"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Other limits on the coverage of mutual recognition</w:t>
      </w:r>
      <w:r>
        <w:rPr>
          <w:noProof/>
        </w:rPr>
        <w:tab/>
        <w:t>108</w:t>
      </w:r>
    </w:p>
    <w:p w14:paraId="71E57A9D" w14:textId="32501A1C"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r>
      <w:r>
        <w:rPr>
          <w:noProof/>
        </w:rPr>
        <w:t>Use</w:t>
      </w:r>
      <w:r>
        <w:rPr>
          <w:noProof/>
        </w:rPr>
        <w:noBreakHyphen/>
        <w:t>of</w:t>
      </w:r>
      <w:r>
        <w:rPr>
          <w:noProof/>
        </w:rPr>
        <w:noBreakHyphen/>
        <w:t>goods requirements</w:t>
      </w:r>
      <w:r>
        <w:rPr>
          <w:noProof/>
        </w:rPr>
        <w:tab/>
        <w:t>113</w:t>
      </w:r>
    </w:p>
    <w:p w14:paraId="0B9DCB28" w14:textId="2B86323A" w:rsidR="0056381E" w:rsidRDefault="0056381E" w:rsidP="0056381E">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Mutual recognition of occupational registration</w:t>
      </w:r>
      <w:r>
        <w:rPr>
          <w:noProof/>
        </w:rPr>
        <w:tab/>
        <w:t>115</w:t>
      </w:r>
    </w:p>
    <w:p w14:paraId="3F876338" w14:textId="5D7B4C4B"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Rationale for occupational registration</w:t>
      </w:r>
      <w:r>
        <w:rPr>
          <w:noProof/>
        </w:rPr>
        <w:tab/>
        <w:t>116</w:t>
      </w:r>
    </w:p>
    <w:p w14:paraId="47F64332" w14:textId="60154649"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Forms of occupational registration covered by the schemes</w:t>
      </w:r>
      <w:r>
        <w:rPr>
          <w:noProof/>
        </w:rPr>
        <w:tab/>
        <w:t>122</w:t>
      </w:r>
    </w:p>
    <w:p w14:paraId="4D7CA590" w14:textId="501EDBC6"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Use of mutual recognition</w:t>
      </w:r>
      <w:r>
        <w:rPr>
          <w:noProof/>
        </w:rPr>
        <w:tab/>
        <w:t>130</w:t>
      </w:r>
    </w:p>
    <w:p w14:paraId="41E85B55" w14:textId="4E7D7E1F"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Concerns about shopping and hopping</w:t>
      </w:r>
      <w:r>
        <w:rPr>
          <w:noProof/>
        </w:rPr>
        <w:tab/>
        <w:t>134</w:t>
      </w:r>
    </w:p>
    <w:p w14:paraId="0A049370" w14:textId="08D0C32A"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Improving the operation of mutual recognition</w:t>
      </w:r>
      <w:r>
        <w:rPr>
          <w:noProof/>
        </w:rPr>
        <w:tab/>
        <w:t>145</w:t>
      </w:r>
    </w:p>
    <w:p w14:paraId="6C98F512" w14:textId="54B7F667" w:rsidR="0056381E" w:rsidRDefault="0056381E" w:rsidP="0056381E">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Facilitating cross-border service provision</w:t>
      </w:r>
      <w:r>
        <w:rPr>
          <w:noProof/>
        </w:rPr>
        <w:tab/>
        <w:t>167</w:t>
      </w:r>
    </w:p>
    <w:p w14:paraId="42FE9505" w14:textId="446BF8B3"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The case for automatic mutual recognition</w:t>
      </w:r>
      <w:r>
        <w:rPr>
          <w:noProof/>
        </w:rPr>
        <w:tab/>
        <w:t>168</w:t>
      </w:r>
    </w:p>
    <w:p w14:paraId="3BA7C6CB" w14:textId="45903A72"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Automatic mutual recognition in Australia</w:t>
      </w:r>
      <w:r>
        <w:rPr>
          <w:noProof/>
        </w:rPr>
        <w:tab/>
        <w:t>173</w:t>
      </w:r>
    </w:p>
    <w:p w14:paraId="2E823BC1" w14:textId="117D3C43"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Challenges to expanding automatic mutual recognition within Australia</w:t>
      </w:r>
      <w:r>
        <w:rPr>
          <w:noProof/>
        </w:rPr>
        <w:tab/>
        <w:t>179</w:t>
      </w:r>
    </w:p>
    <w:p w14:paraId="553B2511" w14:textId="389614B6"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Extending automatic mutual recognition to trans</w:t>
      </w:r>
      <w:r>
        <w:rPr>
          <w:noProof/>
        </w:rPr>
        <w:noBreakHyphen/>
        <w:t>Tasman service provision</w:t>
      </w:r>
      <w:r>
        <w:rPr>
          <w:noProof/>
        </w:rPr>
        <w:tab/>
        <w:t>191</w:t>
      </w:r>
    </w:p>
    <w:p w14:paraId="5909E1BA" w14:textId="72C403A9"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Manner-of-carrying-on requirements</w:t>
      </w:r>
      <w:r>
        <w:rPr>
          <w:noProof/>
        </w:rPr>
        <w:tab/>
        <w:t>200</w:t>
      </w:r>
    </w:p>
    <w:p w14:paraId="6B2593A1" w14:textId="07349DDE"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Mutual recognition and business registration</w:t>
      </w:r>
      <w:r>
        <w:rPr>
          <w:noProof/>
        </w:rPr>
        <w:tab/>
        <w:t>203</w:t>
      </w:r>
    </w:p>
    <w:p w14:paraId="1B9D7962" w14:textId="74C3BC20" w:rsidR="0056381E" w:rsidRDefault="0056381E" w:rsidP="0056381E">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Governance arrangements</w:t>
      </w:r>
      <w:r>
        <w:rPr>
          <w:noProof/>
        </w:rPr>
        <w:tab/>
        <w:t>207</w:t>
      </w:r>
    </w:p>
    <w:p w14:paraId="03465BAE" w14:textId="5A53845B"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Evidence of limited oversight and coordination</w:t>
      </w:r>
      <w:r>
        <w:rPr>
          <w:noProof/>
        </w:rPr>
        <w:tab/>
        <w:t>208</w:t>
      </w:r>
    </w:p>
    <w:p w14:paraId="3D37C2BB" w14:textId="7C4267B5"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Resulting erosion of benefits from the schemes</w:t>
      </w:r>
      <w:r>
        <w:rPr>
          <w:noProof/>
        </w:rPr>
        <w:tab/>
        <w:t>219</w:t>
      </w:r>
    </w:p>
    <w:p w14:paraId="1F365355" w14:textId="6AACF449"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Strengthening collective oversight and coordination by governments</w:t>
      </w:r>
      <w:r>
        <w:rPr>
          <w:noProof/>
        </w:rPr>
        <w:tab/>
        <w:t>222</w:t>
      </w:r>
    </w:p>
    <w:p w14:paraId="0227B4BB" w14:textId="39FF2703"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Improving regulator implementation of mutual recognition</w:t>
      </w:r>
      <w:r>
        <w:rPr>
          <w:noProof/>
        </w:rPr>
        <w:tab/>
        <w:t>228</w:t>
      </w:r>
    </w:p>
    <w:p w14:paraId="484D1D09" w14:textId="579DED4A"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Mutual recognition in new policy proposals</w:t>
      </w:r>
      <w:r>
        <w:rPr>
          <w:noProof/>
        </w:rPr>
        <w:tab/>
        <w:t>234</w:t>
      </w:r>
    </w:p>
    <w:p w14:paraId="515FB777" w14:textId="0CFD8EA4"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lastRenderedPageBreak/>
        <w:t>7.6</w:t>
      </w:r>
      <w:r>
        <w:rPr>
          <w:rFonts w:asciiTheme="minorHAnsi" w:eastAsiaTheme="minorEastAsia" w:hAnsiTheme="minorHAnsi" w:cstheme="minorBidi"/>
          <w:noProof/>
          <w:sz w:val="22"/>
          <w:szCs w:val="22"/>
          <w:lang w:eastAsia="en-AU"/>
        </w:rPr>
        <w:tab/>
      </w:r>
      <w:r>
        <w:rPr>
          <w:noProof/>
        </w:rPr>
        <w:t>The role of individual jurisdictions in legislating reforms</w:t>
      </w:r>
      <w:r>
        <w:rPr>
          <w:noProof/>
        </w:rPr>
        <w:tab/>
        <w:t>236</w:t>
      </w:r>
    </w:p>
    <w:p w14:paraId="600E2EDD" w14:textId="2A87E0DA"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7.7</w:t>
      </w:r>
      <w:r>
        <w:rPr>
          <w:rFonts w:asciiTheme="minorHAnsi" w:eastAsiaTheme="minorEastAsia" w:hAnsiTheme="minorHAnsi" w:cstheme="minorBidi"/>
          <w:noProof/>
          <w:sz w:val="22"/>
          <w:szCs w:val="22"/>
          <w:lang w:eastAsia="en-AU"/>
        </w:rPr>
        <w:tab/>
      </w:r>
      <w:r>
        <w:rPr>
          <w:noProof/>
        </w:rPr>
        <w:t>The frequency of independent reviews</w:t>
      </w:r>
      <w:r>
        <w:rPr>
          <w:noProof/>
        </w:rPr>
        <w:tab/>
        <w:t>237</w:t>
      </w:r>
    </w:p>
    <w:p w14:paraId="1B28BDF0" w14:textId="236732B4" w:rsidR="0056381E" w:rsidRDefault="0056381E" w:rsidP="0056381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239</w:t>
      </w:r>
    </w:p>
    <w:p w14:paraId="050B5803" w14:textId="4E45EBAD" w:rsidR="0056381E" w:rsidRDefault="0056381E" w:rsidP="0056381E">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Overseas models of mutual recognition</w:t>
      </w:r>
      <w:r>
        <w:rPr>
          <w:noProof/>
        </w:rPr>
        <w:tab/>
        <w:t>249</w:t>
      </w:r>
    </w:p>
    <w:p w14:paraId="1F3C2AEE" w14:textId="68E8694A"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European Union</w:t>
      </w:r>
      <w:r>
        <w:rPr>
          <w:noProof/>
        </w:rPr>
        <w:tab/>
        <w:t>249</w:t>
      </w:r>
    </w:p>
    <w:p w14:paraId="6247BD02" w14:textId="764A33C2" w:rsidR="0056381E" w:rsidRDefault="0056381E" w:rsidP="0056381E">
      <w:pPr>
        <w:pStyle w:val="TOC2"/>
        <w:tabs>
          <w:tab w:val="left" w:pos="1134"/>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Canada</w:t>
      </w:r>
      <w:r>
        <w:rPr>
          <w:noProof/>
        </w:rPr>
        <w:tab/>
        <w:t>262</w:t>
      </w:r>
    </w:p>
    <w:p w14:paraId="752AD9AE" w14:textId="1B758CD8" w:rsidR="0056381E" w:rsidRDefault="0056381E" w:rsidP="0056381E">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Survey of occupation</w:t>
      </w:r>
      <w:r>
        <w:rPr>
          <w:noProof/>
        </w:rPr>
        <w:noBreakHyphen/>
        <w:t>registration authorities</w:t>
      </w:r>
      <w:r>
        <w:rPr>
          <w:noProof/>
        </w:rPr>
        <w:tab/>
        <w:t>267</w:t>
      </w:r>
    </w:p>
    <w:p w14:paraId="07EDCDE4" w14:textId="49DF3BDC" w:rsidR="0056381E" w:rsidRDefault="0056381E" w:rsidP="0056381E">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Introduction</w:t>
      </w:r>
      <w:r>
        <w:rPr>
          <w:noProof/>
        </w:rPr>
        <w:tab/>
        <w:t>267</w:t>
      </w:r>
    </w:p>
    <w:p w14:paraId="49006A09" w14:textId="062944F2" w:rsidR="0056381E" w:rsidRDefault="0056381E" w:rsidP="0056381E">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Survey responses</w:t>
      </w:r>
      <w:r>
        <w:rPr>
          <w:noProof/>
        </w:rPr>
        <w:tab/>
        <w:t>268</w:t>
      </w:r>
    </w:p>
    <w:p w14:paraId="2FF0BCAD" w14:textId="249EF49E" w:rsidR="0056381E" w:rsidRDefault="0056381E" w:rsidP="0056381E">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r>
      <w:r>
        <w:rPr>
          <w:noProof/>
        </w:rPr>
        <w:t>Survey results</w:t>
      </w:r>
      <w:r>
        <w:rPr>
          <w:noProof/>
        </w:rPr>
        <w:tab/>
        <w:t>272</w:t>
      </w:r>
    </w:p>
    <w:p w14:paraId="418317C8" w14:textId="64374794" w:rsidR="0056381E" w:rsidRDefault="0056381E" w:rsidP="0056381E">
      <w:pPr>
        <w:pStyle w:val="TOC1"/>
        <w:rPr>
          <w:rFonts w:asciiTheme="minorHAnsi" w:eastAsiaTheme="minorEastAsia" w:hAnsiTheme="minorHAnsi" w:cstheme="minorBidi"/>
          <w:b w:val="0"/>
          <w:noProof/>
          <w:sz w:val="22"/>
          <w:szCs w:val="22"/>
          <w:lang w:eastAsia="en-AU"/>
        </w:rPr>
      </w:pPr>
      <w:r>
        <w:rPr>
          <w:noProof/>
        </w:rPr>
        <w:t>References</w:t>
      </w:r>
      <w:r>
        <w:rPr>
          <w:noProof/>
        </w:rPr>
        <w:tab/>
        <w:t>285</w:t>
      </w:r>
    </w:p>
    <w:p w14:paraId="75F1FDF3" w14:textId="77777777" w:rsidR="004D3F58" w:rsidRDefault="004D3F58">
      <w:pPr>
        <w:pStyle w:val="BodyText"/>
        <w:sectPr w:rsidR="004D3F58" w:rsidSect="007448F7">
          <w:headerReference w:type="even" r:id="rId29"/>
          <w:headerReference w:type="default" r:id="rId30"/>
          <w:footerReference w:type="even" r:id="rId31"/>
          <w:footerReference w:type="default" r:id="rId32"/>
          <w:type w:val="oddPage"/>
          <w:pgSz w:w="11907" w:h="16840" w:code="9"/>
          <w:pgMar w:top="1985" w:right="1304" w:bottom="1247" w:left="1814" w:header="1701" w:footer="397" w:gutter="0"/>
          <w:pgNumType w:fmt="lowerRoman"/>
          <w:cols w:space="720"/>
        </w:sectPr>
      </w:pPr>
    </w:p>
    <w:p w14:paraId="5FA84817" w14:textId="4EAA63C7" w:rsidR="00735FEA" w:rsidRDefault="00D6345B" w:rsidP="00F7477E">
      <w:pPr>
        <w:pStyle w:val="Heading1"/>
      </w:pPr>
      <w:bookmarkStart w:id="6" w:name="Abbreviations"/>
      <w:bookmarkStart w:id="7" w:name="EndContents"/>
      <w:bookmarkStart w:id="8" w:name="RDnote"/>
      <w:bookmarkStart w:id="9" w:name="_Toc422210837"/>
      <w:bookmarkStart w:id="10" w:name="_Toc422211297"/>
      <w:bookmarkEnd w:id="6"/>
      <w:bookmarkEnd w:id="7"/>
      <w:bookmarkEnd w:id="8"/>
      <w:r>
        <w:lastRenderedPageBreak/>
        <w:t>Abbreviations</w:t>
      </w:r>
      <w:bookmarkEnd w:id="9"/>
      <w:bookmarkEnd w:id="10"/>
    </w:p>
    <w:p w14:paraId="186B46BF" w14:textId="77777777" w:rsidR="00412D1B" w:rsidRDefault="00412D1B" w:rsidP="0080041D">
      <w:pPr>
        <w:pStyle w:val="Abbreviation"/>
      </w:pPr>
      <w:proofErr w:type="spellStart"/>
      <w:r>
        <w:t>AACA</w:t>
      </w:r>
      <w:proofErr w:type="spellEnd"/>
      <w:r>
        <w:tab/>
        <w:t>Architects Accreditation Council of Australia</w:t>
      </w:r>
    </w:p>
    <w:p w14:paraId="022258E2" w14:textId="6685CB20" w:rsidR="00EB2E93" w:rsidRDefault="00EB2E93" w:rsidP="0080041D">
      <w:pPr>
        <w:pStyle w:val="Abbreviation"/>
      </w:pPr>
      <w:r>
        <w:t>AAT</w:t>
      </w:r>
      <w:r>
        <w:tab/>
        <w:t>Administrative Appeals Tribunal</w:t>
      </w:r>
    </w:p>
    <w:p w14:paraId="16BA839E" w14:textId="5E4FAFC5" w:rsidR="00E17B7B" w:rsidRDefault="00E17B7B" w:rsidP="0080041D">
      <w:pPr>
        <w:pStyle w:val="Abbreviation"/>
      </w:pPr>
      <w:proofErr w:type="spellStart"/>
      <w:r>
        <w:t>ADRs</w:t>
      </w:r>
      <w:proofErr w:type="spellEnd"/>
      <w:r>
        <w:tab/>
        <w:t>Australian Design Rules</w:t>
      </w:r>
    </w:p>
    <w:p w14:paraId="2959EAA3" w14:textId="3EBD26F5" w:rsidR="009B270C" w:rsidRDefault="009B270C" w:rsidP="0080041D">
      <w:pPr>
        <w:pStyle w:val="Abbreviation"/>
      </w:pPr>
      <w:proofErr w:type="spellStart"/>
      <w:r>
        <w:t>AHPRA</w:t>
      </w:r>
      <w:proofErr w:type="spellEnd"/>
      <w:r>
        <w:tab/>
        <w:t>Australian Health Practitioner Regulation Agency</w:t>
      </w:r>
    </w:p>
    <w:p w14:paraId="69A6D058" w14:textId="35606B90" w:rsidR="00CB6721" w:rsidRDefault="00CB6721" w:rsidP="0080041D">
      <w:pPr>
        <w:pStyle w:val="Abbreviation"/>
      </w:pPr>
      <w:proofErr w:type="spellStart"/>
      <w:r>
        <w:t>AHMAC</w:t>
      </w:r>
      <w:proofErr w:type="spellEnd"/>
      <w:r>
        <w:tab/>
        <w:t>Australian Health Ministers’ Advisory Council</w:t>
      </w:r>
    </w:p>
    <w:p w14:paraId="7B4A86EE" w14:textId="5772F877" w:rsidR="00EB2E93" w:rsidRDefault="00EB2E93" w:rsidP="0080041D">
      <w:pPr>
        <w:pStyle w:val="Abbreviation"/>
      </w:pPr>
      <w:r>
        <w:t>AMR</w:t>
      </w:r>
      <w:r>
        <w:tab/>
        <w:t xml:space="preserve">Automatic </w:t>
      </w:r>
      <w:r w:rsidR="009472EF">
        <w:t>m</w:t>
      </w:r>
      <w:r>
        <w:t xml:space="preserve">utual </w:t>
      </w:r>
      <w:r w:rsidR="009472EF">
        <w:t>r</w:t>
      </w:r>
      <w:r>
        <w:t>ecognition</w:t>
      </w:r>
    </w:p>
    <w:p w14:paraId="42F0F3B3" w14:textId="7C5590CD" w:rsidR="002410A5" w:rsidRDefault="002410A5" w:rsidP="0080041D">
      <w:pPr>
        <w:pStyle w:val="Abbreviation"/>
      </w:pPr>
      <w:r>
        <w:t>APEC</w:t>
      </w:r>
      <w:r>
        <w:tab/>
        <w:t>Asia-Pacific Economic Cooperation</w:t>
      </w:r>
    </w:p>
    <w:p w14:paraId="2C49EE52" w14:textId="111629A9" w:rsidR="001F418A" w:rsidRDefault="001F418A" w:rsidP="0080041D">
      <w:pPr>
        <w:pStyle w:val="Abbreviation"/>
      </w:pPr>
      <w:proofErr w:type="spellStart"/>
      <w:r>
        <w:t>ASQA</w:t>
      </w:r>
      <w:proofErr w:type="spellEnd"/>
      <w:r>
        <w:tab/>
        <w:t>Australian Skills Quali</w:t>
      </w:r>
      <w:r w:rsidR="007363D7">
        <w:t>ty</w:t>
      </w:r>
      <w:r>
        <w:t xml:space="preserve"> Authority</w:t>
      </w:r>
    </w:p>
    <w:p w14:paraId="44C5E0E2" w14:textId="2B488E64" w:rsidR="00EB2E93" w:rsidRDefault="00EB2E93" w:rsidP="0080041D">
      <w:pPr>
        <w:pStyle w:val="Abbreviation"/>
      </w:pPr>
      <w:proofErr w:type="spellStart"/>
      <w:r>
        <w:t>CAF</w:t>
      </w:r>
      <w:proofErr w:type="spellEnd"/>
      <w:r>
        <w:tab/>
        <w:t>Council for the Australian Federation</w:t>
      </w:r>
    </w:p>
    <w:p w14:paraId="6479D9E8" w14:textId="74B91EB9" w:rsidR="001B1BF7" w:rsidRDefault="001B1BF7" w:rsidP="0080041D">
      <w:pPr>
        <w:pStyle w:val="Abbreviation"/>
      </w:pPr>
      <w:proofErr w:type="spellStart"/>
      <w:r>
        <w:t>CER</w:t>
      </w:r>
      <w:proofErr w:type="spellEnd"/>
      <w:r>
        <w:tab/>
        <w:t>Closer Economic Relations</w:t>
      </w:r>
    </w:p>
    <w:p w14:paraId="1EFFB5E2" w14:textId="31A98C72" w:rsidR="0080041D" w:rsidRDefault="0080041D" w:rsidP="0080041D">
      <w:pPr>
        <w:pStyle w:val="Abbreviation"/>
      </w:pPr>
      <w:proofErr w:type="spellStart"/>
      <w:r>
        <w:t>CJRF</w:t>
      </w:r>
      <w:proofErr w:type="spellEnd"/>
      <w:r>
        <w:tab/>
        <w:t>Cross-Jurisdictional Review Forum</w:t>
      </w:r>
    </w:p>
    <w:p w14:paraId="48744B6B" w14:textId="168E0A5F" w:rsidR="00EB2E93" w:rsidRDefault="00EB2E93" w:rsidP="0080041D">
      <w:pPr>
        <w:pStyle w:val="Abbreviation"/>
      </w:pPr>
      <w:proofErr w:type="spellStart"/>
      <w:r>
        <w:t>COAG</w:t>
      </w:r>
      <w:proofErr w:type="spellEnd"/>
      <w:r>
        <w:tab/>
        <w:t>Council of Australian Governments</w:t>
      </w:r>
    </w:p>
    <w:p w14:paraId="7CB6EE03" w14:textId="3B3C75DF" w:rsidR="001F418A" w:rsidRDefault="001F418A" w:rsidP="0080041D">
      <w:pPr>
        <w:pStyle w:val="Abbreviation"/>
      </w:pPr>
      <w:proofErr w:type="spellStart"/>
      <w:r>
        <w:t>CPD</w:t>
      </w:r>
      <w:proofErr w:type="spellEnd"/>
      <w:r>
        <w:tab/>
      </w:r>
      <w:r w:rsidR="00CD786F">
        <w:t>C</w:t>
      </w:r>
      <w:r>
        <w:t>ontinuing professional development</w:t>
      </w:r>
    </w:p>
    <w:p w14:paraId="6230A997" w14:textId="10D5EA32" w:rsidR="00EB2E93" w:rsidRDefault="00EB2E93" w:rsidP="0080041D">
      <w:pPr>
        <w:pStyle w:val="Abbreviation"/>
      </w:pPr>
      <w:proofErr w:type="spellStart"/>
      <w:r>
        <w:t>CRSBANZ</w:t>
      </w:r>
      <w:proofErr w:type="spellEnd"/>
      <w:r>
        <w:tab/>
        <w:t>Council of Reciprocating Surveyors’ Boards of Australia and New Zealand</w:t>
      </w:r>
    </w:p>
    <w:p w14:paraId="253DC347" w14:textId="16802439" w:rsidR="00BB0DE8" w:rsidRDefault="00BB0DE8" w:rsidP="0080041D">
      <w:pPr>
        <w:pStyle w:val="Abbreviation"/>
      </w:pPr>
      <w:r>
        <w:t>GDP</w:t>
      </w:r>
      <w:r>
        <w:tab/>
        <w:t xml:space="preserve">Gross </w:t>
      </w:r>
      <w:r w:rsidR="009472EF">
        <w:t>d</w:t>
      </w:r>
      <w:r>
        <w:t xml:space="preserve">omestic </w:t>
      </w:r>
      <w:r w:rsidR="009472EF">
        <w:t>p</w:t>
      </w:r>
      <w:r>
        <w:t>roduct</w:t>
      </w:r>
    </w:p>
    <w:p w14:paraId="7C7F055D" w14:textId="33DEC74C" w:rsidR="00843F08" w:rsidRDefault="00843F08" w:rsidP="0080041D">
      <w:pPr>
        <w:pStyle w:val="Abbreviation"/>
      </w:pPr>
      <w:r>
        <w:t>GHS</w:t>
      </w:r>
      <w:r>
        <w:tab/>
        <w:t>Globally Harmonised System of Classification and Labelling of Chemicals</w:t>
      </w:r>
    </w:p>
    <w:p w14:paraId="61BB3281" w14:textId="4DA57C6F" w:rsidR="00200BC8" w:rsidRDefault="00200BC8" w:rsidP="0080041D">
      <w:pPr>
        <w:pStyle w:val="Abbreviation"/>
      </w:pPr>
      <w:proofErr w:type="spellStart"/>
      <w:r>
        <w:t>ICNA</w:t>
      </w:r>
      <w:proofErr w:type="spellEnd"/>
      <w:r>
        <w:tab/>
        <w:t>Industrial Chemicals (Notification and Assessment)</w:t>
      </w:r>
    </w:p>
    <w:p w14:paraId="3045628C" w14:textId="658D5720" w:rsidR="00E36C54" w:rsidRDefault="00E36C54" w:rsidP="0080041D">
      <w:pPr>
        <w:pStyle w:val="Abbreviation"/>
      </w:pPr>
      <w:proofErr w:type="spellStart"/>
      <w:r>
        <w:t>ILO</w:t>
      </w:r>
      <w:proofErr w:type="spellEnd"/>
      <w:r>
        <w:tab/>
      </w:r>
      <w:r w:rsidR="00490CD4">
        <w:t>International Labour Organisation</w:t>
      </w:r>
    </w:p>
    <w:p w14:paraId="6AF42608" w14:textId="259E1B6D" w:rsidR="00843F08" w:rsidRDefault="00843F08">
      <w:pPr>
        <w:pStyle w:val="Abbreviation"/>
      </w:pPr>
      <w:r>
        <w:t>IP</w:t>
      </w:r>
      <w:r>
        <w:tab/>
        <w:t>Intellectual property</w:t>
      </w:r>
    </w:p>
    <w:p w14:paraId="2BE45668" w14:textId="09E65A79" w:rsidR="001C1732" w:rsidRDefault="001C1732">
      <w:pPr>
        <w:pStyle w:val="Abbreviation"/>
      </w:pPr>
      <w:proofErr w:type="spellStart"/>
      <w:r>
        <w:t>IPART</w:t>
      </w:r>
      <w:proofErr w:type="spellEnd"/>
      <w:r>
        <w:tab/>
      </w:r>
      <w:r w:rsidR="00975189">
        <w:t xml:space="preserve">NSW </w:t>
      </w:r>
      <w:r>
        <w:t>Independent Pricing and Regulatory Tribunal</w:t>
      </w:r>
    </w:p>
    <w:p w14:paraId="6EAC440A" w14:textId="64348FFB" w:rsidR="009A7992" w:rsidRDefault="009A7992">
      <w:pPr>
        <w:pStyle w:val="Abbreviation"/>
      </w:pPr>
      <w:r>
        <w:t>ISO</w:t>
      </w:r>
      <w:r>
        <w:tab/>
        <w:t>International Organisation for Standardisation</w:t>
      </w:r>
    </w:p>
    <w:p w14:paraId="3D8EF2E6" w14:textId="43394966" w:rsidR="00843F08" w:rsidRDefault="00843F08">
      <w:pPr>
        <w:pStyle w:val="Abbreviation"/>
      </w:pPr>
      <w:r>
        <w:t>LPG</w:t>
      </w:r>
      <w:r>
        <w:tab/>
        <w:t>Liquefied petroleum gas</w:t>
      </w:r>
    </w:p>
    <w:p w14:paraId="420D9FCA" w14:textId="13DAFF72" w:rsidR="001E44D1" w:rsidRDefault="001E44D1">
      <w:pPr>
        <w:pStyle w:val="Abbreviation"/>
      </w:pPr>
      <w:proofErr w:type="spellStart"/>
      <w:r>
        <w:t>LTRs</w:t>
      </w:r>
      <w:proofErr w:type="spellEnd"/>
      <w:r>
        <w:tab/>
        <w:t>Land Transport Rules</w:t>
      </w:r>
    </w:p>
    <w:p w14:paraId="26817D27" w14:textId="71D39FC1" w:rsidR="0080041D" w:rsidRDefault="0080041D">
      <w:pPr>
        <w:pStyle w:val="Abbreviation"/>
      </w:pPr>
      <w:r>
        <w:t>MRA</w:t>
      </w:r>
      <w:r>
        <w:tab/>
        <w:t>Mutual Recognition Agreement</w:t>
      </w:r>
    </w:p>
    <w:p w14:paraId="0490823C" w14:textId="7FFDD7EB" w:rsidR="00843F08" w:rsidRDefault="00843F08">
      <w:pPr>
        <w:pStyle w:val="Abbreviation"/>
      </w:pPr>
      <w:proofErr w:type="spellStart"/>
      <w:r>
        <w:t>NICNAS</w:t>
      </w:r>
      <w:proofErr w:type="spellEnd"/>
      <w:r>
        <w:tab/>
      </w:r>
      <w:r w:rsidR="00975189">
        <w:t xml:space="preserve">Australian </w:t>
      </w:r>
      <w:r>
        <w:t>National Industrial Chemicals Notification and Assessment Scheme</w:t>
      </w:r>
    </w:p>
    <w:p w14:paraId="6B27C2ED" w14:textId="49509F48" w:rsidR="00B00825" w:rsidRDefault="00B00825">
      <w:pPr>
        <w:pStyle w:val="Abbreviation"/>
      </w:pPr>
      <w:proofErr w:type="spellStart"/>
      <w:r>
        <w:lastRenderedPageBreak/>
        <w:t>NOLS</w:t>
      </w:r>
      <w:proofErr w:type="spellEnd"/>
      <w:r>
        <w:tab/>
        <w:t>National Occupational Licensing Scheme</w:t>
      </w:r>
    </w:p>
    <w:p w14:paraId="18B49055" w14:textId="0F29483E" w:rsidR="005644B8" w:rsidRDefault="005644B8">
      <w:pPr>
        <w:pStyle w:val="Abbreviation"/>
      </w:pPr>
      <w:proofErr w:type="spellStart"/>
      <w:r>
        <w:t>NRAS</w:t>
      </w:r>
      <w:proofErr w:type="spellEnd"/>
      <w:r>
        <w:tab/>
      </w:r>
      <w:r w:rsidRPr="0085652A">
        <w:rPr>
          <w:rStyle w:val="BodyTextChar"/>
        </w:rPr>
        <w:t>National Registration and Accreditation Scheme</w:t>
      </w:r>
    </w:p>
    <w:p w14:paraId="76B03B45" w14:textId="365B17EB" w:rsidR="001A41FB" w:rsidRDefault="001A41FB">
      <w:pPr>
        <w:pStyle w:val="Abbreviation"/>
      </w:pPr>
      <w:proofErr w:type="spellStart"/>
      <w:r>
        <w:t>NZEPA</w:t>
      </w:r>
      <w:proofErr w:type="spellEnd"/>
      <w:r>
        <w:tab/>
        <w:t>New Zealand Environmental Protection Authority</w:t>
      </w:r>
    </w:p>
    <w:p w14:paraId="6E62DFCF" w14:textId="77777777" w:rsidR="00412D1B" w:rsidRDefault="00412D1B">
      <w:pPr>
        <w:pStyle w:val="Abbreviation"/>
      </w:pPr>
      <w:proofErr w:type="spellStart"/>
      <w:r>
        <w:t>NZLS</w:t>
      </w:r>
      <w:proofErr w:type="spellEnd"/>
      <w:r>
        <w:tab/>
        <w:t>New Zealand Law Society</w:t>
      </w:r>
    </w:p>
    <w:p w14:paraId="71A4E991" w14:textId="6230F5E4" w:rsidR="00EB2E93" w:rsidRDefault="006C53FD">
      <w:pPr>
        <w:pStyle w:val="Abbreviation"/>
      </w:pPr>
      <w:r>
        <w:t>OECD</w:t>
      </w:r>
      <w:r>
        <w:tab/>
        <w:t>Organisation for Economic Co-operation and Development</w:t>
      </w:r>
    </w:p>
    <w:p w14:paraId="3B03634F" w14:textId="2547E5E3" w:rsidR="00735FEA" w:rsidRDefault="00735FEA">
      <w:pPr>
        <w:pStyle w:val="Abbreviation"/>
      </w:pPr>
      <w:r>
        <w:t>PC</w:t>
      </w:r>
      <w:r>
        <w:tab/>
        <w:t>Productivity Commission</w:t>
      </w:r>
    </w:p>
    <w:p w14:paraId="7252EFAC" w14:textId="77777777" w:rsidR="00412D1B" w:rsidRDefault="00412D1B">
      <w:pPr>
        <w:pStyle w:val="Abbreviation"/>
      </w:pPr>
      <w:proofErr w:type="spellStart"/>
      <w:r>
        <w:t>QCA</w:t>
      </w:r>
      <w:proofErr w:type="spellEnd"/>
      <w:r>
        <w:tab/>
        <w:t>Queensland Competition Authority</w:t>
      </w:r>
    </w:p>
    <w:p w14:paraId="23CA5C69" w14:textId="72C19BC8" w:rsidR="001F418A" w:rsidRDefault="001F418A">
      <w:pPr>
        <w:pStyle w:val="Abbreviation"/>
      </w:pPr>
      <w:proofErr w:type="spellStart"/>
      <w:r>
        <w:t>RTO</w:t>
      </w:r>
      <w:proofErr w:type="spellEnd"/>
      <w:r>
        <w:tab/>
      </w:r>
      <w:r w:rsidR="00FD210F">
        <w:t>R</w:t>
      </w:r>
      <w:r>
        <w:t>egistered training organisation</w:t>
      </w:r>
    </w:p>
    <w:p w14:paraId="4B39E022" w14:textId="5077C8B6" w:rsidR="001B1BF7" w:rsidRDefault="001B1BF7">
      <w:pPr>
        <w:pStyle w:val="Abbreviation"/>
      </w:pPr>
      <w:proofErr w:type="spellStart"/>
      <w:r>
        <w:t>SOM</w:t>
      </w:r>
      <w:proofErr w:type="spellEnd"/>
      <w:r>
        <w:tab/>
      </w:r>
      <w:proofErr w:type="spellStart"/>
      <w:r w:rsidR="00F74089">
        <w:t>COAG</w:t>
      </w:r>
      <w:proofErr w:type="spellEnd"/>
      <w:r w:rsidR="00F74089">
        <w:t xml:space="preserve"> </w:t>
      </w:r>
      <w:r>
        <w:t>Senior Officials Meeting</w:t>
      </w:r>
    </w:p>
    <w:p w14:paraId="64DC8E98" w14:textId="4572EEE7" w:rsidR="00C15B45" w:rsidRDefault="00C15B45" w:rsidP="00A84444">
      <w:pPr>
        <w:pStyle w:val="Abbreviation"/>
      </w:pPr>
      <w:proofErr w:type="spellStart"/>
      <w:r>
        <w:t>SUSMP</w:t>
      </w:r>
      <w:proofErr w:type="spellEnd"/>
      <w:r>
        <w:tab/>
        <w:t>Standard for Uniform Scheduling of Medicines and Poisons</w:t>
      </w:r>
    </w:p>
    <w:p w14:paraId="4FA03D1B" w14:textId="77777777" w:rsidR="00A84444" w:rsidRDefault="00A84444" w:rsidP="00A84444">
      <w:pPr>
        <w:pStyle w:val="Abbreviation"/>
      </w:pPr>
      <w:proofErr w:type="spellStart"/>
      <w:r>
        <w:t>TTCPRE</w:t>
      </w:r>
      <w:proofErr w:type="spellEnd"/>
      <w:r>
        <w:tab/>
        <w:t>Trans-Tasman Court Proceedings and Regulatory Enforcement</w:t>
      </w:r>
    </w:p>
    <w:p w14:paraId="51551517" w14:textId="77777777" w:rsidR="00A84444" w:rsidRDefault="00A84444" w:rsidP="00A84444">
      <w:pPr>
        <w:pStyle w:val="Abbreviation"/>
      </w:pPr>
      <w:proofErr w:type="spellStart"/>
      <w:r>
        <w:t>TTMRA</w:t>
      </w:r>
      <w:proofErr w:type="spellEnd"/>
      <w:r>
        <w:tab/>
        <w:t>Trans-Tasman Mutual Recognition Arrangement</w:t>
      </w:r>
    </w:p>
    <w:p w14:paraId="54DF2A9E" w14:textId="4816FCDB" w:rsidR="00A84444" w:rsidRPr="0085652A" w:rsidRDefault="00A84444" w:rsidP="00A84444">
      <w:pPr>
        <w:pStyle w:val="Abbreviation"/>
      </w:pPr>
      <w:proofErr w:type="spellStart"/>
      <w:r w:rsidRPr="0085652A">
        <w:t>TTOT</w:t>
      </w:r>
      <w:proofErr w:type="spellEnd"/>
      <w:r w:rsidRPr="0085652A">
        <w:tab/>
        <w:t>Trans-Tasman Occupations Tribunal</w:t>
      </w:r>
    </w:p>
    <w:p w14:paraId="04D1BC9F" w14:textId="593A54E3" w:rsidR="00A84444" w:rsidRDefault="00A84444" w:rsidP="00F74089">
      <w:pPr>
        <w:pStyle w:val="Abbreviation"/>
      </w:pPr>
      <w:r>
        <w:t>UN</w:t>
      </w:r>
      <w:r>
        <w:tab/>
        <w:t>United Nations</w:t>
      </w:r>
    </w:p>
    <w:p w14:paraId="181AE7FE" w14:textId="7DE972FB" w:rsidR="004C064E" w:rsidRDefault="004C064E" w:rsidP="00F74089">
      <w:pPr>
        <w:pStyle w:val="Abbreviation"/>
      </w:pPr>
      <w:proofErr w:type="spellStart"/>
      <w:r>
        <w:t>UNECE</w:t>
      </w:r>
      <w:proofErr w:type="spellEnd"/>
      <w:r>
        <w:tab/>
        <w:t>United Nations Economic Commission for Europe</w:t>
      </w:r>
    </w:p>
    <w:p w14:paraId="4B949131" w14:textId="46008339" w:rsidR="00AE709F" w:rsidRDefault="00FD210F" w:rsidP="00F74089">
      <w:pPr>
        <w:pStyle w:val="Abbreviation"/>
      </w:pPr>
      <w:r>
        <w:t>VET</w:t>
      </w:r>
      <w:r>
        <w:tab/>
        <w:t>V</w:t>
      </w:r>
      <w:r w:rsidR="001F418A">
        <w:t>ocational education and training</w:t>
      </w:r>
      <w:bookmarkStart w:id="11" w:name="Glossary"/>
      <w:bookmarkEnd w:id="11"/>
    </w:p>
    <w:p w14:paraId="6ACDF809" w14:textId="5481627E" w:rsidR="008F44DC" w:rsidRDefault="008F44DC" w:rsidP="00F74089">
      <w:pPr>
        <w:pStyle w:val="Abbreviation"/>
      </w:pPr>
      <w:proofErr w:type="spellStart"/>
      <w:r>
        <w:t>VPBNSW</w:t>
      </w:r>
      <w:proofErr w:type="spellEnd"/>
      <w:r>
        <w:tab/>
      </w:r>
      <w:r w:rsidR="0099051D">
        <w:t>Veterinary Practitioners Board of New South Wales</w:t>
      </w:r>
    </w:p>
    <w:p w14:paraId="30263D0A" w14:textId="2C3FD772" w:rsidR="00AE709F" w:rsidRPr="0005564F" w:rsidRDefault="00AE709F" w:rsidP="00F74089">
      <w:pPr>
        <w:pStyle w:val="Abbreviation"/>
      </w:pPr>
      <w:r>
        <w:t>WTO</w:t>
      </w:r>
      <w:r>
        <w:tab/>
      </w:r>
      <w:r w:rsidR="00903AA0">
        <w:t>World Trade Organisation</w:t>
      </w:r>
    </w:p>
    <w:p w14:paraId="5A51FA98" w14:textId="77777777" w:rsidR="007F6E49" w:rsidRDefault="007F6E49" w:rsidP="007F6E49">
      <w:pPr>
        <w:pStyle w:val="BodyText"/>
        <w:sectPr w:rsidR="007F6E49" w:rsidSect="007F6E49">
          <w:headerReference w:type="even" r:id="rId33"/>
          <w:headerReference w:type="default" r:id="rId34"/>
          <w:footerReference w:type="even" r:id="rId35"/>
          <w:footerReference w:type="default" r:id="rId36"/>
          <w:pgSz w:w="11907" w:h="16840" w:code="9"/>
          <w:pgMar w:top="1985" w:right="1304" w:bottom="1247" w:left="1814" w:header="1701" w:footer="397" w:gutter="0"/>
          <w:pgNumType w:fmt="lowerRoman"/>
          <w:cols w:space="720"/>
        </w:sectPr>
      </w:pPr>
      <w:bookmarkStart w:id="12" w:name="_Toc422210838"/>
      <w:bookmarkStart w:id="13" w:name="_Toc422211298"/>
    </w:p>
    <w:p w14:paraId="2B768B22" w14:textId="77777777" w:rsidR="00340F0A" w:rsidRDefault="00340F0A">
      <w:pPr>
        <w:pStyle w:val="Heading1"/>
      </w:pPr>
      <w:r>
        <w:lastRenderedPageBreak/>
        <w:t>Glossary</w:t>
      </w:r>
      <w:bookmarkEnd w:id="12"/>
      <w:bookmarkEnd w:id="13"/>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7"/>
        <w:gridCol w:w="6742"/>
      </w:tblGrid>
      <w:tr w:rsidR="00E5090E" w14:paraId="192D709B" w14:textId="77777777" w:rsidTr="0022681C">
        <w:tc>
          <w:tcPr>
            <w:tcW w:w="2047" w:type="dxa"/>
          </w:tcPr>
          <w:p w14:paraId="2CE3AF53" w14:textId="77777777" w:rsidR="00E5090E" w:rsidRDefault="00E5090E" w:rsidP="00B00825">
            <w:pPr>
              <w:pStyle w:val="BodyText"/>
              <w:jc w:val="left"/>
            </w:pPr>
            <w:r>
              <w:t>Automatic mutual recognition (AMR)</w:t>
            </w:r>
          </w:p>
        </w:tc>
        <w:tc>
          <w:tcPr>
            <w:tcW w:w="6742" w:type="dxa"/>
          </w:tcPr>
          <w:p w14:paraId="35C9C8E9" w14:textId="43D34B28" w:rsidR="00E5090E" w:rsidRDefault="00E5090E" w:rsidP="00273CB7">
            <w:pPr>
              <w:pStyle w:val="BodyText"/>
            </w:pPr>
            <w:r>
              <w:t xml:space="preserve">A model of </w:t>
            </w:r>
            <w:bookmarkStart w:id="14" w:name="_GoBack"/>
            <w:bookmarkEnd w:id="14"/>
            <w:r>
              <w:t xml:space="preserve">occupational registration which allows individuals to provide services beyond their home jurisdiction without having to register again under the </w:t>
            </w:r>
            <w:r w:rsidR="00273CB7">
              <w:t>mutual recognition schemes</w:t>
            </w:r>
            <w:r>
              <w:t>.</w:t>
            </w:r>
          </w:p>
        </w:tc>
      </w:tr>
      <w:tr w:rsidR="005E6D2F" w14:paraId="489A0BDA" w14:textId="77777777" w:rsidTr="0022681C">
        <w:tc>
          <w:tcPr>
            <w:tcW w:w="2047" w:type="dxa"/>
          </w:tcPr>
          <w:p w14:paraId="23AF3988" w14:textId="44AD4034" w:rsidR="005E6D2F" w:rsidRDefault="005E6D2F" w:rsidP="00B00825">
            <w:pPr>
              <w:pStyle w:val="BodyText"/>
              <w:jc w:val="left"/>
            </w:pPr>
            <w:proofErr w:type="spellStart"/>
            <w:r>
              <w:t>COAG</w:t>
            </w:r>
            <w:proofErr w:type="spellEnd"/>
            <w:r>
              <w:t xml:space="preserve"> Ministerial Councils</w:t>
            </w:r>
          </w:p>
        </w:tc>
        <w:tc>
          <w:tcPr>
            <w:tcW w:w="6742" w:type="dxa"/>
          </w:tcPr>
          <w:p w14:paraId="143ECF0E" w14:textId="30E5564E" w:rsidR="005E6D2F" w:rsidRPr="00375157" w:rsidRDefault="005E6D2F" w:rsidP="00FD271F">
            <w:pPr>
              <w:pStyle w:val="BodyText"/>
            </w:pPr>
            <w:r>
              <w:t>They include Ministers from the Commonwealth, states and territories and</w:t>
            </w:r>
            <w:r w:rsidR="003C5E12">
              <w:t>,</w:t>
            </w:r>
            <w:r>
              <w:t xml:space="preserve"> in some cases</w:t>
            </w:r>
            <w:r w:rsidR="003C5E12">
              <w:t>,</w:t>
            </w:r>
            <w:r>
              <w:t xml:space="preserve"> New Zealand. Such councils can be called upon to make decisions on how a specific good or occupation is to be treated under the mutual recognition schemes. </w:t>
            </w:r>
          </w:p>
        </w:tc>
      </w:tr>
      <w:tr w:rsidR="00E5090E" w14:paraId="406A752D" w14:textId="77777777" w:rsidTr="0022681C">
        <w:tc>
          <w:tcPr>
            <w:tcW w:w="2047" w:type="dxa"/>
          </w:tcPr>
          <w:p w14:paraId="7F45BB9A" w14:textId="77777777" w:rsidR="00E5090E" w:rsidRDefault="00E5090E" w:rsidP="00B00825">
            <w:pPr>
              <w:pStyle w:val="BodyText"/>
              <w:jc w:val="left"/>
            </w:pPr>
            <w:proofErr w:type="spellStart"/>
            <w:r>
              <w:t>Coregulation</w:t>
            </w:r>
            <w:proofErr w:type="spellEnd"/>
          </w:p>
        </w:tc>
        <w:tc>
          <w:tcPr>
            <w:tcW w:w="6742" w:type="dxa"/>
          </w:tcPr>
          <w:p w14:paraId="313B0639" w14:textId="55B7017C" w:rsidR="00E5090E" w:rsidRDefault="00375157" w:rsidP="00FD271F">
            <w:pPr>
              <w:pStyle w:val="BodyText"/>
            </w:pPr>
            <w:proofErr w:type="spellStart"/>
            <w:r w:rsidRPr="00375157">
              <w:t>Coregulation</w:t>
            </w:r>
            <w:proofErr w:type="spellEnd"/>
            <w:r>
              <w:t xml:space="preserve"> involves government endorsement, usually by legislation, of a licensing scheme administered by a private</w:t>
            </w:r>
            <w:r>
              <w:noBreakHyphen/>
              <w:t>sector professional body</w:t>
            </w:r>
            <w:r w:rsidR="00E5090E">
              <w:t>.</w:t>
            </w:r>
          </w:p>
        </w:tc>
      </w:tr>
      <w:tr w:rsidR="00E5090E" w14:paraId="2748A8DA" w14:textId="77777777" w:rsidTr="0022681C">
        <w:tc>
          <w:tcPr>
            <w:tcW w:w="2047" w:type="dxa"/>
          </w:tcPr>
          <w:p w14:paraId="4F1E093A" w14:textId="77777777" w:rsidR="00E5090E" w:rsidRDefault="00E5090E" w:rsidP="00B00825">
            <w:pPr>
              <w:pStyle w:val="BodyText"/>
              <w:jc w:val="left"/>
            </w:pPr>
            <w:r>
              <w:t>De facto registration</w:t>
            </w:r>
          </w:p>
        </w:tc>
        <w:tc>
          <w:tcPr>
            <w:tcW w:w="6742" w:type="dxa"/>
          </w:tcPr>
          <w:p w14:paraId="4E54D3A8" w14:textId="351B643D" w:rsidR="00E5090E" w:rsidRDefault="007A6D6E">
            <w:pPr>
              <w:pStyle w:val="BodyText"/>
            </w:pPr>
            <w:r>
              <w:t xml:space="preserve">An arrangement where </w:t>
            </w:r>
            <w:r w:rsidR="00E5090E">
              <w:t>legislation authorises people who meet certain requirements (such as training requirements) to practise an occupation, without further reference to a registration body.</w:t>
            </w:r>
          </w:p>
        </w:tc>
      </w:tr>
      <w:tr w:rsidR="00E5090E" w14:paraId="4842DB5F" w14:textId="77777777" w:rsidTr="0022681C">
        <w:tc>
          <w:tcPr>
            <w:tcW w:w="2047" w:type="dxa"/>
          </w:tcPr>
          <w:p w14:paraId="29827E5A" w14:textId="77777777" w:rsidR="00E5090E" w:rsidRDefault="00E5090E" w:rsidP="00B00825">
            <w:pPr>
              <w:pStyle w:val="BodyText"/>
              <w:jc w:val="left"/>
            </w:pPr>
            <w:r>
              <w:t>Deemed registration</w:t>
            </w:r>
          </w:p>
        </w:tc>
        <w:tc>
          <w:tcPr>
            <w:tcW w:w="6742" w:type="dxa"/>
          </w:tcPr>
          <w:p w14:paraId="0E35FD4B" w14:textId="32F4B091" w:rsidR="00E5090E" w:rsidRDefault="00A632C9" w:rsidP="00F76BBB">
            <w:pPr>
              <w:pStyle w:val="BodyText"/>
            </w:pPr>
            <w:r>
              <w:t>Deemed registration allows a registered person</w:t>
            </w:r>
            <w:r w:rsidR="00F76BBB">
              <w:t xml:space="preserve"> who applied for mutual recognition in another jurisdiction</w:t>
            </w:r>
            <w:r>
              <w:t xml:space="preserve"> to carr</w:t>
            </w:r>
            <w:r w:rsidR="00F76BBB">
              <w:t xml:space="preserve">y on their occupation in that </w:t>
            </w:r>
            <w:r>
              <w:t>jurisdiction,</w:t>
            </w:r>
            <w:r w:rsidR="00F76BBB">
              <w:t xml:space="preserve"> pending the outcome of their application.</w:t>
            </w:r>
            <w:r w:rsidR="00E5090E">
              <w:t xml:space="preserve"> </w:t>
            </w:r>
          </w:p>
        </w:tc>
      </w:tr>
      <w:tr w:rsidR="00E5090E" w14:paraId="619DE8AC" w14:textId="77777777" w:rsidTr="0022681C">
        <w:tc>
          <w:tcPr>
            <w:tcW w:w="2047" w:type="dxa"/>
          </w:tcPr>
          <w:p w14:paraId="47E69D09" w14:textId="77777777" w:rsidR="00E5090E" w:rsidRDefault="00E5090E" w:rsidP="00B00825">
            <w:pPr>
              <w:pStyle w:val="BodyText"/>
              <w:jc w:val="left"/>
            </w:pPr>
            <w:r>
              <w:t>External equivalence</w:t>
            </w:r>
          </w:p>
        </w:tc>
        <w:tc>
          <w:tcPr>
            <w:tcW w:w="6742" w:type="dxa"/>
          </w:tcPr>
          <w:p w14:paraId="75232DB8" w14:textId="692CAAF3" w:rsidR="00E5090E" w:rsidRDefault="00805233" w:rsidP="003C5E12">
            <w:pPr>
              <w:pStyle w:val="BodyText"/>
            </w:pPr>
            <w:r>
              <w:t>An alternative</w:t>
            </w:r>
            <w:r w:rsidR="00975189">
              <w:t xml:space="preserve"> term</w:t>
            </w:r>
            <w:r>
              <w:t xml:space="preserve"> for automatic mutual recognition. Currently</w:t>
            </w:r>
            <w:r w:rsidR="00975189">
              <w:t xml:space="preserve"> used to describe Queensland’s</w:t>
            </w:r>
            <w:r w:rsidR="00E5090E">
              <w:t xml:space="preserve"> automatic mutual recognition</w:t>
            </w:r>
            <w:r w:rsidR="00975189">
              <w:t xml:space="preserve"> arrangement</w:t>
            </w:r>
            <w:r w:rsidR="00E5090E">
              <w:t xml:space="preserve"> for electricians.</w:t>
            </w:r>
          </w:p>
        </w:tc>
      </w:tr>
      <w:tr w:rsidR="00553EB8" w14:paraId="4B2353DA" w14:textId="77777777" w:rsidTr="002268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047" w:type="dxa"/>
            <w:tcBorders>
              <w:top w:val="nil"/>
              <w:left w:val="nil"/>
              <w:bottom w:val="nil"/>
              <w:right w:val="nil"/>
            </w:tcBorders>
          </w:tcPr>
          <w:p w14:paraId="2670D6D6" w14:textId="77777777" w:rsidR="00553EB8" w:rsidRDefault="00553EB8" w:rsidP="00D65F4D">
            <w:pPr>
              <w:pStyle w:val="BodyText"/>
              <w:jc w:val="left"/>
            </w:pPr>
            <w:r>
              <w:t>Harmonisation</w:t>
            </w:r>
          </w:p>
        </w:tc>
        <w:tc>
          <w:tcPr>
            <w:tcW w:w="6742" w:type="dxa"/>
            <w:tcBorders>
              <w:top w:val="nil"/>
              <w:left w:val="nil"/>
              <w:bottom w:val="nil"/>
              <w:right w:val="nil"/>
            </w:tcBorders>
          </w:tcPr>
          <w:p w14:paraId="51EEA456" w14:textId="6FE6B1A5" w:rsidR="00553EB8" w:rsidRDefault="00553EB8" w:rsidP="00541E7F">
            <w:pPr>
              <w:pStyle w:val="BodyText"/>
            </w:pPr>
            <w:r>
              <w:t xml:space="preserve">The </w:t>
            </w:r>
            <w:r w:rsidR="00F76BBB">
              <w:t xml:space="preserve">alignment of </w:t>
            </w:r>
            <w:r>
              <w:t xml:space="preserve">different standards or regulations </w:t>
            </w:r>
            <w:r w:rsidR="001260EE">
              <w:t>across</w:t>
            </w:r>
            <w:r w:rsidR="003B2CFB">
              <w:t xml:space="preserve"> </w:t>
            </w:r>
            <w:r>
              <w:t xml:space="preserve">jurisdictions. This does not mean that standards </w:t>
            </w:r>
            <w:r w:rsidR="00541E7F">
              <w:t>are</w:t>
            </w:r>
            <w:r>
              <w:t xml:space="preserve"> identical in each jurisdiction, but rather that they are consistent or compatible to the extent that they do not result in barriers to trade.</w:t>
            </w:r>
          </w:p>
        </w:tc>
      </w:tr>
      <w:tr w:rsidR="00E5090E" w14:paraId="444799AF" w14:textId="77777777" w:rsidTr="0022681C">
        <w:tc>
          <w:tcPr>
            <w:tcW w:w="2047" w:type="dxa"/>
          </w:tcPr>
          <w:p w14:paraId="597513E2" w14:textId="77777777" w:rsidR="00E5090E" w:rsidRDefault="00E5090E" w:rsidP="00B00825">
            <w:pPr>
              <w:pStyle w:val="BodyText"/>
              <w:jc w:val="left"/>
            </w:pPr>
            <w:r>
              <w:t>Ministerial Declaration</w:t>
            </w:r>
          </w:p>
        </w:tc>
        <w:tc>
          <w:tcPr>
            <w:tcW w:w="6742" w:type="dxa"/>
          </w:tcPr>
          <w:p w14:paraId="7B88A5A5" w14:textId="48F890AA" w:rsidR="00E5090E" w:rsidRDefault="00975189" w:rsidP="006E5A43">
            <w:pPr>
              <w:pStyle w:val="BodyText"/>
            </w:pPr>
            <w:r>
              <w:t>A statutory instrument</w:t>
            </w:r>
            <w:r w:rsidR="00E5090E">
              <w:t xml:space="preserve"> </w:t>
            </w:r>
            <w:r w:rsidR="00D44C9D">
              <w:t>currently used in Australia</w:t>
            </w:r>
            <w:r w:rsidR="006E5A43">
              <w:t xml:space="preserve"> to</w:t>
            </w:r>
            <w:r w:rsidR="00B20E6D">
              <w:t xml:space="preserve"> </w:t>
            </w:r>
            <w:r w:rsidR="00E5090E">
              <w:t xml:space="preserve">prescribe the equivalence of </w:t>
            </w:r>
            <w:r>
              <w:t xml:space="preserve">particular </w:t>
            </w:r>
            <w:r w:rsidR="00E5090E">
              <w:t>occupations</w:t>
            </w:r>
            <w:r>
              <w:t>.</w:t>
            </w:r>
            <w:r w:rsidR="00E5090E">
              <w:t xml:space="preserve"> Ministers from two or more jurisdictions may jointly declare that occupations are equivalent</w:t>
            </w:r>
            <w:r w:rsidR="00B20E6D">
              <w:t>, and may also specify or describe the conditions required to achieve equivalence</w:t>
            </w:r>
            <w:r w:rsidR="00E5090E">
              <w:t>.</w:t>
            </w:r>
          </w:p>
        </w:tc>
      </w:tr>
      <w:tr w:rsidR="00020A74" w14:paraId="2D9DF12B" w14:textId="77777777" w:rsidTr="00C0055C">
        <w:trPr>
          <w:cantSplit/>
        </w:trPr>
        <w:tc>
          <w:tcPr>
            <w:tcW w:w="2047" w:type="dxa"/>
          </w:tcPr>
          <w:p w14:paraId="3BD1B39C" w14:textId="00CA05F5" w:rsidR="00020A74" w:rsidRDefault="00020A74" w:rsidP="00B00825">
            <w:pPr>
              <w:pStyle w:val="BodyText"/>
              <w:jc w:val="left"/>
            </w:pPr>
            <w:r>
              <w:lastRenderedPageBreak/>
              <w:t>Mutual recognition</w:t>
            </w:r>
          </w:p>
        </w:tc>
        <w:tc>
          <w:tcPr>
            <w:tcW w:w="6742" w:type="dxa"/>
          </w:tcPr>
          <w:p w14:paraId="76E440FC" w14:textId="098B722C" w:rsidR="00020A74" w:rsidRDefault="00B6386F" w:rsidP="00975189">
            <w:pPr>
              <w:pStyle w:val="BodyText"/>
            </w:pPr>
            <w:r>
              <w:t xml:space="preserve">Mutual recognition, as defined in Australia’s Mutual Recognition Agreement and the Trans-Tasman Mutual Recognition </w:t>
            </w:r>
            <w:r w:rsidR="00975189">
              <w:t>Arrangement</w:t>
            </w:r>
            <w:r>
              <w:t xml:space="preserve">, allows goods that can legally be sold in one jurisdiction to be sold in other jurisdictions without having to </w:t>
            </w:r>
            <w:r w:rsidR="00BD17EF">
              <w:t>satisfy</w:t>
            </w:r>
            <w:r>
              <w:t xml:space="preserve"> additional requirements.</w:t>
            </w:r>
            <w:r w:rsidR="009F755D">
              <w:t xml:space="preserve"> Similarly, people registered to practise an occupation in one jurisdiction are entitled to </w:t>
            </w:r>
            <w:r w:rsidR="00DE4D73">
              <w:t xml:space="preserve">be registered for </w:t>
            </w:r>
            <w:r w:rsidR="009F755D">
              <w:t>an equivalent occupation in other jurisdictions</w:t>
            </w:r>
            <w:r w:rsidR="00DE4D73">
              <w:t xml:space="preserve"> after notifying the local registration authorit</w:t>
            </w:r>
            <w:r w:rsidR="003A3CD3">
              <w:t>y</w:t>
            </w:r>
            <w:r w:rsidR="00DE4D73">
              <w:t>.</w:t>
            </w:r>
          </w:p>
        </w:tc>
      </w:tr>
      <w:tr w:rsidR="00E5090E" w14:paraId="74527C13" w14:textId="77777777" w:rsidTr="0022681C">
        <w:tc>
          <w:tcPr>
            <w:tcW w:w="2047" w:type="dxa"/>
          </w:tcPr>
          <w:p w14:paraId="09DFBA40" w14:textId="15EA228D" w:rsidR="00E5090E" w:rsidRDefault="00E5090E" w:rsidP="00B00825">
            <w:pPr>
              <w:pStyle w:val="BodyText"/>
              <w:jc w:val="left"/>
            </w:pPr>
            <w:r>
              <w:t xml:space="preserve">Negative </w:t>
            </w:r>
            <w:r w:rsidR="00005282">
              <w:t>occupational</w:t>
            </w:r>
            <w:r>
              <w:t xml:space="preserve"> licensing</w:t>
            </w:r>
          </w:p>
        </w:tc>
        <w:tc>
          <w:tcPr>
            <w:tcW w:w="6742" w:type="dxa"/>
          </w:tcPr>
          <w:p w14:paraId="66F8DD66" w14:textId="303368B7" w:rsidR="00E5090E" w:rsidRDefault="00E5090E">
            <w:pPr>
              <w:pStyle w:val="BodyText"/>
            </w:pPr>
            <w:r>
              <w:t>A statutory scheme that allows a person or business to practise an occupation un</w:t>
            </w:r>
            <w:r w:rsidR="001D2A95">
              <w:t>less they breach certain statutory</w:t>
            </w:r>
            <w:r>
              <w:t xml:space="preserve"> requirements.</w:t>
            </w:r>
          </w:p>
        </w:tc>
      </w:tr>
      <w:tr w:rsidR="00E5090E" w14:paraId="7236EADE" w14:textId="77777777" w:rsidTr="0022681C">
        <w:tc>
          <w:tcPr>
            <w:tcW w:w="2047" w:type="dxa"/>
          </w:tcPr>
          <w:p w14:paraId="1B6EE5EE" w14:textId="77777777" w:rsidR="00E5090E" w:rsidRDefault="00E5090E" w:rsidP="00B00825">
            <w:pPr>
              <w:pStyle w:val="BodyText"/>
              <w:jc w:val="left"/>
            </w:pPr>
            <w:r>
              <w:t xml:space="preserve">Occupational equivalence </w:t>
            </w:r>
          </w:p>
        </w:tc>
        <w:tc>
          <w:tcPr>
            <w:tcW w:w="6742" w:type="dxa"/>
          </w:tcPr>
          <w:p w14:paraId="0877AD10" w14:textId="0F639F92" w:rsidR="00E5090E" w:rsidRDefault="00384799" w:rsidP="004B1787">
            <w:pPr>
              <w:pStyle w:val="BodyText"/>
            </w:pPr>
            <w:r>
              <w:t>Registered o</w:t>
            </w:r>
            <w:r w:rsidR="00E5090E">
              <w:t>ccupations</w:t>
            </w:r>
            <w:r>
              <w:t xml:space="preserve"> in different jurisdictions</w:t>
            </w:r>
            <w:r w:rsidR="00E5090E">
              <w:t xml:space="preserve"> are</w:t>
            </w:r>
            <w:r>
              <w:t xml:space="preserve"> </w:t>
            </w:r>
            <w:r w:rsidR="004B1787">
              <w:t>considered</w:t>
            </w:r>
            <w:r w:rsidR="00E5090E">
              <w:t xml:space="preserve"> equivalent under the mutual recognition schemes if the activities authorised to be carried out </w:t>
            </w:r>
            <w:r w:rsidR="00DF15BE">
              <w:t>in each jurisdiction</w:t>
            </w:r>
            <w:r w:rsidR="00E5090E">
              <w:t xml:space="preserve"> are substantially the same.</w:t>
            </w:r>
          </w:p>
        </w:tc>
      </w:tr>
      <w:tr w:rsidR="00E5090E" w14:paraId="6307A2D7" w14:textId="77777777" w:rsidTr="0022681C">
        <w:tc>
          <w:tcPr>
            <w:tcW w:w="2047" w:type="dxa"/>
          </w:tcPr>
          <w:p w14:paraId="3FDD3F5C" w14:textId="336F1FA5" w:rsidR="00E5090E" w:rsidRDefault="00E5090E" w:rsidP="00B55998">
            <w:pPr>
              <w:pStyle w:val="BodyText"/>
              <w:jc w:val="left"/>
            </w:pPr>
            <w:r>
              <w:t>Registration</w:t>
            </w:r>
            <w:r w:rsidR="00975189">
              <w:t xml:space="preserve"> of an occupation</w:t>
            </w:r>
          </w:p>
        </w:tc>
        <w:tc>
          <w:tcPr>
            <w:tcW w:w="6742" w:type="dxa"/>
          </w:tcPr>
          <w:p w14:paraId="25D477E0" w14:textId="77777777" w:rsidR="00E5090E" w:rsidRDefault="00E5090E">
            <w:pPr>
              <w:pStyle w:val="BodyText"/>
            </w:pPr>
            <w:r>
              <w:t>The licensing, approval, admission, certification (including by way of practising certificates) or any other form of authorisation, of a person required by or under legislation for carrying on an occupation.</w:t>
            </w:r>
          </w:p>
        </w:tc>
      </w:tr>
      <w:tr w:rsidR="00E5090E" w14:paraId="3E19598D" w14:textId="77777777" w:rsidTr="0022681C">
        <w:tc>
          <w:tcPr>
            <w:tcW w:w="2047" w:type="dxa"/>
          </w:tcPr>
          <w:p w14:paraId="36FF0379" w14:textId="77777777" w:rsidR="00E5090E" w:rsidRDefault="00E5090E" w:rsidP="00B00825">
            <w:pPr>
              <w:pStyle w:val="BodyText"/>
              <w:jc w:val="left"/>
            </w:pPr>
            <w:r>
              <w:t>Shopping and hopping</w:t>
            </w:r>
          </w:p>
        </w:tc>
        <w:tc>
          <w:tcPr>
            <w:tcW w:w="6742" w:type="dxa"/>
          </w:tcPr>
          <w:p w14:paraId="70350BFA" w14:textId="0E1091E2" w:rsidR="00E5090E" w:rsidRDefault="00E5090E" w:rsidP="00A47659">
            <w:pPr>
              <w:pStyle w:val="BodyText"/>
            </w:pPr>
            <w:r>
              <w:t xml:space="preserve">The practice of registering in </w:t>
            </w:r>
            <w:r w:rsidR="00A47659">
              <w:t>a</w:t>
            </w:r>
            <w:r>
              <w:t xml:space="preserve"> jurisdiction with le</w:t>
            </w:r>
            <w:r w:rsidR="00BD17EF">
              <w:t>ss</w:t>
            </w:r>
            <w:r>
              <w:t xml:space="preserve"> stringent requirements and then</w:t>
            </w:r>
            <w:r w:rsidR="00BD17EF">
              <w:t xml:space="preserve"> obtaining registration through mutual recognition in a more stringent jurisdiction.</w:t>
            </w:r>
          </w:p>
        </w:tc>
      </w:tr>
      <w:tr w:rsidR="00E5090E" w14:paraId="08D2968F" w14:textId="77777777" w:rsidTr="0022681C">
        <w:tc>
          <w:tcPr>
            <w:tcW w:w="2047" w:type="dxa"/>
          </w:tcPr>
          <w:p w14:paraId="6D8D4711" w14:textId="77777777" w:rsidR="00E5090E" w:rsidRDefault="00E5090E" w:rsidP="00B00825">
            <w:pPr>
              <w:pStyle w:val="BodyText"/>
              <w:jc w:val="left"/>
            </w:pPr>
            <w:r>
              <w:t>Uniformity</w:t>
            </w:r>
          </w:p>
        </w:tc>
        <w:tc>
          <w:tcPr>
            <w:tcW w:w="6742" w:type="dxa"/>
          </w:tcPr>
          <w:p w14:paraId="5FEC5700" w14:textId="77580FE7" w:rsidR="00E5090E" w:rsidRDefault="00975189">
            <w:pPr>
              <w:pStyle w:val="BodyText"/>
            </w:pPr>
            <w:r>
              <w:t>A</w:t>
            </w:r>
            <w:r w:rsidR="00146BC3">
              <w:t xml:space="preserve"> single standard </w:t>
            </w:r>
            <w:r>
              <w:t xml:space="preserve">or regulation that </w:t>
            </w:r>
            <w:r w:rsidR="00146BC3">
              <w:t>applies across all jurisdictions</w:t>
            </w:r>
            <w:r w:rsidR="00E5090E">
              <w:t>.</w:t>
            </w:r>
          </w:p>
        </w:tc>
      </w:tr>
    </w:tbl>
    <w:p w14:paraId="2A8456EA" w14:textId="77777777" w:rsidR="000A5E12" w:rsidRDefault="000A5E12" w:rsidP="00743A27">
      <w:pPr>
        <w:pStyle w:val="BodyText"/>
        <w:rPr>
          <w:rFonts w:ascii="Arial" w:hAnsi="Arial" w:cs="Arial"/>
          <w:i/>
        </w:rPr>
      </w:pPr>
    </w:p>
    <w:sectPr w:rsidR="000A5E12" w:rsidSect="00585B3F">
      <w:headerReference w:type="even" r:id="rId37"/>
      <w:headerReference w:type="default" r:id="rId38"/>
      <w:footerReference w:type="even" r:id="rId39"/>
      <w:footerReference w:type="default" r:id="rId40"/>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3DD7C" w14:textId="77777777" w:rsidR="00B73D89" w:rsidRDefault="00B73D89">
      <w:r>
        <w:separator/>
      </w:r>
    </w:p>
    <w:p w14:paraId="42C4CC6B" w14:textId="77777777" w:rsidR="00B73D89" w:rsidRDefault="00B73D89"/>
    <w:p w14:paraId="12E2EDB4" w14:textId="77777777" w:rsidR="00B73D89" w:rsidRDefault="00B73D89"/>
  </w:endnote>
  <w:endnote w:type="continuationSeparator" w:id="0">
    <w:p w14:paraId="0F750298" w14:textId="77777777" w:rsidR="00B73D89" w:rsidRDefault="00B73D89">
      <w:r>
        <w:continuationSeparator/>
      </w:r>
    </w:p>
    <w:p w14:paraId="16F14721" w14:textId="77777777" w:rsidR="00B73D89" w:rsidRDefault="00B73D89"/>
    <w:p w14:paraId="41428286" w14:textId="77777777" w:rsidR="00B73D89" w:rsidRDefault="00B73D89"/>
  </w:endnote>
  <w:endnote w:type="continuationNotice" w:id="1">
    <w:p w14:paraId="2C1964F5" w14:textId="77777777" w:rsidR="00B73D89" w:rsidRDefault="00B73D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F323C" w14:textId="77777777" w:rsidR="00F81E6B" w:rsidRDefault="00F81E6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F6E49" w14:paraId="07CEF96D" w14:textId="77777777" w:rsidTr="00E5090E">
      <w:trPr>
        <w:trHeight w:hRule="exact" w:val="567"/>
      </w:trPr>
      <w:tc>
        <w:tcPr>
          <w:tcW w:w="510" w:type="dxa"/>
        </w:tcPr>
        <w:p w14:paraId="009EBCDA" w14:textId="77777777" w:rsidR="007F6E49" w:rsidRPr="00A24443" w:rsidRDefault="007F6E49" w:rsidP="00E5090E">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62D39">
            <w:rPr>
              <w:rStyle w:val="PageNumber"/>
              <w:caps w:val="0"/>
              <w:noProof/>
            </w:rPr>
            <w:t>x</w:t>
          </w:r>
          <w:r w:rsidRPr="00A24443">
            <w:rPr>
              <w:rStyle w:val="PageNumber"/>
              <w:caps w:val="0"/>
            </w:rPr>
            <w:fldChar w:fldCharType="end"/>
          </w:r>
        </w:p>
      </w:tc>
      <w:tc>
        <w:tcPr>
          <w:tcW w:w="7767" w:type="dxa"/>
        </w:tcPr>
        <w:p w14:paraId="64BFB59C" w14:textId="77777777" w:rsidR="007F6E49" w:rsidRPr="0013739A" w:rsidRDefault="007F6E49" w:rsidP="00FB6B59">
          <w:pPr>
            <w:pStyle w:val="Footer"/>
            <w:tabs>
              <w:tab w:val="left" w:pos="3154"/>
            </w:tabs>
            <w:rPr>
              <w:rFonts w:cs="Arial"/>
            </w:rPr>
          </w:pPr>
          <w:r>
            <w:rPr>
              <w:rFonts w:cs="Arial"/>
            </w:rPr>
            <w:t>Mutual Recognition Schemes</w:t>
          </w:r>
        </w:p>
      </w:tc>
      <w:tc>
        <w:tcPr>
          <w:tcW w:w="510" w:type="dxa"/>
        </w:tcPr>
        <w:p w14:paraId="29A70747" w14:textId="77777777" w:rsidR="007F6E49" w:rsidRDefault="007F6E49" w:rsidP="00E5090E">
          <w:pPr>
            <w:pStyle w:val="Footer"/>
          </w:pPr>
        </w:p>
      </w:tc>
    </w:tr>
  </w:tbl>
  <w:p w14:paraId="2A437AC7" w14:textId="77777777" w:rsidR="007F6E49" w:rsidRDefault="007F6E49" w:rsidP="00E5090E">
    <w:pPr>
      <w:pStyle w:val="FooterEnd"/>
    </w:pPr>
  </w:p>
  <w:p w14:paraId="79C9F643" w14:textId="77777777" w:rsidR="007F6E49" w:rsidRDefault="007F6E49">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F6E49" w14:paraId="22741183" w14:textId="77777777" w:rsidTr="00E5090E">
      <w:trPr>
        <w:trHeight w:hRule="exact" w:val="567"/>
      </w:trPr>
      <w:tc>
        <w:tcPr>
          <w:tcW w:w="510" w:type="dxa"/>
        </w:tcPr>
        <w:p w14:paraId="2088C120" w14:textId="77777777" w:rsidR="007F6E49" w:rsidRDefault="007F6E49">
          <w:pPr>
            <w:pStyle w:val="Footer"/>
            <w:ind w:right="360" w:firstLine="360"/>
          </w:pPr>
        </w:p>
      </w:tc>
      <w:tc>
        <w:tcPr>
          <w:tcW w:w="7767" w:type="dxa"/>
        </w:tcPr>
        <w:p w14:paraId="3965BCD8" w14:textId="44F1FCE6" w:rsidR="007F6E49" w:rsidRPr="00BA5B14" w:rsidRDefault="007F6E49" w:rsidP="007448F7">
          <w:pPr>
            <w:pStyle w:val="Footer"/>
            <w:jc w:val="right"/>
            <w:rPr>
              <w:rFonts w:cs="Arial"/>
            </w:rPr>
          </w:pPr>
          <w:r>
            <w:rPr>
              <w:noProof/>
            </w:rPr>
            <w:t>Abbreviations</w:t>
          </w:r>
          <w:r>
            <w:rPr>
              <w:rFonts w:cs="Arial"/>
            </w:rPr>
            <w:t xml:space="preserve"> </w:t>
          </w:r>
        </w:p>
      </w:tc>
      <w:tc>
        <w:tcPr>
          <w:tcW w:w="510" w:type="dxa"/>
        </w:tcPr>
        <w:p w14:paraId="0F0A8A9B" w14:textId="77777777" w:rsidR="007F6E49" w:rsidRPr="007448F7" w:rsidRDefault="007F6E49">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62D39">
            <w:rPr>
              <w:rStyle w:val="PageNumber"/>
              <w:caps w:val="0"/>
              <w:noProof/>
            </w:rPr>
            <w:t>xi</w:t>
          </w:r>
          <w:r w:rsidRPr="007448F7">
            <w:rPr>
              <w:rStyle w:val="PageNumber"/>
              <w:caps w:val="0"/>
            </w:rPr>
            <w:fldChar w:fldCharType="end"/>
          </w:r>
        </w:p>
      </w:tc>
    </w:tr>
  </w:tbl>
  <w:p w14:paraId="59D080B7" w14:textId="77777777" w:rsidR="007F6E49" w:rsidRDefault="007F6E49">
    <w:pPr>
      <w:pStyle w:val="FooterEnd"/>
    </w:pPr>
  </w:p>
  <w:p w14:paraId="2EE6DA2D" w14:textId="77777777" w:rsidR="007F6E49" w:rsidRDefault="007F6E49">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4CDBCDCB" w14:textId="77777777" w:rsidTr="00E5090E">
      <w:trPr>
        <w:trHeight w:hRule="exact" w:val="567"/>
      </w:trPr>
      <w:tc>
        <w:tcPr>
          <w:tcW w:w="510" w:type="dxa"/>
        </w:tcPr>
        <w:p w14:paraId="38847374" w14:textId="77777777" w:rsidR="00B73D89" w:rsidRPr="007448F7" w:rsidRDefault="00B73D89" w:rsidP="00E5090E">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62D39">
            <w:rPr>
              <w:rStyle w:val="PageNumber"/>
              <w:caps w:val="0"/>
              <w:noProof/>
            </w:rPr>
            <w:t>xii</w:t>
          </w:r>
          <w:r w:rsidRPr="007448F7">
            <w:rPr>
              <w:rStyle w:val="PageNumber"/>
              <w:caps w:val="0"/>
            </w:rPr>
            <w:fldChar w:fldCharType="end"/>
          </w:r>
        </w:p>
      </w:tc>
      <w:tc>
        <w:tcPr>
          <w:tcW w:w="7767" w:type="dxa"/>
        </w:tcPr>
        <w:p w14:paraId="4C4DE9BA" w14:textId="33219214" w:rsidR="00B73D89" w:rsidRPr="0013739A" w:rsidRDefault="00BD7149" w:rsidP="00271B0C">
          <w:pPr>
            <w:pStyle w:val="Footer"/>
            <w:rPr>
              <w:rFonts w:cs="Arial"/>
            </w:rPr>
          </w:pPr>
          <w:r>
            <w:rPr>
              <w:rFonts w:cs="Arial"/>
            </w:rPr>
            <w:t>Mutual Recognition Schemes</w:t>
          </w:r>
        </w:p>
      </w:tc>
      <w:tc>
        <w:tcPr>
          <w:tcW w:w="510" w:type="dxa"/>
        </w:tcPr>
        <w:p w14:paraId="640C7470" w14:textId="77777777" w:rsidR="00B73D89" w:rsidRDefault="00B73D89" w:rsidP="00E5090E">
          <w:pPr>
            <w:pStyle w:val="Footer"/>
          </w:pPr>
        </w:p>
      </w:tc>
    </w:tr>
  </w:tbl>
  <w:p w14:paraId="2772CE2C" w14:textId="77777777" w:rsidR="00B73D89" w:rsidRDefault="00B73D89" w:rsidP="00E5090E">
    <w:pPr>
      <w:pStyle w:val="FooterEnd"/>
    </w:pPr>
  </w:p>
  <w:p w14:paraId="7A5C3743" w14:textId="77777777" w:rsidR="00B73D89" w:rsidRDefault="00B73D89">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50F7F539" w14:textId="77777777" w:rsidTr="00E5090E">
      <w:trPr>
        <w:trHeight w:hRule="exact" w:val="567"/>
      </w:trPr>
      <w:tc>
        <w:tcPr>
          <w:tcW w:w="510" w:type="dxa"/>
        </w:tcPr>
        <w:p w14:paraId="0BF34EC9" w14:textId="77777777" w:rsidR="00B73D89" w:rsidRDefault="00B73D89">
          <w:pPr>
            <w:pStyle w:val="Footer"/>
            <w:ind w:right="360" w:firstLine="360"/>
          </w:pPr>
        </w:p>
      </w:tc>
      <w:tc>
        <w:tcPr>
          <w:tcW w:w="7767" w:type="dxa"/>
        </w:tcPr>
        <w:p w14:paraId="10221DC9" w14:textId="127FD215" w:rsidR="00B73D89" w:rsidRPr="00340511" w:rsidRDefault="001A05FE" w:rsidP="00340511">
          <w:pPr>
            <w:pStyle w:val="Footer"/>
            <w:jc w:val="right"/>
            <w:rPr>
              <w:rFonts w:cs="Arial"/>
            </w:rPr>
          </w:pPr>
          <w:bookmarkStart w:id="15" w:name="InsertContents"/>
          <w:bookmarkEnd w:id="15"/>
          <w:r>
            <w:rPr>
              <w:rFonts w:cs="Arial"/>
            </w:rPr>
            <w:t>glossary</w:t>
          </w:r>
        </w:p>
      </w:tc>
      <w:tc>
        <w:tcPr>
          <w:tcW w:w="510" w:type="dxa"/>
        </w:tcPr>
        <w:p w14:paraId="07DD544E" w14:textId="77777777" w:rsidR="00B73D89" w:rsidRPr="00A24443" w:rsidRDefault="00B73D8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62D39">
            <w:rPr>
              <w:rStyle w:val="PageNumber"/>
              <w:caps w:val="0"/>
              <w:noProof/>
            </w:rPr>
            <w:t>xiii</w:t>
          </w:r>
          <w:r w:rsidRPr="00A24443">
            <w:rPr>
              <w:rStyle w:val="PageNumber"/>
              <w:caps w:val="0"/>
            </w:rPr>
            <w:fldChar w:fldCharType="end"/>
          </w:r>
        </w:p>
      </w:tc>
    </w:tr>
  </w:tbl>
  <w:p w14:paraId="53877116" w14:textId="77777777" w:rsidR="00B73D89" w:rsidRDefault="00B73D89">
    <w:pPr>
      <w:pStyle w:val="FooterEnd"/>
    </w:pPr>
  </w:p>
  <w:p w14:paraId="0E0A299E" w14:textId="77777777" w:rsidR="00B73D89" w:rsidRDefault="00B73D89"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1C63F" w14:textId="77777777" w:rsidR="00F81E6B" w:rsidRDefault="00F81E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5E5B5" w14:textId="77777777" w:rsidR="00F81E6B" w:rsidRDefault="00F81E6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1DA73F86" w14:textId="77777777" w:rsidTr="00E5090E">
      <w:trPr>
        <w:trHeight w:hRule="exact" w:val="567"/>
      </w:trPr>
      <w:tc>
        <w:tcPr>
          <w:tcW w:w="510" w:type="dxa"/>
        </w:tcPr>
        <w:p w14:paraId="4E38812D" w14:textId="77777777" w:rsidR="00B73D89" w:rsidRDefault="00B73D89" w:rsidP="00E5090E">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45A48">
            <w:rPr>
              <w:rStyle w:val="PageNumber"/>
              <w:noProof/>
            </w:rPr>
            <w:t>iv</w:t>
          </w:r>
          <w:r>
            <w:rPr>
              <w:rStyle w:val="PageNumber"/>
            </w:rPr>
            <w:fldChar w:fldCharType="end"/>
          </w:r>
        </w:p>
      </w:tc>
      <w:tc>
        <w:tcPr>
          <w:tcW w:w="7767" w:type="dxa"/>
        </w:tcPr>
        <w:p w14:paraId="68C0818C" w14:textId="77777777" w:rsidR="00B73D89" w:rsidRPr="0013739A" w:rsidRDefault="00B73D89" w:rsidP="00E5090E">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6C6CFF">
            <w:rPr>
              <w:rFonts w:cs="Arial"/>
            </w:rPr>
            <w:t>Mutual Recognition Schemes</w:t>
          </w:r>
          <w:r w:rsidRPr="00BA5B14">
            <w:rPr>
              <w:rFonts w:cs="Arial"/>
            </w:rPr>
            <w:fldChar w:fldCharType="end"/>
          </w:r>
        </w:p>
      </w:tc>
      <w:tc>
        <w:tcPr>
          <w:tcW w:w="510" w:type="dxa"/>
        </w:tcPr>
        <w:p w14:paraId="3C36CEC5" w14:textId="77777777" w:rsidR="00B73D89" w:rsidRDefault="00B73D89" w:rsidP="00E5090E">
          <w:pPr>
            <w:pStyle w:val="Footer"/>
          </w:pPr>
        </w:p>
      </w:tc>
    </w:tr>
  </w:tbl>
  <w:p w14:paraId="343CB6FF" w14:textId="77777777" w:rsidR="00B73D89" w:rsidRDefault="00B73D89" w:rsidP="00E5090E">
    <w:pPr>
      <w:pStyle w:val="FooterEnd"/>
    </w:pPr>
  </w:p>
  <w:p w14:paraId="18451AC6" w14:textId="77777777" w:rsidR="00B73D89" w:rsidRDefault="00B73D8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5366D78E" w14:textId="77777777" w:rsidTr="00E5090E">
      <w:trPr>
        <w:trHeight w:hRule="exact" w:val="567"/>
      </w:trPr>
      <w:tc>
        <w:tcPr>
          <w:tcW w:w="510" w:type="dxa"/>
        </w:tcPr>
        <w:p w14:paraId="3C25536B" w14:textId="77777777" w:rsidR="00B73D89" w:rsidRDefault="00B73D89">
          <w:pPr>
            <w:pStyle w:val="Footer"/>
            <w:ind w:right="360" w:firstLine="360"/>
          </w:pPr>
        </w:p>
      </w:tc>
      <w:tc>
        <w:tcPr>
          <w:tcW w:w="7767" w:type="dxa"/>
        </w:tcPr>
        <w:p w14:paraId="7EFE0EA7" w14:textId="059C10CE" w:rsidR="00B73D89" w:rsidRPr="00C24C8B" w:rsidRDefault="00FB6B59" w:rsidP="00E5090E">
          <w:pPr>
            <w:pStyle w:val="Footer"/>
            <w:jc w:val="right"/>
            <w:rPr>
              <w:rFonts w:cs="Arial"/>
            </w:rPr>
          </w:pPr>
          <w:r w:rsidRPr="00FB6B59">
            <w:rPr>
              <w:bCs/>
              <w:noProof/>
              <w:lang w:val="en-US"/>
            </w:rPr>
            <w:t>Foreword</w:t>
          </w:r>
          <w:r w:rsidR="00B73D89" w:rsidRPr="00C24C8B">
            <w:rPr>
              <w:rFonts w:cs="Arial"/>
            </w:rPr>
            <w:t xml:space="preserve"> </w:t>
          </w:r>
        </w:p>
      </w:tc>
      <w:tc>
        <w:tcPr>
          <w:tcW w:w="510" w:type="dxa"/>
        </w:tcPr>
        <w:p w14:paraId="73851440" w14:textId="77777777" w:rsidR="00B73D89" w:rsidRPr="00C24C8B" w:rsidRDefault="00B73D89">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F62D39">
            <w:rPr>
              <w:rStyle w:val="PageNumber"/>
              <w:caps w:val="0"/>
              <w:noProof/>
            </w:rPr>
            <w:t>iii</w:t>
          </w:r>
          <w:r w:rsidRPr="00C24C8B">
            <w:rPr>
              <w:rStyle w:val="PageNumber"/>
              <w:caps w:val="0"/>
            </w:rPr>
            <w:fldChar w:fldCharType="end"/>
          </w:r>
        </w:p>
      </w:tc>
    </w:tr>
  </w:tbl>
  <w:p w14:paraId="2B68499D" w14:textId="77777777" w:rsidR="00B73D89" w:rsidRDefault="00B73D89">
    <w:pPr>
      <w:pStyle w:val="FooterEnd"/>
    </w:pPr>
  </w:p>
  <w:p w14:paraId="5ADCDC82" w14:textId="77777777" w:rsidR="00B73D89" w:rsidRDefault="00B73D89">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23617805" w14:textId="77777777" w:rsidTr="00E5090E">
      <w:trPr>
        <w:trHeight w:hRule="exact" w:val="567"/>
      </w:trPr>
      <w:tc>
        <w:tcPr>
          <w:tcW w:w="510" w:type="dxa"/>
        </w:tcPr>
        <w:p w14:paraId="30F404D7" w14:textId="77777777" w:rsidR="00B73D89" w:rsidRPr="00752FFF" w:rsidRDefault="00B73D89" w:rsidP="00E5090E">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F62D39">
            <w:rPr>
              <w:rStyle w:val="PageNumber"/>
              <w:caps w:val="0"/>
              <w:noProof/>
            </w:rPr>
            <w:t>iv</w:t>
          </w:r>
          <w:r w:rsidRPr="00752FFF">
            <w:rPr>
              <w:rStyle w:val="PageNumber"/>
              <w:caps w:val="0"/>
            </w:rPr>
            <w:fldChar w:fldCharType="end"/>
          </w:r>
        </w:p>
      </w:tc>
      <w:tc>
        <w:tcPr>
          <w:tcW w:w="7767" w:type="dxa"/>
        </w:tcPr>
        <w:p w14:paraId="1C6A7DA1" w14:textId="1A16E5F3" w:rsidR="00B73D89" w:rsidRPr="0013739A" w:rsidRDefault="00BD7149" w:rsidP="00E5090E">
          <w:pPr>
            <w:pStyle w:val="Footer"/>
            <w:rPr>
              <w:rFonts w:cs="Arial"/>
            </w:rPr>
          </w:pPr>
          <w:r>
            <w:rPr>
              <w:rFonts w:cs="Arial"/>
            </w:rPr>
            <w:t>Mutual Recognition Schemes</w:t>
          </w:r>
        </w:p>
      </w:tc>
      <w:tc>
        <w:tcPr>
          <w:tcW w:w="510" w:type="dxa"/>
        </w:tcPr>
        <w:p w14:paraId="3C6254F1" w14:textId="77777777" w:rsidR="00B73D89" w:rsidRDefault="00B73D89" w:rsidP="00E5090E">
          <w:pPr>
            <w:pStyle w:val="Footer"/>
          </w:pPr>
        </w:p>
      </w:tc>
    </w:tr>
  </w:tbl>
  <w:p w14:paraId="6D4622D1" w14:textId="77777777" w:rsidR="00B73D89" w:rsidRDefault="00B73D89" w:rsidP="00E5090E">
    <w:pPr>
      <w:pStyle w:val="FooterEnd"/>
    </w:pPr>
  </w:p>
  <w:p w14:paraId="36B2A54F" w14:textId="77777777" w:rsidR="00B73D89" w:rsidRDefault="00B73D89">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5A41C311" w14:textId="77777777" w:rsidTr="00E5090E">
      <w:trPr>
        <w:trHeight w:hRule="exact" w:val="567"/>
      </w:trPr>
      <w:tc>
        <w:tcPr>
          <w:tcW w:w="510" w:type="dxa"/>
        </w:tcPr>
        <w:p w14:paraId="0FC96BBD" w14:textId="77777777" w:rsidR="00B73D89" w:rsidRDefault="00B73D89">
          <w:pPr>
            <w:pStyle w:val="Footer"/>
            <w:ind w:right="360" w:firstLine="360"/>
          </w:pPr>
        </w:p>
      </w:tc>
      <w:tc>
        <w:tcPr>
          <w:tcW w:w="7767" w:type="dxa"/>
        </w:tcPr>
        <w:p w14:paraId="3D36DDCB" w14:textId="366215DD" w:rsidR="00B73D89" w:rsidRPr="00752FFF" w:rsidRDefault="00F81E6B" w:rsidP="00E5090E">
          <w:pPr>
            <w:pStyle w:val="Footer"/>
            <w:jc w:val="right"/>
            <w:rPr>
              <w:rFonts w:cs="Arial"/>
            </w:rPr>
          </w:pPr>
          <w:r w:rsidRPr="00F81E6B">
            <w:rPr>
              <w:bCs/>
              <w:noProof/>
              <w:lang w:val="en-US"/>
            </w:rPr>
            <w:t>Terms</w:t>
          </w:r>
          <w:r>
            <w:rPr>
              <w:noProof/>
            </w:rPr>
            <w:t xml:space="preserve"> of reference</w:t>
          </w:r>
        </w:p>
      </w:tc>
      <w:tc>
        <w:tcPr>
          <w:tcW w:w="510" w:type="dxa"/>
        </w:tcPr>
        <w:p w14:paraId="7CE78E0F" w14:textId="77777777" w:rsidR="00B73D89" w:rsidRPr="00A24443" w:rsidRDefault="00B73D8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62D39">
            <w:rPr>
              <w:rStyle w:val="PageNumber"/>
              <w:caps w:val="0"/>
              <w:noProof/>
            </w:rPr>
            <w:t>v</w:t>
          </w:r>
          <w:r w:rsidRPr="00A24443">
            <w:rPr>
              <w:rStyle w:val="PageNumber"/>
              <w:caps w:val="0"/>
            </w:rPr>
            <w:fldChar w:fldCharType="end"/>
          </w:r>
        </w:p>
      </w:tc>
    </w:tr>
  </w:tbl>
  <w:p w14:paraId="27E5597D" w14:textId="77777777" w:rsidR="00B73D89" w:rsidRDefault="00B73D89">
    <w:pPr>
      <w:pStyle w:val="FooterEnd"/>
    </w:pPr>
  </w:p>
  <w:p w14:paraId="24A6E2FC" w14:textId="77777777" w:rsidR="00B73D89" w:rsidRPr="00D01645" w:rsidRDefault="00B73D89" w:rsidP="00E5090E">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2A3070CB" w14:textId="77777777" w:rsidTr="00E5090E">
      <w:trPr>
        <w:trHeight w:hRule="exact" w:val="567"/>
      </w:trPr>
      <w:tc>
        <w:tcPr>
          <w:tcW w:w="510" w:type="dxa"/>
        </w:tcPr>
        <w:p w14:paraId="311483E0" w14:textId="77777777" w:rsidR="00B73D89" w:rsidRPr="00A24443" w:rsidRDefault="00B73D89" w:rsidP="00E5090E">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62D39">
            <w:rPr>
              <w:rStyle w:val="PageNumber"/>
              <w:caps w:val="0"/>
              <w:noProof/>
            </w:rPr>
            <w:t>viii</w:t>
          </w:r>
          <w:r w:rsidRPr="00A24443">
            <w:rPr>
              <w:rStyle w:val="PageNumber"/>
              <w:caps w:val="0"/>
            </w:rPr>
            <w:fldChar w:fldCharType="end"/>
          </w:r>
        </w:p>
      </w:tc>
      <w:tc>
        <w:tcPr>
          <w:tcW w:w="7767" w:type="dxa"/>
        </w:tcPr>
        <w:p w14:paraId="7B13E43D" w14:textId="67213BD2" w:rsidR="00B73D89" w:rsidRPr="0013739A" w:rsidRDefault="00BD7149" w:rsidP="00FB6B59">
          <w:pPr>
            <w:pStyle w:val="Footer"/>
            <w:tabs>
              <w:tab w:val="left" w:pos="3154"/>
            </w:tabs>
            <w:rPr>
              <w:rFonts w:cs="Arial"/>
            </w:rPr>
          </w:pPr>
          <w:r>
            <w:rPr>
              <w:rFonts w:cs="Arial"/>
            </w:rPr>
            <w:t>Mutual Recognition Schemes</w:t>
          </w:r>
        </w:p>
      </w:tc>
      <w:tc>
        <w:tcPr>
          <w:tcW w:w="510" w:type="dxa"/>
        </w:tcPr>
        <w:p w14:paraId="4527FD62" w14:textId="77777777" w:rsidR="00B73D89" w:rsidRDefault="00B73D89" w:rsidP="00E5090E">
          <w:pPr>
            <w:pStyle w:val="Footer"/>
          </w:pPr>
        </w:p>
      </w:tc>
    </w:tr>
  </w:tbl>
  <w:p w14:paraId="1F63ED92" w14:textId="77777777" w:rsidR="00B73D89" w:rsidRDefault="00B73D89" w:rsidP="00E5090E">
    <w:pPr>
      <w:pStyle w:val="FooterEnd"/>
    </w:pPr>
  </w:p>
  <w:p w14:paraId="579DBB00" w14:textId="77777777" w:rsidR="00B73D89" w:rsidRDefault="00B73D89">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3D89" w14:paraId="2161935F" w14:textId="77777777" w:rsidTr="00E5090E">
      <w:trPr>
        <w:trHeight w:hRule="exact" w:val="567"/>
      </w:trPr>
      <w:tc>
        <w:tcPr>
          <w:tcW w:w="510" w:type="dxa"/>
        </w:tcPr>
        <w:p w14:paraId="1CBAB1D6" w14:textId="77777777" w:rsidR="00B73D89" w:rsidRDefault="00B73D89">
          <w:pPr>
            <w:pStyle w:val="Footer"/>
            <w:ind w:right="360" w:firstLine="360"/>
          </w:pPr>
        </w:p>
      </w:tc>
      <w:tc>
        <w:tcPr>
          <w:tcW w:w="7767" w:type="dxa"/>
        </w:tcPr>
        <w:p w14:paraId="414523AD" w14:textId="1F60D5C4" w:rsidR="00B73D89" w:rsidRPr="00BA5B14" w:rsidRDefault="00FB6B59" w:rsidP="007448F7">
          <w:pPr>
            <w:pStyle w:val="Footer"/>
            <w:jc w:val="right"/>
            <w:rPr>
              <w:rFonts w:cs="Arial"/>
            </w:rPr>
          </w:pPr>
          <w:r>
            <w:rPr>
              <w:noProof/>
            </w:rPr>
            <w:t>Contents</w:t>
          </w:r>
          <w:r w:rsidR="00B73D89">
            <w:rPr>
              <w:rFonts w:cs="Arial"/>
            </w:rPr>
            <w:t xml:space="preserve"> </w:t>
          </w:r>
        </w:p>
      </w:tc>
      <w:tc>
        <w:tcPr>
          <w:tcW w:w="510" w:type="dxa"/>
        </w:tcPr>
        <w:p w14:paraId="147681E3" w14:textId="77777777" w:rsidR="00B73D89" w:rsidRPr="007448F7" w:rsidRDefault="00B73D89">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62D39">
            <w:rPr>
              <w:rStyle w:val="PageNumber"/>
              <w:caps w:val="0"/>
              <w:noProof/>
            </w:rPr>
            <w:t>ix</w:t>
          </w:r>
          <w:r w:rsidRPr="007448F7">
            <w:rPr>
              <w:rStyle w:val="PageNumber"/>
              <w:caps w:val="0"/>
            </w:rPr>
            <w:fldChar w:fldCharType="end"/>
          </w:r>
        </w:p>
      </w:tc>
    </w:tr>
  </w:tbl>
  <w:p w14:paraId="375F55F0" w14:textId="77777777" w:rsidR="00B73D89" w:rsidRDefault="00B73D89">
    <w:pPr>
      <w:pStyle w:val="FooterEnd"/>
    </w:pPr>
  </w:p>
  <w:p w14:paraId="5F70BB64" w14:textId="77777777" w:rsidR="00B73D89" w:rsidRDefault="00B73D8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BC920" w14:textId="77777777" w:rsidR="00B73D89" w:rsidRDefault="00B73D89">
      <w:r>
        <w:separator/>
      </w:r>
    </w:p>
    <w:p w14:paraId="68BFCB5B" w14:textId="77777777" w:rsidR="00B73D89" w:rsidRDefault="00B73D89"/>
    <w:p w14:paraId="20E95021" w14:textId="77777777" w:rsidR="00B73D89" w:rsidRDefault="00B73D89"/>
  </w:footnote>
  <w:footnote w:type="continuationSeparator" w:id="0">
    <w:p w14:paraId="5B0B10F0" w14:textId="77777777" w:rsidR="00B73D89" w:rsidRDefault="00B73D89">
      <w:r>
        <w:continuationSeparator/>
      </w:r>
    </w:p>
    <w:p w14:paraId="5295ADD7" w14:textId="77777777" w:rsidR="00B73D89" w:rsidRDefault="00B73D89"/>
    <w:p w14:paraId="533AE519" w14:textId="77777777" w:rsidR="00B73D89" w:rsidRDefault="00B73D89"/>
  </w:footnote>
  <w:footnote w:type="continuationNotice" w:id="1">
    <w:p w14:paraId="19A56B6A" w14:textId="77777777" w:rsidR="00B73D89" w:rsidRDefault="00B73D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95F60" w14:textId="77777777" w:rsidR="00F81E6B" w:rsidRDefault="00F81E6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7F6E49" w14:paraId="7DCB811A" w14:textId="77777777">
      <w:tc>
        <w:tcPr>
          <w:tcW w:w="2155" w:type="dxa"/>
          <w:tcBorders>
            <w:top w:val="single" w:sz="24" w:space="0" w:color="auto"/>
          </w:tcBorders>
        </w:tcPr>
        <w:p w14:paraId="1607783B" w14:textId="77777777" w:rsidR="007F6E49" w:rsidRDefault="007F6E49">
          <w:pPr>
            <w:pStyle w:val="Header"/>
          </w:pPr>
        </w:p>
      </w:tc>
      <w:tc>
        <w:tcPr>
          <w:tcW w:w="6634" w:type="dxa"/>
          <w:tcBorders>
            <w:top w:val="single" w:sz="6" w:space="0" w:color="auto"/>
          </w:tcBorders>
        </w:tcPr>
        <w:p w14:paraId="379C2F33" w14:textId="77777777" w:rsidR="007F6E49" w:rsidRDefault="007F6E49">
          <w:pPr>
            <w:pStyle w:val="Header"/>
          </w:pPr>
        </w:p>
      </w:tc>
    </w:tr>
  </w:tbl>
  <w:p w14:paraId="0324D0E3" w14:textId="77777777" w:rsidR="007F6E49" w:rsidRDefault="007F6E49">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F6E49" w14:paraId="2586A2D5" w14:textId="77777777" w:rsidTr="005C68FE">
      <w:tc>
        <w:tcPr>
          <w:tcW w:w="6634" w:type="dxa"/>
          <w:tcBorders>
            <w:top w:val="single" w:sz="6" w:space="0" w:color="auto"/>
          </w:tcBorders>
        </w:tcPr>
        <w:p w14:paraId="4185664F" w14:textId="77777777" w:rsidR="007F6E49" w:rsidRDefault="007F6E49" w:rsidP="005C68FE">
          <w:pPr>
            <w:pStyle w:val="HeaderOdd"/>
          </w:pPr>
        </w:p>
      </w:tc>
      <w:tc>
        <w:tcPr>
          <w:tcW w:w="2155" w:type="dxa"/>
          <w:tcBorders>
            <w:top w:val="single" w:sz="24" w:space="0" w:color="auto"/>
          </w:tcBorders>
        </w:tcPr>
        <w:p w14:paraId="35B2C043" w14:textId="77777777" w:rsidR="007F6E49" w:rsidRDefault="007F6E49" w:rsidP="005C68FE">
          <w:pPr>
            <w:pStyle w:val="HeaderOdd"/>
          </w:pPr>
        </w:p>
      </w:tc>
    </w:tr>
  </w:tbl>
  <w:p w14:paraId="39218CB6" w14:textId="77777777" w:rsidR="007F6E49" w:rsidRPr="005C68FE" w:rsidRDefault="007F6E49" w:rsidP="005C68FE">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73D89" w14:paraId="0BDFB78B" w14:textId="77777777" w:rsidTr="005C68FE">
      <w:tc>
        <w:tcPr>
          <w:tcW w:w="2155" w:type="dxa"/>
          <w:tcBorders>
            <w:top w:val="single" w:sz="24" w:space="0" w:color="auto"/>
          </w:tcBorders>
        </w:tcPr>
        <w:p w14:paraId="475A33B4" w14:textId="77777777" w:rsidR="00B73D89" w:rsidRDefault="00B73D89" w:rsidP="005C68FE">
          <w:pPr>
            <w:pStyle w:val="HeaderEven"/>
          </w:pPr>
        </w:p>
      </w:tc>
      <w:tc>
        <w:tcPr>
          <w:tcW w:w="6634" w:type="dxa"/>
          <w:tcBorders>
            <w:top w:val="single" w:sz="6" w:space="0" w:color="auto"/>
          </w:tcBorders>
        </w:tcPr>
        <w:p w14:paraId="6A7E5715" w14:textId="77777777" w:rsidR="00B73D89" w:rsidRDefault="00B73D89" w:rsidP="005C68FE">
          <w:pPr>
            <w:pStyle w:val="HeaderEven"/>
          </w:pPr>
        </w:p>
      </w:tc>
    </w:tr>
  </w:tbl>
  <w:p w14:paraId="20910D17" w14:textId="77777777" w:rsidR="00B73D89" w:rsidRDefault="00B73D89" w:rsidP="00D732FE">
    <w:pPr>
      <w:pStyle w:val="HeaderEn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3D89" w14:paraId="415B7DCC" w14:textId="77777777">
      <w:tc>
        <w:tcPr>
          <w:tcW w:w="6634" w:type="dxa"/>
          <w:tcBorders>
            <w:top w:val="single" w:sz="6" w:space="0" w:color="auto"/>
          </w:tcBorders>
        </w:tcPr>
        <w:p w14:paraId="32CA8E9E" w14:textId="77777777" w:rsidR="00B73D89" w:rsidRDefault="00B73D89">
          <w:pPr>
            <w:pStyle w:val="HeaderOdd"/>
          </w:pPr>
        </w:p>
      </w:tc>
      <w:tc>
        <w:tcPr>
          <w:tcW w:w="2155" w:type="dxa"/>
          <w:tcBorders>
            <w:top w:val="single" w:sz="24" w:space="0" w:color="auto"/>
          </w:tcBorders>
        </w:tcPr>
        <w:p w14:paraId="1FCE1DD7" w14:textId="77777777" w:rsidR="00B73D89" w:rsidRDefault="00B73D89">
          <w:pPr>
            <w:pStyle w:val="HeaderOdd"/>
          </w:pPr>
        </w:p>
      </w:tc>
    </w:tr>
  </w:tbl>
  <w:p w14:paraId="6DF5D9E4" w14:textId="77777777" w:rsidR="00B73D89" w:rsidRDefault="00B73D89"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CE280" w14:textId="77777777" w:rsidR="00F81E6B" w:rsidRDefault="00F81E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87731" w14:textId="77777777" w:rsidR="00F81E6B" w:rsidRDefault="00F81E6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73D89" w14:paraId="4DDD6ACB" w14:textId="77777777">
      <w:tc>
        <w:tcPr>
          <w:tcW w:w="2155" w:type="dxa"/>
          <w:tcBorders>
            <w:top w:val="single" w:sz="24" w:space="0" w:color="auto"/>
          </w:tcBorders>
        </w:tcPr>
        <w:p w14:paraId="65699EF4" w14:textId="77777777" w:rsidR="00B73D89" w:rsidRDefault="00B73D89">
          <w:pPr>
            <w:pStyle w:val="Header"/>
          </w:pPr>
        </w:p>
      </w:tc>
      <w:tc>
        <w:tcPr>
          <w:tcW w:w="6634" w:type="dxa"/>
          <w:tcBorders>
            <w:top w:val="single" w:sz="6" w:space="0" w:color="auto"/>
          </w:tcBorders>
        </w:tcPr>
        <w:p w14:paraId="2003D3B4" w14:textId="77777777" w:rsidR="00B73D89" w:rsidRDefault="00B73D89">
          <w:pPr>
            <w:pStyle w:val="Header"/>
          </w:pPr>
        </w:p>
      </w:tc>
    </w:tr>
  </w:tbl>
  <w:p w14:paraId="4256D5BF" w14:textId="77777777" w:rsidR="00B73D89" w:rsidRDefault="00B73D8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3D89" w14:paraId="65F99AE6" w14:textId="77777777" w:rsidTr="005C68FE">
      <w:tc>
        <w:tcPr>
          <w:tcW w:w="6634" w:type="dxa"/>
          <w:tcBorders>
            <w:top w:val="single" w:sz="6" w:space="0" w:color="auto"/>
          </w:tcBorders>
        </w:tcPr>
        <w:p w14:paraId="3E372CFC" w14:textId="77777777" w:rsidR="00B73D89" w:rsidRDefault="00B73D89" w:rsidP="005C68FE">
          <w:pPr>
            <w:pStyle w:val="HeaderOdd"/>
          </w:pPr>
        </w:p>
      </w:tc>
      <w:tc>
        <w:tcPr>
          <w:tcW w:w="2155" w:type="dxa"/>
          <w:tcBorders>
            <w:top w:val="single" w:sz="24" w:space="0" w:color="auto"/>
          </w:tcBorders>
        </w:tcPr>
        <w:p w14:paraId="65C587DA" w14:textId="77777777" w:rsidR="00B73D89" w:rsidRDefault="00B73D89" w:rsidP="005C68FE">
          <w:pPr>
            <w:pStyle w:val="HeaderOdd"/>
          </w:pPr>
        </w:p>
      </w:tc>
    </w:tr>
  </w:tbl>
  <w:p w14:paraId="33B84831" w14:textId="77777777" w:rsidR="00B73D89" w:rsidRPr="005C68FE" w:rsidRDefault="00B73D89"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73D89" w14:paraId="1E9FF173" w14:textId="77777777">
      <w:tc>
        <w:tcPr>
          <w:tcW w:w="2155" w:type="dxa"/>
          <w:tcBorders>
            <w:top w:val="single" w:sz="24" w:space="0" w:color="auto"/>
          </w:tcBorders>
        </w:tcPr>
        <w:p w14:paraId="4CB9B56A" w14:textId="77777777" w:rsidR="00B73D89" w:rsidRDefault="00B73D89">
          <w:pPr>
            <w:pStyle w:val="Header"/>
          </w:pPr>
        </w:p>
      </w:tc>
      <w:tc>
        <w:tcPr>
          <w:tcW w:w="6634" w:type="dxa"/>
          <w:tcBorders>
            <w:top w:val="single" w:sz="6" w:space="0" w:color="auto"/>
          </w:tcBorders>
        </w:tcPr>
        <w:p w14:paraId="0B718FA2" w14:textId="77777777" w:rsidR="00B73D89" w:rsidRDefault="00B73D89">
          <w:pPr>
            <w:pStyle w:val="Header"/>
          </w:pPr>
        </w:p>
      </w:tc>
    </w:tr>
  </w:tbl>
  <w:p w14:paraId="78FE9A12" w14:textId="77777777" w:rsidR="00B73D89" w:rsidRDefault="00B73D89">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3D89" w14:paraId="5AC4BBA0" w14:textId="77777777">
      <w:tc>
        <w:tcPr>
          <w:tcW w:w="6634" w:type="dxa"/>
          <w:tcBorders>
            <w:top w:val="single" w:sz="6" w:space="0" w:color="auto"/>
          </w:tcBorders>
        </w:tcPr>
        <w:p w14:paraId="2257B965" w14:textId="77777777" w:rsidR="00B73D89" w:rsidRDefault="00B73D89" w:rsidP="00E5090E">
          <w:pPr>
            <w:pStyle w:val="HeaderOdd"/>
          </w:pPr>
        </w:p>
      </w:tc>
      <w:tc>
        <w:tcPr>
          <w:tcW w:w="2155" w:type="dxa"/>
          <w:tcBorders>
            <w:top w:val="single" w:sz="24" w:space="0" w:color="auto"/>
          </w:tcBorders>
        </w:tcPr>
        <w:p w14:paraId="1A702193" w14:textId="77777777" w:rsidR="00B73D89" w:rsidRDefault="00B73D89" w:rsidP="00E5090E">
          <w:pPr>
            <w:pStyle w:val="HeaderOdd"/>
          </w:pPr>
        </w:p>
      </w:tc>
    </w:tr>
  </w:tbl>
  <w:p w14:paraId="485EBDF2" w14:textId="77777777" w:rsidR="00B73D89" w:rsidRDefault="00B73D89" w:rsidP="00E5090E">
    <w:pPr>
      <w:pStyle w:val="HeaderEnd"/>
    </w:pPr>
  </w:p>
  <w:p w14:paraId="75A9B810" w14:textId="77777777" w:rsidR="00B73D89" w:rsidRPr="00D01645" w:rsidRDefault="00B73D89" w:rsidP="00E5090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73D89" w14:paraId="19E7B228" w14:textId="77777777">
      <w:tc>
        <w:tcPr>
          <w:tcW w:w="2155" w:type="dxa"/>
          <w:tcBorders>
            <w:top w:val="single" w:sz="24" w:space="0" w:color="auto"/>
          </w:tcBorders>
        </w:tcPr>
        <w:p w14:paraId="14E599BC" w14:textId="77777777" w:rsidR="00B73D89" w:rsidRDefault="00B73D89">
          <w:pPr>
            <w:pStyle w:val="Header"/>
          </w:pPr>
        </w:p>
      </w:tc>
      <w:tc>
        <w:tcPr>
          <w:tcW w:w="6634" w:type="dxa"/>
          <w:tcBorders>
            <w:top w:val="single" w:sz="6" w:space="0" w:color="auto"/>
          </w:tcBorders>
        </w:tcPr>
        <w:p w14:paraId="47476B2F" w14:textId="77777777" w:rsidR="00B73D89" w:rsidRDefault="00B73D89">
          <w:pPr>
            <w:pStyle w:val="Header"/>
          </w:pPr>
        </w:p>
      </w:tc>
    </w:tr>
  </w:tbl>
  <w:p w14:paraId="68AA7854" w14:textId="77777777" w:rsidR="00B73D89" w:rsidRDefault="00B73D89">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3D89" w14:paraId="192F1BAF" w14:textId="77777777" w:rsidTr="005C68FE">
      <w:tc>
        <w:tcPr>
          <w:tcW w:w="6634" w:type="dxa"/>
          <w:tcBorders>
            <w:top w:val="single" w:sz="6" w:space="0" w:color="auto"/>
          </w:tcBorders>
        </w:tcPr>
        <w:p w14:paraId="4CFA9F1D" w14:textId="77777777" w:rsidR="00B73D89" w:rsidRDefault="00B73D89" w:rsidP="005C68FE">
          <w:pPr>
            <w:pStyle w:val="HeaderOdd"/>
          </w:pPr>
        </w:p>
      </w:tc>
      <w:tc>
        <w:tcPr>
          <w:tcW w:w="2155" w:type="dxa"/>
          <w:tcBorders>
            <w:top w:val="single" w:sz="24" w:space="0" w:color="auto"/>
          </w:tcBorders>
        </w:tcPr>
        <w:p w14:paraId="45B7045C" w14:textId="77777777" w:rsidR="00B73D89" w:rsidRDefault="00B73D89" w:rsidP="005C68FE">
          <w:pPr>
            <w:pStyle w:val="HeaderOdd"/>
          </w:pPr>
        </w:p>
      </w:tc>
    </w:tr>
  </w:tbl>
  <w:p w14:paraId="3F45CF62" w14:textId="77777777" w:rsidR="00B73D89" w:rsidRPr="005C68FE" w:rsidRDefault="00B73D89" w:rsidP="005C68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F0A"/>
    <w:rsid w:val="00005282"/>
    <w:rsid w:val="00017AFC"/>
    <w:rsid w:val="00020A74"/>
    <w:rsid w:val="000235D8"/>
    <w:rsid w:val="00025878"/>
    <w:rsid w:val="00026B38"/>
    <w:rsid w:val="000362E5"/>
    <w:rsid w:val="000502D3"/>
    <w:rsid w:val="00052CB2"/>
    <w:rsid w:val="0005564F"/>
    <w:rsid w:val="000623BF"/>
    <w:rsid w:val="00073307"/>
    <w:rsid w:val="000779EB"/>
    <w:rsid w:val="00095EEA"/>
    <w:rsid w:val="00097C15"/>
    <w:rsid w:val="000A0A0E"/>
    <w:rsid w:val="000A43AF"/>
    <w:rsid w:val="000A4F4C"/>
    <w:rsid w:val="000A5E12"/>
    <w:rsid w:val="000B04F2"/>
    <w:rsid w:val="000B416E"/>
    <w:rsid w:val="000E08D1"/>
    <w:rsid w:val="000F185F"/>
    <w:rsid w:val="000F2F5F"/>
    <w:rsid w:val="000F40BA"/>
    <w:rsid w:val="00106041"/>
    <w:rsid w:val="0010611E"/>
    <w:rsid w:val="001119A4"/>
    <w:rsid w:val="00122FE9"/>
    <w:rsid w:val="001260EE"/>
    <w:rsid w:val="00131572"/>
    <w:rsid w:val="00131D4F"/>
    <w:rsid w:val="0013399B"/>
    <w:rsid w:val="00144FFD"/>
    <w:rsid w:val="00146BC3"/>
    <w:rsid w:val="0016119F"/>
    <w:rsid w:val="001611CD"/>
    <w:rsid w:val="00180515"/>
    <w:rsid w:val="001810BA"/>
    <w:rsid w:val="00181F4B"/>
    <w:rsid w:val="00190919"/>
    <w:rsid w:val="0019327C"/>
    <w:rsid w:val="00196FB3"/>
    <w:rsid w:val="001A05FE"/>
    <w:rsid w:val="001A41FB"/>
    <w:rsid w:val="001A5071"/>
    <w:rsid w:val="001B0B92"/>
    <w:rsid w:val="001B1BF7"/>
    <w:rsid w:val="001B4E73"/>
    <w:rsid w:val="001B7F1E"/>
    <w:rsid w:val="001C1732"/>
    <w:rsid w:val="001D2A95"/>
    <w:rsid w:val="001D4B1F"/>
    <w:rsid w:val="001D5FC0"/>
    <w:rsid w:val="001D6629"/>
    <w:rsid w:val="001E3390"/>
    <w:rsid w:val="001E44D1"/>
    <w:rsid w:val="001E731C"/>
    <w:rsid w:val="001F2270"/>
    <w:rsid w:val="001F407F"/>
    <w:rsid w:val="001F418A"/>
    <w:rsid w:val="00200BC8"/>
    <w:rsid w:val="00203B40"/>
    <w:rsid w:val="00205A82"/>
    <w:rsid w:val="00211BEE"/>
    <w:rsid w:val="002179C6"/>
    <w:rsid w:val="0022681C"/>
    <w:rsid w:val="00236522"/>
    <w:rsid w:val="002410A5"/>
    <w:rsid w:val="002504B0"/>
    <w:rsid w:val="00261607"/>
    <w:rsid w:val="00263DD1"/>
    <w:rsid w:val="00264D3B"/>
    <w:rsid w:val="00265685"/>
    <w:rsid w:val="00265F5A"/>
    <w:rsid w:val="002704AA"/>
    <w:rsid w:val="00271B0C"/>
    <w:rsid w:val="002720EA"/>
    <w:rsid w:val="00273CB7"/>
    <w:rsid w:val="00281D5F"/>
    <w:rsid w:val="00283F6B"/>
    <w:rsid w:val="002923AD"/>
    <w:rsid w:val="00296592"/>
    <w:rsid w:val="002A0A4B"/>
    <w:rsid w:val="002A499E"/>
    <w:rsid w:val="002B636E"/>
    <w:rsid w:val="002B64D6"/>
    <w:rsid w:val="002C12F5"/>
    <w:rsid w:val="002D6FCE"/>
    <w:rsid w:val="002F115F"/>
    <w:rsid w:val="002F7D29"/>
    <w:rsid w:val="0031434A"/>
    <w:rsid w:val="00334DC4"/>
    <w:rsid w:val="00337909"/>
    <w:rsid w:val="00340511"/>
    <w:rsid w:val="00340F0A"/>
    <w:rsid w:val="003473E3"/>
    <w:rsid w:val="003548BB"/>
    <w:rsid w:val="0036155F"/>
    <w:rsid w:val="00375157"/>
    <w:rsid w:val="00384799"/>
    <w:rsid w:val="0038647D"/>
    <w:rsid w:val="00393A49"/>
    <w:rsid w:val="003A3CD3"/>
    <w:rsid w:val="003A7BFD"/>
    <w:rsid w:val="003B2BA2"/>
    <w:rsid w:val="003B2CFB"/>
    <w:rsid w:val="003B41E0"/>
    <w:rsid w:val="003C330B"/>
    <w:rsid w:val="003C3D73"/>
    <w:rsid w:val="003C5E12"/>
    <w:rsid w:val="003D418C"/>
    <w:rsid w:val="003D624D"/>
    <w:rsid w:val="003E7802"/>
    <w:rsid w:val="003F7A57"/>
    <w:rsid w:val="00412D1B"/>
    <w:rsid w:val="004157EE"/>
    <w:rsid w:val="0042007A"/>
    <w:rsid w:val="0042529C"/>
    <w:rsid w:val="00433C81"/>
    <w:rsid w:val="00433F70"/>
    <w:rsid w:val="004440DC"/>
    <w:rsid w:val="00446D6B"/>
    <w:rsid w:val="00451789"/>
    <w:rsid w:val="00457B3F"/>
    <w:rsid w:val="00463022"/>
    <w:rsid w:val="0046392D"/>
    <w:rsid w:val="00470201"/>
    <w:rsid w:val="00481CF0"/>
    <w:rsid w:val="00490CD4"/>
    <w:rsid w:val="00491B47"/>
    <w:rsid w:val="00492971"/>
    <w:rsid w:val="004969BF"/>
    <w:rsid w:val="004A7959"/>
    <w:rsid w:val="004B06A0"/>
    <w:rsid w:val="004B1787"/>
    <w:rsid w:val="004B492A"/>
    <w:rsid w:val="004C064E"/>
    <w:rsid w:val="004C0B0C"/>
    <w:rsid w:val="004D1A80"/>
    <w:rsid w:val="004D3F58"/>
    <w:rsid w:val="004E52E2"/>
    <w:rsid w:val="004E6BB4"/>
    <w:rsid w:val="004E7D3C"/>
    <w:rsid w:val="00511367"/>
    <w:rsid w:val="00515D43"/>
    <w:rsid w:val="00521012"/>
    <w:rsid w:val="0052544D"/>
    <w:rsid w:val="00526B19"/>
    <w:rsid w:val="00541E7F"/>
    <w:rsid w:val="00551FB8"/>
    <w:rsid w:val="005537F6"/>
    <w:rsid w:val="00553EB8"/>
    <w:rsid w:val="00560F43"/>
    <w:rsid w:val="0056381E"/>
    <w:rsid w:val="005644B8"/>
    <w:rsid w:val="005654D0"/>
    <w:rsid w:val="0058510B"/>
    <w:rsid w:val="00585B3F"/>
    <w:rsid w:val="005940AB"/>
    <w:rsid w:val="005A0E8C"/>
    <w:rsid w:val="005A4C57"/>
    <w:rsid w:val="005A509E"/>
    <w:rsid w:val="005B17AB"/>
    <w:rsid w:val="005C68FE"/>
    <w:rsid w:val="005E62C3"/>
    <w:rsid w:val="005E6D2F"/>
    <w:rsid w:val="005F7D30"/>
    <w:rsid w:val="00602523"/>
    <w:rsid w:val="006040CB"/>
    <w:rsid w:val="00604351"/>
    <w:rsid w:val="00606BA7"/>
    <w:rsid w:val="00607D8A"/>
    <w:rsid w:val="00614DEA"/>
    <w:rsid w:val="0061590F"/>
    <w:rsid w:val="006256BE"/>
    <w:rsid w:val="00633C07"/>
    <w:rsid w:val="00636497"/>
    <w:rsid w:val="00641AE2"/>
    <w:rsid w:val="0064456A"/>
    <w:rsid w:val="00650DDA"/>
    <w:rsid w:val="0065126A"/>
    <w:rsid w:val="00653FA6"/>
    <w:rsid w:val="006552D9"/>
    <w:rsid w:val="0067557D"/>
    <w:rsid w:val="006802D4"/>
    <w:rsid w:val="00683849"/>
    <w:rsid w:val="00684739"/>
    <w:rsid w:val="00691AB5"/>
    <w:rsid w:val="006B0A01"/>
    <w:rsid w:val="006B3C93"/>
    <w:rsid w:val="006C53FD"/>
    <w:rsid w:val="006C6CFF"/>
    <w:rsid w:val="006E1E6B"/>
    <w:rsid w:val="006E5A43"/>
    <w:rsid w:val="006F0EAC"/>
    <w:rsid w:val="006F2F61"/>
    <w:rsid w:val="006F6A85"/>
    <w:rsid w:val="0070328D"/>
    <w:rsid w:val="007147CD"/>
    <w:rsid w:val="007177E9"/>
    <w:rsid w:val="00731F96"/>
    <w:rsid w:val="00733DCF"/>
    <w:rsid w:val="00734127"/>
    <w:rsid w:val="00735FEA"/>
    <w:rsid w:val="007363D7"/>
    <w:rsid w:val="00742639"/>
    <w:rsid w:val="00743460"/>
    <w:rsid w:val="00743A27"/>
    <w:rsid w:val="0074418D"/>
    <w:rsid w:val="0074475B"/>
    <w:rsid w:val="007448F7"/>
    <w:rsid w:val="00753DC6"/>
    <w:rsid w:val="0075578C"/>
    <w:rsid w:val="00766DFB"/>
    <w:rsid w:val="00771D6B"/>
    <w:rsid w:val="007734B5"/>
    <w:rsid w:val="007809B8"/>
    <w:rsid w:val="007813A6"/>
    <w:rsid w:val="007A6D6E"/>
    <w:rsid w:val="007B3E17"/>
    <w:rsid w:val="007D0924"/>
    <w:rsid w:val="007D6FDF"/>
    <w:rsid w:val="007F6E49"/>
    <w:rsid w:val="0080041D"/>
    <w:rsid w:val="00805233"/>
    <w:rsid w:val="00805FD7"/>
    <w:rsid w:val="00806E54"/>
    <w:rsid w:val="00815FE9"/>
    <w:rsid w:val="008206EE"/>
    <w:rsid w:val="008214B1"/>
    <w:rsid w:val="008273A9"/>
    <w:rsid w:val="00836ED7"/>
    <w:rsid w:val="00840C93"/>
    <w:rsid w:val="0084355E"/>
    <w:rsid w:val="00843F08"/>
    <w:rsid w:val="008453AC"/>
    <w:rsid w:val="008545FA"/>
    <w:rsid w:val="0085652A"/>
    <w:rsid w:val="00860D09"/>
    <w:rsid w:val="00862044"/>
    <w:rsid w:val="00870106"/>
    <w:rsid w:val="008709D6"/>
    <w:rsid w:val="00880BF7"/>
    <w:rsid w:val="00890155"/>
    <w:rsid w:val="0089269F"/>
    <w:rsid w:val="008A2133"/>
    <w:rsid w:val="008A3857"/>
    <w:rsid w:val="008B2205"/>
    <w:rsid w:val="008C305F"/>
    <w:rsid w:val="008C3AD2"/>
    <w:rsid w:val="008C7678"/>
    <w:rsid w:val="008C7C3D"/>
    <w:rsid w:val="008D1048"/>
    <w:rsid w:val="008D602C"/>
    <w:rsid w:val="008D6F66"/>
    <w:rsid w:val="008E1BEA"/>
    <w:rsid w:val="008E242D"/>
    <w:rsid w:val="008E43D2"/>
    <w:rsid w:val="008E5248"/>
    <w:rsid w:val="008F04C9"/>
    <w:rsid w:val="008F44DC"/>
    <w:rsid w:val="008F7C50"/>
    <w:rsid w:val="008F7DB7"/>
    <w:rsid w:val="00903AA0"/>
    <w:rsid w:val="00903EF4"/>
    <w:rsid w:val="00905583"/>
    <w:rsid w:val="009064D3"/>
    <w:rsid w:val="00915300"/>
    <w:rsid w:val="00933B0C"/>
    <w:rsid w:val="00935676"/>
    <w:rsid w:val="009472EF"/>
    <w:rsid w:val="00966C9B"/>
    <w:rsid w:val="00975189"/>
    <w:rsid w:val="0098401D"/>
    <w:rsid w:val="00984A20"/>
    <w:rsid w:val="0099051D"/>
    <w:rsid w:val="00995632"/>
    <w:rsid w:val="009A789F"/>
    <w:rsid w:val="009A7992"/>
    <w:rsid w:val="009B12EF"/>
    <w:rsid w:val="009B1FD9"/>
    <w:rsid w:val="009B270C"/>
    <w:rsid w:val="009B48F7"/>
    <w:rsid w:val="009B6185"/>
    <w:rsid w:val="009C4896"/>
    <w:rsid w:val="009C6879"/>
    <w:rsid w:val="009C6C6D"/>
    <w:rsid w:val="009E1E78"/>
    <w:rsid w:val="009F755D"/>
    <w:rsid w:val="00A031DB"/>
    <w:rsid w:val="00A06885"/>
    <w:rsid w:val="00A1597D"/>
    <w:rsid w:val="00A23087"/>
    <w:rsid w:val="00A43EB1"/>
    <w:rsid w:val="00A45A48"/>
    <w:rsid w:val="00A46989"/>
    <w:rsid w:val="00A469AA"/>
    <w:rsid w:val="00A47659"/>
    <w:rsid w:val="00A632C9"/>
    <w:rsid w:val="00A63476"/>
    <w:rsid w:val="00A65DBB"/>
    <w:rsid w:val="00A71CE9"/>
    <w:rsid w:val="00A72A19"/>
    <w:rsid w:val="00A75A30"/>
    <w:rsid w:val="00A84444"/>
    <w:rsid w:val="00A87416"/>
    <w:rsid w:val="00A93C82"/>
    <w:rsid w:val="00AB2A48"/>
    <w:rsid w:val="00AC3236"/>
    <w:rsid w:val="00AD4874"/>
    <w:rsid w:val="00AE1F8A"/>
    <w:rsid w:val="00AE709F"/>
    <w:rsid w:val="00AF4596"/>
    <w:rsid w:val="00AF4FA9"/>
    <w:rsid w:val="00AF7485"/>
    <w:rsid w:val="00B00825"/>
    <w:rsid w:val="00B036B2"/>
    <w:rsid w:val="00B04D19"/>
    <w:rsid w:val="00B133F1"/>
    <w:rsid w:val="00B153C3"/>
    <w:rsid w:val="00B20E6D"/>
    <w:rsid w:val="00B22087"/>
    <w:rsid w:val="00B52AEE"/>
    <w:rsid w:val="00B55998"/>
    <w:rsid w:val="00B6386F"/>
    <w:rsid w:val="00B722F2"/>
    <w:rsid w:val="00B73D89"/>
    <w:rsid w:val="00B76E01"/>
    <w:rsid w:val="00B80355"/>
    <w:rsid w:val="00B84AC6"/>
    <w:rsid w:val="00B90958"/>
    <w:rsid w:val="00B95339"/>
    <w:rsid w:val="00BA0B81"/>
    <w:rsid w:val="00BA569C"/>
    <w:rsid w:val="00BB0DE8"/>
    <w:rsid w:val="00BB334E"/>
    <w:rsid w:val="00BB5DCF"/>
    <w:rsid w:val="00BC2237"/>
    <w:rsid w:val="00BC2476"/>
    <w:rsid w:val="00BD17EF"/>
    <w:rsid w:val="00BD7149"/>
    <w:rsid w:val="00BD717F"/>
    <w:rsid w:val="00BE331C"/>
    <w:rsid w:val="00BF2C81"/>
    <w:rsid w:val="00BF59EA"/>
    <w:rsid w:val="00BF79CD"/>
    <w:rsid w:val="00C0055C"/>
    <w:rsid w:val="00C058AB"/>
    <w:rsid w:val="00C0721B"/>
    <w:rsid w:val="00C15614"/>
    <w:rsid w:val="00C15B45"/>
    <w:rsid w:val="00C34C8C"/>
    <w:rsid w:val="00C50792"/>
    <w:rsid w:val="00C51371"/>
    <w:rsid w:val="00C55A45"/>
    <w:rsid w:val="00C72B48"/>
    <w:rsid w:val="00C75AE2"/>
    <w:rsid w:val="00C83920"/>
    <w:rsid w:val="00C843F3"/>
    <w:rsid w:val="00C904D9"/>
    <w:rsid w:val="00C94C06"/>
    <w:rsid w:val="00CA48BF"/>
    <w:rsid w:val="00CB3ACC"/>
    <w:rsid w:val="00CB4745"/>
    <w:rsid w:val="00CB6721"/>
    <w:rsid w:val="00CD2088"/>
    <w:rsid w:val="00CD2163"/>
    <w:rsid w:val="00CD4FE7"/>
    <w:rsid w:val="00CD5E6B"/>
    <w:rsid w:val="00CD786F"/>
    <w:rsid w:val="00CE4FBC"/>
    <w:rsid w:val="00CE5D96"/>
    <w:rsid w:val="00CE7344"/>
    <w:rsid w:val="00CF26EE"/>
    <w:rsid w:val="00CF6F7A"/>
    <w:rsid w:val="00D1223B"/>
    <w:rsid w:val="00D21046"/>
    <w:rsid w:val="00D310F0"/>
    <w:rsid w:val="00D37AC2"/>
    <w:rsid w:val="00D44C9D"/>
    <w:rsid w:val="00D45A58"/>
    <w:rsid w:val="00D500A9"/>
    <w:rsid w:val="00D61180"/>
    <w:rsid w:val="00D6345B"/>
    <w:rsid w:val="00D64121"/>
    <w:rsid w:val="00D65F4D"/>
    <w:rsid w:val="00D67119"/>
    <w:rsid w:val="00D70B0C"/>
    <w:rsid w:val="00D732FE"/>
    <w:rsid w:val="00D74E25"/>
    <w:rsid w:val="00D772E9"/>
    <w:rsid w:val="00D82E10"/>
    <w:rsid w:val="00D92893"/>
    <w:rsid w:val="00D934BB"/>
    <w:rsid w:val="00D969AE"/>
    <w:rsid w:val="00DA31AB"/>
    <w:rsid w:val="00DA3281"/>
    <w:rsid w:val="00DA6D3E"/>
    <w:rsid w:val="00DA7115"/>
    <w:rsid w:val="00DC02E8"/>
    <w:rsid w:val="00DC75C7"/>
    <w:rsid w:val="00DC78D3"/>
    <w:rsid w:val="00DD1077"/>
    <w:rsid w:val="00DE47A4"/>
    <w:rsid w:val="00DE4D73"/>
    <w:rsid w:val="00DF00FE"/>
    <w:rsid w:val="00DF15BE"/>
    <w:rsid w:val="00DF4582"/>
    <w:rsid w:val="00DF4592"/>
    <w:rsid w:val="00E037C7"/>
    <w:rsid w:val="00E15FDC"/>
    <w:rsid w:val="00E17B7B"/>
    <w:rsid w:val="00E201E6"/>
    <w:rsid w:val="00E259F2"/>
    <w:rsid w:val="00E2651B"/>
    <w:rsid w:val="00E30DDB"/>
    <w:rsid w:val="00E36C54"/>
    <w:rsid w:val="00E5090E"/>
    <w:rsid w:val="00E5549F"/>
    <w:rsid w:val="00E6632E"/>
    <w:rsid w:val="00E71AB9"/>
    <w:rsid w:val="00E7425C"/>
    <w:rsid w:val="00E90CF2"/>
    <w:rsid w:val="00EA6339"/>
    <w:rsid w:val="00EB2E93"/>
    <w:rsid w:val="00EB5F4B"/>
    <w:rsid w:val="00EC38C1"/>
    <w:rsid w:val="00EC628B"/>
    <w:rsid w:val="00ED05AC"/>
    <w:rsid w:val="00ED0F61"/>
    <w:rsid w:val="00ED3856"/>
    <w:rsid w:val="00EE3623"/>
    <w:rsid w:val="00EE3F6D"/>
    <w:rsid w:val="00EE73E1"/>
    <w:rsid w:val="00EF23D6"/>
    <w:rsid w:val="00F11B0E"/>
    <w:rsid w:val="00F12107"/>
    <w:rsid w:val="00F122BD"/>
    <w:rsid w:val="00F13165"/>
    <w:rsid w:val="00F20C20"/>
    <w:rsid w:val="00F33E23"/>
    <w:rsid w:val="00F36265"/>
    <w:rsid w:val="00F4234E"/>
    <w:rsid w:val="00F43962"/>
    <w:rsid w:val="00F61429"/>
    <w:rsid w:val="00F62D39"/>
    <w:rsid w:val="00F74089"/>
    <w:rsid w:val="00F7477E"/>
    <w:rsid w:val="00F76BBB"/>
    <w:rsid w:val="00F81E6B"/>
    <w:rsid w:val="00F85393"/>
    <w:rsid w:val="00F8561B"/>
    <w:rsid w:val="00FA31A7"/>
    <w:rsid w:val="00FA4A24"/>
    <w:rsid w:val="00FB31EC"/>
    <w:rsid w:val="00FB6B59"/>
    <w:rsid w:val="00FC41B4"/>
    <w:rsid w:val="00FC5A6B"/>
    <w:rsid w:val="00FD210F"/>
    <w:rsid w:val="00FD271F"/>
    <w:rsid w:val="00FD2D74"/>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3EF4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ind w:left="720"/>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40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40F0A"/>
    <w:rPr>
      <w:kern w:val="28"/>
      <w:sz w:val="52"/>
      <w:lang w:eastAsia="en-US"/>
    </w:rPr>
  </w:style>
  <w:style w:type="character" w:customStyle="1" w:styleId="Heading3Char">
    <w:name w:val="Heading 3 Char"/>
    <w:basedOn w:val="DefaultParagraphFont"/>
    <w:link w:val="Heading3"/>
    <w:rsid w:val="00340F0A"/>
    <w:rPr>
      <w:rFonts w:ascii="Arial" w:hAnsi="Arial"/>
      <w:b/>
      <w:sz w:val="26"/>
    </w:rPr>
  </w:style>
  <w:style w:type="paragraph" w:styleId="Revision">
    <w:name w:val="Revision"/>
    <w:hidden/>
    <w:uiPriority w:val="99"/>
    <w:semiHidden/>
    <w:rsid w:val="00F76BBB"/>
    <w:rPr>
      <w:sz w:val="26"/>
      <w:lang w:eastAsia="en-US"/>
    </w:rPr>
  </w:style>
  <w:style w:type="paragraph" w:styleId="CommentSubject">
    <w:name w:val="annotation subject"/>
    <w:basedOn w:val="CommentText"/>
    <w:next w:val="CommentText"/>
    <w:link w:val="CommentSubjectChar"/>
    <w:rsid w:val="00F76BBB"/>
    <w:pPr>
      <w:spacing w:before="0" w:line="240" w:lineRule="auto"/>
      <w:ind w:left="0" w:firstLine="0"/>
    </w:pPr>
    <w:rPr>
      <w:b/>
      <w:bCs/>
    </w:rPr>
  </w:style>
  <w:style w:type="character" w:customStyle="1" w:styleId="CommentTextChar">
    <w:name w:val="Comment Text Char"/>
    <w:basedOn w:val="DefaultParagraphFont"/>
    <w:link w:val="CommentText"/>
    <w:semiHidden/>
    <w:rsid w:val="00F76BBB"/>
    <w:rPr>
      <w:lang w:eastAsia="en-US"/>
    </w:rPr>
  </w:style>
  <w:style w:type="character" w:customStyle="1" w:styleId="CommentSubjectChar">
    <w:name w:val="Comment Subject Char"/>
    <w:basedOn w:val="CommentTextChar"/>
    <w:link w:val="CommentSubject"/>
    <w:rsid w:val="00F76BBB"/>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ind w:left="720"/>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40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40F0A"/>
    <w:rPr>
      <w:kern w:val="28"/>
      <w:sz w:val="52"/>
      <w:lang w:eastAsia="en-US"/>
    </w:rPr>
  </w:style>
  <w:style w:type="character" w:customStyle="1" w:styleId="Heading3Char">
    <w:name w:val="Heading 3 Char"/>
    <w:basedOn w:val="DefaultParagraphFont"/>
    <w:link w:val="Heading3"/>
    <w:rsid w:val="00340F0A"/>
    <w:rPr>
      <w:rFonts w:ascii="Arial" w:hAnsi="Arial"/>
      <w:b/>
      <w:sz w:val="26"/>
    </w:rPr>
  </w:style>
  <w:style w:type="paragraph" w:styleId="Revision">
    <w:name w:val="Revision"/>
    <w:hidden/>
    <w:uiPriority w:val="99"/>
    <w:semiHidden/>
    <w:rsid w:val="00F76BBB"/>
    <w:rPr>
      <w:sz w:val="26"/>
      <w:lang w:eastAsia="en-US"/>
    </w:rPr>
  </w:style>
  <w:style w:type="paragraph" w:styleId="CommentSubject">
    <w:name w:val="annotation subject"/>
    <w:basedOn w:val="CommentText"/>
    <w:next w:val="CommentText"/>
    <w:link w:val="CommentSubjectChar"/>
    <w:rsid w:val="00F76BBB"/>
    <w:pPr>
      <w:spacing w:before="0" w:line="240" w:lineRule="auto"/>
      <w:ind w:left="0" w:firstLine="0"/>
    </w:pPr>
    <w:rPr>
      <w:b/>
      <w:bCs/>
    </w:rPr>
  </w:style>
  <w:style w:type="character" w:customStyle="1" w:styleId="CommentTextChar">
    <w:name w:val="Comment Text Char"/>
    <w:basedOn w:val="DefaultParagraphFont"/>
    <w:link w:val="CommentText"/>
    <w:semiHidden/>
    <w:rsid w:val="00F76BBB"/>
    <w:rPr>
      <w:lang w:eastAsia="en-US"/>
    </w:rPr>
  </w:style>
  <w:style w:type="character" w:customStyle="1" w:styleId="CommentSubjectChar">
    <w:name w:val="Comment Subject Char"/>
    <w:basedOn w:val="CommentTextChar"/>
    <w:link w:val="CommentSubject"/>
    <w:rsid w:val="00F76BB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7697">
      <w:bodyDiv w:val="1"/>
      <w:marLeft w:val="0"/>
      <w:marRight w:val="0"/>
      <w:marTop w:val="0"/>
      <w:marBottom w:val="0"/>
      <w:divBdr>
        <w:top w:val="none" w:sz="0" w:space="0" w:color="auto"/>
        <w:left w:val="none" w:sz="0" w:space="0" w:color="auto"/>
        <w:bottom w:val="none" w:sz="0" w:space="0" w:color="auto"/>
        <w:right w:val="none" w:sz="0" w:space="0" w:color="auto"/>
      </w:divBdr>
    </w:div>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53553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header" Target="header7.xm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12.xml"/><Relationship Id="rId40" Type="http://schemas.openxmlformats.org/officeDocument/2006/relationships/footer" Target="footer13.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footer" Target="footer11.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5.xml"/><Relationship Id="rId27" Type="http://schemas.openxmlformats.org/officeDocument/2006/relationships/footer" Target="footer6.xml"/><Relationship Id="rId30" Type="http://schemas.openxmlformats.org/officeDocument/2006/relationships/header" Target="header9.xml"/><Relationship Id="rId35"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Dev\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C12F25B6C5A545B96E3BD41F8E302E" ma:contentTypeVersion="0" ma:contentTypeDescription="Create a new document." ma:contentTypeScope="" ma:versionID="225fca121c3b34146f990007c8e2d62c">
  <xsd:schema xmlns:xsd="http://www.w3.org/2001/XMLSchema" xmlns:xs="http://www.w3.org/2001/XMLSchema" xmlns:p="http://schemas.microsoft.com/office/2006/metadata/properties" targetNamespace="http://schemas.microsoft.com/office/2006/metadata/properties" ma:root="true" ma:fieldsID="8b741d7760e7820ac40a9c32876c49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False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56CB55B-26A8-49B1-A7FB-82D7160E3603}">
  <ds:schemaRefs>
    <ds:schemaRef ds:uri="http://purl.org/dc/elements/1.1/"/>
    <ds:schemaRef ds:uri="http://purl.org/dc/terms/"/>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49F9B5F-26A2-4806-99A8-054ECEFC85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5262B89-DF30-4C49-8B8D-089B9829839C}">
  <ds:schemaRefs>
    <ds:schemaRef ds:uri="http://schemas.microsoft.com/office/2006/metadata/customXsn"/>
  </ds:schemaRefs>
</ds:datastoreItem>
</file>

<file path=customXml/itemProps4.xml><?xml version="1.0" encoding="utf-8"?>
<ds:datastoreItem xmlns:ds="http://schemas.openxmlformats.org/officeDocument/2006/customXml" ds:itemID="{DC17F7F9-FE41-4EEC-8154-D893355BEBCA}">
  <ds:schemaRefs>
    <ds:schemaRef ds:uri="http://schemas.microsoft.com/sharepoint/v3/contenttype/forms"/>
  </ds:schemaRefs>
</ds:datastoreItem>
</file>

<file path=customXml/itemProps5.xml><?xml version="1.0" encoding="utf-8"?>
<ds:datastoreItem xmlns:ds="http://schemas.openxmlformats.org/officeDocument/2006/customXml" ds:itemID="{2683D282-F9D1-42CF-A29F-C0D636516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732</TotalTime>
  <Pages>13</Pages>
  <Words>2098</Words>
  <Characters>12603</Characters>
  <Application>Microsoft Office Word</Application>
  <DocSecurity>0</DocSecurity>
  <Lines>221</Lines>
  <Paragraphs>80</Paragraphs>
  <ScaleCrop>false</ScaleCrop>
  <HeadingPairs>
    <vt:vector size="2" baseType="variant">
      <vt:variant>
        <vt:lpstr>Title</vt:lpstr>
      </vt:variant>
      <vt:variant>
        <vt:i4>1</vt:i4>
      </vt:variant>
    </vt:vector>
  </HeadingPairs>
  <TitlesOfParts>
    <vt:vector size="1" baseType="lpstr">
      <vt:lpstr>Mutual Recognition Schemes</vt:lpstr>
    </vt:vector>
  </TitlesOfParts>
  <Company>Productivity Commission</Company>
  <LinksUpToDate>false</LinksUpToDate>
  <CharactersWithSpaces>14621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Report - Mutual Recognition Schemes</dc:title>
  <dc:subject/>
  <dc:creator>Productivity Commission</dc:creator>
  <cp:keywords/>
  <dc:description/>
  <cp:lastModifiedBy>Michelle Cross</cp:lastModifiedBy>
  <cp:revision>175</cp:revision>
  <cp:lastPrinted>2015-09-10T07:03:00Z</cp:lastPrinted>
  <dcterms:created xsi:type="dcterms:W3CDTF">2015-05-21T04:32:00Z</dcterms:created>
  <dcterms:modified xsi:type="dcterms:W3CDTF">2015-09-16T05:23:00Z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0x0101001FC12F25B6C5A545B96E3BD41F8E302E</vt:lpwstr>
  </property>
  <property fmtid="{D5CDD505-2E9C-101B-9397-08002B2CF9AE}" pid="3" name="RecordPoint_WorkflowType">
    <vt:lpwstr>ActiveSubmitStub</vt:lpwstr>
  </property>
  <property fmtid="{D5CDD505-2E9C-101B-9397-08002B2CF9AE}" pid="4" name="RecordPoint_ActiveItemSiteId">
    <vt:lpwstr>{5750d626-0aa0-474c-a55f-8063909d4906}</vt:lpwstr>
  </property>
  <property fmtid="{D5CDD505-2E9C-101B-9397-08002B2CF9AE}" pid="5" name="RecordPoint_ActiveItemListId">
    <vt:lpwstr>{8af5aa58-d706-405f-bd4e-05fa68392562}</vt:lpwstr>
  </property>
  <property fmtid="{D5CDD505-2E9C-101B-9397-08002B2CF9AE}" pid="6" name="RecordPoint_ActiveItemUniqueId">
    <vt:lpwstr>{d69e31c5-09a4-41cd-b333-e619761cb674}</vt:lpwstr>
  </property>
  <property fmtid="{D5CDD505-2E9C-101B-9397-08002B2CF9AE}" pid="7" name="RecordPoint_ActiveItemWebId">
    <vt:lpwstr>{6ef9567b-cc06-4b04-94f3-bd3ca7818bc7}</vt:lpwstr>
  </property>
</Properties>
</file>