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3E6" w:rsidRPr="009023E6" w:rsidRDefault="009023E6" w:rsidP="009023E6">
      <w:pPr>
        <w:pStyle w:val="Heading1"/>
        <w:rPr>
          <w:color w:val="FFFFFF" w:themeColor="background1"/>
          <w:sz w:val="16"/>
          <w:szCs w:val="16"/>
        </w:rPr>
      </w:pPr>
      <w:r w:rsidRPr="009023E6">
        <w:rPr>
          <w:color w:val="FFFFFF" w:themeColor="background1"/>
          <w:sz w:val="16"/>
          <w:szCs w:val="16"/>
        </w:rPr>
        <w:t>Expenditure on Children in the Northern Territory</w:t>
      </w:r>
    </w:p>
    <w:p w:rsidR="00D96622" w:rsidRPr="009023E6" w:rsidRDefault="009023E6" w:rsidP="009023E6">
      <w:pPr>
        <w:pStyle w:val="BodyText"/>
        <w:rPr>
          <w:color w:val="FFFFFF" w:themeColor="background1"/>
        </w:rPr>
      </w:pPr>
      <w:r w:rsidRPr="009023E6">
        <w:rPr>
          <w:color w:val="FFFFFF" w:themeColor="background1"/>
          <w:sz w:val="16"/>
          <w:szCs w:val="16"/>
        </w:rPr>
        <w:t>Productivity Commission Issues Paper, May 2019</w:t>
      </w:r>
      <w:r>
        <w:rPr>
          <w:noProof/>
          <w:color w:val="FFFFFF" w:themeColor="background1"/>
        </w:rPr>
        <w:drawing>
          <wp:anchor distT="0" distB="0" distL="114300" distR="114300" simplePos="0" relativeHeight="251658240" behindDoc="0" locked="0" layoutInCell="1" allowOverlap="1">
            <wp:simplePos x="828675" y="1181100"/>
            <wp:positionH relativeFrom="page">
              <wp:align>center</wp:align>
            </wp:positionH>
            <wp:positionV relativeFrom="page">
              <wp:align>center</wp:align>
            </wp:positionV>
            <wp:extent cx="7610400" cy="10764000"/>
            <wp:effectExtent l="0" t="0" r="0" b="0"/>
            <wp:wrapNone/>
            <wp:docPr id="1" name="Picture 1" descr="Cover for: Expenditure on Children in the Northern Territory, Productivity Commission Issues Paper, May 2019. The Commission has released this &#10;issues paper to assist individuals and organisations to prepare submissions. &#10;It contains and outlines: the scope of the study; the Commission’s procedures; matters about which the Commission&#10;is seeking comment and information; and how to make a submission.&#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ssues-paper-cover-NTChildren.png"/>
                    <pic:cNvPicPr/>
                  </pic:nvPicPr>
                  <pic:blipFill>
                    <a:blip r:embed="rId8">
                      <a:extLst>
                        <a:ext uri="{28A0092B-C50C-407E-A947-70E740481C1C}">
                          <a14:useLocalDpi xmlns:a14="http://schemas.microsoft.com/office/drawing/2010/main" val="0"/>
                        </a:ext>
                      </a:extLst>
                    </a:blip>
                    <a:stretch>
                      <a:fillRect/>
                    </a:stretch>
                  </pic:blipFill>
                  <pic:spPr>
                    <a:xfrm>
                      <a:off x="0" y="0"/>
                      <a:ext cx="7610400" cy="10764000"/>
                    </a:xfrm>
                    <a:prstGeom prst="rect">
                      <a:avLst/>
                    </a:prstGeom>
                  </pic:spPr>
                </pic:pic>
              </a:graphicData>
            </a:graphic>
            <wp14:sizeRelH relativeFrom="margin">
              <wp14:pctWidth>0</wp14:pctWidth>
            </wp14:sizeRelH>
            <wp14:sizeRelV relativeFrom="margin">
              <wp14:pctHeight>0</wp14:pctHeight>
            </wp14:sizeRelV>
          </wp:anchor>
        </w:drawing>
      </w:r>
      <w:r w:rsidR="00D96622" w:rsidRPr="009023E6">
        <w:rPr>
          <w:color w:val="FFFFFF" w:themeColor="background1"/>
        </w:rPr>
        <w:br w:type="page"/>
      </w:r>
    </w:p>
    <w:p w:rsidR="00D96622" w:rsidRDefault="00D96622" w:rsidP="00D96622">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8771"/>
      </w:tblGrid>
      <w:tr w:rsidR="00D96622" w:rsidTr="00972583">
        <w:trPr>
          <w:tblHeader/>
        </w:trPr>
        <w:tc>
          <w:tcPr>
            <w:tcW w:w="8771" w:type="dxa"/>
            <w:tcBorders>
              <w:top w:val="single" w:sz="6" w:space="0" w:color="78A22F"/>
              <w:left w:val="nil"/>
              <w:bottom w:val="nil"/>
              <w:right w:val="nil"/>
            </w:tcBorders>
            <w:shd w:val="clear" w:color="auto" w:fill="F2F2F2" w:themeFill="background1" w:themeFillShade="F2"/>
          </w:tcPr>
          <w:p w:rsidR="00D96622" w:rsidRPr="008A3857" w:rsidRDefault="00D96622" w:rsidP="00972583">
            <w:pPr>
              <w:pStyle w:val="BoxTitle"/>
              <w:rPr>
                <w:sz w:val="22"/>
                <w:szCs w:val="22"/>
              </w:rPr>
            </w:pPr>
            <w:r w:rsidRPr="008A3857">
              <w:rPr>
                <w:sz w:val="22"/>
                <w:szCs w:val="22"/>
              </w:rPr>
              <w:t xml:space="preserve">The </w:t>
            </w:r>
            <w:r>
              <w:rPr>
                <w:sz w:val="22"/>
                <w:szCs w:val="22"/>
              </w:rPr>
              <w:t>Issues Paper</w:t>
            </w:r>
          </w:p>
        </w:tc>
      </w:tr>
      <w:tr w:rsidR="00D96622" w:rsidTr="00972583">
        <w:tc>
          <w:tcPr>
            <w:tcW w:w="8771" w:type="dxa"/>
            <w:tcBorders>
              <w:top w:val="nil"/>
              <w:left w:val="nil"/>
              <w:bottom w:val="nil"/>
              <w:right w:val="nil"/>
            </w:tcBorders>
            <w:shd w:val="clear" w:color="auto" w:fill="F2F2F2" w:themeFill="background1" w:themeFillShade="F2"/>
          </w:tcPr>
          <w:p w:rsidR="00D96622" w:rsidRDefault="00D96622" w:rsidP="00972583">
            <w:pPr>
              <w:pStyle w:val="Box"/>
            </w:pPr>
            <w:r>
              <w:t>The Commission has released this issues paper to assist individuals and organisations</w:t>
            </w:r>
            <w:r w:rsidR="00C1514C">
              <w:t xml:space="preserve"> to prepare submissions to the study</w:t>
            </w:r>
            <w:r>
              <w:t>. It contains and outlines:</w:t>
            </w:r>
          </w:p>
          <w:p w:rsidR="00D96622" w:rsidRDefault="00D96622" w:rsidP="00C1514C">
            <w:pPr>
              <w:pStyle w:val="BoxListBullet"/>
            </w:pPr>
            <w:r>
              <w:t xml:space="preserve">the scope of the </w:t>
            </w:r>
            <w:r w:rsidR="00C1514C" w:rsidRPr="00C1514C">
              <w:t>study</w:t>
            </w:r>
          </w:p>
          <w:p w:rsidR="00D96622" w:rsidRDefault="00D96622" w:rsidP="00972583">
            <w:pPr>
              <w:pStyle w:val="BoxListBullet"/>
            </w:pPr>
            <w:r>
              <w:t>the Commission’s procedures</w:t>
            </w:r>
          </w:p>
          <w:p w:rsidR="00D96622" w:rsidRDefault="00D96622" w:rsidP="00972583">
            <w:pPr>
              <w:pStyle w:val="BoxListBullet"/>
            </w:pPr>
            <w:r>
              <w:t>matters about which the Commission is seeking comment and information</w:t>
            </w:r>
          </w:p>
          <w:p w:rsidR="00D96622" w:rsidRDefault="00D96622" w:rsidP="00972583">
            <w:pPr>
              <w:pStyle w:val="BoxListBullet"/>
            </w:pPr>
            <w:r>
              <w:t>how to make a submission.</w:t>
            </w:r>
          </w:p>
          <w:p w:rsidR="00D96622" w:rsidRDefault="00D96622" w:rsidP="00972583">
            <w:pPr>
              <w:pStyle w:val="Box"/>
            </w:pPr>
            <w:r>
              <w:t>Participants should not feel that they are restricted to comment only on matters raised in the issues paper. The Commission wishes to receive information and comment on issues which participants cons</w:t>
            </w:r>
            <w:r w:rsidR="00DF5FC1">
              <w:t xml:space="preserve">ider relevant to the </w:t>
            </w:r>
            <w:r>
              <w:t>stud</w:t>
            </w:r>
            <w:r w:rsidR="00DF5FC1">
              <w:t>y’s</w:t>
            </w:r>
            <w:r>
              <w:t xml:space="preserve"> terms of reference.</w:t>
            </w:r>
          </w:p>
          <w:p w:rsidR="00D96622" w:rsidRDefault="00D96622" w:rsidP="00972583">
            <w:pPr>
              <w:pStyle w:val="BoxHeading1"/>
            </w:pPr>
            <w:r>
              <w:t xml:space="preserve">Key </w:t>
            </w:r>
            <w:r w:rsidR="00C1514C">
              <w:t xml:space="preserve">study </w:t>
            </w:r>
            <w:r>
              <w:t>dates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Table used for design layout"/>
            </w:tblPr>
            <w:tblGrid>
              <w:gridCol w:w="3522"/>
              <w:gridCol w:w="4950"/>
            </w:tblGrid>
            <w:tr w:rsidR="00D96622" w:rsidTr="00972583">
              <w:trPr>
                <w:tblHeader/>
              </w:trPr>
              <w:tc>
                <w:tcPr>
                  <w:tcW w:w="3522" w:type="dxa"/>
                  <w:tcMar>
                    <w:left w:w="0" w:type="dxa"/>
                  </w:tcMar>
                </w:tcPr>
                <w:p w:rsidR="00D96622" w:rsidRDefault="00D96622" w:rsidP="00972583">
                  <w:pPr>
                    <w:pStyle w:val="Box"/>
                  </w:pPr>
                  <w:r>
                    <w:t>Receipt of terms of reference</w:t>
                  </w:r>
                </w:p>
              </w:tc>
              <w:tc>
                <w:tcPr>
                  <w:tcW w:w="4950" w:type="dxa"/>
                </w:tcPr>
                <w:p w:rsidR="00D96622" w:rsidRDefault="00C1514C" w:rsidP="00C1514C">
                  <w:pPr>
                    <w:pStyle w:val="Box"/>
                  </w:pPr>
                  <w:r>
                    <w:t>14</w:t>
                  </w:r>
                  <w:r w:rsidR="0035532D">
                    <w:t> </w:t>
                  </w:r>
                  <w:r>
                    <w:t>March 2019</w:t>
                  </w:r>
                </w:p>
              </w:tc>
            </w:tr>
            <w:tr w:rsidR="00D96622" w:rsidTr="00972583">
              <w:tc>
                <w:tcPr>
                  <w:tcW w:w="3522" w:type="dxa"/>
                  <w:tcMar>
                    <w:left w:w="0" w:type="dxa"/>
                  </w:tcMar>
                </w:tcPr>
                <w:p w:rsidR="00D96622" w:rsidRDefault="00C1514C" w:rsidP="00972583">
                  <w:pPr>
                    <w:pStyle w:val="Box"/>
                    <w:spacing w:before="60"/>
                  </w:pPr>
                  <w:r>
                    <w:t>Study commencement</w:t>
                  </w:r>
                </w:p>
              </w:tc>
              <w:tc>
                <w:tcPr>
                  <w:tcW w:w="4950" w:type="dxa"/>
                </w:tcPr>
                <w:p w:rsidR="00D96622" w:rsidRDefault="00C1514C" w:rsidP="00972583">
                  <w:pPr>
                    <w:pStyle w:val="Box"/>
                    <w:spacing w:before="60"/>
                  </w:pPr>
                  <w:r>
                    <w:t>1</w:t>
                  </w:r>
                  <w:r w:rsidR="0035532D">
                    <w:t> </w:t>
                  </w:r>
                  <w:r>
                    <w:t>April 2019</w:t>
                  </w:r>
                </w:p>
              </w:tc>
            </w:tr>
            <w:tr w:rsidR="00C1514C" w:rsidTr="00972583">
              <w:tc>
                <w:tcPr>
                  <w:tcW w:w="3522" w:type="dxa"/>
                  <w:tcMar>
                    <w:left w:w="0" w:type="dxa"/>
                  </w:tcMar>
                </w:tcPr>
                <w:p w:rsidR="00C1514C" w:rsidRPr="0040346E" w:rsidRDefault="00C1514C" w:rsidP="00C1514C">
                  <w:pPr>
                    <w:pStyle w:val="Box"/>
                    <w:spacing w:before="60"/>
                  </w:pPr>
                  <w:r w:rsidRPr="0040346E">
                    <w:t>Due date for submissions</w:t>
                  </w:r>
                </w:p>
              </w:tc>
              <w:tc>
                <w:tcPr>
                  <w:tcW w:w="4950" w:type="dxa"/>
                </w:tcPr>
                <w:p w:rsidR="00C1514C" w:rsidRPr="0040346E" w:rsidRDefault="00471BE8" w:rsidP="00471BE8">
                  <w:pPr>
                    <w:pStyle w:val="Box"/>
                    <w:spacing w:before="60"/>
                    <w:rPr>
                      <w:rStyle w:val="DraftingNote"/>
                      <w:color w:val="auto"/>
                    </w:rPr>
                  </w:pPr>
                  <w:r w:rsidRPr="0040346E">
                    <w:t>10</w:t>
                  </w:r>
                  <w:r w:rsidR="0035532D" w:rsidRPr="0040346E">
                    <w:t> </w:t>
                  </w:r>
                  <w:r w:rsidRPr="0040346E">
                    <w:t>July 2019</w:t>
                  </w:r>
                </w:p>
              </w:tc>
            </w:tr>
            <w:tr w:rsidR="00C1514C" w:rsidTr="00972583">
              <w:tc>
                <w:tcPr>
                  <w:tcW w:w="3522" w:type="dxa"/>
                  <w:tcMar>
                    <w:left w:w="0" w:type="dxa"/>
                  </w:tcMar>
                </w:tcPr>
                <w:p w:rsidR="00C1514C" w:rsidRDefault="00C1514C" w:rsidP="00C1514C">
                  <w:pPr>
                    <w:pStyle w:val="Box"/>
                    <w:spacing w:before="60"/>
                  </w:pPr>
                  <w:r>
                    <w:t>Release of draft report</w:t>
                  </w:r>
                </w:p>
              </w:tc>
              <w:tc>
                <w:tcPr>
                  <w:tcW w:w="4950" w:type="dxa"/>
                </w:tcPr>
                <w:p w:rsidR="00C1514C" w:rsidRDefault="00102BD3" w:rsidP="00C1514C">
                  <w:pPr>
                    <w:pStyle w:val="Box"/>
                    <w:spacing w:before="60"/>
                  </w:pPr>
                  <w:r>
                    <w:t>October/</w:t>
                  </w:r>
                  <w:r w:rsidR="00F7147D">
                    <w:t>November 2019</w:t>
                  </w:r>
                </w:p>
              </w:tc>
            </w:tr>
            <w:tr w:rsidR="00C1514C" w:rsidTr="00972583">
              <w:tc>
                <w:tcPr>
                  <w:tcW w:w="3522" w:type="dxa"/>
                  <w:tcMar>
                    <w:left w:w="0" w:type="dxa"/>
                  </w:tcMar>
                </w:tcPr>
                <w:p w:rsidR="00C1514C" w:rsidRDefault="00C1514C" w:rsidP="00C1514C">
                  <w:pPr>
                    <w:pStyle w:val="Box"/>
                    <w:spacing w:before="60"/>
                  </w:pPr>
                  <w:r>
                    <w:t>Final report to Government</w:t>
                  </w:r>
                </w:p>
              </w:tc>
              <w:tc>
                <w:tcPr>
                  <w:tcW w:w="4950" w:type="dxa"/>
                </w:tcPr>
                <w:p w:rsidR="00C1514C" w:rsidRDefault="00C1514C" w:rsidP="00C1514C">
                  <w:pPr>
                    <w:pStyle w:val="Box"/>
                    <w:spacing w:before="60"/>
                  </w:pPr>
                  <w:r>
                    <w:t>April 2020</w:t>
                  </w:r>
                </w:p>
              </w:tc>
            </w:tr>
          </w:tbl>
          <w:p w:rsidR="00D96622" w:rsidRDefault="00D96622" w:rsidP="00972583">
            <w:pPr>
              <w:pStyle w:val="BoxHeading1"/>
            </w:pPr>
            <w:r>
              <w:t>Submissions can be lodged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Table used for design layout"/>
            </w:tblPr>
            <w:tblGrid>
              <w:gridCol w:w="3522"/>
              <w:gridCol w:w="4950"/>
            </w:tblGrid>
            <w:tr w:rsidR="00D96622" w:rsidTr="00972583">
              <w:trPr>
                <w:tblHeader/>
              </w:trPr>
              <w:tc>
                <w:tcPr>
                  <w:tcW w:w="3522" w:type="dxa"/>
                  <w:tcMar>
                    <w:left w:w="0" w:type="dxa"/>
                  </w:tcMar>
                </w:tcPr>
                <w:p w:rsidR="00D96622" w:rsidRDefault="00D96622" w:rsidP="00972583">
                  <w:pPr>
                    <w:pStyle w:val="Box"/>
                  </w:pPr>
                  <w:r>
                    <w:t>Online:</w:t>
                  </w:r>
                </w:p>
              </w:tc>
              <w:tc>
                <w:tcPr>
                  <w:tcW w:w="4950" w:type="dxa"/>
                </w:tcPr>
                <w:p w:rsidR="00B47137" w:rsidRPr="00CF3A59" w:rsidRDefault="00B47137" w:rsidP="006F300B">
                  <w:pPr>
                    <w:pStyle w:val="Box"/>
                  </w:pPr>
                  <w:r w:rsidRPr="00CF3A59">
                    <w:t>www.pc.gov.au/</w:t>
                  </w:r>
                  <w:proofErr w:type="spellStart"/>
                  <w:r w:rsidRPr="00CF3A59">
                    <w:t>nt</w:t>
                  </w:r>
                  <w:proofErr w:type="spellEnd"/>
                  <w:r w:rsidRPr="00CF3A59">
                    <w:t>-children</w:t>
                  </w:r>
                </w:p>
              </w:tc>
            </w:tr>
            <w:tr w:rsidR="00D96622" w:rsidTr="00972583">
              <w:tc>
                <w:tcPr>
                  <w:tcW w:w="3522" w:type="dxa"/>
                  <w:tcMar>
                    <w:left w:w="0" w:type="dxa"/>
                  </w:tcMar>
                </w:tcPr>
                <w:p w:rsidR="00D96622" w:rsidRDefault="00D96622" w:rsidP="00972583">
                  <w:pPr>
                    <w:pStyle w:val="Box"/>
                    <w:spacing w:before="60"/>
                    <w:jc w:val="left"/>
                  </w:pPr>
                  <w:r>
                    <w:t>By post:</w:t>
                  </w:r>
                </w:p>
              </w:tc>
              <w:tc>
                <w:tcPr>
                  <w:tcW w:w="4950" w:type="dxa"/>
                </w:tcPr>
                <w:p w:rsidR="00D96622" w:rsidRDefault="00F7147D" w:rsidP="00972583">
                  <w:pPr>
                    <w:pStyle w:val="Box"/>
                    <w:spacing w:before="60"/>
                    <w:jc w:val="left"/>
                  </w:pPr>
                  <w:r>
                    <w:t>Expenditure on children in the Northern Territory</w:t>
                  </w:r>
                  <w:r w:rsidR="00D96622">
                    <w:br/>
                    <w:t>Pro</w:t>
                  </w:r>
                  <w:r>
                    <w:t>ductivity Commission</w:t>
                  </w:r>
                  <w:r>
                    <w:br/>
                    <w:t>Locked Bag 2, Collins Street East</w:t>
                  </w:r>
                  <w:r>
                    <w:br/>
                    <w:t>Melbourne VIC 8003</w:t>
                  </w:r>
                </w:p>
              </w:tc>
            </w:tr>
          </w:tbl>
          <w:p w:rsidR="00D96622" w:rsidRDefault="00D96622" w:rsidP="00972583">
            <w:pPr>
              <w:pStyle w:val="BoxHeading1"/>
            </w:pPr>
            <w:r>
              <w:t>Contacts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Table used for design layout"/>
            </w:tblPr>
            <w:tblGrid>
              <w:gridCol w:w="3522"/>
              <w:gridCol w:w="2268"/>
              <w:gridCol w:w="2682"/>
            </w:tblGrid>
            <w:tr w:rsidR="00D96622" w:rsidTr="00972583">
              <w:trPr>
                <w:tblHeader/>
              </w:trPr>
              <w:tc>
                <w:tcPr>
                  <w:tcW w:w="3522" w:type="dxa"/>
                  <w:tcMar>
                    <w:left w:w="0" w:type="dxa"/>
                  </w:tcMar>
                </w:tcPr>
                <w:p w:rsidR="00D96622" w:rsidRDefault="00D96622" w:rsidP="00972583">
                  <w:pPr>
                    <w:pStyle w:val="Box"/>
                  </w:pPr>
                  <w:r>
                    <w:t>Administrative matters:</w:t>
                  </w:r>
                </w:p>
              </w:tc>
              <w:tc>
                <w:tcPr>
                  <w:tcW w:w="2268" w:type="dxa"/>
                </w:tcPr>
                <w:p w:rsidR="00D96622" w:rsidRDefault="00F7147D" w:rsidP="00972583">
                  <w:pPr>
                    <w:pStyle w:val="Box"/>
                  </w:pPr>
                  <w:r>
                    <w:t>Marianna Olding</w:t>
                  </w:r>
                </w:p>
              </w:tc>
              <w:tc>
                <w:tcPr>
                  <w:tcW w:w="2682" w:type="dxa"/>
                </w:tcPr>
                <w:p w:rsidR="00D96622" w:rsidRDefault="00F7147D" w:rsidP="00972583">
                  <w:pPr>
                    <w:pStyle w:val="Box"/>
                  </w:pPr>
                  <w:proofErr w:type="spellStart"/>
                  <w:r>
                    <w:t>Ph</w:t>
                  </w:r>
                  <w:proofErr w:type="spellEnd"/>
                  <w:r>
                    <w:t>: 03 9653 2194</w:t>
                  </w:r>
                </w:p>
              </w:tc>
            </w:tr>
            <w:tr w:rsidR="00D96622" w:rsidTr="00972583">
              <w:tc>
                <w:tcPr>
                  <w:tcW w:w="3522" w:type="dxa"/>
                  <w:tcMar>
                    <w:left w:w="0" w:type="dxa"/>
                  </w:tcMar>
                </w:tcPr>
                <w:p w:rsidR="00D96622" w:rsidRDefault="00D96622" w:rsidP="00972583">
                  <w:pPr>
                    <w:pStyle w:val="Box"/>
                    <w:spacing w:before="60"/>
                  </w:pPr>
                  <w:r>
                    <w:t>Other matters:</w:t>
                  </w:r>
                </w:p>
              </w:tc>
              <w:tc>
                <w:tcPr>
                  <w:tcW w:w="2268" w:type="dxa"/>
                </w:tcPr>
                <w:p w:rsidR="00D96622" w:rsidRDefault="00F7147D" w:rsidP="00972583">
                  <w:pPr>
                    <w:pStyle w:val="Box"/>
                    <w:spacing w:before="60"/>
                  </w:pPr>
                  <w:r>
                    <w:t>Ana Markulev</w:t>
                  </w:r>
                </w:p>
              </w:tc>
              <w:tc>
                <w:tcPr>
                  <w:tcW w:w="2682" w:type="dxa"/>
                </w:tcPr>
                <w:p w:rsidR="00D96622" w:rsidRDefault="00F7147D" w:rsidP="00972583">
                  <w:pPr>
                    <w:pStyle w:val="Box"/>
                    <w:spacing w:before="60"/>
                  </w:pPr>
                  <w:proofErr w:type="spellStart"/>
                  <w:r>
                    <w:t>Ph</w:t>
                  </w:r>
                  <w:proofErr w:type="spellEnd"/>
                  <w:r>
                    <w:t>: 03 9653 2137</w:t>
                  </w:r>
                </w:p>
              </w:tc>
            </w:tr>
            <w:tr w:rsidR="00D96622" w:rsidTr="00972583">
              <w:tc>
                <w:tcPr>
                  <w:tcW w:w="3522" w:type="dxa"/>
                  <w:tcMar>
                    <w:left w:w="0" w:type="dxa"/>
                  </w:tcMar>
                </w:tcPr>
                <w:p w:rsidR="00D96622" w:rsidRDefault="00D96622" w:rsidP="00972583">
                  <w:pPr>
                    <w:pStyle w:val="Box"/>
                    <w:spacing w:before="60"/>
                  </w:pPr>
                  <w:proofErr w:type="spellStart"/>
                  <w:r>
                    <w:t>Freecall</w:t>
                  </w:r>
                  <w:proofErr w:type="spellEnd"/>
                  <w:r>
                    <w:t xml:space="preserve"> number for regional areas:</w:t>
                  </w:r>
                </w:p>
              </w:tc>
              <w:tc>
                <w:tcPr>
                  <w:tcW w:w="2268" w:type="dxa"/>
                </w:tcPr>
                <w:p w:rsidR="00D96622" w:rsidRDefault="00D96622" w:rsidP="00972583">
                  <w:pPr>
                    <w:pStyle w:val="Box"/>
                    <w:spacing w:before="60"/>
                  </w:pPr>
                  <w:r>
                    <w:t>1800 020 083</w:t>
                  </w:r>
                </w:p>
              </w:tc>
              <w:tc>
                <w:tcPr>
                  <w:tcW w:w="2682" w:type="dxa"/>
                </w:tcPr>
                <w:p w:rsidR="00D96622" w:rsidRDefault="00D96622" w:rsidP="00972583">
                  <w:pPr>
                    <w:pStyle w:val="Box"/>
                    <w:spacing w:before="60"/>
                  </w:pPr>
                </w:p>
              </w:tc>
            </w:tr>
            <w:tr w:rsidR="00D96622" w:rsidTr="00972583">
              <w:tc>
                <w:tcPr>
                  <w:tcW w:w="3522" w:type="dxa"/>
                  <w:tcMar>
                    <w:left w:w="0" w:type="dxa"/>
                  </w:tcMar>
                </w:tcPr>
                <w:p w:rsidR="00D96622" w:rsidRDefault="00D96622" w:rsidP="00972583">
                  <w:pPr>
                    <w:pStyle w:val="Box"/>
                    <w:spacing w:before="60"/>
                  </w:pPr>
                  <w:r>
                    <w:t>Website:</w:t>
                  </w:r>
                </w:p>
              </w:tc>
              <w:tc>
                <w:tcPr>
                  <w:tcW w:w="2268" w:type="dxa"/>
                </w:tcPr>
                <w:p w:rsidR="00D96622" w:rsidRPr="009F3E26" w:rsidRDefault="00D96622" w:rsidP="00972583">
                  <w:pPr>
                    <w:pStyle w:val="Box"/>
                    <w:spacing w:before="60"/>
                    <w:rPr>
                      <w:b/>
                    </w:rPr>
                  </w:pPr>
                  <w:r w:rsidRPr="009F3E26">
                    <w:rPr>
                      <w:b/>
                    </w:rPr>
                    <w:t>www.pc.gov.au</w:t>
                  </w:r>
                </w:p>
              </w:tc>
              <w:tc>
                <w:tcPr>
                  <w:tcW w:w="2682" w:type="dxa"/>
                </w:tcPr>
                <w:p w:rsidR="00D96622" w:rsidRDefault="00D96622" w:rsidP="00972583">
                  <w:pPr>
                    <w:pStyle w:val="Box"/>
                    <w:spacing w:before="60"/>
                  </w:pPr>
                </w:p>
              </w:tc>
            </w:tr>
          </w:tbl>
          <w:p w:rsidR="00D96622" w:rsidRDefault="00D96622" w:rsidP="00972583">
            <w:pPr>
              <w:pStyle w:val="Box"/>
            </w:pPr>
          </w:p>
        </w:tc>
      </w:tr>
      <w:tr w:rsidR="00D96622" w:rsidTr="00972583">
        <w:tc>
          <w:tcPr>
            <w:tcW w:w="8771" w:type="dxa"/>
            <w:tcBorders>
              <w:top w:val="nil"/>
              <w:left w:val="nil"/>
              <w:bottom w:val="single" w:sz="6" w:space="0" w:color="78A22F"/>
              <w:right w:val="nil"/>
            </w:tcBorders>
            <w:shd w:val="clear" w:color="auto" w:fill="F2F2F2" w:themeFill="background1" w:themeFillShade="F2"/>
          </w:tcPr>
          <w:p w:rsidR="00D96622" w:rsidRDefault="00D96622" w:rsidP="00972583">
            <w:pPr>
              <w:pStyle w:val="Box"/>
              <w:spacing w:before="0" w:line="120" w:lineRule="exact"/>
            </w:pPr>
          </w:p>
        </w:tc>
      </w:tr>
    </w:tbl>
    <w:p w:rsidR="00D96622" w:rsidRDefault="00D96622" w:rsidP="00D96622">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8771"/>
      </w:tblGrid>
      <w:tr w:rsidR="00D96622" w:rsidTr="00972583">
        <w:trPr>
          <w:tblHeader/>
        </w:trPr>
        <w:tc>
          <w:tcPr>
            <w:tcW w:w="8771" w:type="dxa"/>
            <w:tcBorders>
              <w:top w:val="single" w:sz="6" w:space="0" w:color="78A22F"/>
              <w:left w:val="nil"/>
              <w:bottom w:val="nil"/>
              <w:right w:val="nil"/>
            </w:tcBorders>
            <w:shd w:val="clear" w:color="auto" w:fill="F2F2F2" w:themeFill="background1" w:themeFillShade="F2"/>
          </w:tcPr>
          <w:p w:rsidR="00D96622" w:rsidRPr="008A3857" w:rsidRDefault="00D96622" w:rsidP="00972583">
            <w:pPr>
              <w:pStyle w:val="BoxTitle"/>
              <w:rPr>
                <w:sz w:val="22"/>
                <w:szCs w:val="22"/>
              </w:rPr>
            </w:pPr>
            <w:r w:rsidRPr="008A3857">
              <w:rPr>
                <w:sz w:val="22"/>
                <w:szCs w:val="22"/>
              </w:rPr>
              <w:t>The Productivity Commission</w:t>
            </w:r>
          </w:p>
        </w:tc>
      </w:tr>
      <w:tr w:rsidR="00D96622" w:rsidTr="00972583">
        <w:trPr>
          <w:cantSplit/>
        </w:trPr>
        <w:tc>
          <w:tcPr>
            <w:tcW w:w="8771" w:type="dxa"/>
            <w:tcBorders>
              <w:top w:val="nil"/>
              <w:left w:val="nil"/>
              <w:bottom w:val="nil"/>
              <w:right w:val="nil"/>
            </w:tcBorders>
            <w:shd w:val="clear" w:color="auto" w:fill="F2F2F2" w:themeFill="background1" w:themeFillShade="F2"/>
          </w:tcPr>
          <w:p w:rsidR="00D96622" w:rsidRDefault="00D96622" w:rsidP="00972583">
            <w:pPr>
              <w:pStyle w:val="Box"/>
            </w:pPr>
            <w:r w:rsidRPr="00BB5DCF">
              <w:t>The Productivity Commission is the Australian Government’s independent research and advisory body on a range of economic, social and environmental issues affecting the welfare of Australians. Its role, expressed most simply, is to help governments make better policies, in the long term interest of the Australian community.</w:t>
            </w:r>
          </w:p>
          <w:p w:rsidR="00D96622" w:rsidRDefault="00D96622" w:rsidP="00972583">
            <w:pPr>
              <w:pStyle w:val="Box"/>
            </w:pPr>
            <w:r w:rsidRPr="00BB5DCF">
              <w:t>The Commission’s independence is underpinned by an Act of Parliament. Its processes and outputs are open to public scrutiny and are driven by concern for the wellbeing of the community as a whole.</w:t>
            </w:r>
          </w:p>
          <w:p w:rsidR="00D96622" w:rsidRDefault="00D96622" w:rsidP="00972583">
            <w:pPr>
              <w:pStyle w:val="Box"/>
            </w:pPr>
            <w:r w:rsidRPr="00BB5DCF">
              <w:rPr>
                <w:szCs w:val="24"/>
              </w:rPr>
              <w:t>Further information on the Productivity Commission can be obtained from the Commission’s website (www.pc.gov.au)</w:t>
            </w:r>
            <w:r>
              <w:rPr>
                <w:szCs w:val="24"/>
              </w:rPr>
              <w:t>.</w:t>
            </w:r>
          </w:p>
        </w:tc>
      </w:tr>
      <w:tr w:rsidR="00D96622" w:rsidTr="00972583">
        <w:trPr>
          <w:cantSplit/>
        </w:trPr>
        <w:tc>
          <w:tcPr>
            <w:tcW w:w="8771" w:type="dxa"/>
            <w:tcBorders>
              <w:top w:val="nil"/>
              <w:left w:val="nil"/>
              <w:bottom w:val="single" w:sz="6" w:space="0" w:color="78A22F"/>
              <w:right w:val="nil"/>
            </w:tcBorders>
            <w:shd w:val="clear" w:color="auto" w:fill="F2F2F2" w:themeFill="background1" w:themeFillShade="F2"/>
          </w:tcPr>
          <w:p w:rsidR="00D96622" w:rsidRDefault="00D96622" w:rsidP="00972583">
            <w:pPr>
              <w:pStyle w:val="Box"/>
              <w:spacing w:before="0" w:line="120" w:lineRule="exact"/>
            </w:pPr>
          </w:p>
        </w:tc>
      </w:tr>
    </w:tbl>
    <w:p w:rsidR="00D96622" w:rsidRDefault="00D96622" w:rsidP="00D96622">
      <w:pPr>
        <w:pStyle w:val="BodyText"/>
      </w:pPr>
    </w:p>
    <w:p w:rsidR="00D96622" w:rsidRPr="00415F39" w:rsidRDefault="00D96622" w:rsidP="00D96622">
      <w:pPr>
        <w:pStyle w:val="BodyText"/>
        <w:sectPr w:rsidR="00D96622" w:rsidRPr="00415F39" w:rsidSect="00D96622">
          <w:headerReference w:type="default" r:id="rId9"/>
          <w:footerReference w:type="default" r:id="rId10"/>
          <w:pgSz w:w="11907" w:h="16840" w:code="9"/>
          <w:pgMar w:top="1560" w:right="1304" w:bottom="851" w:left="1814" w:header="1276" w:footer="397" w:gutter="0"/>
          <w:pgNumType w:fmt="lowerRoman" w:chapSep="period"/>
          <w:cols w:space="720"/>
          <w:titlePg/>
        </w:sectPr>
      </w:pPr>
    </w:p>
    <w:p w:rsidR="00D96622" w:rsidRDefault="00D96622" w:rsidP="00AA2CAF">
      <w:pPr>
        <w:pStyle w:val="BodyText"/>
        <w:spacing w:before="0"/>
        <w:rPr>
          <w:rFonts w:asciiTheme="majorHAnsi" w:hAnsiTheme="majorHAnsi" w:cstheme="majorHAnsi"/>
          <w:b/>
          <w:sz w:val="32"/>
          <w:szCs w:val="32"/>
        </w:rPr>
      </w:pPr>
      <w:r w:rsidRPr="00AA2CAF">
        <w:rPr>
          <w:rFonts w:asciiTheme="majorHAnsi" w:hAnsiTheme="majorHAnsi" w:cstheme="majorHAnsi"/>
          <w:b/>
          <w:sz w:val="32"/>
          <w:szCs w:val="32"/>
        </w:rPr>
        <w:lastRenderedPageBreak/>
        <w:t>Contents</w:t>
      </w:r>
    </w:p>
    <w:p w:rsidR="00F91B0D" w:rsidRDefault="00F91B0D" w:rsidP="006F300B">
      <w:pPr>
        <w:pStyle w:val="TOC1"/>
        <w:spacing w:before="360"/>
        <w:rPr>
          <w:rFonts w:asciiTheme="minorHAnsi" w:eastAsiaTheme="minorEastAsia" w:hAnsiTheme="minorHAnsi" w:cstheme="minorBidi"/>
          <w:b w:val="0"/>
          <w:noProof/>
          <w:sz w:val="22"/>
          <w:szCs w:val="22"/>
          <w:lang w:eastAsia="en-AU"/>
        </w:rPr>
      </w:pPr>
      <w:r>
        <w:rPr>
          <w:noProof/>
        </w:rPr>
        <w:t>1</w:t>
      </w:r>
      <w:r>
        <w:rPr>
          <w:rFonts w:asciiTheme="minorHAnsi" w:eastAsiaTheme="minorEastAsia" w:hAnsiTheme="minorHAnsi" w:cstheme="minorBidi"/>
          <w:b w:val="0"/>
          <w:noProof/>
          <w:sz w:val="22"/>
          <w:szCs w:val="22"/>
          <w:lang w:eastAsia="en-AU"/>
        </w:rPr>
        <w:tab/>
      </w:r>
      <w:r>
        <w:rPr>
          <w:noProof/>
        </w:rPr>
        <w:t>What is this study about?</w:t>
      </w:r>
      <w:r>
        <w:rPr>
          <w:noProof/>
        </w:rPr>
        <w:tab/>
        <w:t>1</w:t>
      </w:r>
    </w:p>
    <w:p w:rsidR="00F91B0D" w:rsidRDefault="00F91B0D" w:rsidP="00F91B0D">
      <w:pPr>
        <w:pStyle w:val="TOC2"/>
        <w:rPr>
          <w:rFonts w:asciiTheme="minorHAnsi" w:eastAsiaTheme="minorEastAsia" w:hAnsiTheme="minorHAnsi" w:cstheme="minorBidi"/>
          <w:noProof/>
          <w:sz w:val="22"/>
          <w:szCs w:val="22"/>
          <w:lang w:eastAsia="en-AU"/>
        </w:rPr>
      </w:pPr>
      <w:r>
        <w:rPr>
          <w:noProof/>
        </w:rPr>
        <w:t>What have we been asked to do?</w:t>
      </w:r>
      <w:r>
        <w:rPr>
          <w:noProof/>
        </w:rPr>
        <w:tab/>
        <w:t>1</w:t>
      </w:r>
    </w:p>
    <w:p w:rsidR="00F91B0D" w:rsidRDefault="00F91B0D" w:rsidP="00F91B0D">
      <w:pPr>
        <w:pStyle w:val="TOC1"/>
        <w:rPr>
          <w:rFonts w:asciiTheme="minorHAnsi" w:eastAsiaTheme="minorEastAsia" w:hAnsiTheme="minorHAnsi" w:cstheme="minorBidi"/>
          <w:b w:val="0"/>
          <w:noProof/>
          <w:sz w:val="22"/>
          <w:szCs w:val="22"/>
          <w:lang w:eastAsia="en-AU"/>
        </w:rPr>
      </w:pPr>
      <w:r>
        <w:rPr>
          <w:noProof/>
        </w:rPr>
        <w:t>2</w:t>
      </w:r>
      <w:r>
        <w:rPr>
          <w:rFonts w:asciiTheme="minorHAnsi" w:eastAsiaTheme="minorEastAsia" w:hAnsiTheme="minorHAnsi" w:cstheme="minorBidi"/>
          <w:b w:val="0"/>
          <w:noProof/>
          <w:sz w:val="22"/>
          <w:szCs w:val="22"/>
          <w:lang w:eastAsia="en-AU"/>
        </w:rPr>
        <w:tab/>
      </w:r>
      <w:r>
        <w:rPr>
          <w:noProof/>
        </w:rPr>
        <w:t>What does this study mean for children, families and communities?</w:t>
      </w:r>
      <w:r>
        <w:rPr>
          <w:noProof/>
        </w:rPr>
        <w:tab/>
        <w:t>2</w:t>
      </w:r>
    </w:p>
    <w:p w:rsidR="00F91B0D" w:rsidRDefault="00F91B0D" w:rsidP="00F91B0D">
      <w:pPr>
        <w:pStyle w:val="TOC1"/>
        <w:rPr>
          <w:rFonts w:asciiTheme="minorHAnsi" w:eastAsiaTheme="minorEastAsia" w:hAnsiTheme="minorHAnsi" w:cstheme="minorBidi"/>
          <w:b w:val="0"/>
          <w:noProof/>
          <w:sz w:val="22"/>
          <w:szCs w:val="22"/>
          <w:lang w:eastAsia="en-AU"/>
        </w:rPr>
      </w:pPr>
      <w:r>
        <w:rPr>
          <w:noProof/>
        </w:rPr>
        <w:t>3</w:t>
      </w:r>
      <w:r>
        <w:rPr>
          <w:rFonts w:asciiTheme="minorHAnsi" w:eastAsiaTheme="minorEastAsia" w:hAnsiTheme="minorHAnsi" w:cstheme="minorBidi"/>
          <w:b w:val="0"/>
          <w:noProof/>
          <w:sz w:val="22"/>
          <w:szCs w:val="22"/>
          <w:lang w:eastAsia="en-AU"/>
        </w:rPr>
        <w:tab/>
      </w:r>
      <w:r>
        <w:rPr>
          <w:noProof/>
        </w:rPr>
        <w:t>What services and programs should we look at?</w:t>
      </w:r>
      <w:r>
        <w:rPr>
          <w:noProof/>
        </w:rPr>
        <w:tab/>
        <w:t>4</w:t>
      </w:r>
    </w:p>
    <w:p w:rsidR="00F91B0D" w:rsidRDefault="00F91B0D" w:rsidP="00F91B0D">
      <w:pPr>
        <w:pStyle w:val="TOC2"/>
        <w:rPr>
          <w:rFonts w:asciiTheme="minorHAnsi" w:eastAsiaTheme="minorEastAsia" w:hAnsiTheme="minorHAnsi" w:cstheme="minorBidi"/>
          <w:noProof/>
          <w:sz w:val="22"/>
          <w:szCs w:val="22"/>
          <w:lang w:eastAsia="en-AU"/>
        </w:rPr>
      </w:pPr>
      <w:r>
        <w:rPr>
          <w:noProof/>
        </w:rPr>
        <w:t>What services and programs are in scope?</w:t>
      </w:r>
      <w:r>
        <w:rPr>
          <w:noProof/>
        </w:rPr>
        <w:tab/>
        <w:t>4</w:t>
      </w:r>
    </w:p>
    <w:p w:rsidR="00F91B0D" w:rsidRDefault="00F91B0D" w:rsidP="00F91B0D">
      <w:pPr>
        <w:pStyle w:val="TOC2"/>
        <w:rPr>
          <w:rFonts w:asciiTheme="minorHAnsi" w:eastAsiaTheme="minorEastAsia" w:hAnsiTheme="minorHAnsi" w:cstheme="minorBidi"/>
          <w:noProof/>
          <w:sz w:val="22"/>
          <w:szCs w:val="22"/>
          <w:lang w:eastAsia="en-AU"/>
        </w:rPr>
      </w:pPr>
      <w:r>
        <w:rPr>
          <w:noProof/>
        </w:rPr>
        <w:t>Who currently funds and delivers children and family services?</w:t>
      </w:r>
      <w:r>
        <w:rPr>
          <w:noProof/>
        </w:rPr>
        <w:tab/>
        <w:t>7</w:t>
      </w:r>
    </w:p>
    <w:p w:rsidR="00F91B0D" w:rsidRDefault="00F91B0D" w:rsidP="00F91B0D">
      <w:pPr>
        <w:pStyle w:val="TOC1"/>
        <w:rPr>
          <w:rFonts w:asciiTheme="minorHAnsi" w:eastAsiaTheme="minorEastAsia" w:hAnsiTheme="minorHAnsi" w:cstheme="minorBidi"/>
          <w:b w:val="0"/>
          <w:noProof/>
          <w:sz w:val="22"/>
          <w:szCs w:val="22"/>
          <w:lang w:eastAsia="en-AU"/>
        </w:rPr>
      </w:pPr>
      <w:r>
        <w:rPr>
          <w:noProof/>
        </w:rPr>
        <w:t>4</w:t>
      </w:r>
      <w:r>
        <w:rPr>
          <w:rFonts w:asciiTheme="minorHAnsi" w:eastAsiaTheme="minorEastAsia" w:hAnsiTheme="minorHAnsi" w:cstheme="minorBidi"/>
          <w:b w:val="0"/>
          <w:noProof/>
          <w:sz w:val="22"/>
          <w:szCs w:val="22"/>
          <w:lang w:eastAsia="en-AU"/>
        </w:rPr>
        <w:tab/>
      </w:r>
      <w:r>
        <w:rPr>
          <w:noProof/>
        </w:rPr>
        <w:t>Our approach and key issues for investigation</w:t>
      </w:r>
      <w:r>
        <w:rPr>
          <w:noProof/>
        </w:rPr>
        <w:tab/>
        <w:t>8</w:t>
      </w:r>
    </w:p>
    <w:p w:rsidR="00F91B0D" w:rsidRDefault="00F91B0D" w:rsidP="00F91B0D">
      <w:pPr>
        <w:pStyle w:val="TOC2"/>
        <w:rPr>
          <w:rFonts w:asciiTheme="minorHAnsi" w:eastAsiaTheme="minorEastAsia" w:hAnsiTheme="minorHAnsi" w:cstheme="minorBidi"/>
          <w:noProof/>
          <w:sz w:val="22"/>
          <w:szCs w:val="22"/>
          <w:lang w:eastAsia="en-AU"/>
        </w:rPr>
      </w:pPr>
      <w:r>
        <w:rPr>
          <w:noProof/>
        </w:rPr>
        <w:t>What services are currently being delivered?</w:t>
      </w:r>
      <w:r>
        <w:rPr>
          <w:noProof/>
        </w:rPr>
        <w:tab/>
        <w:t>8</w:t>
      </w:r>
    </w:p>
    <w:p w:rsidR="00F91B0D" w:rsidRDefault="00F91B0D" w:rsidP="00CF3A59">
      <w:pPr>
        <w:pStyle w:val="TOC2"/>
        <w:ind w:left="510" w:firstLine="0"/>
        <w:rPr>
          <w:rFonts w:asciiTheme="minorHAnsi" w:eastAsiaTheme="minorEastAsia" w:hAnsiTheme="minorHAnsi" w:cstheme="minorBidi"/>
          <w:noProof/>
          <w:sz w:val="22"/>
          <w:szCs w:val="22"/>
          <w:lang w:eastAsia="en-AU"/>
        </w:rPr>
      </w:pPr>
      <w:r>
        <w:rPr>
          <w:noProof/>
        </w:rPr>
        <w:t>How effective are decision</w:t>
      </w:r>
      <w:r>
        <w:rPr>
          <w:noProof/>
        </w:rPr>
        <w:noBreakHyphen/>
        <w:t>making processes for funding children and family services?</w:t>
      </w:r>
      <w:r>
        <w:rPr>
          <w:noProof/>
        </w:rPr>
        <w:tab/>
        <w:t>10</w:t>
      </w:r>
    </w:p>
    <w:p w:rsidR="00F91B0D" w:rsidRDefault="00F91B0D" w:rsidP="00F91B0D">
      <w:pPr>
        <w:pStyle w:val="TOC2"/>
        <w:rPr>
          <w:rFonts w:asciiTheme="minorHAnsi" w:eastAsiaTheme="minorEastAsia" w:hAnsiTheme="minorHAnsi" w:cstheme="minorBidi"/>
          <w:noProof/>
          <w:sz w:val="22"/>
          <w:szCs w:val="22"/>
          <w:lang w:eastAsia="en-AU"/>
        </w:rPr>
      </w:pPr>
      <w:r>
        <w:rPr>
          <w:noProof/>
        </w:rPr>
        <w:t>Options to improve funding arrangements</w:t>
      </w:r>
      <w:r>
        <w:rPr>
          <w:noProof/>
        </w:rPr>
        <w:tab/>
        <w:t>14</w:t>
      </w:r>
    </w:p>
    <w:p w:rsidR="00F91B0D" w:rsidRDefault="00F91B0D" w:rsidP="00F91B0D">
      <w:pPr>
        <w:pStyle w:val="TOC1"/>
        <w:rPr>
          <w:rFonts w:asciiTheme="minorHAnsi" w:eastAsiaTheme="minorEastAsia" w:hAnsiTheme="minorHAnsi" w:cstheme="minorBidi"/>
          <w:b w:val="0"/>
          <w:noProof/>
          <w:sz w:val="22"/>
          <w:szCs w:val="22"/>
          <w:lang w:eastAsia="en-AU"/>
        </w:rPr>
      </w:pPr>
      <w:r>
        <w:rPr>
          <w:noProof/>
        </w:rPr>
        <w:t>5</w:t>
      </w:r>
      <w:r>
        <w:rPr>
          <w:rFonts w:asciiTheme="minorHAnsi" w:eastAsiaTheme="minorEastAsia" w:hAnsiTheme="minorHAnsi" w:cstheme="minorBidi"/>
          <w:b w:val="0"/>
          <w:noProof/>
          <w:sz w:val="22"/>
          <w:szCs w:val="22"/>
          <w:lang w:eastAsia="en-AU"/>
        </w:rPr>
        <w:tab/>
      </w:r>
      <w:r w:rsidRPr="00A4198B">
        <w:rPr>
          <w:bCs/>
          <w:noProof/>
        </w:rPr>
        <w:t>How can you contribute?</w:t>
      </w:r>
      <w:r>
        <w:rPr>
          <w:noProof/>
        </w:rPr>
        <w:tab/>
        <w:t>15</w:t>
      </w:r>
    </w:p>
    <w:p w:rsidR="00F91B0D" w:rsidRDefault="00F91B0D" w:rsidP="00F91B0D">
      <w:pPr>
        <w:pStyle w:val="TOC2"/>
        <w:rPr>
          <w:rFonts w:asciiTheme="minorHAnsi" w:eastAsiaTheme="minorEastAsia" w:hAnsiTheme="minorHAnsi" w:cstheme="minorBidi"/>
          <w:noProof/>
          <w:sz w:val="22"/>
          <w:szCs w:val="22"/>
          <w:lang w:eastAsia="en-AU"/>
        </w:rPr>
      </w:pPr>
      <w:r>
        <w:rPr>
          <w:noProof/>
        </w:rPr>
        <w:t>Written submissions and brief comments</w:t>
      </w:r>
      <w:r>
        <w:rPr>
          <w:noProof/>
        </w:rPr>
        <w:tab/>
        <w:t>16</w:t>
      </w:r>
    </w:p>
    <w:p w:rsidR="00F91B0D" w:rsidRDefault="00F91B0D" w:rsidP="00F91B0D">
      <w:pPr>
        <w:pStyle w:val="TOC2"/>
        <w:rPr>
          <w:rFonts w:asciiTheme="minorHAnsi" w:eastAsiaTheme="minorEastAsia" w:hAnsiTheme="minorHAnsi" w:cstheme="minorBidi"/>
          <w:noProof/>
          <w:sz w:val="22"/>
          <w:szCs w:val="22"/>
          <w:lang w:eastAsia="en-AU"/>
        </w:rPr>
      </w:pPr>
      <w:r>
        <w:rPr>
          <w:noProof/>
        </w:rPr>
        <w:t>Meetings and discussions</w:t>
      </w:r>
      <w:r>
        <w:rPr>
          <w:noProof/>
        </w:rPr>
        <w:tab/>
        <w:t>16</w:t>
      </w:r>
    </w:p>
    <w:p w:rsidR="00F91B0D" w:rsidRDefault="00F91B0D" w:rsidP="006F300B">
      <w:pPr>
        <w:pStyle w:val="TOC1"/>
        <w:spacing w:before="360"/>
        <w:rPr>
          <w:rFonts w:asciiTheme="minorHAnsi" w:eastAsiaTheme="minorEastAsia" w:hAnsiTheme="minorHAnsi" w:cstheme="minorBidi"/>
          <w:b w:val="0"/>
          <w:noProof/>
          <w:sz w:val="22"/>
          <w:szCs w:val="22"/>
          <w:lang w:eastAsia="en-AU"/>
        </w:rPr>
      </w:pPr>
      <w:r>
        <w:rPr>
          <w:noProof/>
        </w:rPr>
        <w:t>Appendix A: Terms of reference</w:t>
      </w:r>
      <w:r>
        <w:rPr>
          <w:noProof/>
        </w:rPr>
        <w:tab/>
        <w:t>17</w:t>
      </w:r>
    </w:p>
    <w:p w:rsidR="00F91B0D" w:rsidRDefault="00F91B0D" w:rsidP="00F91B0D">
      <w:pPr>
        <w:pStyle w:val="TOC1"/>
        <w:rPr>
          <w:rFonts w:asciiTheme="minorHAnsi" w:eastAsiaTheme="minorEastAsia" w:hAnsiTheme="minorHAnsi" w:cstheme="minorBidi"/>
          <w:b w:val="0"/>
          <w:noProof/>
          <w:sz w:val="22"/>
          <w:szCs w:val="22"/>
          <w:lang w:eastAsia="en-AU"/>
        </w:rPr>
      </w:pPr>
      <w:r>
        <w:rPr>
          <w:noProof/>
        </w:rPr>
        <w:t>Appendix B: Some context for the study</w:t>
      </w:r>
      <w:r>
        <w:rPr>
          <w:noProof/>
        </w:rPr>
        <w:tab/>
        <w:t>19</w:t>
      </w:r>
    </w:p>
    <w:p w:rsidR="00F91B0D" w:rsidRDefault="00F91B0D" w:rsidP="00F91B0D">
      <w:pPr>
        <w:pStyle w:val="TOC2"/>
        <w:rPr>
          <w:rFonts w:asciiTheme="minorHAnsi" w:eastAsiaTheme="minorEastAsia" w:hAnsiTheme="minorHAnsi" w:cstheme="minorBidi"/>
          <w:noProof/>
          <w:sz w:val="22"/>
          <w:szCs w:val="22"/>
          <w:lang w:eastAsia="en-AU"/>
        </w:rPr>
      </w:pPr>
      <w:r>
        <w:rPr>
          <w:noProof/>
        </w:rPr>
        <w:t>Challenges for children and families in the Northern Territory</w:t>
      </w:r>
      <w:r>
        <w:rPr>
          <w:noProof/>
        </w:rPr>
        <w:tab/>
        <w:t>19</w:t>
      </w:r>
    </w:p>
    <w:p w:rsidR="00F91B0D" w:rsidRDefault="00F91B0D" w:rsidP="00CF3A59">
      <w:pPr>
        <w:pStyle w:val="TOC2"/>
        <w:ind w:left="510" w:firstLine="0"/>
        <w:rPr>
          <w:rFonts w:asciiTheme="minorHAnsi" w:eastAsiaTheme="minorEastAsia" w:hAnsiTheme="minorHAnsi" w:cstheme="minorBidi"/>
          <w:noProof/>
          <w:sz w:val="22"/>
          <w:szCs w:val="22"/>
          <w:lang w:eastAsia="en-AU"/>
        </w:rPr>
      </w:pPr>
      <w:r>
        <w:rPr>
          <w:noProof/>
        </w:rPr>
        <w:t>Previous inquiries into the protection of children in the Northern Territory</w:t>
      </w:r>
      <w:r>
        <w:rPr>
          <w:noProof/>
        </w:rPr>
        <w:tab/>
        <w:t>20</w:t>
      </w:r>
    </w:p>
    <w:p w:rsidR="00F91B0D" w:rsidRDefault="00F91B0D" w:rsidP="00F91B0D">
      <w:pPr>
        <w:pStyle w:val="TOC2"/>
        <w:rPr>
          <w:rFonts w:asciiTheme="minorHAnsi" w:eastAsiaTheme="minorEastAsia" w:hAnsiTheme="minorHAnsi" w:cstheme="minorBidi"/>
          <w:noProof/>
          <w:sz w:val="22"/>
          <w:szCs w:val="22"/>
          <w:lang w:eastAsia="en-AU"/>
        </w:rPr>
      </w:pPr>
      <w:r>
        <w:rPr>
          <w:noProof/>
        </w:rPr>
        <w:t>A place</w:t>
      </w:r>
      <w:r>
        <w:rPr>
          <w:noProof/>
        </w:rPr>
        <w:noBreakHyphen/>
        <w:t>based approach to service provision</w:t>
      </w:r>
      <w:r>
        <w:rPr>
          <w:noProof/>
        </w:rPr>
        <w:tab/>
        <w:t>21</w:t>
      </w:r>
    </w:p>
    <w:p w:rsidR="00F91B0D" w:rsidRDefault="00F91B0D" w:rsidP="00F91B0D">
      <w:pPr>
        <w:pStyle w:val="TOC2"/>
        <w:rPr>
          <w:rFonts w:asciiTheme="minorHAnsi" w:eastAsiaTheme="minorEastAsia" w:hAnsiTheme="minorHAnsi" w:cstheme="minorBidi"/>
          <w:noProof/>
          <w:sz w:val="22"/>
          <w:szCs w:val="22"/>
          <w:lang w:eastAsia="en-AU"/>
        </w:rPr>
      </w:pPr>
      <w:r>
        <w:rPr>
          <w:noProof/>
        </w:rPr>
        <w:t>A public health approach to preventing harm to children</w:t>
      </w:r>
      <w:r>
        <w:rPr>
          <w:noProof/>
        </w:rPr>
        <w:tab/>
        <w:t>23</w:t>
      </w:r>
    </w:p>
    <w:p w:rsidR="00F91B0D" w:rsidRDefault="00F91B0D" w:rsidP="00F91B0D">
      <w:pPr>
        <w:pStyle w:val="TOC1"/>
        <w:rPr>
          <w:noProof/>
        </w:rPr>
      </w:pPr>
      <w:r>
        <w:rPr>
          <w:noProof/>
        </w:rPr>
        <w:t>References</w:t>
      </w:r>
      <w:r>
        <w:rPr>
          <w:noProof/>
        </w:rPr>
        <w:tab/>
        <w:t>24</w:t>
      </w:r>
    </w:p>
    <w:p w:rsidR="00F91B0D" w:rsidRDefault="00F91B0D" w:rsidP="00F91B0D">
      <w:pPr>
        <w:pStyle w:val="TOC1"/>
        <w:rPr>
          <w:rFonts w:asciiTheme="minorHAnsi" w:eastAsiaTheme="minorEastAsia" w:hAnsiTheme="minorHAnsi" w:cstheme="minorBidi"/>
          <w:b w:val="0"/>
          <w:noProof/>
          <w:sz w:val="22"/>
          <w:szCs w:val="22"/>
          <w:lang w:eastAsia="en-AU"/>
        </w:rPr>
      </w:pPr>
      <w:r>
        <w:rPr>
          <w:noProof/>
        </w:rPr>
        <w:t>Attachment: How to make a submission</w:t>
      </w:r>
      <w:r>
        <w:rPr>
          <w:noProof/>
        </w:rPr>
        <w:tab/>
        <w:t>26</w:t>
      </w:r>
    </w:p>
    <w:p w:rsidR="00F91B0D" w:rsidRDefault="00F91B0D" w:rsidP="00F91B0D">
      <w:pPr>
        <w:pStyle w:val="TOC2"/>
        <w:rPr>
          <w:rFonts w:asciiTheme="minorHAnsi" w:eastAsiaTheme="minorEastAsia" w:hAnsiTheme="minorHAnsi" w:cstheme="minorBidi"/>
          <w:noProof/>
          <w:sz w:val="22"/>
          <w:szCs w:val="22"/>
          <w:lang w:eastAsia="en-AU"/>
        </w:rPr>
      </w:pPr>
      <w:r>
        <w:rPr>
          <w:noProof/>
        </w:rPr>
        <w:t>How to prepare a submission</w:t>
      </w:r>
      <w:r>
        <w:rPr>
          <w:noProof/>
        </w:rPr>
        <w:tab/>
        <w:t>26</w:t>
      </w:r>
    </w:p>
    <w:p w:rsidR="00F91B0D" w:rsidRPr="00532625" w:rsidRDefault="00F91B0D" w:rsidP="00532625">
      <w:pPr>
        <w:pStyle w:val="TOC2"/>
        <w:rPr>
          <w:rFonts w:eastAsiaTheme="minorEastAsia"/>
        </w:rPr>
      </w:pPr>
      <w:r>
        <w:rPr>
          <w:noProof/>
        </w:rPr>
        <w:t>How to lodge a submission</w:t>
      </w:r>
      <w:r>
        <w:rPr>
          <w:noProof/>
        </w:rPr>
        <w:tab/>
        <w:t>27</w:t>
      </w:r>
    </w:p>
    <w:p w:rsidR="00D96622" w:rsidRDefault="00D96622" w:rsidP="00D96622">
      <w:pPr>
        <w:pStyle w:val="BodyText"/>
        <w:sectPr w:rsidR="00D96622" w:rsidSect="00972583">
          <w:headerReference w:type="even" r:id="rId11"/>
          <w:headerReference w:type="default" r:id="rId12"/>
          <w:footerReference w:type="even" r:id="rId13"/>
          <w:footerReference w:type="default" r:id="rId14"/>
          <w:pgSz w:w="11907" w:h="16840" w:code="9"/>
          <w:pgMar w:top="1985" w:right="1304" w:bottom="1247" w:left="1814" w:header="1701" w:footer="397" w:gutter="0"/>
          <w:pgNumType w:fmt="lowerRoman" w:chapSep="period"/>
          <w:cols w:space="720"/>
        </w:sectPr>
      </w:pPr>
    </w:p>
    <w:p w:rsidR="00292A21" w:rsidRDefault="00592B46" w:rsidP="00292A21">
      <w:pPr>
        <w:pStyle w:val="Heading2"/>
        <w:spacing w:before="0"/>
      </w:pPr>
      <w:bookmarkStart w:id="0" w:name="_Toc8377481"/>
      <w:bookmarkStart w:id="1" w:name="_Toc8393497"/>
      <w:r>
        <w:rPr>
          <w:noProof/>
        </w:rPr>
        <w:lastRenderedPageBreak/>
        <w:t>1</w:t>
      </w:r>
      <w:r w:rsidR="00292A21">
        <w:tab/>
        <w:t>What is this study about?</w:t>
      </w:r>
      <w:bookmarkEnd w:id="0"/>
      <w:bookmarkEnd w:id="1"/>
    </w:p>
    <w:p w:rsidR="00292A21" w:rsidRPr="00292A21" w:rsidRDefault="00292A21" w:rsidP="00292A21">
      <w:pPr>
        <w:pStyle w:val="BodyText"/>
        <w:rPr>
          <w:i/>
        </w:rPr>
      </w:pPr>
      <w:r w:rsidRPr="00292A21">
        <w:rPr>
          <w:i/>
        </w:rPr>
        <w:t xml:space="preserve">This is a study about government expenditure on </w:t>
      </w:r>
      <w:r w:rsidR="0056156B">
        <w:rPr>
          <w:i/>
        </w:rPr>
        <w:t>children and family</w:t>
      </w:r>
      <w:r w:rsidRPr="00292A21">
        <w:rPr>
          <w:i/>
        </w:rPr>
        <w:t xml:space="preserve"> services in the Northern Territory. It will focus on funding arrangements for services and programs that are relevant to the prevention of harm to children, and will examine ways to improve those funding arrangements to support better outcomes for </w:t>
      </w:r>
      <w:r w:rsidR="00A71B37">
        <w:rPr>
          <w:i/>
        </w:rPr>
        <w:t xml:space="preserve">children, families and </w:t>
      </w:r>
      <w:r w:rsidRPr="00292A21">
        <w:rPr>
          <w:i/>
        </w:rPr>
        <w:t>the community.</w:t>
      </w:r>
      <w:r w:rsidR="000A041F">
        <w:rPr>
          <w:i/>
        </w:rPr>
        <w:t xml:space="preserve"> </w:t>
      </w:r>
    </w:p>
    <w:p w:rsidR="006D7429" w:rsidRDefault="002F4E7D" w:rsidP="003E44CE">
      <w:pPr>
        <w:pStyle w:val="BodyText"/>
      </w:pPr>
      <w:r>
        <w:t xml:space="preserve">The terms of reference for this study </w:t>
      </w:r>
      <w:r w:rsidR="00A73631">
        <w:t>(appendix</w:t>
      </w:r>
      <w:r w:rsidR="000A041F">
        <w:t> </w:t>
      </w:r>
      <w:r w:rsidR="00A73631">
        <w:t>A</w:t>
      </w:r>
      <w:r w:rsidR="004C7758">
        <w:t xml:space="preserve">) </w:t>
      </w:r>
      <w:r>
        <w:t xml:space="preserve">originated from the Royal Commission into the Protection and Detention of Children in the Northern Territory (‘the Royal Commission’). The Royal Commission was established </w:t>
      </w:r>
      <w:r w:rsidR="008F2448">
        <w:t>in the days following</w:t>
      </w:r>
      <w:r>
        <w:t xml:space="preserve"> </w:t>
      </w:r>
      <w:r w:rsidR="00592B46">
        <w:t xml:space="preserve">the airing of </w:t>
      </w:r>
      <w:r w:rsidR="00773A63">
        <w:t xml:space="preserve">an episode of </w:t>
      </w:r>
      <w:r w:rsidR="008F2448">
        <w:t xml:space="preserve">the ABC’s </w:t>
      </w:r>
      <w:r w:rsidR="00773A63" w:rsidRPr="001E2D6A">
        <w:rPr>
          <w:i/>
        </w:rPr>
        <w:t>Four Corners</w:t>
      </w:r>
      <w:r w:rsidR="00773A63">
        <w:t xml:space="preserve">, ‘Australia’s Shame’, </w:t>
      </w:r>
      <w:r w:rsidR="008F2448">
        <w:t xml:space="preserve">in July 2016, </w:t>
      </w:r>
      <w:r w:rsidR="00773A63">
        <w:t xml:space="preserve">which included footage of the mistreatment of children in detention in the Northern Territory. </w:t>
      </w:r>
      <w:r w:rsidR="00F2162C">
        <w:t xml:space="preserve">The scope of the Royal Commission </w:t>
      </w:r>
      <w:r w:rsidR="00FA3DAD">
        <w:t>encompassed</w:t>
      </w:r>
      <w:r w:rsidR="00F2162C">
        <w:t xml:space="preserve"> both </w:t>
      </w:r>
      <w:r w:rsidR="00CA4FDD">
        <w:t xml:space="preserve">the </w:t>
      </w:r>
      <w:r w:rsidR="00F2162C">
        <w:t xml:space="preserve">youth </w:t>
      </w:r>
      <w:r w:rsidR="00FA3DAD">
        <w:t>detention</w:t>
      </w:r>
      <w:r w:rsidR="00F2162C">
        <w:t xml:space="preserve"> and child protection system</w:t>
      </w:r>
      <w:r w:rsidR="0042062F">
        <w:t>s</w:t>
      </w:r>
      <w:r w:rsidR="005E3FB0">
        <w:t>.</w:t>
      </w:r>
    </w:p>
    <w:p w:rsidR="00F2162C" w:rsidRDefault="00F2162C" w:rsidP="003E44CE">
      <w:pPr>
        <w:pStyle w:val="BodyText"/>
      </w:pPr>
      <w:r w:rsidRPr="00F2162C">
        <w:t>On 17</w:t>
      </w:r>
      <w:r w:rsidR="000A041F">
        <w:t> </w:t>
      </w:r>
      <w:r w:rsidRPr="00F2162C">
        <w:t>November 2017, the Royal Commission delivered its final report, which found systemic failures in the youth detention</w:t>
      </w:r>
      <w:r w:rsidR="0042062F">
        <w:t xml:space="preserve"> and</w:t>
      </w:r>
      <w:r w:rsidRPr="00F2162C">
        <w:t xml:space="preserve"> </w:t>
      </w:r>
      <w:r w:rsidR="0042062F" w:rsidRPr="00F2162C">
        <w:t xml:space="preserve">child protection </w:t>
      </w:r>
      <w:r w:rsidRPr="00F2162C">
        <w:t>systems. It made 227</w:t>
      </w:r>
      <w:r w:rsidR="00292A21">
        <w:t> </w:t>
      </w:r>
      <w:r w:rsidRPr="00F2162C">
        <w:t xml:space="preserve">recommendations for addressing those failures — ranging from </w:t>
      </w:r>
      <w:r w:rsidR="00A60AB3" w:rsidRPr="00F2162C">
        <w:t xml:space="preserve">the philosophy underpinning </w:t>
      </w:r>
      <w:r w:rsidR="00A60AB3">
        <w:t xml:space="preserve">the </w:t>
      </w:r>
      <w:r w:rsidR="00A60AB3" w:rsidRPr="00F2162C">
        <w:t>child protection</w:t>
      </w:r>
      <w:r w:rsidR="00A60AB3">
        <w:t xml:space="preserve"> system, to</w:t>
      </w:r>
      <w:r w:rsidR="00A60AB3" w:rsidRPr="00F2162C">
        <w:t xml:space="preserve"> the management of detention centres</w:t>
      </w:r>
      <w:r w:rsidR="00A60AB3">
        <w:t>, to</w:t>
      </w:r>
      <w:r w:rsidR="00A60AB3" w:rsidRPr="00F2162C">
        <w:t xml:space="preserve"> </w:t>
      </w:r>
      <w:r w:rsidRPr="00F2162C">
        <w:t xml:space="preserve">the </w:t>
      </w:r>
      <w:r w:rsidR="008F2448" w:rsidRPr="00F2162C">
        <w:t>maintenance of adequate data systems</w:t>
      </w:r>
      <w:r w:rsidRPr="00F2162C">
        <w:t>.</w:t>
      </w:r>
    </w:p>
    <w:p w:rsidR="003E44CE" w:rsidRDefault="00AF637D" w:rsidP="003E44CE">
      <w:pPr>
        <w:pStyle w:val="BodyText"/>
      </w:pPr>
      <w:r>
        <w:t>T</w:t>
      </w:r>
      <w:r w:rsidR="00A56F1C">
        <w:t xml:space="preserve">he Royal Commission found that </w:t>
      </w:r>
      <w:r w:rsidR="00A56F1C" w:rsidRPr="00A56F1C">
        <w:t>funding and expenditure</w:t>
      </w:r>
      <w:r w:rsidR="00A56F1C">
        <w:t xml:space="preserve"> in the area of </w:t>
      </w:r>
      <w:r w:rsidR="0056156B">
        <w:t>children and family</w:t>
      </w:r>
      <w:r w:rsidR="00A56F1C">
        <w:t xml:space="preserve"> services </w:t>
      </w:r>
      <w:r w:rsidR="00A56F1C" w:rsidRPr="00A56F1C">
        <w:t>is not rigorously tracked, monitored or evaluated to ensure that it is appropriately distributed and directed</w:t>
      </w:r>
      <w:r w:rsidR="0042062F">
        <w:t xml:space="preserve"> </w:t>
      </w:r>
      <w:r w:rsidR="00B97832" w:rsidRPr="00B97832">
        <w:rPr>
          <w:szCs w:val="24"/>
        </w:rPr>
        <w:t>(</w:t>
      </w:r>
      <w:proofErr w:type="spellStart"/>
      <w:r w:rsidR="00B97832" w:rsidRPr="00B97832">
        <w:rPr>
          <w:szCs w:val="24"/>
        </w:rPr>
        <w:t>RCPDCNT</w:t>
      </w:r>
      <w:proofErr w:type="spellEnd"/>
      <w:r w:rsidR="00B97832" w:rsidRPr="00B97832">
        <w:rPr>
          <w:szCs w:val="24"/>
        </w:rPr>
        <w:t> 2017)</w:t>
      </w:r>
      <w:r w:rsidR="00A56F1C">
        <w:t xml:space="preserve">. It </w:t>
      </w:r>
      <w:r w:rsidR="00A56F1C" w:rsidRPr="00A56F1C">
        <w:t>identified a need</w:t>
      </w:r>
      <w:r>
        <w:t xml:space="preserve"> for</w:t>
      </w:r>
      <w:r w:rsidR="00A56F1C" w:rsidRPr="00A56F1C">
        <w:t xml:space="preserve"> </w:t>
      </w:r>
      <w:r w:rsidRPr="00AF637D">
        <w:t>greater coordination</w:t>
      </w:r>
      <w:r>
        <w:t xml:space="preserve"> and transparency</w:t>
      </w:r>
      <w:r w:rsidRPr="00AF637D">
        <w:t xml:space="preserve"> of government funding </w:t>
      </w:r>
      <w:r>
        <w:t>decisions</w:t>
      </w:r>
      <w:r w:rsidR="00052EAD">
        <w:t xml:space="preserve"> and</w:t>
      </w:r>
      <w:r w:rsidR="003E44CE">
        <w:t xml:space="preserve"> recommended that the Productivity Commission:</w:t>
      </w:r>
    </w:p>
    <w:p w:rsidR="003E44CE" w:rsidRPr="001D6586" w:rsidRDefault="003E44CE" w:rsidP="003E44CE">
      <w:pPr>
        <w:pStyle w:val="Quote"/>
      </w:pPr>
      <w:r>
        <w:t>… undertake a review and audit of Commonwealth expenditure in the Northern Territory in the area of family and children’s services relevant to the prevention of harm to children. The review should address co</w:t>
      </w:r>
      <w:r w:rsidR="000A041F">
        <w:noBreakHyphen/>
      </w:r>
      <w:r>
        <w:t xml:space="preserve">ordination of programs, funding agreements and selection of service providers, service outputs and evaluations. </w:t>
      </w:r>
      <w:r w:rsidR="00B97832" w:rsidRPr="00B97832">
        <w:rPr>
          <w:szCs w:val="24"/>
        </w:rPr>
        <w:t>(</w:t>
      </w:r>
      <w:proofErr w:type="spellStart"/>
      <w:r w:rsidR="00B97832" w:rsidRPr="00B97832">
        <w:rPr>
          <w:szCs w:val="24"/>
        </w:rPr>
        <w:t>RCPDCNT</w:t>
      </w:r>
      <w:proofErr w:type="spellEnd"/>
      <w:r w:rsidR="00B97832" w:rsidRPr="00B97832">
        <w:rPr>
          <w:szCs w:val="24"/>
        </w:rPr>
        <w:t> 2017, vol. 1, p.</w:t>
      </w:r>
      <w:r w:rsidR="0035532D">
        <w:rPr>
          <w:szCs w:val="24"/>
        </w:rPr>
        <w:t> </w:t>
      </w:r>
      <w:r w:rsidR="00B97832" w:rsidRPr="00B97832">
        <w:rPr>
          <w:szCs w:val="24"/>
        </w:rPr>
        <w:t>237)</w:t>
      </w:r>
    </w:p>
    <w:p w:rsidR="00AF637D" w:rsidRDefault="00AF637D" w:rsidP="00AF637D">
      <w:pPr>
        <w:pStyle w:val="BodyText"/>
      </w:pPr>
      <w:r>
        <w:t>On 14</w:t>
      </w:r>
      <w:r w:rsidR="000A041F">
        <w:t> </w:t>
      </w:r>
      <w:r>
        <w:t xml:space="preserve">March 2019, the Australian Government announced that the Productivity Commission would undertake a study about expenditure on </w:t>
      </w:r>
      <w:r w:rsidR="0056156B">
        <w:t>children and family</w:t>
      </w:r>
      <w:r>
        <w:t xml:space="preserve"> services </w:t>
      </w:r>
      <w:r w:rsidRPr="00AF637D">
        <w:t>in the Northern Terr</w:t>
      </w:r>
      <w:r>
        <w:t xml:space="preserve">itory. The study commenced </w:t>
      </w:r>
      <w:r w:rsidR="00A915CF">
        <w:t xml:space="preserve">on </w:t>
      </w:r>
      <w:r>
        <w:t>1</w:t>
      </w:r>
      <w:r w:rsidR="000A041F">
        <w:t> </w:t>
      </w:r>
      <w:r>
        <w:t>April 2019.</w:t>
      </w:r>
    </w:p>
    <w:p w:rsidR="00292A21" w:rsidRPr="00292A21" w:rsidRDefault="00292A21" w:rsidP="00292A21">
      <w:pPr>
        <w:pStyle w:val="Heading3"/>
      </w:pPr>
      <w:bookmarkStart w:id="2" w:name="_Toc8377482"/>
      <w:bookmarkStart w:id="3" w:name="_Toc8393498"/>
      <w:r w:rsidRPr="00292A21">
        <w:t xml:space="preserve">What </w:t>
      </w:r>
      <w:r w:rsidRPr="00292A21">
        <w:rPr>
          <w:rStyle w:val="Heading3Char"/>
          <w:b/>
        </w:rPr>
        <w:t>have we been asked to do?</w:t>
      </w:r>
      <w:bookmarkEnd w:id="2"/>
      <w:bookmarkEnd w:id="3"/>
    </w:p>
    <w:p w:rsidR="00292A21" w:rsidRDefault="00292A21" w:rsidP="00292A21">
      <w:pPr>
        <w:pStyle w:val="BodyText"/>
      </w:pPr>
      <w:r>
        <w:t xml:space="preserve">We have been asked to </w:t>
      </w:r>
      <w:r w:rsidRPr="00123200">
        <w:t xml:space="preserve">examine ways to improve funding arrangements across and within the </w:t>
      </w:r>
      <w:r w:rsidR="00211C98">
        <w:t>Australian</w:t>
      </w:r>
      <w:r w:rsidR="00211C98" w:rsidRPr="00123200">
        <w:t xml:space="preserve"> </w:t>
      </w:r>
      <w:r w:rsidRPr="00123200">
        <w:t xml:space="preserve">and Northern Territory Governments </w:t>
      </w:r>
      <w:r>
        <w:t xml:space="preserve">and </w:t>
      </w:r>
      <w:r w:rsidRPr="00123200">
        <w:t>the services delivered via these funding arrangements</w:t>
      </w:r>
      <w:r>
        <w:t xml:space="preserve">. </w:t>
      </w:r>
      <w:r w:rsidR="003C102B">
        <w:t>Specifically, w</w:t>
      </w:r>
      <w:r>
        <w:t xml:space="preserve">e have been asked </w:t>
      </w:r>
      <w:r w:rsidR="00CB254A">
        <w:t xml:space="preserve">to </w:t>
      </w:r>
      <w:r>
        <w:t xml:space="preserve">consider: </w:t>
      </w:r>
    </w:p>
    <w:p w:rsidR="00292A21" w:rsidRPr="00123200" w:rsidRDefault="00292A21" w:rsidP="00292A21">
      <w:pPr>
        <w:pStyle w:val="ListBullet"/>
        <w:rPr>
          <w:rFonts w:eastAsia="Calibri"/>
          <w:lang w:eastAsia="en-US"/>
        </w:rPr>
      </w:pPr>
      <w:r w:rsidRPr="00123200">
        <w:rPr>
          <w:rFonts w:eastAsia="Calibri"/>
          <w:lang w:eastAsia="en-US"/>
        </w:rPr>
        <w:t>the objectives, governance and implementation of current funding arrangements</w:t>
      </w:r>
      <w:r>
        <w:rPr>
          <w:rFonts w:eastAsia="Calibri"/>
          <w:lang w:eastAsia="en-US"/>
        </w:rPr>
        <w:t xml:space="preserve">, </w:t>
      </w:r>
      <w:r w:rsidRPr="00123200">
        <w:rPr>
          <w:rFonts w:eastAsia="Calibri"/>
          <w:lang w:eastAsia="en-US"/>
        </w:rPr>
        <w:t>including:</w:t>
      </w:r>
    </w:p>
    <w:p w:rsidR="00292A21" w:rsidRPr="00123200" w:rsidRDefault="00292A21" w:rsidP="00292A21">
      <w:pPr>
        <w:pStyle w:val="ListBullet2"/>
        <w:rPr>
          <w:rFonts w:eastAsia="Calibri"/>
          <w:lang w:eastAsia="en-US"/>
        </w:rPr>
      </w:pPr>
      <w:r w:rsidRPr="00123200">
        <w:rPr>
          <w:rFonts w:eastAsia="Calibri"/>
          <w:lang w:eastAsia="en-US"/>
        </w:rPr>
        <w:t xml:space="preserve">the extent of duplication and lack of coordination across </w:t>
      </w:r>
      <w:r w:rsidR="00211C98">
        <w:rPr>
          <w:rFonts w:eastAsia="Calibri"/>
          <w:lang w:eastAsia="en-US"/>
        </w:rPr>
        <w:t>Australian</w:t>
      </w:r>
      <w:r w:rsidR="00211C98" w:rsidRPr="00123200">
        <w:rPr>
          <w:rFonts w:eastAsia="Calibri"/>
          <w:lang w:eastAsia="en-US"/>
        </w:rPr>
        <w:t xml:space="preserve"> </w:t>
      </w:r>
      <w:r w:rsidRPr="00123200">
        <w:rPr>
          <w:rFonts w:eastAsia="Calibri"/>
          <w:lang w:eastAsia="en-US"/>
        </w:rPr>
        <w:t xml:space="preserve">and </w:t>
      </w:r>
      <w:r w:rsidR="0042062F">
        <w:rPr>
          <w:rFonts w:eastAsia="Calibri"/>
          <w:lang w:eastAsia="en-US"/>
        </w:rPr>
        <w:t>Northern Territory Government</w:t>
      </w:r>
      <w:r w:rsidR="00211C98">
        <w:rPr>
          <w:rFonts w:eastAsia="Calibri"/>
          <w:lang w:eastAsia="en-US"/>
        </w:rPr>
        <w:t xml:space="preserve"> </w:t>
      </w:r>
      <w:r w:rsidRPr="00123200">
        <w:rPr>
          <w:rFonts w:eastAsia="Calibri"/>
          <w:lang w:eastAsia="en-US"/>
        </w:rPr>
        <w:t>funding arrangements, individual programs and servi</w:t>
      </w:r>
      <w:r>
        <w:rPr>
          <w:rFonts w:eastAsia="Calibri"/>
          <w:lang w:eastAsia="en-US"/>
        </w:rPr>
        <w:t>ce providers</w:t>
      </w:r>
    </w:p>
    <w:p w:rsidR="00292A21" w:rsidRPr="00123200" w:rsidRDefault="00292A21" w:rsidP="00292A21">
      <w:pPr>
        <w:pStyle w:val="ListBullet2"/>
        <w:rPr>
          <w:rFonts w:eastAsia="Calibri"/>
          <w:lang w:eastAsia="en-US"/>
        </w:rPr>
      </w:pPr>
      <w:r w:rsidRPr="00123200">
        <w:rPr>
          <w:rFonts w:eastAsia="Calibri"/>
          <w:lang w:eastAsia="en-US"/>
        </w:rPr>
        <w:lastRenderedPageBreak/>
        <w:t xml:space="preserve">whether the approach to </w:t>
      </w:r>
      <w:r w:rsidR="00CB254A">
        <w:rPr>
          <w:rFonts w:eastAsia="Calibri"/>
          <w:lang w:eastAsia="en-US"/>
        </w:rPr>
        <w:t xml:space="preserve">program </w:t>
      </w:r>
      <w:r w:rsidRPr="00123200">
        <w:rPr>
          <w:rFonts w:eastAsia="Calibri"/>
          <w:lang w:eastAsia="en-US"/>
        </w:rPr>
        <w:t xml:space="preserve">design </w:t>
      </w:r>
      <w:r>
        <w:rPr>
          <w:rFonts w:eastAsia="Calibri"/>
          <w:lang w:eastAsia="en-US"/>
        </w:rPr>
        <w:t>aligns with policy objectives</w:t>
      </w:r>
    </w:p>
    <w:p w:rsidR="00292A21" w:rsidRPr="00123200" w:rsidRDefault="00292A21" w:rsidP="00292A21">
      <w:pPr>
        <w:pStyle w:val="ListBullet2"/>
        <w:rPr>
          <w:rFonts w:eastAsia="Calibri"/>
          <w:lang w:eastAsia="en-US"/>
        </w:rPr>
      </w:pPr>
      <w:r w:rsidRPr="00123200">
        <w:rPr>
          <w:rFonts w:eastAsia="Calibri"/>
          <w:lang w:eastAsia="en-US"/>
        </w:rPr>
        <w:t>the approach to engaging service</w:t>
      </w:r>
      <w:r>
        <w:rPr>
          <w:rFonts w:eastAsia="Calibri"/>
          <w:lang w:eastAsia="en-US"/>
        </w:rPr>
        <w:t xml:space="preserve"> providers and allocating funds</w:t>
      </w:r>
      <w:r w:rsidRPr="00123200">
        <w:rPr>
          <w:rFonts w:eastAsia="Calibri"/>
          <w:lang w:eastAsia="en-US"/>
        </w:rPr>
        <w:t xml:space="preserve"> </w:t>
      </w:r>
    </w:p>
    <w:p w:rsidR="00292A21" w:rsidRPr="00123200" w:rsidRDefault="00292A21" w:rsidP="00292A21">
      <w:pPr>
        <w:pStyle w:val="ListBullet2"/>
        <w:rPr>
          <w:rFonts w:eastAsia="Calibri"/>
          <w:lang w:eastAsia="en-US"/>
        </w:rPr>
      </w:pPr>
      <w:r w:rsidRPr="00123200">
        <w:rPr>
          <w:rFonts w:eastAsia="Calibri"/>
          <w:lang w:eastAsia="en-US"/>
        </w:rPr>
        <w:t>accountability, reporting and monitoring requirements for se</w:t>
      </w:r>
      <w:r>
        <w:rPr>
          <w:rFonts w:eastAsia="Calibri"/>
          <w:lang w:eastAsia="en-US"/>
        </w:rPr>
        <w:t>rvice providers and governments</w:t>
      </w:r>
    </w:p>
    <w:p w:rsidR="00292A21" w:rsidRPr="00292A21" w:rsidRDefault="00292A21" w:rsidP="00292A21">
      <w:pPr>
        <w:pStyle w:val="ListBullet2"/>
        <w:rPr>
          <w:rFonts w:eastAsia="Calibri"/>
          <w:lang w:eastAsia="en-US"/>
        </w:rPr>
      </w:pPr>
      <w:r w:rsidRPr="00292A21">
        <w:rPr>
          <w:rFonts w:eastAsia="Calibri"/>
          <w:lang w:eastAsia="en-US"/>
        </w:rPr>
        <w:t>levels of access to services</w:t>
      </w:r>
      <w:r>
        <w:rPr>
          <w:rFonts w:eastAsia="Calibri"/>
          <w:lang w:eastAsia="en-US"/>
        </w:rPr>
        <w:t xml:space="preserve"> and </w:t>
      </w:r>
      <w:r w:rsidRPr="00292A21">
        <w:rPr>
          <w:rFonts w:eastAsia="Calibri"/>
          <w:lang w:eastAsia="en-US"/>
        </w:rPr>
        <w:t>approaches to service delivery</w:t>
      </w:r>
      <w:r w:rsidR="00CB254A">
        <w:rPr>
          <w:rFonts w:eastAsia="Calibri"/>
          <w:lang w:eastAsia="en-US"/>
        </w:rPr>
        <w:t>.</w:t>
      </w:r>
    </w:p>
    <w:p w:rsidR="00292A21" w:rsidRPr="00123200" w:rsidRDefault="00292A21" w:rsidP="00292A21">
      <w:pPr>
        <w:pStyle w:val="ListBullet"/>
        <w:rPr>
          <w:rFonts w:eastAsia="Calibri"/>
          <w:lang w:eastAsia="en-US"/>
        </w:rPr>
      </w:pPr>
      <w:r w:rsidRPr="00123200">
        <w:rPr>
          <w:rFonts w:eastAsia="Calibri"/>
          <w:lang w:eastAsia="en-US"/>
        </w:rPr>
        <w:t>principles and approaches for governance and funding to promote better outcomes and improve:</w:t>
      </w:r>
    </w:p>
    <w:p w:rsidR="00292A21" w:rsidRPr="00123200" w:rsidRDefault="00292A21" w:rsidP="00292A21">
      <w:pPr>
        <w:pStyle w:val="ListBullet2"/>
        <w:rPr>
          <w:rFonts w:eastAsia="Calibri"/>
          <w:lang w:eastAsia="en-US"/>
        </w:rPr>
      </w:pPr>
      <w:r w:rsidRPr="00123200">
        <w:rPr>
          <w:rFonts w:eastAsia="Calibri"/>
          <w:lang w:eastAsia="en-US"/>
        </w:rPr>
        <w:t xml:space="preserve">the coordination of </w:t>
      </w:r>
      <w:r w:rsidR="000800AE">
        <w:rPr>
          <w:rFonts w:eastAsia="Calibri"/>
          <w:lang w:eastAsia="en-US"/>
        </w:rPr>
        <w:t xml:space="preserve">funding across the </w:t>
      </w:r>
      <w:r w:rsidR="00211C98">
        <w:rPr>
          <w:rFonts w:eastAsia="Calibri"/>
          <w:lang w:eastAsia="en-US"/>
        </w:rPr>
        <w:t xml:space="preserve">Australian </w:t>
      </w:r>
      <w:r w:rsidR="000800AE">
        <w:rPr>
          <w:rFonts w:eastAsia="Calibri"/>
          <w:lang w:eastAsia="en-US"/>
        </w:rPr>
        <w:t>and</w:t>
      </w:r>
      <w:r w:rsidR="00211C98">
        <w:rPr>
          <w:rFonts w:eastAsia="Calibri"/>
          <w:lang w:eastAsia="en-US"/>
        </w:rPr>
        <w:t xml:space="preserve"> </w:t>
      </w:r>
      <w:r w:rsidR="0042062F">
        <w:rPr>
          <w:rFonts w:eastAsia="Calibri"/>
          <w:lang w:eastAsia="en-US"/>
        </w:rPr>
        <w:t>Northern Territory Government</w:t>
      </w:r>
      <w:r w:rsidR="000800AE">
        <w:rPr>
          <w:rFonts w:eastAsia="Calibri"/>
          <w:lang w:eastAsia="en-US"/>
        </w:rPr>
        <w:t>s</w:t>
      </w:r>
    </w:p>
    <w:p w:rsidR="00292A21" w:rsidRPr="00123200" w:rsidRDefault="00292A21" w:rsidP="00292A21">
      <w:pPr>
        <w:pStyle w:val="ListBullet2"/>
        <w:rPr>
          <w:rFonts w:eastAsia="Calibri"/>
          <w:lang w:eastAsia="en-US"/>
        </w:rPr>
      </w:pPr>
      <w:r w:rsidRPr="00123200">
        <w:rPr>
          <w:rFonts w:eastAsia="Calibri"/>
          <w:lang w:eastAsia="en-US"/>
        </w:rPr>
        <w:t>the coordination, funding, design and administration of programs</w:t>
      </w:r>
    </w:p>
    <w:p w:rsidR="00292A21" w:rsidRPr="00123200" w:rsidRDefault="00292A21" w:rsidP="00292A21">
      <w:pPr>
        <w:pStyle w:val="ListBullet2"/>
        <w:rPr>
          <w:rFonts w:eastAsia="Calibri"/>
          <w:lang w:eastAsia="en-US"/>
        </w:rPr>
      </w:pPr>
      <w:r w:rsidRPr="00123200">
        <w:rPr>
          <w:rFonts w:eastAsia="Calibri"/>
          <w:lang w:eastAsia="en-US"/>
        </w:rPr>
        <w:t xml:space="preserve">the delivery of services and levels of access. </w:t>
      </w:r>
    </w:p>
    <w:p w:rsidR="00C47E41" w:rsidRDefault="00292A21" w:rsidP="00C47E41">
      <w:pPr>
        <w:pStyle w:val="BodyText"/>
        <w:rPr>
          <w:rFonts w:eastAsia="Calibri"/>
          <w:lang w:eastAsia="en-US"/>
        </w:rPr>
      </w:pPr>
      <w:r>
        <w:rPr>
          <w:rFonts w:eastAsia="Calibri"/>
          <w:lang w:eastAsia="en-US"/>
        </w:rPr>
        <w:t xml:space="preserve">The terms of reference indicate that this study will support the development of a joint funding framework, which the Royal Commission recommended the </w:t>
      </w:r>
      <w:r w:rsidR="00211C98">
        <w:rPr>
          <w:rFonts w:eastAsia="Calibri"/>
          <w:lang w:eastAsia="en-US"/>
        </w:rPr>
        <w:t xml:space="preserve">Australian </w:t>
      </w:r>
      <w:r>
        <w:rPr>
          <w:rFonts w:eastAsia="Calibri"/>
          <w:lang w:eastAsia="en-US"/>
        </w:rPr>
        <w:t xml:space="preserve">and Northern Territory </w:t>
      </w:r>
      <w:r w:rsidR="00211C98">
        <w:rPr>
          <w:rFonts w:eastAsia="Calibri"/>
          <w:lang w:eastAsia="en-US"/>
        </w:rPr>
        <w:t xml:space="preserve">Governments </w:t>
      </w:r>
      <w:r>
        <w:rPr>
          <w:rFonts w:eastAsia="Calibri"/>
          <w:lang w:eastAsia="en-US"/>
        </w:rPr>
        <w:t xml:space="preserve">develop. As such, we intend to provide guidance on what a funding framework should look like. </w:t>
      </w:r>
      <w:r w:rsidR="00C47E41">
        <w:rPr>
          <w:rFonts w:eastAsia="Calibri"/>
          <w:lang w:eastAsia="en-US"/>
        </w:rPr>
        <w:t xml:space="preserve">The way the Northern Territory’s expenditure is assessed for the purposes of distributing </w:t>
      </w:r>
      <w:r w:rsidR="00057777">
        <w:rPr>
          <w:rFonts w:eastAsia="Calibri"/>
          <w:lang w:eastAsia="en-US"/>
        </w:rPr>
        <w:t>Goods and Services Tax</w:t>
      </w:r>
      <w:r w:rsidR="00C47E41">
        <w:rPr>
          <w:rFonts w:eastAsia="Calibri"/>
          <w:lang w:eastAsia="en-US"/>
        </w:rPr>
        <w:t xml:space="preserve"> revenue (and how its actual expenditure compares to that assessment) is not within the scope of this study.</w:t>
      </w:r>
    </w:p>
    <w:p w:rsidR="003D2BB9" w:rsidRPr="004C7758" w:rsidRDefault="003D2BB9" w:rsidP="004C7758">
      <w:pPr>
        <w:pStyle w:val="BodyText"/>
        <w:spacing w:after="240"/>
        <w:rPr>
          <w:rFonts w:eastAsia="Calibri"/>
          <w:lang w:eastAsia="en-US"/>
        </w:rPr>
      </w:pPr>
      <w:r w:rsidRPr="004C7758">
        <w:rPr>
          <w:rFonts w:eastAsia="Calibri"/>
          <w:lang w:eastAsia="en-US"/>
        </w:rPr>
        <w:t>In undertaking this study, we will seek to build on the work of the Royal Commission and reform efforts that are already underway — specifically, by looking at how funding arrangements can be changed to better align with the public health approach</w:t>
      </w:r>
      <w:r w:rsidR="00E66DE8">
        <w:rPr>
          <w:rFonts w:eastAsia="Calibri"/>
          <w:lang w:eastAsia="en-US"/>
        </w:rPr>
        <w:t xml:space="preserve"> to child protection</w:t>
      </w:r>
      <w:r w:rsidRPr="004C7758">
        <w:rPr>
          <w:rFonts w:eastAsia="Calibri"/>
          <w:lang w:eastAsia="en-US"/>
        </w:rPr>
        <w:t xml:space="preserve"> and place</w:t>
      </w:r>
      <w:r w:rsidRPr="004C7758">
        <w:rPr>
          <w:rFonts w:eastAsia="Calibri"/>
          <w:lang w:eastAsia="en-US"/>
        </w:rPr>
        <w:noBreakHyphen/>
        <w:t xml:space="preserve">based decision making. Our focus will be on improving decision making about </w:t>
      </w:r>
      <w:r w:rsidRPr="00A73631">
        <w:rPr>
          <w:rFonts w:eastAsia="Calibri"/>
          <w:i/>
          <w:lang w:eastAsia="en-US"/>
        </w:rPr>
        <w:t>how</w:t>
      </w:r>
      <w:r w:rsidRPr="004C7758">
        <w:rPr>
          <w:rFonts w:eastAsia="Calibri"/>
          <w:lang w:eastAsia="en-US"/>
        </w:rPr>
        <w:t xml:space="preserve"> money is spent, rather than </w:t>
      </w:r>
      <w:r w:rsidRPr="00A73631">
        <w:rPr>
          <w:rFonts w:eastAsia="Calibri"/>
          <w:i/>
          <w:lang w:eastAsia="en-US"/>
        </w:rPr>
        <w:t>how much</w:t>
      </w:r>
      <w:r w:rsidRPr="004C7758">
        <w:rPr>
          <w:rFonts w:eastAsia="Calibri"/>
          <w:lang w:eastAsia="en-US"/>
        </w:rPr>
        <w:t xml:space="preserve"> is provided.</w:t>
      </w:r>
    </w:p>
    <w:p w:rsidR="0056156B" w:rsidRDefault="00292A21" w:rsidP="004C7758">
      <w:pPr>
        <w:pStyle w:val="BodyText"/>
        <w:rPr>
          <w:rFonts w:eastAsia="Calibri"/>
          <w:lang w:eastAsia="en-US"/>
        </w:rPr>
      </w:pPr>
      <w:r w:rsidRPr="004C7758">
        <w:rPr>
          <w:rFonts w:eastAsia="Calibri"/>
          <w:lang w:eastAsia="en-US"/>
        </w:rPr>
        <w:t xml:space="preserve">This study complements other Productivity Commission work </w:t>
      </w:r>
      <w:r w:rsidR="009B1352" w:rsidRPr="004C7758">
        <w:rPr>
          <w:rFonts w:eastAsia="Calibri"/>
          <w:lang w:eastAsia="en-US"/>
        </w:rPr>
        <w:t>currently underway</w:t>
      </w:r>
      <w:r w:rsidR="00D7052F" w:rsidRPr="004C7758">
        <w:rPr>
          <w:rFonts w:eastAsia="Calibri"/>
          <w:lang w:eastAsia="en-US"/>
        </w:rPr>
        <w:t>, and we will seek to coordinate our consultation across projects</w:t>
      </w:r>
      <w:r w:rsidRPr="004C7758">
        <w:rPr>
          <w:rFonts w:eastAsia="Calibri"/>
          <w:lang w:eastAsia="en-US"/>
        </w:rPr>
        <w:t xml:space="preserve">. </w:t>
      </w:r>
      <w:r w:rsidR="0067796C">
        <w:rPr>
          <w:rFonts w:eastAsia="Calibri"/>
          <w:lang w:eastAsia="en-US"/>
        </w:rPr>
        <w:t>This includes work we are undertaking i</w:t>
      </w:r>
      <w:r w:rsidRPr="004C7758">
        <w:rPr>
          <w:rFonts w:eastAsia="Calibri"/>
          <w:lang w:eastAsia="en-US"/>
        </w:rPr>
        <w:t xml:space="preserve">n our role as the Secretariat for the Steering Committee for the Review of Government Service Provision, </w:t>
      </w:r>
      <w:r w:rsidR="0067796C">
        <w:rPr>
          <w:rFonts w:eastAsia="Calibri"/>
          <w:lang w:eastAsia="en-US"/>
        </w:rPr>
        <w:t>to</w:t>
      </w:r>
      <w:r w:rsidRPr="004C7758">
        <w:rPr>
          <w:rFonts w:eastAsia="Calibri"/>
          <w:lang w:eastAsia="en-US"/>
        </w:rPr>
        <w:t xml:space="preserve"> investigat</w:t>
      </w:r>
      <w:r w:rsidR="0067796C">
        <w:rPr>
          <w:rFonts w:eastAsia="Calibri"/>
          <w:lang w:eastAsia="en-US"/>
        </w:rPr>
        <w:t>e</w:t>
      </w:r>
      <w:r w:rsidRPr="004C7758">
        <w:rPr>
          <w:rFonts w:eastAsia="Calibri"/>
          <w:lang w:eastAsia="en-US"/>
        </w:rPr>
        <w:t xml:space="preserve"> ‘what works’ </w:t>
      </w:r>
      <w:r w:rsidR="00AB5A21">
        <w:rPr>
          <w:rFonts w:eastAsia="Calibri"/>
          <w:lang w:eastAsia="en-US"/>
        </w:rPr>
        <w:t>for</w:t>
      </w:r>
      <w:r w:rsidRPr="004C7758">
        <w:rPr>
          <w:rFonts w:eastAsia="Calibri"/>
          <w:lang w:eastAsia="en-US"/>
        </w:rPr>
        <w:t xml:space="preserve"> systems that enable </w:t>
      </w:r>
      <w:r w:rsidR="001D2CC4" w:rsidRPr="004C7758">
        <w:rPr>
          <w:rFonts w:eastAsia="Calibri"/>
          <w:lang w:eastAsia="en-US"/>
        </w:rPr>
        <w:t xml:space="preserve">a </w:t>
      </w:r>
      <w:r w:rsidRPr="004C7758">
        <w:rPr>
          <w:rFonts w:eastAsia="Calibri"/>
          <w:lang w:eastAsia="en-US"/>
        </w:rPr>
        <w:t>public health approach to protecting children</w:t>
      </w:r>
      <w:r w:rsidR="00342844" w:rsidRPr="004C7758">
        <w:rPr>
          <w:rFonts w:eastAsia="Calibri"/>
          <w:lang w:eastAsia="en-US"/>
        </w:rPr>
        <w:t xml:space="preserve"> </w:t>
      </w:r>
      <w:r w:rsidR="00B97832" w:rsidRPr="00B97832">
        <w:rPr>
          <w:szCs w:val="24"/>
        </w:rPr>
        <w:t>(PC 2019)</w:t>
      </w:r>
      <w:r w:rsidRPr="004C7758">
        <w:rPr>
          <w:rFonts w:eastAsia="Calibri"/>
          <w:lang w:eastAsia="en-US"/>
        </w:rPr>
        <w:t xml:space="preserve">. </w:t>
      </w:r>
      <w:r w:rsidR="00894485" w:rsidRPr="004C7758">
        <w:rPr>
          <w:rFonts w:eastAsia="Calibri"/>
          <w:lang w:eastAsia="en-US"/>
        </w:rPr>
        <w:t>In April 2019</w:t>
      </w:r>
      <w:r w:rsidR="0056156B" w:rsidRPr="004C7758">
        <w:rPr>
          <w:rFonts w:eastAsia="Calibri"/>
          <w:lang w:eastAsia="en-US"/>
        </w:rPr>
        <w:t>,</w:t>
      </w:r>
      <w:r w:rsidRPr="004C7758">
        <w:rPr>
          <w:rFonts w:eastAsia="Calibri"/>
          <w:lang w:eastAsia="en-US"/>
        </w:rPr>
        <w:t xml:space="preserve"> </w:t>
      </w:r>
      <w:r w:rsidR="00894485" w:rsidRPr="004C7758">
        <w:rPr>
          <w:rFonts w:eastAsia="Calibri"/>
          <w:lang w:eastAsia="en-US"/>
        </w:rPr>
        <w:t xml:space="preserve">the Australian Government </w:t>
      </w:r>
      <w:r w:rsidRPr="004C7758">
        <w:rPr>
          <w:rFonts w:eastAsia="Calibri"/>
          <w:lang w:eastAsia="en-US"/>
        </w:rPr>
        <w:t xml:space="preserve">asked </w:t>
      </w:r>
      <w:r w:rsidR="00894485" w:rsidRPr="004C7758">
        <w:rPr>
          <w:rFonts w:eastAsia="Calibri"/>
          <w:lang w:eastAsia="en-US"/>
        </w:rPr>
        <w:t>us</w:t>
      </w:r>
      <w:r w:rsidRPr="004C7758">
        <w:rPr>
          <w:rFonts w:eastAsia="Calibri"/>
          <w:lang w:eastAsia="en-US"/>
        </w:rPr>
        <w:t xml:space="preserve"> to develop a whole</w:t>
      </w:r>
      <w:r w:rsidRPr="004C7758">
        <w:rPr>
          <w:rFonts w:eastAsia="Calibri"/>
          <w:lang w:eastAsia="en-US"/>
        </w:rPr>
        <w:noBreakHyphen/>
        <w:t>of</w:t>
      </w:r>
      <w:r w:rsidRPr="004C7758">
        <w:rPr>
          <w:rFonts w:eastAsia="Calibri"/>
          <w:lang w:eastAsia="en-US"/>
        </w:rPr>
        <w:noBreakHyphen/>
        <w:t xml:space="preserve">government evaluation strategy for policies and programs affecting </w:t>
      </w:r>
      <w:r w:rsidR="00AB5A21">
        <w:rPr>
          <w:rFonts w:eastAsia="Calibri"/>
          <w:lang w:eastAsia="en-US"/>
        </w:rPr>
        <w:t xml:space="preserve">Aboriginal and Torres Strait Islander </w:t>
      </w:r>
      <w:r w:rsidRPr="004C7758">
        <w:rPr>
          <w:rFonts w:eastAsia="Calibri"/>
          <w:lang w:eastAsia="en-US"/>
        </w:rPr>
        <w:t>Australians</w:t>
      </w:r>
      <w:r w:rsidR="00AB5A21">
        <w:rPr>
          <w:rFonts w:eastAsia="Calibri"/>
          <w:lang w:eastAsia="en-US"/>
        </w:rPr>
        <w:t xml:space="preserve"> (Indigenous Australians)</w:t>
      </w:r>
      <w:r w:rsidRPr="004C7758">
        <w:rPr>
          <w:rFonts w:eastAsia="Calibri"/>
          <w:lang w:eastAsia="en-US"/>
        </w:rPr>
        <w:t xml:space="preserve">, to be used by all Australian Government agencies. This work is to be provided to the </w:t>
      </w:r>
      <w:r w:rsidR="00894485" w:rsidRPr="004C7758">
        <w:rPr>
          <w:rFonts w:eastAsia="Calibri"/>
          <w:lang w:eastAsia="en-US"/>
        </w:rPr>
        <w:t>G</w:t>
      </w:r>
      <w:r w:rsidRPr="004C7758">
        <w:rPr>
          <w:rFonts w:eastAsia="Calibri"/>
          <w:lang w:eastAsia="en-US"/>
        </w:rPr>
        <w:t>overnment by July 2020.</w:t>
      </w:r>
    </w:p>
    <w:p w:rsidR="006F300B" w:rsidRDefault="006F300B" w:rsidP="00240494">
      <w:pPr>
        <w:pStyle w:val="BodyText"/>
        <w:rPr>
          <w:noProof/>
        </w:rPr>
      </w:pPr>
      <w:bookmarkStart w:id="4" w:name="_Toc8377483"/>
      <w:bookmarkStart w:id="5" w:name="_Toc8393499"/>
      <w:r>
        <w:rPr>
          <w:noProof/>
        </w:rPr>
        <w:br w:type="page"/>
      </w:r>
    </w:p>
    <w:p w:rsidR="00C47E41" w:rsidRDefault="00592B46" w:rsidP="00C47E41">
      <w:pPr>
        <w:pStyle w:val="Heading2"/>
      </w:pPr>
      <w:r>
        <w:rPr>
          <w:noProof/>
        </w:rPr>
        <w:lastRenderedPageBreak/>
        <w:t>2</w:t>
      </w:r>
      <w:r w:rsidR="00292A21">
        <w:tab/>
      </w:r>
      <w:r w:rsidR="00C47E41">
        <w:t>What does this study mean for children</w:t>
      </w:r>
      <w:r w:rsidR="00635125">
        <w:t>,</w:t>
      </w:r>
      <w:r w:rsidR="00C47E41">
        <w:t xml:space="preserve"> families</w:t>
      </w:r>
      <w:r w:rsidR="00635125">
        <w:t xml:space="preserve"> and communities</w:t>
      </w:r>
      <w:r w:rsidR="00C47E41">
        <w:t>?</w:t>
      </w:r>
      <w:bookmarkEnd w:id="4"/>
      <w:bookmarkEnd w:id="5"/>
    </w:p>
    <w:p w:rsidR="00C47E41" w:rsidRDefault="00C47E41" w:rsidP="008D3D46">
      <w:pPr>
        <w:pStyle w:val="BodyText"/>
      </w:pPr>
      <w:r>
        <w:t>Previous inquiries pointed to the unique context of child protection in the N</w:t>
      </w:r>
      <w:r w:rsidR="000B603A">
        <w:t>orthern Territory</w:t>
      </w:r>
      <w:r>
        <w:t xml:space="preserve"> and the c</w:t>
      </w:r>
      <w:r w:rsidR="003D2BB9">
        <w:t>hallenges</w:t>
      </w:r>
      <w:r w:rsidR="001470A8">
        <w:t xml:space="preserve"> of providing services (</w:t>
      </w:r>
      <w:r w:rsidR="003D2BB9">
        <w:t>appendix</w:t>
      </w:r>
      <w:r w:rsidR="000A041F">
        <w:t> </w:t>
      </w:r>
      <w:r w:rsidR="0064797C">
        <w:t>B</w:t>
      </w:r>
      <w:r w:rsidR="003D2BB9">
        <w:t>).</w:t>
      </w:r>
      <w:r w:rsidR="000B603A">
        <w:t xml:space="preserve"> About 1 in </w:t>
      </w:r>
      <w:r w:rsidR="009A51B4">
        <w:t xml:space="preserve">9 </w:t>
      </w:r>
      <w:r w:rsidR="000B603A">
        <w:t>children in the Northern Territory are receiving child protection services, four times the national average. Indigenous children are six times more likely to be receiving such services than non</w:t>
      </w:r>
      <w:r w:rsidR="000B603A">
        <w:noBreakHyphen/>
        <w:t>Indigenous children</w:t>
      </w:r>
      <w:r w:rsidR="00DE5A55">
        <w:t xml:space="preserve"> in the Northern Territory</w:t>
      </w:r>
      <w:r w:rsidR="000B603A">
        <w:t xml:space="preserve">, especially if they live in remote areas. </w:t>
      </w:r>
      <w:r w:rsidR="000B603A" w:rsidRPr="000B603A">
        <w:t>These outcomes reflect the high prevalence of risk factors in the Northern Territory, which stem from complex social, historical and geographic factors</w:t>
      </w:r>
      <w:r w:rsidR="000B603A">
        <w:t>.</w:t>
      </w:r>
    </w:p>
    <w:p w:rsidR="00F938BF" w:rsidRDefault="00C47E41" w:rsidP="00F938BF">
      <w:pPr>
        <w:pStyle w:val="BodyText"/>
      </w:pPr>
      <w:r>
        <w:t xml:space="preserve">The Royal Commission </w:t>
      </w:r>
      <w:r w:rsidR="00052EAD">
        <w:t>emphasised the need for a</w:t>
      </w:r>
      <w:r>
        <w:t xml:space="preserve"> much greater focus on prevention (</w:t>
      </w:r>
      <w:r w:rsidR="000B603A">
        <w:t xml:space="preserve">a </w:t>
      </w:r>
      <w:r>
        <w:t>public health approach) and on community</w:t>
      </w:r>
      <w:r>
        <w:noBreakHyphen/>
        <w:t>led decision making (</w:t>
      </w:r>
      <w:r w:rsidR="000B603A">
        <w:t xml:space="preserve">a </w:t>
      </w:r>
      <w:r>
        <w:t>place</w:t>
      </w:r>
      <w:r w:rsidR="000A041F">
        <w:noBreakHyphen/>
      </w:r>
      <w:r>
        <w:t>based approach)</w:t>
      </w:r>
      <w:r w:rsidR="0064797C">
        <w:t xml:space="preserve"> (appendix</w:t>
      </w:r>
      <w:r w:rsidR="000A041F">
        <w:t> </w:t>
      </w:r>
      <w:r w:rsidR="0064797C">
        <w:t>B)</w:t>
      </w:r>
      <w:r>
        <w:t>.</w:t>
      </w:r>
      <w:r w:rsidR="00121DD7">
        <w:t xml:space="preserve"> The </w:t>
      </w:r>
      <w:r w:rsidR="0042062F">
        <w:t>Northern Territory Government</w:t>
      </w:r>
      <w:r w:rsidR="00121DD7">
        <w:t xml:space="preserve"> accepted these recommendations and has commenced a reform process</w:t>
      </w:r>
      <w:r w:rsidR="00052EAD">
        <w:t xml:space="preserve">. </w:t>
      </w:r>
      <w:r w:rsidR="00AA7609">
        <w:t>T</w:t>
      </w:r>
      <w:r w:rsidR="00F938BF" w:rsidRPr="00F938BF">
        <w:t>he Australian Government supported in principle many of the recommendations directed at it.</w:t>
      </w:r>
    </w:p>
    <w:p w:rsidR="00256639" w:rsidRDefault="000B603A" w:rsidP="00F938BF">
      <w:pPr>
        <w:pStyle w:val="BodyText"/>
      </w:pPr>
      <w:r>
        <w:t xml:space="preserve">In this study, we are seeking to better understand how funding arrangements </w:t>
      </w:r>
      <w:r w:rsidR="00256639">
        <w:t xml:space="preserve">for children and family services </w:t>
      </w:r>
      <w:r>
        <w:t xml:space="preserve">are affecting outcomes for </w:t>
      </w:r>
      <w:r w:rsidR="00185683">
        <w:t xml:space="preserve">children and </w:t>
      </w:r>
      <w:r>
        <w:t>families in communities across the N</w:t>
      </w:r>
      <w:r w:rsidR="00256639">
        <w:t xml:space="preserve">orthern </w:t>
      </w:r>
      <w:r>
        <w:t>T</w:t>
      </w:r>
      <w:r w:rsidR="00256639">
        <w:t>erritory</w:t>
      </w:r>
      <w:r>
        <w:t xml:space="preserve">, and will be looking at how those </w:t>
      </w:r>
      <w:r w:rsidR="00256639">
        <w:t>funding</w:t>
      </w:r>
      <w:r>
        <w:t xml:space="preserve"> arrangement</w:t>
      </w:r>
      <w:r w:rsidR="00015A46">
        <w:t xml:space="preserve">s can better support the public </w:t>
      </w:r>
      <w:r>
        <w:t>health and place</w:t>
      </w:r>
      <w:r>
        <w:noBreakHyphen/>
        <w:t>based approaches to service delivery</w:t>
      </w:r>
      <w:r w:rsidR="00256639">
        <w:t xml:space="preserve"> — with the ultimate objective of better preventing harm to children.</w:t>
      </w:r>
    </w:p>
    <w:p w:rsidR="000B603A" w:rsidRDefault="000B603A" w:rsidP="000B603A">
      <w:pPr>
        <w:pStyle w:val="BodyText"/>
      </w:pPr>
      <w:r>
        <w:t>The Royal Commission and earlier inquiries found systemic problems with the way children and family services were being funded, including a lack of rigorous tracking of how funding was being spent or the outcomes it was achieving, duplication between service providers, a lack of coordination between the Northern Territory and Australian Governments, and the failure to build the capacity of communities to manage and provide services locally.</w:t>
      </w:r>
    </w:p>
    <w:p w:rsidR="000B603A" w:rsidRDefault="00B76D75" w:rsidP="000B603A">
      <w:pPr>
        <w:pStyle w:val="BodyText"/>
      </w:pPr>
      <w:r>
        <w:t>We want to hear from families</w:t>
      </w:r>
      <w:r w:rsidR="00015A46">
        <w:t xml:space="preserve">, </w:t>
      </w:r>
      <w:r>
        <w:t xml:space="preserve">communities </w:t>
      </w:r>
      <w:r w:rsidR="00015A46">
        <w:t xml:space="preserve">and service providers </w:t>
      </w:r>
      <w:r>
        <w:t>across the Northern Territory about their experiences with child</w:t>
      </w:r>
      <w:r w:rsidR="00F23C9C">
        <w:t>ren</w:t>
      </w:r>
      <w:r>
        <w:t xml:space="preserve"> and family services (including child protection), including what types of services are available in communities, how easily they can be access</w:t>
      </w:r>
      <w:r w:rsidR="000E42AE">
        <w:t>ed</w:t>
      </w:r>
      <w:r>
        <w:t>, and how well they are coordinated across different service providers. We would also like to hear your ideas on how service delivery and funding can be improved.</w:t>
      </w:r>
      <w:r w:rsidR="00F23C9C">
        <w:t xml:space="preserve"> This information will help us make recommendations to government about how to improve the funding and delivery of services. </w:t>
      </w:r>
    </w:p>
    <w:p w:rsidR="00015A46" w:rsidRDefault="00015A46">
      <w:pPr>
        <w:rPr>
          <w:szCs w:val="20"/>
        </w:rPr>
      </w:pPr>
      <w:r>
        <w:br w:type="page"/>
      </w:r>
    </w:p>
    <w:p w:rsidR="00256639" w:rsidRPr="006F300B" w:rsidRDefault="00256639" w:rsidP="006F300B">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256639" w:rsidTr="00256639">
        <w:trPr>
          <w:tblHeader/>
        </w:trPr>
        <w:tc>
          <w:tcPr>
            <w:tcW w:w="5000" w:type="pct"/>
            <w:tcBorders>
              <w:top w:val="single" w:sz="6" w:space="0" w:color="78A22F"/>
              <w:left w:val="nil"/>
              <w:bottom w:val="nil"/>
              <w:right w:val="nil"/>
            </w:tcBorders>
            <w:shd w:val="clear" w:color="auto" w:fill="auto"/>
          </w:tcPr>
          <w:p w:rsidR="00256639" w:rsidRPr="00CE4C64" w:rsidRDefault="00256639" w:rsidP="00256639">
            <w:pPr>
              <w:pStyle w:val="InformationRequestTitle"/>
              <w:spacing w:before="120"/>
            </w:pPr>
            <w:r>
              <w:t>QUESTION</w:t>
            </w:r>
            <w:r w:rsidR="00AF52D7">
              <w:t xml:space="preserve"> set 1</w:t>
            </w:r>
          </w:p>
        </w:tc>
      </w:tr>
      <w:tr w:rsidR="00256639" w:rsidRPr="00750BE2" w:rsidTr="00256639">
        <w:tc>
          <w:tcPr>
            <w:tcW w:w="5000" w:type="pct"/>
            <w:tcBorders>
              <w:top w:val="nil"/>
              <w:left w:val="nil"/>
              <w:bottom w:val="nil"/>
              <w:right w:val="nil"/>
            </w:tcBorders>
            <w:shd w:val="clear" w:color="auto" w:fill="auto"/>
          </w:tcPr>
          <w:p w:rsidR="00256639" w:rsidRDefault="00256639" w:rsidP="00256639">
            <w:pPr>
              <w:pStyle w:val="InformationRequestBullet"/>
            </w:pPr>
            <w:r w:rsidRPr="00BB3161">
              <w:t>What types of child</w:t>
            </w:r>
            <w:r w:rsidR="00015A46">
              <w:t>ren</w:t>
            </w:r>
            <w:r w:rsidRPr="00BB3161">
              <w:t xml:space="preserve"> and family services</w:t>
            </w:r>
            <w:r>
              <w:t xml:space="preserve"> are available in your community?</w:t>
            </w:r>
          </w:p>
          <w:p w:rsidR="00256639" w:rsidRDefault="00256639" w:rsidP="00B442BB">
            <w:pPr>
              <w:pStyle w:val="InformationRequestBullet"/>
            </w:pPr>
            <w:r>
              <w:t>Who uses these services and how easy are they to access?</w:t>
            </w:r>
          </w:p>
          <w:p w:rsidR="00256639" w:rsidRDefault="00256639" w:rsidP="00185683">
            <w:pPr>
              <w:pStyle w:val="InformationRequestBullet"/>
            </w:pPr>
            <w:r>
              <w:t xml:space="preserve">Are services being delivered in a culturally </w:t>
            </w:r>
            <w:r w:rsidR="00450AC2">
              <w:t xml:space="preserve">capable </w:t>
            </w:r>
            <w:r>
              <w:t>way that meets the needs of children and families?</w:t>
            </w:r>
          </w:p>
          <w:p w:rsidR="00256639" w:rsidRDefault="00256639" w:rsidP="008D3D46">
            <w:pPr>
              <w:pStyle w:val="InformationRequestBullet"/>
            </w:pPr>
            <w:r>
              <w:t xml:space="preserve">Are there services that are needed but are not being provided? Or are there problems with the mix of services </w:t>
            </w:r>
            <w:r w:rsidR="00AE1416">
              <w:t>that are</w:t>
            </w:r>
            <w:r>
              <w:t xml:space="preserve"> available?</w:t>
            </w:r>
          </w:p>
          <w:p w:rsidR="00256639" w:rsidRDefault="00256639">
            <w:pPr>
              <w:pStyle w:val="InformationRequestBullet"/>
            </w:pPr>
            <w:r>
              <w:t>Are you consulted on what services are provided in your community</w:t>
            </w:r>
            <w:r w:rsidR="00F323A2">
              <w:t xml:space="preserve"> and what outcomes should be prioritised</w:t>
            </w:r>
            <w:r>
              <w:t>? How could governments and service providers do this better?</w:t>
            </w:r>
          </w:p>
          <w:p w:rsidR="00A2369B" w:rsidRDefault="00A2369B" w:rsidP="00A2369B">
            <w:pPr>
              <w:pStyle w:val="InformationRequestBullet"/>
            </w:pPr>
            <w:r>
              <w:t xml:space="preserve">Are services being provided in ways that maintain and build on the community’s </w:t>
            </w:r>
            <w:r w:rsidR="00F323A2">
              <w:t xml:space="preserve">cultural and other </w:t>
            </w:r>
            <w:r>
              <w:t>strengths to prevent harm to children?</w:t>
            </w:r>
          </w:p>
          <w:p w:rsidR="00256639" w:rsidRPr="00256639" w:rsidRDefault="00256639">
            <w:pPr>
              <w:pStyle w:val="InformationRequestBullet"/>
            </w:pPr>
            <w:r>
              <w:t>How can services be improved to better prevent harm to children</w:t>
            </w:r>
            <w:r w:rsidR="00A2369B">
              <w:t xml:space="preserve"> and strengthen the resilience of communities</w:t>
            </w:r>
            <w:r w:rsidR="00015A46">
              <w:t xml:space="preserve"> (including their cultural foundations)</w:t>
            </w:r>
            <w:r w:rsidR="00A2369B">
              <w:t>?</w:t>
            </w:r>
          </w:p>
        </w:tc>
      </w:tr>
      <w:tr w:rsidR="00256639" w:rsidTr="00256639">
        <w:tc>
          <w:tcPr>
            <w:tcW w:w="5000" w:type="pct"/>
            <w:tcBorders>
              <w:top w:val="nil"/>
              <w:left w:val="nil"/>
              <w:bottom w:val="single" w:sz="6" w:space="0" w:color="78A22F"/>
              <w:right w:val="nil"/>
            </w:tcBorders>
            <w:shd w:val="clear" w:color="auto" w:fill="auto"/>
          </w:tcPr>
          <w:p w:rsidR="00256639" w:rsidRDefault="00256639" w:rsidP="00256639">
            <w:pPr>
              <w:pStyle w:val="Space"/>
              <w:keepLines/>
            </w:pPr>
          </w:p>
        </w:tc>
      </w:tr>
      <w:tr w:rsidR="00256639" w:rsidRPr="000863A5" w:rsidTr="00256639">
        <w:tc>
          <w:tcPr>
            <w:tcW w:w="5000" w:type="pct"/>
            <w:tcBorders>
              <w:top w:val="single" w:sz="6" w:space="0" w:color="78A22F"/>
              <w:left w:val="nil"/>
              <w:bottom w:val="nil"/>
              <w:right w:val="nil"/>
            </w:tcBorders>
          </w:tcPr>
          <w:p w:rsidR="00256639" w:rsidRPr="00626D32" w:rsidRDefault="00256639" w:rsidP="00256639">
            <w:pPr>
              <w:pStyle w:val="BoxSpaceBelow"/>
              <w:keepLines/>
            </w:pPr>
          </w:p>
        </w:tc>
      </w:tr>
    </w:tbl>
    <w:p w:rsidR="003E44CE" w:rsidRDefault="00592B46" w:rsidP="000A2E24">
      <w:pPr>
        <w:pStyle w:val="Heading2"/>
      </w:pPr>
      <w:bookmarkStart w:id="6" w:name="_Toc8377484"/>
      <w:bookmarkStart w:id="7" w:name="_Toc8393500"/>
      <w:r>
        <w:rPr>
          <w:noProof/>
        </w:rPr>
        <w:t>3</w:t>
      </w:r>
      <w:r w:rsidR="000A2E24">
        <w:tab/>
        <w:t xml:space="preserve">What services and programs </w:t>
      </w:r>
      <w:r w:rsidR="00AA43EF">
        <w:t>should</w:t>
      </w:r>
      <w:r w:rsidR="00B935B2">
        <w:t xml:space="preserve"> we look at</w:t>
      </w:r>
      <w:r w:rsidR="000A2E24">
        <w:t>?</w:t>
      </w:r>
      <w:bookmarkEnd w:id="6"/>
      <w:bookmarkEnd w:id="7"/>
    </w:p>
    <w:p w:rsidR="0093678A" w:rsidRDefault="0089707C" w:rsidP="00ED32F6">
      <w:pPr>
        <w:pStyle w:val="BodyText"/>
      </w:pPr>
      <w:r>
        <w:t>T</w:t>
      </w:r>
      <w:r w:rsidR="00661A1C">
        <w:t xml:space="preserve">his study is </w:t>
      </w:r>
      <w:r w:rsidR="00F8381A">
        <w:t xml:space="preserve">about </w:t>
      </w:r>
      <w:r w:rsidR="00B14B20">
        <w:t xml:space="preserve">government expenditure on </w:t>
      </w:r>
      <w:r w:rsidR="00F8381A" w:rsidRPr="00F8381A">
        <w:t>children and family services relevant to the</w:t>
      </w:r>
      <w:r w:rsidR="00F8381A">
        <w:t xml:space="preserve"> prevention of harm to children.</w:t>
      </w:r>
      <w:r w:rsidR="00B14B20">
        <w:t xml:space="preserve"> </w:t>
      </w:r>
      <w:r w:rsidR="0093678A">
        <w:t>What this means in terms of specific services, programs and funding arrangements is open to interpretation</w:t>
      </w:r>
      <w:r w:rsidR="00262CB3">
        <w:t>. W</w:t>
      </w:r>
      <w:r w:rsidR="0093678A">
        <w:t xml:space="preserve">e are seeking input on </w:t>
      </w:r>
      <w:r w:rsidR="006D1446">
        <w:t>where to</w:t>
      </w:r>
      <w:r w:rsidR="0093678A">
        <w:t xml:space="preserve"> focus.</w:t>
      </w:r>
    </w:p>
    <w:p w:rsidR="0093678A" w:rsidRDefault="0093678A" w:rsidP="0093678A">
      <w:pPr>
        <w:pStyle w:val="Heading3"/>
      </w:pPr>
      <w:bookmarkStart w:id="8" w:name="_Toc8377485"/>
      <w:bookmarkStart w:id="9" w:name="_Toc8393501"/>
      <w:r>
        <w:t>What services and programs are in scope?</w:t>
      </w:r>
      <w:bookmarkEnd w:id="8"/>
      <w:bookmarkEnd w:id="9"/>
    </w:p>
    <w:p w:rsidR="00CA376F" w:rsidRDefault="00CA376F" w:rsidP="00D7134D">
      <w:pPr>
        <w:pStyle w:val="BodyText"/>
        <w:spacing w:after="120"/>
      </w:pPr>
      <w:r>
        <w:t xml:space="preserve">The </w:t>
      </w:r>
      <w:r w:rsidR="00262CB3">
        <w:t>public health approach</w:t>
      </w:r>
      <w:r>
        <w:t xml:space="preserve"> (</w:t>
      </w:r>
      <w:r w:rsidR="00262CB3">
        <w:t xml:space="preserve">depicted in </w:t>
      </w:r>
      <w:r>
        <w:t>figure </w:t>
      </w:r>
      <w:r w:rsidR="009406A8">
        <w:t>1</w:t>
      </w:r>
      <w:r>
        <w:t xml:space="preserve">) encapsulates the types of services that are the focus of this study. The framework categorises services based on whether they are available to all families (for example, </w:t>
      </w:r>
      <w:r w:rsidR="0056156B">
        <w:t>child and family</w:t>
      </w:r>
      <w:r w:rsidR="00DE3987">
        <w:t xml:space="preserve"> </w:t>
      </w:r>
      <w:r>
        <w:t xml:space="preserve">health and </w:t>
      </w:r>
      <w:r w:rsidR="00DE3987">
        <w:t xml:space="preserve">early childhood </w:t>
      </w:r>
      <w:r>
        <w:t>education), preventative interventions targeted to vulnerable families and children</w:t>
      </w:r>
      <w:r w:rsidR="00DE3987">
        <w:t xml:space="preserve"> (including intensive family support and domestic violence services)</w:t>
      </w:r>
      <w:r>
        <w:t>, or ‘last resort’ interventions</w:t>
      </w:r>
      <w:r w:rsidR="00AC70FC">
        <w:t xml:space="preserve"> (</w:t>
      </w:r>
      <w:r w:rsidR="0083726D">
        <w:t xml:space="preserve">such as </w:t>
      </w:r>
      <w:r w:rsidR="00AC70FC">
        <w:t>removing children from their families)</w:t>
      </w:r>
      <w:r>
        <w:t xml:space="preserve">. </w:t>
      </w:r>
      <w:r w:rsidR="00262CB3">
        <w:t>Table </w:t>
      </w:r>
      <w:r w:rsidR="009406A8">
        <w:t>1</w:t>
      </w:r>
      <w:r w:rsidR="00262CB3">
        <w:t xml:space="preserve"> lists some examples of services that others have identified as falling into these categories.</w:t>
      </w:r>
    </w:p>
    <w:p w:rsidR="000A041F" w:rsidRDefault="000A041F" w:rsidP="008E0C9E">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0A041F" w:rsidTr="008E0C9E">
        <w:trPr>
          <w:tblHeader/>
        </w:trPr>
        <w:tc>
          <w:tcPr>
            <w:tcW w:w="5000" w:type="pct"/>
            <w:tcBorders>
              <w:top w:val="single" w:sz="6" w:space="0" w:color="78A22F"/>
              <w:left w:val="nil"/>
              <w:bottom w:val="nil"/>
              <w:right w:val="nil"/>
            </w:tcBorders>
            <w:shd w:val="clear" w:color="auto" w:fill="auto"/>
          </w:tcPr>
          <w:p w:rsidR="000A041F" w:rsidRPr="00176D3F" w:rsidRDefault="000A041F" w:rsidP="00032623">
            <w:pPr>
              <w:pStyle w:val="FigureTitle"/>
            </w:pPr>
            <w:r w:rsidRPr="00784A05">
              <w:rPr>
                <w:b w:val="0"/>
              </w:rPr>
              <w:t xml:space="preserve">Figure </w:t>
            </w:r>
            <w:r w:rsidR="00592B46">
              <w:rPr>
                <w:b w:val="0"/>
                <w:noProof/>
              </w:rPr>
              <w:t>1</w:t>
            </w:r>
            <w:r>
              <w:tab/>
            </w:r>
            <w:r w:rsidR="00032623">
              <w:t>The public health approach to protecting children</w:t>
            </w:r>
          </w:p>
        </w:tc>
      </w:tr>
      <w:tr w:rsidR="000A041F" w:rsidTr="008E0C9E">
        <w:tc>
          <w:tcPr>
            <w:tcW w:w="5000" w:type="pct"/>
            <w:tcBorders>
              <w:top w:val="nil"/>
              <w:left w:val="nil"/>
              <w:bottom w:val="nil"/>
              <w:right w:val="nil"/>
            </w:tcBorders>
            <w:shd w:val="clear" w:color="auto" w:fill="auto"/>
            <w:tcMar>
              <w:top w:w="28" w:type="dxa"/>
              <w:bottom w:w="28" w:type="dxa"/>
            </w:tcMar>
          </w:tcPr>
          <w:p w:rsidR="000A041F" w:rsidRDefault="0013496C" w:rsidP="0013496C">
            <w:r w:rsidRPr="0013496C">
              <w:rPr>
                <w:noProof/>
              </w:rPr>
              <w:drawing>
                <wp:inline distT="0" distB="0" distL="0" distR="0">
                  <wp:extent cx="5448777" cy="3204000"/>
                  <wp:effectExtent l="0" t="0" r="0" b="0"/>
                  <wp:docPr id="3" name="Picture 3" descr="This is a pyramid figure.&#10;From the top:&#10;Top tier: Tertiary - Statutory system&#10;Middle tier: Secondary 1. Targeted services and programs for 'at risk' families and children&#10;2. Early intervention services targeted to vulnerable families and children&#10;Bottom tier: Primary - Universal preventative initiatives to support all families and child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48777" cy="3204000"/>
                          </a:xfrm>
                          <a:prstGeom prst="rect">
                            <a:avLst/>
                          </a:prstGeom>
                          <a:noFill/>
                          <a:ln>
                            <a:noFill/>
                          </a:ln>
                        </pic:spPr>
                      </pic:pic>
                    </a:graphicData>
                  </a:graphic>
                </wp:inline>
              </w:drawing>
            </w:r>
          </w:p>
        </w:tc>
      </w:tr>
      <w:tr w:rsidR="000A041F" w:rsidRPr="00176D3F" w:rsidTr="008E0C9E">
        <w:tc>
          <w:tcPr>
            <w:tcW w:w="5000" w:type="pct"/>
            <w:tcBorders>
              <w:top w:val="nil"/>
              <w:left w:val="nil"/>
              <w:bottom w:val="nil"/>
              <w:right w:val="nil"/>
            </w:tcBorders>
            <w:shd w:val="clear" w:color="auto" w:fill="auto"/>
          </w:tcPr>
          <w:p w:rsidR="000A041F" w:rsidRPr="00176D3F" w:rsidRDefault="00032623" w:rsidP="00B97832">
            <w:pPr>
              <w:pStyle w:val="Source"/>
            </w:pPr>
            <w:r w:rsidRPr="00A70E4F">
              <w:rPr>
                <w:i/>
              </w:rPr>
              <w:t>Source</w:t>
            </w:r>
            <w:r w:rsidRPr="00CC16A6">
              <w:t>:</w:t>
            </w:r>
            <w:r>
              <w:t xml:space="preserve"> Adapted from </w:t>
            </w:r>
            <w:proofErr w:type="spellStart"/>
            <w:r>
              <w:t>COAG</w:t>
            </w:r>
            <w:proofErr w:type="spellEnd"/>
            <w:r w:rsidRPr="00CC16A6">
              <w:t xml:space="preserve"> </w:t>
            </w:r>
            <w:r w:rsidR="00B97832" w:rsidRPr="00B97832">
              <w:rPr>
                <w:rFonts w:cs="Arial"/>
                <w:szCs w:val="24"/>
              </w:rPr>
              <w:t>(2009, p. 8)</w:t>
            </w:r>
            <w:r>
              <w:t>.</w:t>
            </w:r>
          </w:p>
        </w:tc>
      </w:tr>
      <w:tr w:rsidR="000A041F" w:rsidTr="008E0C9E">
        <w:tc>
          <w:tcPr>
            <w:tcW w:w="5000" w:type="pct"/>
            <w:tcBorders>
              <w:top w:val="nil"/>
              <w:left w:val="nil"/>
              <w:bottom w:val="single" w:sz="6" w:space="0" w:color="78A22F"/>
              <w:right w:val="nil"/>
            </w:tcBorders>
            <w:shd w:val="clear" w:color="auto" w:fill="auto"/>
          </w:tcPr>
          <w:p w:rsidR="000A041F" w:rsidRDefault="000A041F" w:rsidP="008E0C9E">
            <w:pPr>
              <w:pStyle w:val="Figurespace"/>
            </w:pPr>
          </w:p>
        </w:tc>
      </w:tr>
      <w:tr w:rsidR="000A041F" w:rsidRPr="000863A5" w:rsidTr="008E0C9E">
        <w:tc>
          <w:tcPr>
            <w:tcW w:w="5000" w:type="pct"/>
            <w:tcBorders>
              <w:top w:val="single" w:sz="6" w:space="0" w:color="78A22F"/>
              <w:left w:val="nil"/>
              <w:bottom w:val="nil"/>
              <w:right w:val="nil"/>
            </w:tcBorders>
          </w:tcPr>
          <w:p w:rsidR="000A041F" w:rsidRPr="00626D32" w:rsidRDefault="000A041F" w:rsidP="008E0C9E">
            <w:pPr>
              <w:pStyle w:val="BoxSpaceBelow"/>
            </w:pPr>
          </w:p>
        </w:tc>
      </w:tr>
    </w:tbl>
    <w:p w:rsidR="0034745A" w:rsidRDefault="0034745A" w:rsidP="0034745A">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34745A" w:rsidTr="0034745A">
        <w:trPr>
          <w:tblHeader/>
        </w:trPr>
        <w:tc>
          <w:tcPr>
            <w:tcW w:w="5000" w:type="pct"/>
            <w:tcBorders>
              <w:top w:val="single" w:sz="6" w:space="0" w:color="78A22F"/>
              <w:left w:val="nil"/>
              <w:bottom w:val="nil"/>
              <w:right w:val="nil"/>
            </w:tcBorders>
            <w:shd w:val="clear" w:color="auto" w:fill="auto"/>
          </w:tcPr>
          <w:p w:rsidR="0034745A" w:rsidRPr="00784A05" w:rsidRDefault="0034745A" w:rsidP="0034745A">
            <w:pPr>
              <w:pStyle w:val="TableTitle"/>
            </w:pPr>
            <w:r>
              <w:rPr>
                <w:b w:val="0"/>
              </w:rPr>
              <w:t xml:space="preserve">Table </w:t>
            </w:r>
            <w:bookmarkStart w:id="10" w:name="OLE_LINK2"/>
            <w:r w:rsidR="00592B46">
              <w:rPr>
                <w:b w:val="0"/>
                <w:noProof/>
              </w:rPr>
              <w:t>1</w:t>
            </w:r>
            <w:bookmarkEnd w:id="10"/>
            <w:r>
              <w:tab/>
              <w:t>Examples of services relevant to protecting children</w:t>
            </w:r>
          </w:p>
        </w:tc>
      </w:tr>
      <w:tr w:rsidR="0034745A" w:rsidTr="0034745A">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693"/>
              <w:gridCol w:w="5812"/>
            </w:tblGrid>
            <w:tr w:rsidR="0034745A" w:rsidTr="00244D53">
              <w:trPr>
                <w:tblHeader/>
              </w:trPr>
              <w:tc>
                <w:tcPr>
                  <w:tcW w:w="1583" w:type="pct"/>
                  <w:tcBorders>
                    <w:top w:val="single" w:sz="6" w:space="0" w:color="BFBFBF"/>
                    <w:bottom w:val="single" w:sz="6" w:space="0" w:color="BFBFBF"/>
                  </w:tcBorders>
                  <w:shd w:val="clear" w:color="auto" w:fill="auto"/>
                  <w:tcMar>
                    <w:top w:w="28" w:type="dxa"/>
                  </w:tcMar>
                </w:tcPr>
                <w:p w:rsidR="0034745A" w:rsidRDefault="0034745A" w:rsidP="0034745A">
                  <w:pPr>
                    <w:pStyle w:val="TableColumnHeading"/>
                    <w:jc w:val="left"/>
                  </w:pPr>
                  <w:r>
                    <w:t>Service type</w:t>
                  </w:r>
                </w:p>
              </w:tc>
              <w:tc>
                <w:tcPr>
                  <w:tcW w:w="3417" w:type="pct"/>
                  <w:tcBorders>
                    <w:top w:val="single" w:sz="6" w:space="0" w:color="BFBFBF"/>
                    <w:bottom w:val="single" w:sz="6" w:space="0" w:color="BFBFBF"/>
                  </w:tcBorders>
                  <w:shd w:val="clear" w:color="auto" w:fill="auto"/>
                  <w:tcMar>
                    <w:top w:w="28" w:type="dxa"/>
                  </w:tcMar>
                </w:tcPr>
                <w:p w:rsidR="0034745A" w:rsidRDefault="0034745A" w:rsidP="00CB01FD">
                  <w:pPr>
                    <w:pStyle w:val="TableColumnHeading"/>
                    <w:ind w:right="28"/>
                    <w:jc w:val="left"/>
                  </w:pPr>
                  <w:r>
                    <w:t>Examples</w:t>
                  </w:r>
                </w:p>
              </w:tc>
            </w:tr>
            <w:tr w:rsidR="0034745A" w:rsidTr="00E911E4">
              <w:tc>
                <w:tcPr>
                  <w:tcW w:w="1583" w:type="pct"/>
                  <w:tcBorders>
                    <w:top w:val="single" w:sz="6" w:space="0" w:color="BFBFBF"/>
                  </w:tcBorders>
                  <w:shd w:val="clear" w:color="auto" w:fill="F2F2F2" w:themeFill="background1" w:themeFillShade="F2"/>
                </w:tcPr>
                <w:p w:rsidR="0034745A" w:rsidRDefault="007866BA" w:rsidP="00CB01FD">
                  <w:pPr>
                    <w:pStyle w:val="TableBodyText"/>
                    <w:spacing w:before="40"/>
                    <w:jc w:val="left"/>
                  </w:pPr>
                  <w:r>
                    <w:t>Statutory (tertiary)</w:t>
                  </w:r>
                </w:p>
              </w:tc>
              <w:tc>
                <w:tcPr>
                  <w:tcW w:w="3417" w:type="pct"/>
                  <w:tcBorders>
                    <w:top w:val="single" w:sz="6" w:space="0" w:color="BFBFBF"/>
                  </w:tcBorders>
                  <w:shd w:val="clear" w:color="auto" w:fill="F2F2F2" w:themeFill="background1" w:themeFillShade="F2"/>
                </w:tcPr>
                <w:p w:rsidR="0034745A" w:rsidRDefault="00714C49" w:rsidP="004725DF">
                  <w:pPr>
                    <w:pStyle w:val="TableBodyText"/>
                    <w:spacing w:before="40"/>
                    <w:ind w:right="28"/>
                    <w:jc w:val="left"/>
                  </w:pPr>
                  <w:r>
                    <w:t>Child protection</w:t>
                  </w:r>
                  <w:r w:rsidR="004725DF">
                    <w:t xml:space="preserve"> services, </w:t>
                  </w:r>
                  <w:r>
                    <w:t>o</w:t>
                  </w:r>
                  <w:r w:rsidR="00824B27">
                    <w:t>ut</w:t>
                  </w:r>
                  <w:r w:rsidR="000A041F">
                    <w:noBreakHyphen/>
                  </w:r>
                  <w:r w:rsidR="00824B27">
                    <w:t>of</w:t>
                  </w:r>
                  <w:r w:rsidR="000A041F">
                    <w:noBreakHyphen/>
                  </w:r>
                  <w:r w:rsidR="00824B27">
                    <w:t>home care</w:t>
                  </w:r>
                  <w:r>
                    <w:t xml:space="preserve"> services</w:t>
                  </w:r>
                  <w:r w:rsidR="0053571F">
                    <w:t xml:space="preserve"> </w:t>
                  </w:r>
                </w:p>
              </w:tc>
            </w:tr>
            <w:tr w:rsidR="0034745A" w:rsidTr="00E911E4">
              <w:tc>
                <w:tcPr>
                  <w:tcW w:w="1583" w:type="pct"/>
                  <w:shd w:val="clear" w:color="auto" w:fill="auto"/>
                </w:tcPr>
                <w:p w:rsidR="0034745A" w:rsidRDefault="00EF49EF" w:rsidP="004725DF">
                  <w:pPr>
                    <w:pStyle w:val="TableBodyText"/>
                    <w:jc w:val="left"/>
                  </w:pPr>
                  <w:r>
                    <w:t>Targeted</w:t>
                  </w:r>
                  <w:r w:rsidR="007866BA">
                    <w:t xml:space="preserve"> (secondary)</w:t>
                  </w:r>
                </w:p>
              </w:tc>
              <w:tc>
                <w:tcPr>
                  <w:tcW w:w="3417" w:type="pct"/>
                  <w:shd w:val="clear" w:color="auto" w:fill="auto"/>
                </w:tcPr>
                <w:p w:rsidR="0034745A" w:rsidRDefault="00EA4646" w:rsidP="00596C9C">
                  <w:pPr>
                    <w:pStyle w:val="TableBodyText"/>
                    <w:ind w:right="28"/>
                    <w:jc w:val="left"/>
                  </w:pPr>
                  <w:r>
                    <w:t>Intensive family support services, a</w:t>
                  </w:r>
                  <w:r w:rsidR="00824B27">
                    <w:t xml:space="preserve">dult mental health services, drug and alcohol services, domestic violence support, </w:t>
                  </w:r>
                  <w:r w:rsidR="00AF22E5">
                    <w:t>safe houses</w:t>
                  </w:r>
                </w:p>
              </w:tc>
            </w:tr>
            <w:tr w:rsidR="0034745A" w:rsidTr="00E911E4">
              <w:tc>
                <w:tcPr>
                  <w:tcW w:w="1583" w:type="pct"/>
                  <w:shd w:val="clear" w:color="auto" w:fill="F2F2F2" w:themeFill="background1" w:themeFillShade="F2"/>
                </w:tcPr>
                <w:p w:rsidR="0034745A" w:rsidRDefault="007866BA" w:rsidP="0034745A">
                  <w:pPr>
                    <w:pStyle w:val="TableBodyText"/>
                    <w:jc w:val="left"/>
                  </w:pPr>
                  <w:r>
                    <w:t>Early intervention (secondary)</w:t>
                  </w:r>
                </w:p>
              </w:tc>
              <w:tc>
                <w:tcPr>
                  <w:tcW w:w="3417" w:type="pct"/>
                  <w:shd w:val="clear" w:color="auto" w:fill="F2F2F2" w:themeFill="background1" w:themeFillShade="F2"/>
                </w:tcPr>
                <w:p w:rsidR="0034745A" w:rsidRDefault="00AF22E5" w:rsidP="00CB01FD">
                  <w:pPr>
                    <w:pStyle w:val="TableBodyText"/>
                    <w:ind w:right="28"/>
                    <w:jc w:val="left"/>
                  </w:pPr>
                  <w:r>
                    <w:t>Disability support services, speech therapy, financial counselling</w:t>
                  </w:r>
                </w:p>
              </w:tc>
            </w:tr>
            <w:tr w:rsidR="0034745A" w:rsidTr="00E911E4">
              <w:tc>
                <w:tcPr>
                  <w:tcW w:w="1583" w:type="pct"/>
                  <w:tcBorders>
                    <w:bottom w:val="single" w:sz="6" w:space="0" w:color="BFBFBF"/>
                  </w:tcBorders>
                  <w:shd w:val="clear" w:color="auto" w:fill="auto"/>
                </w:tcPr>
                <w:p w:rsidR="0034745A" w:rsidRDefault="007866BA" w:rsidP="0034745A">
                  <w:pPr>
                    <w:pStyle w:val="TableBodyText"/>
                    <w:jc w:val="left"/>
                  </w:pPr>
                  <w:r>
                    <w:t>Universal (primary)</w:t>
                  </w:r>
                </w:p>
              </w:tc>
              <w:tc>
                <w:tcPr>
                  <w:tcW w:w="3417" w:type="pct"/>
                  <w:tcBorders>
                    <w:bottom w:val="single" w:sz="6" w:space="0" w:color="BFBFBF"/>
                  </w:tcBorders>
                  <w:shd w:val="clear" w:color="auto" w:fill="auto"/>
                </w:tcPr>
                <w:p w:rsidR="0034745A" w:rsidRDefault="00AF22E5" w:rsidP="00CB01FD">
                  <w:pPr>
                    <w:pStyle w:val="TableBodyText"/>
                    <w:ind w:right="28"/>
                    <w:jc w:val="left"/>
                  </w:pPr>
                  <w:r>
                    <w:t>Early childhood education, schooling</w:t>
                  </w:r>
                  <w:r w:rsidR="00824B27">
                    <w:t xml:space="preserve">, </w:t>
                  </w:r>
                  <w:r w:rsidR="0056156B">
                    <w:t>children and family</w:t>
                  </w:r>
                  <w:r w:rsidR="00824B27">
                    <w:t xml:space="preserve"> health services, mental health services</w:t>
                  </w:r>
                </w:p>
              </w:tc>
            </w:tr>
          </w:tbl>
          <w:p w:rsidR="0034745A" w:rsidRDefault="0034745A" w:rsidP="0034745A">
            <w:pPr>
              <w:pStyle w:val="Box"/>
            </w:pPr>
          </w:p>
        </w:tc>
      </w:tr>
      <w:tr w:rsidR="0034745A" w:rsidTr="0034745A">
        <w:tc>
          <w:tcPr>
            <w:tcW w:w="5000" w:type="pct"/>
            <w:tcBorders>
              <w:top w:val="nil"/>
              <w:left w:val="nil"/>
              <w:bottom w:val="nil"/>
              <w:right w:val="nil"/>
            </w:tcBorders>
            <w:shd w:val="clear" w:color="auto" w:fill="auto"/>
          </w:tcPr>
          <w:p w:rsidR="0034745A" w:rsidRDefault="0034745A" w:rsidP="0034745A">
            <w:pPr>
              <w:pStyle w:val="Source"/>
            </w:pPr>
            <w:r>
              <w:rPr>
                <w:i/>
              </w:rPr>
              <w:t>Sources</w:t>
            </w:r>
            <w:r w:rsidRPr="00167F06">
              <w:t xml:space="preserve">: </w:t>
            </w:r>
            <w:r w:rsidR="00DC69D7">
              <w:t xml:space="preserve">Allen Consulting </w:t>
            </w:r>
            <w:r w:rsidR="006B7930">
              <w:t>G</w:t>
            </w:r>
            <w:r w:rsidR="00DC69D7">
              <w:t>roup</w:t>
            </w:r>
            <w:r w:rsidR="006B7930">
              <w:t xml:space="preserve"> </w:t>
            </w:r>
            <w:r w:rsidR="00B97832" w:rsidRPr="00B97832">
              <w:rPr>
                <w:rFonts w:cs="Arial"/>
              </w:rPr>
              <w:t>(2008)</w:t>
            </w:r>
            <w:r w:rsidR="00DC69D7">
              <w:t xml:space="preserve">; </w:t>
            </w:r>
            <w:r w:rsidR="00AF22E5">
              <w:t xml:space="preserve">Parton </w:t>
            </w:r>
            <w:r w:rsidR="00B97832" w:rsidRPr="00B97832">
              <w:rPr>
                <w:rFonts w:cs="Arial"/>
              </w:rPr>
              <w:t>(2010)</w:t>
            </w:r>
            <w:r w:rsidR="00AF22E5">
              <w:t>.</w:t>
            </w:r>
          </w:p>
        </w:tc>
      </w:tr>
      <w:tr w:rsidR="0034745A" w:rsidTr="0034745A">
        <w:tc>
          <w:tcPr>
            <w:tcW w:w="5000" w:type="pct"/>
            <w:tcBorders>
              <w:top w:val="nil"/>
              <w:left w:val="nil"/>
              <w:bottom w:val="single" w:sz="6" w:space="0" w:color="78A22F"/>
              <w:right w:val="nil"/>
            </w:tcBorders>
            <w:shd w:val="clear" w:color="auto" w:fill="auto"/>
          </w:tcPr>
          <w:p w:rsidR="0034745A" w:rsidRDefault="0034745A" w:rsidP="0034745A">
            <w:pPr>
              <w:pStyle w:val="Box"/>
              <w:spacing w:before="0" w:line="120" w:lineRule="exact"/>
            </w:pPr>
          </w:p>
        </w:tc>
      </w:tr>
      <w:tr w:rsidR="0034745A" w:rsidRPr="000863A5" w:rsidTr="0034745A">
        <w:tc>
          <w:tcPr>
            <w:tcW w:w="5000" w:type="pct"/>
            <w:tcBorders>
              <w:top w:val="single" w:sz="6" w:space="0" w:color="78A22F"/>
              <w:left w:val="nil"/>
              <w:bottom w:val="nil"/>
              <w:right w:val="nil"/>
            </w:tcBorders>
          </w:tcPr>
          <w:p w:rsidR="0034745A" w:rsidRPr="00626D32" w:rsidRDefault="0034745A" w:rsidP="0034745A">
            <w:pPr>
              <w:pStyle w:val="BoxSpaceBelow"/>
            </w:pPr>
          </w:p>
        </w:tc>
      </w:tr>
    </w:tbl>
    <w:p w:rsidR="00560A87" w:rsidRDefault="0038744D" w:rsidP="00EC0833">
      <w:pPr>
        <w:pStyle w:val="BodyText"/>
      </w:pPr>
      <w:r>
        <w:t>However, the definitions and boundaries of these service</w:t>
      </w:r>
      <w:r w:rsidR="00AC7F67">
        <w:t>s</w:t>
      </w:r>
      <w:r>
        <w:t xml:space="preserve"> are </w:t>
      </w:r>
      <w:r w:rsidR="00EE56F9">
        <w:t>blurred</w:t>
      </w:r>
      <w:r>
        <w:t xml:space="preserve">. </w:t>
      </w:r>
      <w:r w:rsidR="00AC70FC">
        <w:t>The secondary and tertiary layers are obviously relevant to child protection (by preventing imminent harm from occurring, or reducing the risk of further harm once it has occurred). However, some services</w:t>
      </w:r>
      <w:r w:rsidR="00503C74">
        <w:t xml:space="preserve"> </w:t>
      </w:r>
      <w:r w:rsidR="00AC70FC">
        <w:t xml:space="preserve">— such as policing and youth justice interventions — are not typically classified as </w:t>
      </w:r>
      <w:r w:rsidR="0056156B">
        <w:t>children and family</w:t>
      </w:r>
      <w:r w:rsidR="00503C74">
        <w:t xml:space="preserve"> services, but are clearly relevant to t</w:t>
      </w:r>
      <w:r w:rsidR="003A0787">
        <w:t>he prevention of harm.</w:t>
      </w:r>
      <w:r w:rsidR="00FA768C">
        <w:t xml:space="preserve"> Moreover, it is common for family services to be provided alongside community services and it is often not clear where one ends and the other begins.</w:t>
      </w:r>
    </w:p>
    <w:p w:rsidR="001B1E2E" w:rsidRDefault="00AC70FC" w:rsidP="00EC0833">
      <w:pPr>
        <w:pStyle w:val="BodyText"/>
      </w:pPr>
      <w:r>
        <w:t>The primary layer is even less clear</w:t>
      </w:r>
      <w:r w:rsidR="002A3CA6">
        <w:t>, as t</w:t>
      </w:r>
      <w:r>
        <w:t xml:space="preserve">hese are universal services made available to all children and families. They may have the potential to prevent harm to children, even </w:t>
      </w:r>
      <w:r w:rsidR="00C015C7">
        <w:t xml:space="preserve">if </w:t>
      </w:r>
      <w:r>
        <w:t>that is not the primary or explicit objective of thos</w:t>
      </w:r>
      <w:r w:rsidR="00605E5A">
        <w:t>e programs.</w:t>
      </w:r>
      <w:r w:rsidR="00C015C7">
        <w:t xml:space="preserve"> This is because there is </w:t>
      </w:r>
      <w:r>
        <w:t xml:space="preserve">a wide </w:t>
      </w:r>
      <w:r>
        <w:lastRenderedPageBreak/>
        <w:t>range of factors influenc</w:t>
      </w:r>
      <w:r w:rsidR="00940FAE">
        <w:t>ing</w:t>
      </w:r>
      <w:r>
        <w:t xml:space="preserve"> the risk of child harm occurring (table </w:t>
      </w:r>
      <w:r w:rsidR="00605E5A">
        <w:t>2</w:t>
      </w:r>
      <w:r w:rsidR="004760DB">
        <w:t xml:space="preserve"> provides some examples</w:t>
      </w:r>
      <w:r>
        <w:t xml:space="preserve">), and these cut across almost the full gamut of government service provision. </w:t>
      </w:r>
      <w:r w:rsidR="00DB2D78">
        <w:t xml:space="preserve">There </w:t>
      </w:r>
      <w:r w:rsidR="00124B57">
        <w:t>are</w:t>
      </w:r>
      <w:r w:rsidR="00DB2D78">
        <w:t xml:space="preserve"> also protective factors that strengthen the resilience of families and allow them to parent </w:t>
      </w:r>
      <w:r w:rsidR="003B0CC1">
        <w:t>e</w:t>
      </w:r>
      <w:r w:rsidR="00DB2D78">
        <w:t>ffectively (such as connection to culture</w:t>
      </w:r>
      <w:r w:rsidR="005A66F9">
        <w:t xml:space="preserve"> or</w:t>
      </w:r>
      <w:r w:rsidR="00DB2D78">
        <w:t xml:space="preserve"> kinship networks) </w:t>
      </w:r>
      <w:r w:rsidR="00B97832" w:rsidRPr="00B97832">
        <w:rPr>
          <w:szCs w:val="24"/>
        </w:rPr>
        <w:t>(</w:t>
      </w:r>
      <w:proofErr w:type="spellStart"/>
      <w:r w:rsidR="00B97832" w:rsidRPr="00B97832">
        <w:rPr>
          <w:szCs w:val="24"/>
        </w:rPr>
        <w:t>RCPDCNT</w:t>
      </w:r>
      <w:proofErr w:type="spellEnd"/>
      <w:r w:rsidR="00B97832" w:rsidRPr="00B97832">
        <w:rPr>
          <w:szCs w:val="24"/>
        </w:rPr>
        <w:t> 2017, vol. </w:t>
      </w:r>
      <w:proofErr w:type="spellStart"/>
      <w:r w:rsidR="00B97832" w:rsidRPr="00B97832">
        <w:rPr>
          <w:szCs w:val="24"/>
        </w:rPr>
        <w:t>3B</w:t>
      </w:r>
      <w:proofErr w:type="spellEnd"/>
      <w:r w:rsidR="00B97832" w:rsidRPr="00B97832">
        <w:rPr>
          <w:szCs w:val="24"/>
        </w:rPr>
        <w:t>, p.</w:t>
      </w:r>
      <w:r w:rsidR="0035532D">
        <w:rPr>
          <w:szCs w:val="24"/>
        </w:rPr>
        <w:t> </w:t>
      </w:r>
      <w:r w:rsidR="00B97832" w:rsidRPr="00B97832">
        <w:rPr>
          <w:szCs w:val="24"/>
        </w:rPr>
        <w:t>172)</w:t>
      </w:r>
      <w:r w:rsidR="005A66F9">
        <w:t>. S</w:t>
      </w:r>
      <w:r w:rsidR="00DB2D78">
        <w:t>ervices</w:t>
      </w:r>
      <w:r w:rsidR="00124B57">
        <w:t xml:space="preserve"> and programs</w:t>
      </w:r>
      <w:r w:rsidR="00DB2D78">
        <w:t xml:space="preserve"> that work to </w:t>
      </w:r>
      <w:r w:rsidR="0053571F">
        <w:t>reinforce</w:t>
      </w:r>
      <w:r w:rsidR="00DB2D78">
        <w:t xml:space="preserve"> these factors can also have the effect of preventing harm to children.</w:t>
      </w:r>
    </w:p>
    <w:p w:rsidR="004725DF" w:rsidRDefault="00560A87" w:rsidP="00C872C1">
      <w:pPr>
        <w:pStyle w:val="BodyText"/>
      </w:pPr>
      <w:r>
        <w:t>Thus, in order to fully understand the extent of duplication and coordination in funding and service pr</w:t>
      </w:r>
      <w:r w:rsidR="00CB3AF3">
        <w:t>ovision, it may be necessary to</w:t>
      </w:r>
      <w:r>
        <w:t xml:space="preserve"> consider services that are not often categorised as </w:t>
      </w:r>
      <w:r w:rsidR="0056156B">
        <w:t>children and family</w:t>
      </w:r>
      <w:r>
        <w:t xml:space="preserve"> services.</w:t>
      </w:r>
      <w:r w:rsidR="001B1E2E">
        <w:t xml:space="preserve"> However, </w:t>
      </w:r>
      <w:r w:rsidR="00CC0746">
        <w:t xml:space="preserve">investigating </w:t>
      </w:r>
      <w:r w:rsidR="001B1E2E">
        <w:t>expenditure on</w:t>
      </w:r>
      <w:r w:rsidR="00CC0746">
        <w:t xml:space="preserve"> every possible service in detail </w:t>
      </w:r>
      <w:r w:rsidR="00940FAE">
        <w:t>would not</w:t>
      </w:r>
      <w:r w:rsidR="001B1E2E">
        <w:t xml:space="preserve"> be helpful for understanding how funding frameworks for </w:t>
      </w:r>
      <w:r w:rsidR="0056156B">
        <w:t>children and family</w:t>
      </w:r>
      <w:r w:rsidR="001B1E2E">
        <w:t xml:space="preserve"> services can be improved.</w:t>
      </w:r>
      <w:r w:rsidR="00857CA2">
        <w:t xml:space="preserve"> </w:t>
      </w:r>
      <w:r w:rsidR="00795F03">
        <w:t>It</w:t>
      </w:r>
      <w:r w:rsidR="00596C9C">
        <w:t xml:space="preserve"> </w:t>
      </w:r>
      <w:r w:rsidR="00714C49">
        <w:t>will be necessary to</w:t>
      </w:r>
      <w:r w:rsidR="00596C9C">
        <w:t xml:space="preserve"> contain the scope of this study</w:t>
      </w:r>
      <w:r w:rsidR="00262C9F">
        <w:t xml:space="preserve"> </w:t>
      </w:r>
      <w:r w:rsidR="00596C9C">
        <w:t xml:space="preserve">to allow for a more detailed assessment of those services and programs that are most relevant to preventing harm </w:t>
      </w:r>
      <w:r w:rsidR="00795F03">
        <w:t>to</w:t>
      </w:r>
      <w:r w:rsidR="00596C9C">
        <w:t xml:space="preserve"> children</w:t>
      </w:r>
      <w:r w:rsidR="003A15B3">
        <w:t>. F</w:t>
      </w:r>
      <w:r w:rsidR="00795F03">
        <w:t xml:space="preserve">or example, expenditure on core youth justice services (such as youth detention centres) </w:t>
      </w:r>
      <w:r w:rsidR="004725DF">
        <w:t xml:space="preserve">is </w:t>
      </w:r>
      <w:r w:rsidR="00795F03">
        <w:t>not likely to be in scope.</w:t>
      </w:r>
    </w:p>
    <w:p w:rsidR="00560A87" w:rsidRDefault="001B1E2E" w:rsidP="00C872C1">
      <w:pPr>
        <w:pStyle w:val="BodyText"/>
      </w:pPr>
      <w:r>
        <w:t>We are seeking feedback on what types of services are necessary for us to consider in this study, and which should be our main focus.</w:t>
      </w:r>
    </w:p>
    <w:p w:rsidR="007706D2" w:rsidRDefault="007706D2" w:rsidP="002A5290">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design element: contains a nested table with data/information."/>
      </w:tblPr>
      <w:tblGrid>
        <w:gridCol w:w="8789"/>
      </w:tblGrid>
      <w:tr w:rsidR="007706D2" w:rsidTr="002A5290">
        <w:trPr>
          <w:tblHeader/>
        </w:trPr>
        <w:tc>
          <w:tcPr>
            <w:tcW w:w="5000" w:type="pct"/>
            <w:tcBorders>
              <w:top w:val="single" w:sz="6" w:space="0" w:color="78A22F"/>
              <w:left w:val="nil"/>
              <w:bottom w:val="nil"/>
              <w:right w:val="nil"/>
            </w:tcBorders>
            <w:shd w:val="clear" w:color="auto" w:fill="auto"/>
          </w:tcPr>
          <w:p w:rsidR="007706D2" w:rsidRPr="00784A05" w:rsidRDefault="00EF49EF" w:rsidP="00F412DC">
            <w:pPr>
              <w:pStyle w:val="TableTitle"/>
            </w:pPr>
            <w:r>
              <w:rPr>
                <w:b w:val="0"/>
              </w:rPr>
              <w:t xml:space="preserve">Table </w:t>
            </w:r>
            <w:bookmarkStart w:id="11" w:name="OLE_LINK3"/>
            <w:r w:rsidR="00592B46">
              <w:rPr>
                <w:b w:val="0"/>
                <w:noProof/>
              </w:rPr>
              <w:t>2</w:t>
            </w:r>
            <w:bookmarkEnd w:id="11"/>
            <w:r w:rsidR="007706D2">
              <w:tab/>
              <w:t>Risk factors for child abuse and neglect</w:t>
            </w:r>
          </w:p>
        </w:tc>
      </w:tr>
      <w:tr w:rsidR="007706D2" w:rsidTr="002A5290">
        <w:tc>
          <w:tcPr>
            <w:tcW w:w="5000" w:type="pct"/>
            <w:tcBorders>
              <w:top w:val="nil"/>
              <w:left w:val="nil"/>
              <w:bottom w:val="nil"/>
              <w:right w:val="nil"/>
            </w:tcBorders>
            <w:shd w:val="clear" w:color="auto" w:fill="auto"/>
          </w:tcPr>
          <w:tbl>
            <w:tblPr>
              <w:tblW w:w="8505" w:type="dxa"/>
              <w:tblCellMar>
                <w:top w:w="28" w:type="dxa"/>
                <w:left w:w="0" w:type="dxa"/>
                <w:right w:w="0" w:type="dxa"/>
              </w:tblCellMar>
              <w:tblLook w:val="0000" w:firstRow="0" w:lastRow="0" w:firstColumn="0" w:lastColumn="0" w:noHBand="0" w:noVBand="0"/>
            </w:tblPr>
            <w:tblGrid>
              <w:gridCol w:w="2009"/>
              <w:gridCol w:w="6496"/>
            </w:tblGrid>
            <w:tr w:rsidR="007706D2" w:rsidTr="00E23DD7">
              <w:trPr>
                <w:tblHeader/>
              </w:trPr>
              <w:tc>
                <w:tcPr>
                  <w:tcW w:w="1181" w:type="pct"/>
                  <w:tcBorders>
                    <w:top w:val="single" w:sz="6" w:space="0" w:color="BFBFBF"/>
                    <w:bottom w:val="single" w:sz="6" w:space="0" w:color="BFBFBF"/>
                  </w:tcBorders>
                  <w:shd w:val="clear" w:color="auto" w:fill="auto"/>
                  <w:tcMar>
                    <w:top w:w="28" w:type="dxa"/>
                  </w:tcMar>
                </w:tcPr>
                <w:p w:rsidR="007706D2" w:rsidRDefault="007706D2" w:rsidP="002A5290">
                  <w:pPr>
                    <w:pStyle w:val="TableColumnHeading"/>
                    <w:jc w:val="left"/>
                  </w:pPr>
                  <w:r>
                    <w:t>Category</w:t>
                  </w:r>
                </w:p>
              </w:tc>
              <w:tc>
                <w:tcPr>
                  <w:tcW w:w="3819" w:type="pct"/>
                  <w:tcBorders>
                    <w:top w:val="single" w:sz="6" w:space="0" w:color="BFBFBF"/>
                    <w:bottom w:val="single" w:sz="6" w:space="0" w:color="BFBFBF"/>
                  </w:tcBorders>
                  <w:shd w:val="clear" w:color="auto" w:fill="auto"/>
                  <w:tcMar>
                    <w:top w:w="28" w:type="dxa"/>
                  </w:tcMar>
                </w:tcPr>
                <w:p w:rsidR="007706D2" w:rsidRDefault="007706D2" w:rsidP="00E77F6D">
                  <w:pPr>
                    <w:pStyle w:val="TableColumnHeading"/>
                    <w:ind w:right="28"/>
                    <w:jc w:val="left"/>
                  </w:pPr>
                  <w:r>
                    <w:t>Risk factors</w:t>
                  </w:r>
                </w:p>
              </w:tc>
            </w:tr>
            <w:tr w:rsidR="007706D2" w:rsidTr="00E23DD7">
              <w:tc>
                <w:tcPr>
                  <w:tcW w:w="1181" w:type="pct"/>
                  <w:tcBorders>
                    <w:top w:val="single" w:sz="6" w:space="0" w:color="BFBFBF"/>
                  </w:tcBorders>
                  <w:shd w:val="clear" w:color="auto" w:fill="F2F2F2" w:themeFill="background1" w:themeFillShade="F2"/>
                </w:tcPr>
                <w:p w:rsidR="007706D2" w:rsidRDefault="00EB601D" w:rsidP="00F14974">
                  <w:pPr>
                    <w:pStyle w:val="TableBodyText"/>
                    <w:spacing w:before="40"/>
                    <w:jc w:val="left"/>
                  </w:pPr>
                  <w:r>
                    <w:rPr>
                      <w:rStyle w:val="A93"/>
                      <w:rFonts w:cs="Times New Roman"/>
                      <w:color w:val="auto"/>
                      <w:sz w:val="18"/>
                      <w:szCs w:val="20"/>
                    </w:rPr>
                    <w:t>Economic factors</w:t>
                  </w:r>
                </w:p>
              </w:tc>
              <w:tc>
                <w:tcPr>
                  <w:tcW w:w="3819" w:type="pct"/>
                  <w:tcBorders>
                    <w:top w:val="single" w:sz="6" w:space="0" w:color="BFBFBF"/>
                  </w:tcBorders>
                  <w:shd w:val="clear" w:color="auto" w:fill="F2F2F2" w:themeFill="background1" w:themeFillShade="F2"/>
                </w:tcPr>
                <w:p w:rsidR="007706D2" w:rsidRDefault="007706D2" w:rsidP="00F14974">
                  <w:pPr>
                    <w:pStyle w:val="TableBodyText"/>
                    <w:spacing w:before="40"/>
                    <w:jc w:val="left"/>
                  </w:pPr>
                  <w:r w:rsidRPr="00360376">
                    <w:rPr>
                      <w:rStyle w:val="A93"/>
                      <w:rFonts w:cs="Times New Roman"/>
                      <w:color w:val="auto"/>
                      <w:sz w:val="18"/>
                      <w:szCs w:val="20"/>
                    </w:rPr>
                    <w:t xml:space="preserve">Poverty, unemployment, overcrowded or unstable housing </w:t>
                  </w:r>
                </w:p>
              </w:tc>
            </w:tr>
            <w:tr w:rsidR="007706D2" w:rsidTr="00EB601D">
              <w:tc>
                <w:tcPr>
                  <w:tcW w:w="1181" w:type="pct"/>
                  <w:shd w:val="clear" w:color="auto" w:fill="auto"/>
                </w:tcPr>
                <w:p w:rsidR="007706D2" w:rsidRDefault="007706D2" w:rsidP="007706D2">
                  <w:pPr>
                    <w:pStyle w:val="TableBodyText"/>
                    <w:jc w:val="left"/>
                  </w:pPr>
                  <w:r w:rsidRPr="00360376">
                    <w:rPr>
                      <w:rStyle w:val="A93"/>
                      <w:rFonts w:cs="Times New Roman"/>
                      <w:color w:val="auto"/>
                      <w:sz w:val="18"/>
                      <w:szCs w:val="20"/>
                    </w:rPr>
                    <w:t xml:space="preserve">Social factors </w:t>
                  </w:r>
                </w:p>
              </w:tc>
              <w:tc>
                <w:tcPr>
                  <w:tcW w:w="3819" w:type="pct"/>
                  <w:shd w:val="clear" w:color="auto" w:fill="auto"/>
                </w:tcPr>
                <w:p w:rsidR="007706D2" w:rsidRDefault="007706D2" w:rsidP="00360376">
                  <w:pPr>
                    <w:pStyle w:val="TableBodyText"/>
                    <w:jc w:val="left"/>
                  </w:pPr>
                  <w:r w:rsidRPr="00360376">
                    <w:rPr>
                      <w:rStyle w:val="A93"/>
                      <w:rFonts w:cs="Times New Roman"/>
                      <w:color w:val="auto"/>
                      <w:sz w:val="18"/>
                      <w:szCs w:val="20"/>
                    </w:rPr>
                    <w:t xml:space="preserve">Racism, discrimination, social isolation and exclusion </w:t>
                  </w:r>
                </w:p>
              </w:tc>
            </w:tr>
            <w:tr w:rsidR="007706D2" w:rsidTr="00EB601D">
              <w:tc>
                <w:tcPr>
                  <w:tcW w:w="1181" w:type="pct"/>
                  <w:shd w:val="clear" w:color="auto" w:fill="F2F2F2" w:themeFill="background1" w:themeFillShade="F2"/>
                </w:tcPr>
                <w:p w:rsidR="007706D2" w:rsidRDefault="007706D2" w:rsidP="007706D2">
                  <w:pPr>
                    <w:pStyle w:val="TableBodyText"/>
                    <w:jc w:val="left"/>
                  </w:pPr>
                  <w:r w:rsidRPr="00360376">
                    <w:rPr>
                      <w:rStyle w:val="A93"/>
                      <w:rFonts w:cs="Times New Roman"/>
                      <w:color w:val="auto"/>
                      <w:sz w:val="18"/>
                      <w:szCs w:val="20"/>
                    </w:rPr>
                    <w:t xml:space="preserve">Community factors </w:t>
                  </w:r>
                </w:p>
              </w:tc>
              <w:tc>
                <w:tcPr>
                  <w:tcW w:w="3819" w:type="pct"/>
                  <w:shd w:val="clear" w:color="auto" w:fill="F2F2F2" w:themeFill="background1" w:themeFillShade="F2"/>
                </w:tcPr>
                <w:p w:rsidR="007706D2" w:rsidRDefault="007706D2" w:rsidP="00360376">
                  <w:pPr>
                    <w:pStyle w:val="TableBodyText"/>
                    <w:jc w:val="left"/>
                  </w:pPr>
                  <w:r w:rsidRPr="00360376">
                    <w:rPr>
                      <w:rStyle w:val="A93"/>
                      <w:rFonts w:cs="Times New Roman"/>
                      <w:color w:val="auto"/>
                      <w:sz w:val="18"/>
                      <w:szCs w:val="20"/>
                    </w:rPr>
                    <w:t xml:space="preserve">Dangerous, disadvantaged or socially excluded communities, communities who have lost many community members </w:t>
                  </w:r>
                </w:p>
              </w:tc>
            </w:tr>
            <w:tr w:rsidR="007706D2" w:rsidTr="00EB601D">
              <w:tc>
                <w:tcPr>
                  <w:tcW w:w="1181" w:type="pct"/>
                  <w:shd w:val="clear" w:color="auto" w:fill="auto"/>
                </w:tcPr>
                <w:p w:rsidR="007706D2" w:rsidRDefault="00EB601D" w:rsidP="007706D2">
                  <w:pPr>
                    <w:pStyle w:val="TableBodyText"/>
                    <w:jc w:val="left"/>
                  </w:pPr>
                  <w:r>
                    <w:rPr>
                      <w:rStyle w:val="A93"/>
                      <w:rFonts w:cs="Times New Roman"/>
                      <w:color w:val="auto"/>
                      <w:sz w:val="18"/>
                      <w:szCs w:val="20"/>
                    </w:rPr>
                    <w:t>Parental factors</w:t>
                  </w:r>
                </w:p>
              </w:tc>
              <w:tc>
                <w:tcPr>
                  <w:tcW w:w="3819" w:type="pct"/>
                  <w:shd w:val="clear" w:color="auto" w:fill="auto"/>
                </w:tcPr>
                <w:p w:rsidR="007706D2" w:rsidRDefault="007706D2" w:rsidP="00360376">
                  <w:pPr>
                    <w:pStyle w:val="TableBodyText"/>
                    <w:jc w:val="left"/>
                  </w:pPr>
                  <w:r w:rsidRPr="00360376">
                    <w:rPr>
                      <w:rStyle w:val="A93"/>
                      <w:rFonts w:cs="Times New Roman"/>
                      <w:color w:val="auto"/>
                      <w:sz w:val="18"/>
                      <w:szCs w:val="20"/>
                    </w:rPr>
                    <w:t xml:space="preserve">Mental health, substance abuse, family/domestic violence, learning difficulties, parental anger, strong beliefs in corporal punishment, transgenerational trauma and its impact on parenting, lower levels of empathy </w:t>
                  </w:r>
                </w:p>
              </w:tc>
            </w:tr>
            <w:tr w:rsidR="007706D2" w:rsidTr="00EB601D">
              <w:tc>
                <w:tcPr>
                  <w:tcW w:w="1181" w:type="pct"/>
                  <w:shd w:val="clear" w:color="auto" w:fill="F2F2F2" w:themeFill="background1" w:themeFillShade="F2"/>
                </w:tcPr>
                <w:p w:rsidR="007706D2" w:rsidRDefault="007706D2" w:rsidP="007706D2">
                  <w:pPr>
                    <w:pStyle w:val="TableBodyText"/>
                    <w:jc w:val="left"/>
                  </w:pPr>
                  <w:r w:rsidRPr="00360376">
                    <w:rPr>
                      <w:rStyle w:val="A93"/>
                      <w:rFonts w:cs="Times New Roman"/>
                      <w:color w:val="auto"/>
                      <w:sz w:val="18"/>
                      <w:szCs w:val="20"/>
                    </w:rPr>
                    <w:t xml:space="preserve">Child characteristics </w:t>
                  </w:r>
                </w:p>
              </w:tc>
              <w:tc>
                <w:tcPr>
                  <w:tcW w:w="3819" w:type="pct"/>
                  <w:shd w:val="clear" w:color="auto" w:fill="F2F2F2" w:themeFill="background1" w:themeFillShade="F2"/>
                </w:tcPr>
                <w:p w:rsidR="007706D2" w:rsidRDefault="007706D2" w:rsidP="00360376">
                  <w:pPr>
                    <w:pStyle w:val="TableBodyText"/>
                    <w:jc w:val="left"/>
                  </w:pPr>
                  <w:r w:rsidRPr="00360376">
                    <w:rPr>
                      <w:rStyle w:val="A93"/>
                      <w:rFonts w:cs="Times New Roman"/>
                      <w:color w:val="auto"/>
                      <w:sz w:val="18"/>
                      <w:szCs w:val="20"/>
                    </w:rPr>
                    <w:t xml:space="preserve">Low birth weight, special needs, difficult temperament, behavioural problems </w:t>
                  </w:r>
                </w:p>
              </w:tc>
            </w:tr>
            <w:tr w:rsidR="007706D2" w:rsidTr="00EB601D">
              <w:tc>
                <w:tcPr>
                  <w:tcW w:w="1181" w:type="pct"/>
                  <w:shd w:val="clear" w:color="auto" w:fill="auto"/>
                </w:tcPr>
                <w:p w:rsidR="007706D2" w:rsidRDefault="007706D2" w:rsidP="007706D2">
                  <w:pPr>
                    <w:pStyle w:val="TableBodyText"/>
                    <w:jc w:val="left"/>
                  </w:pPr>
                  <w:r w:rsidRPr="00360376">
                    <w:rPr>
                      <w:rStyle w:val="A93"/>
                      <w:rFonts w:cs="Times New Roman"/>
                      <w:color w:val="auto"/>
                      <w:sz w:val="18"/>
                      <w:szCs w:val="20"/>
                    </w:rPr>
                    <w:t xml:space="preserve">Family characteristics </w:t>
                  </w:r>
                </w:p>
              </w:tc>
              <w:tc>
                <w:tcPr>
                  <w:tcW w:w="3819" w:type="pct"/>
                  <w:shd w:val="clear" w:color="auto" w:fill="auto"/>
                </w:tcPr>
                <w:p w:rsidR="007706D2" w:rsidRDefault="007706D2" w:rsidP="00360376">
                  <w:pPr>
                    <w:pStyle w:val="TableBodyText"/>
                    <w:jc w:val="left"/>
                  </w:pPr>
                  <w:r w:rsidRPr="00360376">
                    <w:rPr>
                      <w:rStyle w:val="A93"/>
                      <w:rFonts w:cs="Times New Roman"/>
                      <w:color w:val="auto"/>
                      <w:sz w:val="18"/>
                      <w:szCs w:val="20"/>
                    </w:rPr>
                    <w:t xml:space="preserve">Poor relationships, large number of children, single or early parenthood </w:t>
                  </w:r>
                </w:p>
              </w:tc>
            </w:tr>
            <w:tr w:rsidR="007706D2" w:rsidTr="00EB601D">
              <w:tc>
                <w:tcPr>
                  <w:tcW w:w="1181" w:type="pct"/>
                  <w:shd w:val="clear" w:color="auto" w:fill="F2F2F2" w:themeFill="background1" w:themeFillShade="F2"/>
                </w:tcPr>
                <w:p w:rsidR="007706D2" w:rsidRDefault="007706D2" w:rsidP="007706D2">
                  <w:pPr>
                    <w:pStyle w:val="TableBodyText"/>
                    <w:jc w:val="left"/>
                  </w:pPr>
                  <w:r w:rsidRPr="00360376">
                    <w:rPr>
                      <w:rStyle w:val="A93"/>
                      <w:rFonts w:cs="Times New Roman"/>
                      <w:color w:val="auto"/>
                      <w:sz w:val="18"/>
                      <w:szCs w:val="20"/>
                    </w:rPr>
                    <w:t xml:space="preserve">Ecological factors, environmental toxins </w:t>
                  </w:r>
                </w:p>
              </w:tc>
              <w:tc>
                <w:tcPr>
                  <w:tcW w:w="3819" w:type="pct"/>
                  <w:shd w:val="clear" w:color="auto" w:fill="F2F2F2" w:themeFill="background1" w:themeFillShade="F2"/>
                </w:tcPr>
                <w:p w:rsidR="007706D2" w:rsidRDefault="007706D2" w:rsidP="00360376">
                  <w:pPr>
                    <w:pStyle w:val="TableBodyText"/>
                    <w:jc w:val="left"/>
                  </w:pPr>
                  <w:r w:rsidRPr="00360376">
                    <w:rPr>
                      <w:rStyle w:val="A93"/>
                      <w:rFonts w:cs="Times New Roman"/>
                      <w:color w:val="auto"/>
                      <w:sz w:val="18"/>
                      <w:szCs w:val="20"/>
                    </w:rPr>
                    <w:t xml:space="preserve">Violence, gambling, pervasiveness of unresolved grief, loss and trauma, previous experiences of abuse or neglect </w:t>
                  </w:r>
                  <w:r w:rsidR="004725DF">
                    <w:rPr>
                      <w:rStyle w:val="A93"/>
                      <w:rFonts w:cs="Times New Roman"/>
                      <w:color w:val="auto"/>
                      <w:sz w:val="18"/>
                      <w:szCs w:val="20"/>
                    </w:rPr>
                    <w:t>—</w:t>
                  </w:r>
                  <w:r w:rsidRPr="00360376">
                    <w:rPr>
                      <w:rStyle w:val="A93"/>
                      <w:rFonts w:cs="Times New Roman"/>
                      <w:color w:val="auto"/>
                      <w:sz w:val="18"/>
                      <w:szCs w:val="20"/>
                    </w:rPr>
                    <w:t xml:space="preserve"> for parents or children </w:t>
                  </w:r>
                </w:p>
              </w:tc>
            </w:tr>
            <w:tr w:rsidR="007706D2" w:rsidTr="00EB601D">
              <w:tc>
                <w:tcPr>
                  <w:tcW w:w="1181" w:type="pct"/>
                  <w:tcBorders>
                    <w:bottom w:val="single" w:sz="6" w:space="0" w:color="BFBFBF"/>
                  </w:tcBorders>
                  <w:shd w:val="clear" w:color="auto" w:fill="auto"/>
                </w:tcPr>
                <w:p w:rsidR="007706D2" w:rsidRDefault="007706D2" w:rsidP="007706D2">
                  <w:pPr>
                    <w:pStyle w:val="TableBodyText"/>
                    <w:jc w:val="left"/>
                  </w:pPr>
                  <w:r w:rsidRPr="00360376">
                    <w:rPr>
                      <w:rStyle w:val="A93"/>
                      <w:rFonts w:cs="Times New Roman"/>
                      <w:color w:val="auto"/>
                      <w:sz w:val="18"/>
                      <w:szCs w:val="20"/>
                    </w:rPr>
                    <w:t xml:space="preserve">Abuse or neglect </w:t>
                  </w:r>
                </w:p>
              </w:tc>
              <w:tc>
                <w:tcPr>
                  <w:tcW w:w="3819" w:type="pct"/>
                  <w:tcBorders>
                    <w:bottom w:val="single" w:sz="6" w:space="0" w:color="BFBFBF"/>
                  </w:tcBorders>
                  <w:shd w:val="clear" w:color="auto" w:fill="auto"/>
                </w:tcPr>
                <w:p w:rsidR="007706D2" w:rsidRDefault="007706D2" w:rsidP="004324C5">
                  <w:pPr>
                    <w:pStyle w:val="TableBodyText"/>
                    <w:jc w:val="left"/>
                  </w:pPr>
                  <w:r w:rsidRPr="00360376">
                    <w:rPr>
                      <w:rStyle w:val="A93"/>
                      <w:rFonts w:cs="Times New Roman"/>
                      <w:color w:val="auto"/>
                      <w:sz w:val="18"/>
                      <w:szCs w:val="20"/>
                    </w:rPr>
                    <w:t>Previous experiences of abuse o</w:t>
                  </w:r>
                  <w:r w:rsidR="004324C5">
                    <w:rPr>
                      <w:rStyle w:val="A93"/>
                      <w:rFonts w:cs="Times New Roman"/>
                      <w:color w:val="auto"/>
                      <w:sz w:val="18"/>
                      <w:szCs w:val="20"/>
                    </w:rPr>
                    <w:t>r</w:t>
                  </w:r>
                  <w:r w:rsidRPr="00360376">
                    <w:rPr>
                      <w:rStyle w:val="A93"/>
                      <w:rFonts w:cs="Times New Roman"/>
                      <w:color w:val="auto"/>
                      <w:sz w:val="18"/>
                      <w:szCs w:val="20"/>
                    </w:rPr>
                    <w:t xml:space="preserve"> neglect </w:t>
                  </w:r>
                </w:p>
              </w:tc>
            </w:tr>
          </w:tbl>
          <w:p w:rsidR="007706D2" w:rsidRDefault="007706D2" w:rsidP="002A5290">
            <w:pPr>
              <w:pStyle w:val="Box"/>
            </w:pPr>
          </w:p>
        </w:tc>
      </w:tr>
      <w:tr w:rsidR="007706D2" w:rsidTr="002A5290">
        <w:tc>
          <w:tcPr>
            <w:tcW w:w="5000" w:type="pct"/>
            <w:tcBorders>
              <w:top w:val="nil"/>
              <w:left w:val="nil"/>
              <w:bottom w:val="nil"/>
              <w:right w:val="nil"/>
            </w:tcBorders>
            <w:shd w:val="clear" w:color="auto" w:fill="auto"/>
          </w:tcPr>
          <w:p w:rsidR="007706D2" w:rsidRDefault="007706D2" w:rsidP="004A464B">
            <w:pPr>
              <w:pStyle w:val="Source"/>
            </w:pPr>
            <w:r w:rsidRPr="000D4F46">
              <w:rPr>
                <w:i/>
              </w:rPr>
              <w:t>Sources</w:t>
            </w:r>
            <w:r w:rsidRPr="000D4F46">
              <w:t>:</w:t>
            </w:r>
            <w:r w:rsidR="000A041F">
              <w:t xml:space="preserve"> </w:t>
            </w:r>
            <w:proofErr w:type="spellStart"/>
            <w:r w:rsidR="004A464B">
              <w:t>BICPSNT</w:t>
            </w:r>
            <w:proofErr w:type="spellEnd"/>
            <w:r w:rsidR="000D4F46" w:rsidRPr="000D4F46">
              <w:t xml:space="preserve"> </w:t>
            </w:r>
            <w:r w:rsidR="00B97832" w:rsidRPr="00B97832">
              <w:rPr>
                <w:rFonts w:cs="Arial"/>
              </w:rPr>
              <w:t>(2010)</w:t>
            </w:r>
            <w:r w:rsidR="000D4F46" w:rsidRPr="000D4F46">
              <w:t xml:space="preserve">; </w:t>
            </w:r>
            <w:proofErr w:type="spellStart"/>
            <w:r w:rsidR="00361B24">
              <w:t>RCPDCNT</w:t>
            </w:r>
            <w:proofErr w:type="spellEnd"/>
            <w:r w:rsidR="000D4F46" w:rsidRPr="000D4F46">
              <w:t xml:space="preserve"> </w:t>
            </w:r>
            <w:r w:rsidR="00B97832" w:rsidRPr="00B97832">
              <w:rPr>
                <w:rFonts w:cs="Arial"/>
              </w:rPr>
              <w:t>(2017)</w:t>
            </w:r>
            <w:r w:rsidR="000D4F46" w:rsidRPr="000D4F46">
              <w:t>.</w:t>
            </w:r>
          </w:p>
        </w:tc>
      </w:tr>
      <w:tr w:rsidR="007706D2" w:rsidTr="002A5290">
        <w:tc>
          <w:tcPr>
            <w:tcW w:w="5000" w:type="pct"/>
            <w:tcBorders>
              <w:top w:val="nil"/>
              <w:left w:val="nil"/>
              <w:bottom w:val="single" w:sz="6" w:space="0" w:color="78A22F"/>
              <w:right w:val="nil"/>
            </w:tcBorders>
            <w:shd w:val="clear" w:color="auto" w:fill="auto"/>
          </w:tcPr>
          <w:p w:rsidR="007706D2" w:rsidRDefault="007706D2" w:rsidP="002A5290">
            <w:pPr>
              <w:pStyle w:val="Box"/>
              <w:spacing w:before="0" w:line="120" w:lineRule="exact"/>
            </w:pPr>
          </w:p>
        </w:tc>
      </w:tr>
      <w:tr w:rsidR="007706D2" w:rsidRPr="000863A5" w:rsidTr="002A5290">
        <w:tc>
          <w:tcPr>
            <w:tcW w:w="5000" w:type="pct"/>
            <w:tcBorders>
              <w:top w:val="single" w:sz="6" w:space="0" w:color="78A22F"/>
              <w:left w:val="nil"/>
              <w:bottom w:val="nil"/>
              <w:right w:val="nil"/>
            </w:tcBorders>
          </w:tcPr>
          <w:p w:rsidR="007706D2" w:rsidRPr="00626D32" w:rsidRDefault="007706D2" w:rsidP="002A5290">
            <w:pPr>
              <w:pStyle w:val="BoxSpaceBelow"/>
            </w:pPr>
          </w:p>
        </w:tc>
      </w:tr>
    </w:tbl>
    <w:p w:rsidR="009D5363" w:rsidRDefault="009D5363">
      <w:pPr>
        <w:rPr>
          <w:szCs w:val="20"/>
        </w:rPr>
      </w:pPr>
      <w:r>
        <w:br w:type="page"/>
      </w:r>
    </w:p>
    <w:p w:rsidR="00676AD6" w:rsidRPr="006F300B" w:rsidRDefault="00676AD6" w:rsidP="006F300B">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676AD6" w:rsidTr="00E923E3">
        <w:trPr>
          <w:tblHeader/>
        </w:trPr>
        <w:tc>
          <w:tcPr>
            <w:tcW w:w="5000" w:type="pct"/>
            <w:tcBorders>
              <w:top w:val="single" w:sz="6" w:space="0" w:color="78A22F"/>
              <w:left w:val="nil"/>
              <w:bottom w:val="nil"/>
              <w:right w:val="nil"/>
            </w:tcBorders>
            <w:shd w:val="clear" w:color="auto" w:fill="auto"/>
          </w:tcPr>
          <w:p w:rsidR="00676AD6" w:rsidRPr="00CE4C64" w:rsidRDefault="00676AD6" w:rsidP="00E923E3">
            <w:pPr>
              <w:pStyle w:val="InformationRequestTitle"/>
              <w:spacing w:before="120"/>
            </w:pPr>
            <w:r>
              <w:t>QUESTION</w:t>
            </w:r>
            <w:r w:rsidR="00AF52D7">
              <w:t xml:space="preserve"> set 2</w:t>
            </w:r>
          </w:p>
        </w:tc>
      </w:tr>
      <w:tr w:rsidR="00676AD6" w:rsidRPr="00750BE2" w:rsidTr="00E923E3">
        <w:tc>
          <w:tcPr>
            <w:tcW w:w="5000" w:type="pct"/>
            <w:tcBorders>
              <w:top w:val="nil"/>
              <w:left w:val="nil"/>
              <w:bottom w:val="nil"/>
              <w:right w:val="nil"/>
            </w:tcBorders>
            <w:shd w:val="clear" w:color="auto" w:fill="auto"/>
          </w:tcPr>
          <w:p w:rsidR="00605E5A" w:rsidRDefault="00605E5A" w:rsidP="00605E5A">
            <w:pPr>
              <w:pStyle w:val="InformationRequestBullet"/>
            </w:pPr>
            <w:r>
              <w:t xml:space="preserve">What </w:t>
            </w:r>
            <w:r w:rsidR="00EC7F8F">
              <w:t>specific services and programs are deemed to be ‘</w:t>
            </w:r>
            <w:r w:rsidR="0056156B">
              <w:t>children and family</w:t>
            </w:r>
            <w:r>
              <w:t xml:space="preserve"> services</w:t>
            </w:r>
            <w:r w:rsidR="00EC7F8F">
              <w:t>’?</w:t>
            </w:r>
            <w:r w:rsidR="00EC7F8F" w:rsidDel="00EC7F8F">
              <w:t xml:space="preserve"> </w:t>
            </w:r>
            <w:r w:rsidR="00612F54">
              <w:t>What criteria should be used to determine which universal services fall into this category?</w:t>
            </w:r>
          </w:p>
          <w:p w:rsidR="00344ADE" w:rsidRDefault="00344ADE" w:rsidP="00344ADE">
            <w:pPr>
              <w:pStyle w:val="InformationRequestBullet"/>
            </w:pPr>
            <w:r w:rsidRPr="00605E5A">
              <w:t xml:space="preserve">What other government services </w:t>
            </w:r>
            <w:r>
              <w:t>and programs, beyond ‘children and family services’</w:t>
            </w:r>
            <w:r w:rsidR="004725DF">
              <w:t>,</w:t>
            </w:r>
            <w:r>
              <w:t xml:space="preserve"> </w:t>
            </w:r>
            <w:r w:rsidRPr="00605E5A">
              <w:t xml:space="preserve">are also relevant to preventing harm, and how </w:t>
            </w:r>
            <w:r>
              <w:t>do</w:t>
            </w:r>
            <w:r w:rsidRPr="00605E5A">
              <w:t xml:space="preserve"> these interact with </w:t>
            </w:r>
            <w:r>
              <w:t>children and family</w:t>
            </w:r>
            <w:r w:rsidRPr="00605E5A">
              <w:t xml:space="preserve"> services?</w:t>
            </w:r>
          </w:p>
          <w:p w:rsidR="00676AD6" w:rsidRPr="006678F0" w:rsidRDefault="00344ADE" w:rsidP="00344ADE">
            <w:pPr>
              <w:pStyle w:val="InformationRequestBullet"/>
            </w:pPr>
            <w:r>
              <w:t xml:space="preserve">Given the myriad of services and programs that could be included, which should we focus on? Which </w:t>
            </w:r>
            <w:r w:rsidR="004725DF">
              <w:t>services and programs</w:t>
            </w:r>
            <w:r>
              <w:t xml:space="preserve"> matter most to prevent harm to children?</w:t>
            </w:r>
          </w:p>
        </w:tc>
      </w:tr>
      <w:tr w:rsidR="00676AD6" w:rsidTr="00E923E3">
        <w:tc>
          <w:tcPr>
            <w:tcW w:w="5000" w:type="pct"/>
            <w:tcBorders>
              <w:top w:val="nil"/>
              <w:left w:val="nil"/>
              <w:bottom w:val="single" w:sz="6" w:space="0" w:color="78A22F"/>
              <w:right w:val="nil"/>
            </w:tcBorders>
            <w:shd w:val="clear" w:color="auto" w:fill="auto"/>
          </w:tcPr>
          <w:p w:rsidR="00676AD6" w:rsidRDefault="00676AD6" w:rsidP="00E923E3">
            <w:pPr>
              <w:pStyle w:val="Space"/>
              <w:keepLines/>
            </w:pPr>
          </w:p>
        </w:tc>
      </w:tr>
      <w:tr w:rsidR="00676AD6" w:rsidRPr="000863A5" w:rsidTr="00E923E3">
        <w:tc>
          <w:tcPr>
            <w:tcW w:w="5000" w:type="pct"/>
            <w:tcBorders>
              <w:top w:val="single" w:sz="6" w:space="0" w:color="78A22F"/>
              <w:left w:val="nil"/>
              <w:bottom w:val="nil"/>
              <w:right w:val="nil"/>
            </w:tcBorders>
          </w:tcPr>
          <w:p w:rsidR="00676AD6" w:rsidRPr="00626D32" w:rsidRDefault="00676AD6" w:rsidP="00E923E3">
            <w:pPr>
              <w:pStyle w:val="BoxSpaceBelow"/>
              <w:keepLines/>
            </w:pPr>
          </w:p>
        </w:tc>
      </w:tr>
    </w:tbl>
    <w:p w:rsidR="004B503C" w:rsidRDefault="0025499D" w:rsidP="004B503C">
      <w:pPr>
        <w:pStyle w:val="Heading3"/>
      </w:pPr>
      <w:bookmarkStart w:id="12" w:name="_Toc8377486"/>
      <w:bookmarkStart w:id="13" w:name="_Toc8393502"/>
      <w:r>
        <w:t xml:space="preserve">Who currently funds </w:t>
      </w:r>
      <w:r w:rsidR="00F6757B">
        <w:t xml:space="preserve">and delivers </w:t>
      </w:r>
      <w:r>
        <w:t>children</w:t>
      </w:r>
      <w:r w:rsidR="00354585">
        <w:t xml:space="preserve"> and family</w:t>
      </w:r>
      <w:r>
        <w:t xml:space="preserve"> services?</w:t>
      </w:r>
      <w:bookmarkEnd w:id="12"/>
      <w:bookmarkEnd w:id="13"/>
    </w:p>
    <w:p w:rsidR="00D41DAC" w:rsidRDefault="00442BEC" w:rsidP="0044150E">
      <w:pPr>
        <w:pStyle w:val="BodyText"/>
      </w:pPr>
      <w:r>
        <w:t>All levels of government</w:t>
      </w:r>
      <w:r w:rsidR="00B77C11">
        <w:t xml:space="preserve"> in Australia</w:t>
      </w:r>
      <w:r>
        <w:t xml:space="preserve">, as well </w:t>
      </w:r>
      <w:r w:rsidR="00044F54">
        <w:t>as a large number of non</w:t>
      </w:r>
      <w:r w:rsidR="000A041F">
        <w:noBreakHyphen/>
      </w:r>
      <w:r w:rsidR="00044F54">
        <w:t>government organisations</w:t>
      </w:r>
      <w:r w:rsidR="00B77C11">
        <w:t>,</w:t>
      </w:r>
      <w:r>
        <w:t xml:space="preserve"> are involved in</w:t>
      </w:r>
      <w:r w:rsidR="0044150E">
        <w:t xml:space="preserve"> fund</w:t>
      </w:r>
      <w:r>
        <w:t>ing and delivering</w:t>
      </w:r>
      <w:r w:rsidR="0044150E">
        <w:t xml:space="preserve"> services and programs for families and children in the Northern Territory.</w:t>
      </w:r>
      <w:r w:rsidR="00F15816">
        <w:t xml:space="preserve"> </w:t>
      </w:r>
      <w:r w:rsidR="00B77C11">
        <w:t xml:space="preserve">The multitude of agencies involved creates a complex system of support </w:t>
      </w:r>
      <w:r w:rsidR="009B7712">
        <w:t>that</w:t>
      </w:r>
      <w:r w:rsidR="00EF49EF">
        <w:t>,</w:t>
      </w:r>
      <w:r w:rsidR="009B7712">
        <w:t xml:space="preserve"> if not well coordinated</w:t>
      </w:r>
      <w:r w:rsidR="00344ADE">
        <w:t xml:space="preserve"> and evaluated</w:t>
      </w:r>
      <w:r w:rsidR="009B7712">
        <w:t>, risks creating</w:t>
      </w:r>
      <w:r w:rsidR="00B77C11">
        <w:t xml:space="preserve"> duplication</w:t>
      </w:r>
      <w:r w:rsidR="00747A55">
        <w:t>, overlaps</w:t>
      </w:r>
      <w:r w:rsidR="009B7712">
        <w:t xml:space="preserve"> and gaps</w:t>
      </w:r>
      <w:r w:rsidR="00B77C11">
        <w:t xml:space="preserve"> in services.</w:t>
      </w:r>
    </w:p>
    <w:p w:rsidR="00EF49EF" w:rsidRDefault="00EF49EF" w:rsidP="0044150E">
      <w:pPr>
        <w:pStyle w:val="BodyText"/>
      </w:pPr>
      <w:r>
        <w:t xml:space="preserve">The </w:t>
      </w:r>
      <w:r w:rsidR="0042062F">
        <w:t>Northern Territory Government</w:t>
      </w:r>
      <w:r>
        <w:t xml:space="preserve"> is directly responsible for the child protection system, especially the statutory end. Most funding is directed through Territory Families, which funds services relating to child protection, out</w:t>
      </w:r>
      <w:r w:rsidR="000A041F">
        <w:noBreakHyphen/>
      </w:r>
      <w:r>
        <w:t>of</w:t>
      </w:r>
      <w:r w:rsidR="000A041F">
        <w:noBreakHyphen/>
      </w:r>
      <w:r>
        <w:t xml:space="preserve">home care, family support, youth justice and family and sexual violence support </w:t>
      </w:r>
      <w:r w:rsidR="00B97832" w:rsidRPr="00B97832">
        <w:rPr>
          <w:szCs w:val="24"/>
        </w:rPr>
        <w:t>(Territory Families 2018)</w:t>
      </w:r>
      <w:r>
        <w:t xml:space="preserve">. This also includes funding for </w:t>
      </w:r>
      <w:r w:rsidR="00036A76">
        <w:t>non</w:t>
      </w:r>
      <w:r w:rsidR="00036A76">
        <w:noBreakHyphen/>
        <w:t xml:space="preserve">government organisations </w:t>
      </w:r>
      <w:r>
        <w:t>and other service providers. The department spent $243 million on children and family services in 2017</w:t>
      </w:r>
      <w:r>
        <w:noBreakHyphen/>
        <w:t>18.</w:t>
      </w:r>
    </w:p>
    <w:p w:rsidR="00EF49EF" w:rsidRPr="00FF27B3" w:rsidRDefault="00EF49EF" w:rsidP="00EF49EF">
      <w:pPr>
        <w:pStyle w:val="BodyText"/>
      </w:pPr>
      <w:r>
        <w:t xml:space="preserve">At the same time, the Australian Government operates several large grant programs. These include the </w:t>
      </w:r>
      <w:r w:rsidR="00E30979">
        <w:t>Families and Communities Grant Program operated by the D</w:t>
      </w:r>
      <w:r w:rsidR="00B4690A">
        <w:t>epartment of Social Services</w:t>
      </w:r>
      <w:r w:rsidR="00E30979">
        <w:t xml:space="preserve">, and the </w:t>
      </w:r>
      <w:r w:rsidR="007469C8">
        <w:t xml:space="preserve">Indigenous Advancement Strategy </w:t>
      </w:r>
      <w:r w:rsidR="00E30979">
        <w:t>operated by the Department of Prime Minister an</w:t>
      </w:r>
      <w:r w:rsidR="00B4690A">
        <w:t>d Cabinet</w:t>
      </w:r>
      <w:r w:rsidR="00E30979">
        <w:t>.</w:t>
      </w:r>
      <w:r w:rsidR="00A7644A">
        <w:t xml:space="preserve"> </w:t>
      </w:r>
      <w:r>
        <w:t>On top of this, the Australian Government provides significant tied and unt</w:t>
      </w:r>
      <w:r w:rsidR="004760DB">
        <w:t>i</w:t>
      </w:r>
      <w:r>
        <w:t xml:space="preserve">ed funding to the Northern Territory Government, including through the </w:t>
      </w:r>
      <w:r w:rsidR="002C22AD">
        <w:t>National Partnership on Northern Territory Remote Aboriginal Investment and</w:t>
      </w:r>
      <w:r w:rsidR="00036A76">
        <w:t xml:space="preserve"> the National Partnership for </w:t>
      </w:r>
      <w:r w:rsidR="002C22AD">
        <w:t>Remote Housing</w:t>
      </w:r>
      <w:r w:rsidR="00036A76">
        <w:t xml:space="preserve"> Northern Territory</w:t>
      </w:r>
      <w:r w:rsidR="002C22AD">
        <w:t>.</w:t>
      </w:r>
    </w:p>
    <w:p w:rsidR="00650E47" w:rsidRDefault="00EF49EF" w:rsidP="00EF49EF">
      <w:pPr>
        <w:pStyle w:val="BodyText"/>
      </w:pPr>
      <w:r w:rsidRPr="00FF27B3">
        <w:t xml:space="preserve">Much of this government funding is channelled through </w:t>
      </w:r>
      <w:r w:rsidR="00A23C2C">
        <w:t xml:space="preserve">local governments and </w:t>
      </w:r>
      <w:r w:rsidRPr="00FF27B3">
        <w:t>n</w:t>
      </w:r>
      <w:r w:rsidR="00A23C2C">
        <w:t>on</w:t>
      </w:r>
      <w:r w:rsidR="00A23C2C">
        <w:noBreakHyphen/>
        <w:t xml:space="preserve">government service providers </w:t>
      </w:r>
      <w:r w:rsidRPr="00FF27B3">
        <w:t xml:space="preserve">(which sometimes have other funding sources available, such as donations and royalties). The latest data reveal that there were </w:t>
      </w:r>
      <w:r w:rsidR="008972F9">
        <w:t xml:space="preserve">450 charities </w:t>
      </w:r>
      <w:r>
        <w:t xml:space="preserve">operating </w:t>
      </w:r>
      <w:r w:rsidR="008972F9">
        <w:t xml:space="preserve">in the Northern Territory </w:t>
      </w:r>
      <w:r>
        <w:t xml:space="preserve">in 2016, with </w:t>
      </w:r>
      <w:r w:rsidR="008972F9">
        <w:t xml:space="preserve">combined revenue </w:t>
      </w:r>
      <w:r w:rsidR="005A369B">
        <w:t xml:space="preserve">of </w:t>
      </w:r>
      <w:r w:rsidR="00B31ABC">
        <w:t>$1.5 billion</w:t>
      </w:r>
      <w:r w:rsidR="007D6A87">
        <w:t xml:space="preserve"> </w:t>
      </w:r>
      <w:r w:rsidR="00B97832" w:rsidRPr="00B97832">
        <w:rPr>
          <w:szCs w:val="24"/>
        </w:rPr>
        <w:t>(</w:t>
      </w:r>
      <w:proofErr w:type="spellStart"/>
      <w:r w:rsidR="00B97832" w:rsidRPr="00B97832">
        <w:rPr>
          <w:szCs w:val="24"/>
        </w:rPr>
        <w:t>ACNC</w:t>
      </w:r>
      <w:proofErr w:type="spellEnd"/>
      <w:r w:rsidR="00B97832" w:rsidRPr="00B97832">
        <w:rPr>
          <w:szCs w:val="24"/>
        </w:rPr>
        <w:t> 2016)</w:t>
      </w:r>
      <w:r w:rsidR="008972F9">
        <w:t xml:space="preserve">. </w:t>
      </w:r>
      <w:r>
        <w:t>In addition, there are over 800 Indigenous corporations that deliver health, community and employment services in the Northern Territory.</w:t>
      </w:r>
    </w:p>
    <w:p w:rsidR="00CA4F5F" w:rsidRDefault="00CA4F5F">
      <w:pPr>
        <w:rPr>
          <w:szCs w:val="20"/>
        </w:rPr>
      </w:pPr>
      <w:r>
        <w:br w:type="page"/>
      </w:r>
    </w:p>
    <w:p w:rsidR="002B4D15" w:rsidRPr="006F300B" w:rsidRDefault="002B4D15" w:rsidP="006F300B">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2B4D15" w:rsidTr="004C7758">
        <w:trPr>
          <w:tblHeader/>
        </w:trPr>
        <w:tc>
          <w:tcPr>
            <w:tcW w:w="5000" w:type="pct"/>
            <w:tcBorders>
              <w:top w:val="single" w:sz="6" w:space="0" w:color="78A22F"/>
              <w:left w:val="nil"/>
              <w:bottom w:val="nil"/>
              <w:right w:val="nil"/>
            </w:tcBorders>
            <w:shd w:val="clear" w:color="auto" w:fill="auto"/>
          </w:tcPr>
          <w:p w:rsidR="002B4D15" w:rsidRPr="00CE4C64" w:rsidRDefault="002B4D15" w:rsidP="004C7758">
            <w:pPr>
              <w:pStyle w:val="InformationRequestTitle"/>
              <w:spacing w:before="120"/>
            </w:pPr>
            <w:r>
              <w:t>QUESTION</w:t>
            </w:r>
            <w:r w:rsidR="00AF52D7">
              <w:t xml:space="preserve"> set 3</w:t>
            </w:r>
          </w:p>
        </w:tc>
      </w:tr>
      <w:tr w:rsidR="002B4D15" w:rsidRPr="00750BE2" w:rsidTr="004C7758">
        <w:tc>
          <w:tcPr>
            <w:tcW w:w="5000" w:type="pct"/>
            <w:tcBorders>
              <w:top w:val="nil"/>
              <w:left w:val="nil"/>
              <w:bottom w:val="nil"/>
              <w:right w:val="nil"/>
            </w:tcBorders>
            <w:shd w:val="clear" w:color="auto" w:fill="auto"/>
          </w:tcPr>
          <w:p w:rsidR="002B4D15" w:rsidRPr="00017E63" w:rsidRDefault="002B4D15" w:rsidP="002B4D15">
            <w:pPr>
              <w:pStyle w:val="InformationRequestBullet"/>
            </w:pPr>
            <w:r>
              <w:t>What should be the</w:t>
            </w:r>
            <w:r w:rsidR="00B3144E">
              <w:t xml:space="preserve"> respective</w:t>
            </w:r>
            <w:r>
              <w:t xml:space="preserve"> roles of the </w:t>
            </w:r>
            <w:r w:rsidR="0042062F">
              <w:t>Australian Government</w:t>
            </w:r>
            <w:r>
              <w:t xml:space="preserve"> and the </w:t>
            </w:r>
            <w:r w:rsidR="0042062F">
              <w:t>Northern Territory Government</w:t>
            </w:r>
            <w:r>
              <w:t xml:space="preserve"> in relation to chi</w:t>
            </w:r>
            <w:r w:rsidR="00A23C2C">
              <w:t>ldren and family services? How sh</w:t>
            </w:r>
            <w:r>
              <w:t>ould this intersect with their roles in Indigenous policy</w:t>
            </w:r>
            <w:r w:rsidR="00513FAF">
              <w:t xml:space="preserve"> and </w:t>
            </w:r>
            <w:r w:rsidR="00476C74">
              <w:t>in other policy</w:t>
            </w:r>
            <w:r w:rsidR="00513FAF">
              <w:t xml:space="preserve"> areas, such as health and education</w:t>
            </w:r>
            <w:r>
              <w:t>?</w:t>
            </w:r>
          </w:p>
          <w:p w:rsidR="002B4D15" w:rsidRPr="006678F0" w:rsidRDefault="002B4D15" w:rsidP="009E22FD">
            <w:pPr>
              <w:pStyle w:val="InformationRequestBullet"/>
            </w:pPr>
            <w:r>
              <w:t xml:space="preserve">What </w:t>
            </w:r>
            <w:r w:rsidR="00513FAF">
              <w:t>role should</w:t>
            </w:r>
            <w:r>
              <w:t xml:space="preserve"> </w:t>
            </w:r>
            <w:r w:rsidR="009E22FD">
              <w:t xml:space="preserve">Indigenous corporations and </w:t>
            </w:r>
            <w:r>
              <w:t>non</w:t>
            </w:r>
            <w:r>
              <w:noBreakHyphen/>
              <w:t>government organisations play in delivering children and family services? Are there particular roles better suited to different sorts of non</w:t>
            </w:r>
            <w:r>
              <w:noBreakHyphen/>
              <w:t xml:space="preserve">government </w:t>
            </w:r>
            <w:r w:rsidR="00C02758">
              <w:t>organisations</w:t>
            </w:r>
            <w:r>
              <w:t>?</w:t>
            </w:r>
          </w:p>
        </w:tc>
      </w:tr>
      <w:tr w:rsidR="002B4D15" w:rsidTr="004C7758">
        <w:tc>
          <w:tcPr>
            <w:tcW w:w="5000" w:type="pct"/>
            <w:tcBorders>
              <w:top w:val="nil"/>
              <w:left w:val="nil"/>
              <w:bottom w:val="single" w:sz="6" w:space="0" w:color="78A22F"/>
              <w:right w:val="nil"/>
            </w:tcBorders>
            <w:shd w:val="clear" w:color="auto" w:fill="auto"/>
          </w:tcPr>
          <w:p w:rsidR="002B4D15" w:rsidRDefault="002B4D15" w:rsidP="004C7758">
            <w:pPr>
              <w:pStyle w:val="Space"/>
              <w:keepLines/>
            </w:pPr>
          </w:p>
        </w:tc>
      </w:tr>
      <w:tr w:rsidR="002B4D15" w:rsidRPr="000863A5" w:rsidTr="004C7758">
        <w:tc>
          <w:tcPr>
            <w:tcW w:w="5000" w:type="pct"/>
            <w:tcBorders>
              <w:top w:val="single" w:sz="6" w:space="0" w:color="78A22F"/>
              <w:left w:val="nil"/>
              <w:bottom w:val="nil"/>
              <w:right w:val="nil"/>
            </w:tcBorders>
          </w:tcPr>
          <w:p w:rsidR="002B4D15" w:rsidRPr="00626D32" w:rsidRDefault="002B4D15" w:rsidP="004C7758">
            <w:pPr>
              <w:pStyle w:val="BoxSpaceBelow"/>
              <w:keepLines/>
            </w:pPr>
          </w:p>
        </w:tc>
      </w:tr>
    </w:tbl>
    <w:p w:rsidR="00AC3960" w:rsidRDefault="00592B46" w:rsidP="003E44CE">
      <w:pPr>
        <w:pStyle w:val="Heading2"/>
      </w:pPr>
      <w:bookmarkStart w:id="14" w:name="_Toc8377487"/>
      <w:bookmarkStart w:id="15" w:name="_Toc8393503"/>
      <w:r>
        <w:rPr>
          <w:noProof/>
        </w:rPr>
        <w:t>4</w:t>
      </w:r>
      <w:r w:rsidR="00AC3960">
        <w:tab/>
        <w:t>Our approach</w:t>
      </w:r>
      <w:r w:rsidR="00E115BB">
        <w:t xml:space="preserve"> </w:t>
      </w:r>
      <w:r w:rsidR="003B4CDC">
        <w:t>and key issues for investigation</w:t>
      </w:r>
      <w:bookmarkEnd w:id="14"/>
      <w:bookmarkEnd w:id="15"/>
      <w:r w:rsidR="00896775">
        <w:t xml:space="preserve"> </w:t>
      </w:r>
    </w:p>
    <w:p w:rsidR="00127B47" w:rsidRDefault="00D94FF6" w:rsidP="00127B47">
      <w:pPr>
        <w:pStyle w:val="BodyText"/>
      </w:pPr>
      <w:r>
        <w:t>We plan to</w:t>
      </w:r>
      <w:r w:rsidR="00127B47">
        <w:t xml:space="preserve"> approach </w:t>
      </w:r>
      <w:r w:rsidR="00AA367F">
        <w:t xml:space="preserve">this study </w:t>
      </w:r>
      <w:r>
        <w:t xml:space="preserve">through </w:t>
      </w:r>
      <w:r w:rsidR="00476C74">
        <w:t>three main tasks</w:t>
      </w:r>
      <w:r w:rsidR="00B97F5A">
        <w:t>:</w:t>
      </w:r>
    </w:p>
    <w:p w:rsidR="00127B47" w:rsidRDefault="00B97F5A" w:rsidP="00E07C92">
      <w:pPr>
        <w:pStyle w:val="ListNumber"/>
      </w:pPr>
      <w:r>
        <w:t>u</w:t>
      </w:r>
      <w:r w:rsidR="00127B47" w:rsidRPr="00A638D6">
        <w:t>nderstand</w:t>
      </w:r>
      <w:r w:rsidR="00570EA6">
        <w:t xml:space="preserve"> </w:t>
      </w:r>
      <w:r w:rsidR="00570EA6" w:rsidRPr="00AA367F">
        <w:rPr>
          <w:i/>
        </w:rPr>
        <w:t xml:space="preserve">what </w:t>
      </w:r>
      <w:r w:rsidR="00127B47" w:rsidRPr="00AA367F">
        <w:rPr>
          <w:i/>
        </w:rPr>
        <w:t>service</w:t>
      </w:r>
      <w:r w:rsidR="00570EA6" w:rsidRPr="00AA367F">
        <w:rPr>
          <w:i/>
        </w:rPr>
        <w:t xml:space="preserve">s are </w:t>
      </w:r>
      <w:r w:rsidR="00AD6278">
        <w:rPr>
          <w:i/>
        </w:rPr>
        <w:t xml:space="preserve">being </w:t>
      </w:r>
      <w:r w:rsidR="00570EA6" w:rsidRPr="00AA367F">
        <w:rPr>
          <w:i/>
        </w:rPr>
        <w:t>delivered</w:t>
      </w:r>
      <w:r w:rsidR="00570EA6">
        <w:t xml:space="preserve"> in the Northern Territory that support</w:t>
      </w:r>
      <w:r w:rsidR="00127B47">
        <w:t xml:space="preserve"> </w:t>
      </w:r>
      <w:r w:rsidR="00570EA6">
        <w:t xml:space="preserve">the prevention </w:t>
      </w:r>
      <w:r w:rsidR="00AA367F">
        <w:t xml:space="preserve">of </w:t>
      </w:r>
      <w:r w:rsidR="00527D3F">
        <w:t xml:space="preserve">harm to </w:t>
      </w:r>
      <w:r w:rsidR="00AA367F">
        <w:t>children</w:t>
      </w:r>
      <w:r w:rsidR="002F7B7D">
        <w:t xml:space="preserve">, and then </w:t>
      </w:r>
      <w:r w:rsidR="002F7B7D" w:rsidRPr="00E31CB7">
        <w:rPr>
          <w:i/>
        </w:rPr>
        <w:t>how they are funded and by whom</w:t>
      </w:r>
    </w:p>
    <w:p w:rsidR="00A638D6" w:rsidRDefault="00B97F5A">
      <w:pPr>
        <w:pStyle w:val="ListNumber"/>
      </w:pPr>
      <w:r>
        <w:t>e</w:t>
      </w:r>
      <w:r w:rsidR="00A638D6">
        <w:t xml:space="preserve">xamine </w:t>
      </w:r>
      <w:r w:rsidR="00AA367F" w:rsidRPr="00AA367F">
        <w:rPr>
          <w:i/>
        </w:rPr>
        <w:t>how</w:t>
      </w:r>
      <w:r w:rsidR="002E5558">
        <w:rPr>
          <w:i/>
        </w:rPr>
        <w:t xml:space="preserve"> governments </w:t>
      </w:r>
      <w:r w:rsidR="00231CCA">
        <w:rPr>
          <w:i/>
        </w:rPr>
        <w:t>decide</w:t>
      </w:r>
      <w:r w:rsidR="002E5558">
        <w:rPr>
          <w:i/>
        </w:rPr>
        <w:t xml:space="preserve"> what services to fund,</w:t>
      </w:r>
      <w:r w:rsidR="00AA367F" w:rsidRPr="00AA367F">
        <w:rPr>
          <w:i/>
        </w:rPr>
        <w:t xml:space="preserve"> </w:t>
      </w:r>
      <w:r w:rsidR="00AA367F">
        <w:t>including the process of consulti</w:t>
      </w:r>
      <w:r w:rsidR="006513BC">
        <w:t>ng with communities and service users</w:t>
      </w:r>
      <w:r w:rsidR="00D94FF6">
        <w:t>;</w:t>
      </w:r>
      <w:r w:rsidR="00AA367F">
        <w:t xml:space="preserve"> </w:t>
      </w:r>
      <w:r w:rsidR="006513BC">
        <w:t xml:space="preserve">the design, </w:t>
      </w:r>
      <w:r w:rsidR="00AA367F">
        <w:t xml:space="preserve">implementation and evaluation </w:t>
      </w:r>
      <w:r w:rsidR="006513BC">
        <w:t>of</w:t>
      </w:r>
      <w:r w:rsidR="00AA367F">
        <w:t xml:space="preserve"> </w:t>
      </w:r>
      <w:r w:rsidR="00476C74">
        <w:t>government</w:t>
      </w:r>
      <w:r w:rsidR="00476C74">
        <w:noBreakHyphen/>
      </w:r>
      <w:r w:rsidR="00AA367F">
        <w:t>fund</w:t>
      </w:r>
      <w:r w:rsidR="006513BC">
        <w:t>ed</w:t>
      </w:r>
      <w:r w:rsidR="00AA367F">
        <w:t xml:space="preserve"> services</w:t>
      </w:r>
      <w:r w:rsidR="00D94FF6">
        <w:t>;</w:t>
      </w:r>
      <w:r w:rsidR="00AA367F">
        <w:t xml:space="preserve"> </w:t>
      </w:r>
      <w:r w:rsidR="006513BC">
        <w:t>and</w:t>
      </w:r>
      <w:r w:rsidR="00AA367F">
        <w:t xml:space="preserve"> how funding is coordinated across</w:t>
      </w:r>
      <w:r w:rsidR="006513BC">
        <w:t xml:space="preserve"> and within</w:t>
      </w:r>
      <w:r w:rsidR="00AA367F">
        <w:t xml:space="preserve"> levels of government</w:t>
      </w:r>
      <w:r w:rsidR="006513BC">
        <w:t xml:space="preserve"> and between service providers</w:t>
      </w:r>
    </w:p>
    <w:p w:rsidR="00D16D5A" w:rsidRDefault="00B97F5A" w:rsidP="00D16D5A">
      <w:pPr>
        <w:pStyle w:val="ListNumber"/>
      </w:pPr>
      <w:r>
        <w:t>i</w:t>
      </w:r>
      <w:r w:rsidR="00436FC3">
        <w:t xml:space="preserve">dentify </w:t>
      </w:r>
      <w:r w:rsidR="00A638D6" w:rsidRPr="00AA367F">
        <w:rPr>
          <w:i/>
        </w:rPr>
        <w:t xml:space="preserve">options to improve the effectiveness </w:t>
      </w:r>
      <w:r w:rsidR="008F7FD1">
        <w:rPr>
          <w:i/>
        </w:rPr>
        <w:t xml:space="preserve">and efficiency </w:t>
      </w:r>
      <w:r w:rsidR="00A638D6" w:rsidRPr="00AA367F">
        <w:rPr>
          <w:i/>
        </w:rPr>
        <w:t>of funding</w:t>
      </w:r>
      <w:r w:rsidR="00A638D6">
        <w:t xml:space="preserve"> </w:t>
      </w:r>
      <w:r w:rsidR="006513BC">
        <w:t xml:space="preserve">arrangements </w:t>
      </w:r>
      <w:r w:rsidR="00436FC3">
        <w:t xml:space="preserve">for </w:t>
      </w:r>
      <w:r w:rsidR="00476C74">
        <w:t>children and family</w:t>
      </w:r>
      <w:r w:rsidR="00436FC3">
        <w:t xml:space="preserve"> services</w:t>
      </w:r>
      <w:r w:rsidR="00A638D6">
        <w:t xml:space="preserve">, </w:t>
      </w:r>
      <w:r w:rsidR="00AA367F">
        <w:t xml:space="preserve">including how they </w:t>
      </w:r>
      <w:r w:rsidR="002E5558">
        <w:t>c</w:t>
      </w:r>
      <w:r w:rsidR="00AA367F">
        <w:t xml:space="preserve">ould </w:t>
      </w:r>
      <w:r w:rsidR="002E5558">
        <w:t xml:space="preserve">better </w:t>
      </w:r>
      <w:r w:rsidR="00AA367F">
        <w:t>support a place</w:t>
      </w:r>
      <w:r w:rsidR="000A041F">
        <w:noBreakHyphen/>
      </w:r>
      <w:r w:rsidR="00AA367F">
        <w:t>based, public health approach to service delivery</w:t>
      </w:r>
      <w:r w:rsidR="002E5558">
        <w:t xml:space="preserve"> in the Northern Territory</w:t>
      </w:r>
      <w:r w:rsidR="00D16D5A">
        <w:t xml:space="preserve">. </w:t>
      </w:r>
    </w:p>
    <w:p w:rsidR="00292A0D" w:rsidRDefault="00D94FF6" w:rsidP="00D16D5A">
      <w:pPr>
        <w:pStyle w:val="BodyText"/>
      </w:pPr>
      <w:r>
        <w:t>W</w:t>
      </w:r>
      <w:r w:rsidR="00292A0D">
        <w:t xml:space="preserve">e will also consider evidence from other jurisdictions (including international examples) about what good practice looks like for funding </w:t>
      </w:r>
      <w:r w:rsidR="0056156B">
        <w:t>children and family</w:t>
      </w:r>
      <w:r w:rsidR="00292A0D">
        <w:t xml:space="preserve"> services. In doing so, it will be important to consider </w:t>
      </w:r>
      <w:r>
        <w:t xml:space="preserve">the extent to which </w:t>
      </w:r>
      <w:r w:rsidR="00292A0D">
        <w:t xml:space="preserve">those practices </w:t>
      </w:r>
      <w:r>
        <w:t xml:space="preserve">might be </w:t>
      </w:r>
      <w:r w:rsidR="00292A0D">
        <w:t>transferable to the Northern Territory.</w:t>
      </w:r>
    </w:p>
    <w:p w:rsidR="00127B47" w:rsidRDefault="00AD6278" w:rsidP="00AD6278">
      <w:pPr>
        <w:pStyle w:val="Heading3"/>
      </w:pPr>
      <w:bookmarkStart w:id="16" w:name="_Toc8377488"/>
      <w:bookmarkStart w:id="17" w:name="_Toc8393504"/>
      <w:r>
        <w:t xml:space="preserve">What services are </w:t>
      </w:r>
      <w:r w:rsidR="00365867">
        <w:t xml:space="preserve">currently </w:t>
      </w:r>
      <w:r>
        <w:t>being delivered?</w:t>
      </w:r>
      <w:bookmarkEnd w:id="16"/>
      <w:bookmarkEnd w:id="17"/>
    </w:p>
    <w:p w:rsidR="00E34911" w:rsidRDefault="000D10C1" w:rsidP="00E34911">
      <w:pPr>
        <w:pStyle w:val="BodyText"/>
      </w:pPr>
      <w:r>
        <w:t>Undertaking</w:t>
      </w:r>
      <w:r w:rsidR="00E34911">
        <w:t xml:space="preserve"> a </w:t>
      </w:r>
      <w:r w:rsidR="00B57530">
        <w:t>‘</w:t>
      </w:r>
      <w:r w:rsidR="00E34911">
        <w:t>stocktake</w:t>
      </w:r>
      <w:r w:rsidR="00B57530">
        <w:t>’</w:t>
      </w:r>
      <w:r w:rsidR="00E34911">
        <w:t xml:space="preserve"> of </w:t>
      </w:r>
      <w:r w:rsidR="0056156B">
        <w:t>children and family</w:t>
      </w:r>
      <w:r w:rsidR="00E34911">
        <w:t xml:space="preserve"> services delivered in the Northern Territory is an essential first step in </w:t>
      </w:r>
      <w:r w:rsidR="001B59E2">
        <w:t xml:space="preserve">identifying key issues with </w:t>
      </w:r>
      <w:r w:rsidR="00DB67EC">
        <w:t>funding arrangements</w:t>
      </w:r>
      <w:r w:rsidR="00E34911">
        <w:t xml:space="preserve">. </w:t>
      </w:r>
      <w:r w:rsidR="001B59E2">
        <w:t xml:space="preserve">This exercise will help </w:t>
      </w:r>
      <w:r w:rsidR="00E34911">
        <w:t>fill information gaps</w:t>
      </w:r>
      <w:r w:rsidR="001B59E2">
        <w:t xml:space="preserve"> identified </w:t>
      </w:r>
      <w:r w:rsidR="00B57530">
        <w:t xml:space="preserve">by </w:t>
      </w:r>
      <w:r w:rsidR="001B59E2">
        <w:t>the Royal Commission</w:t>
      </w:r>
      <w:r w:rsidR="00E34911">
        <w:t xml:space="preserve"> on how and where funds are being expended</w:t>
      </w:r>
      <w:r w:rsidR="001B59E2">
        <w:t xml:space="preserve"> in the Northern Territory</w:t>
      </w:r>
      <w:r w:rsidR="00DB67EC">
        <w:t xml:space="preserve">, and </w:t>
      </w:r>
      <w:r w:rsidR="00B57530">
        <w:t xml:space="preserve">will in turn </w:t>
      </w:r>
      <w:r w:rsidR="00E34911">
        <w:t xml:space="preserve">help </w:t>
      </w:r>
      <w:r w:rsidR="00E9348A">
        <w:t xml:space="preserve">us </w:t>
      </w:r>
      <w:r w:rsidR="00DB67EC">
        <w:t xml:space="preserve">to </w:t>
      </w:r>
      <w:r w:rsidR="00E34911" w:rsidRPr="000E4CDF">
        <w:t xml:space="preserve">understand the extent of </w:t>
      </w:r>
      <w:r w:rsidR="00E34911">
        <w:t xml:space="preserve">service gaps, duplication and </w:t>
      </w:r>
      <w:r w:rsidR="00E34911" w:rsidRPr="000E4CDF">
        <w:t>overlap</w:t>
      </w:r>
      <w:r w:rsidR="00E34911">
        <w:t>.</w:t>
      </w:r>
    </w:p>
    <w:p w:rsidR="001B59E2" w:rsidRDefault="001B59E2" w:rsidP="001B59E2">
      <w:pPr>
        <w:pStyle w:val="BodyText"/>
      </w:pPr>
      <w:r>
        <w:t xml:space="preserve">The stocktake </w:t>
      </w:r>
      <w:r w:rsidR="00BC3854">
        <w:t xml:space="preserve">is expected to </w:t>
      </w:r>
      <w:r>
        <w:t>cover:</w:t>
      </w:r>
    </w:p>
    <w:p w:rsidR="001B59E2" w:rsidRDefault="001B59E2" w:rsidP="001B59E2">
      <w:pPr>
        <w:pStyle w:val="ListBullet"/>
      </w:pPr>
      <w:r>
        <w:t xml:space="preserve">what funds are </w:t>
      </w:r>
      <w:r w:rsidR="004760DB">
        <w:t>provided for</w:t>
      </w:r>
      <w:r>
        <w:t xml:space="preserve"> </w:t>
      </w:r>
      <w:r w:rsidR="0056156B">
        <w:t>children and family</w:t>
      </w:r>
      <w:r>
        <w:t xml:space="preserve"> services</w:t>
      </w:r>
    </w:p>
    <w:p w:rsidR="001B59E2" w:rsidRDefault="00231CCA" w:rsidP="001B59E2">
      <w:pPr>
        <w:pStyle w:val="ListBullet"/>
      </w:pPr>
      <w:r>
        <w:t xml:space="preserve">who is allocated these </w:t>
      </w:r>
      <w:r w:rsidR="001B59E2">
        <w:t>fund</w:t>
      </w:r>
      <w:r>
        <w:t>s</w:t>
      </w:r>
      <w:r w:rsidR="002F7B7D">
        <w:t>, by whom and via what mechanism</w:t>
      </w:r>
    </w:p>
    <w:p w:rsidR="001B59E2" w:rsidRDefault="001B59E2" w:rsidP="001B59E2">
      <w:pPr>
        <w:pStyle w:val="ListBullet"/>
      </w:pPr>
      <w:r>
        <w:t xml:space="preserve">what </w:t>
      </w:r>
      <w:r w:rsidR="004725DF">
        <w:t>services and programs</w:t>
      </w:r>
      <w:r>
        <w:t xml:space="preserve"> are being provided</w:t>
      </w:r>
    </w:p>
    <w:p w:rsidR="0064081C" w:rsidRDefault="001B59E2" w:rsidP="001B59E2">
      <w:pPr>
        <w:pStyle w:val="ListBullet"/>
      </w:pPr>
      <w:r>
        <w:lastRenderedPageBreak/>
        <w:t xml:space="preserve">where those </w:t>
      </w:r>
      <w:r w:rsidR="004725DF">
        <w:t>services and programs</w:t>
      </w:r>
      <w:r>
        <w:t xml:space="preserve"> are being delivered</w:t>
      </w:r>
    </w:p>
    <w:p w:rsidR="001B59E2" w:rsidRDefault="0064081C" w:rsidP="001B59E2">
      <w:pPr>
        <w:pStyle w:val="ListBullet"/>
      </w:pPr>
      <w:r>
        <w:t xml:space="preserve">who has access to these services </w:t>
      </w:r>
      <w:r w:rsidR="0003179E">
        <w:t xml:space="preserve">and </w:t>
      </w:r>
      <w:r w:rsidR="005C2763">
        <w:t xml:space="preserve">key barriers </w:t>
      </w:r>
      <w:r w:rsidR="003F60E4">
        <w:t xml:space="preserve">to access </w:t>
      </w:r>
      <w:r w:rsidR="005C2763">
        <w:t xml:space="preserve">(such as </w:t>
      </w:r>
      <w:r w:rsidR="0003179E">
        <w:t>geographic</w:t>
      </w:r>
      <w:r w:rsidR="005C2763">
        <w:t>al</w:t>
      </w:r>
      <w:r w:rsidR="0003179E">
        <w:t>, economic,</w:t>
      </w:r>
      <w:r w:rsidR="005C2763">
        <w:t xml:space="preserve"> </w:t>
      </w:r>
      <w:r w:rsidR="00735B3E">
        <w:t xml:space="preserve">cultural </w:t>
      </w:r>
      <w:r w:rsidR="005C2763">
        <w:t xml:space="preserve">and information </w:t>
      </w:r>
      <w:r w:rsidR="00735B3E">
        <w:t>barriers</w:t>
      </w:r>
      <w:r w:rsidR="0003179E">
        <w:t>)</w:t>
      </w:r>
      <w:r w:rsidR="001B59E2">
        <w:t>.</w:t>
      </w:r>
    </w:p>
    <w:p w:rsidR="00383851" w:rsidRDefault="005F5823" w:rsidP="00383851">
      <w:pPr>
        <w:pStyle w:val="BodyText"/>
      </w:pPr>
      <w:r>
        <w:t>Given the breadth of services relevant to the prevention of harm to children</w:t>
      </w:r>
      <w:r w:rsidR="003D2151">
        <w:t>, as noted earlier,</w:t>
      </w:r>
      <w:r>
        <w:t xml:space="preserve"> we do not </w:t>
      </w:r>
      <w:r w:rsidR="00A15B1C">
        <w:t>propose to</w:t>
      </w:r>
      <w:r>
        <w:t xml:space="preserve"> identi</w:t>
      </w:r>
      <w:r w:rsidR="00D57A4A">
        <w:t>fy</w:t>
      </w:r>
      <w:r>
        <w:t xml:space="preserve"> or </w:t>
      </w:r>
      <w:r w:rsidR="00D57A4A">
        <w:t xml:space="preserve">analyse </w:t>
      </w:r>
      <w:r>
        <w:t>every program and service</w:t>
      </w:r>
      <w:r w:rsidR="00B27589">
        <w:t xml:space="preserve"> or fill all information gaps identified by the Royal Commission</w:t>
      </w:r>
      <w:r>
        <w:t>.</w:t>
      </w:r>
      <w:r w:rsidR="002C3C60">
        <w:t xml:space="preserve"> This would </w:t>
      </w:r>
      <w:r>
        <w:t xml:space="preserve">be a very significant exercise and would </w:t>
      </w:r>
      <w:r w:rsidR="00C16FBD">
        <w:t xml:space="preserve">mean that </w:t>
      </w:r>
      <w:r w:rsidR="00466565">
        <w:t>government and non</w:t>
      </w:r>
      <w:r w:rsidR="000A041F">
        <w:noBreakHyphen/>
      </w:r>
      <w:r w:rsidR="00466565">
        <w:t>government agencies</w:t>
      </w:r>
      <w:r w:rsidR="00C16FBD">
        <w:t xml:space="preserve"> would need to devote significant resources to responding to data requests.</w:t>
      </w:r>
    </w:p>
    <w:p w:rsidR="001B59E2" w:rsidRDefault="00383851" w:rsidP="00383851">
      <w:pPr>
        <w:pStyle w:val="BodyText"/>
      </w:pPr>
      <w:r>
        <w:t xml:space="preserve">We intend to be as comprehensive as possible in compiling a stocktake of </w:t>
      </w:r>
      <w:r w:rsidR="004725DF">
        <w:t>services and programs</w:t>
      </w:r>
      <w:r>
        <w:t xml:space="preserve"> subject to time constraints and the data available</w:t>
      </w:r>
      <w:r w:rsidR="00DE40FB">
        <w:t xml:space="preserve">. The stocktake will need to be </w:t>
      </w:r>
      <w:r>
        <w:t xml:space="preserve">sufficient to develop a clear picture of the extent and </w:t>
      </w:r>
      <w:r w:rsidR="00DE40FB">
        <w:t>effect</w:t>
      </w:r>
      <w:r>
        <w:t xml:space="preserve"> of duplication and coordination</w:t>
      </w:r>
      <w:r w:rsidR="00DE40FB">
        <w:t xml:space="preserve"> issues</w:t>
      </w:r>
      <w:r>
        <w:t xml:space="preserve">. Focusing the stocktake in this way </w:t>
      </w:r>
      <w:r w:rsidR="00DE40FB">
        <w:t>will</w:t>
      </w:r>
      <w:r>
        <w:t xml:space="preserve"> </w:t>
      </w:r>
      <w:r w:rsidR="003463F9">
        <w:t xml:space="preserve">help us </w:t>
      </w:r>
      <w:r w:rsidR="00C16FBD">
        <w:t xml:space="preserve">identify </w:t>
      </w:r>
      <w:r w:rsidR="000D24E4">
        <w:t>improvements in</w:t>
      </w:r>
      <w:r w:rsidR="00C16FBD">
        <w:t xml:space="preserve"> </w:t>
      </w:r>
      <w:r w:rsidR="00D57A4A">
        <w:t>the overarching funding, governance and policy frameworks that underpin all children and family services.</w:t>
      </w:r>
      <w:r w:rsidR="005F5823">
        <w:t xml:space="preserve"> </w:t>
      </w:r>
      <w:r w:rsidR="00534722">
        <w:t xml:space="preserve">This approach does not rule out that, going forward, a funding framework might require comprehensive reporting on the </w:t>
      </w:r>
      <w:r w:rsidR="000E42AE">
        <w:t>‘</w:t>
      </w:r>
      <w:r w:rsidR="00534722">
        <w:t>who, what and where</w:t>
      </w:r>
      <w:r w:rsidR="000E42AE">
        <w:t>’</w:t>
      </w:r>
      <w:r w:rsidR="00534722">
        <w:t xml:space="preserve"> of expenditure. </w:t>
      </w:r>
    </w:p>
    <w:p w:rsidR="00A70E4F" w:rsidRDefault="00534722" w:rsidP="00CA4F5F">
      <w:pPr>
        <w:pStyle w:val="BodyText"/>
      </w:pPr>
      <w:r>
        <w:t xml:space="preserve">For this study, there </w:t>
      </w:r>
      <w:r w:rsidR="00487734">
        <w:t xml:space="preserve">may </w:t>
      </w:r>
      <w:r>
        <w:t xml:space="preserve">also </w:t>
      </w:r>
      <w:r w:rsidR="00487734">
        <w:t xml:space="preserve">be merit in shining a light </w:t>
      </w:r>
      <w:r w:rsidR="001A4FB0">
        <w:t>on the</w:t>
      </w:r>
      <w:r w:rsidR="00797D09">
        <w:t xml:space="preserve"> funding and delivery of services</w:t>
      </w:r>
      <w:r w:rsidR="00487734">
        <w:t xml:space="preserve"> </w:t>
      </w:r>
      <w:r w:rsidR="00797D09">
        <w:t xml:space="preserve">to </w:t>
      </w:r>
      <w:r w:rsidR="00487734">
        <w:t xml:space="preserve">specific </w:t>
      </w:r>
      <w:r w:rsidR="00383851">
        <w:t xml:space="preserve">locations and </w:t>
      </w:r>
      <w:r w:rsidR="00487734">
        <w:t>communities</w:t>
      </w:r>
      <w:r w:rsidR="001A4FB0">
        <w:t>,</w:t>
      </w:r>
      <w:r w:rsidR="00487734">
        <w:t xml:space="preserve"> as case studies</w:t>
      </w:r>
      <w:r w:rsidR="00797D09">
        <w:t>. This would</w:t>
      </w:r>
      <w:r w:rsidR="00487734">
        <w:t xml:space="preserve"> provide a more detailed picture of some of the issues that arise from funding arrangements on the ground.</w:t>
      </w:r>
    </w:p>
    <w:p w:rsidR="00A92CDF" w:rsidRPr="006F300B" w:rsidRDefault="00A92CDF" w:rsidP="006F300B">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A92CDF" w:rsidTr="00F01988">
        <w:trPr>
          <w:tblHeader/>
        </w:trPr>
        <w:tc>
          <w:tcPr>
            <w:tcW w:w="5000" w:type="pct"/>
            <w:tcBorders>
              <w:top w:val="single" w:sz="6" w:space="0" w:color="78A22F"/>
              <w:left w:val="nil"/>
              <w:bottom w:val="nil"/>
              <w:right w:val="nil"/>
            </w:tcBorders>
            <w:shd w:val="clear" w:color="auto" w:fill="auto"/>
          </w:tcPr>
          <w:p w:rsidR="00A92CDF" w:rsidRPr="00CE4C64" w:rsidRDefault="006A2372" w:rsidP="00F01988">
            <w:pPr>
              <w:pStyle w:val="InformationRequestTitle"/>
              <w:spacing w:before="120"/>
            </w:pPr>
            <w:r>
              <w:t>QUESTION</w:t>
            </w:r>
            <w:r w:rsidR="00AF52D7">
              <w:t xml:space="preserve"> set 4</w:t>
            </w:r>
          </w:p>
        </w:tc>
      </w:tr>
      <w:tr w:rsidR="00A92CDF" w:rsidRPr="00750BE2" w:rsidTr="00F01988">
        <w:tc>
          <w:tcPr>
            <w:tcW w:w="5000" w:type="pct"/>
            <w:tcBorders>
              <w:top w:val="nil"/>
              <w:left w:val="nil"/>
              <w:bottom w:val="nil"/>
              <w:right w:val="nil"/>
            </w:tcBorders>
            <w:shd w:val="clear" w:color="auto" w:fill="auto"/>
          </w:tcPr>
          <w:p w:rsidR="007D3D46" w:rsidRDefault="00044F54" w:rsidP="00686940">
            <w:pPr>
              <w:pStyle w:val="InformationRequestBullet"/>
            </w:pPr>
            <w:r>
              <w:t>What</w:t>
            </w:r>
            <w:r w:rsidR="00527D3F">
              <w:t xml:space="preserve"> funding is</w:t>
            </w:r>
            <w:r w:rsidR="0077617F">
              <w:t xml:space="preserve"> available for the provision of </w:t>
            </w:r>
            <w:r w:rsidR="0056156B">
              <w:t>children and family</w:t>
            </w:r>
            <w:r w:rsidR="0077617F">
              <w:t xml:space="preserve"> services? Who allocates and receives those funds?</w:t>
            </w:r>
            <w:r w:rsidR="00E964B4">
              <w:t xml:space="preserve"> </w:t>
            </w:r>
          </w:p>
          <w:p w:rsidR="00383851" w:rsidRDefault="00B012B8" w:rsidP="00383851">
            <w:pPr>
              <w:pStyle w:val="InformationRequestBullet"/>
            </w:pPr>
            <w:r>
              <w:t>Where can we obtain up</w:t>
            </w:r>
            <w:r w:rsidR="000A041F">
              <w:noBreakHyphen/>
            </w:r>
            <w:r>
              <w:t>to</w:t>
            </w:r>
            <w:r w:rsidR="000A041F">
              <w:noBreakHyphen/>
            </w:r>
            <w:r>
              <w:t>date information on</w:t>
            </w:r>
            <w:r w:rsidR="003D2151">
              <w:t xml:space="preserve"> the</w:t>
            </w:r>
            <w:r>
              <w:t xml:space="preserve"> funding and delivery of these services?</w:t>
            </w:r>
          </w:p>
          <w:p w:rsidR="00827F77" w:rsidRDefault="007D3D46" w:rsidP="00827F77">
            <w:pPr>
              <w:pStyle w:val="InformationRequestBullet"/>
            </w:pPr>
            <w:r>
              <w:t>What</w:t>
            </w:r>
            <w:r w:rsidR="00383851">
              <w:t xml:space="preserve"> specific</w:t>
            </w:r>
            <w:r>
              <w:t xml:space="preserve"> services and programs are provided?</w:t>
            </w:r>
            <w:r w:rsidR="00B012B8">
              <w:t xml:space="preserve"> Have there been any significant changes in services since the release of the Royal Commission report</w:t>
            </w:r>
            <w:r w:rsidR="00044F54">
              <w:t xml:space="preserve"> in 2017</w:t>
            </w:r>
            <w:r w:rsidR="00B012B8">
              <w:t>?</w:t>
            </w:r>
          </w:p>
          <w:p w:rsidR="00827F77" w:rsidRPr="00827F77" w:rsidRDefault="00827F77" w:rsidP="00827F77">
            <w:pPr>
              <w:pStyle w:val="InformationRequestBullet"/>
            </w:pPr>
            <w:r>
              <w:t>What service mapping has been done in the Northern Territory?</w:t>
            </w:r>
          </w:p>
          <w:p w:rsidR="00527D3F" w:rsidRDefault="007D3D46" w:rsidP="00527D3F">
            <w:pPr>
              <w:pStyle w:val="InformationRequestBullet"/>
            </w:pPr>
            <w:r>
              <w:t xml:space="preserve">Who benefits from the expenditure (which </w:t>
            </w:r>
            <w:r w:rsidR="00527D3F">
              <w:t xml:space="preserve">communities, age groups, </w:t>
            </w:r>
            <w:proofErr w:type="spellStart"/>
            <w:r w:rsidR="00527D3F">
              <w:t>etc</w:t>
            </w:r>
            <w:proofErr w:type="spellEnd"/>
            <w:r w:rsidR="00527D3F">
              <w:t>)?</w:t>
            </w:r>
          </w:p>
          <w:p w:rsidR="005A658B" w:rsidRPr="005A658B" w:rsidRDefault="005A658B" w:rsidP="005A658B">
            <w:pPr>
              <w:pStyle w:val="InformationRequestBullet"/>
            </w:pPr>
            <w:r>
              <w:t>What portion of the available funding is absorbed by administration</w:t>
            </w:r>
            <w:r w:rsidR="003D2151">
              <w:t xml:space="preserve"> expenses?</w:t>
            </w:r>
          </w:p>
          <w:p w:rsidR="0064081C" w:rsidRPr="0064081C" w:rsidRDefault="00534722" w:rsidP="0064081C">
            <w:pPr>
              <w:pStyle w:val="InformationRequestBullet"/>
            </w:pPr>
            <w:r>
              <w:t xml:space="preserve">What </w:t>
            </w:r>
            <w:r w:rsidR="003D2151">
              <w:t xml:space="preserve">evidence </w:t>
            </w:r>
            <w:r>
              <w:t>is</w:t>
            </w:r>
            <w:r w:rsidR="003D2151">
              <w:t xml:space="preserve"> there on</w:t>
            </w:r>
            <w:r>
              <w:t xml:space="preserve"> the extent of duplicated funding that could be better allocated to areas of higher need?</w:t>
            </w:r>
          </w:p>
          <w:p w:rsidR="0064081C" w:rsidRDefault="0064081C" w:rsidP="00E9348A">
            <w:pPr>
              <w:pStyle w:val="InformationRequestBullet"/>
            </w:pPr>
            <w:r w:rsidRPr="0064081C">
              <w:t xml:space="preserve">What </w:t>
            </w:r>
            <w:r w:rsidR="00D23E66">
              <w:t xml:space="preserve">barriers </w:t>
            </w:r>
            <w:r w:rsidR="00E9348A">
              <w:t>prevent</w:t>
            </w:r>
            <w:r w:rsidR="00D23E66">
              <w:t xml:space="preserve"> </w:t>
            </w:r>
            <w:r w:rsidRPr="0064081C">
              <w:t xml:space="preserve">people </w:t>
            </w:r>
            <w:r w:rsidR="00D23E66">
              <w:t xml:space="preserve">from accessing or </w:t>
            </w:r>
            <w:r w:rsidRPr="0064081C">
              <w:t>using the services they require?</w:t>
            </w:r>
          </w:p>
          <w:p w:rsidR="00487734" w:rsidRPr="00487734" w:rsidRDefault="00487734" w:rsidP="004D5D27">
            <w:pPr>
              <w:pStyle w:val="InformationRequestBullet"/>
            </w:pPr>
            <w:r>
              <w:t xml:space="preserve">What value would there be in focusing on </w:t>
            </w:r>
            <w:r w:rsidR="00FE6F7A">
              <w:t xml:space="preserve">the funding and delivery of services in </w:t>
            </w:r>
            <w:r>
              <w:t>specific communities as case studies? If this approach is pursued, which communities would make for the best case studies and why?</w:t>
            </w:r>
          </w:p>
        </w:tc>
      </w:tr>
      <w:tr w:rsidR="00A92CDF" w:rsidTr="00F01988">
        <w:tc>
          <w:tcPr>
            <w:tcW w:w="5000" w:type="pct"/>
            <w:tcBorders>
              <w:top w:val="nil"/>
              <w:left w:val="nil"/>
              <w:bottom w:val="single" w:sz="6" w:space="0" w:color="78A22F"/>
              <w:right w:val="nil"/>
            </w:tcBorders>
            <w:shd w:val="clear" w:color="auto" w:fill="auto"/>
          </w:tcPr>
          <w:p w:rsidR="00A92CDF" w:rsidRDefault="00A92CDF" w:rsidP="00F01988">
            <w:pPr>
              <w:pStyle w:val="Space"/>
              <w:keepLines/>
            </w:pPr>
          </w:p>
        </w:tc>
      </w:tr>
      <w:tr w:rsidR="00A92CDF" w:rsidRPr="000863A5" w:rsidTr="00F01988">
        <w:tc>
          <w:tcPr>
            <w:tcW w:w="5000" w:type="pct"/>
            <w:tcBorders>
              <w:top w:val="single" w:sz="6" w:space="0" w:color="78A22F"/>
              <w:left w:val="nil"/>
              <w:bottom w:val="nil"/>
              <w:right w:val="nil"/>
            </w:tcBorders>
          </w:tcPr>
          <w:p w:rsidR="00A92CDF" w:rsidRPr="00626D32" w:rsidRDefault="00A92CDF" w:rsidP="00F01988">
            <w:pPr>
              <w:pStyle w:val="BoxSpaceBelow"/>
              <w:keepLines/>
            </w:pPr>
          </w:p>
        </w:tc>
      </w:tr>
    </w:tbl>
    <w:p w:rsidR="00B8449F" w:rsidRDefault="00D93D93" w:rsidP="00954EC4">
      <w:pPr>
        <w:pStyle w:val="Heading3"/>
      </w:pPr>
      <w:bookmarkStart w:id="18" w:name="_Toc8377489"/>
      <w:bookmarkStart w:id="19" w:name="_Toc8393505"/>
      <w:r>
        <w:lastRenderedPageBreak/>
        <w:t xml:space="preserve">How effective are </w:t>
      </w:r>
      <w:r w:rsidR="00365867">
        <w:t>decision</w:t>
      </w:r>
      <w:r w:rsidR="000A041F">
        <w:noBreakHyphen/>
      </w:r>
      <w:r w:rsidR="00365867">
        <w:t xml:space="preserve">making </w:t>
      </w:r>
      <w:r>
        <w:t xml:space="preserve">processes for </w:t>
      </w:r>
      <w:r w:rsidR="00365867">
        <w:t xml:space="preserve">funding </w:t>
      </w:r>
      <w:r w:rsidR="0056156B">
        <w:t>children and family</w:t>
      </w:r>
      <w:r w:rsidRPr="00B8449F">
        <w:t xml:space="preserve"> </w:t>
      </w:r>
      <w:r w:rsidR="00B8449F" w:rsidRPr="00B8449F">
        <w:t>services</w:t>
      </w:r>
      <w:r>
        <w:t>?</w:t>
      </w:r>
      <w:bookmarkEnd w:id="18"/>
      <w:bookmarkEnd w:id="19"/>
    </w:p>
    <w:p w:rsidR="00954EC4" w:rsidRDefault="0031355E" w:rsidP="00B8449F">
      <w:pPr>
        <w:pStyle w:val="BodyText"/>
      </w:pPr>
      <w:r>
        <w:t xml:space="preserve">Our second task </w:t>
      </w:r>
      <w:r w:rsidR="00B8449F">
        <w:t>is</w:t>
      </w:r>
      <w:r w:rsidR="00277651">
        <w:t xml:space="preserve"> to understand how </w:t>
      </w:r>
      <w:r w:rsidR="00487734">
        <w:t xml:space="preserve">funding </w:t>
      </w:r>
      <w:r w:rsidR="00277651">
        <w:t xml:space="preserve">decisions are made. </w:t>
      </w:r>
      <w:r w:rsidR="00BC3854">
        <w:t xml:space="preserve">This will require assessing </w:t>
      </w:r>
      <w:r w:rsidR="00954EC4">
        <w:t>government expenditure on services from several dist</w:t>
      </w:r>
      <w:r w:rsidR="006E65C0">
        <w:t>inct (but related) perspectives</w:t>
      </w:r>
      <w:r w:rsidR="004441D8">
        <w:t>, which cover issues across the entire policy</w:t>
      </w:r>
      <w:r w:rsidR="000A041F">
        <w:noBreakHyphen/>
      </w:r>
      <w:r w:rsidR="004441D8">
        <w:t xml:space="preserve">making cycle. </w:t>
      </w:r>
    </w:p>
    <w:p w:rsidR="00F84461" w:rsidRDefault="006D234B" w:rsidP="00F84461">
      <w:pPr>
        <w:pStyle w:val="Heading4"/>
      </w:pPr>
      <w:r>
        <w:t xml:space="preserve">Policy development, </w:t>
      </w:r>
      <w:r w:rsidR="00F84461">
        <w:t>consultation and coordination</w:t>
      </w:r>
    </w:p>
    <w:p w:rsidR="00B012B8" w:rsidRDefault="00F84461" w:rsidP="00F84461">
      <w:pPr>
        <w:pStyle w:val="BodyText"/>
      </w:pPr>
      <w:r>
        <w:t>Given all levels of g</w:t>
      </w:r>
      <w:r w:rsidR="005C0775">
        <w:t>overnment share responsibility</w:t>
      </w:r>
      <w:r>
        <w:t xml:space="preserve"> for </w:t>
      </w:r>
      <w:r w:rsidR="00527D3F">
        <w:t xml:space="preserve">protecting and preventing </w:t>
      </w:r>
      <w:r w:rsidR="00B012B8">
        <w:t xml:space="preserve">harm to </w:t>
      </w:r>
      <w:r w:rsidR="00527D3F">
        <w:t>children</w:t>
      </w:r>
      <w:r>
        <w:t xml:space="preserve">, </w:t>
      </w:r>
      <w:r w:rsidR="009E49B8">
        <w:t xml:space="preserve">it </w:t>
      </w:r>
      <w:r w:rsidR="005C6DC6">
        <w:t>is</w:t>
      </w:r>
      <w:r w:rsidR="009E49B8">
        <w:t xml:space="preserve"> necessary to</w:t>
      </w:r>
      <w:r>
        <w:t xml:space="preserve"> develop a clear understanding of</w:t>
      </w:r>
      <w:r w:rsidR="00B012B8">
        <w:t xml:space="preserve"> who is </w:t>
      </w:r>
      <w:r w:rsidR="000F37CC">
        <w:t xml:space="preserve">responsible </w:t>
      </w:r>
      <w:r w:rsidR="00B012B8">
        <w:t xml:space="preserve">for identifying and assessing what </w:t>
      </w:r>
      <w:r w:rsidR="0056156B">
        <w:t>children and family</w:t>
      </w:r>
      <w:r w:rsidR="00B012B8">
        <w:t xml:space="preserve"> services are prioritised and funded. </w:t>
      </w:r>
    </w:p>
    <w:p w:rsidR="00D31E69" w:rsidRDefault="00B012B8" w:rsidP="00F84461">
      <w:pPr>
        <w:pStyle w:val="BodyText"/>
      </w:pPr>
      <w:r>
        <w:t xml:space="preserve">This includes </w:t>
      </w:r>
      <w:r w:rsidR="005752B9">
        <w:t>getting an insight into</w:t>
      </w:r>
      <w:r w:rsidR="00A71976">
        <w:t>:</w:t>
      </w:r>
    </w:p>
    <w:p w:rsidR="007F6931" w:rsidRDefault="007F6931" w:rsidP="00E9348A">
      <w:pPr>
        <w:pStyle w:val="ListBullet"/>
      </w:pPr>
      <w:r>
        <w:t xml:space="preserve">what </w:t>
      </w:r>
      <w:r>
        <w:rPr>
          <w:i/>
        </w:rPr>
        <w:t>policy objectives</w:t>
      </w:r>
      <w:r>
        <w:t xml:space="preserve"> governments are targeting and how they develop policy to meet those objectives</w:t>
      </w:r>
    </w:p>
    <w:p w:rsidR="00D31E69" w:rsidRDefault="007F6931" w:rsidP="00D31E69">
      <w:pPr>
        <w:pStyle w:val="ListBullet"/>
      </w:pPr>
      <w:r>
        <w:t xml:space="preserve">how governments </w:t>
      </w:r>
      <w:r w:rsidR="009E49B8" w:rsidRPr="005C0775">
        <w:rPr>
          <w:i/>
        </w:rPr>
        <w:t xml:space="preserve">engage and </w:t>
      </w:r>
      <w:r w:rsidR="00B012B8" w:rsidRPr="005C0775">
        <w:rPr>
          <w:i/>
        </w:rPr>
        <w:t>consult</w:t>
      </w:r>
      <w:r w:rsidR="00B012B8">
        <w:t xml:space="preserve"> </w:t>
      </w:r>
      <w:r>
        <w:t>with</w:t>
      </w:r>
      <w:r w:rsidR="005752B9">
        <w:t xml:space="preserve"> local communities </w:t>
      </w:r>
      <w:r>
        <w:t>in th</w:t>
      </w:r>
      <w:r w:rsidR="00575E1A">
        <w:t xml:space="preserve">e policy development </w:t>
      </w:r>
      <w:r>
        <w:t xml:space="preserve">process </w:t>
      </w:r>
      <w:r w:rsidR="005752B9">
        <w:t xml:space="preserve">to </w:t>
      </w:r>
      <w:r w:rsidR="00DB2211">
        <w:t>identify</w:t>
      </w:r>
      <w:r w:rsidR="005752B9">
        <w:t xml:space="preserve"> local needs</w:t>
      </w:r>
      <w:r w:rsidR="002F0AD5">
        <w:t xml:space="preserve"> and </w:t>
      </w:r>
      <w:r w:rsidR="00241B80">
        <w:t xml:space="preserve">design </w:t>
      </w:r>
      <w:r w:rsidR="002F0AD5">
        <w:t>program</w:t>
      </w:r>
      <w:r w:rsidR="00241B80">
        <w:t xml:space="preserve">s and strategies that meet </w:t>
      </w:r>
      <w:r w:rsidR="004C375F">
        <w:t>those</w:t>
      </w:r>
      <w:r w:rsidR="00241B80">
        <w:t xml:space="preserve"> needs</w:t>
      </w:r>
    </w:p>
    <w:p w:rsidR="00D31E69" w:rsidRDefault="00B31458" w:rsidP="00F84461">
      <w:pPr>
        <w:pStyle w:val="ListBullet"/>
      </w:pPr>
      <w:r w:rsidRPr="00B31458">
        <w:t>the extent of</w:t>
      </w:r>
      <w:r>
        <w:rPr>
          <w:i/>
        </w:rPr>
        <w:t xml:space="preserve"> </w:t>
      </w:r>
      <w:r w:rsidR="005752B9" w:rsidRPr="00D31E69">
        <w:rPr>
          <w:i/>
        </w:rPr>
        <w:t>coordination</w:t>
      </w:r>
      <w:r w:rsidR="005752B9">
        <w:t xml:space="preserve"> across </w:t>
      </w:r>
      <w:r w:rsidR="00D10DD6">
        <w:t xml:space="preserve">the </w:t>
      </w:r>
      <w:r w:rsidR="000C67BB">
        <w:t xml:space="preserve">Northern Territory </w:t>
      </w:r>
      <w:r w:rsidR="00D10DD6">
        <w:t xml:space="preserve">and </w:t>
      </w:r>
      <w:r w:rsidR="00DA2B86">
        <w:t>Australian</w:t>
      </w:r>
      <w:r w:rsidR="000C67BB">
        <w:t xml:space="preserve"> G</w:t>
      </w:r>
      <w:r w:rsidR="00D10DD6">
        <w:t xml:space="preserve">overnments, across and within government departments, and with </w:t>
      </w:r>
      <w:r w:rsidR="00C15368">
        <w:t>service providers</w:t>
      </w:r>
      <w:r w:rsidR="00DA2B86">
        <w:t>,</w:t>
      </w:r>
      <w:r w:rsidR="005752B9">
        <w:t xml:space="preserve"> to ensure services are </w:t>
      </w:r>
      <w:r w:rsidR="002F0AD5">
        <w:t xml:space="preserve">efficiently </w:t>
      </w:r>
      <w:r w:rsidR="005752B9">
        <w:t xml:space="preserve">funded and </w:t>
      </w:r>
      <w:r w:rsidR="005C0775">
        <w:t xml:space="preserve">effectively </w:t>
      </w:r>
      <w:r w:rsidR="005752B9">
        <w:t xml:space="preserve">delivered </w:t>
      </w:r>
      <w:r w:rsidR="002F0AD5">
        <w:t>to achieve</w:t>
      </w:r>
      <w:r w:rsidR="004C375F">
        <w:t xml:space="preserve"> shared objectives</w:t>
      </w:r>
      <w:r w:rsidR="005C0775">
        <w:t>.</w:t>
      </w:r>
    </w:p>
    <w:p w:rsidR="00C15368" w:rsidRDefault="00C15368" w:rsidP="00E07C92">
      <w:pPr>
        <w:pStyle w:val="BodyText"/>
      </w:pPr>
      <w:r>
        <w:t xml:space="preserve">One of the key concerns arising from the Royal Commission was that funding </w:t>
      </w:r>
      <w:r w:rsidR="005C0775">
        <w:t>for</w:t>
      </w:r>
      <w:r>
        <w:t xml:space="preserve"> </w:t>
      </w:r>
      <w:r w:rsidR="0056156B">
        <w:t>children and family</w:t>
      </w:r>
      <w:r>
        <w:t xml:space="preserve"> services was ‘</w:t>
      </w:r>
      <w:r w:rsidRPr="00E732BF">
        <w:t>directed to programs without reference to the existence of other programs, the</w:t>
      </w:r>
      <w:r w:rsidR="002C7D6B">
        <w:t>ir target locations or outcomes</w:t>
      </w:r>
      <w:r>
        <w:t>’</w:t>
      </w:r>
      <w:r w:rsidR="002C7D6B">
        <w:t xml:space="preserve"> </w:t>
      </w:r>
      <w:r w:rsidR="00B97832" w:rsidRPr="00B97832">
        <w:rPr>
          <w:szCs w:val="24"/>
        </w:rPr>
        <w:t>(</w:t>
      </w:r>
      <w:proofErr w:type="spellStart"/>
      <w:r w:rsidR="00B97832" w:rsidRPr="00B97832">
        <w:rPr>
          <w:szCs w:val="24"/>
        </w:rPr>
        <w:t>RCPDCNT</w:t>
      </w:r>
      <w:proofErr w:type="spellEnd"/>
      <w:r w:rsidR="00B97832" w:rsidRPr="00B97832">
        <w:rPr>
          <w:szCs w:val="24"/>
        </w:rPr>
        <w:t> 2017, vol. 1, p.</w:t>
      </w:r>
      <w:r w:rsidR="0035532D">
        <w:rPr>
          <w:szCs w:val="24"/>
        </w:rPr>
        <w:t> </w:t>
      </w:r>
      <w:r w:rsidR="00B97832" w:rsidRPr="00B97832">
        <w:rPr>
          <w:szCs w:val="24"/>
        </w:rPr>
        <w:t>222)</w:t>
      </w:r>
      <w:r w:rsidR="002C7D6B">
        <w:t>.</w:t>
      </w:r>
    </w:p>
    <w:p w:rsidR="002F0AD5" w:rsidRDefault="002F0AD5" w:rsidP="00F62874">
      <w:pPr>
        <w:pStyle w:val="Heading4"/>
      </w:pPr>
      <w:r>
        <w:t xml:space="preserve">Effective </w:t>
      </w:r>
      <w:r w:rsidR="00E57DC6">
        <w:t>allocation</w:t>
      </w:r>
      <w:r>
        <w:t xml:space="preserve"> of funding</w:t>
      </w:r>
    </w:p>
    <w:p w:rsidR="00111412" w:rsidRDefault="00487734" w:rsidP="00487734">
      <w:pPr>
        <w:pStyle w:val="BodyText"/>
      </w:pPr>
      <w:r>
        <w:t xml:space="preserve">Children and family services need to be funded and delivered in a way that meets the needs of children and families, while also providing the broader community with </w:t>
      </w:r>
      <w:r w:rsidR="00964789">
        <w:t xml:space="preserve">value for money from the use of government funds. </w:t>
      </w:r>
    </w:p>
    <w:p w:rsidR="00D12BF4" w:rsidRPr="002637DA" w:rsidRDefault="00D12BF4" w:rsidP="00D12BF4">
      <w:pPr>
        <w:pStyle w:val="BodyText"/>
      </w:pPr>
      <w:r>
        <w:t xml:space="preserve">The Northern Territory faces </w:t>
      </w:r>
      <w:r w:rsidR="00E42042">
        <w:t xml:space="preserve">some </w:t>
      </w:r>
      <w:r>
        <w:t xml:space="preserve">unique </w:t>
      </w:r>
      <w:r w:rsidR="00E42042">
        <w:t xml:space="preserve">circumstances and </w:t>
      </w:r>
      <w:r>
        <w:t xml:space="preserve">challenges in </w:t>
      </w:r>
      <w:r w:rsidR="00A36DCE">
        <w:t>delivering services</w:t>
      </w:r>
      <w:r>
        <w:t xml:space="preserve">. </w:t>
      </w:r>
      <w:r w:rsidR="00A36DCE">
        <w:t>I</w:t>
      </w:r>
      <w:r>
        <w:t>t has a</w:t>
      </w:r>
      <w:r w:rsidRPr="00877E73">
        <w:t xml:space="preserve"> small and sparsely</w:t>
      </w:r>
      <w:r w:rsidR="00877E73">
        <w:t xml:space="preserve"> distributed population, </w:t>
      </w:r>
      <w:r w:rsidRPr="00877E73">
        <w:t>a significant proportion of</w:t>
      </w:r>
      <w:r w:rsidR="00173CB4">
        <w:t xml:space="preserve"> which reside</w:t>
      </w:r>
      <w:r w:rsidR="000F37CC">
        <w:t>s</w:t>
      </w:r>
      <w:r w:rsidR="00877E73">
        <w:t xml:space="preserve"> in remote areas</w:t>
      </w:r>
      <w:r w:rsidR="00534722">
        <w:t>, which raises the cost of providing services</w:t>
      </w:r>
      <w:r w:rsidR="00877E73">
        <w:t xml:space="preserve"> (box</w:t>
      </w:r>
      <w:r w:rsidR="000A041F">
        <w:t> </w:t>
      </w:r>
      <w:r w:rsidR="002D285D">
        <w:t>1</w:t>
      </w:r>
      <w:r w:rsidR="00877E73">
        <w:t>)</w:t>
      </w:r>
      <w:r w:rsidR="005C6DC6">
        <w:t>.</w:t>
      </w:r>
      <w:r w:rsidRPr="00877E73">
        <w:t xml:space="preserve"> </w:t>
      </w:r>
      <w:r w:rsidR="000F37CC">
        <w:rPr>
          <w:szCs w:val="24"/>
        </w:rPr>
        <w:t>Policy makers</w:t>
      </w:r>
      <w:r w:rsidR="00450A78" w:rsidRPr="00450A78">
        <w:t xml:space="preserve"> therefore </w:t>
      </w:r>
      <w:r w:rsidR="00450A78">
        <w:t xml:space="preserve">need to carefully consider </w:t>
      </w:r>
      <w:r w:rsidR="002637DA">
        <w:t xml:space="preserve">whether </w:t>
      </w:r>
      <w:r w:rsidR="000F37CC">
        <w:t xml:space="preserve">the way they allocate funding </w:t>
      </w:r>
      <w:r w:rsidR="002637DA">
        <w:t>supports an effective</w:t>
      </w:r>
      <w:r w:rsidR="00450A78">
        <w:t xml:space="preserve"> approach to service delivery</w:t>
      </w:r>
      <w:r w:rsidR="002637DA">
        <w:t xml:space="preserve"> (</w:t>
      </w:r>
      <w:r w:rsidR="00E42042">
        <w:t xml:space="preserve">including whether it is </w:t>
      </w:r>
      <w:r w:rsidR="002637DA">
        <w:t>place</w:t>
      </w:r>
      <w:r w:rsidR="000A041F">
        <w:noBreakHyphen/>
      </w:r>
      <w:r w:rsidR="002637DA">
        <w:t>based</w:t>
      </w:r>
      <w:r w:rsidR="00E42042">
        <w:t xml:space="preserve"> and culturally </w:t>
      </w:r>
      <w:r w:rsidR="00DA2FF3">
        <w:t>capable</w:t>
      </w:r>
      <w:r w:rsidR="002637DA">
        <w:t>)</w:t>
      </w:r>
      <w:r w:rsidR="00450A78">
        <w:t xml:space="preserve">, </w:t>
      </w:r>
      <w:r w:rsidR="00E42042">
        <w:t>and how</w:t>
      </w:r>
      <w:r w:rsidR="00450A78">
        <w:t xml:space="preserve"> </w:t>
      </w:r>
      <w:r w:rsidR="00F0081D">
        <w:t xml:space="preserve">to </w:t>
      </w:r>
      <w:r w:rsidR="002637DA">
        <w:t xml:space="preserve">best </w:t>
      </w:r>
      <w:r w:rsidR="00450A78" w:rsidRPr="00944282">
        <w:t>engag</w:t>
      </w:r>
      <w:r w:rsidR="00450A78">
        <w:t>e</w:t>
      </w:r>
      <w:r w:rsidR="00534722">
        <w:t xml:space="preserve"> </w:t>
      </w:r>
      <w:r w:rsidR="00450A78">
        <w:t xml:space="preserve">the most appropriate </w:t>
      </w:r>
      <w:r w:rsidR="00450A78" w:rsidRPr="00944282">
        <w:t>service provider</w:t>
      </w:r>
      <w:r w:rsidR="00450A78">
        <w:t xml:space="preserve">s to meet local needs. </w:t>
      </w:r>
    </w:p>
    <w:p w:rsidR="00877E73" w:rsidRDefault="00877E73" w:rsidP="00877E73">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4A0" w:firstRow="1" w:lastRow="0" w:firstColumn="1" w:lastColumn="0" w:noHBand="0" w:noVBand="1"/>
        <w:tblDescription w:val="Table used for design layout."/>
      </w:tblPr>
      <w:tblGrid>
        <w:gridCol w:w="8789"/>
      </w:tblGrid>
      <w:tr w:rsidR="00877E73" w:rsidTr="00317BBA">
        <w:trPr>
          <w:tblHeader/>
        </w:trPr>
        <w:tc>
          <w:tcPr>
            <w:tcW w:w="5000" w:type="pct"/>
            <w:tcBorders>
              <w:top w:val="single" w:sz="6" w:space="0" w:color="78A22F"/>
              <w:left w:val="nil"/>
              <w:bottom w:val="nil"/>
              <w:right w:val="nil"/>
            </w:tcBorders>
            <w:shd w:val="clear" w:color="auto" w:fill="F2F2F2"/>
          </w:tcPr>
          <w:p w:rsidR="00877E73" w:rsidRDefault="00877E73" w:rsidP="00450A78">
            <w:pPr>
              <w:pStyle w:val="BoxTitle"/>
            </w:pPr>
            <w:r>
              <w:rPr>
                <w:b w:val="0"/>
              </w:rPr>
              <w:t xml:space="preserve">Box </w:t>
            </w:r>
            <w:bookmarkStart w:id="20" w:name="OLE_LINK5"/>
            <w:r w:rsidR="00592B46">
              <w:rPr>
                <w:b w:val="0"/>
                <w:noProof/>
              </w:rPr>
              <w:t>1</w:t>
            </w:r>
            <w:bookmarkEnd w:id="20"/>
            <w:r>
              <w:tab/>
              <w:t>Serv</w:t>
            </w:r>
            <w:r w:rsidR="00450A78">
              <w:t>ice provision in remote regions</w:t>
            </w:r>
          </w:p>
        </w:tc>
      </w:tr>
      <w:tr w:rsidR="00877E73" w:rsidTr="00317BBA">
        <w:tc>
          <w:tcPr>
            <w:tcW w:w="5000" w:type="pct"/>
            <w:tcBorders>
              <w:top w:val="nil"/>
              <w:left w:val="nil"/>
              <w:bottom w:val="nil"/>
              <w:right w:val="nil"/>
            </w:tcBorders>
            <w:shd w:val="clear" w:color="auto" w:fill="F2F2F2"/>
          </w:tcPr>
          <w:p w:rsidR="00877E73" w:rsidRDefault="00E121DC" w:rsidP="00C66B8C">
            <w:pPr>
              <w:pStyle w:val="Box"/>
            </w:pPr>
            <w:r>
              <w:t>Delivering services in remote communities can be challenging due to:</w:t>
            </w:r>
          </w:p>
          <w:p w:rsidR="00877E73" w:rsidRDefault="00877E73" w:rsidP="00013871">
            <w:pPr>
              <w:pStyle w:val="BoxListBullet"/>
              <w:tabs>
                <w:tab w:val="left" w:pos="284"/>
              </w:tabs>
            </w:pPr>
            <w:r>
              <w:t xml:space="preserve">the </w:t>
            </w:r>
            <w:r w:rsidR="00E121DC">
              <w:t xml:space="preserve">high cost of </w:t>
            </w:r>
            <w:r w:rsidR="000F37CC">
              <w:t xml:space="preserve">service </w:t>
            </w:r>
            <w:r w:rsidR="00E121DC">
              <w:t>delivery</w:t>
            </w:r>
          </w:p>
          <w:p w:rsidR="00877E73" w:rsidRDefault="00E121DC" w:rsidP="00013871">
            <w:pPr>
              <w:pStyle w:val="BoxListBullet"/>
              <w:tabs>
                <w:tab w:val="left" w:pos="284"/>
              </w:tabs>
            </w:pPr>
            <w:r>
              <w:t>difficulties</w:t>
            </w:r>
            <w:r w:rsidR="00877E73">
              <w:t xml:space="preserve"> in attracting, training</w:t>
            </w:r>
            <w:r w:rsidR="000F37CC">
              <w:t xml:space="preserve">, </w:t>
            </w:r>
            <w:r w:rsidR="00877E73">
              <w:t xml:space="preserve">retaining </w:t>
            </w:r>
            <w:r w:rsidR="000F37CC">
              <w:t>and housing</w:t>
            </w:r>
            <w:r w:rsidR="00877E73">
              <w:t xml:space="preserve"> workers</w:t>
            </w:r>
          </w:p>
          <w:p w:rsidR="00877E73" w:rsidRDefault="00877E73" w:rsidP="00013871">
            <w:pPr>
              <w:pStyle w:val="BoxListBullet"/>
              <w:tabs>
                <w:tab w:val="left" w:pos="284"/>
              </w:tabs>
            </w:pPr>
            <w:r>
              <w:t>cultural barriers impacting coordination between communities and service providers</w:t>
            </w:r>
          </w:p>
          <w:p w:rsidR="00877E73" w:rsidRDefault="00877E73" w:rsidP="00013871">
            <w:pPr>
              <w:pStyle w:val="BoxListBullet"/>
              <w:tabs>
                <w:tab w:val="left" w:pos="284"/>
              </w:tabs>
            </w:pPr>
            <w:r>
              <w:t xml:space="preserve">the lack of sustainable funding models to </w:t>
            </w:r>
            <w:r w:rsidR="005C0775">
              <w:t xml:space="preserve">support </w:t>
            </w:r>
            <w:r>
              <w:t>effective service delivery</w:t>
            </w:r>
          </w:p>
          <w:p w:rsidR="00877E73" w:rsidRPr="006F300B" w:rsidRDefault="00877E73" w:rsidP="00013871">
            <w:pPr>
              <w:pStyle w:val="BoxListBullet"/>
              <w:tabs>
                <w:tab w:val="left" w:pos="284"/>
              </w:tabs>
              <w:rPr>
                <w:spacing w:val="-2"/>
              </w:rPr>
            </w:pPr>
            <w:r w:rsidRPr="006F300B">
              <w:rPr>
                <w:spacing w:val="-2"/>
              </w:rPr>
              <w:t>small target populations, making only a limited number of services and service providers viable.</w:t>
            </w:r>
          </w:p>
          <w:p w:rsidR="00DA2FF3" w:rsidRDefault="00534722" w:rsidP="00C77EC2">
            <w:pPr>
              <w:pStyle w:val="Box"/>
            </w:pPr>
            <w:r>
              <w:t>Exacerbating the</w:t>
            </w:r>
            <w:r w:rsidR="00F0081D">
              <w:t>se</w:t>
            </w:r>
            <w:r>
              <w:t xml:space="preserve"> challenges, the Northern Territory </w:t>
            </w:r>
            <w:r w:rsidRPr="00877E73">
              <w:t xml:space="preserve">is isolated from major supply centres in the </w:t>
            </w:r>
            <w:r w:rsidRPr="000F37CC">
              <w:rPr>
                <w:szCs w:val="24"/>
              </w:rPr>
              <w:t>eastern states, and lacks economies of scale in service delivery and central administration</w:t>
            </w:r>
            <w:r w:rsidRPr="00E9348A">
              <w:rPr>
                <w:rFonts w:cs="Futura PT Book"/>
                <w:i/>
                <w:color w:val="000000"/>
                <w:szCs w:val="24"/>
              </w:rPr>
              <w:t>.</w:t>
            </w:r>
            <w:r w:rsidR="00DA2FF3">
              <w:rPr>
                <w:rFonts w:cs="Futura PT Book"/>
                <w:color w:val="000000"/>
                <w:szCs w:val="24"/>
              </w:rPr>
              <w:t xml:space="preserve"> </w:t>
            </w:r>
            <w:r w:rsidR="00AB5A21">
              <w:rPr>
                <w:rFonts w:cs="Futura PT Book"/>
                <w:color w:val="000000"/>
                <w:szCs w:val="24"/>
              </w:rPr>
              <w:t>S</w:t>
            </w:r>
            <w:r w:rsidR="00C77EC2">
              <w:rPr>
                <w:rFonts w:cs="Futura PT Book"/>
                <w:color w:val="000000"/>
                <w:szCs w:val="24"/>
              </w:rPr>
              <w:t xml:space="preserve">ervice provision also needs to meet the needs of the </w:t>
            </w:r>
            <w:r w:rsidR="006D65DE">
              <w:rPr>
                <w:rFonts w:cs="Futura PT Book"/>
                <w:color w:val="000000"/>
                <w:szCs w:val="24"/>
              </w:rPr>
              <w:t>N</w:t>
            </w:r>
            <w:r w:rsidR="00486049">
              <w:rPr>
                <w:rFonts w:cs="Futura PT Book"/>
                <w:color w:val="000000"/>
                <w:szCs w:val="24"/>
              </w:rPr>
              <w:t xml:space="preserve">orthern </w:t>
            </w:r>
            <w:r w:rsidR="006D65DE">
              <w:rPr>
                <w:rFonts w:cs="Futura PT Book"/>
                <w:color w:val="000000"/>
                <w:szCs w:val="24"/>
              </w:rPr>
              <w:t>T</w:t>
            </w:r>
            <w:r w:rsidR="00486049">
              <w:rPr>
                <w:rFonts w:cs="Futura PT Book"/>
                <w:color w:val="000000"/>
                <w:szCs w:val="24"/>
              </w:rPr>
              <w:t>erritory</w:t>
            </w:r>
            <w:r w:rsidR="006D65DE">
              <w:rPr>
                <w:rFonts w:cs="Futura PT Book"/>
                <w:color w:val="000000"/>
                <w:szCs w:val="24"/>
              </w:rPr>
              <w:t xml:space="preserve">’s </w:t>
            </w:r>
            <w:r w:rsidR="00DA2FF3">
              <w:rPr>
                <w:rFonts w:cs="Futura PT Book"/>
                <w:color w:val="000000"/>
                <w:szCs w:val="24"/>
              </w:rPr>
              <w:t xml:space="preserve">relatively large Indigenous population </w:t>
            </w:r>
            <w:r w:rsidR="00C77EC2">
              <w:rPr>
                <w:rFonts w:cs="Futura PT Book"/>
                <w:color w:val="000000"/>
                <w:szCs w:val="24"/>
              </w:rPr>
              <w:t xml:space="preserve">and do so in a culturally </w:t>
            </w:r>
            <w:r w:rsidR="001F2C4D">
              <w:rPr>
                <w:rFonts w:cs="Futura PT Book"/>
                <w:color w:val="000000"/>
                <w:szCs w:val="24"/>
              </w:rPr>
              <w:t>capable</w:t>
            </w:r>
            <w:r w:rsidR="00C77EC2">
              <w:rPr>
                <w:rFonts w:cs="Futura PT Book"/>
                <w:color w:val="000000"/>
                <w:szCs w:val="24"/>
              </w:rPr>
              <w:t xml:space="preserve"> way.</w:t>
            </w:r>
          </w:p>
          <w:p w:rsidR="00C66B8C" w:rsidRDefault="00877E73" w:rsidP="005C0775">
            <w:pPr>
              <w:pStyle w:val="Box"/>
            </w:pPr>
            <w:r>
              <w:t xml:space="preserve">In addressing these </w:t>
            </w:r>
            <w:r w:rsidR="00592DCE">
              <w:t>challenges</w:t>
            </w:r>
            <w:r>
              <w:t xml:space="preserve">, common solutions </w:t>
            </w:r>
            <w:r w:rsidR="00E121DC">
              <w:t xml:space="preserve">have </w:t>
            </w:r>
            <w:r>
              <w:t>included: service providers employing a</w:t>
            </w:r>
            <w:r w:rsidR="00E121DC">
              <w:t>nd training more I</w:t>
            </w:r>
            <w:r>
              <w:t xml:space="preserve">ndigenous staff; developing </w:t>
            </w:r>
            <w:r w:rsidR="00E121DC">
              <w:t>the cultural competency of non</w:t>
            </w:r>
            <w:r w:rsidR="000A041F">
              <w:noBreakHyphen/>
            </w:r>
            <w:r w:rsidR="00E121DC">
              <w:t>I</w:t>
            </w:r>
            <w:r>
              <w:t>ndigenous staff; improving the capacity for community</w:t>
            </w:r>
            <w:r w:rsidR="005C0775">
              <w:noBreakHyphen/>
            </w:r>
            <w:r>
              <w:t xml:space="preserve">based operations to </w:t>
            </w:r>
            <w:r w:rsidR="005C0775">
              <w:t>deliver services</w:t>
            </w:r>
            <w:r>
              <w:t>; and assigning long</w:t>
            </w:r>
            <w:r w:rsidR="000A041F">
              <w:noBreakHyphen/>
            </w:r>
            <w:r>
              <w:t xml:space="preserve">term sustainable funding </w:t>
            </w:r>
            <w:r w:rsidR="005A584B">
              <w:t>to ensure service viability</w:t>
            </w:r>
            <w:r w:rsidR="00317BBA">
              <w:t>.</w:t>
            </w:r>
          </w:p>
        </w:tc>
      </w:tr>
      <w:tr w:rsidR="00317BBA" w:rsidTr="00317BBA">
        <w:tblPrEx>
          <w:tblLook w:val="0000" w:firstRow="0" w:lastRow="0" w:firstColumn="0" w:lastColumn="0" w:noHBand="0" w:noVBand="0"/>
        </w:tblPrEx>
        <w:tc>
          <w:tcPr>
            <w:tcW w:w="5000" w:type="pct"/>
            <w:tcBorders>
              <w:top w:val="nil"/>
              <w:left w:val="nil"/>
              <w:bottom w:val="nil"/>
              <w:right w:val="nil"/>
            </w:tcBorders>
            <w:shd w:val="clear" w:color="auto" w:fill="F2F2F2"/>
          </w:tcPr>
          <w:p w:rsidR="00317BBA" w:rsidRDefault="00317BBA" w:rsidP="00317BBA">
            <w:pPr>
              <w:pStyle w:val="BoxSource"/>
            </w:pPr>
            <w:r>
              <w:rPr>
                <w:i/>
              </w:rPr>
              <w:t>Sources</w:t>
            </w:r>
            <w:r w:rsidRPr="00167F06">
              <w:t>:</w:t>
            </w:r>
            <w:r>
              <w:t xml:space="preserve"> Northern Territory Government </w:t>
            </w:r>
            <w:r w:rsidR="00B97832" w:rsidRPr="00B97832">
              <w:rPr>
                <w:rFonts w:cs="Arial"/>
              </w:rPr>
              <w:t>(</w:t>
            </w:r>
            <w:proofErr w:type="spellStart"/>
            <w:r w:rsidR="00B97832" w:rsidRPr="00B97832">
              <w:rPr>
                <w:rFonts w:cs="Arial"/>
              </w:rPr>
              <w:t>2018a</w:t>
            </w:r>
            <w:proofErr w:type="spellEnd"/>
            <w:r w:rsidR="00B97832" w:rsidRPr="00B97832">
              <w:rPr>
                <w:rFonts w:cs="Arial"/>
              </w:rPr>
              <w:t>)</w:t>
            </w:r>
            <w:r>
              <w:t xml:space="preserve">; PC </w:t>
            </w:r>
            <w:r w:rsidR="00B97832" w:rsidRPr="00B97832">
              <w:rPr>
                <w:rFonts w:cs="Arial"/>
              </w:rPr>
              <w:t>(</w:t>
            </w:r>
            <w:proofErr w:type="spellStart"/>
            <w:r w:rsidR="00B97832" w:rsidRPr="00B97832">
              <w:rPr>
                <w:rFonts w:cs="Arial"/>
              </w:rPr>
              <w:t>2011a</w:t>
            </w:r>
            <w:proofErr w:type="spellEnd"/>
            <w:r w:rsidR="00B97832" w:rsidRPr="00B97832">
              <w:rPr>
                <w:rFonts w:cs="Arial"/>
              </w:rPr>
              <w:t xml:space="preserve">, </w:t>
            </w:r>
            <w:proofErr w:type="spellStart"/>
            <w:r w:rsidR="00B97832" w:rsidRPr="00B97832">
              <w:rPr>
                <w:rFonts w:cs="Arial"/>
              </w:rPr>
              <w:t>2011b</w:t>
            </w:r>
            <w:proofErr w:type="spellEnd"/>
            <w:r w:rsidR="00B97832" w:rsidRPr="00B97832">
              <w:rPr>
                <w:rFonts w:cs="Arial"/>
              </w:rPr>
              <w:t xml:space="preserve">, 2014, </w:t>
            </w:r>
            <w:proofErr w:type="spellStart"/>
            <w:r w:rsidR="00B97832" w:rsidRPr="00B97832">
              <w:rPr>
                <w:rFonts w:cs="Arial"/>
              </w:rPr>
              <w:t>2017b</w:t>
            </w:r>
            <w:proofErr w:type="spellEnd"/>
            <w:r w:rsidR="00B97832" w:rsidRPr="00B97832">
              <w:rPr>
                <w:rFonts w:cs="Arial"/>
              </w:rPr>
              <w:t xml:space="preserve">, </w:t>
            </w:r>
            <w:proofErr w:type="spellStart"/>
            <w:r w:rsidR="00B97832" w:rsidRPr="00B97832">
              <w:rPr>
                <w:rFonts w:cs="Arial"/>
              </w:rPr>
              <w:t>2017a</w:t>
            </w:r>
            <w:proofErr w:type="spellEnd"/>
            <w:r w:rsidR="00B97832" w:rsidRPr="00B97832">
              <w:rPr>
                <w:rFonts w:cs="Arial"/>
              </w:rPr>
              <w:t>)</w:t>
            </w:r>
            <w:r>
              <w:t>.</w:t>
            </w:r>
          </w:p>
        </w:tc>
      </w:tr>
      <w:tr w:rsidR="00877E73" w:rsidTr="00317BBA">
        <w:tc>
          <w:tcPr>
            <w:tcW w:w="5000" w:type="pct"/>
            <w:tcBorders>
              <w:top w:val="nil"/>
              <w:left w:val="nil"/>
              <w:bottom w:val="single" w:sz="6" w:space="0" w:color="78A22F"/>
              <w:right w:val="nil"/>
            </w:tcBorders>
            <w:shd w:val="clear" w:color="auto" w:fill="F2F2F2"/>
          </w:tcPr>
          <w:p w:rsidR="00877E73" w:rsidRDefault="00877E73" w:rsidP="00013871">
            <w:pPr>
              <w:pStyle w:val="Box"/>
              <w:spacing w:before="0" w:line="120" w:lineRule="exact"/>
            </w:pPr>
          </w:p>
        </w:tc>
      </w:tr>
      <w:tr w:rsidR="00877E73" w:rsidTr="00317BBA">
        <w:tc>
          <w:tcPr>
            <w:tcW w:w="5000" w:type="pct"/>
            <w:tcBorders>
              <w:top w:val="single" w:sz="6" w:space="0" w:color="78A22F"/>
              <w:left w:val="nil"/>
              <w:bottom w:val="nil"/>
              <w:right w:val="nil"/>
            </w:tcBorders>
          </w:tcPr>
          <w:p w:rsidR="00877E73" w:rsidRDefault="00877E73" w:rsidP="00013871">
            <w:pPr>
              <w:pStyle w:val="BoxSpaceBelow"/>
            </w:pPr>
          </w:p>
        </w:tc>
      </w:tr>
    </w:tbl>
    <w:p w:rsidR="00534722" w:rsidRDefault="007762C3" w:rsidP="00E56AAE">
      <w:pPr>
        <w:pStyle w:val="BodyText"/>
      </w:pPr>
      <w:r>
        <w:t>The choice of f</w:t>
      </w:r>
      <w:r w:rsidR="00173CB4">
        <w:t>unding mechanism</w:t>
      </w:r>
      <w:r w:rsidR="00E56AAE">
        <w:t xml:space="preserve"> </w:t>
      </w:r>
      <w:r>
        <w:t xml:space="preserve">may also determine how </w:t>
      </w:r>
      <w:r w:rsidR="00292A0D">
        <w:t xml:space="preserve">effectively services are delivered to meet community needs and </w:t>
      </w:r>
      <w:r w:rsidR="00173CB4">
        <w:t xml:space="preserve">to </w:t>
      </w:r>
      <w:r w:rsidR="00337D4A">
        <w:t xml:space="preserve">achieve </w:t>
      </w:r>
      <w:r w:rsidR="00292A0D">
        <w:t xml:space="preserve">policy </w:t>
      </w:r>
      <w:r w:rsidR="009706A5">
        <w:t>objectives</w:t>
      </w:r>
      <w:r>
        <w:t xml:space="preserve">. </w:t>
      </w:r>
      <w:r w:rsidR="008C555E">
        <w:t>C</w:t>
      </w:r>
      <w:r w:rsidR="00E56AAE" w:rsidRPr="001925E3">
        <w:t xml:space="preserve">ommon </w:t>
      </w:r>
      <w:r w:rsidR="00E56AAE">
        <w:t>modes</w:t>
      </w:r>
      <w:r w:rsidR="00E56AAE" w:rsidRPr="001925E3">
        <w:t xml:space="preserve"> of funding </w:t>
      </w:r>
      <w:r w:rsidR="0056156B">
        <w:t>children and family</w:t>
      </w:r>
      <w:r w:rsidR="00E56AAE" w:rsidRPr="001925E3">
        <w:t xml:space="preserve"> services </w:t>
      </w:r>
      <w:r w:rsidR="00E56AAE">
        <w:t>in the N</w:t>
      </w:r>
      <w:r>
        <w:t>orthern Territory</w:t>
      </w:r>
      <w:r w:rsidR="00E56AAE">
        <w:t xml:space="preserve"> are competitive tenders and grants</w:t>
      </w:r>
      <w:r w:rsidR="001A23A6">
        <w:t xml:space="preserve">, which rely on </w:t>
      </w:r>
      <w:r w:rsidR="00F610FD">
        <w:t xml:space="preserve">applications </w:t>
      </w:r>
      <w:r w:rsidR="00046619">
        <w:t>from</w:t>
      </w:r>
      <w:r w:rsidR="00F610FD">
        <w:t xml:space="preserve"> </w:t>
      </w:r>
      <w:r w:rsidR="00046619">
        <w:t>service providers</w:t>
      </w:r>
      <w:r w:rsidR="00E56AAE" w:rsidRPr="001925E3">
        <w:t>.</w:t>
      </w:r>
      <w:r w:rsidR="00534722">
        <w:t xml:space="preserve"> This model has been widely critiqued by previous studies and inquiries</w:t>
      </w:r>
      <w:r w:rsidR="00F657D3">
        <w:t>. S</w:t>
      </w:r>
      <w:r w:rsidR="00534722">
        <w:t>e</w:t>
      </w:r>
      <w:r w:rsidR="00A70E4F">
        <w:t xml:space="preserve">veral issues </w:t>
      </w:r>
      <w:r w:rsidR="00F657D3">
        <w:t xml:space="preserve">are </w:t>
      </w:r>
      <w:r w:rsidR="00A70E4F">
        <w:t>often raised</w:t>
      </w:r>
      <w:r w:rsidR="00F657D3">
        <w:t>.</w:t>
      </w:r>
    </w:p>
    <w:p w:rsidR="00840118" w:rsidRDefault="00F657D3" w:rsidP="00F0081D">
      <w:pPr>
        <w:pStyle w:val="BodyText"/>
        <w:numPr>
          <w:ilvl w:val="0"/>
          <w:numId w:val="3"/>
        </w:numPr>
      </w:pPr>
      <w:r>
        <w:t>The</w:t>
      </w:r>
      <w:r w:rsidR="00840118">
        <w:t xml:space="preserve"> tendency for governments to enter short</w:t>
      </w:r>
      <w:r w:rsidR="000A041F">
        <w:noBreakHyphen/>
      </w:r>
      <w:r w:rsidR="00840118">
        <w:t xml:space="preserve">term contracts, or to frequently change grant programs, can hamper the ability of service providers to provide stable services to the community and to retain and develop competent staff </w:t>
      </w:r>
      <w:r w:rsidR="00840118" w:rsidRPr="00840118">
        <w:rPr>
          <w:szCs w:val="24"/>
        </w:rPr>
        <w:t>(PC </w:t>
      </w:r>
      <w:proofErr w:type="spellStart"/>
      <w:r w:rsidR="00840118" w:rsidRPr="00840118">
        <w:rPr>
          <w:szCs w:val="24"/>
        </w:rPr>
        <w:t>2017b</w:t>
      </w:r>
      <w:proofErr w:type="spellEnd"/>
      <w:r w:rsidR="00840118" w:rsidRPr="00840118">
        <w:rPr>
          <w:szCs w:val="24"/>
        </w:rPr>
        <w:t>)</w:t>
      </w:r>
      <w:r>
        <w:t>.</w:t>
      </w:r>
    </w:p>
    <w:p w:rsidR="00840118" w:rsidRDefault="00F657D3" w:rsidP="00840118">
      <w:pPr>
        <w:pStyle w:val="ListBullet"/>
      </w:pPr>
      <w:r>
        <w:t>S</w:t>
      </w:r>
      <w:r w:rsidR="009A5EFC">
        <w:t>maller and</w:t>
      </w:r>
      <w:r w:rsidR="00E56AAE">
        <w:t xml:space="preserve"> Indigenous service providers often lack the resources to write competitive applications</w:t>
      </w:r>
      <w:r w:rsidR="00534722">
        <w:t>, meaning t</w:t>
      </w:r>
      <w:r w:rsidR="009A5EFC">
        <w:t xml:space="preserve">he process </w:t>
      </w:r>
      <w:r w:rsidR="00534722">
        <w:t xml:space="preserve">can tend to </w:t>
      </w:r>
      <w:r w:rsidR="009A5EFC">
        <w:t>benefit larger,</w:t>
      </w:r>
      <w:r w:rsidR="00C15619">
        <w:t xml:space="preserve"> non</w:t>
      </w:r>
      <w:r w:rsidR="00C15619">
        <w:noBreakHyphen/>
        <w:t>local or</w:t>
      </w:r>
      <w:r w:rsidR="009A5EFC">
        <w:t xml:space="preserve"> non</w:t>
      </w:r>
      <w:r w:rsidR="000A041F">
        <w:noBreakHyphen/>
      </w:r>
      <w:r w:rsidR="00173CB4">
        <w:t xml:space="preserve">Indigenous </w:t>
      </w:r>
      <w:r w:rsidR="00A70E4F">
        <w:t>providers</w:t>
      </w:r>
      <w:r>
        <w:t>.</w:t>
      </w:r>
    </w:p>
    <w:p w:rsidR="00D462CB" w:rsidRDefault="00F657D3" w:rsidP="00840118">
      <w:pPr>
        <w:pStyle w:val="ListBullet"/>
      </w:pPr>
      <w:r>
        <w:t>W</w:t>
      </w:r>
      <w:r w:rsidR="00534722">
        <w:t xml:space="preserve">hen applications are assessed, there can be tendency to overlook the capacity of </w:t>
      </w:r>
      <w:r w:rsidR="009877AE">
        <w:t>Indigenous</w:t>
      </w:r>
      <w:r w:rsidR="00376036">
        <w:t xml:space="preserve"> community</w:t>
      </w:r>
      <w:r w:rsidR="000A041F">
        <w:noBreakHyphen/>
      </w:r>
      <w:r w:rsidR="00376036">
        <w:t xml:space="preserve">controlled </w:t>
      </w:r>
      <w:r w:rsidR="00534722">
        <w:t xml:space="preserve">organisations to develop trust with the local community </w:t>
      </w:r>
      <w:r w:rsidR="00840118">
        <w:t>(and thus improve uptake of services)</w:t>
      </w:r>
      <w:r w:rsidR="00534722">
        <w:t xml:space="preserve"> </w:t>
      </w:r>
      <w:r w:rsidR="00B97832" w:rsidRPr="00B97832">
        <w:rPr>
          <w:szCs w:val="24"/>
        </w:rPr>
        <w:t>(</w:t>
      </w:r>
      <w:proofErr w:type="spellStart"/>
      <w:r w:rsidR="00B97832" w:rsidRPr="00B97832">
        <w:rPr>
          <w:szCs w:val="24"/>
        </w:rPr>
        <w:t>RCPDCNT</w:t>
      </w:r>
      <w:proofErr w:type="spellEnd"/>
      <w:r w:rsidR="00B97832" w:rsidRPr="00B97832">
        <w:rPr>
          <w:szCs w:val="24"/>
        </w:rPr>
        <w:t> 2017)</w:t>
      </w:r>
      <w:r w:rsidR="00376036">
        <w:t>.</w:t>
      </w:r>
      <w:r w:rsidR="00840118">
        <w:t xml:space="preserve"> It can also lead to a lack of focus on building the long</w:t>
      </w:r>
      <w:r w:rsidR="00840118">
        <w:noBreakHyphen/>
        <w:t>term leadership and employmen</w:t>
      </w:r>
      <w:r w:rsidR="00A70E4F">
        <w:t>t capacity of local communities</w:t>
      </w:r>
      <w:r>
        <w:t>.</w:t>
      </w:r>
    </w:p>
    <w:p w:rsidR="000E35F2" w:rsidRDefault="00F657D3" w:rsidP="00840118">
      <w:pPr>
        <w:pStyle w:val="ListBullet"/>
      </w:pPr>
      <w:r>
        <w:t>C</w:t>
      </w:r>
      <w:r w:rsidR="000E35F2">
        <w:t xml:space="preserve">ompetitive funding processes can also discourage innovative new </w:t>
      </w:r>
      <w:r>
        <w:t xml:space="preserve">service </w:t>
      </w:r>
      <w:r w:rsidR="000E35F2">
        <w:t>deliver</w:t>
      </w:r>
      <w:r w:rsidR="007A051D">
        <w:t>y</w:t>
      </w:r>
      <w:r w:rsidR="000E35F2">
        <w:t xml:space="preserve"> models, collaboration between </w:t>
      </w:r>
      <w:r w:rsidR="00562BC1">
        <w:t>service provider</w:t>
      </w:r>
      <w:r w:rsidR="000E35F2">
        <w:t>s, and the sharing of information.</w:t>
      </w:r>
    </w:p>
    <w:p w:rsidR="00FA39C2" w:rsidRDefault="00FA39C2" w:rsidP="00E9348A">
      <w:pPr>
        <w:pStyle w:val="BodyText"/>
      </w:pPr>
      <w:r>
        <w:t>Some of the issues that arise may in part stem from the rules that governments have set for how tenders and grants are to be administered (for example, the Commonwealth Government Grant Rules and Guidelines), or from how these rules are applied in contexts such as remote communities.</w:t>
      </w:r>
    </w:p>
    <w:p w:rsidR="00F62874" w:rsidRDefault="00F62874" w:rsidP="00F62874">
      <w:pPr>
        <w:pStyle w:val="Heading4"/>
      </w:pPr>
      <w:r>
        <w:lastRenderedPageBreak/>
        <w:t xml:space="preserve">Evaluation of </w:t>
      </w:r>
      <w:r w:rsidR="00B43220">
        <w:t>outcomes</w:t>
      </w:r>
      <w:r w:rsidR="00337D4A">
        <w:t xml:space="preserve"> from government</w:t>
      </w:r>
      <w:r w:rsidR="00F657D3">
        <w:noBreakHyphen/>
      </w:r>
      <w:r w:rsidR="00337D4A">
        <w:t>funded services</w:t>
      </w:r>
    </w:p>
    <w:p w:rsidR="00510C9F" w:rsidRDefault="00173CB4" w:rsidP="00510C9F">
      <w:pPr>
        <w:pStyle w:val="BodyText"/>
      </w:pPr>
      <w:r>
        <w:t xml:space="preserve">Insufficient </w:t>
      </w:r>
      <w:r w:rsidR="002637DA">
        <w:t>m</w:t>
      </w:r>
      <w:r w:rsidR="00BC3854">
        <w:t>onitoring</w:t>
      </w:r>
      <w:r w:rsidR="00B43220">
        <w:t xml:space="preserve"> and </w:t>
      </w:r>
      <w:r w:rsidR="00BC3854">
        <w:t xml:space="preserve">evaluation </w:t>
      </w:r>
      <w:r w:rsidR="00B43220">
        <w:t xml:space="preserve">of the outcomes </w:t>
      </w:r>
      <w:r w:rsidR="00F657D3">
        <w:t>of government</w:t>
      </w:r>
      <w:r w:rsidR="00F657D3">
        <w:noBreakHyphen/>
      </w:r>
      <w:r>
        <w:t xml:space="preserve">funded </w:t>
      </w:r>
      <w:r w:rsidR="00B43220">
        <w:t>services ha</w:t>
      </w:r>
      <w:r w:rsidR="00A43AC5">
        <w:t>s</w:t>
      </w:r>
      <w:r w:rsidR="002637DA" w:rsidDel="00B43220">
        <w:t xml:space="preserve"> </w:t>
      </w:r>
      <w:r w:rsidR="002637DA">
        <w:t xml:space="preserve">been highlighted as a key failure in </w:t>
      </w:r>
      <w:r w:rsidR="00B43220">
        <w:t>improving long</w:t>
      </w:r>
      <w:r w:rsidR="000A041F">
        <w:noBreakHyphen/>
      </w:r>
      <w:r w:rsidR="00B43220">
        <w:t>term outcomes for children, families and communities.</w:t>
      </w:r>
      <w:r w:rsidR="002637DA">
        <w:t xml:space="preserve"> </w:t>
      </w:r>
      <w:r w:rsidR="00337D4A">
        <w:t>For example, t</w:t>
      </w:r>
      <w:r w:rsidR="00510C9F">
        <w:t xml:space="preserve">he </w:t>
      </w:r>
      <w:r w:rsidR="000800AE">
        <w:t>Australian Government</w:t>
      </w:r>
      <w:r w:rsidR="00510C9F">
        <w:t xml:space="preserve"> Department of Finance </w:t>
      </w:r>
      <w:r w:rsidR="006835A4">
        <w:t xml:space="preserve">has previously </w:t>
      </w:r>
      <w:r w:rsidR="00510C9F">
        <w:t xml:space="preserve">identified </w:t>
      </w:r>
      <w:r w:rsidR="00B43220">
        <w:t>significant</w:t>
      </w:r>
      <w:r w:rsidR="00510C9F">
        <w:t xml:space="preserve"> gaps</w:t>
      </w:r>
      <w:r w:rsidR="00B43220">
        <w:t>:</w:t>
      </w:r>
      <w:r w:rsidR="00510C9F">
        <w:t xml:space="preserve"> </w:t>
      </w:r>
    </w:p>
    <w:p w:rsidR="00510C9F" w:rsidRDefault="00B43220" w:rsidP="00510C9F">
      <w:pPr>
        <w:pStyle w:val="Quote"/>
      </w:pPr>
      <w:r>
        <w:t xml:space="preserve">… </w:t>
      </w:r>
      <w:r w:rsidR="00510C9F">
        <w:t xml:space="preserve">between </w:t>
      </w:r>
      <w:r>
        <w:t>[Indigenous]</w:t>
      </w:r>
      <w:r w:rsidR="00510C9F">
        <w:t xml:space="preserve"> policy intent and policy execution, with numerous examples of well</w:t>
      </w:r>
      <w:r w:rsidR="000A041F">
        <w:noBreakHyphen/>
      </w:r>
      <w:r w:rsidR="00510C9F">
        <w:t>intentioned policies and programs which have failed to produce their intended results because of serious flaws in implementation and delivery</w:t>
      </w:r>
      <w:r>
        <w:t>.</w:t>
      </w:r>
      <w:r w:rsidR="006B352D">
        <w:t xml:space="preserve"> </w:t>
      </w:r>
      <w:r w:rsidR="00B97832" w:rsidRPr="00B97832">
        <w:rPr>
          <w:szCs w:val="24"/>
        </w:rPr>
        <w:t>(Department of Finance and Deregulation 2010, p. 11)</w:t>
      </w:r>
    </w:p>
    <w:p w:rsidR="000F367F" w:rsidRDefault="00FA39C2" w:rsidP="00510C9F">
      <w:pPr>
        <w:pStyle w:val="BodyText"/>
      </w:pPr>
      <w:r>
        <w:t xml:space="preserve">Further, even where evaluation does take place, there may be a tendency to focus narrowly on specific inputs (such as staff numbers) or outputs (such as number of families visited) that are easy to measure, </w:t>
      </w:r>
      <w:r w:rsidR="00E9348A">
        <w:t xml:space="preserve">rather </w:t>
      </w:r>
      <w:r>
        <w:t xml:space="preserve">than on the outcomes that matter most </w:t>
      </w:r>
      <w:r w:rsidR="00E36C8D">
        <w:t>to families and communities</w:t>
      </w:r>
      <w:r>
        <w:t xml:space="preserve"> (such as impacts on child wellbeing in the long term). This brings with it the risk of channelling funding to programs that look good in terms of inputs and outputs but do not have enduring effects on the outcomes of interest (or could even work counter to those outcomes).</w:t>
      </w:r>
      <w:r w:rsidR="00353B41">
        <w:t xml:space="preserve"> Programs can also interact with one another, </w:t>
      </w:r>
      <w:r w:rsidR="008829B2">
        <w:t xml:space="preserve">meaning an evaluation of a single program in isolation may not </w:t>
      </w:r>
      <w:r w:rsidR="000F367F">
        <w:t>be sufficient on its own to make an informed decision about whether to continue a program or roll it out in a new location.</w:t>
      </w:r>
    </w:p>
    <w:p w:rsidR="000C17A9" w:rsidRPr="006F300B" w:rsidRDefault="006835A4" w:rsidP="000C2A92">
      <w:pPr>
        <w:pStyle w:val="BodyText"/>
        <w:spacing w:after="120"/>
      </w:pPr>
      <w:r>
        <w:t>R</w:t>
      </w:r>
      <w:r w:rsidR="006B352D">
        <w:t xml:space="preserve">igorous evaluation practices generate information about what works, and </w:t>
      </w:r>
      <w:r w:rsidR="00337D4A">
        <w:t>help to ensure</w:t>
      </w:r>
      <w:r w:rsidR="006B352D">
        <w:t xml:space="preserve"> agencies </w:t>
      </w:r>
      <w:r w:rsidR="00173CB4">
        <w:t xml:space="preserve">learn from and </w:t>
      </w:r>
      <w:r w:rsidR="00CF7DD7">
        <w:t xml:space="preserve">are </w:t>
      </w:r>
      <w:r w:rsidR="006B352D">
        <w:t xml:space="preserve">accountable </w:t>
      </w:r>
      <w:r w:rsidR="00173CB4">
        <w:t>for the design and delivery of services</w:t>
      </w:r>
      <w:r w:rsidR="006B352D">
        <w:t xml:space="preserve">. </w:t>
      </w:r>
      <w:r w:rsidR="00337D4A">
        <w:t>But t</w:t>
      </w:r>
      <w:r>
        <w:t xml:space="preserve">his depends on setting measurable </w:t>
      </w:r>
      <w:r w:rsidR="009706A5">
        <w:t>objectives</w:t>
      </w:r>
      <w:r>
        <w:t>,</w:t>
      </w:r>
      <w:r w:rsidR="00EE00BC">
        <w:t xml:space="preserve"> putting </w:t>
      </w:r>
      <w:r w:rsidR="00893247">
        <w:t xml:space="preserve">in </w:t>
      </w:r>
      <w:r w:rsidR="00EE00BC">
        <w:t xml:space="preserve">place </w:t>
      </w:r>
      <w:r w:rsidR="00893247">
        <w:t>evaluation</w:t>
      </w:r>
      <w:r w:rsidR="00EE00BC">
        <w:t xml:space="preserve"> strategies before programs are rolled out, </w:t>
      </w:r>
      <w:r>
        <w:t xml:space="preserve">and </w:t>
      </w:r>
      <w:r w:rsidR="00337D4A">
        <w:t xml:space="preserve">establishing </w:t>
      </w:r>
      <w:r>
        <w:t xml:space="preserve">requirements for service providers to </w:t>
      </w:r>
      <w:r w:rsidR="00EE00BC">
        <w:t xml:space="preserve">report on their </w:t>
      </w:r>
      <w:r>
        <w:t xml:space="preserve">performance against </w:t>
      </w:r>
      <w:r w:rsidR="00337D4A">
        <w:t>clearly defined</w:t>
      </w:r>
      <w:r>
        <w:t xml:space="preserve"> </w:t>
      </w:r>
      <w:r w:rsidR="009706A5">
        <w:t xml:space="preserve">indicators </w:t>
      </w:r>
      <w:r w:rsidR="00A43AC5">
        <w:t>(without overburdening them with ‘red tape’)</w:t>
      </w:r>
      <w:r>
        <w:t xml:space="preserve">. </w:t>
      </w:r>
      <w:r w:rsidR="00EE00BC">
        <w:t xml:space="preserve">Evaluating programs </w:t>
      </w:r>
      <w:r w:rsidR="00FA39C2">
        <w:t xml:space="preserve">in a meaningful way can be </w:t>
      </w:r>
      <w:r w:rsidR="00EE00BC">
        <w:t xml:space="preserve">difficult and costly </w:t>
      </w:r>
      <w:r w:rsidR="00FA39C2">
        <w:t>where the outcomes that matter are difficult to measure, or are affected by a wide range of factors and/or programs.</w:t>
      </w:r>
      <w:r w:rsidR="00E660E0">
        <w:t xml:space="preserve"> </w:t>
      </w:r>
      <w:r w:rsidR="00EE00BC">
        <w:t>The method of evaluation may need to vary depending on the size and nature of the program, and the local context in which it is being provided.</w:t>
      </w:r>
      <w:r w:rsidR="00FA39C2">
        <w:t xml:space="preserve"> </w:t>
      </w:r>
      <w:r w:rsidR="00A43AC5">
        <w:t>Making evaluations public</w:t>
      </w:r>
      <w:r w:rsidR="00510C9F">
        <w:t xml:space="preserve"> further </w:t>
      </w:r>
      <w:r w:rsidR="00FC2C8E">
        <w:t>enhances</w:t>
      </w:r>
      <w:r w:rsidR="006B352D">
        <w:t xml:space="preserve"> </w:t>
      </w:r>
      <w:r>
        <w:t xml:space="preserve">accountability in </w:t>
      </w:r>
      <w:r w:rsidR="006B352D">
        <w:t>decision</w:t>
      </w:r>
      <w:r w:rsidR="008829B2">
        <w:t xml:space="preserve"> </w:t>
      </w:r>
      <w:r w:rsidR="006B352D">
        <w:t>making</w:t>
      </w:r>
      <w:r w:rsidR="00FC2C8E">
        <w:t xml:space="preserve"> and helps to disseminate knowledge about what works</w:t>
      </w:r>
      <w:r w:rsidR="00340DEE">
        <w:t xml:space="preserve"> and why</w:t>
      </w:r>
      <w:r>
        <w:t>.</w:t>
      </w:r>
      <w:r w:rsidR="000C17A9">
        <w:br w:type="page"/>
      </w:r>
    </w:p>
    <w:p w:rsidR="00954EC4" w:rsidRPr="0035532D" w:rsidRDefault="00954EC4" w:rsidP="006F300B">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954EC4" w:rsidRPr="0035532D" w:rsidTr="00B56803">
        <w:trPr>
          <w:tblHeader/>
        </w:trPr>
        <w:tc>
          <w:tcPr>
            <w:tcW w:w="5000" w:type="pct"/>
            <w:tcBorders>
              <w:top w:val="single" w:sz="6" w:space="0" w:color="78A22F"/>
              <w:left w:val="nil"/>
              <w:bottom w:val="nil"/>
              <w:right w:val="nil"/>
            </w:tcBorders>
            <w:shd w:val="clear" w:color="auto" w:fill="auto"/>
          </w:tcPr>
          <w:p w:rsidR="00954EC4" w:rsidRPr="0035532D" w:rsidRDefault="00954EC4" w:rsidP="00B56803">
            <w:pPr>
              <w:pStyle w:val="InformationRequestTitle"/>
              <w:spacing w:before="120"/>
            </w:pPr>
            <w:r w:rsidRPr="0035532D">
              <w:t>QUESTION</w:t>
            </w:r>
            <w:r w:rsidR="00AF52D7" w:rsidRPr="0035532D">
              <w:t xml:space="preserve"> set 5</w:t>
            </w:r>
          </w:p>
        </w:tc>
      </w:tr>
      <w:tr w:rsidR="00954EC4" w:rsidRPr="00750BE2" w:rsidTr="00B56803">
        <w:tc>
          <w:tcPr>
            <w:tcW w:w="5000" w:type="pct"/>
            <w:tcBorders>
              <w:top w:val="nil"/>
              <w:left w:val="nil"/>
              <w:bottom w:val="nil"/>
              <w:right w:val="nil"/>
            </w:tcBorders>
            <w:shd w:val="clear" w:color="auto" w:fill="auto"/>
          </w:tcPr>
          <w:p w:rsidR="00DB5A06" w:rsidRDefault="00C66296" w:rsidP="008769F5">
            <w:pPr>
              <w:pStyle w:val="InformationRequestBullet"/>
            </w:pPr>
            <w:r w:rsidRPr="00DE182D">
              <w:t xml:space="preserve">How </w:t>
            </w:r>
            <w:r w:rsidR="00A850A9">
              <w:t xml:space="preserve">do </w:t>
            </w:r>
            <w:r w:rsidR="00C430A8">
              <w:t xml:space="preserve">governments identify </w:t>
            </w:r>
            <w:r w:rsidR="008911B2">
              <w:t xml:space="preserve">needs and </w:t>
            </w:r>
            <w:r w:rsidR="004E4273">
              <w:t xml:space="preserve">priorities </w:t>
            </w:r>
            <w:r w:rsidR="00C430A8">
              <w:t xml:space="preserve">for what </w:t>
            </w:r>
            <w:r w:rsidR="0056156B">
              <w:t>children and family</w:t>
            </w:r>
            <w:r w:rsidRPr="00DE182D">
              <w:t xml:space="preserve"> services</w:t>
            </w:r>
            <w:r w:rsidR="0081551D">
              <w:t xml:space="preserve"> are funded</w:t>
            </w:r>
            <w:r w:rsidR="00A850A9">
              <w:t>?</w:t>
            </w:r>
            <w:r w:rsidR="00272CBA">
              <w:t xml:space="preserve"> </w:t>
            </w:r>
            <w:r w:rsidR="00A850A9">
              <w:t>W</w:t>
            </w:r>
            <w:r w:rsidR="00272CBA">
              <w:t>hat outcomes are being sought</w:t>
            </w:r>
            <w:r w:rsidRPr="00DE182D">
              <w:t>?</w:t>
            </w:r>
          </w:p>
          <w:p w:rsidR="003E129B" w:rsidRPr="003E129B" w:rsidRDefault="00DB5A06" w:rsidP="008769F5">
            <w:pPr>
              <w:pStyle w:val="InformationRequestBullet"/>
            </w:pPr>
            <w:r w:rsidRPr="00DB5A06">
              <w:t>Do governments engage genuinely and effectively with communities in designing policies and programs?</w:t>
            </w:r>
          </w:p>
          <w:p w:rsidR="003E129B" w:rsidRDefault="003E129B" w:rsidP="008769F5">
            <w:pPr>
              <w:pStyle w:val="InformationRequestBullet"/>
            </w:pPr>
            <w:r w:rsidRPr="0081551D">
              <w:t>Ho</w:t>
            </w:r>
            <w:r>
              <w:t xml:space="preserve">w well is funding coordinated between (and within) governments and </w:t>
            </w:r>
            <w:r w:rsidR="008769F5">
              <w:t xml:space="preserve">other </w:t>
            </w:r>
            <w:r w:rsidR="00562BC1">
              <w:t>service provider</w:t>
            </w:r>
            <w:r w:rsidR="008769F5">
              <w:t>s</w:t>
            </w:r>
            <w:r>
              <w:t>?</w:t>
            </w:r>
          </w:p>
          <w:p w:rsidR="00F23645" w:rsidRDefault="008769F5" w:rsidP="00F23645">
            <w:pPr>
              <w:pStyle w:val="InformationRequestBullet"/>
            </w:pPr>
            <w:r>
              <w:t xml:space="preserve">What incentives </w:t>
            </w:r>
            <w:r w:rsidR="003006CA">
              <w:t>d</w:t>
            </w:r>
            <w:r>
              <w:t>o grant programs create for service providers? Do they distort how services are provided</w:t>
            </w:r>
            <w:r w:rsidR="00DB5A06">
              <w:t>, make it more difficult for smaller and more local providers to secure funding, or</w:t>
            </w:r>
            <w:r>
              <w:t xml:space="preserve"> discourage some providers from applying </w:t>
            </w:r>
            <w:r w:rsidR="00DB5A06">
              <w:t>at all</w:t>
            </w:r>
            <w:r>
              <w:t>?</w:t>
            </w:r>
          </w:p>
          <w:p w:rsidR="004E4273" w:rsidRPr="008769F5" w:rsidRDefault="004E4273" w:rsidP="004E4273">
            <w:pPr>
              <w:pStyle w:val="InformationRequestBullet"/>
            </w:pPr>
            <w:r>
              <w:t>Are there sufficient incentives for service providers to build the long</w:t>
            </w:r>
            <w:r>
              <w:noBreakHyphen/>
              <w:t>term capacity of communities?</w:t>
            </w:r>
          </w:p>
          <w:p w:rsidR="00F23645" w:rsidRPr="00F23645" w:rsidRDefault="00F23645" w:rsidP="00F23645">
            <w:pPr>
              <w:pStyle w:val="InformationRequestBullet"/>
            </w:pPr>
            <w:r>
              <w:t>How do funding arrangements affect children and families</w:t>
            </w:r>
            <w:r w:rsidR="00F657D3">
              <w:t xml:space="preserve"> (</w:t>
            </w:r>
            <w:r>
              <w:t xml:space="preserve">for example, </w:t>
            </w:r>
            <w:r w:rsidR="004E4273">
              <w:t xml:space="preserve">their </w:t>
            </w:r>
            <w:r>
              <w:t>access to services</w:t>
            </w:r>
            <w:r w:rsidR="00F657D3">
              <w:t>)</w:t>
            </w:r>
            <w:r>
              <w:t>?</w:t>
            </w:r>
          </w:p>
          <w:p w:rsidR="008769F5" w:rsidRDefault="003E129B" w:rsidP="00D858F7">
            <w:pPr>
              <w:pStyle w:val="InformationRequestBullet"/>
            </w:pPr>
            <w:r>
              <w:t xml:space="preserve">Are </w:t>
            </w:r>
            <w:r w:rsidR="0081551D">
              <w:t>decision</w:t>
            </w:r>
            <w:r w:rsidR="00F657D3">
              <w:noBreakHyphen/>
            </w:r>
            <w:r w:rsidR="0081551D">
              <w:t xml:space="preserve">making </w:t>
            </w:r>
            <w:r w:rsidR="008769F5">
              <w:t xml:space="preserve">processes </w:t>
            </w:r>
            <w:r w:rsidR="006D0D7D">
              <w:t>rigorous</w:t>
            </w:r>
            <w:r>
              <w:t>, objective</w:t>
            </w:r>
            <w:r w:rsidR="0081551D" w:rsidRPr="00C66296">
              <w:t xml:space="preserve"> and transparent?</w:t>
            </w:r>
            <w:r w:rsidR="004E4273">
              <w:t xml:space="preserve"> How could they be improved?</w:t>
            </w:r>
          </w:p>
          <w:p w:rsidR="008769F5" w:rsidRDefault="008769F5" w:rsidP="00F23645">
            <w:pPr>
              <w:pStyle w:val="InformationRequestBullet"/>
            </w:pPr>
            <w:r>
              <w:t>Are monitoring, reporting and evaluation requirements fit for purpose? Are the right outcomes being measured and used to inform future policy and funding decisions?</w:t>
            </w:r>
          </w:p>
          <w:p w:rsidR="008769F5" w:rsidRPr="008769F5" w:rsidRDefault="00875562" w:rsidP="008B763E">
            <w:pPr>
              <w:pStyle w:val="InformationRequestBullet"/>
            </w:pPr>
            <w:r>
              <w:t>How can</w:t>
            </w:r>
            <w:r w:rsidR="008769F5">
              <w:t xml:space="preserve"> evaluation be </w:t>
            </w:r>
            <w:r w:rsidR="003006CA">
              <w:t>effectively</w:t>
            </w:r>
            <w:r w:rsidR="004E4273">
              <w:t xml:space="preserve"> designed and</w:t>
            </w:r>
            <w:r w:rsidR="003006CA">
              <w:t xml:space="preserve"> </w:t>
            </w:r>
            <w:r w:rsidR="008769F5">
              <w:t xml:space="preserve">incorporated into </w:t>
            </w:r>
            <w:r w:rsidR="004E4273">
              <w:t>the public</w:t>
            </w:r>
            <w:r w:rsidR="00F657D3">
              <w:t xml:space="preserve"> </w:t>
            </w:r>
            <w:r w:rsidR="004E4273">
              <w:t xml:space="preserve">health and </w:t>
            </w:r>
            <w:r w:rsidR="008769F5">
              <w:t>place</w:t>
            </w:r>
            <w:r w:rsidR="008769F5">
              <w:noBreakHyphen/>
              <w:t>based approaches?</w:t>
            </w:r>
          </w:p>
          <w:p w:rsidR="008769F5" w:rsidRDefault="004C6425" w:rsidP="002A4DA2">
            <w:pPr>
              <w:pStyle w:val="InformationRequestBullet"/>
            </w:pPr>
            <w:r>
              <w:t>How should governments</w:t>
            </w:r>
            <w:r w:rsidR="00477986">
              <w:t xml:space="preserve"> and service providers</w:t>
            </w:r>
            <w:r>
              <w:t xml:space="preserve"> be</w:t>
            </w:r>
            <w:r w:rsidR="008769F5" w:rsidRPr="008769F5">
              <w:t xml:space="preserve"> held to account for their funding decisions</w:t>
            </w:r>
            <w:r>
              <w:t xml:space="preserve"> and outcomes</w:t>
            </w:r>
            <w:r w:rsidR="008769F5" w:rsidRPr="008769F5">
              <w:t>?</w:t>
            </w:r>
          </w:p>
          <w:p w:rsidR="00111412" w:rsidRPr="00111412" w:rsidRDefault="008769F5" w:rsidP="002A4DA2">
            <w:pPr>
              <w:pStyle w:val="InformationRequestBullet"/>
            </w:pPr>
            <w:r>
              <w:t xml:space="preserve">What changes </w:t>
            </w:r>
            <w:r w:rsidR="004C6425">
              <w:t xml:space="preserve">to funding arrangements </w:t>
            </w:r>
            <w:r>
              <w:t>have occurred since the Royal Commission?</w:t>
            </w:r>
          </w:p>
        </w:tc>
      </w:tr>
      <w:tr w:rsidR="00954EC4" w:rsidTr="00B56803">
        <w:tc>
          <w:tcPr>
            <w:tcW w:w="5000" w:type="pct"/>
            <w:tcBorders>
              <w:top w:val="nil"/>
              <w:left w:val="nil"/>
              <w:bottom w:val="single" w:sz="6" w:space="0" w:color="78A22F"/>
              <w:right w:val="nil"/>
            </w:tcBorders>
            <w:shd w:val="clear" w:color="auto" w:fill="auto"/>
          </w:tcPr>
          <w:p w:rsidR="00954EC4" w:rsidRDefault="00954EC4" w:rsidP="00B56803">
            <w:pPr>
              <w:pStyle w:val="Space"/>
              <w:keepLines/>
            </w:pPr>
          </w:p>
        </w:tc>
      </w:tr>
      <w:tr w:rsidR="00954EC4" w:rsidRPr="000863A5" w:rsidTr="00B56803">
        <w:tc>
          <w:tcPr>
            <w:tcW w:w="5000" w:type="pct"/>
            <w:tcBorders>
              <w:top w:val="single" w:sz="6" w:space="0" w:color="78A22F"/>
              <w:left w:val="nil"/>
              <w:bottom w:val="nil"/>
              <w:right w:val="nil"/>
            </w:tcBorders>
          </w:tcPr>
          <w:p w:rsidR="00954EC4" w:rsidRPr="00626D32" w:rsidRDefault="00954EC4" w:rsidP="00B56803">
            <w:pPr>
              <w:pStyle w:val="BoxSpaceBelow"/>
              <w:keepLines/>
            </w:pPr>
          </w:p>
        </w:tc>
      </w:tr>
    </w:tbl>
    <w:p w:rsidR="00D804CD" w:rsidRDefault="00D804CD" w:rsidP="00D804CD">
      <w:pPr>
        <w:pStyle w:val="BodyText"/>
        <w:rPr>
          <w:rFonts w:ascii="Arial" w:hAnsi="Arial"/>
          <w:sz w:val="26"/>
        </w:rPr>
      </w:pPr>
      <w:bookmarkStart w:id="21" w:name="_Toc8377490"/>
      <w:bookmarkStart w:id="22" w:name="_Toc8393506"/>
      <w:r>
        <w:br w:type="page"/>
      </w:r>
    </w:p>
    <w:p w:rsidR="004B503C" w:rsidRDefault="002F0AD5" w:rsidP="002F0AD5">
      <w:pPr>
        <w:pStyle w:val="Heading3"/>
      </w:pPr>
      <w:r>
        <w:lastRenderedPageBreak/>
        <w:t>O</w:t>
      </w:r>
      <w:r w:rsidRPr="002F0AD5">
        <w:t>ptions to improve funding</w:t>
      </w:r>
      <w:r w:rsidR="00187004">
        <w:t xml:space="preserve"> arrangements</w:t>
      </w:r>
      <w:bookmarkEnd w:id="21"/>
      <w:bookmarkEnd w:id="22"/>
      <w:r w:rsidR="00187004">
        <w:t xml:space="preserve"> </w:t>
      </w:r>
    </w:p>
    <w:p w:rsidR="00D858F7" w:rsidRDefault="002F0AD5" w:rsidP="00D858F7">
      <w:pPr>
        <w:pStyle w:val="BodyText"/>
      </w:pPr>
      <w:r>
        <w:t xml:space="preserve">The final step in our study </w:t>
      </w:r>
      <w:r w:rsidR="00B8449F">
        <w:t>is to identify how funding arrangements can be improved</w:t>
      </w:r>
      <w:r w:rsidR="00785125">
        <w:t xml:space="preserve"> to better align with the</w:t>
      </w:r>
      <w:r w:rsidR="00B8449F">
        <w:t xml:space="preserve"> reforms recommended by the Royal Commission</w:t>
      </w:r>
      <w:r w:rsidR="009C21C6">
        <w:t>, in particular, place</w:t>
      </w:r>
      <w:r w:rsidR="000A041F">
        <w:noBreakHyphen/>
      </w:r>
      <w:r w:rsidR="009C21C6">
        <w:t>based decision making and a public health approach to supporting children and families</w:t>
      </w:r>
      <w:r w:rsidR="00B8449F">
        <w:t>.</w:t>
      </w:r>
    </w:p>
    <w:p w:rsidR="00B8449F" w:rsidRDefault="00D858F7" w:rsidP="00685C2E">
      <w:pPr>
        <w:pStyle w:val="BodyText"/>
        <w:spacing w:after="240"/>
      </w:pPr>
      <w:r>
        <w:t xml:space="preserve">This study will also inform the development of a joint funding framework between the Northern Territory and </w:t>
      </w:r>
      <w:r w:rsidR="00FE6F7A">
        <w:t>Australian Governments</w:t>
      </w:r>
      <w:r>
        <w:t xml:space="preserve"> to set ‘policies for an agreed approach to the planning, funding and delivery of services for families and children in the Northern Territory’, as recommended by </w:t>
      </w:r>
      <w:r w:rsidR="003006CA">
        <w:t xml:space="preserve">the </w:t>
      </w:r>
      <w:r>
        <w:t xml:space="preserve">Royal Commission </w:t>
      </w:r>
      <w:r w:rsidR="00B97832" w:rsidRPr="00B97832">
        <w:rPr>
          <w:szCs w:val="24"/>
        </w:rPr>
        <w:t>(</w:t>
      </w:r>
      <w:proofErr w:type="spellStart"/>
      <w:r w:rsidR="00B97832" w:rsidRPr="00B97832">
        <w:rPr>
          <w:szCs w:val="24"/>
        </w:rPr>
        <w:t>RCPDCNT</w:t>
      </w:r>
      <w:proofErr w:type="spellEnd"/>
      <w:r w:rsidR="00B97832" w:rsidRPr="00B97832">
        <w:rPr>
          <w:szCs w:val="24"/>
        </w:rPr>
        <w:t> 2017, p. 59)</w:t>
      </w:r>
      <w:r>
        <w:t xml:space="preserve">. In considering what a funding framework might look like, we intend to look at frameworks used in other areas to coordinate funding and enhance community decision making, such as the </w:t>
      </w:r>
      <w:r w:rsidR="005B243C">
        <w:t xml:space="preserve">Northern Territory </w:t>
      </w:r>
      <w:r>
        <w:t>Aboriginal Health Forum (box </w:t>
      </w:r>
      <w:r w:rsidR="002D285D">
        <w:t>2</w:t>
      </w:r>
      <w:r w:rsidR="004C5030">
        <w:t>).</w:t>
      </w:r>
    </w:p>
    <w:p w:rsidR="00380F4A" w:rsidRPr="0035532D" w:rsidRDefault="00380F4A" w:rsidP="006F300B">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380F4A" w:rsidRPr="00CF2CF0" w:rsidTr="00F23025">
        <w:trPr>
          <w:tblHeader/>
        </w:trPr>
        <w:tc>
          <w:tcPr>
            <w:tcW w:w="5000" w:type="pct"/>
            <w:tcBorders>
              <w:top w:val="single" w:sz="6" w:space="0" w:color="78A22F"/>
              <w:left w:val="nil"/>
              <w:bottom w:val="nil"/>
              <w:right w:val="nil"/>
            </w:tcBorders>
            <w:shd w:val="clear" w:color="auto" w:fill="F2F2F2"/>
          </w:tcPr>
          <w:p w:rsidR="00380F4A" w:rsidRPr="00CF2CF0" w:rsidRDefault="00F23645" w:rsidP="007C1887">
            <w:pPr>
              <w:pStyle w:val="BoxTitle"/>
            </w:pPr>
            <w:r w:rsidRPr="00CF2CF0">
              <w:rPr>
                <w:b w:val="0"/>
              </w:rPr>
              <w:t xml:space="preserve">Box </w:t>
            </w:r>
            <w:bookmarkStart w:id="23" w:name="OLE_LINK6"/>
            <w:r w:rsidR="00592B46">
              <w:rPr>
                <w:b w:val="0"/>
                <w:noProof/>
              </w:rPr>
              <w:t>2</w:t>
            </w:r>
            <w:bookmarkEnd w:id="23"/>
            <w:r w:rsidR="00380F4A" w:rsidRPr="00CF2CF0">
              <w:tab/>
              <w:t>N</w:t>
            </w:r>
            <w:r w:rsidR="005F5A29" w:rsidRPr="00CF2CF0">
              <w:t xml:space="preserve">orthern </w:t>
            </w:r>
            <w:r w:rsidR="00380F4A" w:rsidRPr="00CF2CF0">
              <w:t>T</w:t>
            </w:r>
            <w:r w:rsidR="005F5A29" w:rsidRPr="00CF2CF0">
              <w:t>erritory</w:t>
            </w:r>
            <w:r w:rsidR="00380F4A" w:rsidRPr="00CF2CF0">
              <w:t xml:space="preserve"> Aboriginal Health </w:t>
            </w:r>
            <w:r w:rsidR="005B243C" w:rsidRPr="00CF2CF0">
              <w:t xml:space="preserve">Forum </w:t>
            </w:r>
          </w:p>
        </w:tc>
      </w:tr>
      <w:tr w:rsidR="00380F4A" w:rsidTr="004C5030">
        <w:tc>
          <w:tcPr>
            <w:tcW w:w="5000" w:type="pct"/>
            <w:tcBorders>
              <w:top w:val="nil"/>
              <w:left w:val="nil"/>
              <w:bottom w:val="nil"/>
              <w:right w:val="nil"/>
            </w:tcBorders>
            <w:shd w:val="clear" w:color="auto" w:fill="F2F2F2"/>
          </w:tcPr>
          <w:p w:rsidR="00DE3336" w:rsidRDefault="005B243C" w:rsidP="00EB56AE">
            <w:pPr>
              <w:pStyle w:val="Box"/>
            </w:pPr>
            <w:r w:rsidRPr="007C1887">
              <w:t>The N</w:t>
            </w:r>
            <w:r w:rsidR="003655B8">
              <w:t xml:space="preserve">orthern </w:t>
            </w:r>
            <w:r w:rsidRPr="007C1887">
              <w:t>T</w:t>
            </w:r>
            <w:r w:rsidR="003655B8">
              <w:t>erritory</w:t>
            </w:r>
            <w:r w:rsidRPr="007C1887">
              <w:t xml:space="preserve"> Aboriginal Health Forum (</w:t>
            </w:r>
            <w:proofErr w:type="spellStart"/>
            <w:r w:rsidRPr="007C1887">
              <w:t>NTAHF</w:t>
            </w:r>
            <w:proofErr w:type="spellEnd"/>
            <w:r w:rsidRPr="007C1887">
              <w:t xml:space="preserve">) </w:t>
            </w:r>
            <w:r w:rsidR="00753DEF" w:rsidRPr="007C1887">
              <w:t xml:space="preserve">is a formal partnership between </w:t>
            </w:r>
            <w:r w:rsidR="007C1887" w:rsidRPr="00D941DC">
              <w:t>the Aborigi</w:t>
            </w:r>
            <w:r w:rsidR="00303EA5">
              <w:t>nal Medical Services Alliance Northern Territory</w:t>
            </w:r>
            <w:r w:rsidR="007C1887">
              <w:t xml:space="preserve">, </w:t>
            </w:r>
            <w:r w:rsidR="00753DEF" w:rsidRPr="007C1887">
              <w:t>the Australian Government (represented by the Department of Health</w:t>
            </w:r>
            <w:r w:rsidR="007C1887">
              <w:t xml:space="preserve"> and </w:t>
            </w:r>
            <w:r w:rsidR="00B02242">
              <w:t xml:space="preserve">the Department of the </w:t>
            </w:r>
            <w:r w:rsidR="007C1887">
              <w:t>Prime Minister and Cabinet</w:t>
            </w:r>
            <w:r w:rsidR="00753DEF" w:rsidRPr="007C1887">
              <w:t>), the Northern Territory Government (represented by the Department</w:t>
            </w:r>
            <w:r w:rsidR="00753DEF" w:rsidRPr="003A27B8">
              <w:t xml:space="preserve"> of Health) and</w:t>
            </w:r>
            <w:r w:rsidR="007C1887">
              <w:t xml:space="preserve"> the Northern Territory P</w:t>
            </w:r>
            <w:r w:rsidR="0081493A">
              <w:t>rimary</w:t>
            </w:r>
            <w:r w:rsidR="007C1887">
              <w:t xml:space="preserve"> Health Network</w:t>
            </w:r>
            <w:r w:rsidR="00753DEF" w:rsidRPr="007C1887">
              <w:t xml:space="preserve">. </w:t>
            </w:r>
          </w:p>
          <w:p w:rsidR="00753DEF" w:rsidRDefault="00753DEF" w:rsidP="00EB56AE">
            <w:pPr>
              <w:pStyle w:val="Box"/>
            </w:pPr>
            <w:r>
              <w:t xml:space="preserve">The </w:t>
            </w:r>
            <w:proofErr w:type="spellStart"/>
            <w:r>
              <w:t>NTAHF</w:t>
            </w:r>
            <w:proofErr w:type="spellEnd"/>
            <w:r>
              <w:t xml:space="preserve"> </w:t>
            </w:r>
            <w:r w:rsidRPr="007C1887">
              <w:t xml:space="preserve">was established in 1998 to allow the </w:t>
            </w:r>
            <w:r w:rsidR="007247CE">
              <w:t>parties</w:t>
            </w:r>
            <w:r w:rsidRPr="007C1887">
              <w:t xml:space="preserve"> to </w:t>
            </w:r>
            <w:r>
              <w:t>formally</w:t>
            </w:r>
            <w:r w:rsidRPr="007C1887">
              <w:t xml:space="preserve"> coordinate</w:t>
            </w:r>
            <w:r>
              <w:t xml:space="preserve"> an</w:t>
            </w:r>
            <w:r w:rsidRPr="007C1887">
              <w:t xml:space="preserve"> approach to the delivery of primary health care</w:t>
            </w:r>
            <w:r>
              <w:t xml:space="preserve"> services</w:t>
            </w:r>
            <w:r w:rsidR="007D5AE6">
              <w:t xml:space="preserve"> </w:t>
            </w:r>
            <w:r w:rsidR="000265BE">
              <w:t>at a</w:t>
            </w:r>
            <w:r w:rsidR="007D5AE6">
              <w:t xml:space="preserve"> level </w:t>
            </w:r>
            <w:r w:rsidR="000265BE">
              <w:t>that reflects the</w:t>
            </w:r>
            <w:r w:rsidR="007D5AE6">
              <w:t xml:space="preserve"> need</w:t>
            </w:r>
            <w:r w:rsidR="000265BE">
              <w:t>s</w:t>
            </w:r>
            <w:r w:rsidRPr="007C1887">
              <w:t xml:space="preserve"> </w:t>
            </w:r>
            <w:r w:rsidR="000265BE">
              <w:t>of</w:t>
            </w:r>
            <w:r w:rsidRPr="007C1887">
              <w:t xml:space="preserve"> </w:t>
            </w:r>
            <w:r w:rsidR="00DE3336">
              <w:t>Aboriginal</w:t>
            </w:r>
            <w:r w:rsidR="007D5AE6">
              <w:t xml:space="preserve"> </w:t>
            </w:r>
            <w:r w:rsidR="00035EFD">
              <w:t xml:space="preserve">people and </w:t>
            </w:r>
            <w:r w:rsidR="000265BE">
              <w:t xml:space="preserve">their </w:t>
            </w:r>
            <w:r w:rsidR="007D5AE6">
              <w:t>communit</w:t>
            </w:r>
            <w:r w:rsidR="00DE3336">
              <w:t>ies</w:t>
            </w:r>
            <w:r w:rsidRPr="007C1887">
              <w:t xml:space="preserve">. </w:t>
            </w:r>
            <w:proofErr w:type="spellStart"/>
            <w:r w:rsidR="00035EFD" w:rsidRPr="00EB56AE">
              <w:t>NTAHF</w:t>
            </w:r>
            <w:proofErr w:type="spellEnd"/>
            <w:r w:rsidR="00035EFD" w:rsidRPr="00EB56AE">
              <w:t xml:space="preserve"> </w:t>
            </w:r>
            <w:r w:rsidR="00035EFD">
              <w:t xml:space="preserve">was influential in establishing formulas </w:t>
            </w:r>
            <w:r w:rsidR="000265BE">
              <w:t>that determine</w:t>
            </w:r>
            <w:r w:rsidR="00035EFD" w:rsidRPr="00EB56AE">
              <w:t xml:space="preserve"> funding</w:t>
            </w:r>
            <w:r w:rsidR="00035EFD">
              <w:t xml:space="preserve"> </w:t>
            </w:r>
            <w:r w:rsidR="00035EFD" w:rsidRPr="00EB56AE">
              <w:t>allocation</w:t>
            </w:r>
            <w:r w:rsidR="00035EFD">
              <w:t xml:space="preserve">s </w:t>
            </w:r>
            <w:r w:rsidR="000265BE">
              <w:t xml:space="preserve">which reflect the </w:t>
            </w:r>
            <w:r w:rsidR="00035EFD" w:rsidRPr="00EB56AE">
              <w:t xml:space="preserve">principles of equitable funding </w:t>
            </w:r>
            <w:r w:rsidR="00035EFD">
              <w:t>and funding</w:t>
            </w:r>
            <w:r w:rsidR="00035EFD" w:rsidRPr="00EB56AE">
              <w:t xml:space="preserve"> </w:t>
            </w:r>
            <w:r w:rsidR="000265BE">
              <w:t xml:space="preserve">according to </w:t>
            </w:r>
            <w:r w:rsidR="00035EFD" w:rsidRPr="00EB56AE">
              <w:t>need</w:t>
            </w:r>
            <w:r w:rsidR="00035EFD">
              <w:t>s</w:t>
            </w:r>
            <w:r w:rsidR="00035EFD" w:rsidRPr="00EB56AE">
              <w:t>.</w:t>
            </w:r>
          </w:p>
          <w:p w:rsidR="007C1887" w:rsidRDefault="008035FA" w:rsidP="007C1887">
            <w:pPr>
              <w:pStyle w:val="Box"/>
            </w:pPr>
            <w:r>
              <w:t>T</w:t>
            </w:r>
            <w:r w:rsidR="00C34D4E">
              <w:t>he</w:t>
            </w:r>
            <w:r w:rsidR="003A27B8">
              <w:t xml:space="preserve"> commitments</w:t>
            </w:r>
            <w:r w:rsidR="00B02242">
              <w:t xml:space="preserve"> and</w:t>
            </w:r>
            <w:r w:rsidR="003A27B8">
              <w:t xml:space="preserve"> </w:t>
            </w:r>
            <w:r w:rsidR="001B4B44">
              <w:t>roles and responsibilities</w:t>
            </w:r>
            <w:r>
              <w:t xml:space="preserve"> of the </w:t>
            </w:r>
            <w:proofErr w:type="spellStart"/>
            <w:r w:rsidR="000265BE">
              <w:t>NTAHF</w:t>
            </w:r>
            <w:proofErr w:type="spellEnd"/>
            <w:r>
              <w:t xml:space="preserve"> </w:t>
            </w:r>
            <w:r w:rsidR="0081493A">
              <w:t>are</w:t>
            </w:r>
            <w:r>
              <w:t xml:space="preserve"> govern</w:t>
            </w:r>
            <w:r w:rsidR="000265BE">
              <w:t>ed</w:t>
            </w:r>
            <w:r>
              <w:t xml:space="preserve"> by </w:t>
            </w:r>
            <w:r w:rsidR="0081493A">
              <w:t xml:space="preserve">the </w:t>
            </w:r>
            <w:r w:rsidRPr="0081493A">
              <w:rPr>
                <w:i/>
              </w:rPr>
              <w:t>Aboriginal Health Partnership Framework Agreement 2015</w:t>
            </w:r>
            <w:r w:rsidR="0081493A">
              <w:rPr>
                <w:i/>
              </w:rPr>
              <w:t>–</w:t>
            </w:r>
            <w:r w:rsidRPr="0081493A">
              <w:rPr>
                <w:i/>
              </w:rPr>
              <w:t>2020</w:t>
            </w:r>
            <w:r w:rsidR="004C5030">
              <w:t>. This a</w:t>
            </w:r>
            <w:r w:rsidR="00C34D4E">
              <w:t xml:space="preserve">greement commits the parties to </w:t>
            </w:r>
            <w:r w:rsidR="001F4A61">
              <w:t>develop, sustain and maintain</w:t>
            </w:r>
            <w:r w:rsidR="00C34D4E">
              <w:t>:</w:t>
            </w:r>
          </w:p>
          <w:p w:rsidR="00C34D4E" w:rsidRDefault="00C34D4E" w:rsidP="00EB56AE">
            <w:pPr>
              <w:pStyle w:val="BoxListBullet"/>
            </w:pPr>
            <w:r>
              <w:t>a health system that provides clinically appropriate care that is accessible, culturally safe, culturally competent and free of racism for all Aboriginal people</w:t>
            </w:r>
          </w:p>
          <w:p w:rsidR="00C34D4E" w:rsidRDefault="003A27B8" w:rsidP="00EB56AE">
            <w:pPr>
              <w:pStyle w:val="BoxListBullet"/>
            </w:pPr>
            <w:r>
              <w:t>coordinated, culturally appropriate services across the health system to improve the patient journey and health outcomes for Aboriginal people and their families</w:t>
            </w:r>
          </w:p>
          <w:p w:rsidR="00C34D4E" w:rsidRDefault="00C34D4E">
            <w:pPr>
              <w:pStyle w:val="BoxListBullet"/>
            </w:pPr>
            <w:r>
              <w:t xml:space="preserve">sharing of financial investment information with </w:t>
            </w:r>
            <w:r w:rsidR="000265BE">
              <w:t>the other parties that clearly identifies</w:t>
            </w:r>
            <w:r>
              <w:t xml:space="preserve"> the contributions </w:t>
            </w:r>
            <w:r w:rsidR="000265BE">
              <w:t>of</w:t>
            </w:r>
            <w:r w:rsidR="004C5030">
              <w:t xml:space="preserve"> the</w:t>
            </w:r>
            <w:r w:rsidR="000265BE">
              <w:t xml:space="preserve"> </w:t>
            </w:r>
            <w:r w:rsidR="0042062F">
              <w:t>Northern Territory</w:t>
            </w:r>
            <w:r>
              <w:t xml:space="preserve"> and the Australian Governmen</w:t>
            </w:r>
            <w:r w:rsidR="004C5030">
              <w:t>ts</w:t>
            </w:r>
            <w:r>
              <w:t>.</w:t>
            </w:r>
          </w:p>
          <w:p w:rsidR="00380F4A" w:rsidRDefault="008035FA" w:rsidP="00312B30">
            <w:pPr>
              <w:pStyle w:val="Box"/>
            </w:pPr>
            <w:r>
              <w:t>The</w:t>
            </w:r>
            <w:r w:rsidR="007D5AE6">
              <w:t xml:space="preserve"> </w:t>
            </w:r>
            <w:proofErr w:type="spellStart"/>
            <w:r w:rsidR="007D5AE6">
              <w:t>NTAHF</w:t>
            </w:r>
            <w:proofErr w:type="spellEnd"/>
            <w:r w:rsidR="007D5AE6">
              <w:t xml:space="preserve"> </w:t>
            </w:r>
            <w:r>
              <w:t xml:space="preserve">develops an annual work plan to </w:t>
            </w:r>
            <w:r w:rsidR="0081493A">
              <w:t>guide its work</w:t>
            </w:r>
            <w:r w:rsidR="00312B30">
              <w:t xml:space="preserve"> and</w:t>
            </w:r>
            <w:r w:rsidR="007D5AE6">
              <w:t xml:space="preserve"> </w:t>
            </w:r>
            <w:r w:rsidR="00312B30">
              <w:t xml:space="preserve">meets </w:t>
            </w:r>
            <w:r w:rsidR="007D5AE6">
              <w:t>quarterly to discuss and</w:t>
            </w:r>
            <w:r w:rsidR="003A27B8">
              <w:t xml:space="preserve"> progress the </w:t>
            </w:r>
            <w:r>
              <w:t>plan</w:t>
            </w:r>
            <w:r w:rsidR="007D5AE6">
              <w:t xml:space="preserve">. </w:t>
            </w:r>
            <w:r w:rsidR="00312B30">
              <w:t>The parties have</w:t>
            </w:r>
            <w:r w:rsidR="007D5AE6">
              <w:t xml:space="preserve"> committed to </w:t>
            </w:r>
            <w:r w:rsidR="001F4A61">
              <w:t>be both transparent and accountable in information sharing and planning efforts to support improved service</w:t>
            </w:r>
            <w:r>
              <w:t>s delivery</w:t>
            </w:r>
            <w:r w:rsidR="001F4A61">
              <w:t>.</w:t>
            </w:r>
          </w:p>
        </w:tc>
      </w:tr>
      <w:tr w:rsidR="00380F4A" w:rsidTr="004C5030">
        <w:trPr>
          <w:trHeight w:val="401"/>
        </w:trPr>
        <w:tc>
          <w:tcPr>
            <w:tcW w:w="5000" w:type="pct"/>
            <w:tcBorders>
              <w:top w:val="nil"/>
              <w:left w:val="nil"/>
              <w:bottom w:val="nil"/>
              <w:right w:val="nil"/>
            </w:tcBorders>
            <w:shd w:val="clear" w:color="auto" w:fill="F2F2F2"/>
          </w:tcPr>
          <w:p w:rsidR="00380F4A" w:rsidRDefault="00477986" w:rsidP="00E21833">
            <w:pPr>
              <w:pStyle w:val="Source"/>
            </w:pPr>
            <w:r w:rsidRPr="00E21833">
              <w:rPr>
                <w:i/>
              </w:rPr>
              <w:t>Source</w:t>
            </w:r>
            <w:r w:rsidR="00E21833" w:rsidRPr="00E21833">
              <w:rPr>
                <w:i/>
              </w:rPr>
              <w:t>s</w:t>
            </w:r>
            <w:r>
              <w:t>:</w:t>
            </w:r>
            <w:r w:rsidR="00E21833">
              <w:t xml:space="preserve"> </w:t>
            </w:r>
            <w:proofErr w:type="spellStart"/>
            <w:r w:rsidR="00E21833">
              <w:t>AMSANT</w:t>
            </w:r>
            <w:proofErr w:type="spellEnd"/>
            <w:r w:rsidR="00E21833">
              <w:t xml:space="preserve"> </w:t>
            </w:r>
            <w:r w:rsidR="00B97832" w:rsidRPr="00B97832">
              <w:rPr>
                <w:rFonts w:cs="Arial"/>
              </w:rPr>
              <w:t>(</w:t>
            </w:r>
            <w:proofErr w:type="spellStart"/>
            <w:r w:rsidR="00B97832" w:rsidRPr="00B97832">
              <w:rPr>
                <w:rFonts w:cs="Arial"/>
              </w:rPr>
              <w:t>nd</w:t>
            </w:r>
            <w:proofErr w:type="spellEnd"/>
            <w:r w:rsidR="00B97832" w:rsidRPr="00B97832">
              <w:rPr>
                <w:rFonts w:cs="Arial"/>
              </w:rPr>
              <w:t>)</w:t>
            </w:r>
            <w:r w:rsidR="00E21833">
              <w:t xml:space="preserve">; </w:t>
            </w:r>
            <w:r w:rsidR="00E21833" w:rsidRPr="00E21833">
              <w:t xml:space="preserve">Australian Government, Northern Territory Government and Aboriginal Medical Services Alliance Northern Territory </w:t>
            </w:r>
            <w:r w:rsidR="00B97832" w:rsidRPr="00B97832">
              <w:rPr>
                <w:rFonts w:cs="Arial"/>
              </w:rPr>
              <w:t>(2015)</w:t>
            </w:r>
            <w:r w:rsidR="00E21833">
              <w:t xml:space="preserve">; Parker </w:t>
            </w:r>
            <w:r w:rsidR="00B97832" w:rsidRPr="00B97832">
              <w:rPr>
                <w:rFonts w:cs="Arial"/>
              </w:rPr>
              <w:t>(2007)</w:t>
            </w:r>
            <w:r w:rsidR="00E21833">
              <w:t>.</w:t>
            </w:r>
          </w:p>
        </w:tc>
      </w:tr>
      <w:tr w:rsidR="00317BBA" w:rsidTr="004C5030">
        <w:tc>
          <w:tcPr>
            <w:tcW w:w="5000" w:type="pct"/>
            <w:tcBorders>
              <w:top w:val="nil"/>
              <w:left w:val="nil"/>
              <w:bottom w:val="single" w:sz="6" w:space="0" w:color="78A22F"/>
              <w:right w:val="nil"/>
            </w:tcBorders>
            <w:shd w:val="clear" w:color="auto" w:fill="F2F2F2"/>
          </w:tcPr>
          <w:p w:rsidR="00317BBA" w:rsidRDefault="00317BBA" w:rsidP="0053571F">
            <w:pPr>
              <w:pStyle w:val="Box"/>
              <w:spacing w:before="0" w:line="120" w:lineRule="exact"/>
            </w:pPr>
          </w:p>
        </w:tc>
      </w:tr>
      <w:tr w:rsidR="00380F4A" w:rsidRPr="000863A5" w:rsidTr="00F23025">
        <w:tc>
          <w:tcPr>
            <w:tcW w:w="5000" w:type="pct"/>
            <w:tcBorders>
              <w:top w:val="single" w:sz="6" w:space="0" w:color="78A22F"/>
              <w:left w:val="nil"/>
              <w:bottom w:val="nil"/>
              <w:right w:val="nil"/>
            </w:tcBorders>
          </w:tcPr>
          <w:p w:rsidR="00380F4A" w:rsidRPr="00626D32" w:rsidRDefault="00380F4A" w:rsidP="00F23025">
            <w:pPr>
              <w:pStyle w:val="BoxSpaceBelow"/>
            </w:pPr>
          </w:p>
        </w:tc>
      </w:tr>
    </w:tbl>
    <w:p w:rsidR="00CA117F" w:rsidRPr="006F300B" w:rsidRDefault="00CA117F" w:rsidP="006F300B">
      <w:pPr>
        <w:pStyle w:val="BodyText"/>
      </w:pPr>
      <w:r>
        <w:br w:type="page"/>
      </w:r>
    </w:p>
    <w:p w:rsidR="002F0AD5" w:rsidRPr="0035532D" w:rsidRDefault="002F0AD5" w:rsidP="006F300B">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2F0AD5" w:rsidRPr="0035532D" w:rsidTr="000D4295">
        <w:trPr>
          <w:tblHeader/>
        </w:trPr>
        <w:tc>
          <w:tcPr>
            <w:tcW w:w="5000" w:type="pct"/>
            <w:tcBorders>
              <w:top w:val="single" w:sz="6" w:space="0" w:color="78A22F"/>
              <w:left w:val="nil"/>
              <w:bottom w:val="nil"/>
              <w:right w:val="nil"/>
            </w:tcBorders>
            <w:shd w:val="clear" w:color="auto" w:fill="auto"/>
          </w:tcPr>
          <w:p w:rsidR="002F0AD5" w:rsidRPr="0035532D" w:rsidRDefault="002F0AD5" w:rsidP="00AF52D7">
            <w:pPr>
              <w:pStyle w:val="InformationRequestTitle"/>
              <w:spacing w:before="120"/>
            </w:pPr>
            <w:r w:rsidRPr="0035532D">
              <w:t>QUESTION</w:t>
            </w:r>
            <w:r w:rsidR="00AF52D7" w:rsidRPr="0035532D">
              <w:t xml:space="preserve"> set 6</w:t>
            </w:r>
          </w:p>
        </w:tc>
      </w:tr>
      <w:tr w:rsidR="002F0AD5" w:rsidRPr="00750BE2" w:rsidTr="000D4295">
        <w:tc>
          <w:tcPr>
            <w:tcW w:w="5000" w:type="pct"/>
            <w:tcBorders>
              <w:top w:val="nil"/>
              <w:left w:val="nil"/>
              <w:bottom w:val="nil"/>
              <w:right w:val="nil"/>
            </w:tcBorders>
            <w:shd w:val="clear" w:color="auto" w:fill="auto"/>
          </w:tcPr>
          <w:p w:rsidR="00EE00BC" w:rsidRDefault="00EE00BC" w:rsidP="00F23645">
            <w:pPr>
              <w:pStyle w:val="ListBullet"/>
              <w:rPr>
                <w:rFonts w:ascii="Arial" w:hAnsi="Arial"/>
                <w:i/>
                <w:sz w:val="22"/>
              </w:rPr>
            </w:pPr>
            <w:r w:rsidRPr="00EE00BC">
              <w:rPr>
                <w:rFonts w:ascii="Arial" w:hAnsi="Arial"/>
                <w:i/>
                <w:sz w:val="22"/>
              </w:rPr>
              <w:t xml:space="preserve">How should governments identify what </w:t>
            </w:r>
            <w:r w:rsidR="00F657D3">
              <w:rPr>
                <w:rFonts w:ascii="Arial" w:hAnsi="Arial"/>
                <w:i/>
                <w:sz w:val="22"/>
              </w:rPr>
              <w:t>objectives</w:t>
            </w:r>
            <w:r w:rsidRPr="00EE00BC">
              <w:rPr>
                <w:rFonts w:ascii="Arial" w:hAnsi="Arial"/>
                <w:i/>
                <w:sz w:val="22"/>
              </w:rPr>
              <w:t xml:space="preserve"> to pursue, and then identify needs and priorities for what children and family services to fund?</w:t>
            </w:r>
          </w:p>
          <w:p w:rsidR="00F23645" w:rsidRPr="00F23645" w:rsidRDefault="006234C1" w:rsidP="00F23645">
            <w:pPr>
              <w:pStyle w:val="ListBullet"/>
              <w:rPr>
                <w:rFonts w:ascii="Arial" w:hAnsi="Arial"/>
                <w:i/>
                <w:sz w:val="22"/>
              </w:rPr>
            </w:pPr>
            <w:r w:rsidRPr="006234C1">
              <w:rPr>
                <w:rFonts w:ascii="Arial" w:hAnsi="Arial"/>
                <w:i/>
                <w:sz w:val="22"/>
              </w:rPr>
              <w:t xml:space="preserve">How can a </w:t>
            </w:r>
            <w:r>
              <w:rPr>
                <w:rFonts w:ascii="Arial" w:hAnsi="Arial"/>
                <w:i/>
                <w:sz w:val="22"/>
              </w:rPr>
              <w:t>funding approach best support place</w:t>
            </w:r>
            <w:r w:rsidR="000A041F">
              <w:rPr>
                <w:rFonts w:ascii="Arial" w:hAnsi="Arial"/>
                <w:i/>
                <w:sz w:val="22"/>
              </w:rPr>
              <w:noBreakHyphen/>
            </w:r>
            <w:r>
              <w:rPr>
                <w:rFonts w:ascii="Arial" w:hAnsi="Arial"/>
                <w:i/>
                <w:sz w:val="22"/>
              </w:rPr>
              <w:t>based decision</w:t>
            </w:r>
            <w:r w:rsidR="00B51270">
              <w:rPr>
                <w:rFonts w:ascii="Arial" w:hAnsi="Arial"/>
                <w:i/>
                <w:sz w:val="22"/>
              </w:rPr>
              <w:t xml:space="preserve"> </w:t>
            </w:r>
            <w:r>
              <w:rPr>
                <w:rFonts w:ascii="Arial" w:hAnsi="Arial"/>
                <w:i/>
                <w:sz w:val="22"/>
              </w:rPr>
              <w:t>making and a public health approach to service delivery?</w:t>
            </w:r>
            <w:r w:rsidR="00F23645">
              <w:rPr>
                <w:rFonts w:ascii="Arial" w:hAnsi="Arial"/>
                <w:i/>
                <w:sz w:val="22"/>
              </w:rPr>
              <w:t xml:space="preserve"> How can</w:t>
            </w:r>
            <w:r w:rsidR="00FC3FAE">
              <w:rPr>
                <w:rFonts w:ascii="Arial" w:hAnsi="Arial"/>
                <w:i/>
                <w:sz w:val="22"/>
              </w:rPr>
              <w:t xml:space="preserve"> barriers to accessing services </w:t>
            </w:r>
            <w:r w:rsidR="00F23645">
              <w:rPr>
                <w:rFonts w:ascii="Arial" w:hAnsi="Arial"/>
                <w:i/>
                <w:sz w:val="22"/>
              </w:rPr>
              <w:t>be overcome through changes to funding arrangements?</w:t>
            </w:r>
          </w:p>
          <w:p w:rsidR="006234C1" w:rsidRDefault="00D23E66" w:rsidP="006234C1">
            <w:pPr>
              <w:pStyle w:val="ListBullet"/>
              <w:rPr>
                <w:rFonts w:ascii="Arial" w:hAnsi="Arial"/>
                <w:i/>
                <w:sz w:val="22"/>
              </w:rPr>
            </w:pPr>
            <w:r>
              <w:rPr>
                <w:rFonts w:ascii="Arial" w:hAnsi="Arial"/>
                <w:i/>
                <w:sz w:val="22"/>
              </w:rPr>
              <w:t xml:space="preserve">What incentives or barriers have stood in the way of </w:t>
            </w:r>
            <w:r w:rsidR="00B51270">
              <w:rPr>
                <w:rFonts w:ascii="Arial" w:hAnsi="Arial"/>
                <w:i/>
                <w:sz w:val="22"/>
              </w:rPr>
              <w:t xml:space="preserve">implementing </w:t>
            </w:r>
            <w:r>
              <w:rPr>
                <w:rFonts w:ascii="Arial" w:hAnsi="Arial"/>
                <w:i/>
                <w:sz w:val="22"/>
              </w:rPr>
              <w:t>the place</w:t>
            </w:r>
            <w:r>
              <w:rPr>
                <w:rFonts w:ascii="Arial" w:hAnsi="Arial"/>
                <w:i/>
                <w:sz w:val="22"/>
              </w:rPr>
              <w:noBreakHyphen/>
              <w:t>based and public health approaches? How can these incentives be changed?</w:t>
            </w:r>
          </w:p>
          <w:p w:rsidR="00F23645" w:rsidRPr="006234C1" w:rsidRDefault="00F23645" w:rsidP="006234C1">
            <w:pPr>
              <w:pStyle w:val="ListBullet"/>
              <w:rPr>
                <w:rFonts w:ascii="Arial" w:hAnsi="Arial"/>
                <w:i/>
                <w:sz w:val="22"/>
              </w:rPr>
            </w:pPr>
            <w:r>
              <w:rPr>
                <w:rFonts w:ascii="Arial" w:hAnsi="Arial"/>
                <w:i/>
                <w:sz w:val="22"/>
              </w:rPr>
              <w:t>What alternatives are there to competitive grant funding</w:t>
            </w:r>
            <w:r w:rsidR="00B51270">
              <w:rPr>
                <w:rFonts w:ascii="Arial" w:hAnsi="Arial"/>
                <w:i/>
                <w:sz w:val="22"/>
              </w:rPr>
              <w:t>? I</w:t>
            </w:r>
            <w:r>
              <w:rPr>
                <w:rFonts w:ascii="Arial" w:hAnsi="Arial"/>
                <w:i/>
                <w:sz w:val="22"/>
              </w:rPr>
              <w:t>n which circumstances should these alternatives be used?</w:t>
            </w:r>
          </w:p>
          <w:p w:rsidR="00366AB7" w:rsidRDefault="002F0AD5" w:rsidP="00017E63">
            <w:pPr>
              <w:pStyle w:val="InformationRequestBullet"/>
            </w:pPr>
            <w:r>
              <w:t>What should a joint funding framework look like</w:t>
            </w:r>
            <w:r w:rsidR="00366AB7">
              <w:t>?</w:t>
            </w:r>
          </w:p>
          <w:p w:rsidR="00366AB7" w:rsidRPr="00BF50D6" w:rsidRDefault="00366AB7" w:rsidP="005B243C">
            <w:pPr>
              <w:pStyle w:val="BoxListBullet2"/>
              <w:rPr>
                <w:i/>
                <w:sz w:val="22"/>
                <w:szCs w:val="22"/>
              </w:rPr>
            </w:pPr>
            <w:r w:rsidRPr="00BF50D6">
              <w:rPr>
                <w:i/>
                <w:sz w:val="22"/>
                <w:szCs w:val="22"/>
              </w:rPr>
              <w:t>W</w:t>
            </w:r>
            <w:r w:rsidR="00145C02" w:rsidRPr="00BF50D6">
              <w:rPr>
                <w:i/>
                <w:sz w:val="22"/>
                <w:szCs w:val="22"/>
              </w:rPr>
              <w:t xml:space="preserve">hat form should it take, </w:t>
            </w:r>
            <w:r w:rsidR="00BF50D6">
              <w:rPr>
                <w:i/>
                <w:sz w:val="22"/>
                <w:szCs w:val="22"/>
              </w:rPr>
              <w:t>w</w:t>
            </w:r>
            <w:r w:rsidR="002F0AD5" w:rsidRPr="00BF50D6">
              <w:rPr>
                <w:i/>
                <w:sz w:val="22"/>
                <w:szCs w:val="22"/>
              </w:rPr>
              <w:t>hat should it cover</w:t>
            </w:r>
            <w:r w:rsidR="00BF50D6">
              <w:rPr>
                <w:i/>
                <w:sz w:val="22"/>
                <w:szCs w:val="22"/>
              </w:rPr>
              <w:t>,</w:t>
            </w:r>
            <w:r w:rsidR="002F0AD5" w:rsidRPr="00BF50D6">
              <w:rPr>
                <w:i/>
                <w:sz w:val="22"/>
                <w:szCs w:val="22"/>
              </w:rPr>
              <w:t xml:space="preserve"> and </w:t>
            </w:r>
            <w:r w:rsidR="00754A48" w:rsidRPr="00BF50D6">
              <w:rPr>
                <w:i/>
                <w:sz w:val="22"/>
                <w:szCs w:val="22"/>
              </w:rPr>
              <w:t xml:space="preserve">how </w:t>
            </w:r>
            <w:r w:rsidR="002F0AD5" w:rsidRPr="00BF50D6">
              <w:rPr>
                <w:i/>
                <w:sz w:val="22"/>
                <w:szCs w:val="22"/>
              </w:rPr>
              <w:t xml:space="preserve">should it interact with other intergovernmental </w:t>
            </w:r>
            <w:r w:rsidR="00282627" w:rsidRPr="00BF50D6">
              <w:rPr>
                <w:i/>
                <w:sz w:val="22"/>
                <w:szCs w:val="22"/>
              </w:rPr>
              <w:t>agreements</w:t>
            </w:r>
            <w:r w:rsidR="002F0AD5" w:rsidRPr="00BF50D6">
              <w:rPr>
                <w:i/>
                <w:sz w:val="22"/>
                <w:szCs w:val="22"/>
              </w:rPr>
              <w:t>?</w:t>
            </w:r>
            <w:r w:rsidR="00F23645" w:rsidRPr="00BF50D6">
              <w:rPr>
                <w:i/>
                <w:sz w:val="22"/>
                <w:szCs w:val="22"/>
              </w:rPr>
              <w:t xml:space="preserve"> </w:t>
            </w:r>
            <w:r w:rsidR="00FA32C6">
              <w:rPr>
                <w:i/>
                <w:sz w:val="22"/>
                <w:szCs w:val="22"/>
              </w:rPr>
              <w:t>What accountability mechanisms should it contain?</w:t>
            </w:r>
          </w:p>
          <w:p w:rsidR="00017E63" w:rsidRPr="00366AB7" w:rsidRDefault="00F23645" w:rsidP="00366AB7">
            <w:pPr>
              <w:pStyle w:val="BoxListBullet2"/>
              <w:rPr>
                <w:i/>
                <w:sz w:val="22"/>
                <w:szCs w:val="22"/>
              </w:rPr>
            </w:pPr>
            <w:r w:rsidRPr="00366AB7">
              <w:rPr>
                <w:i/>
                <w:sz w:val="22"/>
                <w:szCs w:val="22"/>
              </w:rPr>
              <w:t xml:space="preserve">Does it make sense to </w:t>
            </w:r>
            <w:r w:rsidR="00B51270" w:rsidRPr="00366AB7">
              <w:rPr>
                <w:i/>
                <w:sz w:val="22"/>
                <w:szCs w:val="22"/>
              </w:rPr>
              <w:t xml:space="preserve">design a framework that </w:t>
            </w:r>
            <w:r w:rsidRPr="00366AB7">
              <w:rPr>
                <w:i/>
                <w:sz w:val="22"/>
                <w:szCs w:val="22"/>
              </w:rPr>
              <w:t>focus</w:t>
            </w:r>
            <w:r w:rsidR="00B51270">
              <w:rPr>
                <w:i/>
                <w:sz w:val="22"/>
                <w:szCs w:val="22"/>
              </w:rPr>
              <w:t>es</w:t>
            </w:r>
            <w:r w:rsidRPr="00366AB7">
              <w:rPr>
                <w:i/>
                <w:sz w:val="22"/>
                <w:szCs w:val="22"/>
              </w:rPr>
              <w:t xml:space="preserve"> on just a few service areas, </w:t>
            </w:r>
            <w:r w:rsidR="00B51270">
              <w:rPr>
                <w:i/>
                <w:sz w:val="22"/>
                <w:szCs w:val="22"/>
              </w:rPr>
              <w:t>but could then be</w:t>
            </w:r>
            <w:r w:rsidRPr="00366AB7">
              <w:rPr>
                <w:i/>
                <w:sz w:val="22"/>
                <w:szCs w:val="22"/>
              </w:rPr>
              <w:t xml:space="preserve"> </w:t>
            </w:r>
            <w:r w:rsidR="00C8347F">
              <w:rPr>
                <w:i/>
                <w:sz w:val="22"/>
                <w:szCs w:val="22"/>
              </w:rPr>
              <w:t xml:space="preserve">extended </w:t>
            </w:r>
            <w:r w:rsidRPr="00366AB7">
              <w:rPr>
                <w:i/>
                <w:sz w:val="22"/>
                <w:szCs w:val="22"/>
              </w:rPr>
              <w:t>to a wider range of services over time?</w:t>
            </w:r>
          </w:p>
          <w:p w:rsidR="00501561" w:rsidRPr="00785125" w:rsidRDefault="00501561" w:rsidP="00297ADA">
            <w:pPr>
              <w:pStyle w:val="InformationRequestBullet"/>
            </w:pPr>
            <w:r w:rsidRPr="00785125">
              <w:t>Are funding f</w:t>
            </w:r>
            <w:r w:rsidRPr="00017E63">
              <w:t>rameworks used for health services in the Northern Territory working well? Is there scope to use</w:t>
            </w:r>
            <w:r w:rsidRPr="00785125">
              <w:t xml:space="preserve"> similar frameworks for children and family services?</w:t>
            </w:r>
          </w:p>
          <w:p w:rsidR="00785125" w:rsidRDefault="00292A0D" w:rsidP="00785125">
            <w:pPr>
              <w:pStyle w:val="InformationRequestBullet"/>
            </w:pPr>
            <w:r>
              <w:t xml:space="preserve">What examples </w:t>
            </w:r>
            <w:r w:rsidR="00785125">
              <w:t>from other jurisdiction</w:t>
            </w:r>
            <w:r w:rsidR="00C8347F">
              <w:t>s</w:t>
            </w:r>
            <w:r w:rsidR="00785125">
              <w:t xml:space="preserve"> </w:t>
            </w:r>
            <w:r w:rsidRPr="00D41DAC">
              <w:t>offer lessons for</w:t>
            </w:r>
            <w:r w:rsidR="00366AB7">
              <w:t>, and could be applied to,</w:t>
            </w:r>
            <w:r w:rsidRPr="00D41DAC">
              <w:t xml:space="preserve"> the Northern Territory? </w:t>
            </w:r>
          </w:p>
          <w:p w:rsidR="00785125" w:rsidRPr="00785125" w:rsidRDefault="00785125" w:rsidP="00AC12B6">
            <w:pPr>
              <w:pStyle w:val="InformationRequestBullet"/>
            </w:pPr>
            <w:r w:rsidRPr="00785125">
              <w:t>What other examples of ‘best practice’ funding are there, such as in other service</w:t>
            </w:r>
            <w:r w:rsidR="00366AB7">
              <w:t xml:space="preserve"> areas</w:t>
            </w:r>
            <w:r w:rsidRPr="00785125">
              <w:t xml:space="preserve"> or that have been used in the past?</w:t>
            </w:r>
          </w:p>
        </w:tc>
      </w:tr>
      <w:tr w:rsidR="002F0AD5" w:rsidTr="000D4295">
        <w:tc>
          <w:tcPr>
            <w:tcW w:w="5000" w:type="pct"/>
            <w:tcBorders>
              <w:top w:val="nil"/>
              <w:left w:val="nil"/>
              <w:bottom w:val="single" w:sz="6" w:space="0" w:color="78A22F"/>
              <w:right w:val="nil"/>
            </w:tcBorders>
            <w:shd w:val="clear" w:color="auto" w:fill="auto"/>
          </w:tcPr>
          <w:p w:rsidR="002F0AD5" w:rsidRDefault="002F0AD5" w:rsidP="000D4295">
            <w:pPr>
              <w:pStyle w:val="Space"/>
              <w:keepLines/>
            </w:pPr>
          </w:p>
        </w:tc>
      </w:tr>
      <w:tr w:rsidR="002F0AD5" w:rsidRPr="000863A5" w:rsidTr="000D4295">
        <w:tc>
          <w:tcPr>
            <w:tcW w:w="5000" w:type="pct"/>
            <w:tcBorders>
              <w:top w:val="single" w:sz="6" w:space="0" w:color="78A22F"/>
              <w:left w:val="nil"/>
              <w:bottom w:val="nil"/>
              <w:right w:val="nil"/>
            </w:tcBorders>
          </w:tcPr>
          <w:p w:rsidR="002F0AD5" w:rsidRPr="00626D32" w:rsidRDefault="002F0AD5" w:rsidP="000D4295">
            <w:pPr>
              <w:pStyle w:val="BoxSpaceBelow"/>
              <w:keepLines/>
            </w:pPr>
          </w:p>
        </w:tc>
      </w:tr>
    </w:tbl>
    <w:p w:rsidR="00542887" w:rsidRDefault="00592B46" w:rsidP="00AC3960">
      <w:pPr>
        <w:pStyle w:val="Heading2"/>
        <w:ind w:left="720" w:hanging="720"/>
        <w:rPr>
          <w:bCs/>
        </w:rPr>
      </w:pPr>
      <w:bookmarkStart w:id="24" w:name="_Toc8377491"/>
      <w:bookmarkStart w:id="25" w:name="_Toc8393507"/>
      <w:r>
        <w:rPr>
          <w:noProof/>
        </w:rPr>
        <w:t>5</w:t>
      </w:r>
      <w:r w:rsidR="00542887">
        <w:tab/>
      </w:r>
      <w:r w:rsidR="00B935B2">
        <w:rPr>
          <w:bCs/>
        </w:rPr>
        <w:t>How can you contribute?</w:t>
      </w:r>
      <w:bookmarkEnd w:id="24"/>
      <w:bookmarkEnd w:id="25"/>
    </w:p>
    <w:p w:rsidR="00344E9D" w:rsidRDefault="00D45343" w:rsidP="00DB5DEC">
      <w:pPr>
        <w:pStyle w:val="BodyText"/>
      </w:pPr>
      <w:r>
        <w:t xml:space="preserve">As part of </w:t>
      </w:r>
      <w:r w:rsidR="001018C7">
        <w:t xml:space="preserve">the </w:t>
      </w:r>
      <w:r>
        <w:t>study</w:t>
      </w:r>
      <w:r w:rsidR="001018C7">
        <w:t xml:space="preserve"> process</w:t>
      </w:r>
      <w:r w:rsidR="00A17AAE">
        <w:t>,</w:t>
      </w:r>
      <w:r w:rsidR="001018C7">
        <w:t xml:space="preserve"> </w:t>
      </w:r>
      <w:r>
        <w:t xml:space="preserve">we will be consulting </w:t>
      </w:r>
      <w:r w:rsidR="001018C7">
        <w:t xml:space="preserve">with a wide range of </w:t>
      </w:r>
      <w:r>
        <w:t>stakeholders and interest groups</w:t>
      </w:r>
      <w:r w:rsidR="001018C7">
        <w:t>. These will include</w:t>
      </w:r>
      <w:r w:rsidR="00DB5DEC" w:rsidRPr="00DB5DEC" w:rsidDel="006F6FB3">
        <w:t xml:space="preserve"> </w:t>
      </w:r>
      <w:r w:rsidR="00DB5DEC" w:rsidRPr="00DB5DEC">
        <w:t>Aboriginal and Torres Strait Islander groups</w:t>
      </w:r>
      <w:r>
        <w:t xml:space="preserve">, </w:t>
      </w:r>
      <w:r w:rsidR="00DB5DEC" w:rsidRPr="00DB5DEC">
        <w:t xml:space="preserve">community </w:t>
      </w:r>
      <w:r w:rsidR="006B691A">
        <w:t>representatives</w:t>
      </w:r>
      <w:r>
        <w:t>, service and program providers</w:t>
      </w:r>
      <w:r w:rsidR="006F6FB3">
        <w:t xml:space="preserve"> and service users</w:t>
      </w:r>
      <w:r>
        <w:t xml:space="preserve">, as well as government </w:t>
      </w:r>
      <w:r w:rsidR="006B691A">
        <w:t>agencies, non</w:t>
      </w:r>
      <w:r w:rsidR="006B691A">
        <w:noBreakHyphen/>
        <w:t xml:space="preserve">government </w:t>
      </w:r>
      <w:r>
        <w:t>organisations</w:t>
      </w:r>
      <w:r w:rsidR="00021717">
        <w:t>, charities and researchers</w:t>
      </w:r>
      <w:r>
        <w:t xml:space="preserve">. </w:t>
      </w:r>
    </w:p>
    <w:p w:rsidR="00DB5DEC" w:rsidRDefault="00D45343" w:rsidP="00DB5DEC">
      <w:pPr>
        <w:pStyle w:val="BodyText"/>
      </w:pPr>
      <w:r>
        <w:t xml:space="preserve">Your input can </w:t>
      </w:r>
      <w:r w:rsidR="00DB5DEC" w:rsidRPr="00DB5DEC">
        <w:t xml:space="preserve">help us understand different views </w:t>
      </w:r>
      <w:r w:rsidR="00D12612">
        <w:t>about</w:t>
      </w:r>
      <w:r w:rsidR="006F6FB3">
        <w:t>,</w:t>
      </w:r>
      <w:r w:rsidR="00D12612">
        <w:t xml:space="preserve"> </w:t>
      </w:r>
      <w:r w:rsidR="00DB5DEC" w:rsidRPr="00DB5DEC">
        <w:t xml:space="preserve">and experiences </w:t>
      </w:r>
      <w:r w:rsidR="00D12612">
        <w:t>with</w:t>
      </w:r>
      <w:r w:rsidR="006F6FB3">
        <w:t>,</w:t>
      </w:r>
      <w:r w:rsidR="00D12612">
        <w:t xml:space="preserve"> </w:t>
      </w:r>
      <w:r w:rsidR="00DB5DEC" w:rsidRPr="00DB5DEC">
        <w:t xml:space="preserve">the </w:t>
      </w:r>
      <w:r>
        <w:t>s</w:t>
      </w:r>
      <w:r w:rsidR="00D12612">
        <w:t>ervices and programs that are the subject of this study</w:t>
      </w:r>
      <w:r w:rsidR="00021717">
        <w:t>, and provide insights into how funding arrangements are affecting outcomes for children and families</w:t>
      </w:r>
      <w:r w:rsidR="00D12612">
        <w:t xml:space="preserve">. </w:t>
      </w:r>
      <w:r w:rsidR="00344E9D">
        <w:t xml:space="preserve">It will also help us identify where the system is operating well or poorly, and how individuals, families and communities are affected by existing </w:t>
      </w:r>
      <w:r w:rsidR="006B691A">
        <w:t>funding arrangements</w:t>
      </w:r>
      <w:r w:rsidR="00344E9D">
        <w:t xml:space="preserve">. </w:t>
      </w:r>
    </w:p>
    <w:p w:rsidR="00542887" w:rsidRDefault="00D15E4F" w:rsidP="00542887">
      <w:pPr>
        <w:pStyle w:val="Heading3"/>
      </w:pPr>
      <w:bookmarkStart w:id="26" w:name="_Toc8377492"/>
      <w:bookmarkStart w:id="27" w:name="_Toc8393508"/>
      <w:r>
        <w:lastRenderedPageBreak/>
        <w:t>Written s</w:t>
      </w:r>
      <w:r w:rsidR="00542887">
        <w:t>ubmissions</w:t>
      </w:r>
      <w:r w:rsidR="003C17FC">
        <w:t xml:space="preserve"> and brief comments</w:t>
      </w:r>
      <w:bookmarkEnd w:id="26"/>
      <w:bookmarkEnd w:id="27"/>
    </w:p>
    <w:p w:rsidR="000318EF" w:rsidRDefault="00567928" w:rsidP="00570C6D">
      <w:pPr>
        <w:pStyle w:val="BodyText"/>
      </w:pPr>
      <w:r>
        <w:t xml:space="preserve">We are seeking </w:t>
      </w:r>
      <w:r w:rsidR="00D15E4F">
        <w:t>written</w:t>
      </w:r>
      <w:r>
        <w:t xml:space="preserve"> submissions from stakeholders and interested parties</w:t>
      </w:r>
      <w:r w:rsidR="00336867">
        <w:t xml:space="preserve">. </w:t>
      </w:r>
      <w:r w:rsidR="000318EF">
        <w:t>S</w:t>
      </w:r>
      <w:r w:rsidR="00336867">
        <w:t>ubmissi</w:t>
      </w:r>
      <w:r w:rsidR="000318EF">
        <w:t xml:space="preserve">ons </w:t>
      </w:r>
      <w:r w:rsidR="00570C6D">
        <w:t xml:space="preserve">can include relevant data and evidence, as well as </w:t>
      </w:r>
      <w:r w:rsidR="000318EF">
        <w:t xml:space="preserve">your opinions or ideas about any of the matters raised by the </w:t>
      </w:r>
      <w:r w:rsidR="000318EF" w:rsidRPr="000318EF">
        <w:t xml:space="preserve">terms of reference </w:t>
      </w:r>
      <w:r w:rsidR="000318EF">
        <w:t xml:space="preserve">or in </w:t>
      </w:r>
      <w:r w:rsidR="000318EF" w:rsidRPr="000318EF">
        <w:t>this issues paper</w:t>
      </w:r>
      <w:r w:rsidR="000318EF">
        <w:t xml:space="preserve">. </w:t>
      </w:r>
      <w:r w:rsidR="00542887" w:rsidRPr="003E44CE">
        <w:t xml:space="preserve">You do not need to </w:t>
      </w:r>
      <w:r w:rsidR="000318EF">
        <w:t>address</w:t>
      </w:r>
      <w:r w:rsidR="00542887" w:rsidRPr="003E44CE">
        <w:t xml:space="preserve"> every issue raised in this paper and you are free to raise any other issues or ideas that are relevant to the terms of reference. </w:t>
      </w:r>
    </w:p>
    <w:p w:rsidR="00542887" w:rsidRPr="003E44CE" w:rsidRDefault="000318EF" w:rsidP="00542887">
      <w:pPr>
        <w:pStyle w:val="BodyText"/>
      </w:pPr>
      <w:r>
        <w:t xml:space="preserve">If you do not wish to make a </w:t>
      </w:r>
      <w:r w:rsidR="00021717">
        <w:t>public</w:t>
      </w:r>
      <w:r>
        <w:t xml:space="preserve"> submission, you may </w:t>
      </w:r>
      <w:r w:rsidR="00B160C9">
        <w:t>provide us with a brief comment via our website</w:t>
      </w:r>
      <w:r>
        <w:t xml:space="preserve">. </w:t>
      </w:r>
      <w:r w:rsidR="002D4A4C">
        <w:t>If you make a brief comment, you may choose to remain anonymous.</w:t>
      </w:r>
      <w:r>
        <w:t xml:space="preserve"> </w:t>
      </w:r>
      <w:r w:rsidR="006B691A">
        <w:t>The a</w:t>
      </w:r>
      <w:r w:rsidR="00542887" w:rsidRPr="003E44CE">
        <w:t>ttachment</w:t>
      </w:r>
      <w:r w:rsidR="006B691A">
        <w:t xml:space="preserve"> at the end of this issues paper</w:t>
      </w:r>
      <w:r w:rsidR="006A5091" w:rsidRPr="003E44CE">
        <w:t xml:space="preserve"> </w:t>
      </w:r>
      <w:r w:rsidR="00542887" w:rsidRPr="003E44CE">
        <w:t>provides further details on how you can make a submission</w:t>
      </w:r>
      <w:r w:rsidR="006B691A">
        <w:t>.</w:t>
      </w:r>
      <w:r w:rsidR="00542887" w:rsidRPr="003E44CE">
        <w:t xml:space="preserve"> </w:t>
      </w:r>
    </w:p>
    <w:p w:rsidR="00542887" w:rsidRPr="006F300B" w:rsidRDefault="00542887" w:rsidP="00542887">
      <w:pPr>
        <w:pStyle w:val="BodyText"/>
        <w:rPr>
          <w:b/>
          <w:spacing w:val="-2"/>
        </w:rPr>
      </w:pPr>
      <w:r w:rsidRPr="006F300B">
        <w:rPr>
          <w:b/>
          <w:bCs/>
          <w:spacing w:val="-2"/>
        </w:rPr>
        <w:t xml:space="preserve">Submissions </w:t>
      </w:r>
      <w:r w:rsidR="002F795C" w:rsidRPr="006F300B">
        <w:rPr>
          <w:b/>
          <w:bCs/>
          <w:spacing w:val="-2"/>
        </w:rPr>
        <w:t xml:space="preserve">and brief comments </w:t>
      </w:r>
      <w:r w:rsidR="00A45526" w:rsidRPr="006F300B">
        <w:rPr>
          <w:b/>
          <w:bCs/>
          <w:spacing w:val="-2"/>
        </w:rPr>
        <w:t xml:space="preserve">in response to this issues paper </w:t>
      </w:r>
      <w:r w:rsidR="003C35AA" w:rsidRPr="006F300B">
        <w:rPr>
          <w:b/>
          <w:bCs/>
          <w:spacing w:val="-2"/>
        </w:rPr>
        <w:t>are due</w:t>
      </w:r>
      <w:r w:rsidR="00A45526" w:rsidRPr="006F300B">
        <w:rPr>
          <w:b/>
          <w:bCs/>
          <w:spacing w:val="-2"/>
        </w:rPr>
        <w:t xml:space="preserve"> </w:t>
      </w:r>
      <w:r w:rsidR="006B691A" w:rsidRPr="006F300B">
        <w:rPr>
          <w:b/>
          <w:bCs/>
          <w:spacing w:val="-2"/>
        </w:rPr>
        <w:t xml:space="preserve">by </w:t>
      </w:r>
      <w:r w:rsidR="009A6746" w:rsidRPr="006F300B">
        <w:rPr>
          <w:b/>
          <w:bCs/>
          <w:spacing w:val="-2"/>
        </w:rPr>
        <w:t>10</w:t>
      </w:r>
      <w:r w:rsidR="000A041F" w:rsidRPr="006F300B">
        <w:rPr>
          <w:b/>
          <w:bCs/>
          <w:spacing w:val="-2"/>
        </w:rPr>
        <w:t> </w:t>
      </w:r>
      <w:r w:rsidR="009A6746" w:rsidRPr="006F300B">
        <w:rPr>
          <w:b/>
          <w:bCs/>
          <w:spacing w:val="-2"/>
        </w:rPr>
        <w:t>July 2019</w:t>
      </w:r>
      <w:r w:rsidRPr="006F300B">
        <w:rPr>
          <w:b/>
          <w:bCs/>
          <w:spacing w:val="-2"/>
        </w:rPr>
        <w:t xml:space="preserve">. </w:t>
      </w:r>
    </w:p>
    <w:p w:rsidR="00542887" w:rsidRDefault="00A45526" w:rsidP="00542887">
      <w:pPr>
        <w:pStyle w:val="BodyText"/>
      </w:pPr>
      <w:r>
        <w:t xml:space="preserve">We </w:t>
      </w:r>
      <w:r w:rsidR="002D4A4C">
        <w:t>plan to</w:t>
      </w:r>
      <w:r w:rsidR="002D4A4C" w:rsidRPr="00542887">
        <w:t xml:space="preserve"> </w:t>
      </w:r>
      <w:r w:rsidR="00542887" w:rsidRPr="00542887">
        <w:t xml:space="preserve">release a draft report in </w:t>
      </w:r>
      <w:r w:rsidR="006B691A" w:rsidRPr="00460721">
        <w:rPr>
          <w:b/>
        </w:rPr>
        <w:t xml:space="preserve">October or </w:t>
      </w:r>
      <w:r w:rsidR="001B0611" w:rsidRPr="009F4F28">
        <w:rPr>
          <w:b/>
        </w:rPr>
        <w:t>November</w:t>
      </w:r>
      <w:r w:rsidR="00542887" w:rsidRPr="00690B9C">
        <w:rPr>
          <w:b/>
        </w:rPr>
        <w:t xml:space="preserve"> 2019</w:t>
      </w:r>
      <w:r w:rsidRPr="00690B9C">
        <w:rPr>
          <w:b/>
        </w:rPr>
        <w:t>.</w:t>
      </w:r>
      <w:r>
        <w:t xml:space="preserve"> </w:t>
      </w:r>
      <w:r w:rsidR="002F795C">
        <w:t>There will be further opportunity to provide su</w:t>
      </w:r>
      <w:r w:rsidR="00014885">
        <w:t>bmissions and comments after the draft</w:t>
      </w:r>
      <w:r w:rsidR="002F795C">
        <w:t xml:space="preserve"> report is released. </w:t>
      </w:r>
    </w:p>
    <w:p w:rsidR="00542887" w:rsidRDefault="000F7CAA" w:rsidP="000F7CAA">
      <w:pPr>
        <w:pStyle w:val="Heading3"/>
      </w:pPr>
      <w:bookmarkStart w:id="28" w:name="_Toc8377493"/>
      <w:bookmarkStart w:id="29" w:name="_Toc8393509"/>
      <w:r>
        <w:t xml:space="preserve">Meetings </w:t>
      </w:r>
      <w:r w:rsidR="00D15E4F">
        <w:t>and discussions</w:t>
      </w:r>
      <w:bookmarkEnd w:id="28"/>
      <w:bookmarkEnd w:id="29"/>
    </w:p>
    <w:p w:rsidR="00A45526" w:rsidRDefault="002D4A4C" w:rsidP="00312974">
      <w:pPr>
        <w:pStyle w:val="BodyText"/>
      </w:pPr>
      <w:r>
        <w:t>Meetings and discussions are central to</w:t>
      </w:r>
      <w:r w:rsidR="00E069FF">
        <w:t xml:space="preserve"> our consultation process</w:t>
      </w:r>
      <w:r>
        <w:t>. Th</w:t>
      </w:r>
      <w:r w:rsidR="00232408">
        <w:t>ese</w:t>
      </w:r>
      <w:r>
        <w:t xml:space="preserve"> may</w:t>
      </w:r>
      <w:r w:rsidR="00E069FF">
        <w:t xml:space="preserve"> be in person </w:t>
      </w:r>
      <w:r>
        <w:t>or via</w:t>
      </w:r>
      <w:r w:rsidR="00E069FF">
        <w:t xml:space="preserve"> telephone or video conference. </w:t>
      </w:r>
    </w:p>
    <w:p w:rsidR="003A6369" w:rsidRDefault="00E069FF" w:rsidP="00312974">
      <w:pPr>
        <w:pStyle w:val="BodyText"/>
      </w:pPr>
      <w:r>
        <w:t>We are seeking i</w:t>
      </w:r>
      <w:r w:rsidR="00B5551D">
        <w:t xml:space="preserve">nput on </w:t>
      </w:r>
      <w:r>
        <w:t xml:space="preserve">who we should consult with </w:t>
      </w:r>
      <w:r w:rsidR="00C329D4">
        <w:t xml:space="preserve">(including individuals, groups and organisations) </w:t>
      </w:r>
      <w:r>
        <w:t xml:space="preserve">and the </w:t>
      </w:r>
      <w:r w:rsidR="00B43C35">
        <w:t>preferred means for engaging</w:t>
      </w:r>
      <w:r>
        <w:t xml:space="preserve"> with those parties. </w:t>
      </w:r>
      <w:r w:rsidR="00C329D4">
        <w:t>We also welcome your views about places or communities we should visit</w:t>
      </w:r>
      <w:r w:rsidR="00A17AAE">
        <w:t xml:space="preserve"> — both within and outside the Northern Territory. </w:t>
      </w:r>
      <w:r w:rsidR="003A6369">
        <w:t xml:space="preserve">These could be places where </w:t>
      </w:r>
      <w:r w:rsidR="002D4A4C">
        <w:t xml:space="preserve">funding arrangements are supporting good </w:t>
      </w:r>
      <w:r w:rsidR="004B1FC5">
        <w:t>outcomes</w:t>
      </w:r>
      <w:r w:rsidR="00F72591">
        <w:t xml:space="preserve">, or places </w:t>
      </w:r>
      <w:r w:rsidR="003B5A77">
        <w:t xml:space="preserve">where </w:t>
      </w:r>
      <w:r w:rsidR="00F72591">
        <w:t xml:space="preserve">the shortcomings of </w:t>
      </w:r>
      <w:r w:rsidR="003A6369">
        <w:t xml:space="preserve">current </w:t>
      </w:r>
      <w:r w:rsidR="002D4A4C">
        <w:t>arrangements</w:t>
      </w:r>
      <w:r w:rsidR="003B5A77">
        <w:t xml:space="preserve"> are evident</w:t>
      </w:r>
      <w:r w:rsidR="003A6369">
        <w:t xml:space="preserve">. </w:t>
      </w:r>
    </w:p>
    <w:p w:rsidR="00542887" w:rsidRPr="006F300B" w:rsidRDefault="00542887" w:rsidP="006F300B">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542887" w:rsidTr="00972583">
        <w:trPr>
          <w:tblHeader/>
        </w:trPr>
        <w:tc>
          <w:tcPr>
            <w:tcW w:w="5000" w:type="pct"/>
            <w:tcBorders>
              <w:top w:val="single" w:sz="6" w:space="0" w:color="78A22F"/>
              <w:left w:val="nil"/>
              <w:bottom w:val="nil"/>
              <w:right w:val="nil"/>
            </w:tcBorders>
            <w:shd w:val="clear" w:color="auto" w:fill="auto"/>
          </w:tcPr>
          <w:p w:rsidR="00542887" w:rsidRPr="00CE4C64" w:rsidRDefault="00542887" w:rsidP="00972583">
            <w:pPr>
              <w:pStyle w:val="InformationRequestTitle"/>
              <w:spacing w:before="120"/>
            </w:pPr>
            <w:r>
              <w:t>QUESTION</w:t>
            </w:r>
            <w:r w:rsidR="00AF52D7">
              <w:t xml:space="preserve"> set 7</w:t>
            </w:r>
          </w:p>
        </w:tc>
      </w:tr>
      <w:tr w:rsidR="00542887" w:rsidRPr="00750BE2" w:rsidTr="00972583">
        <w:tc>
          <w:tcPr>
            <w:tcW w:w="5000" w:type="pct"/>
            <w:tcBorders>
              <w:top w:val="nil"/>
              <w:left w:val="nil"/>
              <w:bottom w:val="nil"/>
              <w:right w:val="nil"/>
            </w:tcBorders>
            <w:shd w:val="clear" w:color="auto" w:fill="auto"/>
          </w:tcPr>
          <w:p w:rsidR="00A17AAE" w:rsidRPr="00A17AAE" w:rsidRDefault="003B5A77" w:rsidP="00910A03">
            <w:pPr>
              <w:pStyle w:val="InformationRequestBullet"/>
            </w:pPr>
            <w:r>
              <w:t>How and who should we consult to maximise community and expert input to this study?</w:t>
            </w:r>
          </w:p>
        </w:tc>
      </w:tr>
      <w:tr w:rsidR="00542887" w:rsidTr="00972583">
        <w:tc>
          <w:tcPr>
            <w:tcW w:w="5000" w:type="pct"/>
            <w:tcBorders>
              <w:top w:val="nil"/>
              <w:left w:val="nil"/>
              <w:bottom w:val="single" w:sz="6" w:space="0" w:color="78A22F"/>
              <w:right w:val="nil"/>
            </w:tcBorders>
            <w:shd w:val="clear" w:color="auto" w:fill="auto"/>
          </w:tcPr>
          <w:p w:rsidR="00542887" w:rsidRDefault="00542887" w:rsidP="00972583">
            <w:pPr>
              <w:pStyle w:val="Space"/>
              <w:keepLines/>
            </w:pPr>
          </w:p>
        </w:tc>
      </w:tr>
      <w:tr w:rsidR="00542887" w:rsidRPr="000863A5" w:rsidTr="00972583">
        <w:tc>
          <w:tcPr>
            <w:tcW w:w="5000" w:type="pct"/>
            <w:tcBorders>
              <w:top w:val="single" w:sz="6" w:space="0" w:color="78A22F"/>
              <w:left w:val="nil"/>
              <w:bottom w:val="nil"/>
              <w:right w:val="nil"/>
            </w:tcBorders>
          </w:tcPr>
          <w:p w:rsidR="00542887" w:rsidRPr="00626D32" w:rsidRDefault="00542887" w:rsidP="00972583">
            <w:pPr>
              <w:pStyle w:val="BoxSpaceBelow"/>
              <w:keepLines/>
            </w:pPr>
          </w:p>
        </w:tc>
      </w:tr>
    </w:tbl>
    <w:p w:rsidR="00C47E41" w:rsidRDefault="00C47E41">
      <w:pPr>
        <w:rPr>
          <w:szCs w:val="20"/>
        </w:rPr>
      </w:pPr>
      <w:r>
        <w:br w:type="page"/>
      </w:r>
    </w:p>
    <w:p w:rsidR="00A45035" w:rsidRDefault="00A45035" w:rsidP="00FE6F7A">
      <w:pPr>
        <w:pStyle w:val="Heading2"/>
      </w:pPr>
      <w:bookmarkStart w:id="30" w:name="_Toc8393510"/>
      <w:bookmarkStart w:id="31" w:name="_Toc8377494"/>
      <w:r>
        <w:lastRenderedPageBreak/>
        <w:t>Appendix A: Terms of reference</w:t>
      </w:r>
      <w:bookmarkEnd w:id="30"/>
      <w:bookmarkEnd w:id="31"/>
    </w:p>
    <w:p w:rsidR="00FF20E3" w:rsidRPr="0084790F" w:rsidRDefault="00FF20E3" w:rsidP="00FF20E3">
      <w:pPr>
        <w:pStyle w:val="BodyText"/>
        <w:rPr>
          <w:spacing w:val="-2"/>
        </w:rPr>
      </w:pPr>
      <w:r w:rsidRPr="0084790F">
        <w:rPr>
          <w:spacing w:val="-2"/>
        </w:rPr>
        <w:t xml:space="preserve">I, the Hon Josh </w:t>
      </w:r>
      <w:proofErr w:type="spellStart"/>
      <w:r w:rsidRPr="0084790F">
        <w:rPr>
          <w:spacing w:val="-2"/>
        </w:rPr>
        <w:t>Frydenberg</w:t>
      </w:r>
      <w:proofErr w:type="spellEnd"/>
      <w:r w:rsidRPr="0084790F">
        <w:rPr>
          <w:spacing w:val="-2"/>
        </w:rPr>
        <w:t xml:space="preserve"> MP, Treasurer, pursuant to Parts 2 and 4 of the </w:t>
      </w:r>
      <w:r w:rsidRPr="0084790F">
        <w:rPr>
          <w:i/>
          <w:spacing w:val="-2"/>
        </w:rPr>
        <w:t>Productivity Commission Act 1998</w:t>
      </w:r>
      <w:r w:rsidRPr="0084790F">
        <w:rPr>
          <w:spacing w:val="-2"/>
        </w:rPr>
        <w:t>, hereby request that the Productivity Commission undertake a study into Commonwealth and Northern Territory Government expenditure in the Northern Territory in the area of children and family services relevant to the prevention of harm to children.</w:t>
      </w:r>
    </w:p>
    <w:p w:rsidR="00FF20E3" w:rsidRPr="0084790F" w:rsidRDefault="00FF20E3" w:rsidP="0084790F">
      <w:pPr>
        <w:pStyle w:val="BodyText"/>
        <w:spacing w:before="280"/>
        <w:rPr>
          <w:rFonts w:ascii="Arial" w:hAnsi="Arial" w:cs="Arial"/>
        </w:rPr>
      </w:pPr>
      <w:r w:rsidRPr="0084790F">
        <w:rPr>
          <w:rFonts w:ascii="Arial" w:hAnsi="Arial" w:cs="Arial"/>
        </w:rPr>
        <w:t>Background</w:t>
      </w:r>
    </w:p>
    <w:p w:rsidR="00FF20E3" w:rsidRDefault="00FF20E3" w:rsidP="00E911E4">
      <w:pPr>
        <w:pStyle w:val="BodyText"/>
        <w:spacing w:before="120"/>
      </w:pPr>
      <w:r>
        <w:t>The Royal Commission into the Protection and Detention of Children in the Northern Territory (Royal Commission) found that funding arrangements in the Northern Territory appear to be characterised by a lack of coordination between the Northern Territory and Commonwealth Governments, and within each government.</w:t>
      </w:r>
    </w:p>
    <w:p w:rsidR="00FF20E3" w:rsidRDefault="00FF20E3" w:rsidP="00FF20E3">
      <w:pPr>
        <w:pStyle w:val="BodyText"/>
      </w:pPr>
      <w:r>
        <w:t>The Royal Commission found that Commonwealth and Northern Territory Government investment is not rigorously tracked, monitored or evaluated to ensure that it is appropriately distributed and directed.</w:t>
      </w:r>
    </w:p>
    <w:p w:rsidR="00FF20E3" w:rsidRPr="0084790F" w:rsidRDefault="00FF20E3" w:rsidP="00FF20E3">
      <w:pPr>
        <w:pStyle w:val="BodyText"/>
        <w:rPr>
          <w:spacing w:val="-4"/>
        </w:rPr>
      </w:pPr>
      <w:r w:rsidRPr="0084790F">
        <w:rPr>
          <w:spacing w:val="-4"/>
        </w:rPr>
        <w:t>The Royal Commission was concerned that government funds were directed to programs without reference to the existence of other programs, their target locations or the outcomes of the services delivered. A study into expenditure in the Northern Territory will supplement information already provided as part of the Royal Commission, and will support the development of a joint funding framework as recommended by the Royal Commission (Rec</w:t>
      </w:r>
      <w:r w:rsidR="0084790F">
        <w:rPr>
          <w:spacing w:val="-4"/>
        </w:rPr>
        <w:t> </w:t>
      </w:r>
      <w:r w:rsidRPr="0084790F">
        <w:rPr>
          <w:spacing w:val="-4"/>
        </w:rPr>
        <w:t>39.05 refers).</w:t>
      </w:r>
    </w:p>
    <w:p w:rsidR="00FF20E3" w:rsidRDefault="00FF20E3" w:rsidP="00FF20E3">
      <w:pPr>
        <w:pStyle w:val="BodyText"/>
      </w:pPr>
      <w:r>
        <w:t>A joint funding framework is an important step in ensuring the efficient and effective allocation of resources.</w:t>
      </w:r>
    </w:p>
    <w:p w:rsidR="00FF20E3" w:rsidRPr="0084790F" w:rsidRDefault="00FF20E3" w:rsidP="0084790F">
      <w:pPr>
        <w:pStyle w:val="BodyText"/>
        <w:spacing w:before="280"/>
        <w:rPr>
          <w:rFonts w:ascii="Arial" w:hAnsi="Arial" w:cs="Arial"/>
        </w:rPr>
      </w:pPr>
      <w:r w:rsidRPr="0084790F">
        <w:rPr>
          <w:rFonts w:ascii="Arial" w:hAnsi="Arial" w:cs="Arial"/>
        </w:rPr>
        <w:t>Scope</w:t>
      </w:r>
    </w:p>
    <w:p w:rsidR="00FF20E3" w:rsidRDefault="00FF20E3" w:rsidP="00E911E4">
      <w:pPr>
        <w:pStyle w:val="BodyText"/>
        <w:spacing w:before="120"/>
      </w:pPr>
      <w:r>
        <w:t>The Commonwealth and Northern Territory Governments have agreed to a joint study of children and families funding and services in the Northern Territory as a response to the Royal Commission.</w:t>
      </w:r>
    </w:p>
    <w:p w:rsidR="00FF20E3" w:rsidRPr="0084790F" w:rsidRDefault="00FF20E3" w:rsidP="00FF20E3">
      <w:pPr>
        <w:pStyle w:val="BodyText"/>
        <w:rPr>
          <w:spacing w:val="-4"/>
        </w:rPr>
      </w:pPr>
      <w:r w:rsidRPr="0084790F">
        <w:rPr>
          <w:spacing w:val="-4"/>
        </w:rPr>
        <w:t>The Productivity Commission will examine ways to improve funding arrangements across and within the Commonwealth and Northern Territory Governments and the services delivered via these funding arrangements. The Productivity Commission should have regard to relevant funding arrangements including for payments to or through the States (such as those made under National Partnerships), and grants (such as those made under the Indigenous Advancement Strategy and other selected programs related to the prevention of harm to children).</w:t>
      </w:r>
    </w:p>
    <w:p w:rsidR="00FF20E3" w:rsidRDefault="00FF20E3" w:rsidP="00FF20E3">
      <w:pPr>
        <w:pStyle w:val="BodyText"/>
      </w:pPr>
      <w:r>
        <w:t>In undertaking the study, the Productivity Commission should consider:</w:t>
      </w:r>
    </w:p>
    <w:p w:rsidR="00FF20E3" w:rsidRDefault="00FF20E3" w:rsidP="00FF20E3">
      <w:pPr>
        <w:pStyle w:val="ListBullet"/>
        <w:numPr>
          <w:ilvl w:val="0"/>
          <w:numId w:val="55"/>
        </w:numPr>
      </w:pPr>
      <w:r>
        <w:t>the objectives, governance and implementation of current funding arrangements including assessment of:</w:t>
      </w:r>
    </w:p>
    <w:p w:rsidR="00FF20E3" w:rsidRDefault="00FF20E3" w:rsidP="00FF20E3">
      <w:pPr>
        <w:pStyle w:val="ListBullet2"/>
        <w:numPr>
          <w:ilvl w:val="0"/>
          <w:numId w:val="57"/>
        </w:numPr>
      </w:pPr>
      <w:r>
        <w:t>the extent of duplication and lack of coordination across Commonwealth and Territory funding arrangements, individual programs and service providers</w:t>
      </w:r>
    </w:p>
    <w:p w:rsidR="00FF20E3" w:rsidRDefault="00FF20E3" w:rsidP="00FF20E3">
      <w:pPr>
        <w:pStyle w:val="ListBullet2"/>
        <w:numPr>
          <w:ilvl w:val="0"/>
          <w:numId w:val="57"/>
        </w:numPr>
      </w:pPr>
      <w:r>
        <w:lastRenderedPageBreak/>
        <w:t>whether the approach to the design of programs aligns with policy objectives</w:t>
      </w:r>
    </w:p>
    <w:p w:rsidR="00FF20E3" w:rsidRDefault="00FF20E3" w:rsidP="00FF20E3">
      <w:pPr>
        <w:pStyle w:val="ListBullet2"/>
        <w:numPr>
          <w:ilvl w:val="0"/>
          <w:numId w:val="57"/>
        </w:numPr>
      </w:pPr>
      <w:r>
        <w:t>the approach to engaging service providers and allocating funds</w:t>
      </w:r>
    </w:p>
    <w:p w:rsidR="00FF20E3" w:rsidRDefault="00FF20E3" w:rsidP="00FF20E3">
      <w:pPr>
        <w:pStyle w:val="ListBullet2"/>
        <w:numPr>
          <w:ilvl w:val="0"/>
          <w:numId w:val="57"/>
        </w:numPr>
      </w:pPr>
      <w:r>
        <w:t>accountability, reporting and monitoring requirements for service providers and governments</w:t>
      </w:r>
    </w:p>
    <w:p w:rsidR="00FF20E3" w:rsidRDefault="00FF20E3" w:rsidP="00FF20E3">
      <w:pPr>
        <w:pStyle w:val="ListBullet2"/>
        <w:numPr>
          <w:ilvl w:val="0"/>
          <w:numId w:val="57"/>
        </w:numPr>
      </w:pPr>
      <w:r>
        <w:t>levels of access to services</w:t>
      </w:r>
    </w:p>
    <w:p w:rsidR="00FF20E3" w:rsidRDefault="00FF20E3" w:rsidP="00FF20E3">
      <w:pPr>
        <w:pStyle w:val="ListBullet2"/>
        <w:numPr>
          <w:ilvl w:val="0"/>
          <w:numId w:val="57"/>
        </w:numPr>
      </w:pPr>
      <w:r>
        <w:t>approaches to service delivery, including continuity of funding for services over time and levels of coordination and integration between services where a variety of service providers are used.</w:t>
      </w:r>
    </w:p>
    <w:p w:rsidR="00FF20E3" w:rsidRPr="0084790F" w:rsidRDefault="00FF20E3" w:rsidP="00FF20E3">
      <w:pPr>
        <w:pStyle w:val="ListBullet"/>
        <w:numPr>
          <w:ilvl w:val="0"/>
          <w:numId w:val="55"/>
        </w:numPr>
        <w:rPr>
          <w:spacing w:val="-2"/>
        </w:rPr>
      </w:pPr>
      <w:r w:rsidRPr="0084790F">
        <w:rPr>
          <w:spacing w:val="-2"/>
        </w:rPr>
        <w:t>principles and approaches for governance and funding to promote better outcomes and improve:</w:t>
      </w:r>
    </w:p>
    <w:p w:rsidR="00FF20E3" w:rsidRDefault="00FF20E3" w:rsidP="00FF20E3">
      <w:pPr>
        <w:pStyle w:val="ListBullet2"/>
        <w:numPr>
          <w:ilvl w:val="0"/>
          <w:numId w:val="57"/>
        </w:numPr>
      </w:pPr>
      <w:r>
        <w:t>the coordination of Commonwealth</w:t>
      </w:r>
      <w:r w:rsidR="000A041F">
        <w:noBreakHyphen/>
      </w:r>
      <w:r>
        <w:t>Territory funding</w:t>
      </w:r>
    </w:p>
    <w:p w:rsidR="00FF20E3" w:rsidRDefault="00FF20E3" w:rsidP="00FF20E3">
      <w:pPr>
        <w:pStyle w:val="ListBullet2"/>
        <w:numPr>
          <w:ilvl w:val="0"/>
          <w:numId w:val="57"/>
        </w:numPr>
      </w:pPr>
      <w:r>
        <w:t>the coordination, funding, design and administration of programs</w:t>
      </w:r>
    </w:p>
    <w:p w:rsidR="00FF20E3" w:rsidRDefault="00FF20E3" w:rsidP="00FF20E3">
      <w:pPr>
        <w:pStyle w:val="ListBullet2"/>
        <w:numPr>
          <w:ilvl w:val="0"/>
          <w:numId w:val="57"/>
        </w:numPr>
      </w:pPr>
      <w:r>
        <w:t>the delivery of services and levels of access.</w:t>
      </w:r>
    </w:p>
    <w:p w:rsidR="00FF20E3" w:rsidRDefault="00FF20E3" w:rsidP="004B1FC5">
      <w:pPr>
        <w:pStyle w:val="BodyText"/>
        <w:spacing w:before="120"/>
      </w:pPr>
      <w:r>
        <w:t>The Productivity Commission should have regard to:</w:t>
      </w:r>
    </w:p>
    <w:p w:rsidR="00FF20E3" w:rsidRDefault="00FF20E3" w:rsidP="00FF20E3">
      <w:pPr>
        <w:pStyle w:val="ListNumber"/>
        <w:numPr>
          <w:ilvl w:val="0"/>
          <w:numId w:val="56"/>
        </w:numPr>
      </w:pPr>
      <w:r>
        <w:t>the federal financial relations framework, set out in the Intergovernmental Agreement on Federal Financial Relations and the Federal Financial Relations Act 2009</w:t>
      </w:r>
    </w:p>
    <w:p w:rsidR="00FF20E3" w:rsidRDefault="00FF20E3" w:rsidP="00FF20E3">
      <w:pPr>
        <w:pStyle w:val="ListNumber"/>
        <w:numPr>
          <w:ilvl w:val="0"/>
          <w:numId w:val="56"/>
        </w:numPr>
      </w:pPr>
      <w:r>
        <w:t>the Commonwealth Grant Rules and Guidelines</w:t>
      </w:r>
    </w:p>
    <w:p w:rsidR="00FF20E3" w:rsidRDefault="00FF20E3" w:rsidP="00FF20E3">
      <w:pPr>
        <w:pStyle w:val="ListNumber"/>
        <w:numPr>
          <w:ilvl w:val="0"/>
          <w:numId w:val="56"/>
        </w:numPr>
      </w:pPr>
      <w:r>
        <w:t xml:space="preserve">existing funding agreements and </w:t>
      </w:r>
      <w:proofErr w:type="spellStart"/>
      <w:r>
        <w:t>contractual</w:t>
      </w:r>
      <w:proofErr w:type="spellEnd"/>
      <w:r>
        <w:t xml:space="preserve"> arrangements between relevant parties</w:t>
      </w:r>
    </w:p>
    <w:p w:rsidR="00FF20E3" w:rsidRDefault="00FF20E3" w:rsidP="00FF20E3">
      <w:pPr>
        <w:pStyle w:val="ListNumber"/>
        <w:numPr>
          <w:ilvl w:val="0"/>
          <w:numId w:val="56"/>
        </w:numPr>
      </w:pPr>
      <w:r>
        <w:t>existing accountability controls and conditions under (a), (b) and (c).</w:t>
      </w:r>
    </w:p>
    <w:p w:rsidR="00FF20E3" w:rsidRDefault="00FF20E3" w:rsidP="004B1FC5">
      <w:pPr>
        <w:pStyle w:val="BodyText"/>
        <w:spacing w:before="120"/>
      </w:pPr>
      <w:r>
        <w:t>The scope of the study does not include an assessment of the Northern Territory’s expenditure relative to the GST revenue received through the Commonwealth Grants Commission assessment process.</w:t>
      </w:r>
    </w:p>
    <w:p w:rsidR="00FF20E3" w:rsidRPr="0084790F" w:rsidRDefault="00FF20E3" w:rsidP="0084790F">
      <w:pPr>
        <w:pStyle w:val="BodyText"/>
        <w:spacing w:before="280"/>
        <w:rPr>
          <w:rFonts w:ascii="Arial" w:hAnsi="Arial" w:cs="Arial"/>
        </w:rPr>
      </w:pPr>
      <w:r w:rsidRPr="0084790F">
        <w:rPr>
          <w:rFonts w:ascii="Arial" w:hAnsi="Arial" w:cs="Arial"/>
        </w:rPr>
        <w:t>Process</w:t>
      </w:r>
    </w:p>
    <w:p w:rsidR="00FF20E3" w:rsidRDefault="00FF20E3" w:rsidP="00E911E4">
      <w:pPr>
        <w:pStyle w:val="BodyText"/>
        <w:spacing w:before="120"/>
      </w:pPr>
      <w:r>
        <w:t>The Productivity Commission will commence the study on 1</w:t>
      </w:r>
      <w:r w:rsidR="000A041F">
        <w:t> </w:t>
      </w:r>
      <w:r>
        <w:t>April 2019.</w:t>
      </w:r>
    </w:p>
    <w:p w:rsidR="00FF20E3" w:rsidRDefault="00FF20E3" w:rsidP="00FF20E3">
      <w:pPr>
        <w:pStyle w:val="BodyText"/>
      </w:pPr>
      <w:r>
        <w:t>The Productivity Commission should undertake appropriate consultation including with the Aboriginal and Torres Strait Islander community sector. The Productivity Commission should release a draft report to the public and provide the final report to Government within 12 months.</w:t>
      </w:r>
    </w:p>
    <w:p w:rsidR="0084790F" w:rsidRDefault="00FF20E3" w:rsidP="0084790F">
      <w:pPr>
        <w:pStyle w:val="BodyText"/>
        <w:spacing w:before="480"/>
        <w:jc w:val="left"/>
      </w:pPr>
      <w:r w:rsidRPr="0084790F">
        <w:rPr>
          <w:b/>
        </w:rPr>
        <w:t xml:space="preserve">The Hon Josh </w:t>
      </w:r>
      <w:proofErr w:type="spellStart"/>
      <w:r w:rsidRPr="0084790F">
        <w:rPr>
          <w:b/>
        </w:rPr>
        <w:t>Frydenberg</w:t>
      </w:r>
      <w:proofErr w:type="spellEnd"/>
      <w:r w:rsidRPr="0084790F">
        <w:rPr>
          <w:b/>
        </w:rPr>
        <w:t xml:space="preserve"> MP</w:t>
      </w:r>
      <w:r w:rsidRPr="0084790F">
        <w:br/>
      </w:r>
      <w:r>
        <w:t>Treasurer</w:t>
      </w:r>
    </w:p>
    <w:p w:rsidR="00A45035" w:rsidRDefault="00FF20E3" w:rsidP="0084790F">
      <w:pPr>
        <w:pStyle w:val="BodyText"/>
        <w:jc w:val="left"/>
        <w:rPr>
          <w:rFonts w:ascii="Arial" w:hAnsi="Arial"/>
          <w:sz w:val="32"/>
        </w:rPr>
      </w:pPr>
      <w:r>
        <w:t>[Received 14</w:t>
      </w:r>
      <w:r w:rsidR="000A041F">
        <w:t> </w:t>
      </w:r>
      <w:r>
        <w:t>March 2019]</w:t>
      </w:r>
      <w:r w:rsidR="00A45035">
        <w:br w:type="page"/>
      </w:r>
    </w:p>
    <w:p w:rsidR="00477699" w:rsidRDefault="00C47E41" w:rsidP="00FE6F7A">
      <w:pPr>
        <w:pStyle w:val="Heading2"/>
      </w:pPr>
      <w:bookmarkStart w:id="32" w:name="_Toc8377495"/>
      <w:bookmarkStart w:id="33" w:name="_Toc8393511"/>
      <w:r>
        <w:lastRenderedPageBreak/>
        <w:t>Appendix</w:t>
      </w:r>
      <w:r w:rsidR="00A45035">
        <w:t xml:space="preserve"> B</w:t>
      </w:r>
      <w:r>
        <w:t>: Some context for the study</w:t>
      </w:r>
      <w:bookmarkEnd w:id="32"/>
      <w:bookmarkEnd w:id="33"/>
    </w:p>
    <w:p w:rsidR="00C47E41" w:rsidRDefault="00C47E41" w:rsidP="00C47E41">
      <w:pPr>
        <w:pStyle w:val="Heading3"/>
        <w:spacing w:before="280"/>
      </w:pPr>
      <w:bookmarkStart w:id="34" w:name="_Toc8377496"/>
      <w:bookmarkStart w:id="35" w:name="_Toc8393512"/>
      <w:bookmarkStart w:id="36" w:name="_GoBack"/>
      <w:bookmarkEnd w:id="36"/>
      <w:r>
        <w:t>Challenges for children and families in the Northern Territory</w:t>
      </w:r>
      <w:bookmarkEnd w:id="34"/>
      <w:bookmarkEnd w:id="35"/>
    </w:p>
    <w:p w:rsidR="00C47E41" w:rsidRPr="00E12C96" w:rsidRDefault="00C47E41" w:rsidP="00C47E41">
      <w:pPr>
        <w:pStyle w:val="BodyText"/>
      </w:pPr>
      <w:r>
        <w:t>Children in the Northern Territory are more likely to experience harm than children in other parts of Australia. Although accurate data on prevalence of harm to children are not available, the statistics that are available are nevertheless alarming. In 2017</w:t>
      </w:r>
      <w:r>
        <w:noBreakHyphen/>
        <w:t>18, 1</w:t>
      </w:r>
      <w:r w:rsidR="000D73A4">
        <w:t> in 9</w:t>
      </w:r>
      <w:r>
        <w:t xml:space="preserve"> children in the Northern Territory </w:t>
      </w:r>
      <w:r w:rsidR="0059478E">
        <w:t>received</w:t>
      </w:r>
      <w:r>
        <w:t xml:space="preserve"> child protection services, four times the national average. Indigenous children are six times more likely to be receiving such services</w:t>
      </w:r>
      <w:r w:rsidR="004D45FA">
        <w:t xml:space="preserve"> than non</w:t>
      </w:r>
      <w:r w:rsidR="004D45FA">
        <w:noBreakHyphen/>
        <w:t>Indigenous children in the Northern Territory</w:t>
      </w:r>
      <w:r>
        <w:t>, and 11 times more likely to be placed in out</w:t>
      </w:r>
      <w:r>
        <w:noBreakHyphen/>
        <w:t>of</w:t>
      </w:r>
      <w:r>
        <w:noBreakHyphen/>
        <w:t>home care (box </w:t>
      </w:r>
      <w:proofErr w:type="spellStart"/>
      <w:r w:rsidR="002D285D">
        <w:t>B.</w:t>
      </w:r>
      <w:r>
        <w:t>1</w:t>
      </w:r>
      <w:proofErr w:type="spellEnd"/>
      <w:r>
        <w:t>).</w:t>
      </w:r>
    </w:p>
    <w:p w:rsidR="00C47E41" w:rsidRDefault="00C47E41" w:rsidP="00C47E41">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C47E41" w:rsidTr="00C47E41">
        <w:trPr>
          <w:tblHeader/>
        </w:trPr>
        <w:tc>
          <w:tcPr>
            <w:tcW w:w="5000" w:type="pct"/>
            <w:tcBorders>
              <w:top w:val="single" w:sz="6" w:space="0" w:color="78A22F"/>
              <w:left w:val="nil"/>
              <w:bottom w:val="nil"/>
              <w:right w:val="nil"/>
            </w:tcBorders>
            <w:shd w:val="clear" w:color="auto" w:fill="F2F2F2"/>
          </w:tcPr>
          <w:p w:rsidR="00C47E41" w:rsidRDefault="00C47E41" w:rsidP="002D285D">
            <w:pPr>
              <w:pStyle w:val="BoxTitle"/>
            </w:pPr>
            <w:r>
              <w:rPr>
                <w:b w:val="0"/>
              </w:rPr>
              <w:t xml:space="preserve">Box </w:t>
            </w:r>
            <w:proofErr w:type="spellStart"/>
            <w:r w:rsidR="002D285D">
              <w:rPr>
                <w:b w:val="0"/>
              </w:rPr>
              <w:t>B.1</w:t>
            </w:r>
            <w:proofErr w:type="spellEnd"/>
            <w:r>
              <w:tab/>
              <w:t>Child protection and youth justice in the Northern Territory</w:t>
            </w:r>
          </w:p>
        </w:tc>
      </w:tr>
      <w:tr w:rsidR="00C47E41" w:rsidTr="00C47E41">
        <w:tc>
          <w:tcPr>
            <w:tcW w:w="5000" w:type="pct"/>
            <w:tcBorders>
              <w:top w:val="nil"/>
              <w:left w:val="nil"/>
              <w:bottom w:val="nil"/>
              <w:right w:val="nil"/>
            </w:tcBorders>
            <w:shd w:val="clear" w:color="auto" w:fill="F2F2F2"/>
          </w:tcPr>
          <w:p w:rsidR="00C47E41" w:rsidRDefault="00C47E41" w:rsidP="00C47E41">
            <w:pPr>
              <w:pStyle w:val="Box"/>
            </w:pPr>
            <w:r>
              <w:t>Definitions of ‘harm’ to children are varied but typically encompass both physical and psychological harm. Northern Territory legislation defines harm as the detrimental effect of intentional or unintentional behaviour by a parent, carer or other person (whether in the family or an institutional setting) on a child’s physical, psychological or emotional wellbeing or development (</w:t>
            </w:r>
            <w:r w:rsidRPr="001B6BF7">
              <w:rPr>
                <w:i/>
              </w:rPr>
              <w:t>Care and Protection of Children Act 2007</w:t>
            </w:r>
            <w:r>
              <w:t xml:space="preserve"> (NT)). More generally, harm can be described as the effect of physical, emotional, or sexual abuse, neglect</w:t>
            </w:r>
            <w:r w:rsidR="004D45FA">
              <w:t>,</w:t>
            </w:r>
            <w:r>
              <w:t xml:space="preserve"> or exposure to physical violence.</w:t>
            </w:r>
          </w:p>
          <w:p w:rsidR="00C47E41" w:rsidRDefault="00C47E41" w:rsidP="00C47E41">
            <w:pPr>
              <w:pStyle w:val="Box"/>
            </w:pPr>
            <w:r>
              <w:t xml:space="preserve">Evidence on the prevalence and incidence of harm to children in Australia is limited. Statistics relating to </w:t>
            </w:r>
            <w:r w:rsidR="00E0508D">
              <w:t>children receiving child protection services</w:t>
            </w:r>
            <w:r>
              <w:t xml:space="preserve"> (that is, children </w:t>
            </w:r>
            <w:r w:rsidR="00E0508D">
              <w:t xml:space="preserve">who are the </w:t>
            </w:r>
            <w:r>
              <w:t>subject</w:t>
            </w:r>
            <w:r w:rsidR="00E0508D">
              <w:t>s of an investigation of a notification, on a care and protection order,</w:t>
            </w:r>
            <w:r>
              <w:t xml:space="preserve"> and</w:t>
            </w:r>
            <w:r w:rsidR="00E0508D">
              <w:t>/or in</w:t>
            </w:r>
            <w:r>
              <w:t xml:space="preserve"> out</w:t>
            </w:r>
            <w:r>
              <w:noBreakHyphen/>
              <w:t>of</w:t>
            </w:r>
            <w:r>
              <w:noBreakHyphen/>
              <w:t>home care) indicate that:</w:t>
            </w:r>
            <w:r w:rsidDel="00733704">
              <w:t xml:space="preserve"> </w:t>
            </w:r>
          </w:p>
          <w:p w:rsidR="00C47E41" w:rsidRDefault="008D47F5" w:rsidP="00C47E41">
            <w:pPr>
              <w:pStyle w:val="BoxListBullet"/>
            </w:pPr>
            <w:r>
              <w:t>of the 63</w:t>
            </w:r>
            <w:r w:rsidR="00C47E41">
              <w:t> 000 children in the Northern Territory, nearly 7400 received child protection services in 2017</w:t>
            </w:r>
            <w:r w:rsidR="000A041F">
              <w:noBreakHyphen/>
            </w:r>
            <w:r w:rsidR="00C47E41">
              <w:t>18. About half of the substantiated cases of harm to children relate to neglect</w:t>
            </w:r>
          </w:p>
          <w:p w:rsidR="00C47E41" w:rsidRDefault="00C47E41" w:rsidP="00C47E41">
            <w:pPr>
              <w:pStyle w:val="BoxListBullet"/>
            </w:pPr>
            <w:r>
              <w:t>children in the Northern Territory are four times more likely than Australian children overall to receive child protection services and twice as likely to be in out</w:t>
            </w:r>
            <w:r w:rsidR="000A041F">
              <w:noBreakHyphen/>
            </w:r>
            <w:r>
              <w:t>of</w:t>
            </w:r>
            <w:r w:rsidR="000A041F">
              <w:noBreakHyphen/>
            </w:r>
            <w:r>
              <w:t xml:space="preserve">home care. </w:t>
            </w:r>
          </w:p>
          <w:p w:rsidR="00C47E41" w:rsidRDefault="00C47E41" w:rsidP="00C47E41">
            <w:pPr>
              <w:pStyle w:val="Box"/>
            </w:pPr>
            <w:r>
              <w:t>Indigenous children are vastly overrepresented in child</w:t>
            </w:r>
            <w:r w:rsidRPr="00C14AC5">
              <w:t xml:space="preserve"> </w:t>
            </w:r>
            <w:r>
              <w:t xml:space="preserve">protection systems in all jurisdictions, including the Northern Territory. </w:t>
            </w:r>
          </w:p>
          <w:p w:rsidR="00C47E41" w:rsidRDefault="00C47E41" w:rsidP="00C47E41">
            <w:pPr>
              <w:pStyle w:val="BoxListBullet"/>
            </w:pPr>
            <w:r>
              <w:t>They are six times more likely than non</w:t>
            </w:r>
            <w:r>
              <w:noBreakHyphen/>
              <w:t>Indigenous children in the Northern Territory to receive child protection services and 11 times more likely to be in out</w:t>
            </w:r>
            <w:r>
              <w:noBreakHyphen/>
              <w:t>of</w:t>
            </w:r>
            <w:r>
              <w:noBreakHyphen/>
              <w:t xml:space="preserve">home care. The Royal Commission </w:t>
            </w:r>
            <w:r w:rsidR="00F32184">
              <w:t>received evidence</w:t>
            </w:r>
            <w:r>
              <w:t xml:space="preserve"> that about half of all Indigenous children in the Northern Territory will be the subject of at least one child protection notification by the time they are 10 years old. </w:t>
            </w:r>
          </w:p>
          <w:p w:rsidR="00C47E41" w:rsidRDefault="00C47E41" w:rsidP="00C47E41">
            <w:pPr>
              <w:pStyle w:val="BoxListBullet"/>
            </w:pPr>
            <w:r>
              <w:t>Higher rates of young people (aged under 18) in the Northern Territory are under youth justice supervision than in any other jurisdiction, and Indigenous young people are 63 times more likely than non</w:t>
            </w:r>
            <w:r w:rsidR="000A041F">
              <w:noBreakHyphen/>
            </w:r>
            <w:r>
              <w:t xml:space="preserve">Indigenous young people to be in youth detention. </w:t>
            </w:r>
          </w:p>
          <w:p w:rsidR="00C47E41" w:rsidRDefault="00C47E41" w:rsidP="00F32184">
            <w:pPr>
              <w:pStyle w:val="Box"/>
            </w:pPr>
            <w:r>
              <w:t>Other evidence shows that deaths from intentional self</w:t>
            </w:r>
            <w:r w:rsidR="000A041F">
              <w:noBreakHyphen/>
            </w:r>
            <w:r>
              <w:t xml:space="preserve">harm </w:t>
            </w:r>
            <w:r w:rsidR="00F32184">
              <w:t xml:space="preserve">by </w:t>
            </w:r>
            <w:r>
              <w:t xml:space="preserve">children </w:t>
            </w:r>
            <w:r w:rsidR="00F32184">
              <w:t xml:space="preserve">are </w:t>
            </w:r>
            <w:r>
              <w:t xml:space="preserve">significantly higher in the </w:t>
            </w:r>
            <w:r w:rsidR="00F510D1">
              <w:t xml:space="preserve">Northern </w:t>
            </w:r>
            <w:r>
              <w:t>Territory than anywhere else in Australia.</w:t>
            </w:r>
          </w:p>
        </w:tc>
      </w:tr>
      <w:tr w:rsidR="00C47E41" w:rsidTr="00C47E41">
        <w:tc>
          <w:tcPr>
            <w:tcW w:w="5000" w:type="pct"/>
            <w:tcBorders>
              <w:top w:val="nil"/>
              <w:left w:val="nil"/>
              <w:bottom w:val="nil"/>
              <w:right w:val="nil"/>
            </w:tcBorders>
            <w:shd w:val="clear" w:color="auto" w:fill="F2F2F2"/>
          </w:tcPr>
          <w:p w:rsidR="00C47E41" w:rsidRDefault="00C47E41">
            <w:pPr>
              <w:pStyle w:val="BoxSource"/>
            </w:pPr>
            <w:r>
              <w:rPr>
                <w:i/>
              </w:rPr>
              <w:t>Sources</w:t>
            </w:r>
            <w:r w:rsidRPr="00167F06">
              <w:t xml:space="preserve">: </w:t>
            </w:r>
            <w:proofErr w:type="spellStart"/>
            <w:r>
              <w:t>AIHW</w:t>
            </w:r>
            <w:proofErr w:type="spellEnd"/>
            <w:r>
              <w:t xml:space="preserve"> </w:t>
            </w:r>
            <w:r w:rsidR="00B97832" w:rsidRPr="00B97832">
              <w:rPr>
                <w:rFonts w:cs="Arial"/>
              </w:rPr>
              <w:t>(2019)</w:t>
            </w:r>
            <w:r>
              <w:t xml:space="preserve">; </w:t>
            </w:r>
            <w:proofErr w:type="spellStart"/>
            <w:r w:rsidR="00361B24">
              <w:t>RCPDCNT</w:t>
            </w:r>
            <w:proofErr w:type="spellEnd"/>
            <w:r w:rsidR="00361B24">
              <w:t xml:space="preserve"> </w:t>
            </w:r>
            <w:r w:rsidR="00B97832" w:rsidRPr="00B97832">
              <w:rPr>
                <w:rFonts w:cs="Arial"/>
              </w:rPr>
              <w:t>(2017)</w:t>
            </w:r>
            <w:r w:rsidR="00361B24">
              <w:t xml:space="preserve">; </w:t>
            </w:r>
            <w:proofErr w:type="spellStart"/>
            <w:r>
              <w:t>SCRGSP</w:t>
            </w:r>
            <w:proofErr w:type="spellEnd"/>
            <w:r>
              <w:t xml:space="preserve"> </w:t>
            </w:r>
            <w:r w:rsidR="00B97832" w:rsidRPr="00B97832">
              <w:rPr>
                <w:rFonts w:cs="Arial"/>
              </w:rPr>
              <w:t>(2019)</w:t>
            </w:r>
            <w:r w:rsidR="00361B24">
              <w:t>.</w:t>
            </w:r>
          </w:p>
        </w:tc>
      </w:tr>
      <w:tr w:rsidR="00C47E41" w:rsidTr="00C47E41">
        <w:tc>
          <w:tcPr>
            <w:tcW w:w="5000" w:type="pct"/>
            <w:tcBorders>
              <w:top w:val="nil"/>
              <w:left w:val="nil"/>
              <w:bottom w:val="single" w:sz="6" w:space="0" w:color="78A22F"/>
              <w:right w:val="nil"/>
            </w:tcBorders>
            <w:shd w:val="clear" w:color="auto" w:fill="F2F2F2"/>
          </w:tcPr>
          <w:p w:rsidR="00C47E41" w:rsidRDefault="00C47E41" w:rsidP="00C47E41">
            <w:pPr>
              <w:pStyle w:val="Box"/>
              <w:spacing w:before="0" w:line="120" w:lineRule="exact"/>
            </w:pPr>
          </w:p>
        </w:tc>
      </w:tr>
      <w:tr w:rsidR="00C47E41" w:rsidRPr="000863A5" w:rsidTr="00C47E41">
        <w:tc>
          <w:tcPr>
            <w:tcW w:w="5000" w:type="pct"/>
            <w:tcBorders>
              <w:top w:val="single" w:sz="6" w:space="0" w:color="78A22F"/>
              <w:left w:val="nil"/>
              <w:bottom w:val="nil"/>
              <w:right w:val="nil"/>
            </w:tcBorders>
          </w:tcPr>
          <w:p w:rsidR="00C47E41" w:rsidRPr="00626D32" w:rsidRDefault="00C47E41" w:rsidP="00C47E41">
            <w:pPr>
              <w:pStyle w:val="BoxSpaceBelow"/>
            </w:pPr>
          </w:p>
        </w:tc>
      </w:tr>
    </w:tbl>
    <w:p w:rsidR="00C47E41" w:rsidRDefault="00C47E41" w:rsidP="00C47E41">
      <w:pPr>
        <w:pStyle w:val="BodyText"/>
      </w:pPr>
      <w:r>
        <w:t xml:space="preserve">These outcomes reflect </w:t>
      </w:r>
      <w:r w:rsidR="00121DD7">
        <w:t xml:space="preserve">the </w:t>
      </w:r>
      <w:r>
        <w:t>high prevalence of risk factors in the Northern Territory, which stem from complex social, historical and geographic factors (box </w:t>
      </w:r>
      <w:proofErr w:type="spellStart"/>
      <w:r w:rsidR="002D285D">
        <w:t>B.</w:t>
      </w:r>
      <w:r>
        <w:t>2</w:t>
      </w:r>
      <w:proofErr w:type="spellEnd"/>
      <w:r>
        <w:t>).</w:t>
      </w:r>
    </w:p>
    <w:p w:rsidR="00C47E41" w:rsidRDefault="00C47E41" w:rsidP="00C47E41">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C47E41" w:rsidTr="00C47E41">
        <w:trPr>
          <w:tblHeader/>
        </w:trPr>
        <w:tc>
          <w:tcPr>
            <w:tcW w:w="5000" w:type="pct"/>
            <w:tcBorders>
              <w:top w:val="single" w:sz="6" w:space="0" w:color="78A22F"/>
              <w:left w:val="nil"/>
              <w:bottom w:val="nil"/>
              <w:right w:val="nil"/>
            </w:tcBorders>
            <w:shd w:val="clear" w:color="auto" w:fill="F2F2F2"/>
          </w:tcPr>
          <w:p w:rsidR="00C47E41" w:rsidRDefault="00C47E41" w:rsidP="002D285D">
            <w:pPr>
              <w:pStyle w:val="BoxTitle"/>
            </w:pPr>
            <w:r>
              <w:rPr>
                <w:b w:val="0"/>
              </w:rPr>
              <w:t xml:space="preserve">Box </w:t>
            </w:r>
            <w:proofErr w:type="spellStart"/>
            <w:r w:rsidR="002D285D">
              <w:rPr>
                <w:b w:val="0"/>
              </w:rPr>
              <w:t>B.2</w:t>
            </w:r>
            <w:proofErr w:type="spellEnd"/>
            <w:r>
              <w:tab/>
              <w:t xml:space="preserve">Some unique attributes of the Northern Territory </w:t>
            </w:r>
          </w:p>
        </w:tc>
      </w:tr>
      <w:tr w:rsidR="00C47E41" w:rsidTr="00C47E41">
        <w:tc>
          <w:tcPr>
            <w:tcW w:w="5000" w:type="pct"/>
            <w:tcBorders>
              <w:top w:val="nil"/>
              <w:left w:val="nil"/>
              <w:bottom w:val="nil"/>
              <w:right w:val="nil"/>
            </w:tcBorders>
            <w:shd w:val="clear" w:color="auto" w:fill="F2F2F2"/>
          </w:tcPr>
          <w:p w:rsidR="00C47E41" w:rsidRDefault="00C47E41" w:rsidP="00C47E41">
            <w:pPr>
              <w:pStyle w:val="Box"/>
            </w:pPr>
            <w:r>
              <w:t xml:space="preserve">The Northern Territory has a significantly higher proportion of its population living in remote areas compared to other Australian jurisdictions. </w:t>
            </w:r>
            <w:r w:rsidR="00F32184">
              <w:t>Excluding</w:t>
            </w:r>
            <w:r>
              <w:t xml:space="preserve"> </w:t>
            </w:r>
            <w:r w:rsidR="00010E80">
              <w:t xml:space="preserve">the </w:t>
            </w:r>
            <w:r>
              <w:t>Darwin</w:t>
            </w:r>
            <w:r w:rsidR="00010E80">
              <w:t xml:space="preserve"> </w:t>
            </w:r>
            <w:r w:rsidR="004A1C80">
              <w:t>region</w:t>
            </w:r>
            <w:r>
              <w:t xml:space="preserve">, all of the Northern Territory is classified as ‘remote’ or ‘very remote’, and just under half (45 per cent) of all children in the Northern Territory live in </w:t>
            </w:r>
            <w:r w:rsidR="007403B9">
              <w:t xml:space="preserve">these </w:t>
            </w:r>
            <w:r>
              <w:t xml:space="preserve">areas </w:t>
            </w:r>
            <w:r w:rsidR="00B97832" w:rsidRPr="00B97832">
              <w:rPr>
                <w:rFonts w:cs="Arial"/>
                <w:szCs w:val="24"/>
              </w:rPr>
              <w:t>(ABS 2017)</w:t>
            </w:r>
            <w:r>
              <w:t xml:space="preserve">. Providing services to remote areas is costly, which can make it difficult to sustain service delivery over long periods of time. </w:t>
            </w:r>
          </w:p>
          <w:p w:rsidR="00C47E41" w:rsidRDefault="00C47E41" w:rsidP="00C47E41">
            <w:pPr>
              <w:pStyle w:val="Box"/>
            </w:pPr>
            <w:r>
              <w:t>Children in the Northern Territory also face higher rates of socioeconomic disadvantage. Between 25 and 44 per cent of children in the Northern Territory live in areas with hig</w:t>
            </w:r>
            <w:r w:rsidR="00CC09A7">
              <w:t>h levels of socio</w:t>
            </w:r>
            <w:r>
              <w:t xml:space="preserve">economic disadvantage </w:t>
            </w:r>
            <w:r w:rsidR="00B97832" w:rsidRPr="00B97832">
              <w:rPr>
                <w:rFonts w:cs="Arial"/>
                <w:szCs w:val="24"/>
              </w:rPr>
              <w:t>(ABS 2017)</w:t>
            </w:r>
            <w:r>
              <w:t>, placing them at a higher risk of harm. This is exacerbated by a higher prevalence of other risk factors including: living in households facing p</w:t>
            </w:r>
            <w:r w:rsidRPr="005B41E0">
              <w:t>overty, unemployment, overcrowd</w:t>
            </w:r>
            <w:r>
              <w:t>ing</w:t>
            </w:r>
            <w:r w:rsidRPr="005B41E0">
              <w:t xml:space="preserve"> or unstable housing</w:t>
            </w:r>
            <w:r w:rsidR="007403B9">
              <w:t>;</w:t>
            </w:r>
            <w:r>
              <w:t xml:space="preserve"> mental health issues</w:t>
            </w:r>
            <w:r w:rsidR="007403B9">
              <w:t>;</w:t>
            </w:r>
            <w:r>
              <w:t xml:space="preserve"> substance abuse</w:t>
            </w:r>
            <w:r w:rsidR="007403B9">
              <w:t>;</w:t>
            </w:r>
            <w:r>
              <w:t xml:space="preserve"> and </w:t>
            </w:r>
            <w:r w:rsidRPr="005B41E0">
              <w:t>family violence</w:t>
            </w:r>
            <w:r>
              <w:t>.</w:t>
            </w:r>
            <w:r w:rsidRPr="005B41E0">
              <w:t xml:space="preserve"> </w:t>
            </w:r>
            <w:r>
              <w:t xml:space="preserve">For example, in 2016 approximately 12 per cent of children in the Northern Territory were living in unsuitable housing, almost 12 times the national average </w:t>
            </w:r>
            <w:r w:rsidR="00B97832" w:rsidRPr="00B97832">
              <w:rPr>
                <w:rFonts w:cs="Arial"/>
                <w:szCs w:val="24"/>
              </w:rPr>
              <w:t>(ABS 2017)</w:t>
            </w:r>
            <w:r>
              <w:t xml:space="preserve">. </w:t>
            </w:r>
          </w:p>
          <w:p w:rsidR="00C47E41" w:rsidRDefault="00C47E41" w:rsidP="00B97832">
            <w:pPr>
              <w:pStyle w:val="Box"/>
            </w:pPr>
            <w:r>
              <w:t xml:space="preserve">The share of Indigenous people in the Northern Territory’s population is the largest of any State or Territory, and about 42 </w:t>
            </w:r>
            <w:proofErr w:type="spellStart"/>
            <w:r>
              <w:t>percent</w:t>
            </w:r>
            <w:proofErr w:type="spellEnd"/>
            <w:r>
              <w:t xml:space="preserve"> of children in the Northern Territory are Indigenous </w:t>
            </w:r>
            <w:r w:rsidR="00B97832" w:rsidRPr="00B97832">
              <w:rPr>
                <w:rFonts w:cs="Arial"/>
                <w:szCs w:val="24"/>
              </w:rPr>
              <w:t>(</w:t>
            </w:r>
            <w:proofErr w:type="spellStart"/>
            <w:r w:rsidR="00B97832" w:rsidRPr="00B97832">
              <w:rPr>
                <w:rFonts w:cs="Arial"/>
                <w:szCs w:val="24"/>
              </w:rPr>
              <w:t>SCRGSP</w:t>
            </w:r>
            <w:proofErr w:type="spellEnd"/>
            <w:r w:rsidR="00B97832" w:rsidRPr="00B97832">
              <w:rPr>
                <w:rFonts w:cs="Arial"/>
                <w:szCs w:val="24"/>
              </w:rPr>
              <w:t> 2019)</w:t>
            </w:r>
            <w:r>
              <w:t xml:space="preserve">. This amplifies the need for flexible and culturally </w:t>
            </w:r>
            <w:r w:rsidR="00DA2FF3">
              <w:t xml:space="preserve">capable </w:t>
            </w:r>
            <w:r>
              <w:t>services, including services that appropriately deal with issues of intergenerational trauma and reflect the specific needs and aspirations of Indigenous communities.</w:t>
            </w:r>
            <w:r w:rsidR="000A041F">
              <w:t xml:space="preserve"> </w:t>
            </w:r>
            <w:r w:rsidR="00272CBA" w:rsidRPr="00272CBA">
              <w:t>It also presents opportunit</w:t>
            </w:r>
            <w:r w:rsidR="001027A9">
              <w:t>ies</w:t>
            </w:r>
            <w:r w:rsidR="00272CBA" w:rsidRPr="00272CBA">
              <w:t xml:space="preserve"> to build on the cultural foundations of Indigenous communities when designing and delivering </w:t>
            </w:r>
            <w:r w:rsidR="007403B9">
              <w:t>services</w:t>
            </w:r>
            <w:r w:rsidR="00272CBA" w:rsidRPr="00272CBA">
              <w:t>.</w:t>
            </w:r>
          </w:p>
        </w:tc>
      </w:tr>
      <w:tr w:rsidR="00C47E41" w:rsidTr="00C47E41">
        <w:tc>
          <w:tcPr>
            <w:tcW w:w="5000" w:type="pct"/>
            <w:tcBorders>
              <w:top w:val="nil"/>
              <w:left w:val="nil"/>
              <w:bottom w:val="single" w:sz="6" w:space="0" w:color="78A22F"/>
              <w:right w:val="nil"/>
            </w:tcBorders>
            <w:shd w:val="clear" w:color="auto" w:fill="F2F2F2"/>
          </w:tcPr>
          <w:p w:rsidR="00C47E41" w:rsidRDefault="00C47E41" w:rsidP="00C47E41">
            <w:pPr>
              <w:pStyle w:val="Box"/>
              <w:spacing w:before="0" w:line="120" w:lineRule="exact"/>
            </w:pPr>
          </w:p>
        </w:tc>
      </w:tr>
      <w:tr w:rsidR="00C47E41" w:rsidRPr="000863A5" w:rsidTr="00C47E41">
        <w:tc>
          <w:tcPr>
            <w:tcW w:w="5000" w:type="pct"/>
            <w:tcBorders>
              <w:top w:val="single" w:sz="6" w:space="0" w:color="78A22F"/>
              <w:left w:val="nil"/>
              <w:bottom w:val="nil"/>
              <w:right w:val="nil"/>
            </w:tcBorders>
          </w:tcPr>
          <w:p w:rsidR="00C47E41" w:rsidRPr="00626D32" w:rsidRDefault="00C47E41" w:rsidP="00C47E41">
            <w:pPr>
              <w:pStyle w:val="BoxSpaceBelow"/>
            </w:pPr>
          </w:p>
        </w:tc>
      </w:tr>
    </w:tbl>
    <w:p w:rsidR="00C47E41" w:rsidRPr="00A14A10" w:rsidRDefault="00C47E41" w:rsidP="002A4DA2">
      <w:pPr>
        <w:pStyle w:val="Heading3"/>
        <w:rPr>
          <w:rFonts w:ascii="Arial Bold" w:hAnsi="Arial Bold"/>
          <w:spacing w:val="-4"/>
        </w:rPr>
      </w:pPr>
      <w:bookmarkStart w:id="37" w:name="_Toc8377497"/>
      <w:bookmarkStart w:id="38" w:name="_Toc8393513"/>
      <w:r w:rsidRPr="00A14A10">
        <w:rPr>
          <w:rFonts w:ascii="Arial Bold" w:hAnsi="Arial Bold"/>
          <w:spacing w:val="-4"/>
        </w:rPr>
        <w:t>Previous inquiries into the protection of children in the Northern Territory</w:t>
      </w:r>
      <w:bookmarkEnd w:id="37"/>
      <w:bookmarkEnd w:id="38"/>
    </w:p>
    <w:p w:rsidR="00C47E41" w:rsidRPr="00715401" w:rsidRDefault="00C47E41" w:rsidP="00C47E41">
      <w:pPr>
        <w:pStyle w:val="BodyText"/>
        <w:rPr>
          <w:i/>
        </w:rPr>
      </w:pPr>
      <w:r>
        <w:t xml:space="preserve">There have been numerous inquiries over the years about what governments could do better in relation to child protection, youth justice and the provision of children and family services. In the past decade, there have been multiple reviews focused on the Northern Territory alone, including the </w:t>
      </w:r>
      <w:r>
        <w:rPr>
          <w:i/>
        </w:rPr>
        <w:t>Little Children are Sacred</w:t>
      </w:r>
      <w:r>
        <w:t xml:space="preserve"> report on </w:t>
      </w:r>
      <w:r w:rsidR="007403B9">
        <w:t xml:space="preserve">the </w:t>
      </w:r>
      <w:r>
        <w:t xml:space="preserve">sexual abuse of children (2007), the </w:t>
      </w:r>
      <w:r>
        <w:rPr>
          <w:i/>
        </w:rPr>
        <w:t>Growing Them Strong, Together</w:t>
      </w:r>
      <w:r>
        <w:t xml:space="preserve"> report on the child protection system (2010) and, most recently, the Royal Commission’s report on the protection and detention of children (2017).</w:t>
      </w:r>
    </w:p>
    <w:p w:rsidR="00C47E41" w:rsidRDefault="00C47E41" w:rsidP="00C47E41">
      <w:pPr>
        <w:pStyle w:val="BodyText"/>
      </w:pPr>
      <w:r>
        <w:t>All three inquiries found systemic problems with the way children and family services were being funded in the Northern Territory. These problems include a lack of rigorous tracking of how funding was being spent or the outcomes it was achieving, duplication between service providers, a lack of coordination between the Northern Territory and Australian Governments, and the failure to build the capacity of communities to manage and provide services locally. In particular, the recent Royal Commission concluded that:</w:t>
      </w:r>
    </w:p>
    <w:p w:rsidR="00C47E41" w:rsidRDefault="00C47E41" w:rsidP="00C47E41">
      <w:pPr>
        <w:pStyle w:val="Quote"/>
      </w:pPr>
      <w:r>
        <w:t xml:space="preserve">… </w:t>
      </w:r>
      <w:r w:rsidRPr="00922202">
        <w:t xml:space="preserve">the underlying problem is </w:t>
      </w:r>
      <w:r w:rsidRPr="00352DB6">
        <w:t>not the level of overall funding</w:t>
      </w:r>
      <w:r w:rsidRPr="00922202">
        <w:t xml:space="preserve"> but that Commonwealth and Northern Territory Government investment is not rigorously tracked, monitored or evaluated to ensure that it is appropriately distributed and directed</w:t>
      </w:r>
      <w:r>
        <w:t xml:space="preserve">. </w:t>
      </w:r>
      <w:r w:rsidRPr="0087317A">
        <w:t xml:space="preserve">Value for the money expended cannot be demonstrated. </w:t>
      </w:r>
      <w:r w:rsidR="00B97832" w:rsidRPr="00B97832">
        <w:rPr>
          <w:szCs w:val="24"/>
        </w:rPr>
        <w:t>(</w:t>
      </w:r>
      <w:proofErr w:type="spellStart"/>
      <w:r w:rsidR="00B97832" w:rsidRPr="00B97832">
        <w:rPr>
          <w:szCs w:val="24"/>
        </w:rPr>
        <w:t>RCPDCNT</w:t>
      </w:r>
      <w:proofErr w:type="spellEnd"/>
      <w:r w:rsidR="00B97832" w:rsidRPr="00B97832">
        <w:rPr>
          <w:szCs w:val="24"/>
        </w:rPr>
        <w:t> 2017, vol. 1, p.</w:t>
      </w:r>
      <w:r w:rsidR="0035532D">
        <w:rPr>
          <w:szCs w:val="24"/>
        </w:rPr>
        <w:t> </w:t>
      </w:r>
      <w:r w:rsidR="00B97832" w:rsidRPr="00B97832">
        <w:rPr>
          <w:szCs w:val="24"/>
        </w:rPr>
        <w:t>40)</w:t>
      </w:r>
    </w:p>
    <w:p w:rsidR="00C47E41" w:rsidRDefault="00C47E41" w:rsidP="002D285D">
      <w:pPr>
        <w:pStyle w:val="BodyText"/>
        <w:keepNext/>
      </w:pPr>
      <w:r>
        <w:lastRenderedPageBreak/>
        <w:t>Specifically, it reported that:</w:t>
      </w:r>
    </w:p>
    <w:p w:rsidR="00C47E41" w:rsidRDefault="00C47E41" w:rsidP="00C47E41">
      <w:pPr>
        <w:pStyle w:val="ListBullet"/>
      </w:pPr>
      <w:r>
        <w:t>neither the Northern Territory</w:t>
      </w:r>
      <w:r w:rsidR="00AB4F8C">
        <w:t xml:space="preserve"> Government</w:t>
      </w:r>
      <w:r>
        <w:t xml:space="preserve"> </w:t>
      </w:r>
      <w:r w:rsidR="00F90D1D">
        <w:t>n</w:t>
      </w:r>
      <w:r>
        <w:t>or</w:t>
      </w:r>
      <w:r w:rsidR="00F90D1D">
        <w:t xml:space="preserve"> the</w:t>
      </w:r>
      <w:r>
        <w:t xml:space="preserve"> Australian Government maintained a centralised list of child protection or youth justice services, or was able to provide a complete list on request</w:t>
      </w:r>
    </w:p>
    <w:p w:rsidR="00C47E41" w:rsidRDefault="00C47E41" w:rsidP="00C47E41">
      <w:pPr>
        <w:pStyle w:val="ListBullet"/>
      </w:pPr>
      <w:r>
        <w:t>government funds were directed to programs without reference of the existence of other programs, their target locations or outcomes, with the absence of a clear coordination framework for funding by each level of government</w:t>
      </w:r>
    </w:p>
    <w:p w:rsidR="00C47E41" w:rsidRDefault="00C47E41" w:rsidP="00C47E41">
      <w:pPr>
        <w:pStyle w:val="ListBullet"/>
      </w:pPr>
      <w:r>
        <w:t>many remote communities are contending with dozens of different programs delivered by a myriad of government agencies and contracted service providers</w:t>
      </w:r>
    </w:p>
    <w:p w:rsidR="00C47E41" w:rsidRDefault="00C47E41" w:rsidP="00C47E41">
      <w:pPr>
        <w:pStyle w:val="ListBullet"/>
      </w:pPr>
      <w:r>
        <w:t>many programs do not appear to have been evaluated against their intended outcomes</w:t>
      </w:r>
    </w:p>
    <w:p w:rsidR="00C47E41" w:rsidRDefault="00C47E41" w:rsidP="00C47E41">
      <w:pPr>
        <w:pStyle w:val="ListBullet"/>
      </w:pPr>
      <w:r>
        <w:t xml:space="preserve">consultation and engagement with affected Indigenous communities has generally been absent in all levels of program design and service implementation </w:t>
      </w:r>
    </w:p>
    <w:p w:rsidR="00C47E41" w:rsidRDefault="00C47E41" w:rsidP="00C47E41">
      <w:pPr>
        <w:pStyle w:val="ListBullet"/>
      </w:pPr>
      <w:r>
        <w:t>there has been an emphasis on delivering services to Indigenous communities, rather than by or with those communities.</w:t>
      </w:r>
    </w:p>
    <w:p w:rsidR="00C72404" w:rsidRDefault="00C47E41" w:rsidP="00C47E41">
      <w:pPr>
        <w:pStyle w:val="BodyText"/>
      </w:pPr>
      <w:r>
        <w:t>The Royal Commission recommended a suite of reforms across a wide range of areas and set out a bluepri</w:t>
      </w:r>
      <w:r w:rsidR="002D285D">
        <w:t>nt for system</w:t>
      </w:r>
      <w:r w:rsidR="000A041F">
        <w:noBreakHyphen/>
      </w:r>
      <w:r w:rsidR="002D285D">
        <w:t>wide change (box </w:t>
      </w:r>
      <w:proofErr w:type="spellStart"/>
      <w:r w:rsidR="002D285D">
        <w:t>B.3</w:t>
      </w:r>
      <w:proofErr w:type="spellEnd"/>
      <w:r>
        <w:t xml:space="preserve">). Many of these echo similar recommendations made in the preceding inquiries. </w:t>
      </w:r>
    </w:p>
    <w:p w:rsidR="00C72404" w:rsidRDefault="00C72404" w:rsidP="00484B32">
      <w:pPr>
        <w:pStyle w:val="BodyText"/>
      </w:pPr>
      <w:r>
        <w:t>The Northern Territory Government supported all the recommendations directed to it in the Royal Commission’s report, and announced $230 million in new funding over five years to improve children and family services. This includes establishing eleven new Child and Family Centres to coo</w:t>
      </w:r>
      <w:r w:rsidR="007403B9">
        <w:t xml:space="preserve">rdinate local service delivery, </w:t>
      </w:r>
      <w:r>
        <w:t>consulting with Indigenous organisations and commun</w:t>
      </w:r>
      <w:r w:rsidR="007403B9">
        <w:t>ities to support local decision</w:t>
      </w:r>
      <w:r w:rsidR="007403B9">
        <w:noBreakHyphen/>
      </w:r>
      <w:r>
        <w:t xml:space="preserve">making approaches, and making changes to the youth justice system. </w:t>
      </w:r>
      <w:r w:rsidR="005779C4">
        <w:t>In November 2018, the Northern Territory Government published s</w:t>
      </w:r>
      <w:r w:rsidR="00AB4F8C">
        <w:t xml:space="preserve">ome detail </w:t>
      </w:r>
      <w:r w:rsidR="005779C4">
        <w:t xml:space="preserve">on </w:t>
      </w:r>
      <w:r w:rsidR="00F25BE8">
        <w:t xml:space="preserve">its </w:t>
      </w:r>
      <w:r w:rsidR="00AB4F8C" w:rsidRPr="00AB4F8C">
        <w:t xml:space="preserve">progress </w:t>
      </w:r>
      <w:r w:rsidR="005779C4">
        <w:t>in implementing</w:t>
      </w:r>
      <w:r w:rsidR="00AB4F8C" w:rsidRPr="00AB4F8C">
        <w:t xml:space="preserve"> these recommendations</w:t>
      </w:r>
      <w:r w:rsidR="007403B9">
        <w:t xml:space="preserve"> </w:t>
      </w:r>
      <w:r w:rsidR="00B97832" w:rsidRPr="00B97832">
        <w:rPr>
          <w:szCs w:val="24"/>
        </w:rPr>
        <w:t>(Northern Territory Government </w:t>
      </w:r>
      <w:proofErr w:type="spellStart"/>
      <w:r w:rsidR="00B97832" w:rsidRPr="00B97832">
        <w:rPr>
          <w:szCs w:val="24"/>
        </w:rPr>
        <w:t>2018b</w:t>
      </w:r>
      <w:proofErr w:type="spellEnd"/>
      <w:r w:rsidR="00B97832" w:rsidRPr="00B97832">
        <w:rPr>
          <w:szCs w:val="24"/>
        </w:rPr>
        <w:t>)</w:t>
      </w:r>
      <w:r w:rsidR="00AB4F8C" w:rsidRPr="00AB4F8C">
        <w:t>.</w:t>
      </w:r>
    </w:p>
    <w:p w:rsidR="00D804CD" w:rsidRDefault="00D804CD" w:rsidP="00D804CD">
      <w:pPr>
        <w:pStyle w:val="Heading3"/>
      </w:pPr>
      <w:bookmarkStart w:id="39" w:name="_Toc8377498"/>
      <w:bookmarkStart w:id="40" w:name="_Toc8393514"/>
      <w:r>
        <w:t>A place</w:t>
      </w:r>
      <w:r>
        <w:noBreakHyphen/>
        <w:t>based approach to service provision</w:t>
      </w:r>
      <w:bookmarkEnd w:id="39"/>
      <w:bookmarkEnd w:id="40"/>
    </w:p>
    <w:p w:rsidR="00D804CD" w:rsidRDefault="00D804CD" w:rsidP="00D804CD">
      <w:pPr>
        <w:pStyle w:val="BodyText"/>
      </w:pPr>
      <w:r>
        <w:t xml:space="preserve">A common theme of previous inquiries is that governments need to adopt a </w:t>
      </w:r>
      <w:r w:rsidRPr="00E13EFC">
        <w:t>place</w:t>
      </w:r>
      <w:r w:rsidRPr="00E13EFC">
        <w:noBreakHyphen/>
        <w:t>based approach</w:t>
      </w:r>
      <w:r>
        <w:t xml:space="preserve"> to enable communities to make their own decisions about service provision. </w:t>
      </w:r>
      <w:r w:rsidRPr="00FC1B0A">
        <w:t>The Productivity Commission’s</w:t>
      </w:r>
      <w:r>
        <w:t xml:space="preserve"> recent</w:t>
      </w:r>
      <w:r w:rsidRPr="00FC1B0A">
        <w:t xml:space="preserve"> inquiry </w:t>
      </w:r>
      <w:r>
        <w:t>on</w:t>
      </w:r>
      <w:r w:rsidRPr="00FC1B0A">
        <w:t xml:space="preserve"> </w:t>
      </w:r>
      <w:r>
        <w:t>c</w:t>
      </w:r>
      <w:r w:rsidRPr="00FC1B0A">
        <w:t xml:space="preserve">ompetition in </w:t>
      </w:r>
      <w:r>
        <w:t>h</w:t>
      </w:r>
      <w:r w:rsidRPr="00FC1B0A">
        <w:t xml:space="preserve">uman </w:t>
      </w:r>
      <w:r>
        <w:t>s</w:t>
      </w:r>
      <w:r w:rsidRPr="00FC1B0A">
        <w:t>ervices also recommended that in the long term, governments should shift towards place</w:t>
      </w:r>
      <w:r>
        <w:noBreakHyphen/>
      </w:r>
      <w:r w:rsidRPr="00FC1B0A">
        <w:t>based approaches to service delivery where local governance capacity can take on that responsibility</w:t>
      </w:r>
      <w:r>
        <w:t xml:space="preserve"> </w:t>
      </w:r>
      <w:r w:rsidRPr="00B97832">
        <w:rPr>
          <w:szCs w:val="24"/>
        </w:rPr>
        <w:t>(PC </w:t>
      </w:r>
      <w:proofErr w:type="spellStart"/>
      <w:r w:rsidRPr="00B97832">
        <w:rPr>
          <w:szCs w:val="24"/>
        </w:rPr>
        <w:t>2017a</w:t>
      </w:r>
      <w:proofErr w:type="spellEnd"/>
      <w:r w:rsidRPr="00B97832">
        <w:rPr>
          <w:szCs w:val="24"/>
        </w:rPr>
        <w:t>)</w:t>
      </w:r>
      <w:r w:rsidRPr="00FC1B0A">
        <w:t>.</w:t>
      </w:r>
    </w:p>
    <w:p w:rsidR="00C72404" w:rsidRDefault="00C72404" w:rsidP="00C72404">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C72404" w:rsidTr="00C72404">
        <w:trPr>
          <w:tblHeader/>
        </w:trPr>
        <w:tc>
          <w:tcPr>
            <w:tcW w:w="5000" w:type="pct"/>
            <w:tcBorders>
              <w:top w:val="single" w:sz="6" w:space="0" w:color="78A22F"/>
              <w:left w:val="nil"/>
              <w:bottom w:val="nil"/>
              <w:right w:val="nil"/>
            </w:tcBorders>
            <w:shd w:val="clear" w:color="auto" w:fill="F2F2F2"/>
          </w:tcPr>
          <w:p w:rsidR="00C72404" w:rsidRDefault="00C72404" w:rsidP="002D285D">
            <w:pPr>
              <w:pStyle w:val="BoxTitle"/>
            </w:pPr>
            <w:r>
              <w:rPr>
                <w:b w:val="0"/>
              </w:rPr>
              <w:t xml:space="preserve">Box </w:t>
            </w:r>
            <w:proofErr w:type="spellStart"/>
            <w:r w:rsidR="002D285D">
              <w:rPr>
                <w:b w:val="0"/>
              </w:rPr>
              <w:t>B.3</w:t>
            </w:r>
            <w:proofErr w:type="spellEnd"/>
            <w:r>
              <w:tab/>
              <w:t>Key recommendations from the Royal Commission</w:t>
            </w:r>
          </w:p>
        </w:tc>
      </w:tr>
      <w:tr w:rsidR="00C72404" w:rsidTr="00C72404">
        <w:tc>
          <w:tcPr>
            <w:tcW w:w="5000" w:type="pct"/>
            <w:tcBorders>
              <w:top w:val="nil"/>
              <w:left w:val="nil"/>
              <w:bottom w:val="nil"/>
              <w:right w:val="nil"/>
            </w:tcBorders>
            <w:shd w:val="clear" w:color="auto" w:fill="F2F2F2"/>
          </w:tcPr>
          <w:p w:rsidR="00C72404" w:rsidRDefault="00C72404" w:rsidP="00C72404">
            <w:pPr>
              <w:pStyle w:val="Box"/>
            </w:pPr>
            <w:r>
              <w:t>The central elements of the suite of reforms made by the Royal Commission are:</w:t>
            </w:r>
          </w:p>
          <w:p w:rsidR="00C72404" w:rsidRDefault="00C72404" w:rsidP="00C72404">
            <w:pPr>
              <w:pStyle w:val="BoxListBullet"/>
            </w:pPr>
            <w:r>
              <w:t>developing a 10</w:t>
            </w:r>
            <w:r w:rsidR="000A041F">
              <w:noBreakHyphen/>
            </w:r>
            <w:r>
              <w:t>year Generational Strategy for Families and Children for addressing child protection and the prevention of harm to children</w:t>
            </w:r>
          </w:p>
          <w:p w:rsidR="00C72404" w:rsidRPr="00E6119F" w:rsidRDefault="00C72404" w:rsidP="00C72404">
            <w:pPr>
              <w:pStyle w:val="BoxListBullet"/>
            </w:pPr>
            <w:r>
              <w:t xml:space="preserve">establishing a </w:t>
            </w:r>
            <w:r w:rsidRPr="00E6119F">
              <w:t xml:space="preserve">network of at least 20 Family Support Centres </w:t>
            </w:r>
            <w:r>
              <w:t>that provide</w:t>
            </w:r>
            <w:r w:rsidRPr="00E6119F">
              <w:t xml:space="preserve"> integrated services at a local level</w:t>
            </w:r>
          </w:p>
          <w:p w:rsidR="00C72404" w:rsidRDefault="00C72404" w:rsidP="00C72404">
            <w:pPr>
              <w:pStyle w:val="BoxListBullet"/>
            </w:pPr>
            <w:r>
              <w:t xml:space="preserve">adopting </w:t>
            </w:r>
            <w:r w:rsidRPr="00E6119F">
              <w:t>a public health approach to address</w:t>
            </w:r>
            <w:r>
              <w:t>ing</w:t>
            </w:r>
            <w:r w:rsidRPr="00E6119F">
              <w:t xml:space="preserve"> the problem of child abuse and neglect</w:t>
            </w:r>
            <w:r>
              <w:t xml:space="preserve"> — in essence, </w:t>
            </w:r>
            <w:r w:rsidRPr="002D3444">
              <w:t>shift</w:t>
            </w:r>
            <w:r>
              <w:t xml:space="preserve">ing </w:t>
            </w:r>
            <w:r w:rsidRPr="002D3444">
              <w:t xml:space="preserve">the focus </w:t>
            </w:r>
            <w:r>
              <w:t xml:space="preserve">from </w:t>
            </w:r>
            <w:r w:rsidRPr="0038195E">
              <w:t xml:space="preserve">statutory responses </w:t>
            </w:r>
            <w:r>
              <w:t xml:space="preserve">to </w:t>
            </w:r>
            <w:r w:rsidRPr="002D3444">
              <w:t>p</w:t>
            </w:r>
            <w:r>
              <w:t>revention and early intervention and support</w:t>
            </w:r>
          </w:p>
          <w:p w:rsidR="00C72404" w:rsidRDefault="00C72404" w:rsidP="00C72404">
            <w:pPr>
              <w:pStyle w:val="BoxListBullet"/>
            </w:pPr>
            <w:r>
              <w:t>carrying out prevalence, needs, service mapping and service referral studies to gather information about the needs of children and families, and what services are currently available</w:t>
            </w:r>
          </w:p>
          <w:p w:rsidR="00C72404" w:rsidRDefault="00C72404" w:rsidP="00C72404">
            <w:pPr>
              <w:pStyle w:val="BoxListBullet"/>
            </w:pPr>
            <w:r>
              <w:t>better coordination and engagement through:</w:t>
            </w:r>
          </w:p>
          <w:p w:rsidR="00C72404" w:rsidRDefault="00C72404" w:rsidP="00C72404">
            <w:pPr>
              <w:pStyle w:val="BoxListBullet2"/>
            </w:pPr>
            <w:r>
              <w:t>the establishment of a Tripartite Forum with representatives from the Australian Government, Northern Territory Government and community sector to better coordinate and advise</w:t>
            </w:r>
            <w:r w:rsidR="00484B32">
              <w:t xml:space="preserve"> on</w:t>
            </w:r>
            <w:r>
              <w:t xml:space="preserve"> policy for young people in the youth justice and child protection systems</w:t>
            </w:r>
          </w:p>
          <w:p w:rsidR="00C72404" w:rsidRDefault="00C72404" w:rsidP="00C72404">
            <w:pPr>
              <w:pStyle w:val="BoxListBullet2"/>
            </w:pPr>
            <w:r>
              <w:t>the establishment of a joint</w:t>
            </w:r>
            <w:r w:rsidR="002E671A">
              <w:t xml:space="preserve"> </w:t>
            </w:r>
            <w:r>
              <w:t xml:space="preserve">funding framework between the Australian and </w:t>
            </w:r>
            <w:r w:rsidR="006D7C3F">
              <w:t xml:space="preserve">Northern </w:t>
            </w:r>
            <w:r>
              <w:t>Territory Governments, to set policies for an agreed approach to the planning, funding and delivery of services for families and children in the Northern Territory</w:t>
            </w:r>
          </w:p>
          <w:p w:rsidR="00C72404" w:rsidRDefault="00C72404" w:rsidP="00C72404">
            <w:pPr>
              <w:pStyle w:val="BoxListBullet"/>
            </w:pPr>
            <w:r>
              <w:t>improv</w:t>
            </w:r>
            <w:r w:rsidR="006D7C3F">
              <w:t>ing</w:t>
            </w:r>
            <w:r>
              <w:t xml:space="preserve"> oversight and reporting, including through </w:t>
            </w:r>
            <w:r w:rsidRPr="00E6119F">
              <w:t>the establishment of a Commission for Children and Young People which would have statutory responsib</w:t>
            </w:r>
            <w:r w:rsidR="00C817DA">
              <w:t>ility for all children in the Northern Territory</w:t>
            </w:r>
            <w:r w:rsidRPr="00E6119F">
              <w:t xml:space="preserve"> (not just those deemed vulnerable)</w:t>
            </w:r>
            <w:r>
              <w:t>.</w:t>
            </w:r>
          </w:p>
          <w:p w:rsidR="00C72404" w:rsidRDefault="00C72404" w:rsidP="006D7C3F">
            <w:pPr>
              <w:pStyle w:val="Box"/>
            </w:pPr>
            <w:r>
              <w:t>The Royal Commission also recommended that both the Northern Territory and Australian G</w:t>
            </w:r>
            <w:r w:rsidR="006D7C3F">
              <w:t xml:space="preserve">overnments commit to a </w:t>
            </w:r>
            <w:r>
              <w:t>place</w:t>
            </w:r>
            <w:r>
              <w:noBreakHyphen/>
              <w:t>based approach to implementing its recommendations in partnership with local communities, and to reach agreement on the strategies, policies and programs needed to provide sustained positive outcomes for children and young pe</w:t>
            </w:r>
            <w:r w:rsidR="006D7C3F">
              <w:t>ople in</w:t>
            </w:r>
            <w:r>
              <w:t xml:space="preserve"> each ‘place’. The broad terms of these partnerships are to be based on immediate engagement with Indigenous community representatives, and</w:t>
            </w:r>
            <w:r w:rsidR="006D7C3F">
              <w:t xml:space="preserve"> to</w:t>
            </w:r>
            <w:r>
              <w:t xml:space="preserve"> reflect a range of principles including the best interest of the child, local decision</w:t>
            </w:r>
            <w:r w:rsidR="006D7C3F">
              <w:t xml:space="preserve"> </w:t>
            </w:r>
            <w:r>
              <w:t>making, and shared responsibility and accountability.</w:t>
            </w:r>
          </w:p>
        </w:tc>
      </w:tr>
      <w:tr w:rsidR="00C72404" w:rsidTr="00C72404">
        <w:tc>
          <w:tcPr>
            <w:tcW w:w="5000" w:type="pct"/>
            <w:tcBorders>
              <w:top w:val="nil"/>
              <w:left w:val="nil"/>
              <w:bottom w:val="nil"/>
              <w:right w:val="nil"/>
            </w:tcBorders>
            <w:shd w:val="clear" w:color="auto" w:fill="F2F2F2"/>
          </w:tcPr>
          <w:p w:rsidR="00C72404" w:rsidRDefault="00C72404" w:rsidP="00361B24">
            <w:pPr>
              <w:pStyle w:val="BoxSource"/>
            </w:pPr>
            <w:r>
              <w:rPr>
                <w:i/>
              </w:rPr>
              <w:t>Source</w:t>
            </w:r>
            <w:r>
              <w:t xml:space="preserve">: </w:t>
            </w:r>
            <w:proofErr w:type="spellStart"/>
            <w:r w:rsidR="00361B24">
              <w:t>RCPDCNT</w:t>
            </w:r>
            <w:proofErr w:type="spellEnd"/>
            <w:r>
              <w:t xml:space="preserve"> </w:t>
            </w:r>
            <w:r w:rsidR="00B97832" w:rsidRPr="00B97832">
              <w:rPr>
                <w:rFonts w:cs="Arial"/>
              </w:rPr>
              <w:t>(2017)</w:t>
            </w:r>
            <w:r>
              <w:t>.</w:t>
            </w:r>
          </w:p>
        </w:tc>
      </w:tr>
      <w:tr w:rsidR="00C72404" w:rsidTr="00C72404">
        <w:tc>
          <w:tcPr>
            <w:tcW w:w="5000" w:type="pct"/>
            <w:tcBorders>
              <w:top w:val="nil"/>
              <w:left w:val="nil"/>
              <w:bottom w:val="single" w:sz="6" w:space="0" w:color="78A22F"/>
              <w:right w:val="nil"/>
            </w:tcBorders>
            <w:shd w:val="clear" w:color="auto" w:fill="F2F2F2"/>
          </w:tcPr>
          <w:p w:rsidR="00C72404" w:rsidRDefault="00C72404" w:rsidP="00C72404">
            <w:pPr>
              <w:pStyle w:val="Box"/>
              <w:spacing w:before="0" w:line="120" w:lineRule="exact"/>
            </w:pPr>
          </w:p>
        </w:tc>
      </w:tr>
      <w:tr w:rsidR="00C72404" w:rsidRPr="000863A5" w:rsidTr="00C72404">
        <w:tc>
          <w:tcPr>
            <w:tcW w:w="5000" w:type="pct"/>
            <w:tcBorders>
              <w:top w:val="single" w:sz="6" w:space="0" w:color="78A22F"/>
              <w:left w:val="nil"/>
              <w:bottom w:val="nil"/>
              <w:right w:val="nil"/>
            </w:tcBorders>
          </w:tcPr>
          <w:p w:rsidR="00C72404" w:rsidRPr="00626D32" w:rsidRDefault="00C72404" w:rsidP="00C72404">
            <w:pPr>
              <w:pStyle w:val="BoxSpaceBelow"/>
            </w:pPr>
          </w:p>
        </w:tc>
      </w:tr>
    </w:tbl>
    <w:p w:rsidR="00D804CD" w:rsidRDefault="00D804CD" w:rsidP="00D804CD">
      <w:pPr>
        <w:pStyle w:val="BodyText"/>
      </w:pPr>
      <w:r>
        <w:t>A place</w:t>
      </w:r>
      <w:r>
        <w:noBreakHyphen/>
        <w:t xml:space="preserve">based approach involves taking a flexible approach to service provision to find </w:t>
      </w:r>
      <w:r w:rsidRPr="00E02818">
        <w:t>fit</w:t>
      </w:r>
      <w:r>
        <w:noBreakHyphen/>
      </w:r>
      <w:r w:rsidRPr="00E02818">
        <w:t>for</w:t>
      </w:r>
      <w:r>
        <w:noBreakHyphen/>
      </w:r>
      <w:r w:rsidRPr="00E02818">
        <w:t xml:space="preserve">purpose </w:t>
      </w:r>
      <w:r>
        <w:t>solutions for local communities. This means recognising that different communities have different histories, languages and social, political and cultural dynamics — and hence different service needs. By its nature, a place</w:t>
      </w:r>
      <w:r>
        <w:noBreakHyphen/>
        <w:t>based approach relies on engagement between governments and the community to understand the specific issues faced by the community.</w:t>
      </w:r>
    </w:p>
    <w:p w:rsidR="00BC6F0F" w:rsidRDefault="005E1FB7" w:rsidP="00C47E41">
      <w:pPr>
        <w:pStyle w:val="BodyText"/>
      </w:pPr>
      <w:r>
        <w:t>Often, this entails a greater emphasis</w:t>
      </w:r>
      <w:r w:rsidR="00FC1B0A">
        <w:t xml:space="preserve"> on </w:t>
      </w:r>
      <w:r w:rsidR="00BC6F0F">
        <w:t>providing services</w:t>
      </w:r>
      <w:r w:rsidR="00BC6F0F" w:rsidRPr="00BC6F0F">
        <w:t xml:space="preserve"> </w:t>
      </w:r>
      <w:r w:rsidR="00FC1B0A">
        <w:t>on a local scale</w:t>
      </w:r>
      <w:r>
        <w:t xml:space="preserve">. According to the </w:t>
      </w:r>
      <w:r w:rsidR="00DA3B84">
        <w:t>Royal Commission</w:t>
      </w:r>
      <w:r>
        <w:t>:</w:t>
      </w:r>
    </w:p>
    <w:p w:rsidR="00BC6F0F" w:rsidRDefault="00A7466B" w:rsidP="00A73631">
      <w:pPr>
        <w:pStyle w:val="Quote"/>
      </w:pPr>
      <w:r>
        <w:t>…</w:t>
      </w:r>
      <w:r w:rsidR="00BC6F0F" w:rsidRPr="00BC6F0F">
        <w:t xml:space="preserve"> place</w:t>
      </w:r>
      <w:r w:rsidR="000A041F">
        <w:noBreakHyphen/>
      </w:r>
      <w:r w:rsidR="00BC6F0F" w:rsidRPr="00BC6F0F">
        <w:t>based services are an important part of ensuring that programs and services reach families that need them and this can only be assessed by looking at service availability place by place. The provision of place</w:t>
      </w:r>
      <w:r w:rsidR="000A041F">
        <w:noBreakHyphen/>
      </w:r>
      <w:r w:rsidR="00BC6F0F" w:rsidRPr="00BC6F0F">
        <w:t xml:space="preserve">based services are likely to be more effective because services can be provided by organisations who know the families and understand their problems, will be </w:t>
      </w:r>
      <w:r w:rsidR="00BC6F0F" w:rsidRPr="00BC6F0F">
        <w:lastRenderedPageBreak/>
        <w:t>familiar with what supports are available and can ensure the accessibility and availability of those supports and services.</w:t>
      </w:r>
      <w:r w:rsidR="00A53362">
        <w:t xml:space="preserve"> </w:t>
      </w:r>
      <w:r w:rsidR="00B97832" w:rsidRPr="00B97832">
        <w:rPr>
          <w:szCs w:val="24"/>
        </w:rPr>
        <w:t>(</w:t>
      </w:r>
      <w:proofErr w:type="spellStart"/>
      <w:r w:rsidR="00B97832" w:rsidRPr="00B97832">
        <w:rPr>
          <w:szCs w:val="24"/>
        </w:rPr>
        <w:t>RCPDCNT</w:t>
      </w:r>
      <w:proofErr w:type="spellEnd"/>
      <w:r w:rsidR="00B97832" w:rsidRPr="00B97832">
        <w:rPr>
          <w:szCs w:val="24"/>
        </w:rPr>
        <w:t> 2017, vol. </w:t>
      </w:r>
      <w:proofErr w:type="spellStart"/>
      <w:r w:rsidR="00B97832" w:rsidRPr="00B97832">
        <w:rPr>
          <w:szCs w:val="24"/>
        </w:rPr>
        <w:t>3B</w:t>
      </w:r>
      <w:proofErr w:type="spellEnd"/>
      <w:r w:rsidR="00B97832" w:rsidRPr="00B97832">
        <w:rPr>
          <w:szCs w:val="24"/>
        </w:rPr>
        <w:t>, p.</w:t>
      </w:r>
      <w:r w:rsidR="0035532D">
        <w:rPr>
          <w:szCs w:val="24"/>
        </w:rPr>
        <w:t> </w:t>
      </w:r>
      <w:r w:rsidR="00B97832" w:rsidRPr="00B97832">
        <w:rPr>
          <w:szCs w:val="24"/>
        </w:rPr>
        <w:t>181)</w:t>
      </w:r>
    </w:p>
    <w:p w:rsidR="00C72404" w:rsidRDefault="005779BB" w:rsidP="00477699">
      <w:pPr>
        <w:pStyle w:val="BodyText"/>
      </w:pPr>
      <w:r>
        <w:t xml:space="preserve">As such, </w:t>
      </w:r>
      <w:r w:rsidRPr="005779BB">
        <w:t xml:space="preserve">collaboration </w:t>
      </w:r>
      <w:r>
        <w:t xml:space="preserve">between governments, </w:t>
      </w:r>
      <w:r w:rsidR="00562BC1">
        <w:t>service provider</w:t>
      </w:r>
      <w:r>
        <w:t xml:space="preserve">s and </w:t>
      </w:r>
      <w:r w:rsidRPr="005779BB">
        <w:t>the local community</w:t>
      </w:r>
      <w:r>
        <w:t xml:space="preserve"> is essential to the effective implementation of place</w:t>
      </w:r>
      <w:r w:rsidR="000A041F">
        <w:noBreakHyphen/>
      </w:r>
      <w:r>
        <w:t xml:space="preserve">based approaches. </w:t>
      </w:r>
    </w:p>
    <w:p w:rsidR="00C72404" w:rsidRDefault="00C72404" w:rsidP="00C72404">
      <w:pPr>
        <w:pStyle w:val="Heading3"/>
      </w:pPr>
      <w:bookmarkStart w:id="41" w:name="_Toc8377499"/>
      <w:bookmarkStart w:id="42" w:name="_Toc8393515"/>
      <w:r>
        <w:t>A public health approach to preventing harm to children</w:t>
      </w:r>
      <w:bookmarkEnd w:id="41"/>
      <w:bookmarkEnd w:id="42"/>
    </w:p>
    <w:p w:rsidR="00C72404" w:rsidRDefault="00C72404" w:rsidP="00C72404">
      <w:pPr>
        <w:pStyle w:val="BodyText"/>
      </w:pPr>
      <w:r>
        <w:t xml:space="preserve">All Australian Governments have recognised a need to focus more on preventing harm to children and early intervention, so that less reliance is made on statutory systems that step in once harm has occurred (for example, by taking children away from their families). This rebalancing of priorities is often called the ‘public health approach’, and has been articulated through the </w:t>
      </w:r>
      <w:r>
        <w:rPr>
          <w:i/>
        </w:rPr>
        <w:t>National Framework for Protecting Australia’s Children 2009–2020</w:t>
      </w:r>
      <w:r>
        <w:t>.</w:t>
      </w:r>
    </w:p>
    <w:p w:rsidR="00C72404" w:rsidRDefault="00C72404" w:rsidP="00C72404">
      <w:pPr>
        <w:pStyle w:val="BodyText"/>
      </w:pPr>
      <w:r>
        <w:t xml:space="preserve">Essentially, it means addressing underlying risk factors that increase the likelihood that a child will experience abuse or neglect, or where problems do occur, to intervene as early as possible to minimise harm </w:t>
      </w:r>
      <w:r w:rsidR="00B97832" w:rsidRPr="00B97832">
        <w:rPr>
          <w:szCs w:val="24"/>
        </w:rPr>
        <w:t>(PC 2019)</w:t>
      </w:r>
      <w:r>
        <w:t>.</w:t>
      </w:r>
      <w:r>
        <w:rPr>
          <w:rStyle w:val="FootnoteReference"/>
        </w:rPr>
        <w:footnoteReference w:id="2"/>
      </w:r>
      <w:r>
        <w:t xml:space="preserve"> This is done through the provision of universal (primary) and early intervention (secondary) services, so as to lessen the need to rely on statutory (tertiary) services — but recognising that not all risks can be eliminated, and thus statutory responses will always need to be present in any child protection system.</w:t>
      </w:r>
    </w:p>
    <w:p w:rsidR="00C72404" w:rsidRDefault="00C72404" w:rsidP="00C72404">
      <w:pPr>
        <w:pStyle w:val="BodyText"/>
      </w:pPr>
      <w:r>
        <w:t>T</w:t>
      </w:r>
      <w:r w:rsidRPr="00E3012C">
        <w:t xml:space="preserve">he overarching objective is to </w:t>
      </w:r>
      <w:r>
        <w:t>promote</w:t>
      </w:r>
      <w:r w:rsidRPr="00E3012C">
        <w:t xml:space="preserve"> the wellbeing of Australia’s children.</w:t>
      </w:r>
      <w:r>
        <w:t xml:space="preserve"> There is broad recognition</w:t>
      </w:r>
      <w:r w:rsidRPr="009005AE">
        <w:t xml:space="preserve"> </w:t>
      </w:r>
      <w:r>
        <w:t xml:space="preserve">that the wellbeing and safety of children is a shared responsibility </w:t>
      </w:r>
      <w:r w:rsidRPr="006D5EED">
        <w:t>between individuals, famil</w:t>
      </w:r>
      <w:r w:rsidR="006F4D50">
        <w:t>ies</w:t>
      </w:r>
      <w:r w:rsidRPr="006D5EED">
        <w:t>, communit</w:t>
      </w:r>
      <w:r w:rsidR="006F4D50">
        <w:t>ies</w:t>
      </w:r>
      <w:r w:rsidRPr="006D5EED">
        <w:t xml:space="preserve"> and government</w:t>
      </w:r>
      <w:r w:rsidR="006F4D50">
        <w:t>s</w:t>
      </w:r>
      <w:r>
        <w:t xml:space="preserve"> </w:t>
      </w:r>
      <w:r w:rsidR="00B97832" w:rsidRPr="00B97832">
        <w:rPr>
          <w:szCs w:val="24"/>
        </w:rPr>
        <w:t>(</w:t>
      </w:r>
      <w:proofErr w:type="spellStart"/>
      <w:r w:rsidR="00B97832" w:rsidRPr="00B97832">
        <w:rPr>
          <w:szCs w:val="24"/>
        </w:rPr>
        <w:t>COAG</w:t>
      </w:r>
      <w:proofErr w:type="spellEnd"/>
      <w:r w:rsidR="00B97832" w:rsidRPr="00B97832">
        <w:rPr>
          <w:szCs w:val="24"/>
        </w:rPr>
        <w:t> 2009, p. 6)</w:t>
      </w:r>
      <w:r>
        <w:t xml:space="preserve">. In part, this stems from the fact that </w:t>
      </w:r>
      <w:r w:rsidRPr="009005AE">
        <w:t>the wellbeing of children affects society as a whole</w:t>
      </w:r>
      <w:r>
        <w:t xml:space="preserve">: children who flourish in their </w:t>
      </w:r>
      <w:r w:rsidRPr="007D3388">
        <w:t xml:space="preserve">early years are more likely to become productive </w:t>
      </w:r>
      <w:r>
        <w:t xml:space="preserve">participants of society in the future. The involvement of government also recognises that children </w:t>
      </w:r>
      <w:r w:rsidRPr="00115E46">
        <w:t xml:space="preserve">have </w:t>
      </w:r>
      <w:r>
        <w:t xml:space="preserve">rights and interests — separate from those of their parents — that are </w:t>
      </w:r>
      <w:r w:rsidRPr="00115E46">
        <w:t xml:space="preserve">worthy of protection. </w:t>
      </w:r>
      <w:r>
        <w:t xml:space="preserve">The obligation of governments to protect those rights is underscored by the </w:t>
      </w:r>
      <w:r w:rsidRPr="00115E46">
        <w:t>United Nations Convent</w:t>
      </w:r>
      <w:r>
        <w:t>ion on the Rights of the Child</w:t>
      </w:r>
      <w:r w:rsidR="00486049">
        <w:t>, which Australia is a signatory to.</w:t>
      </w:r>
    </w:p>
    <w:p w:rsidR="00477699" w:rsidRDefault="00C72404" w:rsidP="00A14A10">
      <w:pPr>
        <w:pStyle w:val="BodyText"/>
      </w:pPr>
      <w:r>
        <w:t xml:space="preserve">Through their funding and expenditure decisions, governments heavily shape </w:t>
      </w:r>
      <w:r w:rsidRPr="00A358F1">
        <w:t xml:space="preserve">which services are available to </w:t>
      </w:r>
      <w:r w:rsidR="006F4D50">
        <w:t xml:space="preserve">children, families and </w:t>
      </w:r>
      <w:r>
        <w:t>communit</w:t>
      </w:r>
      <w:r w:rsidR="006F4D50">
        <w:t xml:space="preserve">ies </w:t>
      </w:r>
      <w:r>
        <w:t>— and where and how tho</w:t>
      </w:r>
      <w:r w:rsidR="00A05467">
        <w:t>se services are provided</w:t>
      </w:r>
      <w:r>
        <w:t>.</w:t>
      </w:r>
      <w:r w:rsidRPr="00A358F1">
        <w:t xml:space="preserve"> </w:t>
      </w:r>
      <w:r>
        <w:t>This takes place in a broader context of formal and informal supports</w:t>
      </w:r>
      <w:r w:rsidR="00A05467">
        <w:t>.</w:t>
      </w:r>
    </w:p>
    <w:p w:rsidR="00D804CD" w:rsidRDefault="00D804CD" w:rsidP="00A14A10">
      <w:pPr>
        <w:pStyle w:val="BodyText"/>
        <w:rPr>
          <w:b/>
        </w:rPr>
      </w:pPr>
      <w:bookmarkStart w:id="43" w:name="_Toc8377500"/>
      <w:bookmarkStart w:id="44" w:name="_Toc8393516"/>
      <w:r>
        <w:br w:type="page"/>
      </w:r>
    </w:p>
    <w:p w:rsidR="00477699" w:rsidRPr="00477699" w:rsidRDefault="00160085" w:rsidP="005F6F0C">
      <w:pPr>
        <w:pStyle w:val="Heading2"/>
        <w:spacing w:after="120"/>
      </w:pPr>
      <w:r>
        <w:lastRenderedPageBreak/>
        <w:t>References</w:t>
      </w:r>
      <w:bookmarkEnd w:id="43"/>
      <w:bookmarkEnd w:id="44"/>
    </w:p>
    <w:p w:rsidR="00BC7E25" w:rsidRPr="00BC7E25" w:rsidRDefault="00BC7E25" w:rsidP="00316053">
      <w:pPr>
        <w:pStyle w:val="Reference"/>
      </w:pPr>
      <w:r w:rsidRPr="00BC7E25">
        <w:t xml:space="preserve">ABS (Australian Bureau of Statistics) 2017, </w:t>
      </w:r>
      <w:r w:rsidRPr="00BC7E25">
        <w:rPr>
          <w:i/>
          <w:iCs/>
        </w:rPr>
        <w:t xml:space="preserve">Census of Population and Housing: </w:t>
      </w:r>
      <w:proofErr w:type="spellStart"/>
      <w:r w:rsidRPr="00BC7E25">
        <w:rPr>
          <w:i/>
          <w:iCs/>
        </w:rPr>
        <w:t>Tablebuilder</w:t>
      </w:r>
      <w:proofErr w:type="spellEnd"/>
      <w:r w:rsidRPr="00BC7E25">
        <w:t>, Canberra.</w:t>
      </w:r>
    </w:p>
    <w:p w:rsidR="00BC7E25" w:rsidRPr="00BC7E25" w:rsidRDefault="00BC7E25" w:rsidP="00316053">
      <w:pPr>
        <w:pStyle w:val="Reference"/>
      </w:pPr>
      <w:proofErr w:type="spellStart"/>
      <w:r w:rsidRPr="00BC7E25">
        <w:t>ACNC</w:t>
      </w:r>
      <w:proofErr w:type="spellEnd"/>
      <w:r w:rsidRPr="00BC7E25">
        <w:t xml:space="preserve"> (Australian Charities and Not</w:t>
      </w:r>
      <w:r w:rsidR="0035532D">
        <w:noBreakHyphen/>
      </w:r>
      <w:r w:rsidRPr="00BC7E25">
        <w:t>For</w:t>
      </w:r>
      <w:r w:rsidR="0035532D">
        <w:noBreakHyphen/>
      </w:r>
      <w:r w:rsidRPr="00BC7E25">
        <w:t xml:space="preserve">Profits Commission) 2016, </w:t>
      </w:r>
      <w:proofErr w:type="spellStart"/>
      <w:r w:rsidRPr="00BC7E25">
        <w:rPr>
          <w:i/>
          <w:iCs/>
        </w:rPr>
        <w:t>ACNC</w:t>
      </w:r>
      <w:proofErr w:type="spellEnd"/>
      <w:r w:rsidRPr="00BC7E25">
        <w:rPr>
          <w:i/>
          <w:iCs/>
        </w:rPr>
        <w:t xml:space="preserve"> 2016 Annual Information Statement Data</w:t>
      </w:r>
      <w:r w:rsidRPr="00BC7E25">
        <w:t>, Melbourne.</w:t>
      </w:r>
    </w:p>
    <w:p w:rsidR="00BC7E25" w:rsidRPr="00BC7E25" w:rsidRDefault="00BC7E25" w:rsidP="00316053">
      <w:pPr>
        <w:pStyle w:val="Reference"/>
      </w:pPr>
      <w:proofErr w:type="spellStart"/>
      <w:r w:rsidRPr="00BC7E25">
        <w:t>AIHW</w:t>
      </w:r>
      <w:proofErr w:type="spellEnd"/>
      <w:r w:rsidRPr="00BC7E25">
        <w:t xml:space="preserve"> (Australian Institute of Health and Welfare) 2019, </w:t>
      </w:r>
      <w:r w:rsidRPr="00BC7E25">
        <w:rPr>
          <w:i/>
          <w:iCs/>
        </w:rPr>
        <w:t>C</w:t>
      </w:r>
      <w:r w:rsidR="00316053">
        <w:rPr>
          <w:i/>
          <w:iCs/>
        </w:rPr>
        <w:t>hild Protection Australia: 2017</w:t>
      </w:r>
      <w:r w:rsidR="00316053">
        <w:rPr>
          <w:i/>
          <w:iCs/>
        </w:rPr>
        <w:noBreakHyphen/>
      </w:r>
      <w:r w:rsidRPr="00BC7E25">
        <w:rPr>
          <w:i/>
          <w:iCs/>
        </w:rPr>
        <w:t>18</w:t>
      </w:r>
      <w:r w:rsidRPr="00BC7E25">
        <w:t>, Child Welfare Series no. 68, Canberra.</w:t>
      </w:r>
    </w:p>
    <w:p w:rsidR="00BC7E25" w:rsidRPr="00BC7E25" w:rsidRDefault="00BC7E25" w:rsidP="00316053">
      <w:pPr>
        <w:pStyle w:val="Reference"/>
      </w:pPr>
      <w:r w:rsidRPr="00BC7E25">
        <w:t xml:space="preserve">Allen Consulting Group 2008, </w:t>
      </w:r>
      <w:r w:rsidRPr="00BC7E25">
        <w:rPr>
          <w:i/>
          <w:iCs/>
        </w:rPr>
        <w:t>Inverting the Pyramid: Enhancing Systems for Protecting Children</w:t>
      </w:r>
      <w:r w:rsidRPr="00BC7E25">
        <w:t>, report for Australian Research Alliance for Children &amp; Youth, Melbourne.</w:t>
      </w:r>
    </w:p>
    <w:p w:rsidR="00BC7E25" w:rsidRPr="00BC7E25" w:rsidRDefault="00BC7E25" w:rsidP="00316053">
      <w:pPr>
        <w:pStyle w:val="Reference"/>
      </w:pPr>
      <w:proofErr w:type="spellStart"/>
      <w:r w:rsidRPr="00BC7E25">
        <w:t>AMSANT</w:t>
      </w:r>
      <w:proofErr w:type="spellEnd"/>
      <w:r w:rsidRPr="00BC7E25">
        <w:t xml:space="preserve"> (Aboriginal Medical Services Alliance Northern Territory) </w:t>
      </w:r>
      <w:proofErr w:type="spellStart"/>
      <w:r w:rsidRPr="00BC7E25">
        <w:t>nd</w:t>
      </w:r>
      <w:proofErr w:type="spellEnd"/>
      <w:r w:rsidRPr="00BC7E25">
        <w:t xml:space="preserve">, </w:t>
      </w:r>
      <w:r w:rsidRPr="00BC7E25">
        <w:rPr>
          <w:i/>
          <w:iCs/>
        </w:rPr>
        <w:t>Northern Territory Aboriginal Health Forum</w:t>
      </w:r>
      <w:r w:rsidRPr="00BC7E25">
        <w:t xml:space="preserve">, </w:t>
      </w:r>
      <w:proofErr w:type="spellStart"/>
      <w:r w:rsidRPr="00BC7E25">
        <w:t>www.amsant.org.au</w:t>
      </w:r>
      <w:proofErr w:type="spellEnd"/>
      <w:r w:rsidRPr="00BC7E25">
        <w:t>/</w:t>
      </w:r>
      <w:proofErr w:type="spellStart"/>
      <w:r w:rsidRPr="00BC7E25">
        <w:t>ntahf</w:t>
      </w:r>
      <w:proofErr w:type="spellEnd"/>
      <w:r w:rsidRPr="00BC7E25">
        <w:t xml:space="preserve"> (accessed 6</w:t>
      </w:r>
      <w:r w:rsidR="0035532D">
        <w:t> </w:t>
      </w:r>
      <w:r w:rsidRPr="00BC7E25">
        <w:t>May 2019).</w:t>
      </w:r>
    </w:p>
    <w:p w:rsidR="00BC7E25" w:rsidRPr="00BC7E25" w:rsidRDefault="00BC7E25" w:rsidP="00316053">
      <w:pPr>
        <w:pStyle w:val="Reference"/>
      </w:pPr>
      <w:r w:rsidRPr="00BC7E25">
        <w:t xml:space="preserve">Australian Government, Northern Territory Government and Aboriginal Medical Services Alliance Northern Territory 2015, </w:t>
      </w:r>
      <w:r w:rsidRPr="00BC7E25">
        <w:rPr>
          <w:i/>
          <w:iCs/>
        </w:rPr>
        <w:t>Agreement on Northern Territory Aboriginal Health and Wellbeing 2015</w:t>
      </w:r>
      <w:r w:rsidR="0035532D">
        <w:rPr>
          <w:i/>
          <w:iCs/>
        </w:rPr>
        <w:t>–</w:t>
      </w:r>
      <w:r w:rsidRPr="00BC7E25">
        <w:rPr>
          <w:i/>
          <w:iCs/>
        </w:rPr>
        <w:t>2020</w:t>
      </w:r>
      <w:r w:rsidRPr="00BC7E25">
        <w:t>.</w:t>
      </w:r>
    </w:p>
    <w:p w:rsidR="00BC7E25" w:rsidRPr="00A14A10" w:rsidRDefault="00BC7E25" w:rsidP="00316053">
      <w:pPr>
        <w:pStyle w:val="Reference"/>
        <w:rPr>
          <w:spacing w:val="-2"/>
        </w:rPr>
      </w:pPr>
      <w:proofErr w:type="spellStart"/>
      <w:r w:rsidRPr="00A14A10">
        <w:rPr>
          <w:spacing w:val="-2"/>
        </w:rPr>
        <w:t>BICPSNT</w:t>
      </w:r>
      <w:proofErr w:type="spellEnd"/>
      <w:r w:rsidRPr="00A14A10">
        <w:rPr>
          <w:spacing w:val="-2"/>
        </w:rPr>
        <w:t xml:space="preserve"> (Board of Inquiry into the Child Protection System in the Northern Territory) 2010, </w:t>
      </w:r>
      <w:r w:rsidRPr="00A14A10">
        <w:rPr>
          <w:i/>
          <w:iCs/>
          <w:spacing w:val="-2"/>
        </w:rPr>
        <w:t>Growing Them Strong, Together: Promoting the Safety and Wellbeing of the Northern Territory’s Children</w:t>
      </w:r>
      <w:r w:rsidRPr="00A14A10">
        <w:rPr>
          <w:spacing w:val="-2"/>
        </w:rPr>
        <w:t>, Summary Report, Northern Territory Government, Darwin.</w:t>
      </w:r>
    </w:p>
    <w:p w:rsidR="00BC7E25" w:rsidRPr="00A14A10" w:rsidRDefault="00BC7E25" w:rsidP="00316053">
      <w:pPr>
        <w:pStyle w:val="Reference"/>
        <w:rPr>
          <w:spacing w:val="-2"/>
        </w:rPr>
      </w:pPr>
      <w:proofErr w:type="spellStart"/>
      <w:r w:rsidRPr="00A14A10">
        <w:rPr>
          <w:spacing w:val="-2"/>
        </w:rPr>
        <w:t>COAG</w:t>
      </w:r>
      <w:proofErr w:type="spellEnd"/>
      <w:r w:rsidRPr="00A14A10">
        <w:rPr>
          <w:spacing w:val="-2"/>
        </w:rPr>
        <w:t xml:space="preserve"> (Council of Australian Governments) 2009, </w:t>
      </w:r>
      <w:r w:rsidRPr="00A14A10">
        <w:rPr>
          <w:i/>
          <w:iCs/>
          <w:spacing w:val="-2"/>
        </w:rPr>
        <w:t>Protecting Children is Everyone’s Business: National Framework for Protecting Australia’s Children 2009–2020</w:t>
      </w:r>
      <w:r w:rsidRPr="00A14A10">
        <w:rPr>
          <w:spacing w:val="-2"/>
        </w:rPr>
        <w:t>, Canberra.</w:t>
      </w:r>
    </w:p>
    <w:p w:rsidR="00BC7E25" w:rsidRPr="00BC7E25" w:rsidRDefault="00BC7E25" w:rsidP="00316053">
      <w:pPr>
        <w:pStyle w:val="Reference"/>
      </w:pPr>
      <w:r w:rsidRPr="00BC7E25">
        <w:t xml:space="preserve">Department of Finance and Deregulation 2010, </w:t>
      </w:r>
      <w:r w:rsidRPr="00BC7E25">
        <w:rPr>
          <w:i/>
          <w:iCs/>
        </w:rPr>
        <w:t>Strategic Review of Indigenous Expenditure</w:t>
      </w:r>
      <w:r w:rsidRPr="00BC7E25">
        <w:t xml:space="preserve">, </w:t>
      </w:r>
      <w:r w:rsidR="00316053">
        <w:t xml:space="preserve">Australian Government, </w:t>
      </w:r>
      <w:r w:rsidRPr="00BC7E25">
        <w:t>Canberra.</w:t>
      </w:r>
    </w:p>
    <w:p w:rsidR="00BC7E25" w:rsidRPr="00BC7E25" w:rsidRDefault="00BC7E25" w:rsidP="00316053">
      <w:pPr>
        <w:pStyle w:val="Reference"/>
      </w:pPr>
      <w:r w:rsidRPr="00BC7E25">
        <w:t xml:space="preserve">Northern Territory Government </w:t>
      </w:r>
      <w:proofErr w:type="spellStart"/>
      <w:r w:rsidRPr="00BC7E25">
        <w:t>2018a</w:t>
      </w:r>
      <w:proofErr w:type="spellEnd"/>
      <w:r w:rsidRPr="00BC7E25">
        <w:t xml:space="preserve">, </w:t>
      </w:r>
      <w:r w:rsidRPr="00BC7E25">
        <w:rPr>
          <w:i/>
          <w:iCs/>
        </w:rPr>
        <w:t>Budget Paper 2: B</w:t>
      </w:r>
      <w:r w:rsidR="00316053">
        <w:rPr>
          <w:i/>
          <w:iCs/>
        </w:rPr>
        <w:t>udget Strategy and Outlook 2017</w:t>
      </w:r>
      <w:r w:rsidR="00316053">
        <w:rPr>
          <w:i/>
          <w:iCs/>
        </w:rPr>
        <w:noBreakHyphen/>
      </w:r>
      <w:r w:rsidRPr="00BC7E25">
        <w:rPr>
          <w:i/>
          <w:iCs/>
        </w:rPr>
        <w:t>18</w:t>
      </w:r>
      <w:r w:rsidRPr="00BC7E25">
        <w:t>, Darwin.</w:t>
      </w:r>
    </w:p>
    <w:p w:rsidR="00BC7E25" w:rsidRPr="00BC7E25" w:rsidRDefault="00BC7E25" w:rsidP="00316053">
      <w:pPr>
        <w:pStyle w:val="Reference"/>
      </w:pPr>
      <w:r w:rsidRPr="00BC7E25">
        <w:t xml:space="preserve">—— </w:t>
      </w:r>
      <w:proofErr w:type="spellStart"/>
      <w:r w:rsidRPr="00BC7E25">
        <w:t>2018b</w:t>
      </w:r>
      <w:proofErr w:type="spellEnd"/>
      <w:r w:rsidRPr="00BC7E25">
        <w:t xml:space="preserve">, </w:t>
      </w:r>
      <w:r w:rsidRPr="00BC7E25">
        <w:rPr>
          <w:i/>
          <w:iCs/>
        </w:rPr>
        <w:t>Safe, Thriving and Connected: Generational Change for Children and Families 2018</w:t>
      </w:r>
      <w:r w:rsidR="0035532D">
        <w:rPr>
          <w:i/>
          <w:iCs/>
        </w:rPr>
        <w:t>–</w:t>
      </w:r>
      <w:r w:rsidRPr="00BC7E25">
        <w:rPr>
          <w:i/>
          <w:iCs/>
        </w:rPr>
        <w:t>2023: First Progress Report</w:t>
      </w:r>
      <w:r w:rsidRPr="00BC7E25">
        <w:t>, Darwin.</w:t>
      </w:r>
    </w:p>
    <w:p w:rsidR="00BC7E25" w:rsidRPr="00BC7E25" w:rsidRDefault="00BC7E25" w:rsidP="00316053">
      <w:pPr>
        <w:pStyle w:val="Reference"/>
      </w:pPr>
      <w:r w:rsidRPr="00BC7E25">
        <w:t xml:space="preserve">Parker, B. 2007, </w:t>
      </w:r>
      <w:r w:rsidRPr="00BC7E25">
        <w:rPr>
          <w:i/>
          <w:iCs/>
        </w:rPr>
        <w:t>Agreement on Aboriginal and Torres Strait Islander Health (Northern Territory)</w:t>
      </w:r>
      <w:r w:rsidRPr="00BC7E25">
        <w:t xml:space="preserve">, Agreements, Treaties and Negotiated Settlements Project, </w:t>
      </w:r>
      <w:proofErr w:type="spellStart"/>
      <w:r w:rsidRPr="00BC7E25">
        <w:t>www.atns.net.au</w:t>
      </w:r>
      <w:proofErr w:type="spellEnd"/>
      <w:r w:rsidRPr="00BC7E25">
        <w:t>/</w:t>
      </w:r>
      <w:proofErr w:type="spellStart"/>
      <w:r w:rsidRPr="00BC7E25">
        <w:t>agreement.asp?EntityID</w:t>
      </w:r>
      <w:proofErr w:type="spellEnd"/>
      <w:r w:rsidRPr="00BC7E25">
        <w:t>=1570 (accessed 6</w:t>
      </w:r>
      <w:r w:rsidR="0035532D">
        <w:t> </w:t>
      </w:r>
      <w:r w:rsidRPr="00BC7E25">
        <w:t>May 2019).</w:t>
      </w:r>
    </w:p>
    <w:p w:rsidR="00BC7E25" w:rsidRPr="00BC7E25" w:rsidRDefault="00BC7E25" w:rsidP="00316053">
      <w:pPr>
        <w:pStyle w:val="Reference"/>
      </w:pPr>
      <w:r w:rsidRPr="00BC7E25">
        <w:t xml:space="preserve">Parton, N. 2010, ‘“From dangerousness to risk”: The growing importance of screening and surveillance systems for safeguarding and promoting the </w:t>
      </w:r>
      <w:proofErr w:type="spellStart"/>
      <w:r w:rsidRPr="00BC7E25">
        <w:t>well</w:t>
      </w:r>
      <w:r w:rsidR="0035532D">
        <w:noBreakHyphen/>
      </w:r>
      <w:r w:rsidRPr="00BC7E25">
        <w:t>being</w:t>
      </w:r>
      <w:proofErr w:type="spellEnd"/>
      <w:r w:rsidRPr="00BC7E25">
        <w:t xml:space="preserve"> of children in England’, </w:t>
      </w:r>
      <w:r w:rsidRPr="00BC7E25">
        <w:rPr>
          <w:i/>
          <w:iCs/>
        </w:rPr>
        <w:t>Health, Risk &amp; Society</w:t>
      </w:r>
      <w:r w:rsidRPr="00BC7E25">
        <w:t>, vol. 12, no. 1, pp. 51–64.</w:t>
      </w:r>
    </w:p>
    <w:p w:rsidR="00BC7E25" w:rsidRPr="00A14A10" w:rsidRDefault="00BC7E25" w:rsidP="00316053">
      <w:pPr>
        <w:pStyle w:val="Reference"/>
        <w:rPr>
          <w:spacing w:val="-2"/>
        </w:rPr>
      </w:pPr>
      <w:r w:rsidRPr="00A14A10">
        <w:rPr>
          <w:spacing w:val="-2"/>
        </w:rPr>
        <w:t xml:space="preserve">PC (Productivity Commission) </w:t>
      </w:r>
      <w:proofErr w:type="spellStart"/>
      <w:r w:rsidRPr="00A14A10">
        <w:rPr>
          <w:spacing w:val="-2"/>
        </w:rPr>
        <w:t>2011a</w:t>
      </w:r>
      <w:proofErr w:type="spellEnd"/>
      <w:r w:rsidRPr="00A14A10">
        <w:rPr>
          <w:spacing w:val="-2"/>
        </w:rPr>
        <w:t xml:space="preserve">, </w:t>
      </w:r>
      <w:r w:rsidRPr="00A14A10">
        <w:rPr>
          <w:i/>
          <w:iCs/>
          <w:spacing w:val="-2"/>
        </w:rPr>
        <w:t>Caring for Older Australians</w:t>
      </w:r>
      <w:r w:rsidRPr="00A14A10">
        <w:rPr>
          <w:spacing w:val="-2"/>
        </w:rPr>
        <w:t>, Report no. 53, Canberra.</w:t>
      </w:r>
    </w:p>
    <w:p w:rsidR="00BC7E25" w:rsidRPr="00BC7E25" w:rsidRDefault="00BC7E25" w:rsidP="00316053">
      <w:pPr>
        <w:pStyle w:val="Reference"/>
      </w:pPr>
      <w:r w:rsidRPr="00BC7E25">
        <w:t>——</w:t>
      </w:r>
      <w:r w:rsidR="00316053">
        <w:t xml:space="preserve"> </w:t>
      </w:r>
      <w:proofErr w:type="spellStart"/>
      <w:r w:rsidRPr="00BC7E25">
        <w:t>2011b</w:t>
      </w:r>
      <w:proofErr w:type="spellEnd"/>
      <w:r w:rsidRPr="00BC7E25">
        <w:t xml:space="preserve">, </w:t>
      </w:r>
      <w:r w:rsidRPr="00BC7E25">
        <w:rPr>
          <w:i/>
          <w:iCs/>
        </w:rPr>
        <w:t>Disability Care and Support</w:t>
      </w:r>
      <w:r w:rsidRPr="00BC7E25">
        <w:t>, Report no. 54, Canberra.</w:t>
      </w:r>
    </w:p>
    <w:p w:rsidR="00BC7E25" w:rsidRPr="00BC7E25" w:rsidRDefault="00316053" w:rsidP="00316053">
      <w:pPr>
        <w:pStyle w:val="Reference"/>
      </w:pPr>
      <w:r>
        <w:t xml:space="preserve">—— </w:t>
      </w:r>
      <w:r w:rsidR="00BC7E25" w:rsidRPr="00BC7E25">
        <w:t xml:space="preserve">2014, </w:t>
      </w:r>
      <w:r w:rsidR="00BC7E25" w:rsidRPr="00BC7E25">
        <w:rPr>
          <w:i/>
          <w:iCs/>
        </w:rPr>
        <w:t>Childcare and Early Childhood Learning</w:t>
      </w:r>
      <w:r w:rsidR="00BC7E25" w:rsidRPr="00BC7E25">
        <w:t>, Report no. 73, Canberra.</w:t>
      </w:r>
    </w:p>
    <w:p w:rsidR="00BC7E25" w:rsidRPr="00BC7E25" w:rsidRDefault="00316053" w:rsidP="00316053">
      <w:pPr>
        <w:pStyle w:val="Reference"/>
      </w:pPr>
      <w:r>
        <w:t xml:space="preserve">—— </w:t>
      </w:r>
      <w:proofErr w:type="spellStart"/>
      <w:r w:rsidR="00BC7E25" w:rsidRPr="00BC7E25">
        <w:t>2017a</w:t>
      </w:r>
      <w:proofErr w:type="spellEnd"/>
      <w:r w:rsidR="00BC7E25" w:rsidRPr="00BC7E25">
        <w:t xml:space="preserve">, </w:t>
      </w:r>
      <w:r w:rsidR="00BC7E25" w:rsidRPr="00BC7E25">
        <w:rPr>
          <w:i/>
          <w:iCs/>
        </w:rPr>
        <w:t>Introducing Competition and Informed User Choice into Human Services: Reforms to Human Services</w:t>
      </w:r>
      <w:r w:rsidR="00BC7E25" w:rsidRPr="00BC7E25">
        <w:t>, Report no. 85, Canberra.</w:t>
      </w:r>
    </w:p>
    <w:p w:rsidR="00BC7E25" w:rsidRPr="00BC7E25" w:rsidRDefault="00316053" w:rsidP="00316053">
      <w:pPr>
        <w:pStyle w:val="Reference"/>
      </w:pPr>
      <w:r>
        <w:t xml:space="preserve">—— </w:t>
      </w:r>
      <w:proofErr w:type="spellStart"/>
      <w:r w:rsidR="00BC7E25" w:rsidRPr="00BC7E25">
        <w:t>2017b</w:t>
      </w:r>
      <w:proofErr w:type="spellEnd"/>
      <w:r w:rsidR="00BC7E25" w:rsidRPr="00BC7E25">
        <w:t xml:space="preserve">, </w:t>
      </w:r>
      <w:r w:rsidR="00BC7E25" w:rsidRPr="00BC7E25">
        <w:rPr>
          <w:i/>
          <w:iCs/>
        </w:rPr>
        <w:t>National Disability Insurance Scheme (NDIS) Costs</w:t>
      </w:r>
      <w:r w:rsidR="00BC7E25" w:rsidRPr="00BC7E25">
        <w:t>, Study Report, Canberra.</w:t>
      </w:r>
    </w:p>
    <w:p w:rsidR="00BC7E25" w:rsidRPr="00BC7E25" w:rsidRDefault="00316053" w:rsidP="00316053">
      <w:pPr>
        <w:pStyle w:val="Reference"/>
      </w:pPr>
      <w:r>
        <w:lastRenderedPageBreak/>
        <w:t xml:space="preserve">—— </w:t>
      </w:r>
      <w:r w:rsidR="00BC7E25" w:rsidRPr="00BC7E25">
        <w:t xml:space="preserve">2019, </w:t>
      </w:r>
      <w:r w:rsidR="00BC7E25" w:rsidRPr="00BC7E25">
        <w:rPr>
          <w:i/>
          <w:iCs/>
        </w:rPr>
        <w:t>What Is Known About the Systems That Enable the ‘Public Health Approach’ to Protecting Children</w:t>
      </w:r>
      <w:r w:rsidR="00BC7E25" w:rsidRPr="00BC7E25">
        <w:t>, Consultation Paper, Canberra.</w:t>
      </w:r>
    </w:p>
    <w:p w:rsidR="00BC7E25" w:rsidRPr="00BC7E25" w:rsidRDefault="00BC7E25" w:rsidP="00316053">
      <w:pPr>
        <w:pStyle w:val="Reference"/>
      </w:pPr>
      <w:proofErr w:type="spellStart"/>
      <w:r w:rsidRPr="00BC7E25">
        <w:t>RCPDCNT</w:t>
      </w:r>
      <w:proofErr w:type="spellEnd"/>
      <w:r w:rsidRPr="00BC7E25">
        <w:t xml:space="preserve"> (Royal Commission into the Protection and Detention of Children in the Northern Territory) 2017, </w:t>
      </w:r>
      <w:r w:rsidRPr="00BC7E25">
        <w:rPr>
          <w:i/>
          <w:iCs/>
        </w:rPr>
        <w:t>Final Report</w:t>
      </w:r>
      <w:r w:rsidRPr="00BC7E25">
        <w:t>, Darwin.</w:t>
      </w:r>
    </w:p>
    <w:p w:rsidR="00BC7E25" w:rsidRPr="00BC7E25" w:rsidRDefault="00BC7E25" w:rsidP="00316053">
      <w:pPr>
        <w:pStyle w:val="Reference"/>
      </w:pPr>
      <w:proofErr w:type="spellStart"/>
      <w:r w:rsidRPr="00BC7E25">
        <w:t>SCRGSP</w:t>
      </w:r>
      <w:proofErr w:type="spellEnd"/>
      <w:r w:rsidRPr="00BC7E25">
        <w:t xml:space="preserve"> (Steering Committee for the Review of Government Service Provision) 2019, </w:t>
      </w:r>
      <w:r w:rsidRPr="00BC7E25">
        <w:rPr>
          <w:i/>
          <w:iCs/>
        </w:rPr>
        <w:t>Report on Government Services 2019</w:t>
      </w:r>
      <w:r w:rsidRPr="00BC7E25">
        <w:t>, Productivity Commission, Canberra.</w:t>
      </w:r>
    </w:p>
    <w:p w:rsidR="00BC7E25" w:rsidRPr="00A14A10" w:rsidRDefault="00BC7E25" w:rsidP="00316053">
      <w:pPr>
        <w:pStyle w:val="Reference"/>
        <w:rPr>
          <w:spacing w:val="-4"/>
        </w:rPr>
      </w:pPr>
      <w:r w:rsidRPr="00A14A10">
        <w:rPr>
          <w:spacing w:val="-4"/>
        </w:rPr>
        <w:t xml:space="preserve">Territory Families 2018, </w:t>
      </w:r>
      <w:r w:rsidRPr="00A14A10">
        <w:rPr>
          <w:i/>
          <w:iCs/>
          <w:spacing w:val="-4"/>
        </w:rPr>
        <w:t>Annual Report: 2017</w:t>
      </w:r>
      <w:r w:rsidR="0035532D" w:rsidRPr="00A14A10">
        <w:rPr>
          <w:i/>
          <w:iCs/>
          <w:spacing w:val="-4"/>
        </w:rPr>
        <w:t>–</w:t>
      </w:r>
      <w:r w:rsidRPr="00A14A10">
        <w:rPr>
          <w:i/>
          <w:iCs/>
          <w:spacing w:val="-4"/>
        </w:rPr>
        <w:t>2018</w:t>
      </w:r>
      <w:r w:rsidRPr="00A14A10">
        <w:rPr>
          <w:spacing w:val="-4"/>
        </w:rPr>
        <w:t>, Northern Territory Government, Darwin.</w:t>
      </w:r>
    </w:p>
    <w:p w:rsidR="008F32D0" w:rsidRDefault="008F32D0" w:rsidP="00B97832">
      <w:pPr>
        <w:pStyle w:val="Reference"/>
        <w:rPr>
          <w:rFonts w:ascii="Arial" w:hAnsi="Arial"/>
          <w:sz w:val="32"/>
        </w:rPr>
      </w:pPr>
      <w:r>
        <w:br w:type="page"/>
      </w:r>
    </w:p>
    <w:p w:rsidR="00D96622" w:rsidRPr="00391500" w:rsidRDefault="00D96622" w:rsidP="00773FA8">
      <w:pPr>
        <w:pStyle w:val="Heading2"/>
        <w:spacing w:before="0"/>
      </w:pPr>
      <w:bookmarkStart w:id="45" w:name="_Toc8377501"/>
      <w:bookmarkStart w:id="46" w:name="_Toc8393517"/>
      <w:r>
        <w:lastRenderedPageBreak/>
        <w:t xml:space="preserve">Attachment: How to </w:t>
      </w:r>
      <w:r w:rsidRPr="00391500">
        <w:t>make a submission</w:t>
      </w:r>
      <w:bookmarkEnd w:id="45"/>
      <w:bookmarkEnd w:id="46"/>
    </w:p>
    <w:p w:rsidR="00D96622" w:rsidRDefault="00D96622" w:rsidP="00A16986">
      <w:pPr>
        <w:pStyle w:val="Heading3"/>
        <w:spacing w:before="280"/>
      </w:pPr>
      <w:bookmarkStart w:id="47" w:name="_Toc8377502"/>
      <w:bookmarkStart w:id="48" w:name="_Toc8393518"/>
      <w:r>
        <w:t>How to prepare a submission</w:t>
      </w:r>
      <w:bookmarkEnd w:id="47"/>
      <w:bookmarkEnd w:id="48"/>
    </w:p>
    <w:p w:rsidR="00D96622" w:rsidRDefault="00D96622" w:rsidP="00D96622">
      <w:pPr>
        <w:pStyle w:val="BodyText"/>
      </w:pPr>
      <w:r>
        <w:t>Submissions may range from a short letter outlining your views on a particular topic to a much more s</w:t>
      </w:r>
      <w:smartTag w:uri="urn:schemas-microsoft-com:office:smarttags" w:element="PersonName">
        <w:r>
          <w:t>ubs</w:t>
        </w:r>
      </w:smartTag>
      <w:r>
        <w:t>ta</w:t>
      </w:r>
      <w:smartTag w:uri="urn:schemas-microsoft-com:office:smarttags" w:element="PersonName">
        <w:r>
          <w:t>nt</w:t>
        </w:r>
      </w:smartTag>
      <w:r>
        <w:t>ial docume</w:t>
      </w:r>
      <w:smartTag w:uri="urn:schemas-microsoft-com:office:smarttags" w:element="PersonName">
        <w:r>
          <w:t>nt</w:t>
        </w:r>
      </w:smartTag>
      <w:r>
        <w:t xml:space="preserve"> covering a range of issues. Where possible, you should provide evidence, such as releva</w:t>
      </w:r>
      <w:smartTag w:uri="urn:schemas-microsoft-com:office:smarttags" w:element="PersonName">
        <w:r>
          <w:t>nt</w:t>
        </w:r>
      </w:smartTag>
      <w:r>
        <w:t xml:space="preserve"> data and docume</w:t>
      </w:r>
      <w:smartTag w:uri="urn:schemas-microsoft-com:office:smarttags" w:element="PersonName">
        <w:r>
          <w:t>nt</w:t>
        </w:r>
      </w:smartTag>
      <w:r>
        <w:t>ation, to support your views.</w:t>
      </w:r>
    </w:p>
    <w:p w:rsidR="00D96622" w:rsidRDefault="00D96622" w:rsidP="00D96622">
      <w:pPr>
        <w:pStyle w:val="Heading4"/>
      </w:pPr>
      <w:r>
        <w:t>Generally</w:t>
      </w:r>
    </w:p>
    <w:p w:rsidR="00D96622" w:rsidRDefault="00D96622" w:rsidP="00D96622">
      <w:pPr>
        <w:pStyle w:val="ListBullet"/>
      </w:pPr>
      <w:r>
        <w:t>Each submission, except for any attachment supplied in confidence, will be published on the Commission’s website shortly after receipt, and will remain there indefinitely as a public document.</w:t>
      </w:r>
    </w:p>
    <w:p w:rsidR="00D96622" w:rsidRDefault="00D96622" w:rsidP="00D96622">
      <w:pPr>
        <w:pStyle w:val="ListBullet"/>
      </w:pPr>
      <w:r>
        <w:t>The Commission reserves the right to not publish material on its website that is offensive, potentially defamatory, or clearly out of scope for the inquiry or study in question.</w:t>
      </w:r>
    </w:p>
    <w:p w:rsidR="00D96622" w:rsidRDefault="00D96622" w:rsidP="00D96622">
      <w:pPr>
        <w:pStyle w:val="Heading4"/>
      </w:pPr>
      <w:r>
        <w:t>Copyright</w:t>
      </w:r>
    </w:p>
    <w:p w:rsidR="00D96622" w:rsidRDefault="00D96622" w:rsidP="00D96622">
      <w:pPr>
        <w:pStyle w:val="ListBullet"/>
      </w:pPr>
      <w:r>
        <w:t>Copyright in submissions sent to the Commission resides with the author(s), not with the Commission.</w:t>
      </w:r>
    </w:p>
    <w:p w:rsidR="00D96622" w:rsidRDefault="00D96622" w:rsidP="00D96622">
      <w:pPr>
        <w:pStyle w:val="ListBullet"/>
      </w:pPr>
      <w:r>
        <w:t>Do not send us material for which you are not the copyright owner — such as newspaper articles — you should just reference or link to this material in your submission.</w:t>
      </w:r>
    </w:p>
    <w:p w:rsidR="00D96622" w:rsidRDefault="00D96622" w:rsidP="00D96622">
      <w:pPr>
        <w:pStyle w:val="Heading4"/>
      </w:pPr>
      <w:r>
        <w:t>In confidence material</w:t>
      </w:r>
    </w:p>
    <w:p w:rsidR="00D96622" w:rsidRPr="009D6440" w:rsidRDefault="00D96622" w:rsidP="00D96622">
      <w:pPr>
        <w:pStyle w:val="ListBullet"/>
      </w:pPr>
      <w:r w:rsidRPr="009D6440">
        <w:t>This is a public review and all submissions should be provided as public documents that can be placed on the Commission</w:t>
      </w:r>
      <w:r>
        <w:t>’</w:t>
      </w:r>
      <w:r w:rsidRPr="009D6440">
        <w:t>s website for others to read and comment on. However, information which is of a confidential nature or which is submitted in confidence can be treated as such by the Commission, provided the cause for such treatment is shown.</w:t>
      </w:r>
    </w:p>
    <w:p w:rsidR="00D96622" w:rsidRDefault="00D96622" w:rsidP="00D96622">
      <w:pPr>
        <w:pStyle w:val="ListBullet"/>
      </w:pPr>
      <w:r w:rsidRPr="009D6440">
        <w:t>The Commission may also request a non</w:t>
      </w:r>
      <w:r>
        <w:noBreakHyphen/>
      </w:r>
      <w:r w:rsidRPr="009D6440">
        <w:t>confidential summary of the confidential material it is given, or the reasons why a summary cannot be provided.</w:t>
      </w:r>
    </w:p>
    <w:p w:rsidR="00D96622" w:rsidRDefault="00D96622" w:rsidP="00D96622">
      <w:pPr>
        <w:pStyle w:val="ListBullet"/>
      </w:pPr>
      <w:r w:rsidRPr="009D6440">
        <w:t xml:space="preserve">Material supplied in confidence should be clearly marked </w:t>
      </w:r>
      <w:r>
        <w:t>‘</w:t>
      </w:r>
      <w:r w:rsidRPr="009D6440">
        <w:t>IN CONFIDENCE</w:t>
      </w:r>
      <w:r>
        <w:t>’</w:t>
      </w:r>
      <w:r w:rsidRPr="009D6440">
        <w:t xml:space="preserve"> and be in a separate attachment to non</w:t>
      </w:r>
      <w:r>
        <w:noBreakHyphen/>
      </w:r>
      <w:r w:rsidRPr="009D6440">
        <w:t>confidential material.</w:t>
      </w:r>
    </w:p>
    <w:p w:rsidR="00D96622" w:rsidRPr="009D6440" w:rsidRDefault="00D96622" w:rsidP="00D96622">
      <w:pPr>
        <w:pStyle w:val="ListBullet"/>
      </w:pPr>
      <w:r w:rsidRPr="009D6440">
        <w:t>You are encouraged to contact the Commission for further information and advice before submitting such material.</w:t>
      </w:r>
    </w:p>
    <w:p w:rsidR="00D96622" w:rsidRDefault="00D96622" w:rsidP="00D96622">
      <w:pPr>
        <w:pStyle w:val="Heading4"/>
      </w:pPr>
      <w:r>
        <w:t>Privacy</w:t>
      </w:r>
    </w:p>
    <w:p w:rsidR="00D96622" w:rsidRDefault="00D96622" w:rsidP="00D96622">
      <w:pPr>
        <w:pStyle w:val="ListBullet"/>
      </w:pPr>
      <w:r>
        <w:t xml:space="preserve">For privacy reasons, all </w:t>
      </w:r>
      <w:r w:rsidRPr="009D6440">
        <w:rPr>
          <w:b/>
        </w:rPr>
        <w:t>personal</w:t>
      </w:r>
      <w:r>
        <w:t xml:space="preserve"> details (e.g. home and email address, signatures, phone, mobile and fax numbers) will be removed before they are published on the website. Please do not provide a these details unless necessary.</w:t>
      </w:r>
    </w:p>
    <w:p w:rsidR="00D96622" w:rsidRDefault="00D96622" w:rsidP="00D96622">
      <w:pPr>
        <w:pStyle w:val="ListBullet"/>
      </w:pPr>
      <w:r>
        <w:lastRenderedPageBreak/>
        <w:t>You may wish to remain anonymous or use a pseudonym. Please note that, if you choose to remain anonymous or use a pseudonym, the Commission may place less weight on your submission.</w:t>
      </w:r>
    </w:p>
    <w:p w:rsidR="00D96622" w:rsidRDefault="00D96622" w:rsidP="00D96622">
      <w:pPr>
        <w:pStyle w:val="Heading4"/>
      </w:pPr>
      <w:r>
        <w:t>Technical tips</w:t>
      </w:r>
    </w:p>
    <w:p w:rsidR="00D96622" w:rsidRPr="009D6440" w:rsidRDefault="00D96622" w:rsidP="00D96622">
      <w:pPr>
        <w:pStyle w:val="ListBullet"/>
      </w:pPr>
      <w:r w:rsidRPr="009D6440">
        <w:t>The Commission prefers to receive submissions as a Microsoft Word (.</w:t>
      </w:r>
      <w:proofErr w:type="spellStart"/>
      <w:r w:rsidRPr="009D6440">
        <w:t>docx</w:t>
      </w:r>
      <w:proofErr w:type="spellEnd"/>
      <w:r w:rsidRPr="009D6440">
        <w:t>) files. PDF files are acceptable if produced from a Word document or similar text based software. You may wish to research the Internet on how to make your documents more accessible or for the more technical, follow advice from Web Content Accessibility Guidelines (</w:t>
      </w:r>
      <w:proofErr w:type="spellStart"/>
      <w:r w:rsidRPr="009D6440">
        <w:t>WCAG</w:t>
      </w:r>
      <w:proofErr w:type="spellEnd"/>
      <w:r w:rsidRPr="009D6440">
        <w:t>) 2.0</w:t>
      </w:r>
      <w:r w:rsidR="00A16986">
        <w:t xml:space="preserve"> </w:t>
      </w:r>
      <w:r>
        <w:t>&lt;</w:t>
      </w:r>
      <w:r w:rsidRPr="00C738C7">
        <w:t>http://</w:t>
      </w:r>
      <w:proofErr w:type="spellStart"/>
      <w:r w:rsidRPr="00C738C7">
        <w:t>www.w3.org</w:t>
      </w:r>
      <w:proofErr w:type="spellEnd"/>
      <w:r w:rsidRPr="00C738C7">
        <w:t>/</w:t>
      </w:r>
      <w:proofErr w:type="spellStart"/>
      <w:r w:rsidRPr="00C738C7">
        <w:t>TR</w:t>
      </w:r>
      <w:proofErr w:type="spellEnd"/>
      <w:r w:rsidRPr="00C738C7">
        <w:t>/</w:t>
      </w:r>
      <w:proofErr w:type="spellStart"/>
      <w:r w:rsidRPr="00C738C7">
        <w:t>WCAG20</w:t>
      </w:r>
      <w:proofErr w:type="spellEnd"/>
      <w:r w:rsidRPr="00C738C7">
        <w:t>/</w:t>
      </w:r>
      <w:r>
        <w:t>&gt;.</w:t>
      </w:r>
    </w:p>
    <w:p w:rsidR="00D96622" w:rsidRPr="009D6440" w:rsidRDefault="00D96622" w:rsidP="00D96622">
      <w:pPr>
        <w:pStyle w:val="ListBullet"/>
      </w:pPr>
      <w:r w:rsidRPr="009D6440">
        <w:t>Do not send password protected files.</w:t>
      </w:r>
    </w:p>
    <w:p w:rsidR="00D96622" w:rsidRPr="009D6440" w:rsidRDefault="00D96622" w:rsidP="00D96622">
      <w:pPr>
        <w:pStyle w:val="ListBullet"/>
      </w:pPr>
      <w:r w:rsidRPr="009D6440">
        <w:t>Track changes, editing marks, hidden text and internal links should be removed from submissions.</w:t>
      </w:r>
    </w:p>
    <w:p w:rsidR="00D96622" w:rsidRDefault="00D96622" w:rsidP="00D96622">
      <w:pPr>
        <w:pStyle w:val="ListBullet"/>
      </w:pPr>
      <w:r w:rsidRPr="009D6440">
        <w:t>To minimise linking problems, type the full web address (for example, http://</w:t>
      </w:r>
      <w:proofErr w:type="spellStart"/>
      <w:r w:rsidRPr="009D6440">
        <w:t>www.referred</w:t>
      </w:r>
      <w:r>
        <w:noBreakHyphen/>
      </w:r>
      <w:r w:rsidRPr="009D6440">
        <w:t>website.com</w:t>
      </w:r>
      <w:proofErr w:type="spellEnd"/>
      <w:r w:rsidRPr="009D6440">
        <w:t>/folder/file</w:t>
      </w:r>
      <w:r>
        <w:noBreakHyphen/>
      </w:r>
      <w:proofErr w:type="spellStart"/>
      <w:r w:rsidRPr="009D6440">
        <w:t>name.html</w:t>
      </w:r>
      <w:proofErr w:type="spellEnd"/>
      <w:r w:rsidRPr="009D6440">
        <w:t>).</w:t>
      </w:r>
    </w:p>
    <w:p w:rsidR="00D96622" w:rsidRDefault="00D96622" w:rsidP="00D96622">
      <w:pPr>
        <w:pStyle w:val="Heading3"/>
      </w:pPr>
      <w:bookmarkStart w:id="49" w:name="_Toc8377503"/>
      <w:bookmarkStart w:id="50" w:name="_Toc8393519"/>
      <w:r>
        <w:t>How to lodge a submission</w:t>
      </w:r>
      <w:bookmarkEnd w:id="49"/>
      <w:bookmarkEnd w:id="50"/>
    </w:p>
    <w:p w:rsidR="00D96622" w:rsidRDefault="00D96622" w:rsidP="00D96622">
      <w:pPr>
        <w:pStyle w:val="BodyText"/>
        <w:spacing w:after="240"/>
      </w:pPr>
      <w:r w:rsidRPr="008960C8">
        <w:t>Submissions should be lodged using the online form on the Commission’s website. Submissions lodged by post should be accompanied by a submission cover sheet.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8"/>
        <w:gridCol w:w="7421"/>
      </w:tblGrid>
      <w:tr w:rsidR="00D96622" w:rsidTr="00972583">
        <w:trPr>
          <w:tblHeader/>
        </w:trPr>
        <w:tc>
          <w:tcPr>
            <w:tcW w:w="1384" w:type="dxa"/>
          </w:tcPr>
          <w:p w:rsidR="00D96622" w:rsidRDefault="00D96622" w:rsidP="00972583">
            <w:pPr>
              <w:pStyle w:val="BodyText"/>
              <w:tabs>
                <w:tab w:val="left" w:pos="1701"/>
              </w:tabs>
              <w:spacing w:before="120"/>
            </w:pPr>
            <w:r>
              <w:t>Online*</w:t>
            </w:r>
          </w:p>
        </w:tc>
        <w:tc>
          <w:tcPr>
            <w:tcW w:w="7621" w:type="dxa"/>
          </w:tcPr>
          <w:p w:rsidR="00D96622" w:rsidRDefault="00833F34" w:rsidP="00A14A10">
            <w:pPr>
              <w:pStyle w:val="BodyText"/>
              <w:tabs>
                <w:tab w:val="left" w:pos="1701"/>
              </w:tabs>
              <w:spacing w:before="120"/>
            </w:pPr>
            <w:r w:rsidRPr="00B47137">
              <w:t>www.pc.gov.au/</w:t>
            </w:r>
            <w:proofErr w:type="spellStart"/>
            <w:r>
              <w:t>nt</w:t>
            </w:r>
            <w:proofErr w:type="spellEnd"/>
            <w:r w:rsidR="000A041F">
              <w:noBreakHyphen/>
            </w:r>
            <w:r>
              <w:t>children</w:t>
            </w:r>
          </w:p>
        </w:tc>
      </w:tr>
      <w:tr w:rsidR="00D96622" w:rsidTr="00972583">
        <w:tc>
          <w:tcPr>
            <w:tcW w:w="1384" w:type="dxa"/>
          </w:tcPr>
          <w:p w:rsidR="00D96622" w:rsidRDefault="00D96622" w:rsidP="00972583">
            <w:pPr>
              <w:pStyle w:val="BodyText"/>
              <w:tabs>
                <w:tab w:val="left" w:pos="1701"/>
              </w:tabs>
              <w:spacing w:before="120"/>
            </w:pPr>
            <w:r>
              <w:t>Post*</w:t>
            </w:r>
          </w:p>
        </w:tc>
        <w:tc>
          <w:tcPr>
            <w:tcW w:w="7621" w:type="dxa"/>
          </w:tcPr>
          <w:p w:rsidR="00D96622" w:rsidRDefault="00A16986" w:rsidP="00972583">
            <w:pPr>
              <w:pStyle w:val="BodyText"/>
              <w:tabs>
                <w:tab w:val="left" w:pos="1701"/>
              </w:tabs>
              <w:spacing w:before="120"/>
              <w:jc w:val="left"/>
            </w:pPr>
            <w:r>
              <w:t>Expenditure on C</w:t>
            </w:r>
            <w:r w:rsidR="00833F34">
              <w:t xml:space="preserve">hildren in the Northern Territory </w:t>
            </w:r>
            <w:r w:rsidR="00D96622">
              <w:br/>
              <w:t>Productivity Commission</w:t>
            </w:r>
            <w:r w:rsidR="00833F34">
              <w:br/>
              <w:t>Locked Bag 2, Collins Street East, Melbourne VIC 8003</w:t>
            </w:r>
          </w:p>
        </w:tc>
      </w:tr>
    </w:tbl>
    <w:p w:rsidR="00D96622" w:rsidRDefault="00D96622" w:rsidP="00D96622">
      <w:pPr>
        <w:pStyle w:val="BodyText"/>
      </w:pPr>
      <w:r>
        <w:t>*</w:t>
      </w:r>
      <w:r w:rsidRPr="007354B8">
        <w:t xml:space="preserve"> </w:t>
      </w:r>
      <w:r>
        <w:t>If you do not receive notification of receipt of your submission to the Commission, please contact the Administrative Officer</w:t>
      </w:r>
      <w:r w:rsidR="00484B32">
        <w:t xml:space="preserve"> on 03 9653 2194.</w:t>
      </w:r>
    </w:p>
    <w:p w:rsidR="00D96622" w:rsidRPr="00391500" w:rsidRDefault="00D96622" w:rsidP="00D96622">
      <w:pPr>
        <w:pStyle w:val="Heading4"/>
      </w:pPr>
      <w:r w:rsidRPr="00391500">
        <w:t>Due date for submissions</w:t>
      </w:r>
    </w:p>
    <w:p w:rsidR="00833F34" w:rsidRDefault="00D96622" w:rsidP="00120072">
      <w:pPr>
        <w:pStyle w:val="BodyText"/>
      </w:pPr>
      <w:r>
        <w:t xml:space="preserve">Please send submissions to the Commission by </w:t>
      </w:r>
      <w:r w:rsidR="009A6746" w:rsidRPr="009A6746">
        <w:rPr>
          <w:b/>
        </w:rPr>
        <w:t>10</w:t>
      </w:r>
      <w:r w:rsidR="000A041F">
        <w:rPr>
          <w:b/>
        </w:rPr>
        <w:t> </w:t>
      </w:r>
      <w:r w:rsidR="009A6746">
        <w:rPr>
          <w:b/>
        </w:rPr>
        <w:t xml:space="preserve">July </w:t>
      </w:r>
      <w:r w:rsidR="00833F34">
        <w:rPr>
          <w:b/>
        </w:rPr>
        <w:t>2019</w:t>
      </w:r>
      <w:r w:rsidRPr="00A516A2">
        <w:t>.</w:t>
      </w:r>
    </w:p>
    <w:sectPr w:rsidR="00833F34" w:rsidSect="008A57F3">
      <w:headerReference w:type="even" r:id="rId16"/>
      <w:headerReference w:type="default" r:id="rId17"/>
      <w:footerReference w:type="even" r:id="rId18"/>
      <w:footerReference w:type="default" r:id="rId19"/>
      <w:headerReference w:type="first" r:id="rId20"/>
      <w:footerReference w:type="first" r:id="rId21"/>
      <w:pgSz w:w="11907" w:h="16840" w:code="9"/>
      <w:pgMar w:top="1985" w:right="1304" w:bottom="1247" w:left="1814" w:header="1701" w:footer="397" w:gutter="0"/>
      <w:pgNumType w:start="1" w:chapSep="period"/>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300B" w:rsidRDefault="006F300B">
      <w:r>
        <w:separator/>
      </w:r>
    </w:p>
  </w:endnote>
  <w:endnote w:type="continuationSeparator" w:id="0">
    <w:p w:rsidR="006F300B" w:rsidRDefault="006F300B">
      <w:r>
        <w:continuationSeparator/>
      </w:r>
    </w:p>
  </w:endnote>
  <w:endnote w:type="continuationNotice" w:id="1">
    <w:p w:rsidR="006F300B" w:rsidRDefault="006F30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PT Demi">
    <w:altName w:val="Futura PT Demi"/>
    <w:panose1 w:val="00000000000000000000"/>
    <w:charset w:val="00"/>
    <w:family w:val="swiss"/>
    <w:notTrueType/>
    <w:pitch w:val="default"/>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Futura PT Book">
    <w:altName w:val="Futura PT Book"/>
    <w:panose1 w:val="00000000000000000000"/>
    <w:charset w:val="00"/>
    <w:family w:val="swiss"/>
    <w:notTrueType/>
    <w:pitch w:val="default"/>
    <w:sig w:usb0="00000003" w:usb1="00000000" w:usb2="00000000" w:usb3="00000000" w:csb0="00000001"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6F300B" w:rsidTr="005F48ED">
      <w:trPr>
        <w:trHeight w:hRule="exact" w:val="567"/>
      </w:trPr>
      <w:tc>
        <w:tcPr>
          <w:tcW w:w="510" w:type="dxa"/>
        </w:tcPr>
        <w:p w:rsidR="006F300B" w:rsidRDefault="006F300B">
          <w:pPr>
            <w:pStyle w:val="Footer"/>
            <w:ind w:right="360" w:firstLine="360"/>
          </w:pPr>
        </w:p>
      </w:tc>
      <w:tc>
        <w:tcPr>
          <w:tcW w:w="7767" w:type="dxa"/>
        </w:tcPr>
        <w:p w:rsidR="006F300B" w:rsidRPr="00BA5B14" w:rsidRDefault="006F300B" w:rsidP="0013739A">
          <w:pPr>
            <w:pStyle w:val="Footer"/>
            <w:jc w:val="right"/>
            <w:rPr>
              <w:rFonts w:cs="Arial"/>
            </w:rPr>
          </w:pPr>
          <w:r w:rsidRPr="00BA5B14">
            <w:rPr>
              <w:rFonts w:cs="Arial"/>
            </w:rPr>
            <w:fldChar w:fldCharType="begin"/>
          </w:r>
          <w:r w:rsidRPr="00BA5B14">
            <w:rPr>
              <w:rFonts w:cs="Arial"/>
            </w:rPr>
            <w:instrText xml:space="preserve"> TITLE  \* MERGEFORMAT </w:instrText>
          </w:r>
          <w:r w:rsidRPr="00BA5B14">
            <w:rPr>
              <w:rFonts w:cs="Arial"/>
            </w:rPr>
            <w:fldChar w:fldCharType="separate"/>
          </w:r>
          <w:r w:rsidR="00A465FB">
            <w:rPr>
              <w:rFonts w:cs="Arial"/>
            </w:rPr>
            <w:t>Expenditure on Children in the Northern Territory</w:t>
          </w:r>
          <w:r w:rsidRPr="00BA5B14">
            <w:rPr>
              <w:rFonts w:cs="Arial"/>
            </w:rPr>
            <w:fldChar w:fldCharType="end"/>
          </w:r>
        </w:p>
      </w:tc>
      <w:tc>
        <w:tcPr>
          <w:tcW w:w="510" w:type="dxa"/>
        </w:tcPr>
        <w:p w:rsidR="006F300B" w:rsidRPr="00A24443" w:rsidRDefault="006F300B">
          <w:pPr>
            <w:pStyle w:val="Footer"/>
            <w:jc w:val="right"/>
            <w:rPr>
              <w:caps w:val="0"/>
            </w:rPr>
          </w:pPr>
          <w:r w:rsidRPr="0045783B">
            <w:rPr>
              <w:rStyle w:val="PageNumber"/>
              <w:caps w:val="0"/>
            </w:rPr>
            <w:fldChar w:fldCharType="begin"/>
          </w:r>
          <w:r w:rsidRPr="0045783B">
            <w:rPr>
              <w:rStyle w:val="PageNumber"/>
              <w:caps w:val="0"/>
            </w:rPr>
            <w:instrText xml:space="preserve">PAGE  </w:instrText>
          </w:r>
          <w:r w:rsidRPr="0045783B">
            <w:rPr>
              <w:rStyle w:val="PageNumber"/>
              <w:caps w:val="0"/>
            </w:rPr>
            <w:fldChar w:fldCharType="separate"/>
          </w:r>
          <w:r w:rsidR="009023E6">
            <w:rPr>
              <w:rStyle w:val="PageNumber"/>
              <w:caps w:val="0"/>
              <w:noProof/>
            </w:rPr>
            <w:t>iii</w:t>
          </w:r>
          <w:r w:rsidRPr="0045783B">
            <w:rPr>
              <w:rStyle w:val="PageNumber"/>
              <w:caps w:val="0"/>
            </w:rPr>
            <w:fldChar w:fldCharType="end"/>
          </w:r>
        </w:p>
      </w:tc>
    </w:tr>
  </w:tbl>
  <w:p w:rsidR="006F300B" w:rsidRDefault="006F300B">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6F300B" w:rsidTr="005F48ED">
      <w:trPr>
        <w:trHeight w:hRule="exact" w:val="567"/>
      </w:trPr>
      <w:tc>
        <w:tcPr>
          <w:tcW w:w="510" w:type="dxa"/>
        </w:tcPr>
        <w:p w:rsidR="006F300B" w:rsidRPr="00A24443" w:rsidRDefault="006F300B"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9023E6">
            <w:rPr>
              <w:rStyle w:val="PageNumber"/>
              <w:caps w:val="0"/>
              <w:noProof/>
            </w:rPr>
            <w:t>iv</w:t>
          </w:r>
          <w:r w:rsidRPr="00A24443">
            <w:rPr>
              <w:rStyle w:val="PageNumber"/>
              <w:caps w:val="0"/>
            </w:rPr>
            <w:fldChar w:fldCharType="end"/>
          </w:r>
        </w:p>
      </w:tc>
      <w:tc>
        <w:tcPr>
          <w:tcW w:w="7767" w:type="dxa"/>
        </w:tcPr>
        <w:p w:rsidR="006F300B" w:rsidRPr="0013739A" w:rsidRDefault="006F300B" w:rsidP="0013739A">
          <w:pPr>
            <w:pStyle w:val="Footer"/>
            <w:rPr>
              <w:rFonts w:cs="Arial"/>
            </w:rPr>
          </w:pPr>
          <w:r w:rsidRPr="00BA5B14">
            <w:rPr>
              <w:rFonts w:cs="Arial"/>
            </w:rPr>
            <w:fldChar w:fldCharType="begin"/>
          </w:r>
          <w:r w:rsidRPr="00BA5B14">
            <w:rPr>
              <w:rFonts w:cs="Arial"/>
            </w:rPr>
            <w:instrText xml:space="preserve"> SUBJECT  \* MERGEFORMAT </w:instrText>
          </w:r>
          <w:r w:rsidRPr="00BA5B14">
            <w:rPr>
              <w:rFonts w:cs="Arial"/>
            </w:rPr>
            <w:fldChar w:fldCharType="end"/>
          </w:r>
        </w:p>
      </w:tc>
      <w:tc>
        <w:tcPr>
          <w:tcW w:w="510" w:type="dxa"/>
        </w:tcPr>
        <w:p w:rsidR="006F300B" w:rsidRDefault="006F300B" w:rsidP="0019293B">
          <w:pPr>
            <w:pStyle w:val="Footer"/>
          </w:pPr>
        </w:p>
      </w:tc>
    </w:tr>
  </w:tbl>
  <w:p w:rsidR="006F300B" w:rsidRDefault="006F300B" w:rsidP="0019293B">
    <w:pPr>
      <w:pStyle w:val="FooterEn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6F300B" w:rsidTr="005F48ED">
      <w:trPr>
        <w:trHeight w:hRule="exact" w:val="567"/>
      </w:trPr>
      <w:tc>
        <w:tcPr>
          <w:tcW w:w="510" w:type="dxa"/>
        </w:tcPr>
        <w:p w:rsidR="006F300B" w:rsidRDefault="006F300B">
          <w:pPr>
            <w:pStyle w:val="Footer"/>
            <w:ind w:right="360" w:firstLine="360"/>
          </w:pPr>
        </w:p>
      </w:tc>
      <w:tc>
        <w:tcPr>
          <w:tcW w:w="7767" w:type="dxa"/>
        </w:tcPr>
        <w:p w:rsidR="006F300B" w:rsidRPr="00BA5B14" w:rsidRDefault="003C1438" w:rsidP="0013739A">
          <w:pPr>
            <w:pStyle w:val="Footer"/>
            <w:jc w:val="right"/>
            <w:rPr>
              <w:rFonts w:cs="Arial"/>
            </w:rPr>
          </w:pPr>
          <w:r>
            <w:rPr>
              <w:rFonts w:cs="Arial"/>
            </w:rPr>
            <w:t>ISSUES PAPER</w:t>
          </w:r>
        </w:p>
      </w:tc>
      <w:tc>
        <w:tcPr>
          <w:tcW w:w="510" w:type="dxa"/>
        </w:tcPr>
        <w:p w:rsidR="006F300B" w:rsidRPr="00A24443" w:rsidRDefault="006F300B">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A465FB">
            <w:rPr>
              <w:rStyle w:val="PageNumber"/>
              <w:caps w:val="0"/>
              <w:noProof/>
            </w:rPr>
            <w:t>iii</w:t>
          </w:r>
          <w:r w:rsidRPr="00A24443">
            <w:rPr>
              <w:rStyle w:val="PageNumber"/>
              <w:caps w:val="0"/>
            </w:rPr>
            <w:fldChar w:fldCharType="end"/>
          </w:r>
        </w:p>
      </w:tc>
    </w:tr>
  </w:tbl>
  <w:p w:rsidR="006F300B" w:rsidRDefault="006F300B">
    <w:pPr>
      <w:pStyle w:val="FooterEn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6F300B" w:rsidTr="005F48ED">
      <w:trPr>
        <w:trHeight w:hRule="exact" w:val="567"/>
      </w:trPr>
      <w:tc>
        <w:tcPr>
          <w:tcW w:w="510" w:type="dxa"/>
        </w:tcPr>
        <w:p w:rsidR="006F300B" w:rsidRPr="00A24443" w:rsidRDefault="006F300B"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A465FB">
            <w:rPr>
              <w:rStyle w:val="PageNumber"/>
              <w:caps w:val="0"/>
              <w:noProof/>
            </w:rPr>
            <w:t>22</w:t>
          </w:r>
          <w:r w:rsidRPr="00A24443">
            <w:rPr>
              <w:rStyle w:val="PageNumber"/>
              <w:caps w:val="0"/>
            </w:rPr>
            <w:fldChar w:fldCharType="end"/>
          </w:r>
        </w:p>
      </w:tc>
      <w:tc>
        <w:tcPr>
          <w:tcW w:w="7767" w:type="dxa"/>
        </w:tcPr>
        <w:p w:rsidR="006F300B" w:rsidRPr="0013739A" w:rsidRDefault="006F300B" w:rsidP="0013739A">
          <w:pPr>
            <w:pStyle w:val="Footer"/>
            <w:rPr>
              <w:rFonts w:cs="Arial"/>
            </w:rPr>
          </w:pPr>
          <w:r>
            <w:rPr>
              <w:rFonts w:cs="Arial"/>
            </w:rPr>
            <w:t>Expenditure on Children in the Northern Territory</w:t>
          </w:r>
          <w:bookmarkStart w:id="51" w:name="DraftReportEven"/>
          <w:bookmarkEnd w:id="51"/>
        </w:p>
      </w:tc>
      <w:tc>
        <w:tcPr>
          <w:tcW w:w="510" w:type="dxa"/>
        </w:tcPr>
        <w:p w:rsidR="006F300B" w:rsidRDefault="006F300B" w:rsidP="0019293B">
          <w:pPr>
            <w:pStyle w:val="Footer"/>
          </w:pPr>
        </w:p>
      </w:tc>
    </w:tr>
  </w:tbl>
  <w:p w:rsidR="006F300B" w:rsidRDefault="006F300B" w:rsidP="0019293B">
    <w:pPr>
      <w:pStyle w:val="FooterEnd"/>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6F300B" w:rsidTr="005F48ED">
      <w:trPr>
        <w:trHeight w:hRule="exact" w:val="567"/>
      </w:trPr>
      <w:tc>
        <w:tcPr>
          <w:tcW w:w="510" w:type="dxa"/>
        </w:tcPr>
        <w:p w:rsidR="006F300B" w:rsidRDefault="006F300B">
          <w:pPr>
            <w:pStyle w:val="Footer"/>
            <w:ind w:right="360" w:firstLine="360"/>
          </w:pPr>
        </w:p>
      </w:tc>
      <w:tc>
        <w:tcPr>
          <w:tcW w:w="7767" w:type="dxa"/>
        </w:tcPr>
        <w:p w:rsidR="006F300B" w:rsidRPr="00BA5B14" w:rsidRDefault="006F300B" w:rsidP="0013739A">
          <w:pPr>
            <w:pStyle w:val="Footer"/>
            <w:jc w:val="right"/>
            <w:rPr>
              <w:rFonts w:cs="Arial"/>
            </w:rPr>
          </w:pPr>
          <w:r>
            <w:rPr>
              <w:rFonts w:cs="Arial"/>
            </w:rPr>
            <w:t>Issues Paper</w:t>
          </w:r>
          <w:bookmarkStart w:id="52" w:name="DraftReportOdd"/>
          <w:bookmarkEnd w:id="52"/>
        </w:p>
      </w:tc>
      <w:tc>
        <w:tcPr>
          <w:tcW w:w="510" w:type="dxa"/>
        </w:tcPr>
        <w:p w:rsidR="006F300B" w:rsidRPr="00A24443" w:rsidRDefault="006F300B">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A465FB">
            <w:rPr>
              <w:rStyle w:val="PageNumber"/>
              <w:caps w:val="0"/>
              <w:noProof/>
            </w:rPr>
            <w:t>23</w:t>
          </w:r>
          <w:r w:rsidRPr="00A24443">
            <w:rPr>
              <w:rStyle w:val="PageNumber"/>
              <w:caps w:val="0"/>
            </w:rPr>
            <w:fldChar w:fldCharType="end"/>
          </w:r>
        </w:p>
      </w:tc>
    </w:tr>
  </w:tbl>
  <w:p w:rsidR="006F300B" w:rsidRDefault="006F300B">
    <w:pPr>
      <w:pStyle w:val="FooterEnd"/>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300B" w:rsidRDefault="006F30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300B" w:rsidRDefault="006F300B">
      <w:r>
        <w:separator/>
      </w:r>
    </w:p>
  </w:footnote>
  <w:footnote w:type="continuationSeparator" w:id="0">
    <w:p w:rsidR="006F300B" w:rsidRDefault="006F300B">
      <w:r>
        <w:continuationSeparator/>
      </w:r>
    </w:p>
  </w:footnote>
  <w:footnote w:type="continuationNotice" w:id="1">
    <w:p w:rsidR="006F300B" w:rsidRDefault="006F300B"/>
  </w:footnote>
  <w:footnote w:id="2">
    <w:p w:rsidR="006F300B" w:rsidRDefault="006F300B" w:rsidP="00C72404">
      <w:pPr>
        <w:pStyle w:val="FootnoteText"/>
      </w:pPr>
      <w:r>
        <w:rPr>
          <w:rStyle w:val="FootnoteReference"/>
        </w:rPr>
        <w:footnoteRef/>
      </w:r>
      <w:r>
        <w:tab/>
        <w:t>The public health approach is based on techniques that have long been used to tackle infectious diseases within a population, especially where infection rates and patient outcomes are influenced by a range of complex social, cultural, environmental and economic factors. The approach also reflects the old adage that ‘prevention is better than cure’.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6F300B">
      <w:tc>
        <w:tcPr>
          <w:tcW w:w="6634" w:type="dxa"/>
          <w:tcBorders>
            <w:top w:val="single" w:sz="6" w:space="0" w:color="auto"/>
          </w:tcBorders>
        </w:tcPr>
        <w:p w:rsidR="006F300B" w:rsidRDefault="006F300B" w:rsidP="00E669E2">
          <w:pPr>
            <w:pStyle w:val="HeaderOdd"/>
          </w:pPr>
        </w:p>
      </w:tc>
      <w:tc>
        <w:tcPr>
          <w:tcW w:w="2155" w:type="dxa"/>
          <w:tcBorders>
            <w:top w:val="single" w:sz="24" w:space="0" w:color="auto"/>
          </w:tcBorders>
        </w:tcPr>
        <w:p w:rsidR="006F300B" w:rsidRDefault="006F300B" w:rsidP="00E669E2">
          <w:pPr>
            <w:pStyle w:val="HeaderOdd"/>
          </w:pPr>
        </w:p>
      </w:tc>
    </w:tr>
  </w:tbl>
  <w:p w:rsidR="006F300B" w:rsidRDefault="006F300B" w:rsidP="00E669E2">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5"/>
      <w:gridCol w:w="6634"/>
    </w:tblGrid>
    <w:tr w:rsidR="006F300B">
      <w:tc>
        <w:tcPr>
          <w:tcW w:w="2155" w:type="dxa"/>
          <w:tcBorders>
            <w:top w:val="single" w:sz="24" w:space="0" w:color="auto"/>
          </w:tcBorders>
        </w:tcPr>
        <w:p w:rsidR="006F300B" w:rsidRDefault="006F300B" w:rsidP="0019293B">
          <w:pPr>
            <w:pStyle w:val="HeaderEven"/>
          </w:pPr>
        </w:p>
      </w:tc>
      <w:tc>
        <w:tcPr>
          <w:tcW w:w="6634" w:type="dxa"/>
          <w:tcBorders>
            <w:top w:val="single" w:sz="6" w:space="0" w:color="auto"/>
          </w:tcBorders>
        </w:tcPr>
        <w:p w:rsidR="006F300B" w:rsidRDefault="006F300B" w:rsidP="0019293B">
          <w:pPr>
            <w:pStyle w:val="HeaderEven"/>
          </w:pPr>
        </w:p>
      </w:tc>
    </w:tr>
  </w:tbl>
  <w:p w:rsidR="006F300B" w:rsidRDefault="006F300B" w:rsidP="0019293B">
    <w:pPr>
      <w:pStyle w:val="HeaderEn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6F300B">
      <w:tc>
        <w:tcPr>
          <w:tcW w:w="6634" w:type="dxa"/>
          <w:tcBorders>
            <w:top w:val="single" w:sz="6" w:space="0" w:color="auto"/>
          </w:tcBorders>
        </w:tcPr>
        <w:p w:rsidR="006F300B" w:rsidRDefault="006F300B" w:rsidP="00E669E2">
          <w:pPr>
            <w:pStyle w:val="HeaderOdd"/>
          </w:pPr>
        </w:p>
      </w:tc>
      <w:tc>
        <w:tcPr>
          <w:tcW w:w="2155" w:type="dxa"/>
          <w:tcBorders>
            <w:top w:val="single" w:sz="24" w:space="0" w:color="auto"/>
          </w:tcBorders>
        </w:tcPr>
        <w:p w:rsidR="006F300B" w:rsidRDefault="006F300B" w:rsidP="00E669E2">
          <w:pPr>
            <w:pStyle w:val="HeaderOdd"/>
          </w:pPr>
        </w:p>
      </w:tc>
    </w:tr>
  </w:tbl>
  <w:p w:rsidR="006F300B" w:rsidRDefault="006F300B" w:rsidP="00E669E2">
    <w:pPr>
      <w:pStyle w:val="HeaderEn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5"/>
      <w:gridCol w:w="6634"/>
    </w:tblGrid>
    <w:tr w:rsidR="006F300B">
      <w:tc>
        <w:tcPr>
          <w:tcW w:w="2155" w:type="dxa"/>
          <w:tcBorders>
            <w:top w:val="single" w:sz="24" w:space="0" w:color="auto"/>
          </w:tcBorders>
        </w:tcPr>
        <w:p w:rsidR="006F300B" w:rsidRDefault="006F300B" w:rsidP="0019293B">
          <w:pPr>
            <w:pStyle w:val="HeaderEven"/>
          </w:pPr>
        </w:p>
      </w:tc>
      <w:tc>
        <w:tcPr>
          <w:tcW w:w="6634" w:type="dxa"/>
          <w:tcBorders>
            <w:top w:val="single" w:sz="6" w:space="0" w:color="auto"/>
          </w:tcBorders>
        </w:tcPr>
        <w:p w:rsidR="006F300B" w:rsidRDefault="006F300B" w:rsidP="0019293B">
          <w:pPr>
            <w:pStyle w:val="HeaderEven"/>
          </w:pPr>
        </w:p>
      </w:tc>
    </w:tr>
  </w:tbl>
  <w:p w:rsidR="006F300B" w:rsidRDefault="006F300B" w:rsidP="0019293B">
    <w:pPr>
      <w:pStyle w:val="HeaderEnd"/>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6F300B">
      <w:tc>
        <w:tcPr>
          <w:tcW w:w="6634" w:type="dxa"/>
          <w:tcBorders>
            <w:top w:val="single" w:sz="6" w:space="0" w:color="auto"/>
          </w:tcBorders>
        </w:tcPr>
        <w:p w:rsidR="006F300B" w:rsidRDefault="006F300B" w:rsidP="00E669E2">
          <w:pPr>
            <w:pStyle w:val="HeaderOdd"/>
          </w:pPr>
        </w:p>
      </w:tc>
      <w:tc>
        <w:tcPr>
          <w:tcW w:w="2155" w:type="dxa"/>
          <w:tcBorders>
            <w:top w:val="single" w:sz="24" w:space="0" w:color="auto"/>
          </w:tcBorders>
        </w:tcPr>
        <w:p w:rsidR="006F300B" w:rsidRDefault="006F300B" w:rsidP="00E669E2">
          <w:pPr>
            <w:pStyle w:val="HeaderOdd"/>
          </w:pPr>
        </w:p>
      </w:tc>
    </w:tr>
  </w:tbl>
  <w:p w:rsidR="006F300B" w:rsidRDefault="006F300B" w:rsidP="00E669E2">
    <w:pPr>
      <w:pStyle w:val="HeaderEnd"/>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300B" w:rsidRDefault="006F300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521C75D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0AF64C1"/>
    <w:multiLevelType w:val="hybridMultilevel"/>
    <w:tmpl w:val="2676C01A"/>
    <w:lvl w:ilvl="0" w:tplc="6F32720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20E7BE8"/>
    <w:multiLevelType w:val="hybridMultilevel"/>
    <w:tmpl w:val="DF8A364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7" w15:restartNumberingAfterBreak="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8" w15:restartNumberingAfterBreak="0">
    <w:nsid w:val="0BB97A2B"/>
    <w:multiLevelType w:val="multilevel"/>
    <w:tmpl w:val="49362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0F5380E"/>
    <w:multiLevelType w:val="hybridMultilevel"/>
    <w:tmpl w:val="A91C2BDA"/>
    <w:lvl w:ilvl="0" w:tplc="6EF892D0">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106448C"/>
    <w:multiLevelType w:val="hybridMultilevel"/>
    <w:tmpl w:val="D05C0DBE"/>
    <w:lvl w:ilvl="0" w:tplc="36F47840">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14" w15:restartNumberingAfterBreak="0">
    <w:nsid w:val="12404AEA"/>
    <w:multiLevelType w:val="hybridMultilevel"/>
    <w:tmpl w:val="24482182"/>
    <w:lvl w:ilvl="0" w:tplc="AA5ABA00">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452415F"/>
    <w:multiLevelType w:val="hybridMultilevel"/>
    <w:tmpl w:val="11042038"/>
    <w:lvl w:ilvl="0" w:tplc="CC683DAA">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17123CD4"/>
    <w:multiLevelType w:val="multilevel"/>
    <w:tmpl w:val="AD3EA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DF029B2"/>
    <w:multiLevelType w:val="hybridMultilevel"/>
    <w:tmpl w:val="32AA2BDA"/>
    <w:lvl w:ilvl="0" w:tplc="E9EC98D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2932218"/>
    <w:multiLevelType w:val="hybridMultilevel"/>
    <w:tmpl w:val="1122AC6A"/>
    <w:lvl w:ilvl="0" w:tplc="C75C9036">
      <w:start w:val="4"/>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36060DF"/>
    <w:multiLevelType w:val="hybridMultilevel"/>
    <w:tmpl w:val="4CD61CB6"/>
    <w:lvl w:ilvl="0" w:tplc="40265898">
      <w:start w:val="4"/>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21" w15:restartNumberingAfterBreak="0">
    <w:nsid w:val="25F8617C"/>
    <w:multiLevelType w:val="multilevel"/>
    <w:tmpl w:val="58D8B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3"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24" w15:restartNumberingAfterBreak="0">
    <w:nsid w:val="3889297F"/>
    <w:multiLevelType w:val="hybridMultilevel"/>
    <w:tmpl w:val="AFFC065C"/>
    <w:lvl w:ilvl="0" w:tplc="35C8BA8A">
      <w:start w:val="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B2D5B7C"/>
    <w:multiLevelType w:val="multilevel"/>
    <w:tmpl w:val="CA9E8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CBB2470"/>
    <w:multiLevelType w:val="hybridMultilevel"/>
    <w:tmpl w:val="8152841C"/>
    <w:lvl w:ilvl="0" w:tplc="C5247A54">
      <w:start w:val="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D2500AF"/>
    <w:multiLevelType w:val="multilevel"/>
    <w:tmpl w:val="B226C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35B2B20"/>
    <w:multiLevelType w:val="multilevel"/>
    <w:tmpl w:val="464C4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57B3CC1"/>
    <w:multiLevelType w:val="hybridMultilevel"/>
    <w:tmpl w:val="9120068E"/>
    <w:lvl w:ilvl="0" w:tplc="31DC4A7A">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32" w15:restartNumberingAfterBreak="0">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33" w15:restartNumberingAfterBreak="0">
    <w:nsid w:val="55B00D77"/>
    <w:multiLevelType w:val="hybridMultilevel"/>
    <w:tmpl w:val="79264470"/>
    <w:lvl w:ilvl="0" w:tplc="529CB0F6">
      <w:start w:val="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35" w15:restartNumberingAfterBreak="0">
    <w:nsid w:val="56A955A5"/>
    <w:multiLevelType w:val="hybridMultilevel"/>
    <w:tmpl w:val="AAC27DE2"/>
    <w:lvl w:ilvl="0" w:tplc="6F32720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7" w15:restartNumberingAfterBreak="0">
    <w:nsid w:val="5B6B4F7D"/>
    <w:multiLevelType w:val="hybridMultilevel"/>
    <w:tmpl w:val="8FB81ABA"/>
    <w:lvl w:ilvl="0" w:tplc="7D267AA6">
      <w:start w:val="5"/>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FDF30B6"/>
    <w:multiLevelType w:val="hybridMultilevel"/>
    <w:tmpl w:val="A078BA88"/>
    <w:lvl w:ilvl="0" w:tplc="22544DC2">
      <w:numFmt w:val="bullet"/>
      <w:lvlText w:val="-"/>
      <w:lvlJc w:val="left"/>
      <w:pPr>
        <w:ind w:left="720" w:hanging="360"/>
      </w:pPr>
      <w:rPr>
        <w:rFonts w:ascii="Times New Roman" w:eastAsia="Times New Roman" w:hAnsi="Times New Roman" w:cs="Times New Roman"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03A543E"/>
    <w:multiLevelType w:val="hybridMultilevel"/>
    <w:tmpl w:val="756E6A6A"/>
    <w:lvl w:ilvl="0" w:tplc="4AE47074">
      <w:start w:val="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42" w15:restartNumberingAfterBreak="0">
    <w:nsid w:val="66D422FA"/>
    <w:multiLevelType w:val="hybridMultilevel"/>
    <w:tmpl w:val="35601592"/>
    <w:lvl w:ilvl="0" w:tplc="5B16EC6A">
      <w:start w:val="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3D33CDB"/>
    <w:multiLevelType w:val="hybridMultilevel"/>
    <w:tmpl w:val="FC588072"/>
    <w:lvl w:ilvl="0" w:tplc="6F32720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6C356FC"/>
    <w:multiLevelType w:val="hybridMultilevel"/>
    <w:tmpl w:val="A824FE8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8BF79E8"/>
    <w:multiLevelType w:val="hybridMultilevel"/>
    <w:tmpl w:val="259EA226"/>
    <w:lvl w:ilvl="0" w:tplc="1A08260C">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47" w15:restartNumberingAfterBreak="0">
    <w:nsid w:val="7BFA7D75"/>
    <w:multiLevelType w:val="singleLevel"/>
    <w:tmpl w:val="B4C476FC"/>
    <w:lvl w:ilvl="0">
      <w:start w:val="1"/>
      <w:numFmt w:val="bullet"/>
      <w:lvlText w:val=""/>
      <w:lvlJc w:val="left"/>
      <w:pPr>
        <w:tabs>
          <w:tab w:val="num" w:pos="340"/>
        </w:tabs>
        <w:ind w:left="340" w:hanging="340"/>
      </w:pPr>
      <w:rPr>
        <w:rFonts w:ascii="Symbol" w:hAnsi="Symbol" w:hint="default"/>
        <w:b w:val="0"/>
        <w:i w:val="0"/>
        <w:sz w:val="18"/>
      </w:rPr>
    </w:lvl>
  </w:abstractNum>
  <w:num w:numId="1">
    <w:abstractNumId w:val="23"/>
  </w:num>
  <w:num w:numId="2">
    <w:abstractNumId w:val="5"/>
  </w:num>
  <w:num w:numId="3">
    <w:abstractNumId w:val="31"/>
  </w:num>
  <w:num w:numId="4">
    <w:abstractNumId w:val="6"/>
  </w:num>
  <w:num w:numId="5">
    <w:abstractNumId w:val="41"/>
  </w:num>
  <w:num w:numId="6">
    <w:abstractNumId w:val="34"/>
  </w:num>
  <w:num w:numId="7">
    <w:abstractNumId w:val="13"/>
  </w:num>
  <w:num w:numId="8">
    <w:abstractNumId w:val="32"/>
  </w:num>
  <w:num w:numId="9">
    <w:abstractNumId w:val="10"/>
  </w:num>
  <w:num w:numId="10">
    <w:abstractNumId w:val="9"/>
  </w:num>
  <w:num w:numId="11">
    <w:abstractNumId w:val="20"/>
  </w:num>
  <w:num w:numId="12">
    <w:abstractNumId w:val="22"/>
  </w:num>
  <w:num w:numId="13">
    <w:abstractNumId w:val="7"/>
  </w:num>
  <w:num w:numId="14">
    <w:abstractNumId w:val="36"/>
  </w:num>
  <w:num w:numId="15">
    <w:abstractNumId w:val="46"/>
  </w:num>
  <w:num w:numId="16">
    <w:abstractNumId w:val="30"/>
  </w:num>
  <w:num w:numId="17">
    <w:abstractNumId w:val="47"/>
  </w:num>
  <w:num w:numId="18">
    <w:abstractNumId w:val="0"/>
  </w:num>
  <w:num w:numId="19">
    <w:abstractNumId w:val="2"/>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0">
    <w:abstractNumId w:val="40"/>
  </w:num>
  <w:num w:numId="21">
    <w:abstractNumId w:val="15"/>
  </w:num>
  <w:num w:numId="22">
    <w:abstractNumId w:val="1"/>
  </w:num>
  <w:num w:numId="23">
    <w:abstractNumId w:val="26"/>
  </w:num>
  <w:num w:numId="24">
    <w:abstractNumId w:val="37"/>
  </w:num>
  <w:num w:numId="25">
    <w:abstractNumId w:val="43"/>
  </w:num>
  <w:num w:numId="26">
    <w:abstractNumId w:val="35"/>
  </w:num>
  <w:num w:numId="27">
    <w:abstractNumId w:val="3"/>
  </w:num>
  <w:num w:numId="28">
    <w:abstractNumId w:val="38"/>
  </w:num>
  <w:num w:numId="29">
    <w:abstractNumId w:val="17"/>
  </w:num>
  <w:num w:numId="30">
    <w:abstractNumId w:val="8"/>
  </w:num>
  <w:num w:numId="31">
    <w:abstractNumId w:val="16"/>
  </w:num>
  <w:num w:numId="32">
    <w:abstractNumId w:val="25"/>
  </w:num>
  <w:num w:numId="33">
    <w:abstractNumId w:val="21"/>
  </w:num>
  <w:num w:numId="34">
    <w:abstractNumId w:val="28"/>
  </w:num>
  <w:num w:numId="35">
    <w:abstractNumId w:val="11"/>
  </w:num>
  <w:num w:numId="36">
    <w:abstractNumId w:val="24"/>
  </w:num>
  <w:num w:numId="37">
    <w:abstractNumId w:val="42"/>
  </w:num>
  <w:num w:numId="38">
    <w:abstractNumId w:val="44"/>
  </w:num>
  <w:num w:numId="39">
    <w:abstractNumId w:val="45"/>
  </w:num>
  <w:num w:numId="40">
    <w:abstractNumId w:val="12"/>
  </w:num>
  <w:num w:numId="41">
    <w:abstractNumId w:val="29"/>
  </w:num>
  <w:num w:numId="42">
    <w:abstractNumId w:val="14"/>
  </w:num>
  <w:num w:numId="43">
    <w:abstractNumId w:val="33"/>
  </w:num>
  <w:num w:numId="44">
    <w:abstractNumId w:val="4"/>
  </w:num>
  <w:num w:numId="45">
    <w:abstractNumId w:val="39"/>
  </w:num>
  <w:num w:numId="46">
    <w:abstractNumId w:val="18"/>
  </w:num>
  <w:num w:numId="47">
    <w:abstractNumId w:val="31"/>
  </w:num>
  <w:num w:numId="48">
    <w:abstractNumId w:val="30"/>
  </w:num>
  <w:num w:numId="49">
    <w:abstractNumId w:val="30"/>
  </w:num>
  <w:num w:numId="50">
    <w:abstractNumId w:val="30"/>
  </w:num>
  <w:num w:numId="51">
    <w:abstractNumId w:val="30"/>
  </w:num>
  <w:num w:numId="52">
    <w:abstractNumId w:val="19"/>
  </w:num>
  <w:num w:numId="53">
    <w:abstractNumId w:val="23"/>
  </w:num>
  <w:num w:numId="54">
    <w:abstractNumId w:val="27"/>
  </w:num>
  <w:num w:numId="55">
    <w:abstractNumId w:val="31"/>
  </w:num>
  <w:num w:numId="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
  </w:num>
  <w:num w:numId="58">
    <w:abstractNumId w:val="3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hideSpellingErrors/>
  <w:hideGrammaticalErrors/>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indingOptions" w:val="1"/>
    <w:docVar w:name="RecOptions" w:val="111"/>
    <w:docVar w:name="ShortChapterTitle" w:val="Chapter"/>
    <w:docVar w:name="ShortReportTitle" w:val="Report"/>
  </w:docVars>
  <w:rsids>
    <w:rsidRoot w:val="00C36803"/>
    <w:rsid w:val="000007A9"/>
    <w:rsid w:val="00002703"/>
    <w:rsid w:val="0000424B"/>
    <w:rsid w:val="0000458E"/>
    <w:rsid w:val="00004BBE"/>
    <w:rsid w:val="0000661F"/>
    <w:rsid w:val="000073E0"/>
    <w:rsid w:val="00010E80"/>
    <w:rsid w:val="00011618"/>
    <w:rsid w:val="0001241D"/>
    <w:rsid w:val="00013834"/>
    <w:rsid w:val="00013871"/>
    <w:rsid w:val="00014885"/>
    <w:rsid w:val="00014E9E"/>
    <w:rsid w:val="0001523E"/>
    <w:rsid w:val="000158ED"/>
    <w:rsid w:val="00015A46"/>
    <w:rsid w:val="0001721F"/>
    <w:rsid w:val="00017E63"/>
    <w:rsid w:val="00020130"/>
    <w:rsid w:val="00020DC8"/>
    <w:rsid w:val="00021717"/>
    <w:rsid w:val="000219B6"/>
    <w:rsid w:val="00021CD2"/>
    <w:rsid w:val="000226FA"/>
    <w:rsid w:val="000227D5"/>
    <w:rsid w:val="00023363"/>
    <w:rsid w:val="0002385F"/>
    <w:rsid w:val="000245AA"/>
    <w:rsid w:val="000255C8"/>
    <w:rsid w:val="0002594B"/>
    <w:rsid w:val="000259FE"/>
    <w:rsid w:val="000265BE"/>
    <w:rsid w:val="00026D1E"/>
    <w:rsid w:val="00030EC8"/>
    <w:rsid w:val="000311AD"/>
    <w:rsid w:val="0003179E"/>
    <w:rsid w:val="000318EF"/>
    <w:rsid w:val="00031E9A"/>
    <w:rsid w:val="00032123"/>
    <w:rsid w:val="00032623"/>
    <w:rsid w:val="00032B61"/>
    <w:rsid w:val="00033852"/>
    <w:rsid w:val="00035EFD"/>
    <w:rsid w:val="0003664B"/>
    <w:rsid w:val="00036A76"/>
    <w:rsid w:val="000374B7"/>
    <w:rsid w:val="00040106"/>
    <w:rsid w:val="0004111F"/>
    <w:rsid w:val="00041EE6"/>
    <w:rsid w:val="00044F54"/>
    <w:rsid w:val="00045637"/>
    <w:rsid w:val="00046619"/>
    <w:rsid w:val="00051F87"/>
    <w:rsid w:val="00052659"/>
    <w:rsid w:val="00052EAD"/>
    <w:rsid w:val="00053824"/>
    <w:rsid w:val="00055077"/>
    <w:rsid w:val="000565B3"/>
    <w:rsid w:val="00056D48"/>
    <w:rsid w:val="0005734C"/>
    <w:rsid w:val="00057777"/>
    <w:rsid w:val="00057922"/>
    <w:rsid w:val="00057A9D"/>
    <w:rsid w:val="000608A5"/>
    <w:rsid w:val="00060DB4"/>
    <w:rsid w:val="00062185"/>
    <w:rsid w:val="00063B29"/>
    <w:rsid w:val="00065291"/>
    <w:rsid w:val="0006629A"/>
    <w:rsid w:val="0006710A"/>
    <w:rsid w:val="0006772F"/>
    <w:rsid w:val="00070015"/>
    <w:rsid w:val="00070635"/>
    <w:rsid w:val="00070C93"/>
    <w:rsid w:val="0007150B"/>
    <w:rsid w:val="0007199B"/>
    <w:rsid w:val="0007223E"/>
    <w:rsid w:val="00072DF3"/>
    <w:rsid w:val="0007446A"/>
    <w:rsid w:val="000749A9"/>
    <w:rsid w:val="000769CD"/>
    <w:rsid w:val="000800AE"/>
    <w:rsid w:val="000843BB"/>
    <w:rsid w:val="00085A24"/>
    <w:rsid w:val="00085DA9"/>
    <w:rsid w:val="0008665E"/>
    <w:rsid w:val="000878E6"/>
    <w:rsid w:val="00090098"/>
    <w:rsid w:val="00090485"/>
    <w:rsid w:val="00091411"/>
    <w:rsid w:val="000938F5"/>
    <w:rsid w:val="0009419E"/>
    <w:rsid w:val="0009462A"/>
    <w:rsid w:val="00094C1A"/>
    <w:rsid w:val="00095663"/>
    <w:rsid w:val="00095B8E"/>
    <w:rsid w:val="00096683"/>
    <w:rsid w:val="00096E55"/>
    <w:rsid w:val="0009783E"/>
    <w:rsid w:val="000A041F"/>
    <w:rsid w:val="000A0FD7"/>
    <w:rsid w:val="000A1A96"/>
    <w:rsid w:val="000A1AB1"/>
    <w:rsid w:val="000A2779"/>
    <w:rsid w:val="000A2E24"/>
    <w:rsid w:val="000A34A7"/>
    <w:rsid w:val="000A3B4D"/>
    <w:rsid w:val="000A45C1"/>
    <w:rsid w:val="000A5911"/>
    <w:rsid w:val="000A5C0A"/>
    <w:rsid w:val="000A6A76"/>
    <w:rsid w:val="000A778E"/>
    <w:rsid w:val="000B1022"/>
    <w:rsid w:val="000B198C"/>
    <w:rsid w:val="000B2D40"/>
    <w:rsid w:val="000B483F"/>
    <w:rsid w:val="000B5F68"/>
    <w:rsid w:val="000B601B"/>
    <w:rsid w:val="000B603A"/>
    <w:rsid w:val="000B672D"/>
    <w:rsid w:val="000B74E6"/>
    <w:rsid w:val="000C040E"/>
    <w:rsid w:val="000C17A9"/>
    <w:rsid w:val="000C207E"/>
    <w:rsid w:val="000C21C8"/>
    <w:rsid w:val="000C2264"/>
    <w:rsid w:val="000C2A92"/>
    <w:rsid w:val="000C30C9"/>
    <w:rsid w:val="000C5053"/>
    <w:rsid w:val="000C5529"/>
    <w:rsid w:val="000C67BB"/>
    <w:rsid w:val="000D10C1"/>
    <w:rsid w:val="000D24E4"/>
    <w:rsid w:val="000D268A"/>
    <w:rsid w:val="000D2E63"/>
    <w:rsid w:val="000D3809"/>
    <w:rsid w:val="000D3A9F"/>
    <w:rsid w:val="000D3BA7"/>
    <w:rsid w:val="000D41E9"/>
    <w:rsid w:val="000D4295"/>
    <w:rsid w:val="000D4356"/>
    <w:rsid w:val="000D4F46"/>
    <w:rsid w:val="000D557D"/>
    <w:rsid w:val="000D570E"/>
    <w:rsid w:val="000D62CE"/>
    <w:rsid w:val="000D73A4"/>
    <w:rsid w:val="000D7F04"/>
    <w:rsid w:val="000E16BB"/>
    <w:rsid w:val="000E1ED6"/>
    <w:rsid w:val="000E2DB9"/>
    <w:rsid w:val="000E35F2"/>
    <w:rsid w:val="000E4204"/>
    <w:rsid w:val="000E42AE"/>
    <w:rsid w:val="000E43CA"/>
    <w:rsid w:val="000E4B20"/>
    <w:rsid w:val="000E4CDF"/>
    <w:rsid w:val="000E61B3"/>
    <w:rsid w:val="000E63EF"/>
    <w:rsid w:val="000F0035"/>
    <w:rsid w:val="000F04E7"/>
    <w:rsid w:val="000F060A"/>
    <w:rsid w:val="000F0DBE"/>
    <w:rsid w:val="000F1047"/>
    <w:rsid w:val="000F2284"/>
    <w:rsid w:val="000F2692"/>
    <w:rsid w:val="000F2B3D"/>
    <w:rsid w:val="000F367F"/>
    <w:rsid w:val="000F37CC"/>
    <w:rsid w:val="000F420B"/>
    <w:rsid w:val="000F46D7"/>
    <w:rsid w:val="000F4776"/>
    <w:rsid w:val="000F51AC"/>
    <w:rsid w:val="000F539C"/>
    <w:rsid w:val="000F571D"/>
    <w:rsid w:val="000F6661"/>
    <w:rsid w:val="000F7CAA"/>
    <w:rsid w:val="00100136"/>
    <w:rsid w:val="00100D71"/>
    <w:rsid w:val="001014BD"/>
    <w:rsid w:val="0010188A"/>
    <w:rsid w:val="001018C7"/>
    <w:rsid w:val="0010198E"/>
    <w:rsid w:val="00101B48"/>
    <w:rsid w:val="0010268F"/>
    <w:rsid w:val="001027A9"/>
    <w:rsid w:val="00102BD3"/>
    <w:rsid w:val="00104F3D"/>
    <w:rsid w:val="00104FF7"/>
    <w:rsid w:val="001053DA"/>
    <w:rsid w:val="00110116"/>
    <w:rsid w:val="00110189"/>
    <w:rsid w:val="0011046C"/>
    <w:rsid w:val="00110BAF"/>
    <w:rsid w:val="00111412"/>
    <w:rsid w:val="00111F04"/>
    <w:rsid w:val="001122C4"/>
    <w:rsid w:val="001151DD"/>
    <w:rsid w:val="00115E46"/>
    <w:rsid w:val="001165D1"/>
    <w:rsid w:val="00120072"/>
    <w:rsid w:val="00121DD7"/>
    <w:rsid w:val="00122F71"/>
    <w:rsid w:val="00124B57"/>
    <w:rsid w:val="001255D7"/>
    <w:rsid w:val="001260C7"/>
    <w:rsid w:val="0012687F"/>
    <w:rsid w:val="001269BE"/>
    <w:rsid w:val="00126EB8"/>
    <w:rsid w:val="0012706C"/>
    <w:rsid w:val="001274D4"/>
    <w:rsid w:val="001277CA"/>
    <w:rsid w:val="00127B47"/>
    <w:rsid w:val="00127B9F"/>
    <w:rsid w:val="001335D8"/>
    <w:rsid w:val="00133ABE"/>
    <w:rsid w:val="00133EB9"/>
    <w:rsid w:val="00134163"/>
    <w:rsid w:val="00134694"/>
    <w:rsid w:val="0013496C"/>
    <w:rsid w:val="00134E33"/>
    <w:rsid w:val="00135540"/>
    <w:rsid w:val="00135EEF"/>
    <w:rsid w:val="001363AA"/>
    <w:rsid w:val="00136C94"/>
    <w:rsid w:val="0013739A"/>
    <w:rsid w:val="00137644"/>
    <w:rsid w:val="00140322"/>
    <w:rsid w:val="0014113C"/>
    <w:rsid w:val="00141CBE"/>
    <w:rsid w:val="00142165"/>
    <w:rsid w:val="0014241C"/>
    <w:rsid w:val="00145C02"/>
    <w:rsid w:val="001462DA"/>
    <w:rsid w:val="00146627"/>
    <w:rsid w:val="001470A8"/>
    <w:rsid w:val="00150C0F"/>
    <w:rsid w:val="0015377B"/>
    <w:rsid w:val="00154C6C"/>
    <w:rsid w:val="00155A8C"/>
    <w:rsid w:val="00155AE2"/>
    <w:rsid w:val="00155CAF"/>
    <w:rsid w:val="00156038"/>
    <w:rsid w:val="00156295"/>
    <w:rsid w:val="00156481"/>
    <w:rsid w:val="00156DE4"/>
    <w:rsid w:val="00157A32"/>
    <w:rsid w:val="00160085"/>
    <w:rsid w:val="001603F6"/>
    <w:rsid w:val="00160A45"/>
    <w:rsid w:val="0016184B"/>
    <w:rsid w:val="001623BE"/>
    <w:rsid w:val="00162434"/>
    <w:rsid w:val="00164980"/>
    <w:rsid w:val="00164E00"/>
    <w:rsid w:val="00167134"/>
    <w:rsid w:val="00167652"/>
    <w:rsid w:val="001701A1"/>
    <w:rsid w:val="001704CF"/>
    <w:rsid w:val="00172CBD"/>
    <w:rsid w:val="00173CB4"/>
    <w:rsid w:val="00176CFC"/>
    <w:rsid w:val="00180223"/>
    <w:rsid w:val="00183B8F"/>
    <w:rsid w:val="00183E82"/>
    <w:rsid w:val="00184FD1"/>
    <w:rsid w:val="00185555"/>
    <w:rsid w:val="00185683"/>
    <w:rsid w:val="00187004"/>
    <w:rsid w:val="001878BB"/>
    <w:rsid w:val="00187B07"/>
    <w:rsid w:val="0019034D"/>
    <w:rsid w:val="00191AD7"/>
    <w:rsid w:val="00191AE0"/>
    <w:rsid w:val="0019289F"/>
    <w:rsid w:val="0019293B"/>
    <w:rsid w:val="00194236"/>
    <w:rsid w:val="0019426B"/>
    <w:rsid w:val="00195F0E"/>
    <w:rsid w:val="001965CC"/>
    <w:rsid w:val="00197549"/>
    <w:rsid w:val="001A032D"/>
    <w:rsid w:val="001A084B"/>
    <w:rsid w:val="001A1769"/>
    <w:rsid w:val="001A23A6"/>
    <w:rsid w:val="001A2C17"/>
    <w:rsid w:val="001A2E42"/>
    <w:rsid w:val="001A2FE3"/>
    <w:rsid w:val="001A3A71"/>
    <w:rsid w:val="001A3C91"/>
    <w:rsid w:val="001A3E2F"/>
    <w:rsid w:val="001A4FB0"/>
    <w:rsid w:val="001A55AB"/>
    <w:rsid w:val="001A5C52"/>
    <w:rsid w:val="001A6A4B"/>
    <w:rsid w:val="001A76FC"/>
    <w:rsid w:val="001B0611"/>
    <w:rsid w:val="001B0F2A"/>
    <w:rsid w:val="001B1211"/>
    <w:rsid w:val="001B1E2E"/>
    <w:rsid w:val="001B25B0"/>
    <w:rsid w:val="001B2D60"/>
    <w:rsid w:val="001B49AC"/>
    <w:rsid w:val="001B4B44"/>
    <w:rsid w:val="001B5884"/>
    <w:rsid w:val="001B59E2"/>
    <w:rsid w:val="001B693A"/>
    <w:rsid w:val="001B6BF7"/>
    <w:rsid w:val="001B7F4C"/>
    <w:rsid w:val="001C0865"/>
    <w:rsid w:val="001C0AED"/>
    <w:rsid w:val="001C3ABA"/>
    <w:rsid w:val="001C5111"/>
    <w:rsid w:val="001C51F7"/>
    <w:rsid w:val="001C6E5B"/>
    <w:rsid w:val="001D005F"/>
    <w:rsid w:val="001D2CC4"/>
    <w:rsid w:val="001D3F5A"/>
    <w:rsid w:val="001D57D7"/>
    <w:rsid w:val="001D76E4"/>
    <w:rsid w:val="001D7A6D"/>
    <w:rsid w:val="001E21DA"/>
    <w:rsid w:val="001E2D6A"/>
    <w:rsid w:val="001E3C6F"/>
    <w:rsid w:val="001E5840"/>
    <w:rsid w:val="001E78FD"/>
    <w:rsid w:val="001E7BE8"/>
    <w:rsid w:val="001E7F78"/>
    <w:rsid w:val="001F0248"/>
    <w:rsid w:val="001F03C7"/>
    <w:rsid w:val="001F10E4"/>
    <w:rsid w:val="001F2C4D"/>
    <w:rsid w:val="001F3498"/>
    <w:rsid w:val="001F3EB3"/>
    <w:rsid w:val="001F4A61"/>
    <w:rsid w:val="001F4AEF"/>
    <w:rsid w:val="001F4F86"/>
    <w:rsid w:val="001F6471"/>
    <w:rsid w:val="001F6E31"/>
    <w:rsid w:val="001F7013"/>
    <w:rsid w:val="001F7088"/>
    <w:rsid w:val="001F7D06"/>
    <w:rsid w:val="00201400"/>
    <w:rsid w:val="00202645"/>
    <w:rsid w:val="00202C2C"/>
    <w:rsid w:val="00203050"/>
    <w:rsid w:val="00203F39"/>
    <w:rsid w:val="00211A96"/>
    <w:rsid w:val="00211C98"/>
    <w:rsid w:val="00211EA5"/>
    <w:rsid w:val="002133CC"/>
    <w:rsid w:val="002135AB"/>
    <w:rsid w:val="002144BE"/>
    <w:rsid w:val="00214A4C"/>
    <w:rsid w:val="00215772"/>
    <w:rsid w:val="0021590A"/>
    <w:rsid w:val="00216FAA"/>
    <w:rsid w:val="002179BF"/>
    <w:rsid w:val="00222033"/>
    <w:rsid w:val="002221B2"/>
    <w:rsid w:val="00222516"/>
    <w:rsid w:val="00226B1B"/>
    <w:rsid w:val="00230BCA"/>
    <w:rsid w:val="00230D5E"/>
    <w:rsid w:val="00231A88"/>
    <w:rsid w:val="00231CCA"/>
    <w:rsid w:val="002320B8"/>
    <w:rsid w:val="00232408"/>
    <w:rsid w:val="0023480A"/>
    <w:rsid w:val="00235428"/>
    <w:rsid w:val="00235638"/>
    <w:rsid w:val="00236D8B"/>
    <w:rsid w:val="002377AC"/>
    <w:rsid w:val="00240494"/>
    <w:rsid w:val="00241A18"/>
    <w:rsid w:val="00241B80"/>
    <w:rsid w:val="00242279"/>
    <w:rsid w:val="0024339C"/>
    <w:rsid w:val="00243997"/>
    <w:rsid w:val="00244B08"/>
    <w:rsid w:val="00244D53"/>
    <w:rsid w:val="0024516C"/>
    <w:rsid w:val="00245811"/>
    <w:rsid w:val="00245C82"/>
    <w:rsid w:val="00245F2E"/>
    <w:rsid w:val="00246384"/>
    <w:rsid w:val="00246F84"/>
    <w:rsid w:val="002472DB"/>
    <w:rsid w:val="002501AA"/>
    <w:rsid w:val="00250D07"/>
    <w:rsid w:val="0025132B"/>
    <w:rsid w:val="002527A8"/>
    <w:rsid w:val="0025499D"/>
    <w:rsid w:val="00255DBD"/>
    <w:rsid w:val="00256639"/>
    <w:rsid w:val="002606A1"/>
    <w:rsid w:val="00261325"/>
    <w:rsid w:val="00261AEE"/>
    <w:rsid w:val="00262C9F"/>
    <w:rsid w:val="00262CB3"/>
    <w:rsid w:val="00262EF6"/>
    <w:rsid w:val="002637DA"/>
    <w:rsid w:val="00264F9E"/>
    <w:rsid w:val="00265352"/>
    <w:rsid w:val="00266015"/>
    <w:rsid w:val="00267182"/>
    <w:rsid w:val="00267307"/>
    <w:rsid w:val="002724BA"/>
    <w:rsid w:val="00272BC4"/>
    <w:rsid w:val="00272CBA"/>
    <w:rsid w:val="00273599"/>
    <w:rsid w:val="0027486C"/>
    <w:rsid w:val="00274A87"/>
    <w:rsid w:val="00275214"/>
    <w:rsid w:val="0027600C"/>
    <w:rsid w:val="00277651"/>
    <w:rsid w:val="00277DDD"/>
    <w:rsid w:val="002810F2"/>
    <w:rsid w:val="00282627"/>
    <w:rsid w:val="002832FB"/>
    <w:rsid w:val="00286045"/>
    <w:rsid w:val="00286D84"/>
    <w:rsid w:val="0029034E"/>
    <w:rsid w:val="002905B3"/>
    <w:rsid w:val="00291B40"/>
    <w:rsid w:val="00292A0D"/>
    <w:rsid w:val="00292A21"/>
    <w:rsid w:val="00292BCE"/>
    <w:rsid w:val="00297705"/>
    <w:rsid w:val="002978AD"/>
    <w:rsid w:val="00297ADA"/>
    <w:rsid w:val="00297C74"/>
    <w:rsid w:val="002A0F21"/>
    <w:rsid w:val="002A1BC4"/>
    <w:rsid w:val="002A38E6"/>
    <w:rsid w:val="002A3CA6"/>
    <w:rsid w:val="002A4CD8"/>
    <w:rsid w:val="002A4DA2"/>
    <w:rsid w:val="002A4F7B"/>
    <w:rsid w:val="002A5290"/>
    <w:rsid w:val="002A6396"/>
    <w:rsid w:val="002B1C88"/>
    <w:rsid w:val="002B271B"/>
    <w:rsid w:val="002B34C5"/>
    <w:rsid w:val="002B4008"/>
    <w:rsid w:val="002B4D15"/>
    <w:rsid w:val="002B55FA"/>
    <w:rsid w:val="002B799C"/>
    <w:rsid w:val="002B7D88"/>
    <w:rsid w:val="002C05B8"/>
    <w:rsid w:val="002C09E8"/>
    <w:rsid w:val="002C114C"/>
    <w:rsid w:val="002C1AA5"/>
    <w:rsid w:val="002C22AD"/>
    <w:rsid w:val="002C2890"/>
    <w:rsid w:val="002C3985"/>
    <w:rsid w:val="002C3C60"/>
    <w:rsid w:val="002C4128"/>
    <w:rsid w:val="002C439F"/>
    <w:rsid w:val="002C59F4"/>
    <w:rsid w:val="002C5A8C"/>
    <w:rsid w:val="002C6BBC"/>
    <w:rsid w:val="002C7D6B"/>
    <w:rsid w:val="002C7F11"/>
    <w:rsid w:val="002D0C42"/>
    <w:rsid w:val="002D0E8E"/>
    <w:rsid w:val="002D1EE1"/>
    <w:rsid w:val="002D2755"/>
    <w:rsid w:val="002D285D"/>
    <w:rsid w:val="002D3089"/>
    <w:rsid w:val="002D3444"/>
    <w:rsid w:val="002D3A9B"/>
    <w:rsid w:val="002D4A4C"/>
    <w:rsid w:val="002D6F06"/>
    <w:rsid w:val="002D70AD"/>
    <w:rsid w:val="002D7154"/>
    <w:rsid w:val="002D7423"/>
    <w:rsid w:val="002D7671"/>
    <w:rsid w:val="002E0AB2"/>
    <w:rsid w:val="002E0DAD"/>
    <w:rsid w:val="002E11CA"/>
    <w:rsid w:val="002E2AF5"/>
    <w:rsid w:val="002E32B0"/>
    <w:rsid w:val="002E336B"/>
    <w:rsid w:val="002E39FF"/>
    <w:rsid w:val="002E3DBD"/>
    <w:rsid w:val="002E5558"/>
    <w:rsid w:val="002E671A"/>
    <w:rsid w:val="002F0957"/>
    <w:rsid w:val="002F0AD5"/>
    <w:rsid w:val="002F1939"/>
    <w:rsid w:val="002F1E1D"/>
    <w:rsid w:val="002F1E6B"/>
    <w:rsid w:val="002F2154"/>
    <w:rsid w:val="002F21CC"/>
    <w:rsid w:val="002F2BDC"/>
    <w:rsid w:val="002F4E7D"/>
    <w:rsid w:val="002F55C9"/>
    <w:rsid w:val="002F5909"/>
    <w:rsid w:val="002F5D41"/>
    <w:rsid w:val="002F72B2"/>
    <w:rsid w:val="002F795C"/>
    <w:rsid w:val="002F7B7D"/>
    <w:rsid w:val="003006CA"/>
    <w:rsid w:val="003006CD"/>
    <w:rsid w:val="003010B3"/>
    <w:rsid w:val="00301189"/>
    <w:rsid w:val="00301E4A"/>
    <w:rsid w:val="0030256C"/>
    <w:rsid w:val="0030262C"/>
    <w:rsid w:val="00302EF4"/>
    <w:rsid w:val="00303AB6"/>
    <w:rsid w:val="00303EA5"/>
    <w:rsid w:val="003045EA"/>
    <w:rsid w:val="00304BF3"/>
    <w:rsid w:val="00305E9D"/>
    <w:rsid w:val="00306D50"/>
    <w:rsid w:val="00307141"/>
    <w:rsid w:val="0031017C"/>
    <w:rsid w:val="00312974"/>
    <w:rsid w:val="00312B30"/>
    <w:rsid w:val="0031355E"/>
    <w:rsid w:val="00314B5A"/>
    <w:rsid w:val="00316053"/>
    <w:rsid w:val="003168B8"/>
    <w:rsid w:val="00316C96"/>
    <w:rsid w:val="0031761D"/>
    <w:rsid w:val="003176C4"/>
    <w:rsid w:val="00317BBA"/>
    <w:rsid w:val="00320730"/>
    <w:rsid w:val="00322A8A"/>
    <w:rsid w:val="00322D64"/>
    <w:rsid w:val="00322F1A"/>
    <w:rsid w:val="00323E09"/>
    <w:rsid w:val="00323E33"/>
    <w:rsid w:val="00324E20"/>
    <w:rsid w:val="00325FBF"/>
    <w:rsid w:val="00326043"/>
    <w:rsid w:val="0032762F"/>
    <w:rsid w:val="003328EB"/>
    <w:rsid w:val="00333932"/>
    <w:rsid w:val="00336867"/>
    <w:rsid w:val="00337B4B"/>
    <w:rsid w:val="00337D4A"/>
    <w:rsid w:val="00340695"/>
    <w:rsid w:val="00340DEE"/>
    <w:rsid w:val="00341372"/>
    <w:rsid w:val="00341E0F"/>
    <w:rsid w:val="00342844"/>
    <w:rsid w:val="00343E67"/>
    <w:rsid w:val="00344ADE"/>
    <w:rsid w:val="00344E9D"/>
    <w:rsid w:val="00345498"/>
    <w:rsid w:val="003463F9"/>
    <w:rsid w:val="0034745A"/>
    <w:rsid w:val="00350B7C"/>
    <w:rsid w:val="003518AA"/>
    <w:rsid w:val="00351F5F"/>
    <w:rsid w:val="00352165"/>
    <w:rsid w:val="00352A7E"/>
    <w:rsid w:val="00352DB6"/>
    <w:rsid w:val="00353182"/>
    <w:rsid w:val="00353691"/>
    <w:rsid w:val="00353B41"/>
    <w:rsid w:val="0035401D"/>
    <w:rsid w:val="00354585"/>
    <w:rsid w:val="0035532D"/>
    <w:rsid w:val="00355870"/>
    <w:rsid w:val="003565D9"/>
    <w:rsid w:val="00356766"/>
    <w:rsid w:val="00356B18"/>
    <w:rsid w:val="003602E1"/>
    <w:rsid w:val="00360376"/>
    <w:rsid w:val="00360A50"/>
    <w:rsid w:val="00361B24"/>
    <w:rsid w:val="003655B8"/>
    <w:rsid w:val="00365867"/>
    <w:rsid w:val="00366AB7"/>
    <w:rsid w:val="00367BA3"/>
    <w:rsid w:val="0037026F"/>
    <w:rsid w:val="003710B6"/>
    <w:rsid w:val="00371240"/>
    <w:rsid w:val="00373D3F"/>
    <w:rsid w:val="003741E5"/>
    <w:rsid w:val="003746D0"/>
    <w:rsid w:val="00374731"/>
    <w:rsid w:val="00375A74"/>
    <w:rsid w:val="00375D7E"/>
    <w:rsid w:val="00376036"/>
    <w:rsid w:val="00376E59"/>
    <w:rsid w:val="00377038"/>
    <w:rsid w:val="003777E5"/>
    <w:rsid w:val="00377CE6"/>
    <w:rsid w:val="00377EC1"/>
    <w:rsid w:val="00380340"/>
    <w:rsid w:val="00380F4A"/>
    <w:rsid w:val="003817EC"/>
    <w:rsid w:val="0038195E"/>
    <w:rsid w:val="003819B0"/>
    <w:rsid w:val="00381EF4"/>
    <w:rsid w:val="00382190"/>
    <w:rsid w:val="00382597"/>
    <w:rsid w:val="00383851"/>
    <w:rsid w:val="003845FA"/>
    <w:rsid w:val="00385827"/>
    <w:rsid w:val="0038593A"/>
    <w:rsid w:val="0038744D"/>
    <w:rsid w:val="0038758C"/>
    <w:rsid w:val="00390385"/>
    <w:rsid w:val="00390A06"/>
    <w:rsid w:val="003919F9"/>
    <w:rsid w:val="003920CF"/>
    <w:rsid w:val="003941D4"/>
    <w:rsid w:val="00394327"/>
    <w:rsid w:val="00395C3B"/>
    <w:rsid w:val="00397EC0"/>
    <w:rsid w:val="003A0787"/>
    <w:rsid w:val="003A0C5C"/>
    <w:rsid w:val="003A0ED8"/>
    <w:rsid w:val="003A15B3"/>
    <w:rsid w:val="003A27B8"/>
    <w:rsid w:val="003A37F1"/>
    <w:rsid w:val="003A47CB"/>
    <w:rsid w:val="003A5EF6"/>
    <w:rsid w:val="003A5FE3"/>
    <w:rsid w:val="003A6369"/>
    <w:rsid w:val="003A70FD"/>
    <w:rsid w:val="003A7339"/>
    <w:rsid w:val="003B0006"/>
    <w:rsid w:val="003B0CC1"/>
    <w:rsid w:val="003B23C2"/>
    <w:rsid w:val="003B46F9"/>
    <w:rsid w:val="003B494C"/>
    <w:rsid w:val="003B4CDC"/>
    <w:rsid w:val="003B5124"/>
    <w:rsid w:val="003B5A77"/>
    <w:rsid w:val="003B5E65"/>
    <w:rsid w:val="003B6BD2"/>
    <w:rsid w:val="003B733E"/>
    <w:rsid w:val="003B7614"/>
    <w:rsid w:val="003C0ADB"/>
    <w:rsid w:val="003C102B"/>
    <w:rsid w:val="003C1281"/>
    <w:rsid w:val="003C1438"/>
    <w:rsid w:val="003C17FC"/>
    <w:rsid w:val="003C1EFD"/>
    <w:rsid w:val="003C2DA6"/>
    <w:rsid w:val="003C35AA"/>
    <w:rsid w:val="003C38B5"/>
    <w:rsid w:val="003C4F6A"/>
    <w:rsid w:val="003C5D99"/>
    <w:rsid w:val="003C7E81"/>
    <w:rsid w:val="003D076A"/>
    <w:rsid w:val="003D1087"/>
    <w:rsid w:val="003D2151"/>
    <w:rsid w:val="003D25A1"/>
    <w:rsid w:val="003D2942"/>
    <w:rsid w:val="003D2BB9"/>
    <w:rsid w:val="003D3EF6"/>
    <w:rsid w:val="003D44EF"/>
    <w:rsid w:val="003D5B3C"/>
    <w:rsid w:val="003D6450"/>
    <w:rsid w:val="003D67D3"/>
    <w:rsid w:val="003D6E8C"/>
    <w:rsid w:val="003D74CB"/>
    <w:rsid w:val="003D7976"/>
    <w:rsid w:val="003E129B"/>
    <w:rsid w:val="003E2F59"/>
    <w:rsid w:val="003E37DA"/>
    <w:rsid w:val="003E44CE"/>
    <w:rsid w:val="003E45BE"/>
    <w:rsid w:val="003E4839"/>
    <w:rsid w:val="003E4DE9"/>
    <w:rsid w:val="003E5313"/>
    <w:rsid w:val="003E5A9D"/>
    <w:rsid w:val="003E6B70"/>
    <w:rsid w:val="003E746B"/>
    <w:rsid w:val="003F0789"/>
    <w:rsid w:val="003F13A3"/>
    <w:rsid w:val="003F181D"/>
    <w:rsid w:val="003F1A37"/>
    <w:rsid w:val="003F29BC"/>
    <w:rsid w:val="003F2A8E"/>
    <w:rsid w:val="003F2E8F"/>
    <w:rsid w:val="003F4FD8"/>
    <w:rsid w:val="003F60E4"/>
    <w:rsid w:val="003F7F41"/>
    <w:rsid w:val="00400644"/>
    <w:rsid w:val="00400F12"/>
    <w:rsid w:val="00401054"/>
    <w:rsid w:val="00401882"/>
    <w:rsid w:val="00401BC5"/>
    <w:rsid w:val="0040346E"/>
    <w:rsid w:val="00405329"/>
    <w:rsid w:val="00405467"/>
    <w:rsid w:val="00405BFE"/>
    <w:rsid w:val="004068CE"/>
    <w:rsid w:val="004100C8"/>
    <w:rsid w:val="004109CD"/>
    <w:rsid w:val="00411DBD"/>
    <w:rsid w:val="0041291A"/>
    <w:rsid w:val="00412ACE"/>
    <w:rsid w:val="004139C8"/>
    <w:rsid w:val="00413E8D"/>
    <w:rsid w:val="004145D2"/>
    <w:rsid w:val="004167DE"/>
    <w:rsid w:val="004175BB"/>
    <w:rsid w:val="0042062F"/>
    <w:rsid w:val="004225EF"/>
    <w:rsid w:val="0042277F"/>
    <w:rsid w:val="00423943"/>
    <w:rsid w:val="00423C3D"/>
    <w:rsid w:val="00425128"/>
    <w:rsid w:val="00425700"/>
    <w:rsid w:val="00426083"/>
    <w:rsid w:val="00426CB4"/>
    <w:rsid w:val="00427FB1"/>
    <w:rsid w:val="004311AC"/>
    <w:rsid w:val="00431249"/>
    <w:rsid w:val="00431693"/>
    <w:rsid w:val="00431AFF"/>
    <w:rsid w:val="004324C5"/>
    <w:rsid w:val="00432DFD"/>
    <w:rsid w:val="004330EC"/>
    <w:rsid w:val="00433312"/>
    <w:rsid w:val="00433E8E"/>
    <w:rsid w:val="00434526"/>
    <w:rsid w:val="00434C19"/>
    <w:rsid w:val="00436FC3"/>
    <w:rsid w:val="00437725"/>
    <w:rsid w:val="00437B91"/>
    <w:rsid w:val="004401A3"/>
    <w:rsid w:val="0044059E"/>
    <w:rsid w:val="00440B4D"/>
    <w:rsid w:val="0044150E"/>
    <w:rsid w:val="00441F56"/>
    <w:rsid w:val="00442BEC"/>
    <w:rsid w:val="00443C1A"/>
    <w:rsid w:val="004441D8"/>
    <w:rsid w:val="0044530D"/>
    <w:rsid w:val="00445D9B"/>
    <w:rsid w:val="0044676A"/>
    <w:rsid w:val="00446D1E"/>
    <w:rsid w:val="004472FF"/>
    <w:rsid w:val="00450810"/>
    <w:rsid w:val="00450A78"/>
    <w:rsid w:val="00450AC2"/>
    <w:rsid w:val="00451A11"/>
    <w:rsid w:val="00451A50"/>
    <w:rsid w:val="004525D1"/>
    <w:rsid w:val="00452B79"/>
    <w:rsid w:val="00453DEB"/>
    <w:rsid w:val="0045422D"/>
    <w:rsid w:val="00454319"/>
    <w:rsid w:val="004546F4"/>
    <w:rsid w:val="00455415"/>
    <w:rsid w:val="004564E8"/>
    <w:rsid w:val="00456598"/>
    <w:rsid w:val="00457856"/>
    <w:rsid w:val="00460721"/>
    <w:rsid w:val="00460A39"/>
    <w:rsid w:val="00460F20"/>
    <w:rsid w:val="00461527"/>
    <w:rsid w:val="00461F43"/>
    <w:rsid w:val="00462A2E"/>
    <w:rsid w:val="00462C59"/>
    <w:rsid w:val="004654AE"/>
    <w:rsid w:val="00466565"/>
    <w:rsid w:val="00467573"/>
    <w:rsid w:val="00467597"/>
    <w:rsid w:val="004706BE"/>
    <w:rsid w:val="00470737"/>
    <w:rsid w:val="00470A16"/>
    <w:rsid w:val="00471BE8"/>
    <w:rsid w:val="00471CE3"/>
    <w:rsid w:val="004725DF"/>
    <w:rsid w:val="00472AA8"/>
    <w:rsid w:val="004748BA"/>
    <w:rsid w:val="00474A15"/>
    <w:rsid w:val="004760DB"/>
    <w:rsid w:val="00476864"/>
    <w:rsid w:val="00476BD4"/>
    <w:rsid w:val="00476C74"/>
    <w:rsid w:val="00477144"/>
    <w:rsid w:val="00477699"/>
    <w:rsid w:val="00477986"/>
    <w:rsid w:val="00480828"/>
    <w:rsid w:val="00481F55"/>
    <w:rsid w:val="004828B2"/>
    <w:rsid w:val="00484B32"/>
    <w:rsid w:val="004852B1"/>
    <w:rsid w:val="00485ADD"/>
    <w:rsid w:val="00485B00"/>
    <w:rsid w:val="00485E7F"/>
    <w:rsid w:val="00486049"/>
    <w:rsid w:val="00487337"/>
    <w:rsid w:val="00487734"/>
    <w:rsid w:val="00487E80"/>
    <w:rsid w:val="00490819"/>
    <w:rsid w:val="00491380"/>
    <w:rsid w:val="00491482"/>
    <w:rsid w:val="004917C6"/>
    <w:rsid w:val="00491D0F"/>
    <w:rsid w:val="00491D78"/>
    <w:rsid w:val="00492847"/>
    <w:rsid w:val="00492D36"/>
    <w:rsid w:val="00492F8E"/>
    <w:rsid w:val="0049459F"/>
    <w:rsid w:val="00494DC0"/>
    <w:rsid w:val="004A049D"/>
    <w:rsid w:val="004A0CA0"/>
    <w:rsid w:val="004A10AD"/>
    <w:rsid w:val="004A1B9F"/>
    <w:rsid w:val="004A1C80"/>
    <w:rsid w:val="004A1FAD"/>
    <w:rsid w:val="004A22A4"/>
    <w:rsid w:val="004A38DD"/>
    <w:rsid w:val="004A3B69"/>
    <w:rsid w:val="004A4269"/>
    <w:rsid w:val="004A464B"/>
    <w:rsid w:val="004A6FFF"/>
    <w:rsid w:val="004A7569"/>
    <w:rsid w:val="004B1698"/>
    <w:rsid w:val="004B17C6"/>
    <w:rsid w:val="004B1D2D"/>
    <w:rsid w:val="004B1FC5"/>
    <w:rsid w:val="004B21F5"/>
    <w:rsid w:val="004B284C"/>
    <w:rsid w:val="004B2F16"/>
    <w:rsid w:val="004B3F6D"/>
    <w:rsid w:val="004B4320"/>
    <w:rsid w:val="004B43AE"/>
    <w:rsid w:val="004B4872"/>
    <w:rsid w:val="004B48F8"/>
    <w:rsid w:val="004B503C"/>
    <w:rsid w:val="004B56CD"/>
    <w:rsid w:val="004B646D"/>
    <w:rsid w:val="004C0178"/>
    <w:rsid w:val="004C30ED"/>
    <w:rsid w:val="004C375F"/>
    <w:rsid w:val="004C5030"/>
    <w:rsid w:val="004C6425"/>
    <w:rsid w:val="004C7758"/>
    <w:rsid w:val="004D1FDD"/>
    <w:rsid w:val="004D2321"/>
    <w:rsid w:val="004D2972"/>
    <w:rsid w:val="004D438E"/>
    <w:rsid w:val="004D45FA"/>
    <w:rsid w:val="004D4A93"/>
    <w:rsid w:val="004D5675"/>
    <w:rsid w:val="004D5A4C"/>
    <w:rsid w:val="004D5D27"/>
    <w:rsid w:val="004D709D"/>
    <w:rsid w:val="004D7DD0"/>
    <w:rsid w:val="004E0D15"/>
    <w:rsid w:val="004E361E"/>
    <w:rsid w:val="004E4038"/>
    <w:rsid w:val="004E4273"/>
    <w:rsid w:val="004E480E"/>
    <w:rsid w:val="004E54FE"/>
    <w:rsid w:val="004F1B3B"/>
    <w:rsid w:val="004F374D"/>
    <w:rsid w:val="004F38E3"/>
    <w:rsid w:val="004F4940"/>
    <w:rsid w:val="004F4B6A"/>
    <w:rsid w:val="004F581F"/>
    <w:rsid w:val="004F7BD1"/>
    <w:rsid w:val="005010E5"/>
    <w:rsid w:val="00501561"/>
    <w:rsid w:val="00503C74"/>
    <w:rsid w:val="00504382"/>
    <w:rsid w:val="00507242"/>
    <w:rsid w:val="00510707"/>
    <w:rsid w:val="00510894"/>
    <w:rsid w:val="00510B6E"/>
    <w:rsid w:val="00510C9F"/>
    <w:rsid w:val="00510DAC"/>
    <w:rsid w:val="00512E96"/>
    <w:rsid w:val="0051306E"/>
    <w:rsid w:val="00513FAF"/>
    <w:rsid w:val="0051690B"/>
    <w:rsid w:val="0051749C"/>
    <w:rsid w:val="0051752B"/>
    <w:rsid w:val="00517795"/>
    <w:rsid w:val="0052136D"/>
    <w:rsid w:val="00521DD5"/>
    <w:rsid w:val="005223D3"/>
    <w:rsid w:val="0052348E"/>
    <w:rsid w:val="00523514"/>
    <w:rsid w:val="00523639"/>
    <w:rsid w:val="00524155"/>
    <w:rsid w:val="0052468F"/>
    <w:rsid w:val="005258F7"/>
    <w:rsid w:val="00525CD9"/>
    <w:rsid w:val="00527136"/>
    <w:rsid w:val="00527D3F"/>
    <w:rsid w:val="00527D4B"/>
    <w:rsid w:val="00527EC0"/>
    <w:rsid w:val="00531310"/>
    <w:rsid w:val="005319FF"/>
    <w:rsid w:val="00531E18"/>
    <w:rsid w:val="00531FE5"/>
    <w:rsid w:val="00532625"/>
    <w:rsid w:val="00532AF5"/>
    <w:rsid w:val="00534722"/>
    <w:rsid w:val="00534BD9"/>
    <w:rsid w:val="00535037"/>
    <w:rsid w:val="0053571F"/>
    <w:rsid w:val="00535E19"/>
    <w:rsid w:val="00536C01"/>
    <w:rsid w:val="0053702E"/>
    <w:rsid w:val="00537537"/>
    <w:rsid w:val="00537E9E"/>
    <w:rsid w:val="005402FA"/>
    <w:rsid w:val="00541E1A"/>
    <w:rsid w:val="0054235C"/>
    <w:rsid w:val="0054246D"/>
    <w:rsid w:val="00542887"/>
    <w:rsid w:val="00542E3C"/>
    <w:rsid w:val="00547156"/>
    <w:rsid w:val="00550270"/>
    <w:rsid w:val="005502D4"/>
    <w:rsid w:val="005505D6"/>
    <w:rsid w:val="00553F44"/>
    <w:rsid w:val="005548BB"/>
    <w:rsid w:val="005561EA"/>
    <w:rsid w:val="005563CA"/>
    <w:rsid w:val="0056002A"/>
    <w:rsid w:val="00560A87"/>
    <w:rsid w:val="0056143F"/>
    <w:rsid w:val="0056156B"/>
    <w:rsid w:val="0056243C"/>
    <w:rsid w:val="0056243F"/>
    <w:rsid w:val="00562690"/>
    <w:rsid w:val="005627C2"/>
    <w:rsid w:val="005628C5"/>
    <w:rsid w:val="00562BC1"/>
    <w:rsid w:val="00564953"/>
    <w:rsid w:val="00564E2E"/>
    <w:rsid w:val="00565D9E"/>
    <w:rsid w:val="005670AA"/>
    <w:rsid w:val="00567928"/>
    <w:rsid w:val="00570965"/>
    <w:rsid w:val="00570C6D"/>
    <w:rsid w:val="00570EA6"/>
    <w:rsid w:val="00571E3B"/>
    <w:rsid w:val="005729BD"/>
    <w:rsid w:val="00573437"/>
    <w:rsid w:val="00573453"/>
    <w:rsid w:val="00573A25"/>
    <w:rsid w:val="00573BE3"/>
    <w:rsid w:val="00575239"/>
    <w:rsid w:val="005752B9"/>
    <w:rsid w:val="00575E1A"/>
    <w:rsid w:val="005762DB"/>
    <w:rsid w:val="00576BC9"/>
    <w:rsid w:val="005779BB"/>
    <w:rsid w:val="005779C4"/>
    <w:rsid w:val="00577A66"/>
    <w:rsid w:val="005800F4"/>
    <w:rsid w:val="00580154"/>
    <w:rsid w:val="00580840"/>
    <w:rsid w:val="00583C39"/>
    <w:rsid w:val="00583CA3"/>
    <w:rsid w:val="00584BAD"/>
    <w:rsid w:val="0058562C"/>
    <w:rsid w:val="00586774"/>
    <w:rsid w:val="00586A90"/>
    <w:rsid w:val="00587F28"/>
    <w:rsid w:val="005909CF"/>
    <w:rsid w:val="00591E71"/>
    <w:rsid w:val="00592814"/>
    <w:rsid w:val="005929C5"/>
    <w:rsid w:val="00592B46"/>
    <w:rsid w:val="00592DCE"/>
    <w:rsid w:val="00593AB3"/>
    <w:rsid w:val="0059478E"/>
    <w:rsid w:val="0059608E"/>
    <w:rsid w:val="00596C9C"/>
    <w:rsid w:val="0059739A"/>
    <w:rsid w:val="00597B67"/>
    <w:rsid w:val="005A0CE5"/>
    <w:rsid w:val="005A0D41"/>
    <w:rsid w:val="005A35C8"/>
    <w:rsid w:val="005A369B"/>
    <w:rsid w:val="005A3883"/>
    <w:rsid w:val="005A453C"/>
    <w:rsid w:val="005A584B"/>
    <w:rsid w:val="005A658B"/>
    <w:rsid w:val="005A66F9"/>
    <w:rsid w:val="005A6C40"/>
    <w:rsid w:val="005A6C63"/>
    <w:rsid w:val="005A73BB"/>
    <w:rsid w:val="005B133E"/>
    <w:rsid w:val="005B243C"/>
    <w:rsid w:val="005B265D"/>
    <w:rsid w:val="005B41E0"/>
    <w:rsid w:val="005B54FC"/>
    <w:rsid w:val="005B60FB"/>
    <w:rsid w:val="005B687D"/>
    <w:rsid w:val="005B699E"/>
    <w:rsid w:val="005C02E5"/>
    <w:rsid w:val="005C03F1"/>
    <w:rsid w:val="005C0775"/>
    <w:rsid w:val="005C13E8"/>
    <w:rsid w:val="005C23D9"/>
    <w:rsid w:val="005C2763"/>
    <w:rsid w:val="005C29B3"/>
    <w:rsid w:val="005C3136"/>
    <w:rsid w:val="005C36A0"/>
    <w:rsid w:val="005C3717"/>
    <w:rsid w:val="005C4690"/>
    <w:rsid w:val="005C4D8F"/>
    <w:rsid w:val="005C538D"/>
    <w:rsid w:val="005C5FA7"/>
    <w:rsid w:val="005C6DC6"/>
    <w:rsid w:val="005C7AF5"/>
    <w:rsid w:val="005D0724"/>
    <w:rsid w:val="005D2543"/>
    <w:rsid w:val="005D329F"/>
    <w:rsid w:val="005D4120"/>
    <w:rsid w:val="005D4CFF"/>
    <w:rsid w:val="005D6CF6"/>
    <w:rsid w:val="005D6D4C"/>
    <w:rsid w:val="005D6DF2"/>
    <w:rsid w:val="005E1A01"/>
    <w:rsid w:val="005E1FB7"/>
    <w:rsid w:val="005E2D78"/>
    <w:rsid w:val="005E3EC9"/>
    <w:rsid w:val="005E3FB0"/>
    <w:rsid w:val="005E4E44"/>
    <w:rsid w:val="005E5753"/>
    <w:rsid w:val="005E5CF4"/>
    <w:rsid w:val="005E63F3"/>
    <w:rsid w:val="005E6C76"/>
    <w:rsid w:val="005F3157"/>
    <w:rsid w:val="005F48ED"/>
    <w:rsid w:val="005F5805"/>
    <w:rsid w:val="005F5823"/>
    <w:rsid w:val="005F5A29"/>
    <w:rsid w:val="005F5BFB"/>
    <w:rsid w:val="005F6E35"/>
    <w:rsid w:val="005F6F0C"/>
    <w:rsid w:val="005F7097"/>
    <w:rsid w:val="005F72CF"/>
    <w:rsid w:val="00600278"/>
    <w:rsid w:val="00601420"/>
    <w:rsid w:val="00601C43"/>
    <w:rsid w:val="00603D52"/>
    <w:rsid w:val="00604104"/>
    <w:rsid w:val="00604D8A"/>
    <w:rsid w:val="00605E5A"/>
    <w:rsid w:val="00606E78"/>
    <w:rsid w:val="00607BF1"/>
    <w:rsid w:val="00610CC8"/>
    <w:rsid w:val="0061123E"/>
    <w:rsid w:val="00612F54"/>
    <w:rsid w:val="00614274"/>
    <w:rsid w:val="00614765"/>
    <w:rsid w:val="00614866"/>
    <w:rsid w:val="00614930"/>
    <w:rsid w:val="006158EC"/>
    <w:rsid w:val="006234C1"/>
    <w:rsid w:val="00623B90"/>
    <w:rsid w:val="00625CCE"/>
    <w:rsid w:val="006302C1"/>
    <w:rsid w:val="00630311"/>
    <w:rsid w:val="00630D4D"/>
    <w:rsid w:val="00632125"/>
    <w:rsid w:val="00632A74"/>
    <w:rsid w:val="00633076"/>
    <w:rsid w:val="00633A7E"/>
    <w:rsid w:val="00633FE4"/>
    <w:rsid w:val="00635125"/>
    <w:rsid w:val="006353D6"/>
    <w:rsid w:val="006360E3"/>
    <w:rsid w:val="0063649F"/>
    <w:rsid w:val="00637B75"/>
    <w:rsid w:val="0064081C"/>
    <w:rsid w:val="00641BAF"/>
    <w:rsid w:val="00642A48"/>
    <w:rsid w:val="00642CCB"/>
    <w:rsid w:val="00646EDC"/>
    <w:rsid w:val="00647158"/>
    <w:rsid w:val="0064797C"/>
    <w:rsid w:val="00647E1C"/>
    <w:rsid w:val="006506C1"/>
    <w:rsid w:val="00650A3E"/>
    <w:rsid w:val="00650E47"/>
    <w:rsid w:val="006513BC"/>
    <w:rsid w:val="00652045"/>
    <w:rsid w:val="0065281F"/>
    <w:rsid w:val="00652B1E"/>
    <w:rsid w:val="00653ADB"/>
    <w:rsid w:val="006543E1"/>
    <w:rsid w:val="00654D42"/>
    <w:rsid w:val="0065580C"/>
    <w:rsid w:val="00656329"/>
    <w:rsid w:val="006570B4"/>
    <w:rsid w:val="006611BC"/>
    <w:rsid w:val="00661626"/>
    <w:rsid w:val="00661A1C"/>
    <w:rsid w:val="00662D7C"/>
    <w:rsid w:val="00662DA6"/>
    <w:rsid w:val="00663F0F"/>
    <w:rsid w:val="00666413"/>
    <w:rsid w:val="00666E02"/>
    <w:rsid w:val="006672DD"/>
    <w:rsid w:val="00667564"/>
    <w:rsid w:val="006678F0"/>
    <w:rsid w:val="00670AE6"/>
    <w:rsid w:val="00671676"/>
    <w:rsid w:val="006717E5"/>
    <w:rsid w:val="00671B18"/>
    <w:rsid w:val="00671B4C"/>
    <w:rsid w:val="00672563"/>
    <w:rsid w:val="006725D5"/>
    <w:rsid w:val="00675262"/>
    <w:rsid w:val="006754BD"/>
    <w:rsid w:val="00675F86"/>
    <w:rsid w:val="00675F90"/>
    <w:rsid w:val="00676AD6"/>
    <w:rsid w:val="00676D71"/>
    <w:rsid w:val="0067796C"/>
    <w:rsid w:val="00680548"/>
    <w:rsid w:val="006816AA"/>
    <w:rsid w:val="00681DAF"/>
    <w:rsid w:val="00681FB4"/>
    <w:rsid w:val="006821A4"/>
    <w:rsid w:val="006829E5"/>
    <w:rsid w:val="006835A4"/>
    <w:rsid w:val="00683D64"/>
    <w:rsid w:val="00684597"/>
    <w:rsid w:val="0068504B"/>
    <w:rsid w:val="00685C2E"/>
    <w:rsid w:val="00686940"/>
    <w:rsid w:val="00686A28"/>
    <w:rsid w:val="00686E0A"/>
    <w:rsid w:val="00690B9C"/>
    <w:rsid w:val="006912F2"/>
    <w:rsid w:val="00693AD4"/>
    <w:rsid w:val="00694ACE"/>
    <w:rsid w:val="00695141"/>
    <w:rsid w:val="00695421"/>
    <w:rsid w:val="00695EB4"/>
    <w:rsid w:val="0069696D"/>
    <w:rsid w:val="00696F5A"/>
    <w:rsid w:val="0069734C"/>
    <w:rsid w:val="00697D74"/>
    <w:rsid w:val="006A0B0A"/>
    <w:rsid w:val="006A22C3"/>
    <w:rsid w:val="006A2372"/>
    <w:rsid w:val="006A2DC8"/>
    <w:rsid w:val="006A43A5"/>
    <w:rsid w:val="006A4655"/>
    <w:rsid w:val="006A470E"/>
    <w:rsid w:val="006A5091"/>
    <w:rsid w:val="006B296B"/>
    <w:rsid w:val="006B2B3C"/>
    <w:rsid w:val="006B352D"/>
    <w:rsid w:val="006B3A75"/>
    <w:rsid w:val="006B3F53"/>
    <w:rsid w:val="006B691A"/>
    <w:rsid w:val="006B75F9"/>
    <w:rsid w:val="006B7665"/>
    <w:rsid w:val="006B7930"/>
    <w:rsid w:val="006C08BF"/>
    <w:rsid w:val="006C1D81"/>
    <w:rsid w:val="006C25ED"/>
    <w:rsid w:val="006C397D"/>
    <w:rsid w:val="006C422D"/>
    <w:rsid w:val="006C43BC"/>
    <w:rsid w:val="006C511B"/>
    <w:rsid w:val="006C65FB"/>
    <w:rsid w:val="006C7038"/>
    <w:rsid w:val="006D08E5"/>
    <w:rsid w:val="006D0D7D"/>
    <w:rsid w:val="006D1446"/>
    <w:rsid w:val="006D169C"/>
    <w:rsid w:val="006D234B"/>
    <w:rsid w:val="006D5178"/>
    <w:rsid w:val="006D5808"/>
    <w:rsid w:val="006D5EED"/>
    <w:rsid w:val="006D63BF"/>
    <w:rsid w:val="006D65DE"/>
    <w:rsid w:val="006D6EEC"/>
    <w:rsid w:val="006D7429"/>
    <w:rsid w:val="006D7444"/>
    <w:rsid w:val="006D7689"/>
    <w:rsid w:val="006D7C3F"/>
    <w:rsid w:val="006E3F33"/>
    <w:rsid w:val="006E5117"/>
    <w:rsid w:val="006E65C0"/>
    <w:rsid w:val="006E67EB"/>
    <w:rsid w:val="006E6B73"/>
    <w:rsid w:val="006E73EF"/>
    <w:rsid w:val="006E7CC4"/>
    <w:rsid w:val="006F00E4"/>
    <w:rsid w:val="006F07F1"/>
    <w:rsid w:val="006F2ADD"/>
    <w:rsid w:val="006F300B"/>
    <w:rsid w:val="006F4D50"/>
    <w:rsid w:val="006F5B80"/>
    <w:rsid w:val="006F5E71"/>
    <w:rsid w:val="006F6FB3"/>
    <w:rsid w:val="006F784E"/>
    <w:rsid w:val="006F7B86"/>
    <w:rsid w:val="00703064"/>
    <w:rsid w:val="0070388D"/>
    <w:rsid w:val="00703C5F"/>
    <w:rsid w:val="007048EA"/>
    <w:rsid w:val="00705957"/>
    <w:rsid w:val="00705D29"/>
    <w:rsid w:val="00706C56"/>
    <w:rsid w:val="007079C9"/>
    <w:rsid w:val="00711E6C"/>
    <w:rsid w:val="007122AD"/>
    <w:rsid w:val="00713186"/>
    <w:rsid w:val="00714B6D"/>
    <w:rsid w:val="00714C49"/>
    <w:rsid w:val="00714D4D"/>
    <w:rsid w:val="00715401"/>
    <w:rsid w:val="00717FD7"/>
    <w:rsid w:val="00722A37"/>
    <w:rsid w:val="007247CE"/>
    <w:rsid w:val="007266D3"/>
    <w:rsid w:val="00726944"/>
    <w:rsid w:val="00726F54"/>
    <w:rsid w:val="00727EF4"/>
    <w:rsid w:val="007300CC"/>
    <w:rsid w:val="007306F8"/>
    <w:rsid w:val="00732029"/>
    <w:rsid w:val="007324E4"/>
    <w:rsid w:val="007331F4"/>
    <w:rsid w:val="00733242"/>
    <w:rsid w:val="00733704"/>
    <w:rsid w:val="007340E6"/>
    <w:rsid w:val="00735A31"/>
    <w:rsid w:val="00735B3E"/>
    <w:rsid w:val="007403B9"/>
    <w:rsid w:val="00740AAF"/>
    <w:rsid w:val="00740F05"/>
    <w:rsid w:val="0074142B"/>
    <w:rsid w:val="00742751"/>
    <w:rsid w:val="0074488D"/>
    <w:rsid w:val="007469C8"/>
    <w:rsid w:val="00747A55"/>
    <w:rsid w:val="00751306"/>
    <w:rsid w:val="007513F0"/>
    <w:rsid w:val="00751D35"/>
    <w:rsid w:val="00752221"/>
    <w:rsid w:val="00753DEF"/>
    <w:rsid w:val="00754A48"/>
    <w:rsid w:val="00755FD3"/>
    <w:rsid w:val="00756BA5"/>
    <w:rsid w:val="007604BB"/>
    <w:rsid w:val="00760DE9"/>
    <w:rsid w:val="007620DF"/>
    <w:rsid w:val="00762FE6"/>
    <w:rsid w:val="0076362C"/>
    <w:rsid w:val="00765354"/>
    <w:rsid w:val="00765B55"/>
    <w:rsid w:val="007666AF"/>
    <w:rsid w:val="00767381"/>
    <w:rsid w:val="007706D2"/>
    <w:rsid w:val="00770D7D"/>
    <w:rsid w:val="00772909"/>
    <w:rsid w:val="00773409"/>
    <w:rsid w:val="00773A63"/>
    <w:rsid w:val="00773DFB"/>
    <w:rsid w:val="00773FA8"/>
    <w:rsid w:val="007745F5"/>
    <w:rsid w:val="00774E64"/>
    <w:rsid w:val="007756F3"/>
    <w:rsid w:val="00775C38"/>
    <w:rsid w:val="0077617F"/>
    <w:rsid w:val="007762C3"/>
    <w:rsid w:val="00776E7F"/>
    <w:rsid w:val="007801F8"/>
    <w:rsid w:val="00781314"/>
    <w:rsid w:val="0078270F"/>
    <w:rsid w:val="0078298C"/>
    <w:rsid w:val="00785125"/>
    <w:rsid w:val="00785232"/>
    <w:rsid w:val="00785F36"/>
    <w:rsid w:val="0078606B"/>
    <w:rsid w:val="007866BA"/>
    <w:rsid w:val="00787575"/>
    <w:rsid w:val="00787941"/>
    <w:rsid w:val="00791D31"/>
    <w:rsid w:val="0079330E"/>
    <w:rsid w:val="007943AD"/>
    <w:rsid w:val="00795F03"/>
    <w:rsid w:val="0079661F"/>
    <w:rsid w:val="0079701E"/>
    <w:rsid w:val="007973D6"/>
    <w:rsid w:val="00797D09"/>
    <w:rsid w:val="007A051D"/>
    <w:rsid w:val="007A21EB"/>
    <w:rsid w:val="007A2B3C"/>
    <w:rsid w:val="007A2E68"/>
    <w:rsid w:val="007A3415"/>
    <w:rsid w:val="007A3A84"/>
    <w:rsid w:val="007A3DDB"/>
    <w:rsid w:val="007A3FEA"/>
    <w:rsid w:val="007A5507"/>
    <w:rsid w:val="007A7DA5"/>
    <w:rsid w:val="007B1A93"/>
    <w:rsid w:val="007B2278"/>
    <w:rsid w:val="007B2F51"/>
    <w:rsid w:val="007B3788"/>
    <w:rsid w:val="007B3935"/>
    <w:rsid w:val="007B4157"/>
    <w:rsid w:val="007B55D1"/>
    <w:rsid w:val="007B627D"/>
    <w:rsid w:val="007B670C"/>
    <w:rsid w:val="007C1887"/>
    <w:rsid w:val="007C2514"/>
    <w:rsid w:val="007C2D75"/>
    <w:rsid w:val="007C36C9"/>
    <w:rsid w:val="007C7998"/>
    <w:rsid w:val="007D178E"/>
    <w:rsid w:val="007D20C4"/>
    <w:rsid w:val="007D3388"/>
    <w:rsid w:val="007D3D46"/>
    <w:rsid w:val="007D5AE6"/>
    <w:rsid w:val="007D606A"/>
    <w:rsid w:val="007D6401"/>
    <w:rsid w:val="007D6A87"/>
    <w:rsid w:val="007D7E2A"/>
    <w:rsid w:val="007D7E50"/>
    <w:rsid w:val="007E01E4"/>
    <w:rsid w:val="007E03E2"/>
    <w:rsid w:val="007E1B89"/>
    <w:rsid w:val="007E1BCF"/>
    <w:rsid w:val="007E6BF6"/>
    <w:rsid w:val="007E79BC"/>
    <w:rsid w:val="007E7A12"/>
    <w:rsid w:val="007E7F1E"/>
    <w:rsid w:val="007F2D15"/>
    <w:rsid w:val="007F45BB"/>
    <w:rsid w:val="007F4EE2"/>
    <w:rsid w:val="007F6257"/>
    <w:rsid w:val="007F6931"/>
    <w:rsid w:val="007F7107"/>
    <w:rsid w:val="00800B9C"/>
    <w:rsid w:val="00800BD7"/>
    <w:rsid w:val="00800D4C"/>
    <w:rsid w:val="008010C6"/>
    <w:rsid w:val="00801F6D"/>
    <w:rsid w:val="00802B05"/>
    <w:rsid w:val="00803008"/>
    <w:rsid w:val="008035FA"/>
    <w:rsid w:val="00803F8E"/>
    <w:rsid w:val="00804245"/>
    <w:rsid w:val="0080557A"/>
    <w:rsid w:val="008071A0"/>
    <w:rsid w:val="0081030F"/>
    <w:rsid w:val="00811DAF"/>
    <w:rsid w:val="00812F4A"/>
    <w:rsid w:val="008132D8"/>
    <w:rsid w:val="00813E24"/>
    <w:rsid w:val="0081493A"/>
    <w:rsid w:val="00814D07"/>
    <w:rsid w:val="00814DDF"/>
    <w:rsid w:val="00815301"/>
    <w:rsid w:val="0081551D"/>
    <w:rsid w:val="00815D7D"/>
    <w:rsid w:val="0081728F"/>
    <w:rsid w:val="00817DAD"/>
    <w:rsid w:val="00820680"/>
    <w:rsid w:val="0082087D"/>
    <w:rsid w:val="008230AC"/>
    <w:rsid w:val="00824B27"/>
    <w:rsid w:val="00824DA4"/>
    <w:rsid w:val="00825C0A"/>
    <w:rsid w:val="00826CBC"/>
    <w:rsid w:val="008276F9"/>
    <w:rsid w:val="00827F77"/>
    <w:rsid w:val="008303D5"/>
    <w:rsid w:val="008310A1"/>
    <w:rsid w:val="00831271"/>
    <w:rsid w:val="00832355"/>
    <w:rsid w:val="008326F4"/>
    <w:rsid w:val="008332B1"/>
    <w:rsid w:val="00833F34"/>
    <w:rsid w:val="00834378"/>
    <w:rsid w:val="00834758"/>
    <w:rsid w:val="00834A09"/>
    <w:rsid w:val="008354ED"/>
    <w:rsid w:val="00835771"/>
    <w:rsid w:val="00835F58"/>
    <w:rsid w:val="0083726D"/>
    <w:rsid w:val="00840118"/>
    <w:rsid w:val="0084115F"/>
    <w:rsid w:val="00841F93"/>
    <w:rsid w:val="00842933"/>
    <w:rsid w:val="00842FCB"/>
    <w:rsid w:val="00843A4E"/>
    <w:rsid w:val="008440B4"/>
    <w:rsid w:val="00845965"/>
    <w:rsid w:val="00846BBC"/>
    <w:rsid w:val="00846CAB"/>
    <w:rsid w:val="0084790F"/>
    <w:rsid w:val="00850017"/>
    <w:rsid w:val="0085009F"/>
    <w:rsid w:val="0085068D"/>
    <w:rsid w:val="00852D8E"/>
    <w:rsid w:val="00855441"/>
    <w:rsid w:val="00856564"/>
    <w:rsid w:val="0085686D"/>
    <w:rsid w:val="0085696D"/>
    <w:rsid w:val="00857CA2"/>
    <w:rsid w:val="00860357"/>
    <w:rsid w:val="0086082C"/>
    <w:rsid w:val="00862A39"/>
    <w:rsid w:val="00862FF0"/>
    <w:rsid w:val="0086388E"/>
    <w:rsid w:val="00863DD8"/>
    <w:rsid w:val="00864ADC"/>
    <w:rsid w:val="008654FA"/>
    <w:rsid w:val="0086717B"/>
    <w:rsid w:val="0087028F"/>
    <w:rsid w:val="00871B06"/>
    <w:rsid w:val="00871D0D"/>
    <w:rsid w:val="0087292A"/>
    <w:rsid w:val="00872A88"/>
    <w:rsid w:val="0087317A"/>
    <w:rsid w:val="008742CD"/>
    <w:rsid w:val="008745D1"/>
    <w:rsid w:val="00875562"/>
    <w:rsid w:val="00875B4A"/>
    <w:rsid w:val="008769F5"/>
    <w:rsid w:val="00877E73"/>
    <w:rsid w:val="0088002E"/>
    <w:rsid w:val="00880153"/>
    <w:rsid w:val="00880967"/>
    <w:rsid w:val="00880B3D"/>
    <w:rsid w:val="00880D98"/>
    <w:rsid w:val="00880F97"/>
    <w:rsid w:val="0088133A"/>
    <w:rsid w:val="00882639"/>
    <w:rsid w:val="008829B2"/>
    <w:rsid w:val="00884261"/>
    <w:rsid w:val="00884A9B"/>
    <w:rsid w:val="00884CF3"/>
    <w:rsid w:val="00885427"/>
    <w:rsid w:val="008858E7"/>
    <w:rsid w:val="00890A0B"/>
    <w:rsid w:val="008911B2"/>
    <w:rsid w:val="00891A87"/>
    <w:rsid w:val="0089285E"/>
    <w:rsid w:val="00893247"/>
    <w:rsid w:val="0089436C"/>
    <w:rsid w:val="00894485"/>
    <w:rsid w:val="008949C1"/>
    <w:rsid w:val="00894AF0"/>
    <w:rsid w:val="00894CB7"/>
    <w:rsid w:val="00896775"/>
    <w:rsid w:val="0089707C"/>
    <w:rsid w:val="008972F9"/>
    <w:rsid w:val="008A01AC"/>
    <w:rsid w:val="008A0283"/>
    <w:rsid w:val="008A181E"/>
    <w:rsid w:val="008A3500"/>
    <w:rsid w:val="008A3E4F"/>
    <w:rsid w:val="008A3EEA"/>
    <w:rsid w:val="008A425E"/>
    <w:rsid w:val="008A57F3"/>
    <w:rsid w:val="008A5B0F"/>
    <w:rsid w:val="008A5CB8"/>
    <w:rsid w:val="008A6474"/>
    <w:rsid w:val="008A7FE3"/>
    <w:rsid w:val="008B08A4"/>
    <w:rsid w:val="008B1481"/>
    <w:rsid w:val="008B356D"/>
    <w:rsid w:val="008B40AD"/>
    <w:rsid w:val="008B43FD"/>
    <w:rsid w:val="008B7576"/>
    <w:rsid w:val="008B763E"/>
    <w:rsid w:val="008C0375"/>
    <w:rsid w:val="008C09E0"/>
    <w:rsid w:val="008C159C"/>
    <w:rsid w:val="008C2786"/>
    <w:rsid w:val="008C4426"/>
    <w:rsid w:val="008C46C1"/>
    <w:rsid w:val="008C555E"/>
    <w:rsid w:val="008C61EB"/>
    <w:rsid w:val="008C6E33"/>
    <w:rsid w:val="008C73F0"/>
    <w:rsid w:val="008D112A"/>
    <w:rsid w:val="008D2295"/>
    <w:rsid w:val="008D365C"/>
    <w:rsid w:val="008D3761"/>
    <w:rsid w:val="008D3D46"/>
    <w:rsid w:val="008D47F5"/>
    <w:rsid w:val="008D4B58"/>
    <w:rsid w:val="008D4F9E"/>
    <w:rsid w:val="008D5280"/>
    <w:rsid w:val="008D553B"/>
    <w:rsid w:val="008D5CF8"/>
    <w:rsid w:val="008D7622"/>
    <w:rsid w:val="008E010E"/>
    <w:rsid w:val="008E0440"/>
    <w:rsid w:val="008E0C9E"/>
    <w:rsid w:val="008E1687"/>
    <w:rsid w:val="008E29D3"/>
    <w:rsid w:val="008E2D99"/>
    <w:rsid w:val="008E3D49"/>
    <w:rsid w:val="008E3F1D"/>
    <w:rsid w:val="008E65FE"/>
    <w:rsid w:val="008E7B28"/>
    <w:rsid w:val="008E7C6E"/>
    <w:rsid w:val="008F0281"/>
    <w:rsid w:val="008F02C4"/>
    <w:rsid w:val="008F170C"/>
    <w:rsid w:val="008F187D"/>
    <w:rsid w:val="008F2448"/>
    <w:rsid w:val="008F32D0"/>
    <w:rsid w:val="008F502E"/>
    <w:rsid w:val="008F5BCF"/>
    <w:rsid w:val="008F73CF"/>
    <w:rsid w:val="008F7CBC"/>
    <w:rsid w:val="008F7FD1"/>
    <w:rsid w:val="009005AE"/>
    <w:rsid w:val="0090214C"/>
    <w:rsid w:val="009021A6"/>
    <w:rsid w:val="009023E6"/>
    <w:rsid w:val="009030BF"/>
    <w:rsid w:val="00903534"/>
    <w:rsid w:val="00903B52"/>
    <w:rsid w:val="009046ED"/>
    <w:rsid w:val="00906DD8"/>
    <w:rsid w:val="00907C03"/>
    <w:rsid w:val="00907EFA"/>
    <w:rsid w:val="00910107"/>
    <w:rsid w:val="0091032F"/>
    <w:rsid w:val="00910396"/>
    <w:rsid w:val="00910416"/>
    <w:rsid w:val="00910A03"/>
    <w:rsid w:val="0091276D"/>
    <w:rsid w:val="00914021"/>
    <w:rsid w:val="00914368"/>
    <w:rsid w:val="00914FF0"/>
    <w:rsid w:val="0091568A"/>
    <w:rsid w:val="00915CB4"/>
    <w:rsid w:val="00915D4C"/>
    <w:rsid w:val="00915DD0"/>
    <w:rsid w:val="00915F70"/>
    <w:rsid w:val="00922070"/>
    <w:rsid w:val="00922202"/>
    <w:rsid w:val="00922503"/>
    <w:rsid w:val="00922BC8"/>
    <w:rsid w:val="0092308F"/>
    <w:rsid w:val="00924BD5"/>
    <w:rsid w:val="00924E3B"/>
    <w:rsid w:val="00931047"/>
    <w:rsid w:val="00931076"/>
    <w:rsid w:val="00932B15"/>
    <w:rsid w:val="00932D11"/>
    <w:rsid w:val="00933997"/>
    <w:rsid w:val="00933A4A"/>
    <w:rsid w:val="00933AAF"/>
    <w:rsid w:val="00933C39"/>
    <w:rsid w:val="009345D9"/>
    <w:rsid w:val="00934B15"/>
    <w:rsid w:val="0093678A"/>
    <w:rsid w:val="009374C4"/>
    <w:rsid w:val="0094046D"/>
    <w:rsid w:val="009406A8"/>
    <w:rsid w:val="00940C87"/>
    <w:rsid w:val="00940D1F"/>
    <w:rsid w:val="00940FAE"/>
    <w:rsid w:val="0094280F"/>
    <w:rsid w:val="00942B62"/>
    <w:rsid w:val="00944231"/>
    <w:rsid w:val="00944D52"/>
    <w:rsid w:val="00945825"/>
    <w:rsid w:val="00945E6A"/>
    <w:rsid w:val="00945FF1"/>
    <w:rsid w:val="009460DB"/>
    <w:rsid w:val="0094652D"/>
    <w:rsid w:val="00946744"/>
    <w:rsid w:val="00946AC9"/>
    <w:rsid w:val="00952E9D"/>
    <w:rsid w:val="00952F7B"/>
    <w:rsid w:val="0095323B"/>
    <w:rsid w:val="00954EC4"/>
    <w:rsid w:val="00956A0C"/>
    <w:rsid w:val="00956BD9"/>
    <w:rsid w:val="00957D7E"/>
    <w:rsid w:val="00957EB0"/>
    <w:rsid w:val="00960509"/>
    <w:rsid w:val="00960524"/>
    <w:rsid w:val="00960AD9"/>
    <w:rsid w:val="009617D2"/>
    <w:rsid w:val="009619CF"/>
    <w:rsid w:val="00961C95"/>
    <w:rsid w:val="00962489"/>
    <w:rsid w:val="00962A4E"/>
    <w:rsid w:val="00963CD3"/>
    <w:rsid w:val="00964789"/>
    <w:rsid w:val="00966A38"/>
    <w:rsid w:val="009678B0"/>
    <w:rsid w:val="00967CD3"/>
    <w:rsid w:val="00970003"/>
    <w:rsid w:val="009706A5"/>
    <w:rsid w:val="00971720"/>
    <w:rsid w:val="00972583"/>
    <w:rsid w:val="009735C4"/>
    <w:rsid w:val="00973B16"/>
    <w:rsid w:val="00976C54"/>
    <w:rsid w:val="00976D89"/>
    <w:rsid w:val="00980018"/>
    <w:rsid w:val="009808C2"/>
    <w:rsid w:val="0098107C"/>
    <w:rsid w:val="00982E21"/>
    <w:rsid w:val="00984188"/>
    <w:rsid w:val="009842EA"/>
    <w:rsid w:val="00984444"/>
    <w:rsid w:val="00986B63"/>
    <w:rsid w:val="009877AE"/>
    <w:rsid w:val="00987D42"/>
    <w:rsid w:val="00987F8E"/>
    <w:rsid w:val="009909CB"/>
    <w:rsid w:val="00990B4E"/>
    <w:rsid w:val="00990C2C"/>
    <w:rsid w:val="00991C43"/>
    <w:rsid w:val="0099492B"/>
    <w:rsid w:val="00994FD1"/>
    <w:rsid w:val="009A0509"/>
    <w:rsid w:val="009A1CDD"/>
    <w:rsid w:val="009A349C"/>
    <w:rsid w:val="009A4E17"/>
    <w:rsid w:val="009A5171"/>
    <w:rsid w:val="009A51B4"/>
    <w:rsid w:val="009A5402"/>
    <w:rsid w:val="009A55A4"/>
    <w:rsid w:val="009A5EFC"/>
    <w:rsid w:val="009A6746"/>
    <w:rsid w:val="009B0984"/>
    <w:rsid w:val="009B0D37"/>
    <w:rsid w:val="009B10EF"/>
    <w:rsid w:val="009B1352"/>
    <w:rsid w:val="009B1DB1"/>
    <w:rsid w:val="009B263D"/>
    <w:rsid w:val="009B4209"/>
    <w:rsid w:val="009B6BF1"/>
    <w:rsid w:val="009B700B"/>
    <w:rsid w:val="009B7712"/>
    <w:rsid w:val="009C21C6"/>
    <w:rsid w:val="009C24E4"/>
    <w:rsid w:val="009C26DF"/>
    <w:rsid w:val="009C2E84"/>
    <w:rsid w:val="009C3B9D"/>
    <w:rsid w:val="009C3C24"/>
    <w:rsid w:val="009C4F80"/>
    <w:rsid w:val="009C564C"/>
    <w:rsid w:val="009C5FC6"/>
    <w:rsid w:val="009C7496"/>
    <w:rsid w:val="009C7714"/>
    <w:rsid w:val="009D0465"/>
    <w:rsid w:val="009D27E2"/>
    <w:rsid w:val="009D387B"/>
    <w:rsid w:val="009D43A8"/>
    <w:rsid w:val="009D5363"/>
    <w:rsid w:val="009E04DB"/>
    <w:rsid w:val="009E0CE5"/>
    <w:rsid w:val="009E1844"/>
    <w:rsid w:val="009E1A55"/>
    <w:rsid w:val="009E1BF9"/>
    <w:rsid w:val="009E1C8A"/>
    <w:rsid w:val="009E22FD"/>
    <w:rsid w:val="009E2925"/>
    <w:rsid w:val="009E3E44"/>
    <w:rsid w:val="009E49B8"/>
    <w:rsid w:val="009E5402"/>
    <w:rsid w:val="009F0D1B"/>
    <w:rsid w:val="009F13A3"/>
    <w:rsid w:val="009F1404"/>
    <w:rsid w:val="009F281C"/>
    <w:rsid w:val="009F2A54"/>
    <w:rsid w:val="009F3485"/>
    <w:rsid w:val="009F3912"/>
    <w:rsid w:val="009F3B7A"/>
    <w:rsid w:val="009F423B"/>
    <w:rsid w:val="009F4F28"/>
    <w:rsid w:val="009F53DD"/>
    <w:rsid w:val="009F55F4"/>
    <w:rsid w:val="009F5AF6"/>
    <w:rsid w:val="009F5BBD"/>
    <w:rsid w:val="009F696D"/>
    <w:rsid w:val="009F6BC6"/>
    <w:rsid w:val="009F74EF"/>
    <w:rsid w:val="009F7636"/>
    <w:rsid w:val="009F7652"/>
    <w:rsid w:val="009F77BC"/>
    <w:rsid w:val="009F7D8A"/>
    <w:rsid w:val="009F7F77"/>
    <w:rsid w:val="00A02826"/>
    <w:rsid w:val="00A0347A"/>
    <w:rsid w:val="00A0442A"/>
    <w:rsid w:val="00A04E69"/>
    <w:rsid w:val="00A05467"/>
    <w:rsid w:val="00A0574E"/>
    <w:rsid w:val="00A06235"/>
    <w:rsid w:val="00A10331"/>
    <w:rsid w:val="00A10DCB"/>
    <w:rsid w:val="00A111AD"/>
    <w:rsid w:val="00A120BC"/>
    <w:rsid w:val="00A12281"/>
    <w:rsid w:val="00A12AB1"/>
    <w:rsid w:val="00A14A10"/>
    <w:rsid w:val="00A152F0"/>
    <w:rsid w:val="00A153DF"/>
    <w:rsid w:val="00A15616"/>
    <w:rsid w:val="00A15B1C"/>
    <w:rsid w:val="00A15D5A"/>
    <w:rsid w:val="00A16986"/>
    <w:rsid w:val="00A17293"/>
    <w:rsid w:val="00A17328"/>
    <w:rsid w:val="00A17AAE"/>
    <w:rsid w:val="00A20853"/>
    <w:rsid w:val="00A230F3"/>
    <w:rsid w:val="00A2369B"/>
    <w:rsid w:val="00A23738"/>
    <w:rsid w:val="00A237D2"/>
    <w:rsid w:val="00A23A20"/>
    <w:rsid w:val="00A23C2C"/>
    <w:rsid w:val="00A240DD"/>
    <w:rsid w:val="00A24443"/>
    <w:rsid w:val="00A24CEC"/>
    <w:rsid w:val="00A2672E"/>
    <w:rsid w:val="00A268B9"/>
    <w:rsid w:val="00A2703A"/>
    <w:rsid w:val="00A3099C"/>
    <w:rsid w:val="00A31CD9"/>
    <w:rsid w:val="00A33DFF"/>
    <w:rsid w:val="00A35115"/>
    <w:rsid w:val="00A35348"/>
    <w:rsid w:val="00A358F1"/>
    <w:rsid w:val="00A36D9A"/>
    <w:rsid w:val="00A36DCE"/>
    <w:rsid w:val="00A373ED"/>
    <w:rsid w:val="00A41474"/>
    <w:rsid w:val="00A4195E"/>
    <w:rsid w:val="00A42AE5"/>
    <w:rsid w:val="00A42B60"/>
    <w:rsid w:val="00A43AC5"/>
    <w:rsid w:val="00A449E2"/>
    <w:rsid w:val="00A45035"/>
    <w:rsid w:val="00A451DC"/>
    <w:rsid w:val="00A45526"/>
    <w:rsid w:val="00A465FB"/>
    <w:rsid w:val="00A46795"/>
    <w:rsid w:val="00A46875"/>
    <w:rsid w:val="00A46A51"/>
    <w:rsid w:val="00A5017A"/>
    <w:rsid w:val="00A50AF0"/>
    <w:rsid w:val="00A50CB9"/>
    <w:rsid w:val="00A51A9E"/>
    <w:rsid w:val="00A52016"/>
    <w:rsid w:val="00A53362"/>
    <w:rsid w:val="00A549B1"/>
    <w:rsid w:val="00A554AB"/>
    <w:rsid w:val="00A56005"/>
    <w:rsid w:val="00A56660"/>
    <w:rsid w:val="00A56F1C"/>
    <w:rsid w:val="00A57062"/>
    <w:rsid w:val="00A607C5"/>
    <w:rsid w:val="00A60AB3"/>
    <w:rsid w:val="00A60D4A"/>
    <w:rsid w:val="00A638D6"/>
    <w:rsid w:val="00A663C8"/>
    <w:rsid w:val="00A66C34"/>
    <w:rsid w:val="00A67503"/>
    <w:rsid w:val="00A67781"/>
    <w:rsid w:val="00A70DDC"/>
    <w:rsid w:val="00A70E4F"/>
    <w:rsid w:val="00A71347"/>
    <w:rsid w:val="00A71976"/>
    <w:rsid w:val="00A71B37"/>
    <w:rsid w:val="00A722AF"/>
    <w:rsid w:val="00A73631"/>
    <w:rsid w:val="00A73B3E"/>
    <w:rsid w:val="00A73CEE"/>
    <w:rsid w:val="00A743B3"/>
    <w:rsid w:val="00A74491"/>
    <w:rsid w:val="00A7466B"/>
    <w:rsid w:val="00A75817"/>
    <w:rsid w:val="00A761F9"/>
    <w:rsid w:val="00A7644A"/>
    <w:rsid w:val="00A803C4"/>
    <w:rsid w:val="00A81176"/>
    <w:rsid w:val="00A8311C"/>
    <w:rsid w:val="00A834DA"/>
    <w:rsid w:val="00A83607"/>
    <w:rsid w:val="00A837E6"/>
    <w:rsid w:val="00A83D73"/>
    <w:rsid w:val="00A83DFB"/>
    <w:rsid w:val="00A84A5D"/>
    <w:rsid w:val="00A84B4D"/>
    <w:rsid w:val="00A84EEF"/>
    <w:rsid w:val="00A850A9"/>
    <w:rsid w:val="00A857FA"/>
    <w:rsid w:val="00A86B29"/>
    <w:rsid w:val="00A86ECF"/>
    <w:rsid w:val="00A9152E"/>
    <w:rsid w:val="00A915CF"/>
    <w:rsid w:val="00A9213F"/>
    <w:rsid w:val="00A92B53"/>
    <w:rsid w:val="00A92CDF"/>
    <w:rsid w:val="00A92F0B"/>
    <w:rsid w:val="00A93125"/>
    <w:rsid w:val="00A93677"/>
    <w:rsid w:val="00A94917"/>
    <w:rsid w:val="00A949C3"/>
    <w:rsid w:val="00A94ABA"/>
    <w:rsid w:val="00A94FA6"/>
    <w:rsid w:val="00A9555C"/>
    <w:rsid w:val="00A96E9D"/>
    <w:rsid w:val="00AA028F"/>
    <w:rsid w:val="00AA0442"/>
    <w:rsid w:val="00AA2305"/>
    <w:rsid w:val="00AA2CAF"/>
    <w:rsid w:val="00AA331C"/>
    <w:rsid w:val="00AA351D"/>
    <w:rsid w:val="00AA367F"/>
    <w:rsid w:val="00AA38FF"/>
    <w:rsid w:val="00AA3958"/>
    <w:rsid w:val="00AA3F81"/>
    <w:rsid w:val="00AA43EF"/>
    <w:rsid w:val="00AA49A0"/>
    <w:rsid w:val="00AA600F"/>
    <w:rsid w:val="00AA6058"/>
    <w:rsid w:val="00AA6710"/>
    <w:rsid w:val="00AA7609"/>
    <w:rsid w:val="00AB0681"/>
    <w:rsid w:val="00AB10CB"/>
    <w:rsid w:val="00AB184C"/>
    <w:rsid w:val="00AB26AA"/>
    <w:rsid w:val="00AB2EE4"/>
    <w:rsid w:val="00AB45B0"/>
    <w:rsid w:val="00AB4E3A"/>
    <w:rsid w:val="00AB4F8C"/>
    <w:rsid w:val="00AB5A21"/>
    <w:rsid w:val="00AB6102"/>
    <w:rsid w:val="00AB7650"/>
    <w:rsid w:val="00AC0750"/>
    <w:rsid w:val="00AC0EAD"/>
    <w:rsid w:val="00AC12B6"/>
    <w:rsid w:val="00AC1640"/>
    <w:rsid w:val="00AC1E1D"/>
    <w:rsid w:val="00AC2ABC"/>
    <w:rsid w:val="00AC3960"/>
    <w:rsid w:val="00AC3A15"/>
    <w:rsid w:val="00AC5F05"/>
    <w:rsid w:val="00AC61EF"/>
    <w:rsid w:val="00AC6649"/>
    <w:rsid w:val="00AC68F5"/>
    <w:rsid w:val="00AC69A1"/>
    <w:rsid w:val="00AC6BB5"/>
    <w:rsid w:val="00AC6C20"/>
    <w:rsid w:val="00AC70FC"/>
    <w:rsid w:val="00AC7F67"/>
    <w:rsid w:val="00AD18C8"/>
    <w:rsid w:val="00AD1A28"/>
    <w:rsid w:val="00AD520B"/>
    <w:rsid w:val="00AD5897"/>
    <w:rsid w:val="00AD5B65"/>
    <w:rsid w:val="00AD6278"/>
    <w:rsid w:val="00AD6284"/>
    <w:rsid w:val="00AD7B28"/>
    <w:rsid w:val="00AD7F8B"/>
    <w:rsid w:val="00AE0340"/>
    <w:rsid w:val="00AE063B"/>
    <w:rsid w:val="00AE1416"/>
    <w:rsid w:val="00AE3BCC"/>
    <w:rsid w:val="00AE6DA6"/>
    <w:rsid w:val="00AE718B"/>
    <w:rsid w:val="00AF0EE4"/>
    <w:rsid w:val="00AF1BDD"/>
    <w:rsid w:val="00AF1D24"/>
    <w:rsid w:val="00AF2013"/>
    <w:rsid w:val="00AF22E5"/>
    <w:rsid w:val="00AF3A60"/>
    <w:rsid w:val="00AF43D9"/>
    <w:rsid w:val="00AF52D7"/>
    <w:rsid w:val="00AF637D"/>
    <w:rsid w:val="00AF6791"/>
    <w:rsid w:val="00AF6921"/>
    <w:rsid w:val="00AF6B3F"/>
    <w:rsid w:val="00B012B8"/>
    <w:rsid w:val="00B01C49"/>
    <w:rsid w:val="00B02242"/>
    <w:rsid w:val="00B0235A"/>
    <w:rsid w:val="00B0344B"/>
    <w:rsid w:val="00B0393B"/>
    <w:rsid w:val="00B04F45"/>
    <w:rsid w:val="00B06236"/>
    <w:rsid w:val="00B0659A"/>
    <w:rsid w:val="00B066DA"/>
    <w:rsid w:val="00B070BC"/>
    <w:rsid w:val="00B07B62"/>
    <w:rsid w:val="00B11B2E"/>
    <w:rsid w:val="00B122DF"/>
    <w:rsid w:val="00B13917"/>
    <w:rsid w:val="00B13945"/>
    <w:rsid w:val="00B14B20"/>
    <w:rsid w:val="00B14C5F"/>
    <w:rsid w:val="00B14EB0"/>
    <w:rsid w:val="00B160C9"/>
    <w:rsid w:val="00B16948"/>
    <w:rsid w:val="00B20738"/>
    <w:rsid w:val="00B21968"/>
    <w:rsid w:val="00B23D37"/>
    <w:rsid w:val="00B23F58"/>
    <w:rsid w:val="00B23F96"/>
    <w:rsid w:val="00B256C3"/>
    <w:rsid w:val="00B27589"/>
    <w:rsid w:val="00B30586"/>
    <w:rsid w:val="00B3144E"/>
    <w:rsid w:val="00B31458"/>
    <w:rsid w:val="00B317FD"/>
    <w:rsid w:val="00B3194B"/>
    <w:rsid w:val="00B31ABC"/>
    <w:rsid w:val="00B31F46"/>
    <w:rsid w:val="00B32A26"/>
    <w:rsid w:val="00B32F5A"/>
    <w:rsid w:val="00B33E4F"/>
    <w:rsid w:val="00B349A9"/>
    <w:rsid w:val="00B35636"/>
    <w:rsid w:val="00B3586A"/>
    <w:rsid w:val="00B35B8A"/>
    <w:rsid w:val="00B3799A"/>
    <w:rsid w:val="00B37C67"/>
    <w:rsid w:val="00B402F5"/>
    <w:rsid w:val="00B40936"/>
    <w:rsid w:val="00B41B85"/>
    <w:rsid w:val="00B41C67"/>
    <w:rsid w:val="00B420DA"/>
    <w:rsid w:val="00B425C3"/>
    <w:rsid w:val="00B427A3"/>
    <w:rsid w:val="00B42A62"/>
    <w:rsid w:val="00B43220"/>
    <w:rsid w:val="00B4373D"/>
    <w:rsid w:val="00B43C35"/>
    <w:rsid w:val="00B43D99"/>
    <w:rsid w:val="00B440AD"/>
    <w:rsid w:val="00B442BB"/>
    <w:rsid w:val="00B4431C"/>
    <w:rsid w:val="00B44942"/>
    <w:rsid w:val="00B45910"/>
    <w:rsid w:val="00B45D92"/>
    <w:rsid w:val="00B4637D"/>
    <w:rsid w:val="00B468C6"/>
    <w:rsid w:val="00B4690A"/>
    <w:rsid w:val="00B47137"/>
    <w:rsid w:val="00B479BB"/>
    <w:rsid w:val="00B50AD3"/>
    <w:rsid w:val="00B51145"/>
    <w:rsid w:val="00B511AA"/>
    <w:rsid w:val="00B51270"/>
    <w:rsid w:val="00B51E60"/>
    <w:rsid w:val="00B5202A"/>
    <w:rsid w:val="00B52248"/>
    <w:rsid w:val="00B529DE"/>
    <w:rsid w:val="00B53B39"/>
    <w:rsid w:val="00B53E31"/>
    <w:rsid w:val="00B53E7E"/>
    <w:rsid w:val="00B54317"/>
    <w:rsid w:val="00B5441D"/>
    <w:rsid w:val="00B5551D"/>
    <w:rsid w:val="00B55BC5"/>
    <w:rsid w:val="00B565A0"/>
    <w:rsid w:val="00B56803"/>
    <w:rsid w:val="00B56D86"/>
    <w:rsid w:val="00B57530"/>
    <w:rsid w:val="00B6063D"/>
    <w:rsid w:val="00B62D54"/>
    <w:rsid w:val="00B6342E"/>
    <w:rsid w:val="00B63D95"/>
    <w:rsid w:val="00B645EE"/>
    <w:rsid w:val="00B64A51"/>
    <w:rsid w:val="00B64C17"/>
    <w:rsid w:val="00B665BA"/>
    <w:rsid w:val="00B705CE"/>
    <w:rsid w:val="00B7113F"/>
    <w:rsid w:val="00B733EC"/>
    <w:rsid w:val="00B746D7"/>
    <w:rsid w:val="00B74A1F"/>
    <w:rsid w:val="00B74FDF"/>
    <w:rsid w:val="00B76D75"/>
    <w:rsid w:val="00B7719D"/>
    <w:rsid w:val="00B77C11"/>
    <w:rsid w:val="00B81AF1"/>
    <w:rsid w:val="00B825B0"/>
    <w:rsid w:val="00B827AE"/>
    <w:rsid w:val="00B832FD"/>
    <w:rsid w:val="00B8433D"/>
    <w:rsid w:val="00B8449F"/>
    <w:rsid w:val="00B86E5D"/>
    <w:rsid w:val="00B87B78"/>
    <w:rsid w:val="00B87C9B"/>
    <w:rsid w:val="00B87DD8"/>
    <w:rsid w:val="00B906E0"/>
    <w:rsid w:val="00B914A9"/>
    <w:rsid w:val="00B91F29"/>
    <w:rsid w:val="00B935B2"/>
    <w:rsid w:val="00B935FF"/>
    <w:rsid w:val="00B94542"/>
    <w:rsid w:val="00B94883"/>
    <w:rsid w:val="00B95254"/>
    <w:rsid w:val="00B96A15"/>
    <w:rsid w:val="00B96E89"/>
    <w:rsid w:val="00B96FF1"/>
    <w:rsid w:val="00B9762A"/>
    <w:rsid w:val="00B97832"/>
    <w:rsid w:val="00B97F5A"/>
    <w:rsid w:val="00BA0FC1"/>
    <w:rsid w:val="00BA1AD8"/>
    <w:rsid w:val="00BA23E2"/>
    <w:rsid w:val="00BA2BCF"/>
    <w:rsid w:val="00BA35AC"/>
    <w:rsid w:val="00BA3C7F"/>
    <w:rsid w:val="00BA5A1B"/>
    <w:rsid w:val="00BA5B14"/>
    <w:rsid w:val="00BA5FFF"/>
    <w:rsid w:val="00BA6C82"/>
    <w:rsid w:val="00BA73B6"/>
    <w:rsid w:val="00BA7E27"/>
    <w:rsid w:val="00BA7EBE"/>
    <w:rsid w:val="00BB0289"/>
    <w:rsid w:val="00BB0930"/>
    <w:rsid w:val="00BB233F"/>
    <w:rsid w:val="00BB2603"/>
    <w:rsid w:val="00BB2CFA"/>
    <w:rsid w:val="00BB309E"/>
    <w:rsid w:val="00BB321F"/>
    <w:rsid w:val="00BB3511"/>
    <w:rsid w:val="00BB3B49"/>
    <w:rsid w:val="00BB4D0B"/>
    <w:rsid w:val="00BB4FCD"/>
    <w:rsid w:val="00BB51FA"/>
    <w:rsid w:val="00BB611B"/>
    <w:rsid w:val="00BB613E"/>
    <w:rsid w:val="00BB7551"/>
    <w:rsid w:val="00BC04E9"/>
    <w:rsid w:val="00BC0713"/>
    <w:rsid w:val="00BC1621"/>
    <w:rsid w:val="00BC2C77"/>
    <w:rsid w:val="00BC3854"/>
    <w:rsid w:val="00BC3DE2"/>
    <w:rsid w:val="00BC5869"/>
    <w:rsid w:val="00BC6F0F"/>
    <w:rsid w:val="00BC7E25"/>
    <w:rsid w:val="00BD02FE"/>
    <w:rsid w:val="00BD053A"/>
    <w:rsid w:val="00BD0EFA"/>
    <w:rsid w:val="00BD13EA"/>
    <w:rsid w:val="00BD1B4D"/>
    <w:rsid w:val="00BD1D66"/>
    <w:rsid w:val="00BD2D6C"/>
    <w:rsid w:val="00BD3AFC"/>
    <w:rsid w:val="00BD3FF1"/>
    <w:rsid w:val="00BD4385"/>
    <w:rsid w:val="00BD6CEB"/>
    <w:rsid w:val="00BD6EA4"/>
    <w:rsid w:val="00BE0789"/>
    <w:rsid w:val="00BE0EAF"/>
    <w:rsid w:val="00BE2812"/>
    <w:rsid w:val="00BE344B"/>
    <w:rsid w:val="00BE3808"/>
    <w:rsid w:val="00BE612E"/>
    <w:rsid w:val="00BE6289"/>
    <w:rsid w:val="00BE69B4"/>
    <w:rsid w:val="00BF0029"/>
    <w:rsid w:val="00BF0988"/>
    <w:rsid w:val="00BF104A"/>
    <w:rsid w:val="00BF2834"/>
    <w:rsid w:val="00BF3339"/>
    <w:rsid w:val="00BF4C36"/>
    <w:rsid w:val="00BF50D6"/>
    <w:rsid w:val="00BF6477"/>
    <w:rsid w:val="00BF750B"/>
    <w:rsid w:val="00C00DCF"/>
    <w:rsid w:val="00C015C7"/>
    <w:rsid w:val="00C02758"/>
    <w:rsid w:val="00C02CFB"/>
    <w:rsid w:val="00C03B88"/>
    <w:rsid w:val="00C04FFB"/>
    <w:rsid w:val="00C062E9"/>
    <w:rsid w:val="00C069AA"/>
    <w:rsid w:val="00C06D39"/>
    <w:rsid w:val="00C0717D"/>
    <w:rsid w:val="00C07B64"/>
    <w:rsid w:val="00C10EE2"/>
    <w:rsid w:val="00C11864"/>
    <w:rsid w:val="00C11ED8"/>
    <w:rsid w:val="00C12727"/>
    <w:rsid w:val="00C13721"/>
    <w:rsid w:val="00C139F6"/>
    <w:rsid w:val="00C13B26"/>
    <w:rsid w:val="00C13D16"/>
    <w:rsid w:val="00C144CE"/>
    <w:rsid w:val="00C14FE4"/>
    <w:rsid w:val="00C1514C"/>
    <w:rsid w:val="00C15368"/>
    <w:rsid w:val="00C15619"/>
    <w:rsid w:val="00C15D46"/>
    <w:rsid w:val="00C16E50"/>
    <w:rsid w:val="00C16FBD"/>
    <w:rsid w:val="00C20021"/>
    <w:rsid w:val="00C20145"/>
    <w:rsid w:val="00C201DF"/>
    <w:rsid w:val="00C219FC"/>
    <w:rsid w:val="00C22864"/>
    <w:rsid w:val="00C2316E"/>
    <w:rsid w:val="00C247E6"/>
    <w:rsid w:val="00C24DA2"/>
    <w:rsid w:val="00C25EE6"/>
    <w:rsid w:val="00C27386"/>
    <w:rsid w:val="00C27A7D"/>
    <w:rsid w:val="00C304BB"/>
    <w:rsid w:val="00C30652"/>
    <w:rsid w:val="00C3066D"/>
    <w:rsid w:val="00C30FA4"/>
    <w:rsid w:val="00C31948"/>
    <w:rsid w:val="00C329D4"/>
    <w:rsid w:val="00C329DC"/>
    <w:rsid w:val="00C331FA"/>
    <w:rsid w:val="00C34D4E"/>
    <w:rsid w:val="00C35602"/>
    <w:rsid w:val="00C35FC5"/>
    <w:rsid w:val="00C36803"/>
    <w:rsid w:val="00C36D35"/>
    <w:rsid w:val="00C374A7"/>
    <w:rsid w:val="00C4055D"/>
    <w:rsid w:val="00C40877"/>
    <w:rsid w:val="00C40ACF"/>
    <w:rsid w:val="00C41371"/>
    <w:rsid w:val="00C42D71"/>
    <w:rsid w:val="00C430A8"/>
    <w:rsid w:val="00C433AE"/>
    <w:rsid w:val="00C4380E"/>
    <w:rsid w:val="00C43ECE"/>
    <w:rsid w:val="00C477BA"/>
    <w:rsid w:val="00C47CA4"/>
    <w:rsid w:val="00C47E41"/>
    <w:rsid w:val="00C52416"/>
    <w:rsid w:val="00C539AC"/>
    <w:rsid w:val="00C543F4"/>
    <w:rsid w:val="00C559A9"/>
    <w:rsid w:val="00C55CF1"/>
    <w:rsid w:val="00C55FF0"/>
    <w:rsid w:val="00C56C5D"/>
    <w:rsid w:val="00C6291C"/>
    <w:rsid w:val="00C62AA3"/>
    <w:rsid w:val="00C63232"/>
    <w:rsid w:val="00C633CB"/>
    <w:rsid w:val="00C64019"/>
    <w:rsid w:val="00C640AD"/>
    <w:rsid w:val="00C65EF5"/>
    <w:rsid w:val="00C66296"/>
    <w:rsid w:val="00C664CD"/>
    <w:rsid w:val="00C66B8C"/>
    <w:rsid w:val="00C6786C"/>
    <w:rsid w:val="00C67953"/>
    <w:rsid w:val="00C67DCA"/>
    <w:rsid w:val="00C70CC8"/>
    <w:rsid w:val="00C710EB"/>
    <w:rsid w:val="00C71602"/>
    <w:rsid w:val="00C717FD"/>
    <w:rsid w:val="00C72404"/>
    <w:rsid w:val="00C7279B"/>
    <w:rsid w:val="00C736B7"/>
    <w:rsid w:val="00C74178"/>
    <w:rsid w:val="00C74D31"/>
    <w:rsid w:val="00C74E1B"/>
    <w:rsid w:val="00C75FAA"/>
    <w:rsid w:val="00C7754C"/>
    <w:rsid w:val="00C77624"/>
    <w:rsid w:val="00C77C9C"/>
    <w:rsid w:val="00C77EC2"/>
    <w:rsid w:val="00C802AC"/>
    <w:rsid w:val="00C817DA"/>
    <w:rsid w:val="00C818D4"/>
    <w:rsid w:val="00C81BA5"/>
    <w:rsid w:val="00C81D4A"/>
    <w:rsid w:val="00C81F86"/>
    <w:rsid w:val="00C8225E"/>
    <w:rsid w:val="00C829C5"/>
    <w:rsid w:val="00C8347F"/>
    <w:rsid w:val="00C83D8B"/>
    <w:rsid w:val="00C849AE"/>
    <w:rsid w:val="00C867F4"/>
    <w:rsid w:val="00C872C1"/>
    <w:rsid w:val="00C8762C"/>
    <w:rsid w:val="00C90C0B"/>
    <w:rsid w:val="00C90DF4"/>
    <w:rsid w:val="00C93015"/>
    <w:rsid w:val="00C932F6"/>
    <w:rsid w:val="00C934EE"/>
    <w:rsid w:val="00C95836"/>
    <w:rsid w:val="00C96329"/>
    <w:rsid w:val="00C972F4"/>
    <w:rsid w:val="00CA00F9"/>
    <w:rsid w:val="00CA0C12"/>
    <w:rsid w:val="00CA0D70"/>
    <w:rsid w:val="00CA117F"/>
    <w:rsid w:val="00CA1934"/>
    <w:rsid w:val="00CA19DD"/>
    <w:rsid w:val="00CA20B6"/>
    <w:rsid w:val="00CA2961"/>
    <w:rsid w:val="00CA376F"/>
    <w:rsid w:val="00CA3B77"/>
    <w:rsid w:val="00CA43A3"/>
    <w:rsid w:val="00CA475B"/>
    <w:rsid w:val="00CA482B"/>
    <w:rsid w:val="00CA4F5F"/>
    <w:rsid w:val="00CA4FDD"/>
    <w:rsid w:val="00CA668B"/>
    <w:rsid w:val="00CA7334"/>
    <w:rsid w:val="00CA7F89"/>
    <w:rsid w:val="00CB01FD"/>
    <w:rsid w:val="00CB10BF"/>
    <w:rsid w:val="00CB167D"/>
    <w:rsid w:val="00CB254A"/>
    <w:rsid w:val="00CB362A"/>
    <w:rsid w:val="00CB3AF3"/>
    <w:rsid w:val="00CB469F"/>
    <w:rsid w:val="00CB50D7"/>
    <w:rsid w:val="00CB5326"/>
    <w:rsid w:val="00CB5D0E"/>
    <w:rsid w:val="00CB62CD"/>
    <w:rsid w:val="00CB7177"/>
    <w:rsid w:val="00CB7C83"/>
    <w:rsid w:val="00CB7CED"/>
    <w:rsid w:val="00CC070F"/>
    <w:rsid w:val="00CC0746"/>
    <w:rsid w:val="00CC09A7"/>
    <w:rsid w:val="00CC15A5"/>
    <w:rsid w:val="00CC16A6"/>
    <w:rsid w:val="00CC1998"/>
    <w:rsid w:val="00CC3320"/>
    <w:rsid w:val="00CC4946"/>
    <w:rsid w:val="00CC4E99"/>
    <w:rsid w:val="00CC64A1"/>
    <w:rsid w:val="00CD0AF0"/>
    <w:rsid w:val="00CD1508"/>
    <w:rsid w:val="00CD29EE"/>
    <w:rsid w:val="00CD3968"/>
    <w:rsid w:val="00CD4588"/>
    <w:rsid w:val="00CD57E6"/>
    <w:rsid w:val="00CD62A1"/>
    <w:rsid w:val="00CD637C"/>
    <w:rsid w:val="00CD68D0"/>
    <w:rsid w:val="00CD74E6"/>
    <w:rsid w:val="00CE2DA6"/>
    <w:rsid w:val="00CE4749"/>
    <w:rsid w:val="00CE55A7"/>
    <w:rsid w:val="00CE6096"/>
    <w:rsid w:val="00CE7158"/>
    <w:rsid w:val="00CE7F1D"/>
    <w:rsid w:val="00CF0C35"/>
    <w:rsid w:val="00CF1CE5"/>
    <w:rsid w:val="00CF20FE"/>
    <w:rsid w:val="00CF29DC"/>
    <w:rsid w:val="00CF2CF0"/>
    <w:rsid w:val="00CF3331"/>
    <w:rsid w:val="00CF3A59"/>
    <w:rsid w:val="00CF3B11"/>
    <w:rsid w:val="00CF47F6"/>
    <w:rsid w:val="00CF4C06"/>
    <w:rsid w:val="00CF4E05"/>
    <w:rsid w:val="00CF7DD7"/>
    <w:rsid w:val="00D01223"/>
    <w:rsid w:val="00D022AD"/>
    <w:rsid w:val="00D069E1"/>
    <w:rsid w:val="00D06CA9"/>
    <w:rsid w:val="00D10DD6"/>
    <w:rsid w:val="00D12612"/>
    <w:rsid w:val="00D12AEF"/>
    <w:rsid w:val="00D12BF4"/>
    <w:rsid w:val="00D144CF"/>
    <w:rsid w:val="00D14C65"/>
    <w:rsid w:val="00D15CC2"/>
    <w:rsid w:val="00D15E4F"/>
    <w:rsid w:val="00D16D5A"/>
    <w:rsid w:val="00D17CD8"/>
    <w:rsid w:val="00D20B20"/>
    <w:rsid w:val="00D21168"/>
    <w:rsid w:val="00D22656"/>
    <w:rsid w:val="00D22916"/>
    <w:rsid w:val="00D23E66"/>
    <w:rsid w:val="00D240BC"/>
    <w:rsid w:val="00D24FB7"/>
    <w:rsid w:val="00D25599"/>
    <w:rsid w:val="00D2656D"/>
    <w:rsid w:val="00D26A6E"/>
    <w:rsid w:val="00D270A4"/>
    <w:rsid w:val="00D310AB"/>
    <w:rsid w:val="00D31E69"/>
    <w:rsid w:val="00D31FE9"/>
    <w:rsid w:val="00D3388F"/>
    <w:rsid w:val="00D33CA8"/>
    <w:rsid w:val="00D33E37"/>
    <w:rsid w:val="00D34AD8"/>
    <w:rsid w:val="00D34E1B"/>
    <w:rsid w:val="00D3606A"/>
    <w:rsid w:val="00D36EF6"/>
    <w:rsid w:val="00D376BA"/>
    <w:rsid w:val="00D400A0"/>
    <w:rsid w:val="00D405FD"/>
    <w:rsid w:val="00D40981"/>
    <w:rsid w:val="00D41ACF"/>
    <w:rsid w:val="00D41DAC"/>
    <w:rsid w:val="00D434A0"/>
    <w:rsid w:val="00D43529"/>
    <w:rsid w:val="00D442B4"/>
    <w:rsid w:val="00D45343"/>
    <w:rsid w:val="00D45634"/>
    <w:rsid w:val="00D45C0D"/>
    <w:rsid w:val="00D45C72"/>
    <w:rsid w:val="00D462CB"/>
    <w:rsid w:val="00D47F1D"/>
    <w:rsid w:val="00D51D38"/>
    <w:rsid w:val="00D5265E"/>
    <w:rsid w:val="00D5358F"/>
    <w:rsid w:val="00D538C6"/>
    <w:rsid w:val="00D539C3"/>
    <w:rsid w:val="00D54B65"/>
    <w:rsid w:val="00D5511F"/>
    <w:rsid w:val="00D55185"/>
    <w:rsid w:val="00D554C1"/>
    <w:rsid w:val="00D5568A"/>
    <w:rsid w:val="00D55AE0"/>
    <w:rsid w:val="00D57A4A"/>
    <w:rsid w:val="00D61DEA"/>
    <w:rsid w:val="00D62637"/>
    <w:rsid w:val="00D63D73"/>
    <w:rsid w:val="00D64452"/>
    <w:rsid w:val="00D6466E"/>
    <w:rsid w:val="00D65D27"/>
    <w:rsid w:val="00D65F9B"/>
    <w:rsid w:val="00D667A6"/>
    <w:rsid w:val="00D66841"/>
    <w:rsid w:val="00D6696C"/>
    <w:rsid w:val="00D66E1E"/>
    <w:rsid w:val="00D674B8"/>
    <w:rsid w:val="00D7052F"/>
    <w:rsid w:val="00D70696"/>
    <w:rsid w:val="00D7134D"/>
    <w:rsid w:val="00D72586"/>
    <w:rsid w:val="00D734D9"/>
    <w:rsid w:val="00D73FAE"/>
    <w:rsid w:val="00D74110"/>
    <w:rsid w:val="00D75722"/>
    <w:rsid w:val="00D763BB"/>
    <w:rsid w:val="00D779CE"/>
    <w:rsid w:val="00D80074"/>
    <w:rsid w:val="00D804CD"/>
    <w:rsid w:val="00D80CF5"/>
    <w:rsid w:val="00D819FA"/>
    <w:rsid w:val="00D83C08"/>
    <w:rsid w:val="00D844C3"/>
    <w:rsid w:val="00D858F7"/>
    <w:rsid w:val="00D878D2"/>
    <w:rsid w:val="00D87A90"/>
    <w:rsid w:val="00D901ED"/>
    <w:rsid w:val="00D92401"/>
    <w:rsid w:val="00D924C9"/>
    <w:rsid w:val="00D93B7A"/>
    <w:rsid w:val="00D93D93"/>
    <w:rsid w:val="00D93D9B"/>
    <w:rsid w:val="00D942D0"/>
    <w:rsid w:val="00D945CD"/>
    <w:rsid w:val="00D94B2C"/>
    <w:rsid w:val="00D94FF6"/>
    <w:rsid w:val="00D95AB5"/>
    <w:rsid w:val="00D9605A"/>
    <w:rsid w:val="00D96563"/>
    <w:rsid w:val="00D96622"/>
    <w:rsid w:val="00D97C48"/>
    <w:rsid w:val="00DA048D"/>
    <w:rsid w:val="00DA09CD"/>
    <w:rsid w:val="00DA1927"/>
    <w:rsid w:val="00DA2B86"/>
    <w:rsid w:val="00DA2FF3"/>
    <w:rsid w:val="00DA3B84"/>
    <w:rsid w:val="00DA3E88"/>
    <w:rsid w:val="00DA48C0"/>
    <w:rsid w:val="00DA48D3"/>
    <w:rsid w:val="00DA5099"/>
    <w:rsid w:val="00DA5ACE"/>
    <w:rsid w:val="00DA5BBA"/>
    <w:rsid w:val="00DA60FA"/>
    <w:rsid w:val="00DB02C1"/>
    <w:rsid w:val="00DB0F4D"/>
    <w:rsid w:val="00DB1A33"/>
    <w:rsid w:val="00DB1CDF"/>
    <w:rsid w:val="00DB2211"/>
    <w:rsid w:val="00DB26D2"/>
    <w:rsid w:val="00DB28A1"/>
    <w:rsid w:val="00DB292E"/>
    <w:rsid w:val="00DB2D78"/>
    <w:rsid w:val="00DB339E"/>
    <w:rsid w:val="00DB4D9E"/>
    <w:rsid w:val="00DB4EB7"/>
    <w:rsid w:val="00DB5A06"/>
    <w:rsid w:val="00DB5DEC"/>
    <w:rsid w:val="00DB67C9"/>
    <w:rsid w:val="00DB67EC"/>
    <w:rsid w:val="00DB7BBC"/>
    <w:rsid w:val="00DB7EE7"/>
    <w:rsid w:val="00DC00F4"/>
    <w:rsid w:val="00DC0C95"/>
    <w:rsid w:val="00DC0DB8"/>
    <w:rsid w:val="00DC2F3C"/>
    <w:rsid w:val="00DC3E79"/>
    <w:rsid w:val="00DC4627"/>
    <w:rsid w:val="00DC4BEC"/>
    <w:rsid w:val="00DC4F0B"/>
    <w:rsid w:val="00DC5BF5"/>
    <w:rsid w:val="00DC6790"/>
    <w:rsid w:val="00DC69D7"/>
    <w:rsid w:val="00DC71D5"/>
    <w:rsid w:val="00DD0131"/>
    <w:rsid w:val="00DD106C"/>
    <w:rsid w:val="00DD1261"/>
    <w:rsid w:val="00DD2AAD"/>
    <w:rsid w:val="00DD3A57"/>
    <w:rsid w:val="00DD6580"/>
    <w:rsid w:val="00DD6D72"/>
    <w:rsid w:val="00DE11D9"/>
    <w:rsid w:val="00DE182D"/>
    <w:rsid w:val="00DE3336"/>
    <w:rsid w:val="00DE359F"/>
    <w:rsid w:val="00DE3612"/>
    <w:rsid w:val="00DE3987"/>
    <w:rsid w:val="00DE40FB"/>
    <w:rsid w:val="00DE44FD"/>
    <w:rsid w:val="00DE4939"/>
    <w:rsid w:val="00DE5A55"/>
    <w:rsid w:val="00DE6F03"/>
    <w:rsid w:val="00DF0122"/>
    <w:rsid w:val="00DF0454"/>
    <w:rsid w:val="00DF0DF3"/>
    <w:rsid w:val="00DF263E"/>
    <w:rsid w:val="00DF2857"/>
    <w:rsid w:val="00DF5FC1"/>
    <w:rsid w:val="00DF6F01"/>
    <w:rsid w:val="00E00439"/>
    <w:rsid w:val="00E01A81"/>
    <w:rsid w:val="00E01D7F"/>
    <w:rsid w:val="00E027E3"/>
    <w:rsid w:val="00E02818"/>
    <w:rsid w:val="00E02AF6"/>
    <w:rsid w:val="00E02C06"/>
    <w:rsid w:val="00E03143"/>
    <w:rsid w:val="00E03588"/>
    <w:rsid w:val="00E03590"/>
    <w:rsid w:val="00E03A29"/>
    <w:rsid w:val="00E044D1"/>
    <w:rsid w:val="00E048B1"/>
    <w:rsid w:val="00E0508D"/>
    <w:rsid w:val="00E05C03"/>
    <w:rsid w:val="00E069FF"/>
    <w:rsid w:val="00E07AAF"/>
    <w:rsid w:val="00E07C92"/>
    <w:rsid w:val="00E10854"/>
    <w:rsid w:val="00E115BB"/>
    <w:rsid w:val="00E11835"/>
    <w:rsid w:val="00E121DC"/>
    <w:rsid w:val="00E12C96"/>
    <w:rsid w:val="00E132A1"/>
    <w:rsid w:val="00E13C7B"/>
    <w:rsid w:val="00E13EFC"/>
    <w:rsid w:val="00E14613"/>
    <w:rsid w:val="00E15438"/>
    <w:rsid w:val="00E156CA"/>
    <w:rsid w:val="00E16011"/>
    <w:rsid w:val="00E168F3"/>
    <w:rsid w:val="00E17C72"/>
    <w:rsid w:val="00E20D0D"/>
    <w:rsid w:val="00E20DF2"/>
    <w:rsid w:val="00E21833"/>
    <w:rsid w:val="00E21FC6"/>
    <w:rsid w:val="00E2297B"/>
    <w:rsid w:val="00E2368B"/>
    <w:rsid w:val="00E23DD7"/>
    <w:rsid w:val="00E251BE"/>
    <w:rsid w:val="00E251C3"/>
    <w:rsid w:val="00E253AD"/>
    <w:rsid w:val="00E255B3"/>
    <w:rsid w:val="00E2644A"/>
    <w:rsid w:val="00E26D4E"/>
    <w:rsid w:val="00E3012C"/>
    <w:rsid w:val="00E30979"/>
    <w:rsid w:val="00E311EA"/>
    <w:rsid w:val="00E3135D"/>
    <w:rsid w:val="00E31CB7"/>
    <w:rsid w:val="00E3282B"/>
    <w:rsid w:val="00E331EE"/>
    <w:rsid w:val="00E3324E"/>
    <w:rsid w:val="00E33B8D"/>
    <w:rsid w:val="00E34911"/>
    <w:rsid w:val="00E358A5"/>
    <w:rsid w:val="00E362A2"/>
    <w:rsid w:val="00E3686E"/>
    <w:rsid w:val="00E36C8D"/>
    <w:rsid w:val="00E371A1"/>
    <w:rsid w:val="00E374F2"/>
    <w:rsid w:val="00E415B5"/>
    <w:rsid w:val="00E42042"/>
    <w:rsid w:val="00E431A9"/>
    <w:rsid w:val="00E4355B"/>
    <w:rsid w:val="00E44259"/>
    <w:rsid w:val="00E4432A"/>
    <w:rsid w:val="00E447BB"/>
    <w:rsid w:val="00E4492A"/>
    <w:rsid w:val="00E46331"/>
    <w:rsid w:val="00E475B6"/>
    <w:rsid w:val="00E47E1E"/>
    <w:rsid w:val="00E5048C"/>
    <w:rsid w:val="00E51522"/>
    <w:rsid w:val="00E51533"/>
    <w:rsid w:val="00E5191B"/>
    <w:rsid w:val="00E536F6"/>
    <w:rsid w:val="00E53927"/>
    <w:rsid w:val="00E54348"/>
    <w:rsid w:val="00E55162"/>
    <w:rsid w:val="00E5583F"/>
    <w:rsid w:val="00E56AAE"/>
    <w:rsid w:val="00E5748F"/>
    <w:rsid w:val="00E576AC"/>
    <w:rsid w:val="00E57DC6"/>
    <w:rsid w:val="00E60BED"/>
    <w:rsid w:val="00E6119F"/>
    <w:rsid w:val="00E6213E"/>
    <w:rsid w:val="00E62ED9"/>
    <w:rsid w:val="00E63ADE"/>
    <w:rsid w:val="00E64A98"/>
    <w:rsid w:val="00E65DFF"/>
    <w:rsid w:val="00E660E0"/>
    <w:rsid w:val="00E669E2"/>
    <w:rsid w:val="00E66DE8"/>
    <w:rsid w:val="00E729C4"/>
    <w:rsid w:val="00E744FD"/>
    <w:rsid w:val="00E75823"/>
    <w:rsid w:val="00E76135"/>
    <w:rsid w:val="00E771E9"/>
    <w:rsid w:val="00E77430"/>
    <w:rsid w:val="00E77D98"/>
    <w:rsid w:val="00E77F6D"/>
    <w:rsid w:val="00E81695"/>
    <w:rsid w:val="00E82F4F"/>
    <w:rsid w:val="00E83EB6"/>
    <w:rsid w:val="00E84023"/>
    <w:rsid w:val="00E84D5C"/>
    <w:rsid w:val="00E864DF"/>
    <w:rsid w:val="00E87AFA"/>
    <w:rsid w:val="00E87D29"/>
    <w:rsid w:val="00E901FE"/>
    <w:rsid w:val="00E91014"/>
    <w:rsid w:val="00E911E4"/>
    <w:rsid w:val="00E923E3"/>
    <w:rsid w:val="00E9348A"/>
    <w:rsid w:val="00E964B4"/>
    <w:rsid w:val="00E96D6A"/>
    <w:rsid w:val="00EA04B5"/>
    <w:rsid w:val="00EA0500"/>
    <w:rsid w:val="00EA151B"/>
    <w:rsid w:val="00EA3F3B"/>
    <w:rsid w:val="00EA4646"/>
    <w:rsid w:val="00EA4A43"/>
    <w:rsid w:val="00EA4F4E"/>
    <w:rsid w:val="00EA6C92"/>
    <w:rsid w:val="00EA78DA"/>
    <w:rsid w:val="00EA7CA6"/>
    <w:rsid w:val="00EB1229"/>
    <w:rsid w:val="00EB1853"/>
    <w:rsid w:val="00EB2B7B"/>
    <w:rsid w:val="00EB2CC3"/>
    <w:rsid w:val="00EB2EBE"/>
    <w:rsid w:val="00EB3C1E"/>
    <w:rsid w:val="00EB56AE"/>
    <w:rsid w:val="00EB601D"/>
    <w:rsid w:val="00EB6362"/>
    <w:rsid w:val="00EB7AF5"/>
    <w:rsid w:val="00EC0833"/>
    <w:rsid w:val="00EC2762"/>
    <w:rsid w:val="00EC2844"/>
    <w:rsid w:val="00EC3A27"/>
    <w:rsid w:val="00EC4D27"/>
    <w:rsid w:val="00EC4EAA"/>
    <w:rsid w:val="00EC51C2"/>
    <w:rsid w:val="00EC5500"/>
    <w:rsid w:val="00EC572E"/>
    <w:rsid w:val="00EC5A84"/>
    <w:rsid w:val="00EC6898"/>
    <w:rsid w:val="00EC70AC"/>
    <w:rsid w:val="00EC72E2"/>
    <w:rsid w:val="00EC7DB4"/>
    <w:rsid w:val="00EC7F8F"/>
    <w:rsid w:val="00ED0D5F"/>
    <w:rsid w:val="00ED13FB"/>
    <w:rsid w:val="00ED18F8"/>
    <w:rsid w:val="00ED1ABD"/>
    <w:rsid w:val="00ED32F6"/>
    <w:rsid w:val="00ED4184"/>
    <w:rsid w:val="00ED49AD"/>
    <w:rsid w:val="00ED533D"/>
    <w:rsid w:val="00ED588B"/>
    <w:rsid w:val="00ED5AE9"/>
    <w:rsid w:val="00ED67D2"/>
    <w:rsid w:val="00ED7110"/>
    <w:rsid w:val="00ED7350"/>
    <w:rsid w:val="00EE00BC"/>
    <w:rsid w:val="00EE0EFB"/>
    <w:rsid w:val="00EE132F"/>
    <w:rsid w:val="00EE1C0D"/>
    <w:rsid w:val="00EE2677"/>
    <w:rsid w:val="00EE413A"/>
    <w:rsid w:val="00EE4444"/>
    <w:rsid w:val="00EE44E5"/>
    <w:rsid w:val="00EE52CA"/>
    <w:rsid w:val="00EE56F9"/>
    <w:rsid w:val="00EE6EDA"/>
    <w:rsid w:val="00EE704B"/>
    <w:rsid w:val="00EE778E"/>
    <w:rsid w:val="00EF08D5"/>
    <w:rsid w:val="00EF0D6E"/>
    <w:rsid w:val="00EF1B11"/>
    <w:rsid w:val="00EF23D4"/>
    <w:rsid w:val="00EF2B95"/>
    <w:rsid w:val="00EF492C"/>
    <w:rsid w:val="00EF49EF"/>
    <w:rsid w:val="00EF4AA7"/>
    <w:rsid w:val="00EF5C9B"/>
    <w:rsid w:val="00EF6719"/>
    <w:rsid w:val="00EF6C6C"/>
    <w:rsid w:val="00EF7EFC"/>
    <w:rsid w:val="00F0081D"/>
    <w:rsid w:val="00F01557"/>
    <w:rsid w:val="00F0176D"/>
    <w:rsid w:val="00F01988"/>
    <w:rsid w:val="00F021E8"/>
    <w:rsid w:val="00F027FF"/>
    <w:rsid w:val="00F02F9F"/>
    <w:rsid w:val="00F031A2"/>
    <w:rsid w:val="00F056FC"/>
    <w:rsid w:val="00F0632F"/>
    <w:rsid w:val="00F069AE"/>
    <w:rsid w:val="00F07878"/>
    <w:rsid w:val="00F10476"/>
    <w:rsid w:val="00F10EFF"/>
    <w:rsid w:val="00F111DD"/>
    <w:rsid w:val="00F114EF"/>
    <w:rsid w:val="00F11B57"/>
    <w:rsid w:val="00F122BE"/>
    <w:rsid w:val="00F135D8"/>
    <w:rsid w:val="00F1392E"/>
    <w:rsid w:val="00F13A7D"/>
    <w:rsid w:val="00F14309"/>
    <w:rsid w:val="00F14974"/>
    <w:rsid w:val="00F15276"/>
    <w:rsid w:val="00F155A4"/>
    <w:rsid w:val="00F15816"/>
    <w:rsid w:val="00F16C09"/>
    <w:rsid w:val="00F16ED2"/>
    <w:rsid w:val="00F17976"/>
    <w:rsid w:val="00F20375"/>
    <w:rsid w:val="00F20841"/>
    <w:rsid w:val="00F2162C"/>
    <w:rsid w:val="00F22B28"/>
    <w:rsid w:val="00F22ED8"/>
    <w:rsid w:val="00F23025"/>
    <w:rsid w:val="00F23090"/>
    <w:rsid w:val="00F23645"/>
    <w:rsid w:val="00F23C9C"/>
    <w:rsid w:val="00F24BA6"/>
    <w:rsid w:val="00F25BE8"/>
    <w:rsid w:val="00F26EDC"/>
    <w:rsid w:val="00F26F6E"/>
    <w:rsid w:val="00F279F1"/>
    <w:rsid w:val="00F31299"/>
    <w:rsid w:val="00F314E6"/>
    <w:rsid w:val="00F32184"/>
    <w:rsid w:val="00F321A9"/>
    <w:rsid w:val="00F323A2"/>
    <w:rsid w:val="00F32837"/>
    <w:rsid w:val="00F33A13"/>
    <w:rsid w:val="00F33B0A"/>
    <w:rsid w:val="00F33FA1"/>
    <w:rsid w:val="00F34C5A"/>
    <w:rsid w:val="00F3534A"/>
    <w:rsid w:val="00F35BFB"/>
    <w:rsid w:val="00F36ACC"/>
    <w:rsid w:val="00F374A9"/>
    <w:rsid w:val="00F37848"/>
    <w:rsid w:val="00F40067"/>
    <w:rsid w:val="00F41296"/>
    <w:rsid w:val="00F412DC"/>
    <w:rsid w:val="00F41D04"/>
    <w:rsid w:val="00F42FBB"/>
    <w:rsid w:val="00F44119"/>
    <w:rsid w:val="00F50737"/>
    <w:rsid w:val="00F510D1"/>
    <w:rsid w:val="00F51609"/>
    <w:rsid w:val="00F52EA6"/>
    <w:rsid w:val="00F52EFC"/>
    <w:rsid w:val="00F53263"/>
    <w:rsid w:val="00F53840"/>
    <w:rsid w:val="00F53F67"/>
    <w:rsid w:val="00F54042"/>
    <w:rsid w:val="00F54220"/>
    <w:rsid w:val="00F54944"/>
    <w:rsid w:val="00F553D6"/>
    <w:rsid w:val="00F55621"/>
    <w:rsid w:val="00F55B56"/>
    <w:rsid w:val="00F55C25"/>
    <w:rsid w:val="00F610FD"/>
    <w:rsid w:val="00F6165E"/>
    <w:rsid w:val="00F62279"/>
    <w:rsid w:val="00F62874"/>
    <w:rsid w:val="00F62DFF"/>
    <w:rsid w:val="00F62E5C"/>
    <w:rsid w:val="00F6309E"/>
    <w:rsid w:val="00F63DEE"/>
    <w:rsid w:val="00F65014"/>
    <w:rsid w:val="00F657D3"/>
    <w:rsid w:val="00F66E1D"/>
    <w:rsid w:val="00F6757B"/>
    <w:rsid w:val="00F67A8F"/>
    <w:rsid w:val="00F70B18"/>
    <w:rsid w:val="00F70B9C"/>
    <w:rsid w:val="00F710A2"/>
    <w:rsid w:val="00F71413"/>
    <w:rsid w:val="00F7147D"/>
    <w:rsid w:val="00F717F1"/>
    <w:rsid w:val="00F72591"/>
    <w:rsid w:val="00F729F0"/>
    <w:rsid w:val="00F73727"/>
    <w:rsid w:val="00F75619"/>
    <w:rsid w:val="00F766A7"/>
    <w:rsid w:val="00F768F6"/>
    <w:rsid w:val="00F81006"/>
    <w:rsid w:val="00F822D7"/>
    <w:rsid w:val="00F82F21"/>
    <w:rsid w:val="00F8381A"/>
    <w:rsid w:val="00F84461"/>
    <w:rsid w:val="00F84715"/>
    <w:rsid w:val="00F851E4"/>
    <w:rsid w:val="00F85325"/>
    <w:rsid w:val="00F85796"/>
    <w:rsid w:val="00F85C0C"/>
    <w:rsid w:val="00F879D9"/>
    <w:rsid w:val="00F903D2"/>
    <w:rsid w:val="00F90634"/>
    <w:rsid w:val="00F90D1D"/>
    <w:rsid w:val="00F91B0D"/>
    <w:rsid w:val="00F938BF"/>
    <w:rsid w:val="00F93918"/>
    <w:rsid w:val="00F9411B"/>
    <w:rsid w:val="00F94351"/>
    <w:rsid w:val="00F953DC"/>
    <w:rsid w:val="00FA0952"/>
    <w:rsid w:val="00FA0CA1"/>
    <w:rsid w:val="00FA15D7"/>
    <w:rsid w:val="00FA176E"/>
    <w:rsid w:val="00FA2FCE"/>
    <w:rsid w:val="00FA32C6"/>
    <w:rsid w:val="00FA38CE"/>
    <w:rsid w:val="00FA39C2"/>
    <w:rsid w:val="00FA3DAD"/>
    <w:rsid w:val="00FA5247"/>
    <w:rsid w:val="00FA5373"/>
    <w:rsid w:val="00FA5383"/>
    <w:rsid w:val="00FA5465"/>
    <w:rsid w:val="00FA5D3C"/>
    <w:rsid w:val="00FA5DCD"/>
    <w:rsid w:val="00FA768C"/>
    <w:rsid w:val="00FA7DC7"/>
    <w:rsid w:val="00FB0C47"/>
    <w:rsid w:val="00FB2323"/>
    <w:rsid w:val="00FB4113"/>
    <w:rsid w:val="00FB4194"/>
    <w:rsid w:val="00FB56E8"/>
    <w:rsid w:val="00FB5D5D"/>
    <w:rsid w:val="00FC1B0A"/>
    <w:rsid w:val="00FC1DBE"/>
    <w:rsid w:val="00FC2422"/>
    <w:rsid w:val="00FC2B51"/>
    <w:rsid w:val="00FC2C8E"/>
    <w:rsid w:val="00FC3E5A"/>
    <w:rsid w:val="00FC3E7C"/>
    <w:rsid w:val="00FC3FAE"/>
    <w:rsid w:val="00FC4DB8"/>
    <w:rsid w:val="00FC63A5"/>
    <w:rsid w:val="00FC72ED"/>
    <w:rsid w:val="00FC7862"/>
    <w:rsid w:val="00FC7ACE"/>
    <w:rsid w:val="00FD066D"/>
    <w:rsid w:val="00FD0775"/>
    <w:rsid w:val="00FD17C6"/>
    <w:rsid w:val="00FD185F"/>
    <w:rsid w:val="00FD1DD1"/>
    <w:rsid w:val="00FD1EDF"/>
    <w:rsid w:val="00FD22B1"/>
    <w:rsid w:val="00FD33F1"/>
    <w:rsid w:val="00FD3566"/>
    <w:rsid w:val="00FD38A3"/>
    <w:rsid w:val="00FD4B64"/>
    <w:rsid w:val="00FD558A"/>
    <w:rsid w:val="00FD6557"/>
    <w:rsid w:val="00FD7F93"/>
    <w:rsid w:val="00FE081F"/>
    <w:rsid w:val="00FE2603"/>
    <w:rsid w:val="00FE2B13"/>
    <w:rsid w:val="00FE3C71"/>
    <w:rsid w:val="00FE46E5"/>
    <w:rsid w:val="00FE4786"/>
    <w:rsid w:val="00FE4D28"/>
    <w:rsid w:val="00FE5397"/>
    <w:rsid w:val="00FE65A1"/>
    <w:rsid w:val="00FE6F7A"/>
    <w:rsid w:val="00FF1849"/>
    <w:rsid w:val="00FF20E3"/>
    <w:rsid w:val="00FF2696"/>
    <w:rsid w:val="00FF27B3"/>
    <w:rsid w:val="00FF3146"/>
    <w:rsid w:val="00FF48D1"/>
    <w:rsid w:val="00FF5387"/>
    <w:rsid w:val="00FF5C27"/>
    <w:rsid w:val="00FF5E59"/>
    <w:rsid w:val="00FF66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41"/>
    <o:shapelayout v:ext="edit">
      <o:idmap v:ext="edit" data="1"/>
    </o:shapelayout>
  </w:shapeDefaults>
  <w:decimalSymbol w:val="."/>
  <w:listSeparator w:val=","/>
  <w15:docId w15:val="{41D9DFFD-7970-477D-B50A-FD35D566A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42887"/>
    <w:rPr>
      <w:sz w:val="24"/>
      <w:szCs w:val="24"/>
    </w:rPr>
  </w:style>
  <w:style w:type="paragraph" w:styleId="Heading1">
    <w:name w:val="heading 1"/>
    <w:basedOn w:val="BodyText"/>
    <w:next w:val="BodyText"/>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A17328"/>
    <w:pPr>
      <w:spacing w:before="560" w:line="320" w:lineRule="exact"/>
      <w:ind w:left="0" w:firstLine="0"/>
      <w:outlineLvl w:val="2"/>
    </w:pPr>
    <w:rPr>
      <w:sz w:val="26"/>
    </w:rPr>
  </w:style>
  <w:style w:type="paragraph" w:styleId="Heading4">
    <w:name w:val="heading 4"/>
    <w:basedOn w:val="Heading3"/>
    <w:next w:val="BodyText"/>
    <w:link w:val="Heading4Char"/>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semiHidden/>
    <w:rsid w:val="00A17328"/>
    <w:pPr>
      <w:spacing w:after="60"/>
      <w:jc w:val="left"/>
      <w:outlineLvl w:val="5"/>
    </w:pPr>
    <w:rPr>
      <w:i/>
      <w:sz w:val="22"/>
    </w:rPr>
  </w:style>
  <w:style w:type="paragraph" w:styleId="Heading7">
    <w:name w:val="heading 7"/>
    <w:basedOn w:val="BodyText"/>
    <w:next w:val="BodyText"/>
    <w:semiHidden/>
    <w:rsid w:val="00A17328"/>
    <w:pPr>
      <w:spacing w:after="60" w:line="240" w:lineRule="auto"/>
      <w:jc w:val="left"/>
      <w:outlineLvl w:val="6"/>
    </w:pPr>
    <w:rPr>
      <w:rFonts w:ascii="Arial" w:hAnsi="Arial"/>
      <w:sz w:val="20"/>
    </w:rPr>
  </w:style>
  <w:style w:type="paragraph" w:styleId="Heading8">
    <w:name w:val="heading 8"/>
    <w:basedOn w:val="BodyText"/>
    <w:next w:val="BodyText"/>
    <w:semiHidden/>
    <w:rsid w:val="00A17328"/>
    <w:pPr>
      <w:spacing w:after="60" w:line="240" w:lineRule="auto"/>
      <w:jc w:val="left"/>
      <w:outlineLvl w:val="7"/>
    </w:pPr>
    <w:rPr>
      <w:rFonts w:ascii="Arial" w:hAnsi="Arial"/>
      <w:i/>
      <w:sz w:val="20"/>
    </w:rPr>
  </w:style>
  <w:style w:type="paragraph" w:styleId="Heading9">
    <w:name w:val="heading 9"/>
    <w:basedOn w:val="BodyText"/>
    <w:next w:val="BodyText"/>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12F4A"/>
    <w:pPr>
      <w:spacing w:before="240" w:line="300" w:lineRule="atLeast"/>
      <w:jc w:val="both"/>
    </w:pPr>
    <w:rPr>
      <w:sz w:val="24"/>
    </w:rPr>
  </w:style>
  <w:style w:type="paragraph" w:styleId="Footer">
    <w:name w:val="footer"/>
    <w:basedOn w:val="BodyText"/>
    <w:link w:val="FooterChar"/>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rsid w:val="00C543F4"/>
  </w:style>
  <w:style w:type="paragraph" w:customStyle="1" w:styleId="HeaderOdd">
    <w:name w:val="Header Odd"/>
    <w:basedOn w:val="Header"/>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qFormat/>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line="220" w:lineRule="exact"/>
      <w:jc w:val="both"/>
    </w:pPr>
    <w:rPr>
      <w:rFonts w:ascii="Arial" w:hAnsi="Arial"/>
      <w:sz w:val="18"/>
      <w:szCs w:val="20"/>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qForma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qFormat/>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
    <w:semiHidden/>
    <w:qFormat/>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9021A6"/>
  </w:style>
  <w:style w:type="character" w:styleId="FootnoteReference">
    <w:name w:val="footnote reference"/>
    <w:basedOn w:val="DefaultParagraphFont"/>
    <w:qFormat/>
    <w:rsid w:val="00243997"/>
    <w:rPr>
      <w:rFonts w:ascii="Times New Roman" w:hAnsi="Times New Roman"/>
      <w:position w:val="6"/>
      <w:sz w:val="20"/>
      <w:vertAlign w:val="baseline"/>
    </w:rPr>
  </w:style>
  <w:style w:type="paragraph" w:styleId="FootnoteText">
    <w:name w:val="footnote text"/>
    <w:basedOn w:val="BodyText"/>
    <w:link w:val="FootnoteTextChar"/>
    <w:qFormat/>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qForma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link w:val="QuoteChar"/>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tabs>
        <w:tab w:val="num" w:pos="340"/>
      </w:tabs>
      <w:spacing w:before="80"/>
      <w:ind w:left="340" w:hanging="34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uiPriority w:val="39"/>
    <w:rsid w:val="00F35BFB"/>
    <w:pPr>
      <w:ind w:left="1134" w:hanging="624"/>
    </w:pPr>
    <w:rPr>
      <w:b w:val="0"/>
    </w:rPr>
  </w:style>
  <w:style w:type="paragraph" w:styleId="TOC3">
    <w:name w:val="toc 3"/>
    <w:basedOn w:val="TOC2"/>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9021A6"/>
    <w:pPr>
      <w:spacing w:before="120"/>
    </w:pPr>
  </w:style>
  <w:style w:type="paragraph" w:customStyle="1" w:styleId="TableUnitsRow">
    <w:name w:val="Table Units Row"/>
    <w:basedOn w:val="TableBodyText"/>
    <w:rsid w:val="008D7622"/>
    <w:pPr>
      <w:spacing w:before="40"/>
    </w:pPr>
  </w:style>
  <w:style w:type="paragraph" w:styleId="TOC1">
    <w:name w:val="toc 1"/>
    <w:basedOn w:val="Normal"/>
    <w:next w:val="TOC2"/>
    <w:link w:val="TOC1Char"/>
    <w:uiPriority w:val="39"/>
    <w:rsid w:val="00F73727"/>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pPr>
    <w:rPr>
      <w:rFonts w:ascii="Arial" w:hAnsi="Arial"/>
      <w:i/>
      <w:sz w:val="22"/>
    </w:rPr>
  </w:style>
  <w:style w:type="paragraph" w:customStyle="1" w:styleId="BoxSpaceBelow">
    <w:name w:val="Box Space Below"/>
    <w:basedOn w:val="Box"/>
    <w:qFormat/>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20"/>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470737"/>
    <w:pPr>
      <w:numPr>
        <w:numId w:val="0"/>
      </w:numPr>
      <w:ind w:left="568" w:hanging="284"/>
    </w:pPr>
  </w:style>
  <w:style w:type="paragraph" w:customStyle="1" w:styleId="InformationRequestTitle">
    <w:name w:val="Information Request Title"/>
    <w:basedOn w:val="FindingTitle"/>
    <w:next w:val="InformationRequest"/>
    <w:qFormat/>
    <w:rsid w:val="009F5BBD"/>
    <w:rPr>
      <w:i/>
    </w:rPr>
  </w:style>
  <w:style w:type="paragraph" w:customStyle="1" w:styleId="Space">
    <w:name w:val="Space"/>
    <w:basedOn w:val="Normal"/>
    <w:qFormat/>
    <w:rsid w:val="00967CD3"/>
    <w:pPr>
      <w:keepNext/>
      <w:spacing w:line="120" w:lineRule="exact"/>
      <w:jc w:val="both"/>
    </w:pPr>
    <w:rPr>
      <w:rFonts w:ascii="Arial" w:hAnsi="Arial"/>
      <w:sz w:val="20"/>
      <w:szCs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qFormat/>
    <w:rsid w:val="00EB2CC3"/>
    <w:rPr>
      <w:sz w:val="24"/>
    </w:rPr>
  </w:style>
  <w:style w:type="character" w:customStyle="1" w:styleId="FooterChar">
    <w:name w:val="Footer Char"/>
    <w:basedOn w:val="BodyTextChar"/>
    <w:link w:val="Footer"/>
    <w:rsid w:val="00EB2CC3"/>
    <w:rPr>
      <w:rFonts w:ascii="Arial" w:hAnsi="Arial"/>
      <w:caps/>
      <w:spacing w:val="-4"/>
      <w:sz w:val="16"/>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C1Char">
    <w:name w:val="TOC 1 Char"/>
    <w:basedOn w:val="DefaultParagraphFont"/>
    <w:link w:val="TOC1"/>
    <w:uiPriority w:val="39"/>
    <w:rsid w:val="00F73727"/>
    <w:rPr>
      <w:rFonts w:ascii="Arial" w:hAnsi="Arial"/>
      <w:b/>
      <w:sz w:val="26"/>
      <w:szCs w:val="26"/>
      <w:lang w:eastAsia="en-US"/>
    </w:rPr>
  </w:style>
  <w:style w:type="character" w:customStyle="1" w:styleId="Continuedintitle">
    <w:name w:val="Continued (in title)"/>
    <w:basedOn w:val="DefaultParagraphFont"/>
    <w:rsid w:val="00573BE3"/>
    <w:rPr>
      <w:rFonts w:ascii="Arial" w:hAnsi="Arial"/>
      <w:b/>
      <w:sz w:val="18"/>
    </w:rPr>
  </w:style>
  <w:style w:type="character" w:customStyle="1" w:styleId="Heading2Char">
    <w:name w:val="Heading 2 Char"/>
    <w:basedOn w:val="DefaultParagraphFont"/>
    <w:link w:val="Heading2"/>
    <w:rsid w:val="00D96622"/>
    <w:rPr>
      <w:rFonts w:ascii="Arial" w:hAnsi="Arial"/>
      <w:b/>
      <w:sz w:val="32"/>
    </w:rPr>
  </w:style>
  <w:style w:type="character" w:styleId="Hyperlink">
    <w:name w:val="Hyperlink"/>
    <w:basedOn w:val="DefaultParagraphFont"/>
    <w:rsid w:val="00D96622"/>
    <w:rPr>
      <w:color w:val="000000" w:themeColor="hyperlink"/>
      <w:u w:val="single"/>
    </w:rPr>
  </w:style>
  <w:style w:type="character" w:customStyle="1" w:styleId="Heading3Char">
    <w:name w:val="Heading 3 Char"/>
    <w:basedOn w:val="DefaultParagraphFont"/>
    <w:link w:val="Heading3"/>
    <w:rsid w:val="00D96622"/>
    <w:rPr>
      <w:rFonts w:ascii="Arial" w:hAnsi="Arial"/>
      <w:b/>
      <w:sz w:val="26"/>
    </w:rPr>
  </w:style>
  <w:style w:type="character" w:customStyle="1" w:styleId="QuoteChar">
    <w:name w:val="Quote Char"/>
    <w:basedOn w:val="DefaultParagraphFont"/>
    <w:link w:val="Quote"/>
    <w:rsid w:val="003E44CE"/>
    <w:rPr>
      <w:sz w:val="22"/>
    </w:rPr>
  </w:style>
  <w:style w:type="paragraph" w:customStyle="1" w:styleId="BoxSpaceAboveElement">
    <w:name w:val="Box Space Above Element"/>
    <w:basedOn w:val="BoxSpaceAbove"/>
    <w:link w:val="BoxSpaceAboveElementChar"/>
    <w:qFormat/>
    <w:rsid w:val="008071A0"/>
    <w:pPr>
      <w:spacing w:before="240"/>
    </w:pPr>
    <w:rPr>
      <w:b/>
      <w:vanish/>
      <w:color w:val="FF00FF"/>
      <w:sz w:val="14"/>
    </w:rPr>
  </w:style>
  <w:style w:type="character" w:customStyle="1" w:styleId="BoxSpaceAboveElementChar">
    <w:name w:val="Box Space Above Element Char"/>
    <w:basedOn w:val="DefaultParagraphFont"/>
    <w:link w:val="BoxSpaceAboveElement"/>
    <w:qFormat/>
    <w:rsid w:val="008071A0"/>
    <w:rPr>
      <w:b/>
      <w:vanish/>
      <w:color w:val="FF00FF"/>
      <w:sz w:val="14"/>
    </w:rPr>
  </w:style>
  <w:style w:type="paragraph" w:styleId="CommentSubject">
    <w:name w:val="annotation subject"/>
    <w:basedOn w:val="CommentText"/>
    <w:next w:val="CommentText"/>
    <w:link w:val="CommentSubjectChar"/>
    <w:semiHidden/>
    <w:unhideWhenUsed/>
    <w:rsid w:val="000A2E24"/>
    <w:pPr>
      <w:spacing w:before="0" w:line="240" w:lineRule="auto"/>
      <w:ind w:left="0" w:firstLine="0"/>
    </w:pPr>
    <w:rPr>
      <w:b/>
      <w:bCs/>
      <w:szCs w:val="20"/>
    </w:rPr>
  </w:style>
  <w:style w:type="character" w:customStyle="1" w:styleId="CommentTextChar">
    <w:name w:val="Comment Text Char"/>
    <w:basedOn w:val="DefaultParagraphFont"/>
    <w:link w:val="CommentText"/>
    <w:semiHidden/>
    <w:qFormat/>
    <w:rsid w:val="000A2E24"/>
    <w:rPr>
      <w:szCs w:val="24"/>
    </w:rPr>
  </w:style>
  <w:style w:type="character" w:customStyle="1" w:styleId="CommentSubjectChar">
    <w:name w:val="Comment Subject Char"/>
    <w:basedOn w:val="CommentTextChar"/>
    <w:link w:val="CommentSubject"/>
    <w:semiHidden/>
    <w:rsid w:val="000A2E24"/>
    <w:rPr>
      <w:b/>
      <w:bCs/>
      <w:szCs w:val="24"/>
    </w:rPr>
  </w:style>
  <w:style w:type="character" w:customStyle="1" w:styleId="A93">
    <w:name w:val="A9+3"/>
    <w:uiPriority w:val="99"/>
    <w:rsid w:val="007706D2"/>
    <w:rPr>
      <w:rFonts w:cs="Futura PT Demi"/>
      <w:color w:val="000000"/>
      <w:sz w:val="16"/>
      <w:szCs w:val="16"/>
    </w:rPr>
  </w:style>
  <w:style w:type="paragraph" w:styleId="Bibliography">
    <w:name w:val="Bibliography"/>
    <w:basedOn w:val="Normal"/>
    <w:next w:val="Normal"/>
    <w:uiPriority w:val="37"/>
    <w:unhideWhenUsed/>
    <w:rsid w:val="0089707C"/>
    <w:pPr>
      <w:spacing w:after="240"/>
      <w:ind w:left="720" w:hanging="720"/>
    </w:pPr>
  </w:style>
  <w:style w:type="paragraph" w:styleId="ListParagraph">
    <w:name w:val="List Paragraph"/>
    <w:basedOn w:val="Normal"/>
    <w:uiPriority w:val="34"/>
    <w:qFormat/>
    <w:rsid w:val="004401A3"/>
    <w:pPr>
      <w:spacing w:after="200" w:line="276" w:lineRule="auto"/>
      <w:ind w:left="720"/>
      <w:contextualSpacing/>
    </w:pPr>
    <w:rPr>
      <w:rFonts w:asciiTheme="minorHAnsi" w:eastAsiaTheme="minorHAnsi" w:hAnsiTheme="minorHAnsi" w:cstheme="minorBidi"/>
      <w:sz w:val="22"/>
      <w:szCs w:val="22"/>
      <w:lang w:eastAsia="en-US"/>
    </w:rPr>
  </w:style>
  <w:style w:type="paragraph" w:styleId="Revision">
    <w:name w:val="Revision"/>
    <w:hidden/>
    <w:uiPriority w:val="99"/>
    <w:semiHidden/>
    <w:rsid w:val="005C36A0"/>
    <w:rPr>
      <w:sz w:val="24"/>
      <w:szCs w:val="24"/>
    </w:rPr>
  </w:style>
  <w:style w:type="character" w:styleId="EndnoteReference">
    <w:name w:val="endnote reference"/>
    <w:basedOn w:val="DefaultParagraphFont"/>
    <w:semiHidden/>
    <w:unhideWhenUsed/>
    <w:rsid w:val="00070635"/>
    <w:rPr>
      <w:vertAlign w:val="superscript"/>
    </w:rPr>
  </w:style>
  <w:style w:type="character" w:customStyle="1" w:styleId="FootnoteTextChar">
    <w:name w:val="Footnote Text Char"/>
    <w:basedOn w:val="DefaultParagraphFont"/>
    <w:link w:val="FootnoteText"/>
    <w:qFormat/>
    <w:rsid w:val="00A10DCB"/>
  </w:style>
  <w:style w:type="paragraph" w:styleId="NormalWeb">
    <w:name w:val="Normal (Web)"/>
    <w:basedOn w:val="Normal"/>
    <w:uiPriority w:val="99"/>
    <w:unhideWhenUsed/>
    <w:rsid w:val="007C1887"/>
    <w:pPr>
      <w:spacing w:before="100" w:beforeAutospacing="1" w:after="100" w:afterAutospacing="1"/>
    </w:pPr>
  </w:style>
  <w:style w:type="character" w:customStyle="1" w:styleId="Heading4Char">
    <w:name w:val="Heading 4 Char"/>
    <w:basedOn w:val="DefaultParagraphFont"/>
    <w:link w:val="Heading4"/>
    <w:rsid w:val="00FF20E3"/>
    <w:rPr>
      <w:rFonts w:ascii="Arial" w:hAnsi="Arial"/>
      <w:sz w:val="24"/>
    </w:rPr>
  </w:style>
  <w:style w:type="paragraph" w:customStyle="1" w:styleId="Heading1NotTOC">
    <w:name w:val="Heading 1 Not TOC"/>
    <w:basedOn w:val="Heading1"/>
    <w:next w:val="BodyText"/>
    <w:rsid w:val="008310A1"/>
    <w:rPr>
      <w:kern w:val="28"/>
      <w:szCs w:val="26"/>
      <w:lang w:eastAsia="en-US"/>
    </w:rPr>
  </w:style>
  <w:style w:type="character" w:styleId="FollowedHyperlink">
    <w:name w:val="FollowedHyperlink"/>
    <w:basedOn w:val="DefaultParagraphFont"/>
    <w:semiHidden/>
    <w:unhideWhenUsed/>
    <w:rsid w:val="00BC7E25"/>
    <w:rPr>
      <w:color w:val="BFBFBF" w:themeColor="followedHyperlink"/>
      <w:u w:val="single"/>
    </w:rPr>
  </w:style>
  <w:style w:type="paragraph" w:customStyle="1" w:styleId="MainHeading">
    <w:name w:val="Main Heading"/>
    <w:basedOn w:val="Normal"/>
    <w:uiPriority w:val="99"/>
    <w:rsid w:val="009023E6"/>
    <w:pPr>
      <w:autoSpaceDE w:val="0"/>
      <w:autoSpaceDN w:val="0"/>
      <w:adjustRightInd w:val="0"/>
      <w:spacing w:line="520" w:lineRule="atLeast"/>
      <w:ind w:right="283"/>
      <w:jc w:val="right"/>
      <w:textAlignment w:val="center"/>
    </w:pPr>
    <w:rPr>
      <w:rFonts w:ascii="Goudy Old Style" w:hAnsi="Goudy Old Style" w:cs="Goudy Old Style"/>
      <w:color w:val="000000"/>
      <w:sz w:val="44"/>
      <w:szCs w:val="4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669153">
      <w:bodyDiv w:val="1"/>
      <w:marLeft w:val="0"/>
      <w:marRight w:val="0"/>
      <w:marTop w:val="0"/>
      <w:marBottom w:val="0"/>
      <w:divBdr>
        <w:top w:val="none" w:sz="0" w:space="0" w:color="auto"/>
        <w:left w:val="none" w:sz="0" w:space="0" w:color="auto"/>
        <w:bottom w:val="none" w:sz="0" w:space="0" w:color="auto"/>
        <w:right w:val="none" w:sz="0" w:space="0" w:color="auto"/>
      </w:divBdr>
    </w:div>
    <w:div w:id="388918346">
      <w:bodyDiv w:val="1"/>
      <w:marLeft w:val="0"/>
      <w:marRight w:val="0"/>
      <w:marTop w:val="0"/>
      <w:marBottom w:val="0"/>
      <w:divBdr>
        <w:top w:val="none" w:sz="0" w:space="0" w:color="auto"/>
        <w:left w:val="none" w:sz="0" w:space="0" w:color="auto"/>
        <w:bottom w:val="none" w:sz="0" w:space="0" w:color="auto"/>
        <w:right w:val="none" w:sz="0" w:space="0" w:color="auto"/>
      </w:divBdr>
      <w:divsChild>
        <w:div w:id="1355225761">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612983563">
      <w:bodyDiv w:val="1"/>
      <w:marLeft w:val="0"/>
      <w:marRight w:val="0"/>
      <w:marTop w:val="0"/>
      <w:marBottom w:val="0"/>
      <w:divBdr>
        <w:top w:val="none" w:sz="0" w:space="0" w:color="auto"/>
        <w:left w:val="none" w:sz="0" w:space="0" w:color="auto"/>
        <w:bottom w:val="none" w:sz="0" w:space="0" w:color="auto"/>
        <w:right w:val="none" w:sz="0" w:space="0" w:color="auto"/>
      </w:divBdr>
    </w:div>
    <w:div w:id="1558012780">
      <w:bodyDiv w:val="1"/>
      <w:marLeft w:val="0"/>
      <w:marRight w:val="0"/>
      <w:marTop w:val="0"/>
      <w:marBottom w:val="0"/>
      <w:divBdr>
        <w:top w:val="none" w:sz="0" w:space="0" w:color="auto"/>
        <w:left w:val="none" w:sz="0" w:space="0" w:color="auto"/>
        <w:bottom w:val="none" w:sz="0" w:space="0" w:color="auto"/>
        <w:right w:val="none" w:sz="0" w:space="0" w:color="auto"/>
      </w:divBdr>
    </w:div>
    <w:div w:id="1680425209">
      <w:bodyDiv w:val="1"/>
      <w:marLeft w:val="0"/>
      <w:marRight w:val="0"/>
      <w:marTop w:val="0"/>
      <w:marBottom w:val="0"/>
      <w:divBdr>
        <w:top w:val="none" w:sz="0" w:space="0" w:color="auto"/>
        <w:left w:val="none" w:sz="0" w:space="0" w:color="auto"/>
        <w:bottom w:val="none" w:sz="0" w:space="0" w:color="auto"/>
        <w:right w:val="none" w:sz="0" w:space="0" w:color="auto"/>
      </w:divBdr>
    </w:div>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ProdComm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86FF40-A0A2-461C-BC67-E93A2F2EE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31</Pages>
  <Words>9488</Words>
  <Characters>54551</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Expenditure on Children in the Northern Territory</vt:lpstr>
    </vt:vector>
  </TitlesOfParts>
  <Company/>
  <LinksUpToDate>false</LinksUpToDate>
  <CharactersWithSpaces>63912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Expenditure on Children in the Northern Territory</dc:title>
  <dc:subject/>
  <dc:creator>Productivity Commission</dc:creator>
  <cp:keywords/>
  <dc:description/>
  <cp:lastModifiedBy>Cross, Michelle</cp:lastModifiedBy>
  <cp:revision>11</cp:revision>
  <cp:lastPrinted>2019-05-14T06:36:00Z</cp:lastPrinted>
  <dcterms:created xsi:type="dcterms:W3CDTF">2019-05-14T04:18:00Z</dcterms:created>
  <dcterms:modified xsi:type="dcterms:W3CDTF">2019-05-14T06:38:00Z</dcterms:modified>
</cp:coreProperties>
</file>