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4FC" w:rsidRDefault="00E40C14" w:rsidP="00E40C14">
      <w:pPr>
        <w:pStyle w:val="Heading1"/>
        <w:spacing w:before="0"/>
      </w:pPr>
      <w:bookmarkStart w:id="0" w:name="ChapterNumber"/>
      <w:bookmarkStart w:id="1" w:name="_GoBack"/>
      <w:bookmarkEnd w:id="1"/>
      <w:r>
        <w:t>4</w:t>
      </w:r>
      <w:bookmarkEnd w:id="0"/>
      <w:r>
        <w:tab/>
      </w:r>
      <w:bookmarkStart w:id="2" w:name="ChapterTitle"/>
      <w:r>
        <w:t>Current utilisation of patents in Australia and comparable markets</w:t>
      </w:r>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58C1" w:rsidRPr="00286C16" w:rsidTr="00DC2C7D">
        <w:tc>
          <w:tcPr>
            <w:tcW w:w="8771" w:type="dxa"/>
            <w:tcBorders>
              <w:top w:val="single" w:sz="6" w:space="0" w:color="auto"/>
              <w:bottom w:val="nil"/>
            </w:tcBorders>
          </w:tcPr>
          <w:p w:rsidR="009858C1" w:rsidRPr="00286C16" w:rsidRDefault="009858C1" w:rsidP="00DC2C7D">
            <w:pPr>
              <w:pStyle w:val="BoxTitle"/>
            </w:pPr>
            <w:r w:rsidRPr="00286C16">
              <w:t>Key points</w:t>
            </w:r>
          </w:p>
        </w:tc>
      </w:tr>
      <w:tr w:rsidR="009858C1" w:rsidRPr="007E0534" w:rsidTr="00DC2C7D">
        <w:trPr>
          <w:cantSplit/>
        </w:trPr>
        <w:tc>
          <w:tcPr>
            <w:tcW w:w="8771" w:type="dxa"/>
            <w:tcBorders>
              <w:top w:val="nil"/>
              <w:left w:val="single" w:sz="6" w:space="0" w:color="auto"/>
              <w:bottom w:val="nil"/>
              <w:right w:val="single" w:sz="6" w:space="0" w:color="auto"/>
            </w:tcBorders>
          </w:tcPr>
          <w:p w:rsidR="00F435BF" w:rsidRDefault="00DA4C2B" w:rsidP="00254034">
            <w:pPr>
              <w:pStyle w:val="BoxListBullet"/>
            </w:pPr>
            <w:r>
              <w:t xml:space="preserve">The Commission has reviewed evidence from Australia and overseas to identify </w:t>
            </w:r>
            <w:r w:rsidR="00CB415D">
              <w:t>any</w:t>
            </w:r>
            <w:r>
              <w:t xml:space="preserve"> problems with accessing patented inventions.</w:t>
            </w:r>
          </w:p>
          <w:p w:rsidR="00DA4C2B" w:rsidRDefault="0017409D" w:rsidP="0017409D">
            <w:pPr>
              <w:pStyle w:val="BoxListBullet"/>
            </w:pPr>
            <w:r>
              <w:t xml:space="preserve">A substantial number of inventions are </w:t>
            </w:r>
            <w:r w:rsidR="00F114D6">
              <w:t>patented in Australia each year.</w:t>
            </w:r>
            <w:r>
              <w:t xml:space="preserve"> </w:t>
            </w:r>
            <w:r w:rsidR="00F114D6">
              <w:t>M</w:t>
            </w:r>
            <w:r>
              <w:t xml:space="preserve">ost </w:t>
            </w:r>
            <w:r w:rsidR="00F114D6">
              <w:t>are</w:t>
            </w:r>
            <w:r>
              <w:t xml:space="preserve"> granted to non-residents. The benefit the Australian community receives from new technologies is</w:t>
            </w:r>
            <w:r w:rsidR="004972EF">
              <w:t>,</w:t>
            </w:r>
            <w:r>
              <w:t xml:space="preserve"> therefore</w:t>
            </w:r>
            <w:r w:rsidR="004972EF">
              <w:t>,</w:t>
            </w:r>
            <w:r>
              <w:t xml:space="preserve"> likely to depend on </w:t>
            </w:r>
            <w:r w:rsidR="00F114D6">
              <w:t>the extent of their accessibility in Australia</w:t>
            </w:r>
            <w:r>
              <w:t>.</w:t>
            </w:r>
          </w:p>
          <w:p w:rsidR="0017409D" w:rsidRDefault="008C77F5" w:rsidP="0017409D">
            <w:pPr>
              <w:pStyle w:val="BoxListBullet"/>
            </w:pPr>
            <w:r>
              <w:t>Th</w:t>
            </w:r>
            <w:r w:rsidR="00EF032C">
              <w:t>ere are essentially three routes through which the community can access patented inventions — a patent owner manufactures the product itself, sells the patent to another party, or licenses it.</w:t>
            </w:r>
          </w:p>
          <w:p w:rsidR="00EF032C" w:rsidRDefault="00F73448" w:rsidP="0017409D">
            <w:pPr>
              <w:pStyle w:val="BoxListBullet"/>
            </w:pPr>
            <w:r>
              <w:t>Survey data from Europe, Japan, and the United States suggest that, among organisations that own patents, around half of patents are used</w:t>
            </w:r>
            <w:r w:rsidR="00054683">
              <w:t xml:space="preserve"> solely by their owner</w:t>
            </w:r>
            <w:r>
              <w:t>, roughly 40 per cent are unused, and only a small proportion (roughly 10 per cent) are licensed to others.</w:t>
            </w:r>
          </w:p>
          <w:p w:rsidR="00F73448" w:rsidRDefault="00F52785" w:rsidP="0017409D">
            <w:pPr>
              <w:pStyle w:val="BoxListBullet"/>
            </w:pPr>
            <w:r>
              <w:t xml:space="preserve">The low rate of licensing does not necessarily indicate that patent owners </w:t>
            </w:r>
            <w:r w:rsidR="00E23E60">
              <w:t>in</w:t>
            </w:r>
            <w:r>
              <w:t>tend to deny access to</w:t>
            </w:r>
            <w:r w:rsidR="00E23E60">
              <w:t xml:space="preserve"> their</w:t>
            </w:r>
            <w:r>
              <w:t xml:space="preserve"> technologies. </w:t>
            </w:r>
            <w:r w:rsidR="00E23E60">
              <w:t>Survey</w:t>
            </w:r>
            <w:r w:rsidR="001F5F78">
              <w:t xml:space="preserve"> evidence and comments from inquiry participants suggest the </w:t>
            </w:r>
            <w:r w:rsidR="00402CFE">
              <w:t>reverse</w:t>
            </w:r>
            <w:r w:rsidR="001F5F78">
              <w:t xml:space="preserve"> — that patent owners do not license o</w:t>
            </w:r>
            <w:r w:rsidR="00B36741">
              <w:t>ut as much as they would like</w:t>
            </w:r>
            <w:r w:rsidR="001F5F78">
              <w:t>.</w:t>
            </w:r>
          </w:p>
          <w:p w:rsidR="002F045D" w:rsidRDefault="009A7499" w:rsidP="00652AC3">
            <w:pPr>
              <w:pStyle w:val="BoxListBullet"/>
            </w:pPr>
            <w:r>
              <w:t xml:space="preserve">Further research is required </w:t>
            </w:r>
            <w:r w:rsidR="00BA6DF1">
              <w:t>about</w:t>
            </w:r>
            <w:r>
              <w:t xml:space="preserve"> the impediments </w:t>
            </w:r>
            <w:r w:rsidR="00BA6DF1">
              <w:t>faced by</w:t>
            </w:r>
            <w:r>
              <w:t xml:space="preserve"> patent owners </w:t>
            </w:r>
            <w:r w:rsidR="002F045D">
              <w:t>in licensing their inventions.</w:t>
            </w:r>
            <w:r w:rsidR="00707C24">
              <w:t xml:space="preserve"> </w:t>
            </w:r>
            <w:r w:rsidR="00BA6DF1">
              <w:t>P</w:t>
            </w:r>
            <w:r w:rsidR="00707C24">
              <w:t>otential barriers discussed in the literature — such as difficulties in identifying licensing partners — would not be addressed by compulsory licensing.</w:t>
            </w:r>
          </w:p>
          <w:p w:rsidR="00637AAF" w:rsidRPr="007E0534" w:rsidRDefault="002B0212" w:rsidP="00637AAF">
            <w:pPr>
              <w:pStyle w:val="BoxListBullet"/>
            </w:pPr>
            <w:r>
              <w:t>Where ‘patent thickets’ occur, the private sector has</w:t>
            </w:r>
            <w:r w:rsidR="004972EF">
              <w:t xml:space="preserve"> mostly</w:t>
            </w:r>
            <w:r>
              <w:t xml:space="preserve"> been able to address access issues through use of patent pools and clearinghouses. </w:t>
            </w:r>
            <w:r w:rsidR="00C30042">
              <w:t>These can benefit the community as a whole, provided competition laws prevent patent owners from using them as vehicles to reduce competition.</w:t>
            </w:r>
          </w:p>
        </w:tc>
      </w:tr>
      <w:tr w:rsidR="009858C1" w:rsidRPr="00286C16" w:rsidTr="00DC2C7D">
        <w:trPr>
          <w:cantSplit/>
        </w:trPr>
        <w:tc>
          <w:tcPr>
            <w:tcW w:w="8771" w:type="dxa"/>
            <w:tcBorders>
              <w:top w:val="nil"/>
              <w:left w:val="single" w:sz="6" w:space="0" w:color="auto"/>
              <w:bottom w:val="single" w:sz="6" w:space="0" w:color="auto"/>
              <w:right w:val="single" w:sz="6" w:space="0" w:color="auto"/>
            </w:tcBorders>
          </w:tcPr>
          <w:p w:rsidR="009858C1" w:rsidRPr="00286C16" w:rsidRDefault="009858C1" w:rsidP="00DC2C7D">
            <w:pPr>
              <w:pStyle w:val="Box"/>
              <w:spacing w:before="0" w:line="120" w:lineRule="exact"/>
              <w:jc w:val="left"/>
            </w:pPr>
          </w:p>
        </w:tc>
      </w:tr>
    </w:tbl>
    <w:p w:rsidR="00EB0C50" w:rsidRDefault="00F25BE6" w:rsidP="00EB0C50">
      <w:pPr>
        <w:pStyle w:val="BodyText"/>
      </w:pPr>
      <w:r>
        <w:t>A substantial number of inventions are patented in Australia and other</w:t>
      </w:r>
      <w:r w:rsidR="00B72B5F">
        <w:t xml:space="preserve"> </w:t>
      </w:r>
      <w:r w:rsidR="001C0F6A">
        <w:t>industrialised</w:t>
      </w:r>
      <w:r>
        <w:t xml:space="preserve"> economies each year. </w:t>
      </w:r>
      <w:r w:rsidR="00D61D8D">
        <w:t>Hence, t</w:t>
      </w:r>
      <w:r w:rsidR="004D2BED">
        <w:t>he benefit</w:t>
      </w:r>
      <w:r w:rsidR="004C21BE">
        <w:t xml:space="preserve"> that the community receives from inventions is likely to </w:t>
      </w:r>
      <w:r w:rsidR="00B72B5F">
        <w:t xml:space="preserve">significantly </w:t>
      </w:r>
      <w:r w:rsidR="004C21BE">
        <w:t>depend on how they can be exploited under the patent</w:t>
      </w:r>
      <w:r w:rsidR="00D61D8D">
        <w:t>s</w:t>
      </w:r>
      <w:r w:rsidR="004C21BE">
        <w:t xml:space="preserve"> system, and the extent to which this is occurring. </w:t>
      </w:r>
      <w:r w:rsidR="00016C71">
        <w:t xml:space="preserve">This chapter reviews the available literature and evidence in order to identify what, if any, problems </w:t>
      </w:r>
      <w:r w:rsidR="00016C71">
        <w:lastRenderedPageBreak/>
        <w:t xml:space="preserve">generally exist with accessing patented inventions. </w:t>
      </w:r>
      <w:r w:rsidR="00A2010C">
        <w:t>The next chapter examines issues specific to accessing particular technologies, such as gene patents.</w:t>
      </w:r>
    </w:p>
    <w:p w:rsidR="00AD4CB7" w:rsidRDefault="00614D76" w:rsidP="00AD4CB7">
      <w:pPr>
        <w:pStyle w:val="Heading2"/>
      </w:pPr>
      <w:r>
        <w:fldChar w:fldCharType="begin"/>
      </w:r>
      <w:r>
        <w:instrText xml:space="preserve"> COMMENTS  \* MERGEFORMAT </w:instrText>
      </w:r>
      <w:r>
        <w:fldChar w:fldCharType="separate"/>
      </w:r>
      <w:r w:rsidR="00AD4CB7">
        <w:t>4.</w:t>
      </w:r>
      <w:r>
        <w:fldChar w:fldCharType="end"/>
      </w:r>
      <w:r>
        <w:fldChar w:fldCharType="begin"/>
      </w:r>
      <w:r>
        <w:instrText xml:space="preserve"> SEQ Heading2 </w:instrText>
      </w:r>
      <w:r>
        <w:fldChar w:fldCharType="separate"/>
      </w:r>
      <w:r>
        <w:rPr>
          <w:noProof/>
        </w:rPr>
        <w:t>1</w:t>
      </w:r>
      <w:r>
        <w:rPr>
          <w:noProof/>
        </w:rPr>
        <w:fldChar w:fldCharType="end"/>
      </w:r>
      <w:r w:rsidR="00AD4CB7">
        <w:tab/>
        <w:t>Patenting of inventions</w:t>
      </w:r>
    </w:p>
    <w:p w:rsidR="002F2FD8" w:rsidRDefault="00887032" w:rsidP="00C54F88">
      <w:pPr>
        <w:pStyle w:val="BodyText"/>
      </w:pPr>
      <w:r>
        <w:t xml:space="preserve">In Australia, </w:t>
      </w:r>
      <w:r w:rsidR="003B06DF">
        <w:t>the total number of</w:t>
      </w:r>
      <w:r w:rsidR="0026631D">
        <w:t xml:space="preserve"> standard</w:t>
      </w:r>
      <w:r w:rsidR="003B06DF">
        <w:t xml:space="preserve"> patents applied for </w:t>
      </w:r>
      <w:r w:rsidR="004972EF">
        <w:t>rose by almost 80 per </w:t>
      </w:r>
      <w:r w:rsidR="0026631D">
        <w:t xml:space="preserve">cent </w:t>
      </w:r>
      <w:r w:rsidR="006574D7">
        <w:t xml:space="preserve">between </w:t>
      </w:r>
      <w:r w:rsidR="004972EF">
        <w:t>1995 and</w:t>
      </w:r>
      <w:r w:rsidR="0026631D">
        <w:t xml:space="preserve"> 2010</w:t>
      </w:r>
      <w:r w:rsidR="0026434B">
        <w:t xml:space="preserve">. </w:t>
      </w:r>
      <w:r w:rsidR="0026631D">
        <w:t xml:space="preserve">The </w:t>
      </w:r>
      <w:r w:rsidR="007C2143">
        <w:t>number of</w:t>
      </w:r>
      <w:r w:rsidR="00AA1737">
        <w:t xml:space="preserve"> (standard)</w:t>
      </w:r>
      <w:r w:rsidR="007C2143">
        <w:t xml:space="preserve"> patents granted </w:t>
      </w:r>
      <w:r w:rsidR="005B1032">
        <w:t>grew by</w:t>
      </w:r>
      <w:r w:rsidR="000D1112">
        <w:t xml:space="preserve"> approximately</w:t>
      </w:r>
      <w:r w:rsidR="0026631D">
        <w:t xml:space="preserve"> 55 per cent </w:t>
      </w:r>
      <w:r w:rsidR="00497195">
        <w:t>(figure 4.1)</w:t>
      </w:r>
      <w:r w:rsidR="007C2143">
        <w:t xml:space="preserve">. </w:t>
      </w:r>
      <w:r w:rsidR="002F2FD8">
        <w:t>Over the same period</w:t>
      </w:r>
      <w:r w:rsidR="00AA3901">
        <w:t>, Australia’s real GDP</w:t>
      </w:r>
      <w:r w:rsidR="000D0783">
        <w:t xml:space="preserve"> (in chain volume terms)</w:t>
      </w:r>
      <w:r w:rsidR="00AA3901">
        <w:t xml:space="preserve"> increased </w:t>
      </w:r>
      <w:r w:rsidR="002F2FD8">
        <w:t xml:space="preserve">by around </w:t>
      </w:r>
      <w:r w:rsidR="00F410E5">
        <w:t>65 per cent (ABS 2012).</w:t>
      </w:r>
    </w:p>
    <w:p w:rsidR="006222C3" w:rsidRDefault="006222C3" w:rsidP="006222C3">
      <w:pPr>
        <w:pStyle w:val="FigureTitle"/>
      </w:pPr>
      <w:r>
        <w:rPr>
          <w:b w:val="0"/>
        </w:rPr>
        <w:t xml:space="preserve">Figure </w:t>
      </w:r>
      <w:r w:rsidR="00614D76">
        <w:fldChar w:fldCharType="begin"/>
      </w:r>
      <w:r w:rsidR="00614D76">
        <w:instrText xml:space="preserve"> COMMENTS  \* MERGEFORMAT </w:instrText>
      </w:r>
      <w:r w:rsidR="00614D76">
        <w:fldChar w:fldCharType="separate"/>
      </w:r>
      <w:r w:rsidRPr="00667436">
        <w:rPr>
          <w:b w:val="0"/>
        </w:rPr>
        <w:t>4.</w:t>
      </w:r>
      <w:r w:rsidR="00614D76">
        <w:rPr>
          <w:b w:val="0"/>
        </w:rPr>
        <w:fldChar w:fldCharType="end"/>
      </w:r>
      <w:r>
        <w:rPr>
          <w:b w:val="0"/>
        </w:rPr>
        <w:fldChar w:fldCharType="begin"/>
      </w:r>
      <w:r>
        <w:rPr>
          <w:b w:val="0"/>
        </w:rPr>
        <w:instrText xml:space="preserve"> SEQ Figure \* ARABIC </w:instrText>
      </w:r>
      <w:r>
        <w:rPr>
          <w:b w:val="0"/>
        </w:rPr>
        <w:fldChar w:fldCharType="separate"/>
      </w:r>
      <w:r w:rsidR="00614D76">
        <w:rPr>
          <w:b w:val="0"/>
          <w:noProof/>
        </w:rPr>
        <w:t>1</w:t>
      </w:r>
      <w:r>
        <w:rPr>
          <w:b w:val="0"/>
        </w:rPr>
        <w:fldChar w:fldCharType="end"/>
      </w:r>
      <w:r>
        <w:tab/>
        <w:t>Patent applications and grants in Australia, 1995 to 2010</w:t>
      </w:r>
      <w:r w:rsidRPr="005B1032">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222C3" w:rsidTr="00D00989">
        <w:tc>
          <w:tcPr>
            <w:tcW w:w="8777" w:type="dxa"/>
            <w:tcBorders>
              <w:top w:val="single" w:sz="6" w:space="0" w:color="auto"/>
              <w:bottom w:val="single" w:sz="6" w:space="0" w:color="auto"/>
            </w:tcBorders>
          </w:tcPr>
          <w:p w:rsidR="006222C3" w:rsidRDefault="006222C3" w:rsidP="00D00989">
            <w:pPr>
              <w:pStyle w:val="Figure"/>
            </w:pPr>
            <w:r>
              <w:rPr>
                <w:noProof/>
              </w:rPr>
              <w:drawing>
                <wp:inline distT="0" distB="0" distL="0" distR="0" wp14:anchorId="18C513C9" wp14:editId="5B94B73F">
                  <wp:extent cx="5281930" cy="3040380"/>
                  <wp:effectExtent l="0" t="0" r="0" b="7620"/>
                  <wp:docPr id="1" name="Picture 1" descr="This figure shows that patent applications in Australia have fluctuated from year to year, but stood at about 25 000 in 2010, in contrast to less than 15 000 in 1995. Patent grants have also been variable, with the number of patents granted in 2010 being roughly equal to the number granted in 199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6222C3" w:rsidRDefault="006222C3" w:rsidP="006222C3">
      <w:pPr>
        <w:pStyle w:val="Note"/>
      </w:pPr>
      <w:r w:rsidRPr="00D02BB9">
        <w:rPr>
          <w:rStyle w:val="NoteLabel"/>
        </w:rPr>
        <w:t>a</w:t>
      </w:r>
      <w:r w:rsidR="005B1032">
        <w:t xml:space="preserve"> </w:t>
      </w:r>
      <w:r>
        <w:t xml:space="preserve">Data are for standard patents only. </w:t>
      </w:r>
      <w:r w:rsidR="00033D49">
        <w:t>The difference between standard and innovation patents is discussed in chapter 3</w:t>
      </w:r>
    </w:p>
    <w:p w:rsidR="006222C3" w:rsidRPr="00A17AB7" w:rsidRDefault="00E71B9A" w:rsidP="006222C3">
      <w:pPr>
        <w:pStyle w:val="Source"/>
      </w:pPr>
      <w:r>
        <w:rPr>
          <w:i/>
        </w:rPr>
        <w:t>S</w:t>
      </w:r>
      <w:r w:rsidR="006222C3">
        <w:rPr>
          <w:i/>
        </w:rPr>
        <w:t>ource</w:t>
      </w:r>
      <w:r w:rsidR="006222C3" w:rsidRPr="00167F06">
        <w:t xml:space="preserve">: </w:t>
      </w:r>
      <w:r w:rsidR="006222C3">
        <w:t>WIPO (2011</w:t>
      </w:r>
      <w:r w:rsidR="00FE33C8">
        <w:t>c</w:t>
      </w:r>
      <w:r w:rsidR="006222C3">
        <w:t>).</w:t>
      </w:r>
    </w:p>
    <w:p w:rsidR="008333D2" w:rsidRDefault="002F2FD8" w:rsidP="00C54F88">
      <w:pPr>
        <w:pStyle w:val="BodyText"/>
      </w:pPr>
      <w:r>
        <w:t>T</w:t>
      </w:r>
      <w:r w:rsidR="003C7725">
        <w:t xml:space="preserve">he ratio of patent grants to patent applications </w:t>
      </w:r>
      <w:r w:rsidR="000B0FC1">
        <w:t>averaged nearly 60 per </w:t>
      </w:r>
      <w:r w:rsidR="003C7725">
        <w:t>cent</w:t>
      </w:r>
      <w:r w:rsidR="004633A6">
        <w:t xml:space="preserve"> between 1995 and 2010</w:t>
      </w:r>
      <w:r w:rsidR="003C7725">
        <w:t>.</w:t>
      </w:r>
      <w:r w:rsidR="004633A6">
        <w:t xml:space="preserve"> However, this </w:t>
      </w:r>
      <w:r w:rsidR="003C7725">
        <w:t xml:space="preserve">masks a degree of year-to-year variability, </w:t>
      </w:r>
      <w:r w:rsidR="00343DDC">
        <w:t>with the grant</w:t>
      </w:r>
      <w:r w:rsidR="004633A6">
        <w:t>-</w:t>
      </w:r>
      <w:r w:rsidR="00343DDC">
        <w:t>to</w:t>
      </w:r>
      <w:r w:rsidR="004633A6">
        <w:t>-</w:t>
      </w:r>
      <w:r w:rsidR="00343DDC">
        <w:t>application ratio</w:t>
      </w:r>
      <w:r w:rsidR="007D4E65">
        <w:t xml:space="preserve"> fluctuating between roughly 35 per </w:t>
      </w:r>
      <w:r w:rsidR="00343DDC">
        <w:t>cent and 80 per cent during this period.</w:t>
      </w:r>
    </w:p>
    <w:p w:rsidR="006E14FC" w:rsidRDefault="000659AB" w:rsidP="00C54F88">
      <w:pPr>
        <w:pStyle w:val="BodyText"/>
      </w:pPr>
      <w:r>
        <w:t xml:space="preserve">There </w:t>
      </w:r>
      <w:r w:rsidR="000D1112">
        <w:t>are</w:t>
      </w:r>
      <w:r>
        <w:t xml:space="preserve"> a number of possible explanations for the difference between patent</w:t>
      </w:r>
      <w:r w:rsidR="00C549A9">
        <w:t xml:space="preserve"> applications and patent grants, including</w:t>
      </w:r>
      <w:r>
        <w:t xml:space="preserve"> </w:t>
      </w:r>
      <w:r w:rsidR="00AD15B1">
        <w:t xml:space="preserve">the threshold required for an innovation to be patented. </w:t>
      </w:r>
      <w:r w:rsidR="004033AD">
        <w:t>Some innovations for which inventors have</w:t>
      </w:r>
      <w:r w:rsidR="000D1112">
        <w:t xml:space="preserve"> submitted a patent application</w:t>
      </w:r>
      <w:r w:rsidR="004033AD">
        <w:t xml:space="preserve"> </w:t>
      </w:r>
      <w:r w:rsidR="0003156E">
        <w:t>would</w:t>
      </w:r>
      <w:r w:rsidR="004033AD">
        <w:t xml:space="preserve"> not</w:t>
      </w:r>
      <w:r w:rsidR="0003156E">
        <w:t xml:space="preserve"> meet the threshold and hence, would not be granted a patent.</w:t>
      </w:r>
    </w:p>
    <w:p w:rsidR="005134C3" w:rsidRDefault="00F70654" w:rsidP="005134C3">
      <w:pPr>
        <w:pStyle w:val="BodyText"/>
      </w:pPr>
      <w:r>
        <w:lastRenderedPageBreak/>
        <w:t>Over</w:t>
      </w:r>
      <w:r w:rsidR="005134C3">
        <w:t xml:space="preserve"> the past 15 years, annual patent grants in a number of other economies have also increased. For instance, in 1995, patent grants in Japan totalled approximately 1</w:t>
      </w:r>
      <w:r w:rsidR="0003156E">
        <w:t>10</w:t>
      </w:r>
      <w:r w:rsidR="005134C3">
        <w:t> 000, and had risen to over 22</w:t>
      </w:r>
      <w:r w:rsidR="0003156E">
        <w:t>0</w:t>
      </w:r>
      <w:r w:rsidR="005134C3">
        <w:t> 000 by 2010. Similarly, in the U</w:t>
      </w:r>
      <w:r w:rsidR="00D00545">
        <w:t xml:space="preserve">nited </w:t>
      </w:r>
      <w:r w:rsidR="000C4C8B">
        <w:t>S</w:t>
      </w:r>
      <w:r w:rsidR="00D00545">
        <w:t>tates</w:t>
      </w:r>
      <w:r w:rsidR="005134C3">
        <w:t>, the number of patents granted increased from just over 10</w:t>
      </w:r>
      <w:r w:rsidR="0003156E">
        <w:t>0</w:t>
      </w:r>
      <w:r w:rsidR="005134C3">
        <w:t> 000 in 1995 to nearly 220 000 in 2010. China, in particular has seen a significa</w:t>
      </w:r>
      <w:r>
        <w:t>nt rise in the number of patent</w:t>
      </w:r>
      <w:r w:rsidR="005134C3">
        <w:t xml:space="preserve"> grants, from approximately 3</w:t>
      </w:r>
      <w:r w:rsidR="0003156E">
        <w:t>0</w:t>
      </w:r>
      <w:r w:rsidR="005134C3">
        <w:t>00 in 1995 to 135 000 in 2010. A notable exception to rising patent grants has been the United Kingdom, where grants fell to about 5600 in 2010 from over 9000 in 1995 (figure 4.2).</w:t>
      </w:r>
    </w:p>
    <w:p w:rsidR="005134C3" w:rsidRDefault="005134C3" w:rsidP="005134C3">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614D76">
        <w:rPr>
          <w:b w:val="0"/>
          <w:noProof/>
        </w:rPr>
        <w:t>2</w:t>
      </w:r>
      <w:r>
        <w:rPr>
          <w:b w:val="0"/>
        </w:rPr>
        <w:fldChar w:fldCharType="end"/>
      </w:r>
      <w:r>
        <w:tab/>
        <w:t>Patents granted in selected countries, 1995 to 2010</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5134C3" w:rsidTr="008A003D">
        <w:tc>
          <w:tcPr>
            <w:tcW w:w="8777" w:type="dxa"/>
          </w:tcPr>
          <w:p w:rsidR="005134C3" w:rsidRDefault="00473C35" w:rsidP="00B42CE4">
            <w:pPr>
              <w:pStyle w:val="Figure"/>
            </w:pPr>
            <w:r>
              <w:rPr>
                <w:noProof/>
              </w:rPr>
              <w:drawing>
                <wp:inline distT="0" distB="0" distL="0" distR="0">
                  <wp:extent cx="5546090" cy="2967990"/>
                  <wp:effectExtent l="0" t="0" r="0" b="3810"/>
                  <wp:docPr id="2" name="Picture 2" descr="This figure illustrates that the United States and Japan grant more patents than Canada, China, Germany, and the United Kindgom. They also granted roughly the same number of patents as each other in 2010. The number of patents granted in China has risen significantly since about 2001. "/>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5134C3" w:rsidRDefault="008A33A3" w:rsidP="005134C3">
      <w:pPr>
        <w:pStyle w:val="Source"/>
      </w:pPr>
      <w:r>
        <w:rPr>
          <w:i/>
        </w:rPr>
        <w:t>S</w:t>
      </w:r>
      <w:r w:rsidR="005134C3">
        <w:rPr>
          <w:i/>
        </w:rPr>
        <w:t>ource</w:t>
      </w:r>
      <w:r w:rsidR="005134C3" w:rsidRPr="00167F06">
        <w:t xml:space="preserve">: </w:t>
      </w:r>
      <w:r w:rsidR="005134C3">
        <w:t>WIPO (2011</w:t>
      </w:r>
      <w:r w:rsidR="00FE33C8">
        <w:t>c</w:t>
      </w:r>
      <w:r w:rsidR="005134C3">
        <w:t>).</w:t>
      </w:r>
    </w:p>
    <w:p w:rsidR="006A05A0" w:rsidRDefault="006A05A0" w:rsidP="00561E26">
      <w:pPr>
        <w:pStyle w:val="BodyText"/>
      </w:pPr>
      <w:r>
        <w:t xml:space="preserve">The majority of patents granted in Australia are to non-residents. </w:t>
      </w:r>
      <w:r w:rsidR="00FD2D89">
        <w:t>For example, out of the total of 14 557 patents granted in 2010, 1178 of t</w:t>
      </w:r>
      <w:r w:rsidR="00D25536">
        <w:t>hese were granted to residents. Just over 6000 (41 per cent) of patents were granted to residents of the U</w:t>
      </w:r>
      <w:r w:rsidR="00D00545">
        <w:t xml:space="preserve">nited </w:t>
      </w:r>
      <w:r w:rsidR="000C4C8B">
        <w:t>S</w:t>
      </w:r>
      <w:r w:rsidR="00D00545">
        <w:t>tates</w:t>
      </w:r>
      <w:r w:rsidR="00D25536">
        <w:t>, with the next most significant foreign country being Japan, which rece</w:t>
      </w:r>
      <w:r w:rsidR="00332555">
        <w:t xml:space="preserve">ived over 1200 patent grants (eight </w:t>
      </w:r>
      <w:r w:rsidR="00D25536">
        <w:t>per cent) (table 4.1).</w:t>
      </w:r>
    </w:p>
    <w:p w:rsidR="00A53744" w:rsidRDefault="00A53744" w:rsidP="00A53744">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Table \* ARABIC </w:instrText>
      </w:r>
      <w:r>
        <w:rPr>
          <w:b w:val="0"/>
        </w:rPr>
        <w:fldChar w:fldCharType="separate"/>
      </w:r>
      <w:r w:rsidR="00614D76">
        <w:rPr>
          <w:b w:val="0"/>
          <w:noProof/>
        </w:rPr>
        <w:t>1</w:t>
      </w:r>
      <w:r>
        <w:rPr>
          <w:b w:val="0"/>
        </w:rPr>
        <w:fldChar w:fldCharType="end"/>
      </w:r>
      <w:r>
        <w:tab/>
        <w:t>Country of origin of patent grantees in Australia, 1995 to 2010</w:t>
      </w:r>
    </w:p>
    <w:p w:rsidR="00A53744" w:rsidRPr="00A53744" w:rsidRDefault="00A53744" w:rsidP="00A53744">
      <w:pPr>
        <w:pStyle w:val="Subtitle"/>
        <w:rPr>
          <w:szCs w:val="20"/>
        </w:rPr>
      </w:pPr>
      <w:r>
        <w:rPr>
          <w:szCs w:val="20"/>
        </w:rPr>
        <w:t>Percentage share of patents granted</w:t>
      </w:r>
    </w:p>
    <w:tbl>
      <w:tblPr>
        <w:tblW w:w="5000" w:type="pct"/>
        <w:tblCellMar>
          <w:left w:w="0" w:type="dxa"/>
          <w:right w:w="0" w:type="dxa"/>
        </w:tblCellMar>
        <w:tblLook w:val="0000" w:firstRow="0" w:lastRow="0" w:firstColumn="0" w:lastColumn="0" w:noHBand="0" w:noVBand="0"/>
      </w:tblPr>
      <w:tblGrid>
        <w:gridCol w:w="2931"/>
        <w:gridCol w:w="2930"/>
        <w:gridCol w:w="2928"/>
      </w:tblGrid>
      <w:tr w:rsidR="00A53744" w:rsidTr="000843D5">
        <w:tc>
          <w:tcPr>
            <w:tcW w:w="1667" w:type="pct"/>
            <w:tcBorders>
              <w:top w:val="single" w:sz="6" w:space="0" w:color="auto"/>
              <w:bottom w:val="single" w:sz="6" w:space="0" w:color="auto"/>
            </w:tcBorders>
            <w:shd w:val="clear" w:color="auto" w:fill="auto"/>
            <w:vAlign w:val="bottom"/>
          </w:tcPr>
          <w:p w:rsidR="00A53744" w:rsidRDefault="00A53744" w:rsidP="000843D5">
            <w:pPr>
              <w:pStyle w:val="TableColumnHeading"/>
              <w:jc w:val="left"/>
            </w:pPr>
            <w:r>
              <w:t>Country</w:t>
            </w:r>
          </w:p>
        </w:tc>
        <w:tc>
          <w:tcPr>
            <w:tcW w:w="1667" w:type="pct"/>
            <w:tcBorders>
              <w:top w:val="single" w:sz="6" w:space="0" w:color="auto"/>
              <w:bottom w:val="single" w:sz="6" w:space="0" w:color="auto"/>
            </w:tcBorders>
            <w:shd w:val="clear" w:color="auto" w:fill="auto"/>
            <w:vAlign w:val="bottom"/>
          </w:tcPr>
          <w:p w:rsidR="00A53744" w:rsidRDefault="00A53744" w:rsidP="0003156E">
            <w:pPr>
              <w:pStyle w:val="TableColumnHeading"/>
            </w:pPr>
            <w:r>
              <w:t>2010</w:t>
            </w:r>
          </w:p>
        </w:tc>
        <w:tc>
          <w:tcPr>
            <w:tcW w:w="1666" w:type="pct"/>
            <w:tcBorders>
              <w:top w:val="single" w:sz="6" w:space="0" w:color="auto"/>
              <w:bottom w:val="single" w:sz="6" w:space="0" w:color="auto"/>
            </w:tcBorders>
            <w:shd w:val="clear" w:color="auto" w:fill="auto"/>
            <w:vAlign w:val="bottom"/>
          </w:tcPr>
          <w:p w:rsidR="00A53744" w:rsidRDefault="00A53744" w:rsidP="0003156E">
            <w:pPr>
              <w:pStyle w:val="TableColumnHeading"/>
              <w:ind w:right="28"/>
            </w:pPr>
            <w:r>
              <w:t>1995–2010 average</w:t>
            </w:r>
          </w:p>
        </w:tc>
      </w:tr>
      <w:tr w:rsidR="00A53744" w:rsidTr="00DC11FC">
        <w:tc>
          <w:tcPr>
            <w:tcW w:w="1667" w:type="pct"/>
            <w:tcBorders>
              <w:top w:val="single" w:sz="6" w:space="0" w:color="auto"/>
            </w:tcBorders>
          </w:tcPr>
          <w:p w:rsidR="00A53744" w:rsidRDefault="00A53744" w:rsidP="00DC11FC">
            <w:pPr>
              <w:pStyle w:val="TableUnitsRow"/>
              <w:jc w:val="left"/>
            </w:pPr>
            <w:r>
              <w:t>Australia</w:t>
            </w:r>
          </w:p>
        </w:tc>
        <w:tc>
          <w:tcPr>
            <w:tcW w:w="1667" w:type="pct"/>
            <w:tcBorders>
              <w:top w:val="single" w:sz="6" w:space="0" w:color="auto"/>
            </w:tcBorders>
          </w:tcPr>
          <w:p w:rsidR="00A53744" w:rsidRDefault="003A7B0D" w:rsidP="00DC11FC">
            <w:pPr>
              <w:pStyle w:val="TableUnitsRow"/>
            </w:pPr>
            <w:r>
              <w:t>8.1</w:t>
            </w:r>
          </w:p>
        </w:tc>
        <w:tc>
          <w:tcPr>
            <w:tcW w:w="1666" w:type="pct"/>
            <w:tcBorders>
              <w:top w:val="single" w:sz="6" w:space="0" w:color="auto"/>
            </w:tcBorders>
          </w:tcPr>
          <w:p w:rsidR="00A53744" w:rsidRDefault="005E1E28" w:rsidP="00DC11FC">
            <w:pPr>
              <w:pStyle w:val="TableUnitsRow"/>
              <w:ind w:right="28"/>
            </w:pPr>
            <w:r>
              <w:t>8.5</w:t>
            </w:r>
          </w:p>
        </w:tc>
      </w:tr>
      <w:tr w:rsidR="00A53744" w:rsidTr="00DC11FC">
        <w:tc>
          <w:tcPr>
            <w:tcW w:w="1667" w:type="pct"/>
          </w:tcPr>
          <w:p w:rsidR="00A53744" w:rsidRDefault="003A7B0D" w:rsidP="00DC11FC">
            <w:pPr>
              <w:pStyle w:val="TableBodyText"/>
              <w:jc w:val="left"/>
            </w:pPr>
            <w:r>
              <w:t>USA</w:t>
            </w:r>
          </w:p>
        </w:tc>
        <w:tc>
          <w:tcPr>
            <w:tcW w:w="1667" w:type="pct"/>
          </w:tcPr>
          <w:p w:rsidR="00A53744" w:rsidRDefault="003A7B0D" w:rsidP="00DC11FC">
            <w:pPr>
              <w:pStyle w:val="TableBodyText"/>
            </w:pPr>
            <w:r>
              <w:t>41.4</w:t>
            </w:r>
          </w:p>
        </w:tc>
        <w:tc>
          <w:tcPr>
            <w:tcW w:w="1666" w:type="pct"/>
          </w:tcPr>
          <w:p w:rsidR="00A53744" w:rsidRDefault="005E1E28" w:rsidP="00DC11FC">
            <w:pPr>
              <w:pStyle w:val="TableBodyText"/>
              <w:ind w:right="28"/>
            </w:pPr>
            <w:r>
              <w:t>42.7</w:t>
            </w:r>
          </w:p>
        </w:tc>
      </w:tr>
      <w:tr w:rsidR="00A53744" w:rsidTr="00DC11FC">
        <w:tc>
          <w:tcPr>
            <w:tcW w:w="1667" w:type="pct"/>
          </w:tcPr>
          <w:p w:rsidR="00A53744" w:rsidRDefault="003A7B0D" w:rsidP="00DC11FC">
            <w:pPr>
              <w:pStyle w:val="TableBodyText"/>
              <w:jc w:val="left"/>
            </w:pPr>
            <w:r>
              <w:t>Japan</w:t>
            </w:r>
          </w:p>
        </w:tc>
        <w:tc>
          <w:tcPr>
            <w:tcW w:w="1667" w:type="pct"/>
          </w:tcPr>
          <w:p w:rsidR="00A53744" w:rsidRDefault="003A7B0D" w:rsidP="00DC11FC">
            <w:pPr>
              <w:pStyle w:val="TableBodyText"/>
            </w:pPr>
            <w:r>
              <w:t>8.4</w:t>
            </w:r>
          </w:p>
        </w:tc>
        <w:tc>
          <w:tcPr>
            <w:tcW w:w="1666" w:type="pct"/>
          </w:tcPr>
          <w:p w:rsidR="00A53744" w:rsidRDefault="005E1E28" w:rsidP="00DC11FC">
            <w:pPr>
              <w:pStyle w:val="TableBodyText"/>
              <w:ind w:right="28"/>
            </w:pPr>
            <w:r>
              <w:t>9.3</w:t>
            </w:r>
          </w:p>
        </w:tc>
      </w:tr>
      <w:tr w:rsidR="00A53744" w:rsidTr="00DC11FC">
        <w:tc>
          <w:tcPr>
            <w:tcW w:w="1667" w:type="pct"/>
          </w:tcPr>
          <w:p w:rsidR="00A53744" w:rsidRDefault="003A7B0D" w:rsidP="00DC11FC">
            <w:pPr>
              <w:pStyle w:val="TableBodyText"/>
              <w:jc w:val="left"/>
            </w:pPr>
            <w:r>
              <w:t>Germany</w:t>
            </w:r>
          </w:p>
        </w:tc>
        <w:tc>
          <w:tcPr>
            <w:tcW w:w="1667" w:type="pct"/>
          </w:tcPr>
          <w:p w:rsidR="00A53744" w:rsidRDefault="003A7B0D" w:rsidP="00DC11FC">
            <w:pPr>
              <w:pStyle w:val="TableBodyText"/>
            </w:pPr>
            <w:r>
              <w:t>7.1</w:t>
            </w:r>
          </w:p>
        </w:tc>
        <w:tc>
          <w:tcPr>
            <w:tcW w:w="1666" w:type="pct"/>
          </w:tcPr>
          <w:p w:rsidR="00A53744" w:rsidRDefault="005E1E28" w:rsidP="00DC11FC">
            <w:pPr>
              <w:pStyle w:val="TableBodyText"/>
              <w:ind w:right="28"/>
            </w:pPr>
            <w:r>
              <w:t>6.5</w:t>
            </w:r>
          </w:p>
        </w:tc>
      </w:tr>
      <w:tr w:rsidR="003A7B0D" w:rsidTr="00DC11FC">
        <w:tc>
          <w:tcPr>
            <w:tcW w:w="1667" w:type="pct"/>
          </w:tcPr>
          <w:p w:rsidR="003A7B0D" w:rsidRDefault="003A7B0D" w:rsidP="00DC11FC">
            <w:pPr>
              <w:pStyle w:val="TableBodyText"/>
              <w:jc w:val="left"/>
            </w:pPr>
            <w:r>
              <w:t>Switzerland</w:t>
            </w:r>
          </w:p>
        </w:tc>
        <w:tc>
          <w:tcPr>
            <w:tcW w:w="1667" w:type="pct"/>
          </w:tcPr>
          <w:p w:rsidR="003A7B0D" w:rsidRDefault="003A7B0D" w:rsidP="00DC11FC">
            <w:pPr>
              <w:pStyle w:val="TableBodyText"/>
            </w:pPr>
            <w:r>
              <w:t>4.9</w:t>
            </w:r>
          </w:p>
        </w:tc>
        <w:tc>
          <w:tcPr>
            <w:tcW w:w="1666" w:type="pct"/>
          </w:tcPr>
          <w:p w:rsidR="003A7B0D" w:rsidRDefault="005E1E28" w:rsidP="00DC11FC">
            <w:pPr>
              <w:pStyle w:val="TableBodyText"/>
              <w:ind w:right="28"/>
            </w:pPr>
            <w:r>
              <w:t>3.8</w:t>
            </w:r>
          </w:p>
        </w:tc>
      </w:tr>
      <w:tr w:rsidR="003A7B0D" w:rsidTr="00DC11FC">
        <w:tc>
          <w:tcPr>
            <w:tcW w:w="1667" w:type="pct"/>
          </w:tcPr>
          <w:p w:rsidR="003A7B0D" w:rsidRDefault="003A7B0D" w:rsidP="00DC11FC">
            <w:pPr>
              <w:pStyle w:val="TableBodyText"/>
              <w:jc w:val="left"/>
            </w:pPr>
            <w:r>
              <w:t>UK</w:t>
            </w:r>
          </w:p>
        </w:tc>
        <w:tc>
          <w:tcPr>
            <w:tcW w:w="1667" w:type="pct"/>
          </w:tcPr>
          <w:p w:rsidR="003A7B0D" w:rsidRDefault="003A7B0D" w:rsidP="00DC11FC">
            <w:pPr>
              <w:pStyle w:val="TableBodyText"/>
            </w:pPr>
            <w:r>
              <w:t>4.1</w:t>
            </w:r>
          </w:p>
        </w:tc>
        <w:tc>
          <w:tcPr>
            <w:tcW w:w="1666" w:type="pct"/>
          </w:tcPr>
          <w:p w:rsidR="003A7B0D" w:rsidRDefault="005E1E28" w:rsidP="00DC11FC">
            <w:pPr>
              <w:pStyle w:val="TableBodyText"/>
              <w:ind w:right="28"/>
            </w:pPr>
            <w:r>
              <w:t>6.4</w:t>
            </w:r>
          </w:p>
        </w:tc>
      </w:tr>
      <w:tr w:rsidR="00A53744" w:rsidTr="00DC11FC">
        <w:tc>
          <w:tcPr>
            <w:tcW w:w="1667" w:type="pct"/>
            <w:tcBorders>
              <w:bottom w:val="single" w:sz="6" w:space="0" w:color="auto"/>
            </w:tcBorders>
            <w:shd w:val="clear" w:color="auto" w:fill="auto"/>
          </w:tcPr>
          <w:p w:rsidR="00A53744" w:rsidRDefault="003A7B0D" w:rsidP="00DC11FC">
            <w:pPr>
              <w:pStyle w:val="TableBodyText"/>
              <w:jc w:val="left"/>
            </w:pPr>
            <w:r>
              <w:t>Other</w:t>
            </w:r>
          </w:p>
        </w:tc>
        <w:tc>
          <w:tcPr>
            <w:tcW w:w="1667" w:type="pct"/>
            <w:tcBorders>
              <w:bottom w:val="single" w:sz="6" w:space="0" w:color="auto"/>
            </w:tcBorders>
            <w:shd w:val="clear" w:color="auto" w:fill="auto"/>
          </w:tcPr>
          <w:p w:rsidR="00A53744" w:rsidRDefault="003A7B0D" w:rsidP="00DC11FC">
            <w:pPr>
              <w:pStyle w:val="TableBodyText"/>
            </w:pPr>
            <w:r>
              <w:t>26.0</w:t>
            </w:r>
          </w:p>
        </w:tc>
        <w:tc>
          <w:tcPr>
            <w:tcW w:w="1666" w:type="pct"/>
            <w:tcBorders>
              <w:bottom w:val="single" w:sz="6" w:space="0" w:color="auto"/>
            </w:tcBorders>
            <w:shd w:val="clear" w:color="auto" w:fill="auto"/>
          </w:tcPr>
          <w:p w:rsidR="00A53744" w:rsidRDefault="005E1E28" w:rsidP="00DC11FC">
            <w:pPr>
              <w:pStyle w:val="TableBodyText"/>
              <w:ind w:right="28"/>
            </w:pPr>
            <w:r>
              <w:t>22.9</w:t>
            </w:r>
          </w:p>
        </w:tc>
      </w:tr>
    </w:tbl>
    <w:p w:rsidR="00A53744" w:rsidRPr="008E77FE" w:rsidRDefault="00A53744" w:rsidP="00DC11FC">
      <w:pPr>
        <w:pStyle w:val="Source"/>
      </w:pPr>
      <w:r>
        <w:rPr>
          <w:i/>
        </w:rPr>
        <w:t>Source</w:t>
      </w:r>
      <w:r>
        <w:t>: WIPO (2011</w:t>
      </w:r>
      <w:r w:rsidR="00FE33C8">
        <w:t>c</w:t>
      </w:r>
      <w:r>
        <w:t>).</w:t>
      </w:r>
    </w:p>
    <w:p w:rsidR="00E06B3C" w:rsidRDefault="00E06B3C" w:rsidP="00561E26">
      <w:pPr>
        <w:pStyle w:val="BodyText"/>
      </w:pPr>
      <w:r>
        <w:t xml:space="preserve">The World Intellectual Property Organisation collects information on the </w:t>
      </w:r>
      <w:r w:rsidR="002A778A">
        <w:t xml:space="preserve">field of technology in which patent applications were made. </w:t>
      </w:r>
      <w:r w:rsidR="001B4CDC">
        <w:t xml:space="preserve">Over the period from 1996 to 2010, </w:t>
      </w:r>
      <w:r w:rsidR="00783ECF">
        <w:t>the most significant field of technology in which patents were applied for in Australia was civil engine</w:t>
      </w:r>
      <w:r w:rsidR="003049F4">
        <w:t xml:space="preserve">ering, accounting for roughly eight </w:t>
      </w:r>
      <w:r w:rsidR="00783ECF">
        <w:t>per cent of the total share of patent applications</w:t>
      </w:r>
      <w:r w:rsidR="00E3304D">
        <w:t>, followed by medical technology and pharmaceuticals</w:t>
      </w:r>
      <w:r w:rsidR="00D86E58">
        <w:t xml:space="preserve"> (table </w:t>
      </w:r>
      <w:r w:rsidR="00B464B6">
        <w:t>4.2)</w:t>
      </w:r>
      <w:r w:rsidR="00E3304D">
        <w:t>.</w:t>
      </w:r>
    </w:p>
    <w:p w:rsidR="00BE18A4" w:rsidRDefault="00BE18A4">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Table \* ARABIC </w:instrText>
      </w:r>
      <w:r>
        <w:rPr>
          <w:b w:val="0"/>
        </w:rPr>
        <w:fldChar w:fldCharType="separate"/>
      </w:r>
      <w:r w:rsidR="00614D76">
        <w:rPr>
          <w:b w:val="0"/>
          <w:noProof/>
        </w:rPr>
        <w:t>2</w:t>
      </w:r>
      <w:r>
        <w:rPr>
          <w:b w:val="0"/>
        </w:rPr>
        <w:fldChar w:fldCharType="end"/>
      </w:r>
      <w:r>
        <w:tab/>
      </w:r>
      <w:r w:rsidR="00C524B8">
        <w:t xml:space="preserve">Patent applications by </w:t>
      </w:r>
      <w:r w:rsidR="00975B76">
        <w:t xml:space="preserve">field of technology, 1996 to </w:t>
      </w:r>
      <w:r w:rsidR="00C524B8">
        <w:t>2010</w:t>
      </w:r>
    </w:p>
    <w:p w:rsidR="00BE18A4" w:rsidRDefault="00C524B8">
      <w:pPr>
        <w:pStyle w:val="Subtitle"/>
      </w:pPr>
      <w:r>
        <w:t>Percentage share of total patent applications</w:t>
      </w:r>
      <w:r w:rsidR="00C34701" w:rsidRPr="00C34701">
        <w:rPr>
          <w:rStyle w:val="NoteLabel"/>
        </w:rPr>
        <w:t>a</w:t>
      </w:r>
    </w:p>
    <w:tbl>
      <w:tblPr>
        <w:tblW w:w="5000" w:type="pct"/>
        <w:tblLayout w:type="fixed"/>
        <w:tblCellMar>
          <w:left w:w="0" w:type="dxa"/>
          <w:right w:w="0" w:type="dxa"/>
        </w:tblCellMar>
        <w:tblLook w:val="0000" w:firstRow="0" w:lastRow="0" w:firstColumn="0" w:lastColumn="0" w:noHBand="0" w:noVBand="0"/>
      </w:tblPr>
      <w:tblGrid>
        <w:gridCol w:w="1985"/>
        <w:gridCol w:w="993"/>
        <w:gridCol w:w="142"/>
        <w:gridCol w:w="2127"/>
        <w:gridCol w:w="708"/>
        <w:gridCol w:w="142"/>
        <w:gridCol w:w="1985"/>
        <w:gridCol w:w="707"/>
      </w:tblGrid>
      <w:tr w:rsidR="003612F7" w:rsidTr="000843D5">
        <w:tc>
          <w:tcPr>
            <w:tcW w:w="1694" w:type="pct"/>
            <w:gridSpan w:val="2"/>
            <w:tcBorders>
              <w:top w:val="single" w:sz="6" w:space="0" w:color="auto"/>
              <w:bottom w:val="single" w:sz="6" w:space="0" w:color="auto"/>
            </w:tcBorders>
            <w:shd w:val="clear" w:color="auto" w:fill="auto"/>
            <w:vAlign w:val="bottom"/>
          </w:tcPr>
          <w:p w:rsidR="004272F7" w:rsidRDefault="004272F7" w:rsidP="000843D5">
            <w:pPr>
              <w:pStyle w:val="TableColumnHeading"/>
              <w:jc w:val="center"/>
            </w:pPr>
            <w:r>
              <w:t>Australia</w:t>
            </w:r>
          </w:p>
        </w:tc>
        <w:tc>
          <w:tcPr>
            <w:tcW w:w="81" w:type="pct"/>
            <w:tcBorders>
              <w:top w:val="single" w:sz="6" w:space="0" w:color="auto"/>
            </w:tcBorders>
            <w:vAlign w:val="bottom"/>
          </w:tcPr>
          <w:p w:rsidR="004272F7" w:rsidRDefault="004272F7" w:rsidP="000843D5">
            <w:pPr>
              <w:pStyle w:val="TableColumnHeading"/>
              <w:ind w:right="28"/>
              <w:jc w:val="center"/>
            </w:pPr>
          </w:p>
        </w:tc>
        <w:tc>
          <w:tcPr>
            <w:tcW w:w="1613" w:type="pct"/>
            <w:gridSpan w:val="2"/>
            <w:tcBorders>
              <w:top w:val="single" w:sz="6" w:space="0" w:color="auto"/>
              <w:bottom w:val="single" w:sz="6" w:space="0" w:color="auto"/>
            </w:tcBorders>
            <w:vAlign w:val="bottom"/>
          </w:tcPr>
          <w:p w:rsidR="004272F7" w:rsidRDefault="004272F7" w:rsidP="000843D5">
            <w:pPr>
              <w:pStyle w:val="TableColumnHeading"/>
              <w:ind w:right="28"/>
              <w:jc w:val="center"/>
            </w:pPr>
            <w:r>
              <w:t>United States</w:t>
            </w:r>
          </w:p>
        </w:tc>
        <w:tc>
          <w:tcPr>
            <w:tcW w:w="81" w:type="pct"/>
            <w:tcBorders>
              <w:top w:val="single" w:sz="6" w:space="0" w:color="auto"/>
            </w:tcBorders>
            <w:vAlign w:val="bottom"/>
          </w:tcPr>
          <w:p w:rsidR="004272F7" w:rsidRDefault="004272F7" w:rsidP="000843D5">
            <w:pPr>
              <w:pStyle w:val="TableColumnHeading"/>
              <w:ind w:right="28"/>
              <w:jc w:val="center"/>
            </w:pPr>
          </w:p>
        </w:tc>
        <w:tc>
          <w:tcPr>
            <w:tcW w:w="1532" w:type="pct"/>
            <w:gridSpan w:val="2"/>
            <w:tcBorders>
              <w:top w:val="single" w:sz="6" w:space="0" w:color="auto"/>
              <w:bottom w:val="single" w:sz="6" w:space="0" w:color="auto"/>
            </w:tcBorders>
            <w:vAlign w:val="bottom"/>
          </w:tcPr>
          <w:p w:rsidR="004272F7" w:rsidRDefault="009A2E57" w:rsidP="000843D5">
            <w:pPr>
              <w:pStyle w:val="TableColumnHeading"/>
              <w:ind w:right="28"/>
              <w:jc w:val="center"/>
            </w:pPr>
            <w:r>
              <w:t>Canada</w:t>
            </w:r>
          </w:p>
        </w:tc>
      </w:tr>
      <w:tr w:rsidR="003612F7" w:rsidTr="001A35D1">
        <w:tc>
          <w:tcPr>
            <w:tcW w:w="1129" w:type="pct"/>
            <w:tcBorders>
              <w:top w:val="single" w:sz="6" w:space="0" w:color="auto"/>
              <w:bottom w:val="single" w:sz="6" w:space="0" w:color="auto"/>
            </w:tcBorders>
          </w:tcPr>
          <w:p w:rsidR="004272F7" w:rsidRPr="00EE7799" w:rsidRDefault="004272F7" w:rsidP="00DC11FC">
            <w:pPr>
              <w:pStyle w:val="TableUnitsRow"/>
              <w:jc w:val="left"/>
              <w:rPr>
                <w:i/>
              </w:rPr>
            </w:pPr>
            <w:r w:rsidRPr="00EE7799">
              <w:rPr>
                <w:i/>
              </w:rPr>
              <w:t>Field of technology</w:t>
            </w:r>
          </w:p>
        </w:tc>
        <w:tc>
          <w:tcPr>
            <w:tcW w:w="564" w:type="pct"/>
            <w:tcBorders>
              <w:top w:val="single" w:sz="6" w:space="0" w:color="auto"/>
              <w:bottom w:val="single" w:sz="6" w:space="0" w:color="auto"/>
            </w:tcBorders>
          </w:tcPr>
          <w:p w:rsidR="004272F7" w:rsidRPr="00EE7799" w:rsidRDefault="004272F7" w:rsidP="00DC11FC">
            <w:pPr>
              <w:pStyle w:val="TableUnitsRow"/>
              <w:rPr>
                <w:i/>
              </w:rPr>
            </w:pPr>
            <w:r w:rsidRPr="00EE7799">
              <w:rPr>
                <w:i/>
              </w:rPr>
              <w:t>Share</w:t>
            </w:r>
          </w:p>
        </w:tc>
        <w:tc>
          <w:tcPr>
            <w:tcW w:w="81" w:type="pct"/>
            <w:tcBorders>
              <w:bottom w:val="single" w:sz="6" w:space="0" w:color="auto"/>
            </w:tcBorders>
          </w:tcPr>
          <w:p w:rsidR="004272F7" w:rsidRPr="00EE7799" w:rsidRDefault="004272F7" w:rsidP="00DC11FC">
            <w:pPr>
              <w:pStyle w:val="TableUnitsRow"/>
              <w:ind w:right="28"/>
              <w:rPr>
                <w:i/>
              </w:rPr>
            </w:pPr>
          </w:p>
        </w:tc>
        <w:tc>
          <w:tcPr>
            <w:tcW w:w="1210" w:type="pct"/>
            <w:tcBorders>
              <w:top w:val="single" w:sz="6" w:space="0" w:color="auto"/>
              <w:bottom w:val="single" w:sz="6" w:space="0" w:color="auto"/>
            </w:tcBorders>
          </w:tcPr>
          <w:p w:rsidR="004272F7" w:rsidRPr="00EE7799" w:rsidRDefault="004272F7" w:rsidP="0003156E">
            <w:pPr>
              <w:pStyle w:val="TableUnitsRow"/>
              <w:ind w:right="28"/>
              <w:jc w:val="left"/>
              <w:rPr>
                <w:i/>
              </w:rPr>
            </w:pPr>
            <w:r w:rsidRPr="00EE7799">
              <w:rPr>
                <w:i/>
              </w:rPr>
              <w:t>Field of technology</w:t>
            </w:r>
          </w:p>
        </w:tc>
        <w:tc>
          <w:tcPr>
            <w:tcW w:w="403" w:type="pct"/>
            <w:tcBorders>
              <w:top w:val="single" w:sz="6" w:space="0" w:color="auto"/>
              <w:bottom w:val="single" w:sz="6" w:space="0" w:color="auto"/>
            </w:tcBorders>
          </w:tcPr>
          <w:p w:rsidR="004272F7" w:rsidRPr="00EE7799" w:rsidRDefault="004272F7" w:rsidP="00DC11FC">
            <w:pPr>
              <w:pStyle w:val="TableUnitsRow"/>
              <w:ind w:right="28"/>
              <w:rPr>
                <w:i/>
              </w:rPr>
            </w:pPr>
            <w:r w:rsidRPr="00EE7799">
              <w:rPr>
                <w:i/>
              </w:rPr>
              <w:t>Share</w:t>
            </w:r>
          </w:p>
        </w:tc>
        <w:tc>
          <w:tcPr>
            <w:tcW w:w="81" w:type="pct"/>
            <w:tcBorders>
              <w:bottom w:val="single" w:sz="6" w:space="0" w:color="auto"/>
            </w:tcBorders>
          </w:tcPr>
          <w:p w:rsidR="004272F7" w:rsidRPr="00EE7799" w:rsidRDefault="004272F7" w:rsidP="00DC11FC">
            <w:pPr>
              <w:pStyle w:val="TableUnitsRow"/>
              <w:ind w:right="28"/>
              <w:rPr>
                <w:i/>
              </w:rPr>
            </w:pPr>
          </w:p>
        </w:tc>
        <w:tc>
          <w:tcPr>
            <w:tcW w:w="1129" w:type="pct"/>
            <w:tcBorders>
              <w:top w:val="single" w:sz="6" w:space="0" w:color="auto"/>
              <w:bottom w:val="single" w:sz="6" w:space="0" w:color="auto"/>
            </w:tcBorders>
          </w:tcPr>
          <w:p w:rsidR="004272F7" w:rsidRPr="00EE7799" w:rsidRDefault="004272F7" w:rsidP="0003156E">
            <w:pPr>
              <w:pStyle w:val="TableUnitsRow"/>
              <w:ind w:right="28"/>
              <w:jc w:val="left"/>
              <w:rPr>
                <w:i/>
              </w:rPr>
            </w:pPr>
            <w:r w:rsidRPr="00EE7799">
              <w:rPr>
                <w:i/>
              </w:rPr>
              <w:t>Field of technology</w:t>
            </w:r>
          </w:p>
        </w:tc>
        <w:tc>
          <w:tcPr>
            <w:tcW w:w="403" w:type="pct"/>
            <w:tcBorders>
              <w:top w:val="single" w:sz="6" w:space="0" w:color="auto"/>
              <w:bottom w:val="single" w:sz="6" w:space="0" w:color="auto"/>
            </w:tcBorders>
          </w:tcPr>
          <w:p w:rsidR="004272F7" w:rsidRPr="00EE7799" w:rsidRDefault="004272F7" w:rsidP="00DC11FC">
            <w:pPr>
              <w:pStyle w:val="TableUnitsRow"/>
              <w:ind w:right="28"/>
              <w:rPr>
                <w:i/>
              </w:rPr>
            </w:pPr>
            <w:r w:rsidRPr="00EE7799">
              <w:rPr>
                <w:i/>
              </w:rPr>
              <w:t>Share</w:t>
            </w:r>
          </w:p>
        </w:tc>
      </w:tr>
      <w:tr w:rsidR="003612F7" w:rsidTr="003612F7">
        <w:tc>
          <w:tcPr>
            <w:tcW w:w="1129" w:type="pct"/>
            <w:tcBorders>
              <w:top w:val="single" w:sz="6" w:space="0" w:color="auto"/>
            </w:tcBorders>
          </w:tcPr>
          <w:p w:rsidR="004272F7" w:rsidRDefault="004272F7" w:rsidP="00DC11FC">
            <w:pPr>
              <w:pStyle w:val="TableBodyText"/>
              <w:jc w:val="left"/>
            </w:pPr>
            <w:r>
              <w:t>Civil engineering</w:t>
            </w:r>
          </w:p>
        </w:tc>
        <w:tc>
          <w:tcPr>
            <w:tcW w:w="564" w:type="pct"/>
            <w:tcBorders>
              <w:top w:val="single" w:sz="6" w:space="0" w:color="auto"/>
            </w:tcBorders>
          </w:tcPr>
          <w:p w:rsidR="004272F7" w:rsidRDefault="002C007C" w:rsidP="00DC11FC">
            <w:pPr>
              <w:pStyle w:val="TableBodyText"/>
            </w:pPr>
            <w:r>
              <w:t>8</w:t>
            </w:r>
          </w:p>
        </w:tc>
        <w:tc>
          <w:tcPr>
            <w:tcW w:w="81" w:type="pct"/>
            <w:tcBorders>
              <w:top w:val="single" w:sz="6" w:space="0" w:color="auto"/>
            </w:tcBorders>
          </w:tcPr>
          <w:p w:rsidR="004272F7" w:rsidRDefault="004272F7" w:rsidP="00DC11FC">
            <w:pPr>
              <w:pStyle w:val="TableBodyText"/>
              <w:ind w:right="28"/>
            </w:pPr>
          </w:p>
        </w:tc>
        <w:tc>
          <w:tcPr>
            <w:tcW w:w="1210" w:type="pct"/>
            <w:tcBorders>
              <w:top w:val="single" w:sz="6" w:space="0" w:color="auto"/>
            </w:tcBorders>
          </w:tcPr>
          <w:p w:rsidR="004272F7" w:rsidRDefault="004272F7" w:rsidP="00C45AC0">
            <w:pPr>
              <w:pStyle w:val="TableBodyText"/>
              <w:ind w:right="28"/>
              <w:jc w:val="left"/>
            </w:pPr>
            <w:r>
              <w:t>Computer technology</w:t>
            </w:r>
          </w:p>
        </w:tc>
        <w:tc>
          <w:tcPr>
            <w:tcW w:w="403" w:type="pct"/>
            <w:tcBorders>
              <w:top w:val="single" w:sz="6" w:space="0" w:color="auto"/>
            </w:tcBorders>
          </w:tcPr>
          <w:p w:rsidR="004272F7" w:rsidRDefault="009C3D15" w:rsidP="00DC11FC">
            <w:pPr>
              <w:pStyle w:val="TableBodyText"/>
              <w:ind w:right="28"/>
            </w:pPr>
            <w:r>
              <w:t>10</w:t>
            </w:r>
          </w:p>
        </w:tc>
        <w:tc>
          <w:tcPr>
            <w:tcW w:w="81" w:type="pct"/>
            <w:tcBorders>
              <w:top w:val="single" w:sz="6" w:space="0" w:color="auto"/>
            </w:tcBorders>
          </w:tcPr>
          <w:p w:rsidR="004272F7" w:rsidRDefault="004272F7" w:rsidP="00DC11FC">
            <w:pPr>
              <w:pStyle w:val="TableBodyText"/>
              <w:ind w:right="28"/>
            </w:pPr>
          </w:p>
        </w:tc>
        <w:tc>
          <w:tcPr>
            <w:tcW w:w="1129" w:type="pct"/>
            <w:tcBorders>
              <w:top w:val="single" w:sz="6" w:space="0" w:color="auto"/>
            </w:tcBorders>
          </w:tcPr>
          <w:p w:rsidR="004272F7" w:rsidRDefault="00BB2AF7" w:rsidP="00C45AC0">
            <w:pPr>
              <w:pStyle w:val="TableBodyText"/>
              <w:ind w:right="28"/>
              <w:jc w:val="left"/>
            </w:pPr>
            <w:r>
              <w:t>Computer technology</w:t>
            </w:r>
          </w:p>
        </w:tc>
        <w:tc>
          <w:tcPr>
            <w:tcW w:w="403" w:type="pct"/>
            <w:tcBorders>
              <w:top w:val="single" w:sz="6" w:space="0" w:color="auto"/>
            </w:tcBorders>
          </w:tcPr>
          <w:p w:rsidR="004272F7" w:rsidRDefault="00BB2AF7" w:rsidP="00DC11FC">
            <w:pPr>
              <w:pStyle w:val="TableBodyText"/>
              <w:ind w:right="28"/>
            </w:pPr>
            <w:r>
              <w:t>7</w:t>
            </w:r>
          </w:p>
        </w:tc>
      </w:tr>
      <w:tr w:rsidR="003612F7" w:rsidTr="003612F7">
        <w:tc>
          <w:tcPr>
            <w:tcW w:w="1129" w:type="pct"/>
          </w:tcPr>
          <w:p w:rsidR="004272F7" w:rsidRDefault="004272F7" w:rsidP="00DC11FC">
            <w:pPr>
              <w:pStyle w:val="TableBodyText"/>
              <w:jc w:val="left"/>
            </w:pPr>
            <w:r>
              <w:t>Medical technology</w:t>
            </w:r>
          </w:p>
        </w:tc>
        <w:tc>
          <w:tcPr>
            <w:tcW w:w="564" w:type="pct"/>
          </w:tcPr>
          <w:p w:rsidR="004272F7" w:rsidRDefault="002C007C" w:rsidP="00DC11FC">
            <w:pPr>
              <w:pStyle w:val="TableBodyText"/>
            </w:pPr>
            <w:r>
              <w:t>7</w:t>
            </w:r>
          </w:p>
        </w:tc>
        <w:tc>
          <w:tcPr>
            <w:tcW w:w="81" w:type="pct"/>
          </w:tcPr>
          <w:p w:rsidR="004272F7" w:rsidRDefault="004272F7" w:rsidP="00DC11FC">
            <w:pPr>
              <w:pStyle w:val="TableBodyText"/>
              <w:ind w:right="28"/>
            </w:pPr>
          </w:p>
        </w:tc>
        <w:tc>
          <w:tcPr>
            <w:tcW w:w="1210" w:type="pct"/>
          </w:tcPr>
          <w:p w:rsidR="004272F7" w:rsidRDefault="004272F7" w:rsidP="00C45AC0">
            <w:pPr>
              <w:pStyle w:val="TableBodyText"/>
              <w:ind w:right="28"/>
              <w:jc w:val="left"/>
            </w:pPr>
            <w:r>
              <w:t>Medical technology</w:t>
            </w:r>
          </w:p>
        </w:tc>
        <w:tc>
          <w:tcPr>
            <w:tcW w:w="403" w:type="pct"/>
          </w:tcPr>
          <w:p w:rsidR="004272F7" w:rsidRDefault="009C3D15" w:rsidP="00DC11FC">
            <w:pPr>
              <w:pStyle w:val="TableBodyText"/>
              <w:ind w:right="28"/>
            </w:pPr>
            <w:r>
              <w:t>8</w:t>
            </w:r>
          </w:p>
        </w:tc>
        <w:tc>
          <w:tcPr>
            <w:tcW w:w="81" w:type="pct"/>
          </w:tcPr>
          <w:p w:rsidR="004272F7" w:rsidRDefault="004272F7" w:rsidP="00DC11FC">
            <w:pPr>
              <w:pStyle w:val="TableBodyText"/>
              <w:ind w:right="28"/>
            </w:pPr>
          </w:p>
        </w:tc>
        <w:tc>
          <w:tcPr>
            <w:tcW w:w="1129" w:type="pct"/>
          </w:tcPr>
          <w:p w:rsidR="004272F7" w:rsidRDefault="00BB2AF7" w:rsidP="00C45AC0">
            <w:pPr>
              <w:pStyle w:val="TableBodyText"/>
              <w:ind w:right="28"/>
              <w:jc w:val="left"/>
            </w:pPr>
            <w:r>
              <w:t>Civil engineering</w:t>
            </w:r>
          </w:p>
        </w:tc>
        <w:tc>
          <w:tcPr>
            <w:tcW w:w="403" w:type="pct"/>
          </w:tcPr>
          <w:p w:rsidR="004272F7" w:rsidRDefault="00BB2AF7" w:rsidP="00DC11FC">
            <w:pPr>
              <w:pStyle w:val="TableBodyText"/>
              <w:ind w:right="28"/>
            </w:pPr>
            <w:r>
              <w:t>7</w:t>
            </w:r>
          </w:p>
        </w:tc>
      </w:tr>
      <w:tr w:rsidR="003612F7" w:rsidTr="003612F7">
        <w:tc>
          <w:tcPr>
            <w:tcW w:w="1129" w:type="pct"/>
          </w:tcPr>
          <w:p w:rsidR="004272F7" w:rsidRDefault="004272F7" w:rsidP="00DC11FC">
            <w:pPr>
              <w:pStyle w:val="TableBodyText"/>
              <w:jc w:val="left"/>
            </w:pPr>
            <w:r>
              <w:t>Pharmaceuticals</w:t>
            </w:r>
          </w:p>
        </w:tc>
        <w:tc>
          <w:tcPr>
            <w:tcW w:w="564" w:type="pct"/>
          </w:tcPr>
          <w:p w:rsidR="004272F7" w:rsidRDefault="002C007C" w:rsidP="00DC11FC">
            <w:pPr>
              <w:pStyle w:val="TableBodyText"/>
            </w:pPr>
            <w:r>
              <w:t>6</w:t>
            </w:r>
          </w:p>
        </w:tc>
        <w:tc>
          <w:tcPr>
            <w:tcW w:w="81" w:type="pct"/>
          </w:tcPr>
          <w:p w:rsidR="004272F7" w:rsidRDefault="004272F7" w:rsidP="00DC11FC">
            <w:pPr>
              <w:pStyle w:val="TableBodyText"/>
              <w:ind w:right="28"/>
            </w:pPr>
          </w:p>
        </w:tc>
        <w:tc>
          <w:tcPr>
            <w:tcW w:w="1210" w:type="pct"/>
          </w:tcPr>
          <w:p w:rsidR="004272F7" w:rsidRDefault="004272F7" w:rsidP="00C45AC0">
            <w:pPr>
              <w:pStyle w:val="TableBodyText"/>
              <w:ind w:right="28"/>
              <w:jc w:val="left"/>
            </w:pPr>
            <w:r>
              <w:t>Pharmaceuticals</w:t>
            </w:r>
          </w:p>
        </w:tc>
        <w:tc>
          <w:tcPr>
            <w:tcW w:w="403" w:type="pct"/>
          </w:tcPr>
          <w:p w:rsidR="004272F7" w:rsidRDefault="009C3D15" w:rsidP="00DC11FC">
            <w:pPr>
              <w:pStyle w:val="TableBodyText"/>
              <w:ind w:right="28"/>
            </w:pPr>
            <w:r>
              <w:t>6</w:t>
            </w:r>
          </w:p>
        </w:tc>
        <w:tc>
          <w:tcPr>
            <w:tcW w:w="81" w:type="pct"/>
          </w:tcPr>
          <w:p w:rsidR="004272F7" w:rsidRDefault="004272F7" w:rsidP="00DC11FC">
            <w:pPr>
              <w:pStyle w:val="TableBodyText"/>
              <w:ind w:right="28"/>
            </w:pPr>
          </w:p>
        </w:tc>
        <w:tc>
          <w:tcPr>
            <w:tcW w:w="1129" w:type="pct"/>
          </w:tcPr>
          <w:p w:rsidR="00A349B6" w:rsidRDefault="00C342DF" w:rsidP="00A349B6">
            <w:pPr>
              <w:pStyle w:val="TableBodyText"/>
              <w:ind w:right="28"/>
              <w:jc w:val="left"/>
            </w:pPr>
            <w:r>
              <w:t>Digit</w:t>
            </w:r>
            <w:r w:rsidR="00A349B6">
              <w:t>al</w:t>
            </w:r>
          </w:p>
          <w:p w:rsidR="004272F7" w:rsidRDefault="00A349B6" w:rsidP="00A349B6">
            <w:pPr>
              <w:pStyle w:val="TableBodyText"/>
              <w:ind w:right="28"/>
              <w:jc w:val="left"/>
            </w:pPr>
            <w:r>
              <w:t xml:space="preserve">  </w:t>
            </w:r>
            <w:r w:rsidR="00BB2AF7">
              <w:t>communication</w:t>
            </w:r>
          </w:p>
        </w:tc>
        <w:tc>
          <w:tcPr>
            <w:tcW w:w="403" w:type="pct"/>
          </w:tcPr>
          <w:p w:rsidR="004272F7" w:rsidRDefault="00BB2AF7" w:rsidP="00DC11FC">
            <w:pPr>
              <w:pStyle w:val="TableBodyText"/>
              <w:ind w:right="28"/>
            </w:pPr>
            <w:r>
              <w:t>7</w:t>
            </w:r>
          </w:p>
        </w:tc>
      </w:tr>
      <w:tr w:rsidR="003612F7" w:rsidTr="003612F7">
        <w:tc>
          <w:tcPr>
            <w:tcW w:w="1129" w:type="pct"/>
          </w:tcPr>
          <w:p w:rsidR="004272F7" w:rsidRDefault="004272F7" w:rsidP="00DC11FC">
            <w:pPr>
              <w:pStyle w:val="TableBodyText"/>
              <w:jc w:val="left"/>
            </w:pPr>
            <w:r>
              <w:t>Biotechnology</w:t>
            </w:r>
          </w:p>
        </w:tc>
        <w:tc>
          <w:tcPr>
            <w:tcW w:w="564" w:type="pct"/>
          </w:tcPr>
          <w:p w:rsidR="004272F7" w:rsidRDefault="002C007C" w:rsidP="00DC11FC">
            <w:pPr>
              <w:pStyle w:val="TableBodyText"/>
            </w:pPr>
            <w:r>
              <w:t>5</w:t>
            </w:r>
          </w:p>
        </w:tc>
        <w:tc>
          <w:tcPr>
            <w:tcW w:w="81" w:type="pct"/>
          </w:tcPr>
          <w:p w:rsidR="004272F7" w:rsidRDefault="004272F7" w:rsidP="00DC11FC">
            <w:pPr>
              <w:pStyle w:val="TableBodyText"/>
              <w:ind w:right="28"/>
            </w:pPr>
          </w:p>
        </w:tc>
        <w:tc>
          <w:tcPr>
            <w:tcW w:w="1210" w:type="pct"/>
          </w:tcPr>
          <w:p w:rsidR="004272F7" w:rsidRDefault="004272F7" w:rsidP="00C45AC0">
            <w:pPr>
              <w:pStyle w:val="TableBodyText"/>
              <w:ind w:right="28"/>
              <w:jc w:val="left"/>
            </w:pPr>
            <w:r>
              <w:t>Organic fine chemistry</w:t>
            </w:r>
          </w:p>
        </w:tc>
        <w:tc>
          <w:tcPr>
            <w:tcW w:w="403" w:type="pct"/>
          </w:tcPr>
          <w:p w:rsidR="004272F7" w:rsidRDefault="002320B1" w:rsidP="00DC11FC">
            <w:pPr>
              <w:pStyle w:val="TableBodyText"/>
              <w:ind w:right="28"/>
            </w:pPr>
            <w:r>
              <w:t>4</w:t>
            </w:r>
          </w:p>
        </w:tc>
        <w:tc>
          <w:tcPr>
            <w:tcW w:w="81" w:type="pct"/>
          </w:tcPr>
          <w:p w:rsidR="004272F7" w:rsidRDefault="004272F7" w:rsidP="00DC11FC">
            <w:pPr>
              <w:pStyle w:val="TableBodyText"/>
              <w:ind w:right="28"/>
            </w:pPr>
          </w:p>
        </w:tc>
        <w:tc>
          <w:tcPr>
            <w:tcW w:w="1129" w:type="pct"/>
          </w:tcPr>
          <w:p w:rsidR="004272F7" w:rsidRDefault="00D93D6D" w:rsidP="00C45AC0">
            <w:pPr>
              <w:pStyle w:val="TableBodyText"/>
              <w:ind w:right="28"/>
              <w:jc w:val="left"/>
            </w:pPr>
            <w:r>
              <w:t>Pharmaceuticals</w:t>
            </w:r>
          </w:p>
        </w:tc>
        <w:tc>
          <w:tcPr>
            <w:tcW w:w="403" w:type="pct"/>
          </w:tcPr>
          <w:p w:rsidR="004272F7" w:rsidRDefault="00D93D6D" w:rsidP="00DC11FC">
            <w:pPr>
              <w:pStyle w:val="TableBodyText"/>
              <w:ind w:right="28"/>
            </w:pPr>
            <w:r>
              <w:t>6</w:t>
            </w:r>
          </w:p>
        </w:tc>
      </w:tr>
      <w:tr w:rsidR="003612F7" w:rsidTr="003612F7">
        <w:tc>
          <w:tcPr>
            <w:tcW w:w="1129" w:type="pct"/>
          </w:tcPr>
          <w:p w:rsidR="00A349B6" w:rsidRDefault="00A349B6" w:rsidP="00DC11FC">
            <w:pPr>
              <w:pStyle w:val="TableBodyText"/>
              <w:jc w:val="left"/>
            </w:pPr>
            <w:r>
              <w:t>Textile and paper</w:t>
            </w:r>
          </w:p>
          <w:p w:rsidR="004272F7" w:rsidRDefault="00A349B6" w:rsidP="00DC11FC">
            <w:pPr>
              <w:pStyle w:val="TableBodyText"/>
              <w:jc w:val="left"/>
            </w:pPr>
            <w:r>
              <w:t xml:space="preserve">  </w:t>
            </w:r>
            <w:r w:rsidR="004272F7">
              <w:t>machines</w:t>
            </w:r>
          </w:p>
        </w:tc>
        <w:tc>
          <w:tcPr>
            <w:tcW w:w="564" w:type="pct"/>
          </w:tcPr>
          <w:p w:rsidR="004272F7" w:rsidRDefault="002C007C" w:rsidP="00DC11FC">
            <w:pPr>
              <w:pStyle w:val="TableBodyText"/>
            </w:pPr>
            <w:r>
              <w:t>5</w:t>
            </w:r>
          </w:p>
        </w:tc>
        <w:tc>
          <w:tcPr>
            <w:tcW w:w="81" w:type="pct"/>
          </w:tcPr>
          <w:p w:rsidR="004272F7" w:rsidRDefault="004272F7" w:rsidP="00DC11FC">
            <w:pPr>
              <w:pStyle w:val="TableBodyText"/>
              <w:ind w:right="28"/>
            </w:pPr>
          </w:p>
        </w:tc>
        <w:tc>
          <w:tcPr>
            <w:tcW w:w="1210" w:type="pct"/>
          </w:tcPr>
          <w:p w:rsidR="00A349B6" w:rsidRDefault="00A349B6" w:rsidP="00C45AC0">
            <w:pPr>
              <w:pStyle w:val="TableBodyText"/>
              <w:ind w:right="28"/>
              <w:jc w:val="left"/>
            </w:pPr>
            <w:r>
              <w:t>Electrical machinery,</w:t>
            </w:r>
          </w:p>
          <w:p w:rsidR="004272F7" w:rsidRDefault="00A349B6" w:rsidP="00C45AC0">
            <w:pPr>
              <w:pStyle w:val="TableBodyText"/>
              <w:ind w:right="28"/>
              <w:jc w:val="left"/>
            </w:pPr>
            <w:r>
              <w:t xml:space="preserve">  </w:t>
            </w:r>
            <w:r w:rsidR="004272F7">
              <w:t>apparatus, energy</w:t>
            </w:r>
          </w:p>
        </w:tc>
        <w:tc>
          <w:tcPr>
            <w:tcW w:w="403" w:type="pct"/>
          </w:tcPr>
          <w:p w:rsidR="004272F7" w:rsidRDefault="002320B1" w:rsidP="00DC11FC">
            <w:pPr>
              <w:pStyle w:val="TableBodyText"/>
              <w:ind w:right="28"/>
            </w:pPr>
            <w:r>
              <w:t>4</w:t>
            </w:r>
          </w:p>
        </w:tc>
        <w:tc>
          <w:tcPr>
            <w:tcW w:w="81" w:type="pct"/>
          </w:tcPr>
          <w:p w:rsidR="004272F7" w:rsidRDefault="004272F7" w:rsidP="00DC11FC">
            <w:pPr>
              <w:pStyle w:val="TableBodyText"/>
              <w:ind w:right="28"/>
            </w:pPr>
          </w:p>
        </w:tc>
        <w:tc>
          <w:tcPr>
            <w:tcW w:w="1129" w:type="pct"/>
          </w:tcPr>
          <w:p w:rsidR="004272F7" w:rsidRDefault="00D93D6D" w:rsidP="00C45AC0">
            <w:pPr>
              <w:pStyle w:val="TableBodyText"/>
              <w:ind w:right="28"/>
              <w:jc w:val="left"/>
            </w:pPr>
            <w:r>
              <w:t>Telecommunications</w:t>
            </w:r>
          </w:p>
        </w:tc>
        <w:tc>
          <w:tcPr>
            <w:tcW w:w="403" w:type="pct"/>
          </w:tcPr>
          <w:p w:rsidR="004272F7" w:rsidRDefault="00D93D6D" w:rsidP="00DC11FC">
            <w:pPr>
              <w:pStyle w:val="TableBodyText"/>
              <w:ind w:right="28"/>
            </w:pPr>
            <w:r>
              <w:t>5</w:t>
            </w:r>
          </w:p>
        </w:tc>
      </w:tr>
      <w:tr w:rsidR="003612F7" w:rsidTr="003612F7">
        <w:tc>
          <w:tcPr>
            <w:tcW w:w="1129" w:type="pct"/>
          </w:tcPr>
          <w:p w:rsidR="00A349B6" w:rsidRDefault="00A349B6" w:rsidP="00DC11FC">
            <w:pPr>
              <w:pStyle w:val="TableBodyText"/>
              <w:jc w:val="left"/>
            </w:pPr>
            <w:r>
              <w:t>Other special</w:t>
            </w:r>
          </w:p>
          <w:p w:rsidR="004272F7" w:rsidRDefault="00A349B6" w:rsidP="00DC11FC">
            <w:pPr>
              <w:pStyle w:val="TableBodyText"/>
              <w:jc w:val="left"/>
            </w:pPr>
            <w:r>
              <w:t xml:space="preserve">  </w:t>
            </w:r>
            <w:r w:rsidR="004272F7">
              <w:t>machines</w:t>
            </w:r>
          </w:p>
        </w:tc>
        <w:tc>
          <w:tcPr>
            <w:tcW w:w="564" w:type="pct"/>
          </w:tcPr>
          <w:p w:rsidR="004272F7" w:rsidRDefault="002C007C" w:rsidP="00DC11FC">
            <w:pPr>
              <w:pStyle w:val="TableBodyText"/>
            </w:pPr>
            <w:r>
              <w:t>5</w:t>
            </w:r>
          </w:p>
        </w:tc>
        <w:tc>
          <w:tcPr>
            <w:tcW w:w="81" w:type="pct"/>
          </w:tcPr>
          <w:p w:rsidR="004272F7" w:rsidRDefault="004272F7" w:rsidP="00DC11FC">
            <w:pPr>
              <w:pStyle w:val="TableBodyText"/>
              <w:ind w:right="28"/>
            </w:pPr>
          </w:p>
        </w:tc>
        <w:tc>
          <w:tcPr>
            <w:tcW w:w="1210" w:type="pct"/>
          </w:tcPr>
          <w:p w:rsidR="004272F7" w:rsidRDefault="004272F7" w:rsidP="00C45AC0">
            <w:pPr>
              <w:pStyle w:val="TableBodyText"/>
              <w:ind w:right="28"/>
              <w:jc w:val="left"/>
            </w:pPr>
            <w:r>
              <w:t>Biotechnology</w:t>
            </w:r>
          </w:p>
        </w:tc>
        <w:tc>
          <w:tcPr>
            <w:tcW w:w="403" w:type="pct"/>
          </w:tcPr>
          <w:p w:rsidR="004272F7" w:rsidRDefault="002320B1" w:rsidP="00DC11FC">
            <w:pPr>
              <w:pStyle w:val="TableBodyText"/>
              <w:ind w:right="28"/>
            </w:pPr>
            <w:r>
              <w:t>4</w:t>
            </w:r>
          </w:p>
        </w:tc>
        <w:tc>
          <w:tcPr>
            <w:tcW w:w="81" w:type="pct"/>
          </w:tcPr>
          <w:p w:rsidR="004272F7" w:rsidRDefault="004272F7" w:rsidP="00DC11FC">
            <w:pPr>
              <w:pStyle w:val="TableBodyText"/>
              <w:ind w:right="28"/>
            </w:pPr>
          </w:p>
        </w:tc>
        <w:tc>
          <w:tcPr>
            <w:tcW w:w="1129" w:type="pct"/>
          </w:tcPr>
          <w:p w:rsidR="00A349B6" w:rsidRDefault="00185ED8" w:rsidP="00C45AC0">
            <w:pPr>
              <w:pStyle w:val="TableBodyText"/>
              <w:ind w:right="28"/>
              <w:jc w:val="left"/>
            </w:pPr>
            <w:r>
              <w:t>Other specia</w:t>
            </w:r>
            <w:r w:rsidR="00A349B6">
              <w:t>l</w:t>
            </w:r>
          </w:p>
          <w:p w:rsidR="004272F7" w:rsidRDefault="00A349B6" w:rsidP="00C45AC0">
            <w:pPr>
              <w:pStyle w:val="TableBodyText"/>
              <w:ind w:right="28"/>
              <w:jc w:val="left"/>
            </w:pPr>
            <w:r>
              <w:t xml:space="preserve">  </w:t>
            </w:r>
            <w:r w:rsidR="00D93D6D">
              <w:t>machines</w:t>
            </w:r>
          </w:p>
        </w:tc>
        <w:tc>
          <w:tcPr>
            <w:tcW w:w="403" w:type="pct"/>
          </w:tcPr>
          <w:p w:rsidR="004272F7" w:rsidRDefault="00D93D6D" w:rsidP="00DC11FC">
            <w:pPr>
              <w:pStyle w:val="TableBodyText"/>
              <w:ind w:right="28"/>
            </w:pPr>
            <w:r>
              <w:t>5</w:t>
            </w:r>
          </w:p>
        </w:tc>
      </w:tr>
      <w:tr w:rsidR="003612F7" w:rsidTr="003612F7">
        <w:tc>
          <w:tcPr>
            <w:tcW w:w="1129" w:type="pct"/>
          </w:tcPr>
          <w:p w:rsidR="00A349B6" w:rsidRDefault="00B002E8" w:rsidP="00DC11FC">
            <w:pPr>
              <w:pStyle w:val="TableBodyText"/>
              <w:jc w:val="left"/>
            </w:pPr>
            <w:r>
              <w:t>Computer</w:t>
            </w:r>
          </w:p>
          <w:p w:rsidR="004272F7" w:rsidRDefault="00A349B6" w:rsidP="00DC11FC">
            <w:pPr>
              <w:pStyle w:val="TableBodyText"/>
              <w:jc w:val="left"/>
            </w:pPr>
            <w:r>
              <w:t xml:space="preserve">  </w:t>
            </w:r>
            <w:r w:rsidR="004272F7">
              <w:t>technology</w:t>
            </w:r>
          </w:p>
        </w:tc>
        <w:tc>
          <w:tcPr>
            <w:tcW w:w="564" w:type="pct"/>
          </w:tcPr>
          <w:p w:rsidR="004272F7" w:rsidRDefault="002C007C" w:rsidP="00DC11FC">
            <w:pPr>
              <w:pStyle w:val="TableBodyText"/>
            </w:pPr>
            <w:r>
              <w:t>4</w:t>
            </w:r>
          </w:p>
        </w:tc>
        <w:tc>
          <w:tcPr>
            <w:tcW w:w="81" w:type="pct"/>
          </w:tcPr>
          <w:p w:rsidR="004272F7" w:rsidRDefault="004272F7" w:rsidP="00DC11FC">
            <w:pPr>
              <w:pStyle w:val="TableBodyText"/>
              <w:ind w:right="28"/>
            </w:pPr>
          </w:p>
        </w:tc>
        <w:tc>
          <w:tcPr>
            <w:tcW w:w="1210" w:type="pct"/>
          </w:tcPr>
          <w:p w:rsidR="004272F7" w:rsidRDefault="004272F7" w:rsidP="00C45AC0">
            <w:pPr>
              <w:pStyle w:val="TableBodyText"/>
              <w:ind w:right="28"/>
              <w:jc w:val="left"/>
            </w:pPr>
            <w:r>
              <w:t>Measurement</w:t>
            </w:r>
          </w:p>
        </w:tc>
        <w:tc>
          <w:tcPr>
            <w:tcW w:w="403" w:type="pct"/>
          </w:tcPr>
          <w:p w:rsidR="004272F7" w:rsidRDefault="002320B1" w:rsidP="00DC11FC">
            <w:pPr>
              <w:pStyle w:val="TableBodyText"/>
              <w:ind w:right="28"/>
            </w:pPr>
            <w:r>
              <w:t>4</w:t>
            </w:r>
          </w:p>
        </w:tc>
        <w:tc>
          <w:tcPr>
            <w:tcW w:w="81" w:type="pct"/>
          </w:tcPr>
          <w:p w:rsidR="004272F7" w:rsidRDefault="004272F7" w:rsidP="00DC11FC">
            <w:pPr>
              <w:pStyle w:val="TableBodyText"/>
              <w:ind w:right="28"/>
            </w:pPr>
          </w:p>
        </w:tc>
        <w:tc>
          <w:tcPr>
            <w:tcW w:w="1129" w:type="pct"/>
          </w:tcPr>
          <w:p w:rsidR="004272F7" w:rsidRDefault="002C007C" w:rsidP="00C45AC0">
            <w:pPr>
              <w:pStyle w:val="TableBodyText"/>
              <w:ind w:right="28"/>
              <w:jc w:val="left"/>
            </w:pPr>
            <w:r>
              <w:t>Transport</w:t>
            </w:r>
          </w:p>
        </w:tc>
        <w:tc>
          <w:tcPr>
            <w:tcW w:w="403" w:type="pct"/>
          </w:tcPr>
          <w:p w:rsidR="004272F7" w:rsidRDefault="002C007C" w:rsidP="00DC11FC">
            <w:pPr>
              <w:pStyle w:val="TableBodyText"/>
              <w:ind w:right="28"/>
            </w:pPr>
            <w:r>
              <w:t>5</w:t>
            </w:r>
          </w:p>
        </w:tc>
      </w:tr>
      <w:tr w:rsidR="003612F7" w:rsidTr="003612F7">
        <w:tc>
          <w:tcPr>
            <w:tcW w:w="1129" w:type="pct"/>
          </w:tcPr>
          <w:p w:rsidR="004272F7" w:rsidRDefault="004272F7" w:rsidP="00DC11FC">
            <w:pPr>
              <w:pStyle w:val="TableBodyText"/>
              <w:jc w:val="left"/>
            </w:pPr>
            <w:r>
              <w:t>Handling</w:t>
            </w:r>
          </w:p>
        </w:tc>
        <w:tc>
          <w:tcPr>
            <w:tcW w:w="564" w:type="pct"/>
          </w:tcPr>
          <w:p w:rsidR="004272F7" w:rsidRDefault="00574545" w:rsidP="00DC11FC">
            <w:pPr>
              <w:pStyle w:val="TableBodyText"/>
            </w:pPr>
            <w:r>
              <w:t>4</w:t>
            </w:r>
          </w:p>
        </w:tc>
        <w:tc>
          <w:tcPr>
            <w:tcW w:w="81" w:type="pct"/>
          </w:tcPr>
          <w:p w:rsidR="004272F7" w:rsidRDefault="004272F7" w:rsidP="00DC11FC">
            <w:pPr>
              <w:pStyle w:val="TableBodyText"/>
              <w:ind w:right="28"/>
            </w:pPr>
          </w:p>
        </w:tc>
        <w:tc>
          <w:tcPr>
            <w:tcW w:w="1210" w:type="pct"/>
          </w:tcPr>
          <w:p w:rsidR="004272F7" w:rsidRDefault="004272F7" w:rsidP="00C45AC0">
            <w:pPr>
              <w:pStyle w:val="TableBodyText"/>
              <w:ind w:right="28"/>
              <w:jc w:val="left"/>
            </w:pPr>
            <w:r>
              <w:t>Digital communication</w:t>
            </w:r>
          </w:p>
        </w:tc>
        <w:tc>
          <w:tcPr>
            <w:tcW w:w="403" w:type="pct"/>
          </w:tcPr>
          <w:p w:rsidR="004272F7" w:rsidRDefault="002320B1" w:rsidP="00DC11FC">
            <w:pPr>
              <w:pStyle w:val="TableBodyText"/>
              <w:ind w:right="28"/>
            </w:pPr>
            <w:r>
              <w:t>4</w:t>
            </w:r>
          </w:p>
        </w:tc>
        <w:tc>
          <w:tcPr>
            <w:tcW w:w="81" w:type="pct"/>
          </w:tcPr>
          <w:p w:rsidR="004272F7" w:rsidRDefault="004272F7" w:rsidP="00DC11FC">
            <w:pPr>
              <w:pStyle w:val="TableBodyText"/>
              <w:ind w:right="28"/>
            </w:pPr>
          </w:p>
        </w:tc>
        <w:tc>
          <w:tcPr>
            <w:tcW w:w="1129" w:type="pct"/>
          </w:tcPr>
          <w:p w:rsidR="004272F7" w:rsidRDefault="002C007C" w:rsidP="00C45AC0">
            <w:pPr>
              <w:pStyle w:val="TableBodyText"/>
              <w:ind w:right="28"/>
              <w:jc w:val="left"/>
            </w:pPr>
            <w:r>
              <w:t>Medical technology</w:t>
            </w:r>
          </w:p>
        </w:tc>
        <w:tc>
          <w:tcPr>
            <w:tcW w:w="403" w:type="pct"/>
          </w:tcPr>
          <w:p w:rsidR="004272F7" w:rsidRDefault="002C007C" w:rsidP="00DC11FC">
            <w:pPr>
              <w:pStyle w:val="TableBodyText"/>
              <w:ind w:right="28"/>
            </w:pPr>
            <w:r>
              <w:t>4</w:t>
            </w:r>
          </w:p>
        </w:tc>
      </w:tr>
      <w:tr w:rsidR="003612F7" w:rsidTr="003612F7">
        <w:tc>
          <w:tcPr>
            <w:tcW w:w="1129" w:type="pct"/>
          </w:tcPr>
          <w:p w:rsidR="004272F7" w:rsidRDefault="004272F7" w:rsidP="00DC11FC">
            <w:pPr>
              <w:pStyle w:val="TableBodyText"/>
              <w:jc w:val="left"/>
            </w:pPr>
            <w:r>
              <w:t>Furniture, games</w:t>
            </w:r>
          </w:p>
        </w:tc>
        <w:tc>
          <w:tcPr>
            <w:tcW w:w="564" w:type="pct"/>
          </w:tcPr>
          <w:p w:rsidR="004272F7" w:rsidRDefault="00574545" w:rsidP="00DC11FC">
            <w:pPr>
              <w:pStyle w:val="TableBodyText"/>
            </w:pPr>
            <w:r>
              <w:t>4</w:t>
            </w:r>
          </w:p>
        </w:tc>
        <w:tc>
          <w:tcPr>
            <w:tcW w:w="81" w:type="pct"/>
          </w:tcPr>
          <w:p w:rsidR="004272F7" w:rsidRDefault="004272F7" w:rsidP="00DC11FC">
            <w:pPr>
              <w:pStyle w:val="TableBodyText"/>
              <w:ind w:right="28"/>
            </w:pPr>
          </w:p>
        </w:tc>
        <w:tc>
          <w:tcPr>
            <w:tcW w:w="1210" w:type="pct"/>
          </w:tcPr>
          <w:p w:rsidR="004272F7" w:rsidRDefault="004272F7" w:rsidP="00C45AC0">
            <w:pPr>
              <w:pStyle w:val="TableBodyText"/>
              <w:ind w:right="28"/>
              <w:jc w:val="left"/>
            </w:pPr>
            <w:r>
              <w:t>Telecommunications</w:t>
            </w:r>
          </w:p>
        </w:tc>
        <w:tc>
          <w:tcPr>
            <w:tcW w:w="403" w:type="pct"/>
          </w:tcPr>
          <w:p w:rsidR="004272F7" w:rsidRDefault="002320B1" w:rsidP="00DC11FC">
            <w:pPr>
              <w:pStyle w:val="TableBodyText"/>
              <w:ind w:right="28"/>
            </w:pPr>
            <w:r>
              <w:t>4</w:t>
            </w:r>
          </w:p>
        </w:tc>
        <w:tc>
          <w:tcPr>
            <w:tcW w:w="81" w:type="pct"/>
          </w:tcPr>
          <w:p w:rsidR="004272F7" w:rsidRDefault="004272F7" w:rsidP="00DC11FC">
            <w:pPr>
              <w:pStyle w:val="TableBodyText"/>
              <w:ind w:right="28"/>
            </w:pPr>
          </w:p>
        </w:tc>
        <w:tc>
          <w:tcPr>
            <w:tcW w:w="1129" w:type="pct"/>
          </w:tcPr>
          <w:p w:rsidR="004272F7" w:rsidRDefault="002C007C" w:rsidP="00C45AC0">
            <w:pPr>
              <w:pStyle w:val="TableBodyText"/>
              <w:ind w:right="28"/>
              <w:jc w:val="left"/>
            </w:pPr>
            <w:r>
              <w:t>Biotechnology</w:t>
            </w:r>
          </w:p>
        </w:tc>
        <w:tc>
          <w:tcPr>
            <w:tcW w:w="403" w:type="pct"/>
          </w:tcPr>
          <w:p w:rsidR="004272F7" w:rsidRDefault="002C007C" w:rsidP="00DC11FC">
            <w:pPr>
              <w:pStyle w:val="TableBodyText"/>
              <w:ind w:right="28"/>
            </w:pPr>
            <w:r>
              <w:t>4</w:t>
            </w:r>
          </w:p>
        </w:tc>
      </w:tr>
      <w:tr w:rsidR="003612F7" w:rsidTr="003612F7">
        <w:tc>
          <w:tcPr>
            <w:tcW w:w="1129" w:type="pct"/>
          </w:tcPr>
          <w:p w:rsidR="004272F7" w:rsidRDefault="004272F7" w:rsidP="00DC11FC">
            <w:pPr>
              <w:pStyle w:val="TableBodyText"/>
              <w:jc w:val="left"/>
            </w:pPr>
            <w:r>
              <w:t>Measurement</w:t>
            </w:r>
          </w:p>
        </w:tc>
        <w:tc>
          <w:tcPr>
            <w:tcW w:w="564" w:type="pct"/>
          </w:tcPr>
          <w:p w:rsidR="004272F7" w:rsidRDefault="00574545" w:rsidP="00DC11FC">
            <w:pPr>
              <w:pStyle w:val="TableBodyText"/>
            </w:pPr>
            <w:r>
              <w:t>4</w:t>
            </w:r>
          </w:p>
        </w:tc>
        <w:tc>
          <w:tcPr>
            <w:tcW w:w="81" w:type="pct"/>
          </w:tcPr>
          <w:p w:rsidR="004272F7" w:rsidRDefault="004272F7" w:rsidP="00DC11FC">
            <w:pPr>
              <w:pStyle w:val="TableBodyText"/>
              <w:ind w:right="28"/>
            </w:pPr>
          </w:p>
        </w:tc>
        <w:tc>
          <w:tcPr>
            <w:tcW w:w="1210" w:type="pct"/>
          </w:tcPr>
          <w:p w:rsidR="00A349B6" w:rsidRDefault="00A349B6" w:rsidP="00C45AC0">
            <w:pPr>
              <w:pStyle w:val="TableBodyText"/>
              <w:ind w:right="28"/>
              <w:jc w:val="left"/>
            </w:pPr>
            <w:r>
              <w:t>Audio-visual</w:t>
            </w:r>
          </w:p>
          <w:p w:rsidR="004272F7" w:rsidRDefault="00A349B6" w:rsidP="00C45AC0">
            <w:pPr>
              <w:pStyle w:val="TableBodyText"/>
              <w:ind w:right="28"/>
              <w:jc w:val="left"/>
            </w:pPr>
            <w:r>
              <w:t xml:space="preserve">  </w:t>
            </w:r>
            <w:r w:rsidR="004272F7">
              <w:t>technology</w:t>
            </w:r>
          </w:p>
        </w:tc>
        <w:tc>
          <w:tcPr>
            <w:tcW w:w="403" w:type="pct"/>
          </w:tcPr>
          <w:p w:rsidR="004272F7" w:rsidRDefault="002320B1" w:rsidP="00DC11FC">
            <w:pPr>
              <w:pStyle w:val="TableBodyText"/>
              <w:ind w:right="28"/>
            </w:pPr>
            <w:r>
              <w:t>3</w:t>
            </w:r>
          </w:p>
        </w:tc>
        <w:tc>
          <w:tcPr>
            <w:tcW w:w="81" w:type="pct"/>
          </w:tcPr>
          <w:p w:rsidR="004272F7" w:rsidRDefault="004272F7" w:rsidP="00DC11FC">
            <w:pPr>
              <w:pStyle w:val="TableBodyText"/>
              <w:ind w:right="28"/>
            </w:pPr>
          </w:p>
        </w:tc>
        <w:tc>
          <w:tcPr>
            <w:tcW w:w="1129" w:type="pct"/>
          </w:tcPr>
          <w:p w:rsidR="00A349B6" w:rsidRDefault="00A349B6" w:rsidP="00C45AC0">
            <w:pPr>
              <w:pStyle w:val="TableBodyText"/>
              <w:ind w:right="28"/>
              <w:jc w:val="left"/>
            </w:pPr>
            <w:r>
              <w:t>Electrical machinery,</w:t>
            </w:r>
          </w:p>
          <w:p w:rsidR="004272F7" w:rsidRDefault="00A349B6" w:rsidP="00C45AC0">
            <w:pPr>
              <w:pStyle w:val="TableBodyText"/>
              <w:ind w:right="28"/>
              <w:jc w:val="left"/>
            </w:pPr>
            <w:r>
              <w:t xml:space="preserve">  </w:t>
            </w:r>
            <w:r w:rsidR="002C007C">
              <w:t>apparatus, energy</w:t>
            </w:r>
          </w:p>
        </w:tc>
        <w:tc>
          <w:tcPr>
            <w:tcW w:w="403" w:type="pct"/>
          </w:tcPr>
          <w:p w:rsidR="004272F7" w:rsidRDefault="002C007C" w:rsidP="00DC11FC">
            <w:pPr>
              <w:pStyle w:val="TableBodyText"/>
              <w:ind w:right="28"/>
            </w:pPr>
            <w:r>
              <w:t>4</w:t>
            </w:r>
          </w:p>
        </w:tc>
      </w:tr>
      <w:tr w:rsidR="003612F7" w:rsidTr="003612F7">
        <w:tc>
          <w:tcPr>
            <w:tcW w:w="1129" w:type="pct"/>
            <w:tcBorders>
              <w:bottom w:val="single" w:sz="6" w:space="0" w:color="auto"/>
            </w:tcBorders>
            <w:shd w:val="clear" w:color="auto" w:fill="auto"/>
          </w:tcPr>
          <w:p w:rsidR="004272F7" w:rsidRDefault="004272F7" w:rsidP="00DC11FC">
            <w:pPr>
              <w:pStyle w:val="TableBodyText"/>
              <w:jc w:val="left"/>
            </w:pPr>
            <w:r>
              <w:t>Other</w:t>
            </w:r>
          </w:p>
        </w:tc>
        <w:tc>
          <w:tcPr>
            <w:tcW w:w="564" w:type="pct"/>
            <w:tcBorders>
              <w:bottom w:val="single" w:sz="6" w:space="0" w:color="auto"/>
            </w:tcBorders>
            <w:shd w:val="clear" w:color="auto" w:fill="auto"/>
          </w:tcPr>
          <w:p w:rsidR="004272F7" w:rsidRDefault="00574545" w:rsidP="00DC11FC">
            <w:pPr>
              <w:pStyle w:val="TableBodyText"/>
            </w:pPr>
            <w:r>
              <w:t>50</w:t>
            </w:r>
          </w:p>
        </w:tc>
        <w:tc>
          <w:tcPr>
            <w:tcW w:w="81" w:type="pct"/>
            <w:tcBorders>
              <w:bottom w:val="single" w:sz="6" w:space="0" w:color="auto"/>
            </w:tcBorders>
          </w:tcPr>
          <w:p w:rsidR="004272F7" w:rsidRDefault="004272F7" w:rsidP="00DC11FC">
            <w:pPr>
              <w:pStyle w:val="TableBodyText"/>
              <w:ind w:right="28"/>
            </w:pPr>
          </w:p>
        </w:tc>
        <w:tc>
          <w:tcPr>
            <w:tcW w:w="1210" w:type="pct"/>
            <w:tcBorders>
              <w:bottom w:val="single" w:sz="6" w:space="0" w:color="auto"/>
            </w:tcBorders>
          </w:tcPr>
          <w:p w:rsidR="004272F7" w:rsidRDefault="004272F7" w:rsidP="00C45AC0">
            <w:pPr>
              <w:pStyle w:val="TableBodyText"/>
              <w:ind w:right="28"/>
              <w:jc w:val="left"/>
            </w:pPr>
            <w:r>
              <w:t>Other</w:t>
            </w:r>
          </w:p>
        </w:tc>
        <w:tc>
          <w:tcPr>
            <w:tcW w:w="403" w:type="pct"/>
            <w:tcBorders>
              <w:bottom w:val="single" w:sz="6" w:space="0" w:color="auto"/>
            </w:tcBorders>
          </w:tcPr>
          <w:p w:rsidR="004272F7" w:rsidRDefault="002320B1" w:rsidP="00DC11FC">
            <w:pPr>
              <w:pStyle w:val="TableBodyText"/>
              <w:ind w:right="28"/>
            </w:pPr>
            <w:r>
              <w:t>48</w:t>
            </w:r>
          </w:p>
        </w:tc>
        <w:tc>
          <w:tcPr>
            <w:tcW w:w="81" w:type="pct"/>
            <w:tcBorders>
              <w:bottom w:val="single" w:sz="6" w:space="0" w:color="auto"/>
            </w:tcBorders>
          </w:tcPr>
          <w:p w:rsidR="004272F7" w:rsidRDefault="004272F7" w:rsidP="00DC11FC">
            <w:pPr>
              <w:pStyle w:val="TableBodyText"/>
              <w:ind w:right="28"/>
            </w:pPr>
          </w:p>
        </w:tc>
        <w:tc>
          <w:tcPr>
            <w:tcW w:w="1129" w:type="pct"/>
            <w:tcBorders>
              <w:bottom w:val="single" w:sz="6" w:space="0" w:color="auto"/>
            </w:tcBorders>
          </w:tcPr>
          <w:p w:rsidR="004272F7" w:rsidRDefault="004272F7" w:rsidP="00C45AC0">
            <w:pPr>
              <w:pStyle w:val="TableBodyText"/>
              <w:ind w:right="28"/>
              <w:jc w:val="left"/>
            </w:pPr>
            <w:r>
              <w:t>Other</w:t>
            </w:r>
          </w:p>
        </w:tc>
        <w:tc>
          <w:tcPr>
            <w:tcW w:w="403" w:type="pct"/>
            <w:tcBorders>
              <w:bottom w:val="single" w:sz="6" w:space="0" w:color="auto"/>
            </w:tcBorders>
            <w:shd w:val="clear" w:color="auto" w:fill="auto"/>
          </w:tcPr>
          <w:p w:rsidR="004272F7" w:rsidRDefault="002C007C" w:rsidP="00DC11FC">
            <w:pPr>
              <w:pStyle w:val="TableBodyText"/>
              <w:ind w:right="28"/>
            </w:pPr>
            <w:r>
              <w:t>46</w:t>
            </w:r>
          </w:p>
        </w:tc>
      </w:tr>
    </w:tbl>
    <w:p w:rsidR="00C34701" w:rsidRDefault="00C34701" w:rsidP="00C34701">
      <w:pPr>
        <w:pStyle w:val="Note"/>
      </w:pPr>
      <w:r w:rsidRPr="00C34701">
        <w:rPr>
          <w:rStyle w:val="NoteLabel"/>
        </w:rPr>
        <w:t>a</w:t>
      </w:r>
      <w:r>
        <w:t xml:space="preserve"> Columns may not sum to 100 due to rounding.</w:t>
      </w:r>
    </w:p>
    <w:p w:rsidR="00BE18A4" w:rsidRPr="008E77FE" w:rsidRDefault="00BE18A4" w:rsidP="00DC11FC">
      <w:pPr>
        <w:pStyle w:val="Source"/>
      </w:pPr>
      <w:r>
        <w:rPr>
          <w:i/>
        </w:rPr>
        <w:t>Source</w:t>
      </w:r>
      <w:r w:rsidR="005B1032">
        <w:rPr>
          <w:i/>
        </w:rPr>
        <w:t>s</w:t>
      </w:r>
      <w:r>
        <w:t>: WIPO (</w:t>
      </w:r>
      <w:r w:rsidR="00D64756">
        <w:t>2012</w:t>
      </w:r>
      <w:r w:rsidR="000876C7">
        <w:t>c</w:t>
      </w:r>
      <w:r w:rsidR="00D64756">
        <w:t>, 2012</w:t>
      </w:r>
      <w:r w:rsidR="000876C7">
        <w:t>d</w:t>
      </w:r>
      <w:r w:rsidR="00D64756">
        <w:t>, 2012</w:t>
      </w:r>
      <w:r w:rsidR="000876C7">
        <w:t>e</w:t>
      </w:r>
      <w:r>
        <w:t>).</w:t>
      </w:r>
    </w:p>
    <w:p w:rsidR="001D0E06" w:rsidRDefault="00885599" w:rsidP="004A3B6D">
      <w:pPr>
        <w:pStyle w:val="BodyText"/>
      </w:pPr>
      <w:r>
        <w:t>Canada</w:t>
      </w:r>
      <w:r w:rsidR="00037179">
        <w:t xml:space="preserve"> has a number of similarities with Australia, </w:t>
      </w:r>
      <w:r w:rsidR="00E20CF2">
        <w:t>including being</w:t>
      </w:r>
      <w:r w:rsidR="00C24408">
        <w:t xml:space="preserve"> a net importer</w:t>
      </w:r>
      <w:r w:rsidR="00F75D83">
        <w:t xml:space="preserve"> of technology</w:t>
      </w:r>
      <w:r w:rsidR="00C24408">
        <w:t>.</w:t>
      </w:r>
      <w:r w:rsidR="00A151A6">
        <w:t xml:space="preserve"> </w:t>
      </w:r>
      <w:r w:rsidR="00F71BB0">
        <w:t>In</w:t>
      </w:r>
      <w:r w:rsidR="009E4E04">
        <w:t xml:space="preserve"> 2010</w:t>
      </w:r>
      <w:r w:rsidR="00F71BB0">
        <w:t xml:space="preserve">, about </w:t>
      </w:r>
      <w:r w:rsidR="00867644">
        <w:t>eight</w:t>
      </w:r>
      <w:r w:rsidR="00CD674C">
        <w:t xml:space="preserve"> per cent of Australian patents were granted to </w:t>
      </w:r>
      <w:r w:rsidR="00CD674C">
        <w:lastRenderedPageBreak/>
        <w:t>residents, and in Canada it was around 10 per cent</w:t>
      </w:r>
      <w:r w:rsidR="009E4E04">
        <w:t xml:space="preserve"> (WIPO 2011</w:t>
      </w:r>
      <w:r w:rsidR="0029295A">
        <w:t>c</w:t>
      </w:r>
      <w:r w:rsidR="009E4E04">
        <w:t xml:space="preserve">). </w:t>
      </w:r>
      <w:r w:rsidR="00716422">
        <w:t xml:space="preserve">There are also some similarities with Australia with respect to the technology fields in which patents are granted. For instance, civil engineering </w:t>
      </w:r>
      <w:r w:rsidR="00BB5D1A">
        <w:t>accounted for a similar proportion of patent applications in both countries.</w:t>
      </w:r>
    </w:p>
    <w:p w:rsidR="009D32FC" w:rsidRDefault="009D32FC" w:rsidP="004A3B6D">
      <w:pPr>
        <w:pStyle w:val="BodyText"/>
      </w:pPr>
      <w:r>
        <w:t xml:space="preserve">By contrast, </w:t>
      </w:r>
      <w:r w:rsidR="00415651">
        <w:t xml:space="preserve">the United States </w:t>
      </w:r>
      <w:r w:rsidR="00D81FF4">
        <w:t>is a much larger economy a</w:t>
      </w:r>
      <w:r w:rsidR="00C30AA9">
        <w:t>nd</w:t>
      </w:r>
      <w:r w:rsidR="00096171">
        <w:t xml:space="preserve"> it</w:t>
      </w:r>
      <w:r w:rsidR="00C30AA9">
        <w:t xml:space="preserve"> grants many more patents. </w:t>
      </w:r>
      <w:r w:rsidR="00096171">
        <w:t>The number of US patents granted to</w:t>
      </w:r>
      <w:r w:rsidR="00C30AA9">
        <w:t xml:space="preserve"> residents ha</w:t>
      </w:r>
      <w:r w:rsidR="00096171">
        <w:t>s been</w:t>
      </w:r>
      <w:r w:rsidR="00C30AA9">
        <w:t xml:space="preserve"> slightly exceeded </w:t>
      </w:r>
      <w:r w:rsidR="00096171">
        <w:t>by those granted to non-</w:t>
      </w:r>
      <w:r w:rsidR="00C30AA9">
        <w:t xml:space="preserve">residents in </w:t>
      </w:r>
      <w:r w:rsidR="00096171">
        <w:t>recent years. H</w:t>
      </w:r>
      <w:r w:rsidR="00C30AA9">
        <w:t xml:space="preserve">owever, </w:t>
      </w:r>
      <w:r w:rsidR="00096171">
        <w:t>US residents are</w:t>
      </w:r>
      <w:r w:rsidR="00C30AA9">
        <w:t xml:space="preserve"> also </w:t>
      </w:r>
      <w:r w:rsidR="00096171">
        <w:t>granted</w:t>
      </w:r>
      <w:r w:rsidR="00C30AA9">
        <w:t xml:space="preserve"> a </w:t>
      </w:r>
      <w:r w:rsidR="00096171">
        <w:t>large</w:t>
      </w:r>
      <w:r w:rsidR="003D3D69">
        <w:t xml:space="preserve"> number of patent</w:t>
      </w:r>
      <w:r w:rsidR="00C30AA9">
        <w:t xml:space="preserve">s in </w:t>
      </w:r>
      <w:r w:rsidR="003D3D69">
        <w:t>other countries</w:t>
      </w:r>
      <w:r w:rsidR="00C30AA9">
        <w:t xml:space="preserve"> (</w:t>
      </w:r>
      <w:r w:rsidR="003D3D69">
        <w:t>WIPO </w:t>
      </w:r>
      <w:r w:rsidR="00C30AA9">
        <w:t>2011</w:t>
      </w:r>
      <w:r w:rsidR="0029295A">
        <w:t>c</w:t>
      </w:r>
      <w:r w:rsidR="00C30AA9">
        <w:t xml:space="preserve">). </w:t>
      </w:r>
      <w:r w:rsidR="00DF181B">
        <w:t xml:space="preserve">In common with Canada, </w:t>
      </w:r>
      <w:r w:rsidR="00BA6D2B">
        <w:t>the</w:t>
      </w:r>
      <w:r w:rsidR="00DF181B">
        <w:t xml:space="preserve"> most important field of technology for </w:t>
      </w:r>
      <w:r w:rsidR="00DF681A">
        <w:t xml:space="preserve">US </w:t>
      </w:r>
      <w:r w:rsidR="00DF181B">
        <w:t xml:space="preserve">patent </w:t>
      </w:r>
      <w:r w:rsidR="00BA6D2B">
        <w:t>applications</w:t>
      </w:r>
      <w:r w:rsidR="00DF181B">
        <w:t xml:space="preserve"> is </w:t>
      </w:r>
      <w:r w:rsidR="00AE3A01">
        <w:t>computer technology</w:t>
      </w:r>
      <w:r w:rsidR="00DF681A">
        <w:t>. Unlike</w:t>
      </w:r>
      <w:r w:rsidR="00AE3A01">
        <w:t xml:space="preserve"> Australia and Canada, civil engineering </w:t>
      </w:r>
      <w:r w:rsidR="002F461B">
        <w:t>does not feature as a prominent field of technology.</w:t>
      </w:r>
    </w:p>
    <w:p w:rsidR="00BC7540" w:rsidRDefault="00614D76" w:rsidP="00BC7540">
      <w:pPr>
        <w:pStyle w:val="Heading2"/>
      </w:pPr>
      <w:r>
        <w:fldChar w:fldCharType="begin"/>
      </w:r>
      <w:r>
        <w:instrText xml:space="preserve"> COMMENTS  \* MERGEFORMAT </w:instrText>
      </w:r>
      <w:r>
        <w:fldChar w:fldCharType="separate"/>
      </w:r>
      <w:r w:rsidR="00BC7540">
        <w:t>4.</w:t>
      </w:r>
      <w:r>
        <w:fldChar w:fldCharType="end"/>
      </w:r>
      <w:r>
        <w:fldChar w:fldCharType="begin"/>
      </w:r>
      <w:r>
        <w:instrText xml:space="preserve"> SEQ Headi</w:instrText>
      </w:r>
      <w:r>
        <w:instrText xml:space="preserve">ng2 </w:instrText>
      </w:r>
      <w:r>
        <w:fldChar w:fldCharType="separate"/>
      </w:r>
      <w:r>
        <w:rPr>
          <w:noProof/>
        </w:rPr>
        <w:t>2</w:t>
      </w:r>
      <w:r>
        <w:rPr>
          <w:noProof/>
        </w:rPr>
        <w:fldChar w:fldCharType="end"/>
      </w:r>
      <w:r w:rsidR="00BC7540">
        <w:tab/>
        <w:t>Exploitation of patents by the innovator</w:t>
      </w:r>
    </w:p>
    <w:p w:rsidR="00DB11A5" w:rsidRPr="00473C35" w:rsidRDefault="006E14FC" w:rsidP="00F4619C">
      <w:pPr>
        <w:pStyle w:val="BodyText"/>
      </w:pPr>
      <w:r>
        <w:t>After a</w:t>
      </w:r>
      <w:r w:rsidR="00A12601">
        <w:t>n organisation</w:t>
      </w:r>
      <w:r>
        <w:t xml:space="preserve"> has created a new innovation, applied for a patent, and the patent has been granted to them, </w:t>
      </w:r>
      <w:r w:rsidR="008B742A">
        <w:t>they would typically seek to commercially exploit the innovation</w:t>
      </w:r>
      <w:r>
        <w:t xml:space="preserve">. The </w:t>
      </w:r>
      <w:r w:rsidR="00624968">
        <w:t>party</w:t>
      </w:r>
      <w:r>
        <w:t xml:space="preserve"> that has created the innovation might itself decide to</w:t>
      </w:r>
      <w:r w:rsidR="00624968">
        <w:t xml:space="preserve"> be the sole</w:t>
      </w:r>
      <w:r>
        <w:t xml:space="preserve"> manufacture</w:t>
      </w:r>
      <w:r w:rsidR="00624968">
        <w:t>r of</w:t>
      </w:r>
      <w:r>
        <w:t xml:space="preserve"> the patented product, or</w:t>
      </w:r>
      <w:r w:rsidR="00FF55A3">
        <w:t xml:space="preserve"> a</w:t>
      </w:r>
      <w:r>
        <w:t xml:space="preserve"> product that uses </w:t>
      </w:r>
      <w:r w:rsidR="00FF55A3">
        <w:t>the</w:t>
      </w:r>
      <w:r>
        <w:t xml:space="preserve"> patented</w:t>
      </w:r>
      <w:r w:rsidR="00FF55A3">
        <w:t xml:space="preserve"> good as an</w:t>
      </w:r>
      <w:r>
        <w:t xml:space="preserve"> input, and </w:t>
      </w:r>
      <w:r w:rsidR="00FF55A3">
        <w:t>market these accordingly</w:t>
      </w:r>
      <w:r>
        <w:t>.</w:t>
      </w:r>
      <w:r w:rsidR="00C45221">
        <w:t xml:space="preserve"> </w:t>
      </w:r>
      <w:r w:rsidR="007246CF">
        <w:t xml:space="preserve">For example, </w:t>
      </w:r>
      <w:r w:rsidR="00AD6EBA">
        <w:t>the pharmaceutical company Merck &amp; Co.</w:t>
      </w:r>
      <w:r w:rsidR="006E1DF3">
        <w:t>, Inc.</w:t>
      </w:r>
      <w:r w:rsidR="00AD6EBA">
        <w:t xml:space="preserve"> </w:t>
      </w:r>
      <w:r w:rsidR="006E1DF3">
        <w:t>has</w:t>
      </w:r>
      <w:r w:rsidR="0091094D">
        <w:t xml:space="preserve"> </w:t>
      </w:r>
      <w:r w:rsidR="006E1DF3">
        <w:t>a patent on Zostavax, a vaccine for shingles (Merck &amp; Co., Inc. 201</w:t>
      </w:r>
      <w:r w:rsidR="00754FC4">
        <w:t>2</w:t>
      </w:r>
      <w:r w:rsidR="006E1DF3">
        <w:t>)</w:t>
      </w:r>
      <w:r w:rsidR="00931662">
        <w:t>,</w:t>
      </w:r>
      <w:r w:rsidR="00934F52">
        <w:t xml:space="preserve"> a drug</w:t>
      </w:r>
      <w:r w:rsidR="00931662">
        <w:t xml:space="preserve"> which </w:t>
      </w:r>
      <w:r w:rsidR="005A7A2E">
        <w:t>the company</w:t>
      </w:r>
      <w:r w:rsidR="00931662">
        <w:t xml:space="preserve"> also manufactures</w:t>
      </w:r>
      <w:r w:rsidR="00934F52">
        <w:t>.</w:t>
      </w:r>
    </w:p>
    <w:p w:rsidR="006266D3" w:rsidRDefault="00013EBD" w:rsidP="00F4619C">
      <w:pPr>
        <w:pStyle w:val="BodyText"/>
      </w:pPr>
      <w:r>
        <w:t xml:space="preserve">Where </w:t>
      </w:r>
      <w:r w:rsidR="00725A2A">
        <w:t>the patentee</w:t>
      </w:r>
      <w:r w:rsidR="0091094D">
        <w:t xml:space="preserve"> is solely responsible for commercialisation</w:t>
      </w:r>
      <w:r w:rsidR="006E14FC">
        <w:t>, the</w:t>
      </w:r>
      <w:r w:rsidR="0091094D">
        <w:t>y</w:t>
      </w:r>
      <w:r w:rsidR="006B66EE">
        <w:t xml:space="preserve"> </w:t>
      </w:r>
      <w:r w:rsidR="0091094D">
        <w:t>retain</w:t>
      </w:r>
      <w:r w:rsidR="006E14FC">
        <w:t xml:space="preserve"> the exclusive rights to the innovation that are a</w:t>
      </w:r>
      <w:r w:rsidR="0091094D">
        <w:t>fforded by the patent, and seek</w:t>
      </w:r>
      <w:r w:rsidR="006E14FC">
        <w:t xml:space="preserve"> to realise the full returns anticipated from </w:t>
      </w:r>
      <w:r w:rsidR="00691DCF">
        <w:t>the development of the product.</w:t>
      </w:r>
    </w:p>
    <w:p w:rsidR="00910959" w:rsidRDefault="00483D86" w:rsidP="00F4619C">
      <w:pPr>
        <w:pStyle w:val="BodyText"/>
      </w:pPr>
      <w:r>
        <w:t xml:space="preserve">If </w:t>
      </w:r>
      <w:r w:rsidR="0011375F">
        <w:t>an</w:t>
      </w:r>
      <w:r>
        <w:t xml:space="preserve"> innovator fails to work </w:t>
      </w:r>
      <w:r w:rsidR="0011375F">
        <w:t>a</w:t>
      </w:r>
      <w:r>
        <w:t xml:space="preserve"> patent</w:t>
      </w:r>
      <w:r w:rsidR="000D6889">
        <w:t>,</w:t>
      </w:r>
      <w:r w:rsidR="0011375F">
        <w:t xml:space="preserve"> however</w:t>
      </w:r>
      <w:r>
        <w:t xml:space="preserve">, and allows it to remain dormant, there are mechanisms available </w:t>
      </w:r>
      <w:r w:rsidR="0011375F">
        <w:t>to ensure that the patented innovation reaches the public</w:t>
      </w:r>
      <w:r w:rsidR="000D6889">
        <w:t>, where the public interest</w:t>
      </w:r>
      <w:r w:rsidR="00177130">
        <w:t xml:space="preserve"> suggests such action might be warranted</w:t>
      </w:r>
      <w:r w:rsidR="0011375F">
        <w:t xml:space="preserve">. </w:t>
      </w:r>
      <w:r w:rsidR="000B0BE4">
        <w:t xml:space="preserve">Compulsory licensing is one of these mechanisms </w:t>
      </w:r>
      <w:r w:rsidR="00AB0FE9">
        <w:t>—</w:t>
      </w:r>
      <w:r w:rsidR="005D684F">
        <w:t xml:space="preserve"> </w:t>
      </w:r>
      <w:r w:rsidR="00AB0FE9">
        <w:t xml:space="preserve">the 1925 Hague revision of the Paris Convention bestowed on signatory countries the ability </w:t>
      </w:r>
      <w:r w:rsidR="00D60F56">
        <w:t>to issue compulsory licen</w:t>
      </w:r>
      <w:r w:rsidR="00114E83">
        <w:t>c</w:t>
      </w:r>
      <w:r w:rsidR="00D60F56">
        <w:t>es in</w:t>
      </w:r>
      <w:r w:rsidR="003560CB">
        <w:t xml:space="preserve"> order to address</w:t>
      </w:r>
      <w:r w:rsidR="00D60F56">
        <w:t xml:space="preserve"> the absence of effective exploitation of a patent by a patentee (</w:t>
      </w:r>
      <w:r w:rsidR="00AB0451">
        <w:t>chapter 2;</w:t>
      </w:r>
      <w:r w:rsidR="00791708">
        <w:t xml:space="preserve"> </w:t>
      </w:r>
      <w:r w:rsidR="00C00072">
        <w:t>Gontijo 2005</w:t>
      </w:r>
      <w:r w:rsidR="00D60F56">
        <w:t>).</w:t>
      </w:r>
    </w:p>
    <w:p w:rsidR="00C97585" w:rsidRDefault="00975590" w:rsidP="00F4619C">
      <w:pPr>
        <w:pStyle w:val="BodyText"/>
      </w:pPr>
      <w:r>
        <w:t>T</w:t>
      </w:r>
      <w:r w:rsidR="009E724B">
        <w:t xml:space="preserve">here are </w:t>
      </w:r>
      <w:r>
        <w:t>a number of</w:t>
      </w:r>
      <w:r w:rsidR="009E724B">
        <w:t xml:space="preserve"> reasons why a patent holder may decide not to ‘work’ a patent.</w:t>
      </w:r>
      <w:r w:rsidR="00B14373">
        <w:t xml:space="preserve"> For instance,</w:t>
      </w:r>
      <w:r w:rsidR="009E724B">
        <w:t xml:space="preserve"> </w:t>
      </w:r>
      <w:r w:rsidR="00B14373">
        <w:t>s</w:t>
      </w:r>
      <w:r w:rsidR="00E339AE">
        <w:t xml:space="preserve">ome innovations protected by patents may simply offer limited opportunity for commercial development, and hence, </w:t>
      </w:r>
      <w:r w:rsidR="00326052">
        <w:t xml:space="preserve">patentees may not carry the innovation forward to the stage of commercialisation. </w:t>
      </w:r>
      <w:r w:rsidR="004E0BC7">
        <w:t>This might occur, if, for example, anticipated demand for a final product based on the innovation was so low as to make such a product unprofitable.</w:t>
      </w:r>
    </w:p>
    <w:p w:rsidR="00C60157" w:rsidRDefault="000D3824" w:rsidP="00C60157">
      <w:pPr>
        <w:pStyle w:val="BodyText"/>
      </w:pPr>
      <w:r>
        <w:lastRenderedPageBreak/>
        <w:t>There is some empirical evidence t</w:t>
      </w:r>
      <w:r w:rsidR="00DC59C8">
        <w:t>hat</w:t>
      </w:r>
      <w:r>
        <w:t xml:space="preserve"> shed</w:t>
      </w:r>
      <w:r w:rsidR="00DC59C8">
        <w:t>s</w:t>
      </w:r>
      <w:r>
        <w:t xml:space="preserve"> light on the purposes for which companies </w:t>
      </w:r>
      <w:r w:rsidR="002C4C14">
        <w:t xml:space="preserve">and other organisations </w:t>
      </w:r>
      <w:r>
        <w:t xml:space="preserve">use their patents. </w:t>
      </w:r>
      <w:r w:rsidR="00C60157">
        <w:t>A group of European researchers undertook a wide-ranging survey of the inventors of</w:t>
      </w:r>
      <w:r w:rsidR="0011501C">
        <w:t xml:space="preserve"> approximately 9000</w:t>
      </w:r>
      <w:r w:rsidR="00C60157">
        <w:t xml:space="preserve"> in</w:t>
      </w:r>
      <w:r w:rsidR="0011501C">
        <w:t>ventions patented in Europe (Gi</w:t>
      </w:r>
      <w:r w:rsidR="00C60157">
        <w:t>uri et al. 2007). The patents included in the survey had been granted between 1993 and 1997, to inventors in France, Germany, Italy, the Netherlands,</w:t>
      </w:r>
      <w:r w:rsidR="00736303">
        <w:t xml:space="preserve"> Spain, and the United Kingdom.</w:t>
      </w:r>
    </w:p>
    <w:p w:rsidR="00315261" w:rsidRDefault="00C60157" w:rsidP="00B170C1">
      <w:pPr>
        <w:pStyle w:val="BodyText"/>
      </w:pPr>
      <w:r>
        <w:t xml:space="preserve">The researchers asked survey respondents </w:t>
      </w:r>
      <w:r w:rsidR="00D0006C">
        <w:t>how their patents were</w:t>
      </w:r>
      <w:r>
        <w:t xml:space="preserve"> </w:t>
      </w:r>
      <w:r w:rsidR="00315261">
        <w:t>utilised —</w:t>
      </w:r>
      <w:r w:rsidR="00D0006C">
        <w:t xml:space="preserve"> for example, whether they were used internally for commercial and industrial purposes, </w:t>
      </w:r>
      <w:r w:rsidR="003442B5">
        <w:t>or were instead licensed-out to other parties</w:t>
      </w:r>
      <w:r w:rsidR="00D9427F">
        <w:t>, or used to ‘block’ competitors</w:t>
      </w:r>
      <w:r w:rsidR="003442B5">
        <w:t xml:space="preserve">. </w:t>
      </w:r>
      <w:r w:rsidR="00174819">
        <w:t xml:space="preserve">The survey indicated that large companies </w:t>
      </w:r>
      <w:r w:rsidR="00E3179B">
        <w:t>used</w:t>
      </w:r>
      <w:r w:rsidR="00315261">
        <w:t xml:space="preserve"> roughly</w:t>
      </w:r>
      <w:r w:rsidR="00E3179B">
        <w:t xml:space="preserve"> h</w:t>
      </w:r>
      <w:r w:rsidR="006D4E2C">
        <w:t>alf of their patents internally.</w:t>
      </w:r>
      <w:r w:rsidR="00E3179B">
        <w:t xml:space="preserve"> </w:t>
      </w:r>
      <w:r w:rsidR="006D4E2C">
        <w:t>Medium and small-</w:t>
      </w:r>
      <w:r w:rsidR="00E3179B">
        <w:t>sized companies used</w:t>
      </w:r>
      <w:r w:rsidR="006D4E2C">
        <w:t xml:space="preserve"> a</w:t>
      </w:r>
      <w:r w:rsidR="00E3179B">
        <w:t xml:space="preserve"> </w:t>
      </w:r>
      <w:r w:rsidR="00A62D5C">
        <w:t>great</w:t>
      </w:r>
      <w:r w:rsidR="0064067C">
        <w:t>er fraction of their patents internally</w:t>
      </w:r>
      <w:r w:rsidR="00A62D5C">
        <w:t xml:space="preserve"> than large firms</w:t>
      </w:r>
      <w:r w:rsidR="0064067C">
        <w:t xml:space="preserve"> </w:t>
      </w:r>
      <w:r w:rsidR="00A470E5">
        <w:t xml:space="preserve">(figure </w:t>
      </w:r>
      <w:r w:rsidR="00540272">
        <w:t>4.3</w:t>
      </w:r>
      <w:r w:rsidR="00A470E5">
        <w:t>)</w:t>
      </w:r>
      <w:r w:rsidR="009C6D82">
        <w:t>.</w:t>
      </w:r>
    </w:p>
    <w:p w:rsidR="00944ADB" w:rsidRDefault="00944ADB" w:rsidP="00944ADB">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614D76">
        <w:rPr>
          <w:b w:val="0"/>
          <w:noProof/>
        </w:rPr>
        <w:t>3</w:t>
      </w:r>
      <w:r>
        <w:rPr>
          <w:b w:val="0"/>
        </w:rPr>
        <w:fldChar w:fldCharType="end"/>
      </w:r>
      <w:r>
        <w:tab/>
        <w:t>Patent use in PatVal-EU survey, by organisation type</w:t>
      </w:r>
      <w:r w:rsidRPr="005B1032">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44ADB" w:rsidTr="00924B23">
        <w:tc>
          <w:tcPr>
            <w:tcW w:w="8777" w:type="dxa"/>
          </w:tcPr>
          <w:p w:rsidR="00944ADB" w:rsidRDefault="00924B23" w:rsidP="00D00989">
            <w:pPr>
              <w:pStyle w:val="Figure"/>
            </w:pPr>
            <w:r>
              <w:rPr>
                <w:noProof/>
              </w:rPr>
              <w:drawing>
                <wp:inline distT="0" distB="0" distL="0" distR="0" wp14:anchorId="007814F2" wp14:editId="19C848A8">
                  <wp:extent cx="5153025" cy="3181350"/>
                  <wp:effectExtent l="0" t="0" r="0" b="0"/>
                  <wp:docPr id="4" name="Chart 4" descr="This figure of patent use in the EU shows that companies of all sizes used a majority of their patents internally. This proportion was lower for research institutions, universities, and other institutions. Across all organisations, roughly 20 per cent of patents were used to block competitors, and another 20 per cent of patents were 'sleeping' patents."/>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944ADB" w:rsidRDefault="00944ADB" w:rsidP="00944ADB">
      <w:pPr>
        <w:pStyle w:val="Note"/>
      </w:pPr>
      <w:r>
        <w:rPr>
          <w:rStyle w:val="NoteLabel"/>
        </w:rPr>
        <w:t>a</w:t>
      </w:r>
      <w:r>
        <w:t xml:space="preserve"> Small companies are defined as those with less than 100 employees. Medium</w:t>
      </w:r>
      <w:r w:rsidR="00BD15AA">
        <w:t>-sized</w:t>
      </w:r>
      <w:r>
        <w:t xml:space="preserve"> companies are those with 100–250 employees, while large companies are defined as having more than 250 employees. </w:t>
      </w:r>
      <w:r w:rsidRPr="00E550E9">
        <w:rPr>
          <w:rStyle w:val="NoteLabel"/>
        </w:rPr>
        <w:t>b</w:t>
      </w:r>
      <w:r>
        <w:t xml:space="preserve"> Based on 7556 observations.</w:t>
      </w:r>
    </w:p>
    <w:p w:rsidR="00944ADB" w:rsidRDefault="008A33A3" w:rsidP="00944ADB">
      <w:pPr>
        <w:pStyle w:val="Source"/>
      </w:pPr>
      <w:r>
        <w:rPr>
          <w:i/>
        </w:rPr>
        <w:t>S</w:t>
      </w:r>
      <w:r w:rsidR="00944ADB">
        <w:rPr>
          <w:i/>
        </w:rPr>
        <w:t>ource</w:t>
      </w:r>
      <w:r w:rsidR="00944ADB" w:rsidRPr="00167F06">
        <w:t xml:space="preserve">: </w:t>
      </w:r>
      <w:r w:rsidR="00944ADB">
        <w:t>Giuri et al. (2007).</w:t>
      </w:r>
    </w:p>
    <w:p w:rsidR="00E550E9" w:rsidRDefault="00E550E9" w:rsidP="00E550E9">
      <w:pPr>
        <w:pStyle w:val="BodyText"/>
      </w:pPr>
      <w:r>
        <w:t>Sleeping patents</w:t>
      </w:r>
      <w:r w:rsidR="004C4490">
        <w:t xml:space="preserve"> — </w:t>
      </w:r>
      <w:r w:rsidR="006E793E">
        <w:t xml:space="preserve">those that were not commercially exploited </w:t>
      </w:r>
      <w:r w:rsidR="00DB136D">
        <w:t>by the owner</w:t>
      </w:r>
      <w:r w:rsidR="006E793E">
        <w:t xml:space="preserve">, </w:t>
      </w:r>
      <w:r w:rsidR="00DB136D">
        <w:t>were not licensed, and were not</w:t>
      </w:r>
      <w:r w:rsidR="006E793E">
        <w:t xml:space="preserve"> used for blocking purposes</w:t>
      </w:r>
      <w:r w:rsidR="004C4490">
        <w:t xml:space="preserve"> —</w:t>
      </w:r>
      <w:r>
        <w:t xml:space="preserve"> appeared to be correlated with the size of European companies. The study indicated that larger firms had a higher proportion o</w:t>
      </w:r>
      <w:r w:rsidR="009A38D0">
        <w:t>f sleeping patents than smaller-</w:t>
      </w:r>
      <w:r>
        <w:t xml:space="preserve">sized companies. Blocking patents also appeared to be correlated with firm size, with larger companies exhibiting a greater use </w:t>
      </w:r>
      <w:r w:rsidR="00731EA2">
        <w:t>of blocking patents than medium-</w:t>
      </w:r>
      <w:r>
        <w:t xml:space="preserve">sized and smaller </w:t>
      </w:r>
      <w:r>
        <w:lastRenderedPageBreak/>
        <w:t>companies.</w:t>
      </w:r>
      <w:r w:rsidR="007E7E7C">
        <w:t xml:space="preserve"> Somewhat surprisingly</w:t>
      </w:r>
      <w:r>
        <w:t>, public and private research institutions, as well as universities, reported using blocking patents.</w:t>
      </w:r>
      <w:r w:rsidR="007E7E7C">
        <w:t xml:space="preserve"> </w:t>
      </w:r>
      <w:r w:rsidR="001111CD">
        <w:t>This behaviour would appear, prima facie, to be inconsistent with the objective of creating and disseminating new knowledge.</w:t>
      </w:r>
    </w:p>
    <w:p w:rsidR="00E550E9" w:rsidRDefault="00E550E9" w:rsidP="00B170C1">
      <w:pPr>
        <w:pStyle w:val="BodyText"/>
      </w:pPr>
      <w:r>
        <w:t>According to Giuri et al. (2007), the reason why larger companies had a higher fraction of blocking and sleeping patents than smaller organisations may stem from their lower incremental costs of patenting. Larger companies are more likely to possess specialised divisions dealing with issues related to patents, making the additional costs of apply</w:t>
      </w:r>
      <w:r w:rsidR="00731EA2">
        <w:t>ing for a patent relatively low</w:t>
      </w:r>
      <w:r>
        <w:t xml:space="preserve"> compared with smaller companies. As a result, larger companies may patent more ‘minor’ innovations which are unlikely to be commercially exploited, resulting in a greater proportion of unused patents than smaller companies.</w:t>
      </w:r>
    </w:p>
    <w:p w:rsidR="00DF0DF1" w:rsidRDefault="009D0A8D" w:rsidP="00F4619C">
      <w:pPr>
        <w:pStyle w:val="BodyText"/>
      </w:pPr>
      <w:r>
        <w:t xml:space="preserve">The results of the PatVal-EU survey on patent utilisation provide a point of comparison with a similar study undertaken for Japan and the United States by Sadao and Walsh (2009). </w:t>
      </w:r>
      <w:r w:rsidR="007002FB">
        <w:t xml:space="preserve">These researchers analysed a sample of </w:t>
      </w:r>
      <w:r w:rsidR="00B05FEA">
        <w:t>‘</w:t>
      </w:r>
      <w:r w:rsidR="007002FB">
        <w:t>triadic</w:t>
      </w:r>
      <w:r w:rsidR="00B05FEA">
        <w:t>’</w:t>
      </w:r>
      <w:r w:rsidR="007002FB">
        <w:t xml:space="preserve"> patents (</w:t>
      </w:r>
      <w:r w:rsidR="00B05FEA">
        <w:t>those for which a patent was granted by the US patent office and applied for at both the Japanese and European patent offices</w:t>
      </w:r>
      <w:r w:rsidR="007002FB">
        <w:t>)</w:t>
      </w:r>
      <w:r w:rsidR="00F666E1">
        <w:t xml:space="preserve"> through a survey conducted in 2007</w:t>
      </w:r>
      <w:r w:rsidR="00B20E06">
        <w:t xml:space="preserve"> (the RIETI-Georgia Tech survey)</w:t>
      </w:r>
      <w:r w:rsidR="00B05FEA">
        <w:t xml:space="preserve">. </w:t>
      </w:r>
      <w:r w:rsidR="006073ED">
        <w:t xml:space="preserve">The Japanese </w:t>
      </w:r>
      <w:r w:rsidR="00B773F0">
        <w:t>stream</w:t>
      </w:r>
      <w:r w:rsidR="006073ED">
        <w:t xml:space="preserve"> of the survey yielded information o</w:t>
      </w:r>
      <w:r w:rsidR="009A38D0">
        <w:t>n roughly 3700</w:t>
      </w:r>
      <w:r w:rsidR="006073ED">
        <w:t xml:space="preserve"> patents, while the US </w:t>
      </w:r>
      <w:r w:rsidR="00141EFF">
        <w:t>s</w:t>
      </w:r>
      <w:r w:rsidR="00B773F0">
        <w:t>urvey</w:t>
      </w:r>
      <w:r w:rsidR="00141EFF">
        <w:t xml:space="preserve"> </w:t>
      </w:r>
      <w:r w:rsidR="00B773F0">
        <w:t>utilised</w:t>
      </w:r>
      <w:r w:rsidR="00E50CBF">
        <w:t xml:space="preserve"> a sample of </w:t>
      </w:r>
      <w:r w:rsidR="009A38D0">
        <w:t>just over 1900</w:t>
      </w:r>
      <w:r w:rsidR="00E50CBF">
        <w:t> </w:t>
      </w:r>
      <w:r w:rsidR="00141EFF">
        <w:t>patents.</w:t>
      </w:r>
    </w:p>
    <w:p w:rsidR="00700865" w:rsidRDefault="00142B91" w:rsidP="00F4619C">
      <w:pPr>
        <w:pStyle w:val="BodyText"/>
      </w:pPr>
      <w:r>
        <w:t xml:space="preserve">It was found that </w:t>
      </w:r>
      <w:r w:rsidR="004416D9">
        <w:t>just over 60 per cent of the triadic patents in Japan and the U</w:t>
      </w:r>
      <w:r w:rsidR="00D00545">
        <w:t xml:space="preserve">nited </w:t>
      </w:r>
      <w:r w:rsidR="004416D9">
        <w:t>S</w:t>
      </w:r>
      <w:r w:rsidR="00D00545">
        <w:t>tates</w:t>
      </w:r>
      <w:r w:rsidR="004416D9">
        <w:t xml:space="preserve"> were used commercially in some form</w:t>
      </w:r>
      <w:r w:rsidR="00FD0357">
        <w:t xml:space="preserve"> (figure 4.</w:t>
      </w:r>
      <w:r w:rsidR="00E550E9">
        <w:t>4</w:t>
      </w:r>
      <w:r w:rsidR="00FD0357">
        <w:t>)</w:t>
      </w:r>
      <w:r w:rsidR="004416D9">
        <w:t xml:space="preserve">, </w:t>
      </w:r>
      <w:r w:rsidR="00FB74C3">
        <w:t>whether that be for the patentee’s own products and processes, licensing, or use for a start</w:t>
      </w:r>
      <w:r w:rsidR="001C62DB">
        <w:t>-</w:t>
      </w:r>
      <w:r w:rsidR="00FB74C3">
        <w:t>up by the inventor. (Note that these uses are not mutually exclusive.)</w:t>
      </w:r>
      <w:r w:rsidR="00FD0357">
        <w:t xml:space="preserve"> </w:t>
      </w:r>
      <w:r w:rsidR="00396CEC">
        <w:t>Similar</w:t>
      </w:r>
      <w:r w:rsidR="008C139D">
        <w:t xml:space="preserve"> to the PatVal</w:t>
      </w:r>
      <w:r w:rsidR="008A3952">
        <w:noBreakHyphen/>
      </w:r>
      <w:r w:rsidR="008C139D">
        <w:t xml:space="preserve">EU survey, </w:t>
      </w:r>
      <w:r w:rsidR="000F4D24">
        <w:t xml:space="preserve">the most important mechanism for commercialisation </w:t>
      </w:r>
      <w:r w:rsidR="00B73402">
        <w:t>was in</w:t>
      </w:r>
      <w:r w:rsidR="00B73402">
        <w:noBreakHyphen/>
      </w:r>
      <w:r w:rsidR="004A0382">
        <w:t>house use (54 per cent in Japan and 50 per cent in the U</w:t>
      </w:r>
      <w:r w:rsidR="00D00545">
        <w:t xml:space="preserve">nited </w:t>
      </w:r>
      <w:r w:rsidR="00B86B2B">
        <w:t>S</w:t>
      </w:r>
      <w:r w:rsidR="00D00545">
        <w:t>tates</w:t>
      </w:r>
      <w:r w:rsidR="004A0382">
        <w:t>), although pure in</w:t>
      </w:r>
      <w:r w:rsidR="004A0382">
        <w:noBreakHyphen/>
        <w:t xml:space="preserve">house use </w:t>
      </w:r>
      <w:r w:rsidR="00F028CD">
        <w:t>(use of the patent internally by the pat</w:t>
      </w:r>
      <w:r w:rsidR="00736FFC">
        <w:t>entee only) was less extensive.</w:t>
      </w:r>
    </w:p>
    <w:p w:rsidR="00DE5EAB" w:rsidRDefault="00DE5EAB" w:rsidP="00DE5EAB">
      <w:pPr>
        <w:pStyle w:val="BodyText"/>
      </w:pPr>
      <w:r>
        <w:t>Internal commercialisation by patentees was found to be higher for smaller companies than larger ones, both in Japan and the United States. In Japan, 55 per cent of large companies (defined as those employing 500 or more people) commercialised internally, increasing to over 60 per cent for small companies (employing 101 to 250 people), and to 70 per cent for very small companies (employing 100 or less people). Reflecting a similar pattern, in the United States, 50 per cent of large companies commercialised internally, increasing to approximately 65 per cent for small firms, before declining slightly to 60 per cent for very small firms. Again, these results are broadly comparable with those obtained in the PatVal-EU survey.</w:t>
      </w:r>
    </w:p>
    <w:p w:rsidR="00B20E06" w:rsidRDefault="00B20E06">
      <w:pPr>
        <w:pStyle w:val="FigureTitle"/>
      </w:pPr>
      <w:r>
        <w:rPr>
          <w:b w:val="0"/>
        </w:rPr>
        <w:lastRenderedPageBreak/>
        <w:t xml:space="preserve">Figure </w:t>
      </w:r>
      <w:r>
        <w:rPr>
          <w:b w:val="0"/>
        </w:rPr>
        <w:fldChar w:fldCharType="begin"/>
      </w:r>
      <w:r>
        <w:rPr>
          <w:b w:val="0"/>
        </w:rPr>
        <w:instrText xml:space="preserve"> COMMENTS  \* MERGEFORMAT </w:instrText>
      </w:r>
      <w:r>
        <w:rPr>
          <w:b w:val="0"/>
        </w:rPr>
        <w:fldChar w:fldCharType="separate"/>
      </w:r>
      <w:r w:rsidR="00E550E9">
        <w:rPr>
          <w:b w:val="0"/>
        </w:rPr>
        <w:t>4.</w:t>
      </w:r>
      <w:r>
        <w:rPr>
          <w:b w:val="0"/>
        </w:rPr>
        <w:fldChar w:fldCharType="end"/>
      </w:r>
      <w:r>
        <w:rPr>
          <w:b w:val="0"/>
        </w:rPr>
        <w:fldChar w:fldCharType="begin"/>
      </w:r>
      <w:r>
        <w:rPr>
          <w:b w:val="0"/>
        </w:rPr>
        <w:instrText xml:space="preserve"> SEQ Figure \* ARABIC </w:instrText>
      </w:r>
      <w:r>
        <w:rPr>
          <w:b w:val="0"/>
        </w:rPr>
        <w:fldChar w:fldCharType="separate"/>
      </w:r>
      <w:r w:rsidR="00614D76">
        <w:rPr>
          <w:b w:val="0"/>
          <w:noProof/>
        </w:rPr>
        <w:t>4</w:t>
      </w:r>
      <w:r>
        <w:rPr>
          <w:b w:val="0"/>
        </w:rPr>
        <w:fldChar w:fldCharType="end"/>
      </w:r>
      <w:r>
        <w:tab/>
        <w:t>Commercialisation of inventions in RIETI-Georgia Tech survey</w:t>
      </w:r>
    </w:p>
    <w:p w:rsidR="00B20E06" w:rsidRDefault="00A94C0B">
      <w:pPr>
        <w:pStyle w:val="Subtitle"/>
      </w:pPr>
      <w:r>
        <w:t>Per cent of patents</w:t>
      </w:r>
      <w:r w:rsidR="00780F09" w:rsidRPr="00780F09">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B20E06" w:rsidTr="00D00545">
        <w:tc>
          <w:tcPr>
            <w:tcW w:w="8777" w:type="dxa"/>
          </w:tcPr>
          <w:p w:rsidR="00B20E06" w:rsidRDefault="00D00545">
            <w:pPr>
              <w:pStyle w:val="Figure"/>
            </w:pPr>
            <w:r>
              <w:rPr>
                <w:noProof/>
              </w:rPr>
              <w:drawing>
                <wp:inline distT="0" distB="0" distL="0" distR="0" wp14:anchorId="50378E48" wp14:editId="7E5A39FE">
                  <wp:extent cx="5124450" cy="3009900"/>
                  <wp:effectExtent l="0" t="0" r="0" b="0"/>
                  <wp:docPr id="7" name="Chart 7" descr="This figure on patent commercialisation illustrates that just over 60 per cent of Japanese and US patents were commercialised in some form. In Japan, just over 30 per cent of patents were used on an internal basis only, while in the United States, the corresponding figure was about 40 per cent. Roughly 20 per cent of patents in Japan were licensed, compared with approximately 15 per cent of US patents surveyed. "/>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B20E06" w:rsidRDefault="00B20E06">
      <w:pPr>
        <w:pStyle w:val="Note"/>
      </w:pPr>
      <w:r>
        <w:rPr>
          <w:rStyle w:val="NoteLabel"/>
        </w:rPr>
        <w:t>a</w:t>
      </w:r>
      <w:r w:rsidR="00780F09">
        <w:t xml:space="preserve"> </w:t>
      </w:r>
      <w:r w:rsidR="00796F56">
        <w:t>Use for new company relates to use for start-ups.</w:t>
      </w:r>
    </w:p>
    <w:p w:rsidR="00B20E06" w:rsidRDefault="008A33A3">
      <w:pPr>
        <w:pStyle w:val="Source"/>
      </w:pPr>
      <w:r>
        <w:rPr>
          <w:i/>
        </w:rPr>
        <w:t>S</w:t>
      </w:r>
      <w:r w:rsidR="00B20E06">
        <w:rPr>
          <w:i/>
        </w:rPr>
        <w:t>ource</w:t>
      </w:r>
      <w:r w:rsidR="00B20E06" w:rsidRPr="00167F06">
        <w:t xml:space="preserve">: </w:t>
      </w:r>
      <w:r w:rsidR="00B20E06">
        <w:t>Sadao and Walsh (2009).</w:t>
      </w:r>
    </w:p>
    <w:p w:rsidR="00F669B9" w:rsidRDefault="004832C4" w:rsidP="00F4619C">
      <w:pPr>
        <w:pStyle w:val="BodyText"/>
      </w:pPr>
      <w:r>
        <w:t xml:space="preserve">Sadao and Walsh (2009) </w:t>
      </w:r>
      <w:r w:rsidR="000837AE">
        <w:t xml:space="preserve">also </w:t>
      </w:r>
      <w:r w:rsidR="00563CF2">
        <w:t>survey</w:t>
      </w:r>
      <w:r w:rsidR="000837AE">
        <w:t>ed companies</w:t>
      </w:r>
      <w:r w:rsidR="00563CF2">
        <w:t xml:space="preserve"> </w:t>
      </w:r>
      <w:r w:rsidR="00E355BB">
        <w:t>about their</w:t>
      </w:r>
      <w:r w:rsidR="000837AE">
        <w:t xml:space="preserve"> </w:t>
      </w:r>
      <w:r w:rsidR="00E355BB">
        <w:t>failure</w:t>
      </w:r>
      <w:r w:rsidR="008E01FA">
        <w:t xml:space="preserve"> to commercially develop</w:t>
      </w:r>
      <w:r w:rsidR="000837AE">
        <w:t xml:space="preserve"> a proportion of their patents. </w:t>
      </w:r>
      <w:r w:rsidR="008A185C">
        <w:t xml:space="preserve">Overall, </w:t>
      </w:r>
      <w:r w:rsidR="00670FC0">
        <w:t>38</w:t>
      </w:r>
      <w:r w:rsidR="008A185C">
        <w:t xml:space="preserve"> per cent of triadic patents were</w:t>
      </w:r>
      <w:r w:rsidR="00670FC0">
        <w:t xml:space="preserve"> not</w:t>
      </w:r>
      <w:r w:rsidR="008A185C">
        <w:t xml:space="preserve"> commercialised in both </w:t>
      </w:r>
      <w:r w:rsidR="00670FC0">
        <w:t>Japan and the U</w:t>
      </w:r>
      <w:r w:rsidR="00D00545">
        <w:t xml:space="preserve">nited </w:t>
      </w:r>
      <w:r w:rsidR="00670FC0">
        <w:t>S</w:t>
      </w:r>
      <w:r w:rsidR="00D00545">
        <w:t>tates</w:t>
      </w:r>
      <w:r w:rsidR="00670FC0">
        <w:t>. I</w:t>
      </w:r>
      <w:r w:rsidR="008A185C">
        <w:t xml:space="preserve">n Japan, </w:t>
      </w:r>
      <w:r w:rsidR="00867644">
        <w:t>six</w:t>
      </w:r>
      <w:r w:rsidR="008A2B6F">
        <w:t> </w:t>
      </w:r>
      <w:r w:rsidR="008A185C">
        <w:t>per cent of patents</w:t>
      </w:r>
      <w:r w:rsidR="00E23137">
        <w:t xml:space="preserve"> </w:t>
      </w:r>
      <w:r w:rsidR="008A185C">
        <w:t>were used for strategic holding</w:t>
      </w:r>
      <w:r w:rsidR="00E23137">
        <w:t xml:space="preserve"> and were not commercialised — that is</w:t>
      </w:r>
      <w:r w:rsidR="008A185C">
        <w:t xml:space="preserve">, </w:t>
      </w:r>
      <w:r w:rsidR="00E23137">
        <w:t>they were used</w:t>
      </w:r>
      <w:r w:rsidR="008A185C">
        <w:t xml:space="preserve"> </w:t>
      </w:r>
      <w:r w:rsidR="00E27404">
        <w:t xml:space="preserve">either to block competitors from patenting similar technology, or to </w:t>
      </w:r>
      <w:r w:rsidR="00FE4E4C">
        <w:t xml:space="preserve">prevent competitors from inventing around a patentee’s current technology. </w:t>
      </w:r>
      <w:r w:rsidR="00C335B9">
        <w:t xml:space="preserve">The remaining 32 per </w:t>
      </w:r>
      <w:r w:rsidR="00554FB7">
        <w:t>cent of triadic patents in the</w:t>
      </w:r>
      <w:r w:rsidR="00AF2E6E">
        <w:t xml:space="preserve"> Japan</w:t>
      </w:r>
      <w:r w:rsidR="00554FB7">
        <w:t xml:space="preserve"> survey</w:t>
      </w:r>
      <w:r w:rsidR="00C335B9">
        <w:t xml:space="preserve"> were </w:t>
      </w:r>
      <w:r w:rsidR="00AF2E6E">
        <w:t>not commercialised purely for non-strategic reasons</w:t>
      </w:r>
      <w:r w:rsidR="00554FB7">
        <w:t xml:space="preserve"> (for example, </w:t>
      </w:r>
      <w:r w:rsidR="009174F6">
        <w:t>because of delayed development of complementary products, or business downsizing</w:t>
      </w:r>
      <w:r w:rsidR="00554FB7">
        <w:t>)</w:t>
      </w:r>
      <w:r w:rsidR="000D11C9">
        <w:t>.</w:t>
      </w:r>
      <w:r w:rsidR="00E41715">
        <w:t xml:space="preserve"> In the U</w:t>
      </w:r>
      <w:r w:rsidR="00D00545">
        <w:t xml:space="preserve">nited </w:t>
      </w:r>
      <w:r w:rsidR="00E41715">
        <w:t>S</w:t>
      </w:r>
      <w:r w:rsidR="00D00545">
        <w:t>tates</w:t>
      </w:r>
      <w:r w:rsidR="00E41715">
        <w:t xml:space="preserve">, </w:t>
      </w:r>
      <w:r w:rsidR="00CF550A">
        <w:t>14 </w:t>
      </w:r>
      <w:r w:rsidR="001D2DAE">
        <w:t>per </w:t>
      </w:r>
      <w:r w:rsidR="00083188">
        <w:t xml:space="preserve">cent of </w:t>
      </w:r>
      <w:r w:rsidR="006969D0">
        <w:t xml:space="preserve">not commercialised </w:t>
      </w:r>
      <w:r w:rsidR="00083188">
        <w:t xml:space="preserve">triadic patents </w:t>
      </w:r>
      <w:r w:rsidR="00902236">
        <w:t>were used for strategic holding, while the remaining 24 per cent were not commercialised for non</w:t>
      </w:r>
      <w:r w:rsidR="00716033">
        <w:noBreakHyphen/>
      </w:r>
      <w:r w:rsidR="00902236">
        <w:t>strategic reasons.</w:t>
      </w:r>
    </w:p>
    <w:p w:rsidR="00E2449B" w:rsidRDefault="00EF5C49" w:rsidP="00F4619C">
      <w:pPr>
        <w:pStyle w:val="BodyText"/>
      </w:pPr>
      <w:r>
        <w:t>One of the main conclusio</w:t>
      </w:r>
      <w:r w:rsidR="0012424D">
        <w:t>ns that may be drawn from the Pa</w:t>
      </w:r>
      <w:r>
        <w:t>tVal-EU and RIETI</w:t>
      </w:r>
      <w:r>
        <w:noBreakHyphen/>
        <w:t xml:space="preserve">Georgia Tech surveys of patent use is that </w:t>
      </w:r>
      <w:r w:rsidR="000208DE">
        <w:t xml:space="preserve">roughly half of all patents </w:t>
      </w:r>
      <w:r w:rsidR="00196728">
        <w:t>are used internally for commercial purposes</w:t>
      </w:r>
      <w:r w:rsidR="00AB09E1">
        <w:t xml:space="preserve"> by the owner</w:t>
      </w:r>
      <w:r w:rsidR="005B06CD">
        <w:t xml:space="preserve"> (without licensing) across organisation types and across countries</w:t>
      </w:r>
      <w:r w:rsidR="00196728">
        <w:t xml:space="preserve">. </w:t>
      </w:r>
      <w:r w:rsidR="00EB3376">
        <w:t>In addition, there appears to be a negative correlation between internal commercialisation and company size</w:t>
      </w:r>
      <w:r w:rsidR="00D61B9E">
        <w:t>,</w:t>
      </w:r>
      <w:r w:rsidR="005E15A2">
        <w:t xml:space="preserve"> </w:t>
      </w:r>
      <w:r w:rsidR="00D61B9E">
        <w:t>with smaller companies commercially exploiting more</w:t>
      </w:r>
      <w:r w:rsidR="008969BF">
        <w:t xml:space="preserve"> of their</w:t>
      </w:r>
      <w:r w:rsidR="00D61B9E">
        <w:t xml:space="preserve"> patents internally</w:t>
      </w:r>
      <w:r w:rsidR="008969BF">
        <w:t xml:space="preserve"> than larger companies</w:t>
      </w:r>
      <w:r w:rsidR="00EF7228">
        <w:t>.</w:t>
      </w:r>
    </w:p>
    <w:p w:rsidR="00535AE0" w:rsidRDefault="005A719C" w:rsidP="00F4619C">
      <w:pPr>
        <w:pStyle w:val="BodyText"/>
      </w:pPr>
      <w:r>
        <w:lastRenderedPageBreak/>
        <w:t xml:space="preserve">These studies also indicate that a significant share of patents are not commercially exploited. </w:t>
      </w:r>
      <w:r w:rsidR="00571E59">
        <w:t xml:space="preserve">For instance, in the PatVal-EU survey, </w:t>
      </w:r>
      <w:r w:rsidR="00A927C5">
        <w:t xml:space="preserve">across all organisation types, more than 35 per cent of patents were </w:t>
      </w:r>
      <w:r w:rsidR="00D43A26">
        <w:t xml:space="preserve">either </w:t>
      </w:r>
      <w:r w:rsidR="00A927C5">
        <w:t>used for blocking competitors or remained unexploited for other purposes.</w:t>
      </w:r>
      <w:r w:rsidR="00BA3A4F">
        <w:t xml:space="preserve"> The share of unutilised patents was positively correlated with company size.</w:t>
      </w:r>
      <w:r w:rsidR="00A927C5">
        <w:t xml:space="preserve"> Similarly, </w:t>
      </w:r>
      <w:r w:rsidR="00355B88">
        <w:t xml:space="preserve">the results of the RIETI-Georgia Tech </w:t>
      </w:r>
      <w:r w:rsidR="00D43A26">
        <w:t xml:space="preserve">survey </w:t>
      </w:r>
      <w:r w:rsidR="00BA3A4F">
        <w:t xml:space="preserve">indicated that </w:t>
      </w:r>
      <w:r w:rsidR="00D359A6">
        <w:t>nearly 40 per cent of patents in Japan and the U</w:t>
      </w:r>
      <w:r w:rsidR="00D00545">
        <w:t xml:space="preserve">nited </w:t>
      </w:r>
      <w:r w:rsidR="00D359A6">
        <w:t>S</w:t>
      </w:r>
      <w:r w:rsidR="00D00545">
        <w:t>tates</w:t>
      </w:r>
      <w:r w:rsidR="00D359A6">
        <w:t xml:space="preserve"> were not commercialised.</w:t>
      </w:r>
    </w:p>
    <w:p w:rsidR="00D359A6" w:rsidRDefault="00D43A26" w:rsidP="00F4619C">
      <w:pPr>
        <w:pStyle w:val="BodyText"/>
      </w:pPr>
      <w:r>
        <w:t>However, t</w:t>
      </w:r>
      <w:r w:rsidR="005B5665">
        <w:t xml:space="preserve">he extent </w:t>
      </w:r>
      <w:r w:rsidR="00C817D5">
        <w:t>to</w:t>
      </w:r>
      <w:r w:rsidR="005B5665">
        <w:t xml:space="preserve"> which general conclusions can be drawn from two overseas studies of patent use is somewhat limited. </w:t>
      </w:r>
      <w:r w:rsidR="00B73944">
        <w:t xml:space="preserve">While </w:t>
      </w:r>
      <w:r w:rsidR="00C817D5">
        <w:t xml:space="preserve">possibly indicative </w:t>
      </w:r>
      <w:r w:rsidR="00E7414E">
        <w:t xml:space="preserve">of certain aspects of patent utilisation, greater empirical evidence, especially with regard to Australia, </w:t>
      </w:r>
      <w:r w:rsidR="00426B46">
        <w:t>is necessary to draw definitive conclusions.</w:t>
      </w:r>
    </w:p>
    <w:p w:rsidR="006E14FC" w:rsidRDefault="00614D76" w:rsidP="002D6170">
      <w:pPr>
        <w:pStyle w:val="Heading2"/>
      </w:pPr>
      <w:r>
        <w:fldChar w:fldCharType="begin"/>
      </w:r>
      <w:r>
        <w:instrText xml:space="preserve"> COMMENTS  \* MERGEFORMAT </w:instrText>
      </w:r>
      <w:r>
        <w:fldChar w:fldCharType="separate"/>
      </w:r>
      <w:r w:rsidR="002D6170">
        <w:t>4.</w:t>
      </w:r>
      <w:r>
        <w:fldChar w:fldCharType="end"/>
      </w:r>
      <w:r>
        <w:fldChar w:fldCharType="begin"/>
      </w:r>
      <w:r>
        <w:instrText xml:space="preserve"> SEQ Heading2 </w:instrText>
      </w:r>
      <w:r>
        <w:fldChar w:fldCharType="separate"/>
      </w:r>
      <w:r>
        <w:rPr>
          <w:noProof/>
        </w:rPr>
        <w:t>3</w:t>
      </w:r>
      <w:r>
        <w:rPr>
          <w:noProof/>
        </w:rPr>
        <w:fldChar w:fldCharType="end"/>
      </w:r>
      <w:r w:rsidR="002D6170">
        <w:tab/>
        <w:t>Patent sale</w:t>
      </w:r>
    </w:p>
    <w:p w:rsidR="008D56E3" w:rsidRDefault="00865934" w:rsidP="00B073DC">
      <w:pPr>
        <w:pStyle w:val="BodyText"/>
      </w:pPr>
      <w:r>
        <w:t>Like other property rights, patents can be bought and sold.</w:t>
      </w:r>
      <w:r w:rsidR="000F7D96">
        <w:t xml:space="preserve"> </w:t>
      </w:r>
      <w:r w:rsidR="006E14FC">
        <w:t>Sale of a patent is often referred to as an assignment, as distinct fro</w:t>
      </w:r>
      <w:r>
        <w:t>m licensing (Mendes </w:t>
      </w:r>
      <w:r w:rsidR="006E14FC">
        <w:t>nd).</w:t>
      </w:r>
    </w:p>
    <w:p w:rsidR="0099561E" w:rsidRDefault="00D36B44" w:rsidP="00B073DC">
      <w:pPr>
        <w:pStyle w:val="BodyText"/>
      </w:pPr>
      <w:r>
        <w:t xml:space="preserve">Aggregate data and other information on patent assignments is generally quite limited, in part due to the commercially sensitive nature of such transactions. </w:t>
      </w:r>
      <w:r w:rsidR="00B61E17">
        <w:t xml:space="preserve">Nevertheless, some information </w:t>
      </w:r>
      <w:r w:rsidR="00C257A8">
        <w:t>on assignments can be gleaned from</w:t>
      </w:r>
      <w:r w:rsidR="00E303A6">
        <w:t xml:space="preserve"> national</w:t>
      </w:r>
      <w:r w:rsidR="00C257A8">
        <w:t xml:space="preserve"> patent offices</w:t>
      </w:r>
      <w:r w:rsidR="008C5CCB">
        <w:t xml:space="preserve"> — for example, the US Patent Office maintains a searchable database </w:t>
      </w:r>
      <w:r w:rsidR="00CA6477">
        <w:t>with patent assignment information dating back to August 1980</w:t>
      </w:r>
      <w:r w:rsidR="00C257A8">
        <w:t xml:space="preserve">. </w:t>
      </w:r>
      <w:r w:rsidR="00E42537">
        <w:t xml:space="preserve">Users can search for </w:t>
      </w:r>
      <w:r w:rsidR="00560550">
        <w:t xml:space="preserve">assignment </w:t>
      </w:r>
      <w:r w:rsidR="00E42537">
        <w:t>information by, for example, patent number, assignor name, or assignee name (U</w:t>
      </w:r>
      <w:r w:rsidR="00F3160B">
        <w:t xml:space="preserve">S </w:t>
      </w:r>
      <w:r w:rsidR="00E42537">
        <w:t>Patent and Trademark Office 2012</w:t>
      </w:r>
      <w:r w:rsidR="00983BA5">
        <w:t>b</w:t>
      </w:r>
      <w:r w:rsidR="00E42537">
        <w:t>).</w:t>
      </w:r>
    </w:p>
    <w:p w:rsidR="00480C0E" w:rsidRDefault="003D767C" w:rsidP="00B073DC">
      <w:pPr>
        <w:pStyle w:val="BodyText"/>
      </w:pPr>
      <w:r>
        <w:t>A study of patent assignments in the U</w:t>
      </w:r>
      <w:r w:rsidR="00D00545">
        <w:t xml:space="preserve">nited </w:t>
      </w:r>
      <w:r>
        <w:t>S</w:t>
      </w:r>
      <w:r w:rsidR="00D00545">
        <w:t>tates was undertaken by Serrano </w:t>
      </w:r>
      <w:r>
        <w:t>(2010)</w:t>
      </w:r>
      <w:r w:rsidR="008339EC">
        <w:t>, using data sourced from the US Patent Office’s assignment database</w:t>
      </w:r>
      <w:r>
        <w:t xml:space="preserve">. </w:t>
      </w:r>
      <w:r w:rsidR="00716E95">
        <w:t>Serrano (2010) collected information on</w:t>
      </w:r>
      <w:r w:rsidR="005C350C">
        <w:t xml:space="preserve"> US</w:t>
      </w:r>
      <w:r w:rsidR="00716E95">
        <w:t xml:space="preserve"> </w:t>
      </w:r>
      <w:r w:rsidR="005C350C">
        <w:t>utility patents (as opposed to, for example</w:t>
      </w:r>
      <w:r w:rsidR="004D12FA">
        <w:t xml:space="preserve">, </w:t>
      </w:r>
      <w:r w:rsidR="005C350C">
        <w:t>design and plant patents) grante</w:t>
      </w:r>
      <w:r w:rsidR="00751186">
        <w:t>d between 1 January 1983 and 31 </w:t>
      </w:r>
      <w:r w:rsidR="005C350C">
        <w:t>December 2001, and analysed the extent to</w:t>
      </w:r>
      <w:r w:rsidR="00943E53">
        <w:t xml:space="preserve"> which</w:t>
      </w:r>
      <w:r w:rsidR="005C350C">
        <w:t xml:space="preserve"> </w:t>
      </w:r>
      <w:r w:rsidR="008E7297">
        <w:t>these patents</w:t>
      </w:r>
      <w:r w:rsidR="005C350C">
        <w:t xml:space="preserve"> were traded. </w:t>
      </w:r>
      <w:r w:rsidR="00C21056">
        <w:t>The data demonstrated that</w:t>
      </w:r>
      <w:r w:rsidR="003E102D">
        <w:t xml:space="preserve">, across </w:t>
      </w:r>
      <w:r w:rsidR="00E50389">
        <w:t>various types of organisations,</w:t>
      </w:r>
      <w:r w:rsidR="00C21056">
        <w:t xml:space="preserve"> </w:t>
      </w:r>
      <w:r w:rsidR="004759D6">
        <w:t>the transfer of ownership o</w:t>
      </w:r>
      <w:r w:rsidR="004A0EB0">
        <w:t>f patents was generally limited.</w:t>
      </w:r>
      <w:r w:rsidR="004759D6">
        <w:t xml:space="preserve"> </w:t>
      </w:r>
      <w:r w:rsidR="004A0EB0">
        <w:t>E</w:t>
      </w:r>
      <w:r w:rsidR="00F97965">
        <w:t xml:space="preserve">ven the most active traders of patents — </w:t>
      </w:r>
      <w:r w:rsidR="00F226D2">
        <w:t xml:space="preserve">private inventors and small corporations — </w:t>
      </w:r>
      <w:r w:rsidR="004A0EB0">
        <w:t>on average sold a little over 10 per </w:t>
      </w:r>
      <w:r w:rsidR="00F226D2">
        <w:t xml:space="preserve">cent of their patents. </w:t>
      </w:r>
      <w:r w:rsidR="004903F9">
        <w:t xml:space="preserve">Large companies and government agencies traded </w:t>
      </w:r>
      <w:r w:rsidR="00344A28">
        <w:t>an even smaller fraction</w:t>
      </w:r>
      <w:r w:rsidR="004903F9">
        <w:t xml:space="preserve"> of their patents (table 4.3).</w:t>
      </w:r>
    </w:p>
    <w:p w:rsidR="0034329D" w:rsidRDefault="0034329D" w:rsidP="00055D73">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Table \* ARABIC </w:instrText>
      </w:r>
      <w:r>
        <w:rPr>
          <w:b w:val="0"/>
        </w:rPr>
        <w:fldChar w:fldCharType="separate"/>
      </w:r>
      <w:r w:rsidR="00614D76">
        <w:rPr>
          <w:b w:val="0"/>
          <w:noProof/>
        </w:rPr>
        <w:t>3</w:t>
      </w:r>
      <w:r>
        <w:rPr>
          <w:b w:val="0"/>
        </w:rPr>
        <w:fldChar w:fldCharType="end"/>
      </w:r>
      <w:r>
        <w:tab/>
      </w:r>
      <w:r w:rsidR="000C102C">
        <w:t>US utility p</w:t>
      </w:r>
      <w:r>
        <w:t>atent</w:t>
      </w:r>
      <w:r w:rsidR="00055D73">
        <w:t>s</w:t>
      </w:r>
      <w:r w:rsidR="00B04D7C">
        <w:t xml:space="preserve"> traded and untraded</w:t>
      </w:r>
      <w:r w:rsidR="005C350C" w:rsidRPr="00D04BEF">
        <w:rPr>
          <w:rStyle w:val="NoteLabel"/>
          <w:b/>
        </w:rPr>
        <w:t>a</w:t>
      </w:r>
      <w:r w:rsidR="002E6251" w:rsidRPr="00D04BEF">
        <w:rPr>
          <w:rStyle w:val="NoteLabel"/>
          <w:b/>
        </w:rPr>
        <w:t>, b</w:t>
      </w:r>
    </w:p>
    <w:tbl>
      <w:tblPr>
        <w:tblW w:w="5000" w:type="pct"/>
        <w:tblCellMar>
          <w:left w:w="0" w:type="dxa"/>
          <w:right w:w="0" w:type="dxa"/>
        </w:tblCellMar>
        <w:tblLook w:val="0000" w:firstRow="0" w:lastRow="0" w:firstColumn="0" w:lastColumn="0" w:noHBand="0" w:noVBand="0"/>
      </w:tblPr>
      <w:tblGrid>
        <w:gridCol w:w="2695"/>
        <w:gridCol w:w="1522"/>
        <w:gridCol w:w="1524"/>
        <w:gridCol w:w="1524"/>
        <w:gridCol w:w="1524"/>
      </w:tblGrid>
      <w:tr w:rsidR="006535ED" w:rsidTr="006535ED">
        <w:tc>
          <w:tcPr>
            <w:tcW w:w="1533" w:type="pct"/>
            <w:tcBorders>
              <w:top w:val="single" w:sz="6" w:space="0" w:color="auto"/>
              <w:bottom w:val="single" w:sz="6" w:space="0" w:color="auto"/>
            </w:tcBorders>
            <w:shd w:val="clear" w:color="auto" w:fill="auto"/>
          </w:tcPr>
          <w:p w:rsidR="006535ED" w:rsidRDefault="006535ED" w:rsidP="00154140">
            <w:pPr>
              <w:pStyle w:val="TableColumnHeading"/>
              <w:jc w:val="left"/>
            </w:pPr>
          </w:p>
        </w:tc>
        <w:tc>
          <w:tcPr>
            <w:tcW w:w="866" w:type="pct"/>
            <w:tcBorders>
              <w:top w:val="single" w:sz="6" w:space="0" w:color="auto"/>
              <w:bottom w:val="single" w:sz="6" w:space="0" w:color="auto"/>
            </w:tcBorders>
            <w:shd w:val="clear" w:color="auto" w:fill="auto"/>
            <w:vAlign w:val="bottom"/>
          </w:tcPr>
          <w:p w:rsidR="006535ED" w:rsidRDefault="006535ED" w:rsidP="000843D5">
            <w:pPr>
              <w:pStyle w:val="TableColumnHeading"/>
            </w:pPr>
            <w:r>
              <w:t>Traded</w:t>
            </w:r>
          </w:p>
        </w:tc>
        <w:tc>
          <w:tcPr>
            <w:tcW w:w="867" w:type="pct"/>
            <w:tcBorders>
              <w:top w:val="single" w:sz="6" w:space="0" w:color="auto"/>
              <w:bottom w:val="single" w:sz="6" w:space="0" w:color="auto"/>
            </w:tcBorders>
            <w:vAlign w:val="bottom"/>
          </w:tcPr>
          <w:p w:rsidR="006535ED" w:rsidRDefault="006535ED" w:rsidP="000843D5">
            <w:pPr>
              <w:pStyle w:val="TableColumnHeading"/>
              <w:ind w:right="28"/>
            </w:pPr>
            <w:r>
              <w:t>Not traded</w:t>
            </w:r>
          </w:p>
        </w:tc>
        <w:tc>
          <w:tcPr>
            <w:tcW w:w="867" w:type="pct"/>
            <w:tcBorders>
              <w:top w:val="single" w:sz="6" w:space="0" w:color="auto"/>
              <w:bottom w:val="single" w:sz="6" w:space="0" w:color="auto"/>
            </w:tcBorders>
            <w:vAlign w:val="bottom"/>
          </w:tcPr>
          <w:p w:rsidR="006535ED" w:rsidRDefault="006535ED" w:rsidP="000843D5">
            <w:pPr>
              <w:pStyle w:val="TableColumnHeading"/>
              <w:ind w:right="28"/>
            </w:pPr>
            <w:r>
              <w:t>Total</w:t>
            </w:r>
          </w:p>
        </w:tc>
        <w:tc>
          <w:tcPr>
            <w:tcW w:w="867" w:type="pct"/>
            <w:tcBorders>
              <w:top w:val="single" w:sz="6" w:space="0" w:color="auto"/>
              <w:bottom w:val="single" w:sz="6" w:space="0" w:color="auto"/>
            </w:tcBorders>
            <w:shd w:val="clear" w:color="auto" w:fill="auto"/>
            <w:vAlign w:val="bottom"/>
          </w:tcPr>
          <w:p w:rsidR="006535ED" w:rsidRDefault="006535ED" w:rsidP="000843D5">
            <w:pPr>
              <w:pStyle w:val="TableColumnHeading"/>
              <w:ind w:right="28"/>
            </w:pPr>
            <w:r>
              <w:t>Per cent traded</w:t>
            </w:r>
          </w:p>
        </w:tc>
      </w:tr>
      <w:tr w:rsidR="006535ED" w:rsidTr="006535ED">
        <w:tc>
          <w:tcPr>
            <w:tcW w:w="1533" w:type="pct"/>
            <w:tcBorders>
              <w:top w:val="single" w:sz="6" w:space="0" w:color="auto"/>
            </w:tcBorders>
          </w:tcPr>
          <w:p w:rsidR="006535ED" w:rsidRDefault="006535ED" w:rsidP="00154140">
            <w:pPr>
              <w:pStyle w:val="TableUnitsRow"/>
              <w:jc w:val="left"/>
            </w:pPr>
            <w:r>
              <w:t>Individually owned and</w:t>
            </w:r>
          </w:p>
          <w:p w:rsidR="006535ED" w:rsidRDefault="006535ED" w:rsidP="00154140">
            <w:pPr>
              <w:pStyle w:val="TableUnitsRow"/>
              <w:jc w:val="left"/>
            </w:pPr>
            <w:r>
              <w:t xml:space="preserve">  unassigned</w:t>
            </w:r>
            <w:r w:rsidRPr="002E6251">
              <w:rPr>
                <w:rStyle w:val="NoteLabel"/>
              </w:rPr>
              <w:t>c</w:t>
            </w:r>
          </w:p>
        </w:tc>
        <w:tc>
          <w:tcPr>
            <w:tcW w:w="866" w:type="pct"/>
            <w:tcBorders>
              <w:top w:val="single" w:sz="6" w:space="0" w:color="auto"/>
            </w:tcBorders>
          </w:tcPr>
          <w:p w:rsidR="006535ED" w:rsidRDefault="0009419E" w:rsidP="00154140">
            <w:pPr>
              <w:pStyle w:val="TableUnitsRow"/>
            </w:pPr>
            <w:r>
              <w:t>28 044</w:t>
            </w:r>
          </w:p>
        </w:tc>
        <w:tc>
          <w:tcPr>
            <w:tcW w:w="867" w:type="pct"/>
            <w:tcBorders>
              <w:top w:val="single" w:sz="6" w:space="0" w:color="auto"/>
            </w:tcBorders>
          </w:tcPr>
          <w:p w:rsidR="006535ED" w:rsidRDefault="0009419E" w:rsidP="00154140">
            <w:pPr>
              <w:pStyle w:val="TableUnitsRow"/>
              <w:ind w:right="28"/>
            </w:pPr>
            <w:r>
              <w:t>276 043</w:t>
            </w:r>
          </w:p>
        </w:tc>
        <w:tc>
          <w:tcPr>
            <w:tcW w:w="867" w:type="pct"/>
            <w:tcBorders>
              <w:top w:val="single" w:sz="6" w:space="0" w:color="auto"/>
            </w:tcBorders>
          </w:tcPr>
          <w:p w:rsidR="006535ED" w:rsidRDefault="0009419E" w:rsidP="00154140">
            <w:pPr>
              <w:pStyle w:val="TableUnitsRow"/>
              <w:ind w:right="28"/>
            </w:pPr>
            <w:r>
              <w:t>304 087</w:t>
            </w:r>
          </w:p>
        </w:tc>
        <w:tc>
          <w:tcPr>
            <w:tcW w:w="867" w:type="pct"/>
            <w:tcBorders>
              <w:top w:val="single" w:sz="6" w:space="0" w:color="auto"/>
            </w:tcBorders>
          </w:tcPr>
          <w:p w:rsidR="006535ED" w:rsidRDefault="0009419E" w:rsidP="00154140">
            <w:pPr>
              <w:pStyle w:val="TableUnitsRow"/>
              <w:ind w:right="28"/>
            </w:pPr>
            <w:r>
              <w:t>9</w:t>
            </w:r>
          </w:p>
        </w:tc>
      </w:tr>
      <w:tr w:rsidR="006535ED" w:rsidTr="006535ED">
        <w:tc>
          <w:tcPr>
            <w:tcW w:w="1533" w:type="pct"/>
          </w:tcPr>
          <w:p w:rsidR="006535ED" w:rsidRDefault="006535ED" w:rsidP="00154140">
            <w:pPr>
              <w:pStyle w:val="TableBodyText"/>
              <w:jc w:val="left"/>
            </w:pPr>
            <w:r>
              <w:t>Individually owned by private</w:t>
            </w:r>
          </w:p>
          <w:p w:rsidR="006535ED" w:rsidRDefault="006535ED" w:rsidP="00154140">
            <w:pPr>
              <w:pStyle w:val="TableBodyText"/>
              <w:jc w:val="left"/>
            </w:pPr>
            <w:r>
              <w:t xml:space="preserve">  inventors</w:t>
            </w:r>
          </w:p>
        </w:tc>
        <w:tc>
          <w:tcPr>
            <w:tcW w:w="866" w:type="pct"/>
          </w:tcPr>
          <w:p w:rsidR="006535ED" w:rsidRDefault="0009419E" w:rsidP="00154140">
            <w:pPr>
              <w:pStyle w:val="TableBodyText"/>
            </w:pPr>
            <w:r>
              <w:t>2 185</w:t>
            </w:r>
          </w:p>
        </w:tc>
        <w:tc>
          <w:tcPr>
            <w:tcW w:w="867" w:type="pct"/>
          </w:tcPr>
          <w:p w:rsidR="006535ED" w:rsidRDefault="0009419E" w:rsidP="00154140">
            <w:pPr>
              <w:pStyle w:val="TableBodyText"/>
              <w:ind w:right="28"/>
            </w:pPr>
            <w:r>
              <w:t>15 469</w:t>
            </w:r>
          </w:p>
        </w:tc>
        <w:tc>
          <w:tcPr>
            <w:tcW w:w="867" w:type="pct"/>
          </w:tcPr>
          <w:p w:rsidR="006535ED" w:rsidRDefault="0009419E" w:rsidP="00154140">
            <w:pPr>
              <w:pStyle w:val="TableBodyText"/>
              <w:ind w:right="28"/>
            </w:pPr>
            <w:r>
              <w:t>17 654</w:t>
            </w:r>
          </w:p>
        </w:tc>
        <w:tc>
          <w:tcPr>
            <w:tcW w:w="867" w:type="pct"/>
          </w:tcPr>
          <w:p w:rsidR="006535ED" w:rsidRDefault="0009419E" w:rsidP="00154140">
            <w:pPr>
              <w:pStyle w:val="TableBodyText"/>
              <w:ind w:right="28"/>
            </w:pPr>
            <w:r>
              <w:t>12</w:t>
            </w:r>
          </w:p>
        </w:tc>
      </w:tr>
      <w:tr w:rsidR="006535ED" w:rsidTr="006535ED">
        <w:tc>
          <w:tcPr>
            <w:tcW w:w="1533" w:type="pct"/>
          </w:tcPr>
          <w:p w:rsidR="006535ED" w:rsidRDefault="006535ED" w:rsidP="00294525">
            <w:pPr>
              <w:pStyle w:val="TableBodyText"/>
              <w:jc w:val="left"/>
            </w:pPr>
            <w:r>
              <w:t>Small corporations</w:t>
            </w:r>
          </w:p>
        </w:tc>
        <w:tc>
          <w:tcPr>
            <w:tcW w:w="866" w:type="pct"/>
          </w:tcPr>
          <w:p w:rsidR="006535ED" w:rsidRDefault="006535D9" w:rsidP="00294525">
            <w:pPr>
              <w:pStyle w:val="TableBodyText"/>
            </w:pPr>
            <w:r>
              <w:t>54 533</w:t>
            </w:r>
          </w:p>
        </w:tc>
        <w:tc>
          <w:tcPr>
            <w:tcW w:w="867" w:type="pct"/>
          </w:tcPr>
          <w:p w:rsidR="006535ED" w:rsidRDefault="00794795" w:rsidP="00294525">
            <w:pPr>
              <w:pStyle w:val="TableBodyText"/>
              <w:ind w:right="28"/>
            </w:pPr>
            <w:r>
              <w:t>399 150</w:t>
            </w:r>
          </w:p>
        </w:tc>
        <w:tc>
          <w:tcPr>
            <w:tcW w:w="867" w:type="pct"/>
          </w:tcPr>
          <w:p w:rsidR="006535ED" w:rsidRDefault="00794795" w:rsidP="00294525">
            <w:pPr>
              <w:pStyle w:val="TableBodyText"/>
              <w:ind w:right="28"/>
            </w:pPr>
            <w:r>
              <w:t>453 683</w:t>
            </w:r>
          </w:p>
        </w:tc>
        <w:tc>
          <w:tcPr>
            <w:tcW w:w="867" w:type="pct"/>
          </w:tcPr>
          <w:p w:rsidR="006535ED" w:rsidRDefault="00794795" w:rsidP="00294525">
            <w:pPr>
              <w:pStyle w:val="TableBodyText"/>
              <w:ind w:right="28"/>
            </w:pPr>
            <w:r>
              <w:t>12</w:t>
            </w:r>
          </w:p>
        </w:tc>
      </w:tr>
      <w:tr w:rsidR="006535ED" w:rsidTr="006535ED">
        <w:tc>
          <w:tcPr>
            <w:tcW w:w="1533" w:type="pct"/>
          </w:tcPr>
          <w:p w:rsidR="006535ED" w:rsidRDefault="006535ED" w:rsidP="00294525">
            <w:pPr>
              <w:pStyle w:val="TableBodyText"/>
              <w:jc w:val="left"/>
            </w:pPr>
            <w:r>
              <w:t>Medium corporations</w:t>
            </w:r>
          </w:p>
        </w:tc>
        <w:tc>
          <w:tcPr>
            <w:tcW w:w="866" w:type="pct"/>
          </w:tcPr>
          <w:p w:rsidR="006535ED" w:rsidRDefault="00794795" w:rsidP="00294525">
            <w:pPr>
              <w:pStyle w:val="TableBodyText"/>
            </w:pPr>
            <w:r>
              <w:t>53 359</w:t>
            </w:r>
          </w:p>
        </w:tc>
        <w:tc>
          <w:tcPr>
            <w:tcW w:w="867" w:type="pct"/>
          </w:tcPr>
          <w:p w:rsidR="006535ED" w:rsidRDefault="00794795" w:rsidP="00294525">
            <w:pPr>
              <w:pStyle w:val="TableBodyText"/>
              <w:ind w:right="28"/>
            </w:pPr>
            <w:r>
              <w:t>513 722</w:t>
            </w:r>
          </w:p>
        </w:tc>
        <w:tc>
          <w:tcPr>
            <w:tcW w:w="867" w:type="pct"/>
          </w:tcPr>
          <w:p w:rsidR="006535ED" w:rsidRDefault="00794795" w:rsidP="00294525">
            <w:pPr>
              <w:pStyle w:val="TableBodyText"/>
              <w:ind w:right="28"/>
            </w:pPr>
            <w:r>
              <w:t>567 081</w:t>
            </w:r>
          </w:p>
        </w:tc>
        <w:tc>
          <w:tcPr>
            <w:tcW w:w="867" w:type="pct"/>
          </w:tcPr>
          <w:p w:rsidR="006535ED" w:rsidRDefault="00794795" w:rsidP="00294525">
            <w:pPr>
              <w:pStyle w:val="TableBodyText"/>
              <w:ind w:right="28"/>
            </w:pPr>
            <w:r>
              <w:t>9</w:t>
            </w:r>
          </w:p>
        </w:tc>
      </w:tr>
      <w:tr w:rsidR="006535ED" w:rsidTr="006535ED">
        <w:tc>
          <w:tcPr>
            <w:tcW w:w="1533" w:type="pct"/>
          </w:tcPr>
          <w:p w:rsidR="006535ED" w:rsidRDefault="006535ED" w:rsidP="00294525">
            <w:pPr>
              <w:pStyle w:val="TableBodyText"/>
              <w:jc w:val="left"/>
            </w:pPr>
            <w:r>
              <w:t>Large corporations</w:t>
            </w:r>
          </w:p>
        </w:tc>
        <w:tc>
          <w:tcPr>
            <w:tcW w:w="866" w:type="pct"/>
          </w:tcPr>
          <w:p w:rsidR="006535ED" w:rsidRDefault="00794795" w:rsidP="00294525">
            <w:pPr>
              <w:pStyle w:val="TableBodyText"/>
            </w:pPr>
            <w:r>
              <w:t>31 540</w:t>
            </w:r>
          </w:p>
        </w:tc>
        <w:tc>
          <w:tcPr>
            <w:tcW w:w="867" w:type="pct"/>
          </w:tcPr>
          <w:p w:rsidR="006535ED" w:rsidRDefault="00794795" w:rsidP="00294525">
            <w:pPr>
              <w:pStyle w:val="TableBodyText"/>
              <w:ind w:right="28"/>
            </w:pPr>
            <w:r>
              <w:t>534 042</w:t>
            </w:r>
          </w:p>
        </w:tc>
        <w:tc>
          <w:tcPr>
            <w:tcW w:w="867" w:type="pct"/>
          </w:tcPr>
          <w:p w:rsidR="006535ED" w:rsidRDefault="00794795" w:rsidP="00294525">
            <w:pPr>
              <w:pStyle w:val="TableBodyText"/>
              <w:ind w:right="28"/>
            </w:pPr>
            <w:r>
              <w:t>565 582</w:t>
            </w:r>
          </w:p>
        </w:tc>
        <w:tc>
          <w:tcPr>
            <w:tcW w:w="867" w:type="pct"/>
          </w:tcPr>
          <w:p w:rsidR="006535ED" w:rsidRDefault="00794795" w:rsidP="00294525">
            <w:pPr>
              <w:pStyle w:val="TableBodyText"/>
              <w:ind w:right="28"/>
            </w:pPr>
            <w:r>
              <w:t>6</w:t>
            </w:r>
          </w:p>
        </w:tc>
      </w:tr>
      <w:tr w:rsidR="006535ED" w:rsidTr="006535ED">
        <w:tc>
          <w:tcPr>
            <w:tcW w:w="1533" w:type="pct"/>
            <w:tcBorders>
              <w:bottom w:val="single" w:sz="6" w:space="0" w:color="auto"/>
            </w:tcBorders>
            <w:shd w:val="clear" w:color="auto" w:fill="auto"/>
          </w:tcPr>
          <w:p w:rsidR="006535ED" w:rsidRDefault="006535ED" w:rsidP="00154140">
            <w:pPr>
              <w:pStyle w:val="TableBodyText"/>
              <w:jc w:val="left"/>
            </w:pPr>
            <w:r>
              <w:t>Government agencies</w:t>
            </w:r>
          </w:p>
        </w:tc>
        <w:tc>
          <w:tcPr>
            <w:tcW w:w="866" w:type="pct"/>
            <w:tcBorders>
              <w:bottom w:val="single" w:sz="6" w:space="0" w:color="auto"/>
            </w:tcBorders>
            <w:shd w:val="clear" w:color="auto" w:fill="auto"/>
          </w:tcPr>
          <w:p w:rsidR="006535ED" w:rsidRDefault="00794795" w:rsidP="00154140">
            <w:pPr>
              <w:pStyle w:val="TableBodyText"/>
            </w:pPr>
            <w:r>
              <w:t>809</w:t>
            </w:r>
          </w:p>
        </w:tc>
        <w:tc>
          <w:tcPr>
            <w:tcW w:w="867" w:type="pct"/>
            <w:tcBorders>
              <w:bottom w:val="single" w:sz="6" w:space="0" w:color="auto"/>
            </w:tcBorders>
          </w:tcPr>
          <w:p w:rsidR="006535ED" w:rsidRDefault="00794795" w:rsidP="00154140">
            <w:pPr>
              <w:pStyle w:val="TableBodyText"/>
              <w:ind w:right="28"/>
            </w:pPr>
            <w:r>
              <w:t>24 574</w:t>
            </w:r>
          </w:p>
        </w:tc>
        <w:tc>
          <w:tcPr>
            <w:tcW w:w="867" w:type="pct"/>
            <w:tcBorders>
              <w:bottom w:val="single" w:sz="6" w:space="0" w:color="auto"/>
            </w:tcBorders>
          </w:tcPr>
          <w:p w:rsidR="006535ED" w:rsidRDefault="00794795" w:rsidP="00154140">
            <w:pPr>
              <w:pStyle w:val="TableBodyText"/>
              <w:ind w:right="28"/>
            </w:pPr>
            <w:r>
              <w:t>25 383</w:t>
            </w:r>
          </w:p>
        </w:tc>
        <w:tc>
          <w:tcPr>
            <w:tcW w:w="867" w:type="pct"/>
            <w:tcBorders>
              <w:bottom w:val="single" w:sz="6" w:space="0" w:color="auto"/>
            </w:tcBorders>
            <w:shd w:val="clear" w:color="auto" w:fill="auto"/>
          </w:tcPr>
          <w:p w:rsidR="006535ED" w:rsidRDefault="00794795" w:rsidP="00154140">
            <w:pPr>
              <w:pStyle w:val="TableBodyText"/>
              <w:ind w:right="28"/>
            </w:pPr>
            <w:r>
              <w:t>3</w:t>
            </w:r>
          </w:p>
        </w:tc>
      </w:tr>
    </w:tbl>
    <w:p w:rsidR="0034329D" w:rsidRDefault="0034329D" w:rsidP="00154140">
      <w:pPr>
        <w:pStyle w:val="Note"/>
      </w:pPr>
      <w:r w:rsidRPr="008E77FE">
        <w:rPr>
          <w:rStyle w:val="NoteLabel"/>
        </w:rPr>
        <w:t>a</w:t>
      </w:r>
      <w:r w:rsidR="005C350C">
        <w:t xml:space="preserve"> </w:t>
      </w:r>
      <w:r w:rsidR="002326A0">
        <w:t>Data refer to US utility patents granted between 1 January 1983 and 31 December 2001</w:t>
      </w:r>
      <w:r>
        <w:t>.</w:t>
      </w:r>
      <w:r w:rsidR="00DA48FD">
        <w:t xml:space="preserve"> </w:t>
      </w:r>
      <w:r w:rsidR="007E5F4C">
        <w:t xml:space="preserve"> </w:t>
      </w:r>
      <w:r w:rsidR="002E6251" w:rsidRPr="002E6251">
        <w:rPr>
          <w:rStyle w:val="NoteLabel"/>
        </w:rPr>
        <w:t>b</w:t>
      </w:r>
      <w:r w:rsidR="002E6251">
        <w:t xml:space="preserve"> Small corporations refer to those granted no more than five patents in a given year. Large corporations refer to corporations with more than 100 patents granted in a given year. Medium corporations constitute the remainder. </w:t>
      </w:r>
      <w:r w:rsidR="007E5F4C">
        <w:t xml:space="preserve"> </w:t>
      </w:r>
      <w:r w:rsidR="002E6251" w:rsidRPr="002E6251">
        <w:rPr>
          <w:rStyle w:val="NoteLabel"/>
        </w:rPr>
        <w:t>c</w:t>
      </w:r>
      <w:r w:rsidR="002E6251">
        <w:t xml:space="preserve"> </w:t>
      </w:r>
      <w:r w:rsidR="00E96A65">
        <w:t xml:space="preserve">Refers to patents </w:t>
      </w:r>
      <w:r w:rsidR="0073275B">
        <w:t xml:space="preserve">still owned by their original inventors at </w:t>
      </w:r>
      <w:r w:rsidR="0001353E">
        <w:t xml:space="preserve">the time of patenting, and for which </w:t>
      </w:r>
      <w:r w:rsidR="00B54C69">
        <w:t>the inventors have not yet granted rights to the invention to a legal entity.</w:t>
      </w:r>
    </w:p>
    <w:p w:rsidR="0034329D" w:rsidRPr="008E77FE" w:rsidRDefault="0034329D" w:rsidP="00154140">
      <w:pPr>
        <w:pStyle w:val="Source"/>
      </w:pPr>
      <w:r>
        <w:rPr>
          <w:i/>
        </w:rPr>
        <w:t>Source</w:t>
      </w:r>
      <w:r>
        <w:t>: Serrano (2010).</w:t>
      </w:r>
    </w:p>
    <w:p w:rsidR="006F1E27" w:rsidRDefault="0073387C" w:rsidP="00B073DC">
      <w:pPr>
        <w:pStyle w:val="BodyText"/>
      </w:pPr>
      <w:r>
        <w:t xml:space="preserve">IP Australia provided the Commission with </w:t>
      </w:r>
      <w:r w:rsidR="008E71BC">
        <w:t>data on patent assignment</w:t>
      </w:r>
      <w:r w:rsidR="00E95050">
        <w:t>s</w:t>
      </w:r>
      <w:r w:rsidR="008E71BC">
        <w:t xml:space="preserve"> in Australia from its AusPat</w:t>
      </w:r>
      <w:r w:rsidR="00CE0B7E" w:rsidRPr="00CE0B7E">
        <w:t xml:space="preserve"> </w:t>
      </w:r>
      <w:r w:rsidR="00CE0B7E">
        <w:t>system</w:t>
      </w:r>
      <w:r w:rsidR="008E71BC">
        <w:t xml:space="preserve">. </w:t>
      </w:r>
      <w:r w:rsidR="008C7EC2">
        <w:t>As r</w:t>
      </w:r>
      <w:r w:rsidR="004E32E2">
        <w:t xml:space="preserve">egistering an assignment with IP Australia is </w:t>
      </w:r>
      <w:r w:rsidR="00CE0B7E">
        <w:t>optional</w:t>
      </w:r>
      <w:r w:rsidR="00CE4105">
        <w:t>,</w:t>
      </w:r>
      <w:r w:rsidR="004E32E2">
        <w:t xml:space="preserve"> the resulting data </w:t>
      </w:r>
      <w:r w:rsidR="005B6E09">
        <w:t>do not constitute a complete record of patent assignments in Australia.</w:t>
      </w:r>
      <w:r w:rsidR="00301DF4">
        <w:t xml:space="preserve"> The data consist of assignments made by patent applicants under s</w:t>
      </w:r>
      <w:r w:rsidR="0014308D">
        <w:t>.</w:t>
      </w:r>
      <w:r w:rsidR="00B8609E">
        <w:t> </w:t>
      </w:r>
      <w:r w:rsidR="00D27B89">
        <w:t xml:space="preserve">113 of the </w:t>
      </w:r>
      <w:r w:rsidR="00D27B89" w:rsidRPr="00E9445E">
        <w:rPr>
          <w:i/>
        </w:rPr>
        <w:t>Patents Act 1990</w:t>
      </w:r>
      <w:r w:rsidR="00D27B89">
        <w:t xml:space="preserve"> (Cwlth)</w:t>
      </w:r>
      <w:r w:rsidR="00CE4105">
        <w:t>;</w:t>
      </w:r>
      <w:r w:rsidR="002303D7">
        <w:t xml:space="preserve"> assignment</w:t>
      </w:r>
      <w:r w:rsidR="0014308D">
        <w:t>s</w:t>
      </w:r>
      <w:r w:rsidR="002303D7">
        <w:t xml:space="preserve"> made by a patentee under s</w:t>
      </w:r>
      <w:r w:rsidR="0014308D">
        <w:t>.</w:t>
      </w:r>
      <w:r w:rsidR="00B8609E">
        <w:t> 187, reg. </w:t>
      </w:r>
      <w:r w:rsidR="002303D7">
        <w:t>19.1</w:t>
      </w:r>
      <w:r w:rsidR="00CE4105">
        <w:t>;</w:t>
      </w:r>
      <w:r w:rsidR="002303D7">
        <w:t xml:space="preserve"> </w:t>
      </w:r>
      <w:r w:rsidR="00CE4105">
        <w:t>and</w:t>
      </w:r>
      <w:r w:rsidR="002303D7">
        <w:t xml:space="preserve"> requests for assignments.</w:t>
      </w:r>
    </w:p>
    <w:p w:rsidR="00FA1816" w:rsidRDefault="006F1E27" w:rsidP="00B073DC">
      <w:pPr>
        <w:pStyle w:val="BodyText"/>
      </w:pPr>
      <w:r>
        <w:t xml:space="preserve">In 2002, IP Australia </w:t>
      </w:r>
      <w:r w:rsidR="00E40E4C">
        <w:t>changed</w:t>
      </w:r>
      <w:r w:rsidR="00A551B4">
        <w:t xml:space="preserve"> its recording system for patent assignments. Prior to this time, </w:t>
      </w:r>
      <w:r w:rsidR="00FD678F">
        <w:t xml:space="preserve">data were recorded as </w:t>
      </w:r>
      <w:r w:rsidR="001B4C01">
        <w:t xml:space="preserve">assignments by applicants or assignments by patentees. </w:t>
      </w:r>
      <w:r w:rsidR="00444FDB">
        <w:t>Under the newer system data are rec</w:t>
      </w:r>
      <w:r w:rsidR="005771F4">
        <w:t>orded as requests for assignment</w:t>
      </w:r>
      <w:r w:rsidR="00797AAA">
        <w:t xml:space="preserve"> (IP Australia pers. comm.</w:t>
      </w:r>
      <w:r w:rsidR="004448EE">
        <w:t xml:space="preserve"> 19 October 2012</w:t>
      </w:r>
      <w:r w:rsidR="00E74233">
        <w:t>). H</w:t>
      </w:r>
      <w:r w:rsidR="00444FDB">
        <w:t xml:space="preserve">ence, </w:t>
      </w:r>
      <w:r w:rsidR="005771F4">
        <w:t>there is a</w:t>
      </w:r>
      <w:r w:rsidR="00CD28F4">
        <w:t xml:space="preserve"> gradual</w:t>
      </w:r>
      <w:r w:rsidR="005771F4">
        <w:t xml:space="preserve"> reduction in assignments by applicants and assignments by patentees recorded over time</w:t>
      </w:r>
      <w:r w:rsidR="00CD28F4">
        <w:t>, and an increase in requests for assignment</w:t>
      </w:r>
      <w:r w:rsidR="00927CB8">
        <w:t xml:space="preserve"> (table 4.4)</w:t>
      </w:r>
      <w:r w:rsidR="007F12BD">
        <w:t>.</w:t>
      </w:r>
    </w:p>
    <w:p w:rsidR="002303D7" w:rsidRDefault="00C3355E" w:rsidP="00B073DC">
      <w:pPr>
        <w:pStyle w:val="BodyText"/>
      </w:pPr>
      <w:r>
        <w:t xml:space="preserve">Drawing definitive conclusions from these data presents challenges, given </w:t>
      </w:r>
      <w:r w:rsidR="00A17559">
        <w:t>the voluntary</w:t>
      </w:r>
      <w:r>
        <w:t xml:space="preserve"> registra</w:t>
      </w:r>
      <w:r w:rsidR="00A17559">
        <w:t>tion of assignments</w:t>
      </w:r>
      <w:r>
        <w:t xml:space="preserve">. </w:t>
      </w:r>
      <w:r w:rsidR="00C379B4">
        <w:t xml:space="preserve">While fluctuations in the number of registered assignments </w:t>
      </w:r>
      <w:r w:rsidR="00FA1816">
        <w:t>may reflect underlying changes in patents bought and sold, it may also simply be a reflection of changes in the propensity for those entering into agreements to register them.</w:t>
      </w:r>
      <w:r w:rsidR="002F543C">
        <w:t xml:space="preserve"> This makes it difficult to discern the presence of trends in the data, and</w:t>
      </w:r>
      <w:r w:rsidR="00D83C3C">
        <w:t xml:space="preserve"> to determine</w:t>
      </w:r>
      <w:r w:rsidR="002F543C">
        <w:t xml:space="preserve"> why assignment figures vary from year to year.</w:t>
      </w:r>
    </w:p>
    <w:p w:rsidR="00375354" w:rsidRDefault="00375354" w:rsidP="00375354">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sidR="00055D73">
        <w:rPr>
          <w:b w:val="0"/>
        </w:rPr>
        <w:t>4.</w:t>
      </w:r>
      <w:r>
        <w:rPr>
          <w:b w:val="0"/>
        </w:rPr>
        <w:fldChar w:fldCharType="end"/>
      </w:r>
      <w:r>
        <w:rPr>
          <w:b w:val="0"/>
        </w:rPr>
        <w:fldChar w:fldCharType="begin"/>
      </w:r>
      <w:r>
        <w:rPr>
          <w:b w:val="0"/>
        </w:rPr>
        <w:instrText xml:space="preserve"> SEQ Table \* ARABIC </w:instrText>
      </w:r>
      <w:r>
        <w:rPr>
          <w:b w:val="0"/>
        </w:rPr>
        <w:fldChar w:fldCharType="separate"/>
      </w:r>
      <w:r w:rsidR="00614D76">
        <w:rPr>
          <w:b w:val="0"/>
          <w:noProof/>
        </w:rPr>
        <w:t>4</w:t>
      </w:r>
      <w:r>
        <w:rPr>
          <w:b w:val="0"/>
        </w:rPr>
        <w:fldChar w:fldCharType="end"/>
      </w:r>
      <w:r>
        <w:tab/>
        <w:t>Patent assignments and requests for assignments in Australia recorded by IP Australia</w:t>
      </w:r>
      <w:r w:rsidR="000E7C47" w:rsidRPr="00AF6953">
        <w:rPr>
          <w:rStyle w:val="NoteLabel"/>
          <w:b/>
        </w:rPr>
        <w:t>a</w:t>
      </w:r>
    </w:p>
    <w:tbl>
      <w:tblPr>
        <w:tblW w:w="5000" w:type="pct"/>
        <w:tblCellMar>
          <w:left w:w="0" w:type="dxa"/>
          <w:right w:w="0" w:type="dxa"/>
        </w:tblCellMar>
        <w:tblLook w:val="0000" w:firstRow="0" w:lastRow="0" w:firstColumn="0" w:lastColumn="0" w:noHBand="0" w:noVBand="0"/>
      </w:tblPr>
      <w:tblGrid>
        <w:gridCol w:w="1761"/>
        <w:gridCol w:w="1760"/>
        <w:gridCol w:w="1756"/>
        <w:gridCol w:w="1756"/>
        <w:gridCol w:w="1756"/>
      </w:tblGrid>
      <w:tr w:rsidR="008979A2" w:rsidTr="000843D5">
        <w:tc>
          <w:tcPr>
            <w:tcW w:w="1002" w:type="pct"/>
            <w:tcBorders>
              <w:top w:val="single" w:sz="6" w:space="0" w:color="auto"/>
              <w:bottom w:val="single" w:sz="6" w:space="0" w:color="auto"/>
            </w:tcBorders>
            <w:shd w:val="clear" w:color="auto" w:fill="auto"/>
          </w:tcPr>
          <w:p w:rsidR="008979A2" w:rsidRDefault="00E10B40" w:rsidP="006646ED">
            <w:pPr>
              <w:pStyle w:val="TableColumnHeading"/>
              <w:jc w:val="left"/>
            </w:pPr>
            <w:r>
              <w:t>Year</w:t>
            </w:r>
          </w:p>
        </w:tc>
        <w:tc>
          <w:tcPr>
            <w:tcW w:w="1001" w:type="pct"/>
            <w:tcBorders>
              <w:top w:val="single" w:sz="6" w:space="0" w:color="auto"/>
              <w:bottom w:val="single" w:sz="6" w:space="0" w:color="auto"/>
            </w:tcBorders>
            <w:shd w:val="clear" w:color="auto" w:fill="auto"/>
            <w:vAlign w:val="bottom"/>
          </w:tcPr>
          <w:p w:rsidR="008979A2" w:rsidRDefault="008979A2" w:rsidP="00D04BEF">
            <w:pPr>
              <w:pStyle w:val="TableColumnHeading"/>
              <w:spacing w:line="220" w:lineRule="exact"/>
            </w:pPr>
            <w:r>
              <w:t xml:space="preserve">Assignments by applicants </w:t>
            </w:r>
            <w:r>
              <w:rPr>
                <w:rStyle w:val="NoteLabel"/>
              </w:rPr>
              <w:t>b</w:t>
            </w:r>
          </w:p>
        </w:tc>
        <w:tc>
          <w:tcPr>
            <w:tcW w:w="999" w:type="pct"/>
            <w:tcBorders>
              <w:top w:val="single" w:sz="6" w:space="0" w:color="auto"/>
              <w:bottom w:val="single" w:sz="6" w:space="0" w:color="auto"/>
            </w:tcBorders>
            <w:vAlign w:val="bottom"/>
          </w:tcPr>
          <w:p w:rsidR="008979A2" w:rsidRDefault="008979A2" w:rsidP="00D04BEF">
            <w:pPr>
              <w:pStyle w:val="TableColumnHeading"/>
              <w:spacing w:line="220" w:lineRule="exact"/>
              <w:ind w:right="28"/>
            </w:pPr>
            <w:r>
              <w:t>Assignments by patentees</w:t>
            </w:r>
            <w:r>
              <w:rPr>
                <w:rStyle w:val="NoteLabel"/>
              </w:rPr>
              <w:t>c</w:t>
            </w:r>
          </w:p>
        </w:tc>
        <w:tc>
          <w:tcPr>
            <w:tcW w:w="999" w:type="pct"/>
            <w:tcBorders>
              <w:top w:val="single" w:sz="6" w:space="0" w:color="auto"/>
              <w:bottom w:val="single" w:sz="6" w:space="0" w:color="auto"/>
            </w:tcBorders>
            <w:vAlign w:val="bottom"/>
          </w:tcPr>
          <w:p w:rsidR="008979A2" w:rsidRDefault="008979A2" w:rsidP="00D04BEF">
            <w:pPr>
              <w:pStyle w:val="TableColumnHeading"/>
              <w:spacing w:line="220" w:lineRule="exact"/>
              <w:ind w:right="28"/>
            </w:pPr>
            <w:r>
              <w:t>Requests for assignment</w:t>
            </w:r>
          </w:p>
        </w:tc>
        <w:tc>
          <w:tcPr>
            <w:tcW w:w="999" w:type="pct"/>
            <w:tcBorders>
              <w:top w:val="single" w:sz="6" w:space="0" w:color="auto"/>
              <w:bottom w:val="single" w:sz="6" w:space="0" w:color="auto"/>
            </w:tcBorders>
            <w:vAlign w:val="bottom"/>
          </w:tcPr>
          <w:p w:rsidR="008979A2" w:rsidRDefault="008979A2" w:rsidP="00D04BEF">
            <w:pPr>
              <w:pStyle w:val="TableColumnHeading"/>
              <w:spacing w:line="220" w:lineRule="exact"/>
              <w:ind w:right="28"/>
            </w:pPr>
            <w:r>
              <w:t>Total</w:t>
            </w:r>
          </w:p>
        </w:tc>
      </w:tr>
      <w:tr w:rsidR="008979A2" w:rsidTr="008979A2">
        <w:tc>
          <w:tcPr>
            <w:tcW w:w="1002" w:type="pct"/>
            <w:tcBorders>
              <w:top w:val="single" w:sz="6" w:space="0" w:color="auto"/>
            </w:tcBorders>
          </w:tcPr>
          <w:p w:rsidR="008979A2" w:rsidRDefault="008979A2" w:rsidP="006646ED">
            <w:pPr>
              <w:pStyle w:val="TableUnitsRow"/>
              <w:jc w:val="left"/>
            </w:pPr>
            <w:r>
              <w:t>2000</w:t>
            </w:r>
          </w:p>
        </w:tc>
        <w:tc>
          <w:tcPr>
            <w:tcW w:w="1001" w:type="pct"/>
            <w:tcBorders>
              <w:top w:val="single" w:sz="6" w:space="0" w:color="auto"/>
            </w:tcBorders>
          </w:tcPr>
          <w:p w:rsidR="008979A2" w:rsidRDefault="008979A2" w:rsidP="006646ED">
            <w:pPr>
              <w:pStyle w:val="TableUnitsRow"/>
            </w:pPr>
            <w:r>
              <w:t>1 226</w:t>
            </w:r>
          </w:p>
        </w:tc>
        <w:tc>
          <w:tcPr>
            <w:tcW w:w="999" w:type="pct"/>
            <w:tcBorders>
              <w:top w:val="single" w:sz="6" w:space="0" w:color="auto"/>
            </w:tcBorders>
          </w:tcPr>
          <w:p w:rsidR="008979A2" w:rsidRDefault="008979A2" w:rsidP="006646ED">
            <w:pPr>
              <w:pStyle w:val="TableUnitsRow"/>
              <w:ind w:right="28"/>
            </w:pPr>
            <w:r>
              <w:t>1 984</w:t>
            </w:r>
          </w:p>
        </w:tc>
        <w:tc>
          <w:tcPr>
            <w:tcW w:w="999" w:type="pct"/>
            <w:tcBorders>
              <w:top w:val="single" w:sz="6" w:space="0" w:color="auto"/>
            </w:tcBorders>
          </w:tcPr>
          <w:p w:rsidR="008979A2" w:rsidRDefault="00C51369" w:rsidP="00294525">
            <w:pPr>
              <w:pStyle w:val="TableUnitsRow"/>
              <w:ind w:right="28"/>
            </w:pPr>
            <w:r>
              <w:t>..</w:t>
            </w:r>
          </w:p>
        </w:tc>
        <w:tc>
          <w:tcPr>
            <w:tcW w:w="999" w:type="pct"/>
            <w:tcBorders>
              <w:top w:val="single" w:sz="6" w:space="0" w:color="auto"/>
            </w:tcBorders>
          </w:tcPr>
          <w:p w:rsidR="008979A2" w:rsidRDefault="0036061B" w:rsidP="006646ED">
            <w:pPr>
              <w:pStyle w:val="TableUnitsRow"/>
              <w:ind w:right="28"/>
            </w:pPr>
            <w:r>
              <w:t>3 210</w:t>
            </w:r>
          </w:p>
        </w:tc>
      </w:tr>
      <w:tr w:rsidR="008979A2" w:rsidTr="008979A2">
        <w:tc>
          <w:tcPr>
            <w:tcW w:w="1002" w:type="pct"/>
          </w:tcPr>
          <w:p w:rsidR="008979A2" w:rsidRDefault="008979A2" w:rsidP="006646ED">
            <w:pPr>
              <w:pStyle w:val="TableBodyText"/>
              <w:jc w:val="left"/>
            </w:pPr>
            <w:r>
              <w:t>2001</w:t>
            </w:r>
          </w:p>
        </w:tc>
        <w:tc>
          <w:tcPr>
            <w:tcW w:w="1001" w:type="pct"/>
          </w:tcPr>
          <w:p w:rsidR="008979A2" w:rsidRDefault="008979A2" w:rsidP="006646ED">
            <w:pPr>
              <w:pStyle w:val="TableBodyText"/>
            </w:pPr>
            <w:r>
              <w:t>1 390</w:t>
            </w:r>
          </w:p>
        </w:tc>
        <w:tc>
          <w:tcPr>
            <w:tcW w:w="999" w:type="pct"/>
          </w:tcPr>
          <w:p w:rsidR="008979A2" w:rsidRDefault="008979A2" w:rsidP="006646ED">
            <w:pPr>
              <w:pStyle w:val="TableBodyText"/>
              <w:ind w:right="28"/>
            </w:pPr>
            <w:r>
              <w:t>1 983</w:t>
            </w:r>
          </w:p>
        </w:tc>
        <w:tc>
          <w:tcPr>
            <w:tcW w:w="999" w:type="pct"/>
          </w:tcPr>
          <w:p w:rsidR="008979A2" w:rsidRDefault="00C51369" w:rsidP="00294525">
            <w:pPr>
              <w:pStyle w:val="TableBodyText"/>
              <w:ind w:right="28"/>
            </w:pPr>
            <w:r>
              <w:t>..</w:t>
            </w:r>
          </w:p>
        </w:tc>
        <w:tc>
          <w:tcPr>
            <w:tcW w:w="999" w:type="pct"/>
          </w:tcPr>
          <w:p w:rsidR="008979A2" w:rsidRDefault="00B710DE" w:rsidP="006646ED">
            <w:pPr>
              <w:pStyle w:val="TableBodyText"/>
              <w:ind w:right="28"/>
            </w:pPr>
            <w:r>
              <w:t>3 373</w:t>
            </w:r>
          </w:p>
        </w:tc>
      </w:tr>
      <w:tr w:rsidR="008979A2" w:rsidTr="008979A2">
        <w:tc>
          <w:tcPr>
            <w:tcW w:w="1002" w:type="pct"/>
          </w:tcPr>
          <w:p w:rsidR="008979A2" w:rsidRDefault="008979A2" w:rsidP="006646ED">
            <w:pPr>
              <w:pStyle w:val="TableBodyText"/>
              <w:jc w:val="left"/>
            </w:pPr>
            <w:r>
              <w:t>2002</w:t>
            </w:r>
          </w:p>
        </w:tc>
        <w:tc>
          <w:tcPr>
            <w:tcW w:w="1001" w:type="pct"/>
          </w:tcPr>
          <w:p w:rsidR="008979A2" w:rsidRDefault="008979A2" w:rsidP="006646ED">
            <w:pPr>
              <w:pStyle w:val="TableBodyText"/>
            </w:pPr>
            <w:r>
              <w:t>1 522</w:t>
            </w:r>
          </w:p>
        </w:tc>
        <w:tc>
          <w:tcPr>
            <w:tcW w:w="999" w:type="pct"/>
          </w:tcPr>
          <w:p w:rsidR="008979A2" w:rsidRDefault="008979A2" w:rsidP="006646ED">
            <w:pPr>
              <w:pStyle w:val="TableBodyText"/>
              <w:ind w:right="28"/>
            </w:pPr>
            <w:r>
              <w:t>2 105</w:t>
            </w:r>
          </w:p>
        </w:tc>
        <w:tc>
          <w:tcPr>
            <w:tcW w:w="999" w:type="pct"/>
          </w:tcPr>
          <w:p w:rsidR="008979A2" w:rsidRDefault="008979A2" w:rsidP="00294525">
            <w:pPr>
              <w:pStyle w:val="TableBodyText"/>
              <w:ind w:right="28"/>
            </w:pPr>
            <w:r>
              <w:t>38</w:t>
            </w:r>
          </w:p>
        </w:tc>
        <w:tc>
          <w:tcPr>
            <w:tcW w:w="999" w:type="pct"/>
          </w:tcPr>
          <w:p w:rsidR="008979A2" w:rsidRDefault="00B710DE" w:rsidP="006646ED">
            <w:pPr>
              <w:pStyle w:val="TableBodyText"/>
              <w:ind w:right="28"/>
            </w:pPr>
            <w:r>
              <w:t>3 665</w:t>
            </w:r>
          </w:p>
        </w:tc>
      </w:tr>
      <w:tr w:rsidR="008979A2" w:rsidTr="008979A2">
        <w:tc>
          <w:tcPr>
            <w:tcW w:w="1002" w:type="pct"/>
          </w:tcPr>
          <w:p w:rsidR="008979A2" w:rsidRDefault="008979A2" w:rsidP="006646ED">
            <w:pPr>
              <w:pStyle w:val="TableBodyText"/>
              <w:jc w:val="left"/>
            </w:pPr>
            <w:r>
              <w:t>2003</w:t>
            </w:r>
          </w:p>
        </w:tc>
        <w:tc>
          <w:tcPr>
            <w:tcW w:w="1001" w:type="pct"/>
          </w:tcPr>
          <w:p w:rsidR="008979A2" w:rsidRDefault="008979A2" w:rsidP="006646ED">
            <w:pPr>
              <w:pStyle w:val="TableBodyText"/>
            </w:pPr>
            <w:r>
              <w:t>1 101</w:t>
            </w:r>
          </w:p>
        </w:tc>
        <w:tc>
          <w:tcPr>
            <w:tcW w:w="999" w:type="pct"/>
          </w:tcPr>
          <w:p w:rsidR="008979A2" w:rsidRDefault="008979A2" w:rsidP="006646ED">
            <w:pPr>
              <w:pStyle w:val="TableBodyText"/>
              <w:ind w:right="28"/>
            </w:pPr>
            <w:r>
              <w:t>2 322</w:t>
            </w:r>
          </w:p>
        </w:tc>
        <w:tc>
          <w:tcPr>
            <w:tcW w:w="999" w:type="pct"/>
          </w:tcPr>
          <w:p w:rsidR="008979A2" w:rsidRDefault="008979A2" w:rsidP="00294525">
            <w:pPr>
              <w:pStyle w:val="TableBodyText"/>
              <w:ind w:right="28"/>
            </w:pPr>
            <w:r>
              <w:t>689</w:t>
            </w:r>
          </w:p>
        </w:tc>
        <w:tc>
          <w:tcPr>
            <w:tcW w:w="999" w:type="pct"/>
          </w:tcPr>
          <w:p w:rsidR="008979A2" w:rsidRDefault="006F3209" w:rsidP="006646ED">
            <w:pPr>
              <w:pStyle w:val="TableBodyText"/>
              <w:ind w:right="28"/>
            </w:pPr>
            <w:r>
              <w:t>4 112</w:t>
            </w:r>
          </w:p>
        </w:tc>
      </w:tr>
      <w:tr w:rsidR="008979A2" w:rsidTr="008979A2">
        <w:tc>
          <w:tcPr>
            <w:tcW w:w="1002" w:type="pct"/>
          </w:tcPr>
          <w:p w:rsidR="008979A2" w:rsidRDefault="008979A2" w:rsidP="006646ED">
            <w:pPr>
              <w:pStyle w:val="TableBodyText"/>
              <w:jc w:val="left"/>
            </w:pPr>
            <w:r>
              <w:t>2004</w:t>
            </w:r>
          </w:p>
        </w:tc>
        <w:tc>
          <w:tcPr>
            <w:tcW w:w="1001" w:type="pct"/>
          </w:tcPr>
          <w:p w:rsidR="008979A2" w:rsidRDefault="008979A2" w:rsidP="006646ED">
            <w:pPr>
              <w:pStyle w:val="TableBodyText"/>
            </w:pPr>
            <w:r>
              <w:t>608</w:t>
            </w:r>
          </w:p>
        </w:tc>
        <w:tc>
          <w:tcPr>
            <w:tcW w:w="999" w:type="pct"/>
          </w:tcPr>
          <w:p w:rsidR="008979A2" w:rsidRDefault="008979A2" w:rsidP="006646ED">
            <w:pPr>
              <w:pStyle w:val="TableBodyText"/>
              <w:ind w:right="28"/>
            </w:pPr>
            <w:r>
              <w:t>2 156</w:t>
            </w:r>
          </w:p>
        </w:tc>
        <w:tc>
          <w:tcPr>
            <w:tcW w:w="999" w:type="pct"/>
          </w:tcPr>
          <w:p w:rsidR="008979A2" w:rsidRDefault="008979A2" w:rsidP="00294525">
            <w:pPr>
              <w:pStyle w:val="TableBodyText"/>
              <w:ind w:right="28"/>
            </w:pPr>
            <w:r>
              <w:t>1 204</w:t>
            </w:r>
          </w:p>
        </w:tc>
        <w:tc>
          <w:tcPr>
            <w:tcW w:w="999" w:type="pct"/>
          </w:tcPr>
          <w:p w:rsidR="008979A2" w:rsidRDefault="009C4EFD" w:rsidP="006646ED">
            <w:pPr>
              <w:pStyle w:val="TableBodyText"/>
              <w:ind w:right="28"/>
            </w:pPr>
            <w:r>
              <w:t>3 968</w:t>
            </w:r>
          </w:p>
        </w:tc>
      </w:tr>
      <w:tr w:rsidR="008979A2" w:rsidTr="008979A2">
        <w:tc>
          <w:tcPr>
            <w:tcW w:w="1002" w:type="pct"/>
          </w:tcPr>
          <w:p w:rsidR="008979A2" w:rsidRDefault="008979A2" w:rsidP="006646ED">
            <w:pPr>
              <w:pStyle w:val="TableBodyText"/>
              <w:jc w:val="left"/>
            </w:pPr>
            <w:r>
              <w:t>2005</w:t>
            </w:r>
          </w:p>
        </w:tc>
        <w:tc>
          <w:tcPr>
            <w:tcW w:w="1001" w:type="pct"/>
          </w:tcPr>
          <w:p w:rsidR="008979A2" w:rsidRDefault="008979A2" w:rsidP="006646ED">
            <w:pPr>
              <w:pStyle w:val="TableBodyText"/>
            </w:pPr>
            <w:r>
              <w:t>219</w:t>
            </w:r>
          </w:p>
        </w:tc>
        <w:tc>
          <w:tcPr>
            <w:tcW w:w="999" w:type="pct"/>
          </w:tcPr>
          <w:p w:rsidR="008979A2" w:rsidRDefault="008979A2" w:rsidP="006646ED">
            <w:pPr>
              <w:pStyle w:val="TableBodyText"/>
              <w:ind w:right="28"/>
            </w:pPr>
            <w:r>
              <w:t>1 679</w:t>
            </w:r>
          </w:p>
        </w:tc>
        <w:tc>
          <w:tcPr>
            <w:tcW w:w="999" w:type="pct"/>
          </w:tcPr>
          <w:p w:rsidR="008979A2" w:rsidRDefault="008979A2" w:rsidP="00294525">
            <w:pPr>
              <w:pStyle w:val="TableBodyText"/>
              <w:ind w:right="28"/>
            </w:pPr>
            <w:r>
              <w:t>1 714</w:t>
            </w:r>
          </w:p>
        </w:tc>
        <w:tc>
          <w:tcPr>
            <w:tcW w:w="999" w:type="pct"/>
          </w:tcPr>
          <w:p w:rsidR="008979A2" w:rsidRDefault="009C4EFD" w:rsidP="006646ED">
            <w:pPr>
              <w:pStyle w:val="TableBodyText"/>
              <w:ind w:right="28"/>
            </w:pPr>
            <w:r>
              <w:t>3 612</w:t>
            </w:r>
          </w:p>
        </w:tc>
      </w:tr>
      <w:tr w:rsidR="008979A2" w:rsidTr="008979A2">
        <w:tc>
          <w:tcPr>
            <w:tcW w:w="1002" w:type="pct"/>
          </w:tcPr>
          <w:p w:rsidR="008979A2" w:rsidRDefault="008979A2" w:rsidP="006646ED">
            <w:pPr>
              <w:pStyle w:val="TableBodyText"/>
              <w:jc w:val="left"/>
            </w:pPr>
            <w:r>
              <w:t>2006</w:t>
            </w:r>
          </w:p>
        </w:tc>
        <w:tc>
          <w:tcPr>
            <w:tcW w:w="1001" w:type="pct"/>
          </w:tcPr>
          <w:p w:rsidR="008979A2" w:rsidRDefault="008979A2" w:rsidP="006646ED">
            <w:pPr>
              <w:pStyle w:val="TableBodyText"/>
            </w:pPr>
            <w:r>
              <w:t>72</w:t>
            </w:r>
          </w:p>
        </w:tc>
        <w:tc>
          <w:tcPr>
            <w:tcW w:w="999" w:type="pct"/>
          </w:tcPr>
          <w:p w:rsidR="008979A2" w:rsidRDefault="008979A2" w:rsidP="006646ED">
            <w:pPr>
              <w:pStyle w:val="TableBodyText"/>
              <w:ind w:right="28"/>
            </w:pPr>
            <w:r>
              <w:t>1 855</w:t>
            </w:r>
          </w:p>
        </w:tc>
        <w:tc>
          <w:tcPr>
            <w:tcW w:w="999" w:type="pct"/>
          </w:tcPr>
          <w:p w:rsidR="008979A2" w:rsidRDefault="008979A2" w:rsidP="00294525">
            <w:pPr>
              <w:pStyle w:val="TableBodyText"/>
              <w:ind w:right="28"/>
            </w:pPr>
            <w:r>
              <w:t>3 232</w:t>
            </w:r>
          </w:p>
        </w:tc>
        <w:tc>
          <w:tcPr>
            <w:tcW w:w="999" w:type="pct"/>
          </w:tcPr>
          <w:p w:rsidR="008979A2" w:rsidRDefault="005C6905" w:rsidP="006646ED">
            <w:pPr>
              <w:pStyle w:val="TableBodyText"/>
              <w:ind w:right="28"/>
            </w:pPr>
            <w:r>
              <w:t>5 159</w:t>
            </w:r>
          </w:p>
        </w:tc>
      </w:tr>
      <w:tr w:rsidR="008979A2" w:rsidTr="008979A2">
        <w:tc>
          <w:tcPr>
            <w:tcW w:w="1002" w:type="pct"/>
          </w:tcPr>
          <w:p w:rsidR="008979A2" w:rsidRDefault="008979A2" w:rsidP="006646ED">
            <w:pPr>
              <w:pStyle w:val="TableBodyText"/>
              <w:jc w:val="left"/>
            </w:pPr>
            <w:r>
              <w:t>2007</w:t>
            </w:r>
          </w:p>
        </w:tc>
        <w:tc>
          <w:tcPr>
            <w:tcW w:w="1001" w:type="pct"/>
          </w:tcPr>
          <w:p w:rsidR="008979A2" w:rsidRDefault="008979A2" w:rsidP="006646ED">
            <w:pPr>
              <w:pStyle w:val="TableBodyText"/>
            </w:pPr>
            <w:r>
              <w:t>16</w:t>
            </w:r>
          </w:p>
        </w:tc>
        <w:tc>
          <w:tcPr>
            <w:tcW w:w="999" w:type="pct"/>
          </w:tcPr>
          <w:p w:rsidR="008979A2" w:rsidRDefault="008979A2" w:rsidP="006646ED">
            <w:pPr>
              <w:pStyle w:val="TableBodyText"/>
              <w:ind w:right="28"/>
            </w:pPr>
            <w:r>
              <w:t>1 427</w:t>
            </w:r>
          </w:p>
        </w:tc>
        <w:tc>
          <w:tcPr>
            <w:tcW w:w="999" w:type="pct"/>
          </w:tcPr>
          <w:p w:rsidR="008979A2" w:rsidRDefault="008979A2" w:rsidP="00294525">
            <w:pPr>
              <w:pStyle w:val="TableBodyText"/>
              <w:ind w:right="28"/>
            </w:pPr>
            <w:r>
              <w:t>4 143</w:t>
            </w:r>
          </w:p>
        </w:tc>
        <w:tc>
          <w:tcPr>
            <w:tcW w:w="999" w:type="pct"/>
          </w:tcPr>
          <w:p w:rsidR="008979A2" w:rsidRDefault="005F6FDD" w:rsidP="006646ED">
            <w:pPr>
              <w:pStyle w:val="TableBodyText"/>
              <w:ind w:right="28"/>
            </w:pPr>
            <w:r>
              <w:t>5 586</w:t>
            </w:r>
          </w:p>
        </w:tc>
      </w:tr>
      <w:tr w:rsidR="008979A2" w:rsidTr="008979A2">
        <w:tc>
          <w:tcPr>
            <w:tcW w:w="1002" w:type="pct"/>
          </w:tcPr>
          <w:p w:rsidR="008979A2" w:rsidRDefault="008979A2" w:rsidP="006646ED">
            <w:pPr>
              <w:pStyle w:val="TableBodyText"/>
              <w:jc w:val="left"/>
            </w:pPr>
            <w:r>
              <w:t>2008</w:t>
            </w:r>
          </w:p>
        </w:tc>
        <w:tc>
          <w:tcPr>
            <w:tcW w:w="1001" w:type="pct"/>
          </w:tcPr>
          <w:p w:rsidR="008979A2" w:rsidRDefault="008979A2" w:rsidP="006646ED">
            <w:pPr>
              <w:pStyle w:val="TableBodyText"/>
            </w:pPr>
            <w:r>
              <w:t>13</w:t>
            </w:r>
          </w:p>
        </w:tc>
        <w:tc>
          <w:tcPr>
            <w:tcW w:w="999" w:type="pct"/>
          </w:tcPr>
          <w:p w:rsidR="008979A2" w:rsidRDefault="008979A2" w:rsidP="006646ED">
            <w:pPr>
              <w:pStyle w:val="TableBodyText"/>
              <w:ind w:right="28"/>
            </w:pPr>
            <w:r>
              <w:t>1 321</w:t>
            </w:r>
          </w:p>
        </w:tc>
        <w:tc>
          <w:tcPr>
            <w:tcW w:w="999" w:type="pct"/>
          </w:tcPr>
          <w:p w:rsidR="008979A2" w:rsidRDefault="008979A2" w:rsidP="00294525">
            <w:pPr>
              <w:pStyle w:val="TableBodyText"/>
              <w:ind w:right="28"/>
            </w:pPr>
            <w:r>
              <w:t>2 905</w:t>
            </w:r>
          </w:p>
        </w:tc>
        <w:tc>
          <w:tcPr>
            <w:tcW w:w="999" w:type="pct"/>
          </w:tcPr>
          <w:p w:rsidR="008979A2" w:rsidRDefault="00EA3CF0" w:rsidP="006646ED">
            <w:pPr>
              <w:pStyle w:val="TableBodyText"/>
              <w:ind w:right="28"/>
            </w:pPr>
            <w:r>
              <w:t>4 239</w:t>
            </w:r>
          </w:p>
        </w:tc>
      </w:tr>
      <w:tr w:rsidR="008979A2" w:rsidTr="008979A2">
        <w:tc>
          <w:tcPr>
            <w:tcW w:w="1002" w:type="pct"/>
          </w:tcPr>
          <w:p w:rsidR="008979A2" w:rsidRDefault="008979A2" w:rsidP="006646ED">
            <w:pPr>
              <w:pStyle w:val="TableBodyText"/>
              <w:jc w:val="left"/>
            </w:pPr>
            <w:r>
              <w:t>2009</w:t>
            </w:r>
          </w:p>
        </w:tc>
        <w:tc>
          <w:tcPr>
            <w:tcW w:w="1001" w:type="pct"/>
          </w:tcPr>
          <w:p w:rsidR="008979A2" w:rsidRDefault="008979A2" w:rsidP="006646ED">
            <w:pPr>
              <w:pStyle w:val="TableBodyText"/>
            </w:pPr>
            <w:r>
              <w:t>4</w:t>
            </w:r>
          </w:p>
        </w:tc>
        <w:tc>
          <w:tcPr>
            <w:tcW w:w="999" w:type="pct"/>
          </w:tcPr>
          <w:p w:rsidR="008979A2" w:rsidRDefault="008979A2" w:rsidP="006646ED">
            <w:pPr>
              <w:pStyle w:val="TableBodyText"/>
              <w:ind w:right="28"/>
            </w:pPr>
            <w:r>
              <w:t>997</w:t>
            </w:r>
          </w:p>
        </w:tc>
        <w:tc>
          <w:tcPr>
            <w:tcW w:w="999" w:type="pct"/>
          </w:tcPr>
          <w:p w:rsidR="008979A2" w:rsidRDefault="008979A2" w:rsidP="00294525">
            <w:pPr>
              <w:pStyle w:val="TableBodyText"/>
              <w:ind w:right="28"/>
            </w:pPr>
            <w:r>
              <w:t>3 054</w:t>
            </w:r>
          </w:p>
        </w:tc>
        <w:tc>
          <w:tcPr>
            <w:tcW w:w="999" w:type="pct"/>
          </w:tcPr>
          <w:p w:rsidR="008979A2" w:rsidRDefault="009B2209" w:rsidP="006646ED">
            <w:pPr>
              <w:pStyle w:val="TableBodyText"/>
              <w:ind w:right="28"/>
            </w:pPr>
            <w:r>
              <w:t>4 055</w:t>
            </w:r>
          </w:p>
        </w:tc>
      </w:tr>
      <w:tr w:rsidR="008979A2" w:rsidTr="008979A2">
        <w:tc>
          <w:tcPr>
            <w:tcW w:w="1002" w:type="pct"/>
          </w:tcPr>
          <w:p w:rsidR="008979A2" w:rsidRDefault="008979A2" w:rsidP="006646ED">
            <w:pPr>
              <w:pStyle w:val="TableBodyText"/>
              <w:jc w:val="left"/>
            </w:pPr>
            <w:r>
              <w:t>2010</w:t>
            </w:r>
          </w:p>
        </w:tc>
        <w:tc>
          <w:tcPr>
            <w:tcW w:w="1001" w:type="pct"/>
          </w:tcPr>
          <w:p w:rsidR="008979A2" w:rsidRDefault="008979A2" w:rsidP="006646ED">
            <w:pPr>
              <w:pStyle w:val="TableBodyText"/>
            </w:pPr>
            <w:r>
              <w:t>2</w:t>
            </w:r>
          </w:p>
        </w:tc>
        <w:tc>
          <w:tcPr>
            <w:tcW w:w="999" w:type="pct"/>
          </w:tcPr>
          <w:p w:rsidR="008979A2" w:rsidRDefault="008979A2" w:rsidP="006646ED">
            <w:pPr>
              <w:pStyle w:val="TableBodyText"/>
              <w:ind w:right="28"/>
            </w:pPr>
            <w:r>
              <w:t>1 105</w:t>
            </w:r>
          </w:p>
        </w:tc>
        <w:tc>
          <w:tcPr>
            <w:tcW w:w="999" w:type="pct"/>
          </w:tcPr>
          <w:p w:rsidR="008979A2" w:rsidRDefault="008979A2" w:rsidP="00294525">
            <w:pPr>
              <w:pStyle w:val="TableBodyText"/>
              <w:ind w:right="28"/>
            </w:pPr>
            <w:r>
              <w:t>2 763</w:t>
            </w:r>
          </w:p>
        </w:tc>
        <w:tc>
          <w:tcPr>
            <w:tcW w:w="999" w:type="pct"/>
          </w:tcPr>
          <w:p w:rsidR="008979A2" w:rsidRDefault="00475BCA" w:rsidP="006646ED">
            <w:pPr>
              <w:pStyle w:val="TableBodyText"/>
              <w:ind w:right="28"/>
            </w:pPr>
            <w:r>
              <w:t>3 870</w:t>
            </w:r>
          </w:p>
        </w:tc>
      </w:tr>
      <w:tr w:rsidR="008979A2" w:rsidTr="008979A2">
        <w:tc>
          <w:tcPr>
            <w:tcW w:w="1002" w:type="pct"/>
          </w:tcPr>
          <w:p w:rsidR="008979A2" w:rsidRDefault="008979A2" w:rsidP="006646ED">
            <w:pPr>
              <w:pStyle w:val="TableBodyText"/>
              <w:jc w:val="left"/>
            </w:pPr>
            <w:r>
              <w:t>2011</w:t>
            </w:r>
          </w:p>
        </w:tc>
        <w:tc>
          <w:tcPr>
            <w:tcW w:w="1001" w:type="pct"/>
          </w:tcPr>
          <w:p w:rsidR="008979A2" w:rsidRDefault="00C51369" w:rsidP="006646ED">
            <w:pPr>
              <w:pStyle w:val="TableBodyText"/>
            </w:pPr>
            <w:r>
              <w:t>..</w:t>
            </w:r>
          </w:p>
        </w:tc>
        <w:tc>
          <w:tcPr>
            <w:tcW w:w="999" w:type="pct"/>
          </w:tcPr>
          <w:p w:rsidR="008979A2" w:rsidRDefault="008979A2" w:rsidP="006646ED">
            <w:pPr>
              <w:pStyle w:val="TableBodyText"/>
              <w:ind w:right="28"/>
            </w:pPr>
            <w:r>
              <w:t>677</w:t>
            </w:r>
          </w:p>
        </w:tc>
        <w:tc>
          <w:tcPr>
            <w:tcW w:w="999" w:type="pct"/>
          </w:tcPr>
          <w:p w:rsidR="008979A2" w:rsidRDefault="008979A2" w:rsidP="00294525">
            <w:pPr>
              <w:pStyle w:val="TableBodyText"/>
              <w:ind w:right="28"/>
            </w:pPr>
            <w:r>
              <w:t>3 113</w:t>
            </w:r>
          </w:p>
        </w:tc>
        <w:tc>
          <w:tcPr>
            <w:tcW w:w="999" w:type="pct"/>
          </w:tcPr>
          <w:p w:rsidR="008979A2" w:rsidRDefault="00C51369" w:rsidP="006646ED">
            <w:pPr>
              <w:pStyle w:val="TableBodyText"/>
              <w:ind w:right="28"/>
            </w:pPr>
            <w:r>
              <w:t>3 790</w:t>
            </w:r>
          </w:p>
        </w:tc>
      </w:tr>
      <w:tr w:rsidR="008979A2" w:rsidTr="008979A2">
        <w:tc>
          <w:tcPr>
            <w:tcW w:w="1002" w:type="pct"/>
            <w:tcBorders>
              <w:bottom w:val="single" w:sz="6" w:space="0" w:color="auto"/>
            </w:tcBorders>
            <w:shd w:val="clear" w:color="auto" w:fill="auto"/>
          </w:tcPr>
          <w:p w:rsidR="008979A2" w:rsidRDefault="008979A2" w:rsidP="006646ED">
            <w:pPr>
              <w:pStyle w:val="TableBodyText"/>
              <w:jc w:val="left"/>
            </w:pPr>
            <w:r>
              <w:t>Total</w:t>
            </w:r>
          </w:p>
        </w:tc>
        <w:tc>
          <w:tcPr>
            <w:tcW w:w="1001" w:type="pct"/>
            <w:tcBorders>
              <w:bottom w:val="single" w:sz="6" w:space="0" w:color="auto"/>
            </w:tcBorders>
            <w:shd w:val="clear" w:color="auto" w:fill="auto"/>
          </w:tcPr>
          <w:p w:rsidR="008979A2" w:rsidRDefault="008979A2" w:rsidP="006646ED">
            <w:pPr>
              <w:pStyle w:val="TableBodyText"/>
            </w:pPr>
            <w:r>
              <w:t>6 173</w:t>
            </w:r>
          </w:p>
        </w:tc>
        <w:tc>
          <w:tcPr>
            <w:tcW w:w="999" w:type="pct"/>
            <w:tcBorders>
              <w:bottom w:val="single" w:sz="6" w:space="0" w:color="auto"/>
            </w:tcBorders>
          </w:tcPr>
          <w:p w:rsidR="008979A2" w:rsidRDefault="008979A2" w:rsidP="006646ED">
            <w:pPr>
              <w:pStyle w:val="TableBodyText"/>
              <w:ind w:right="28"/>
            </w:pPr>
            <w:r>
              <w:t>19 611</w:t>
            </w:r>
          </w:p>
        </w:tc>
        <w:tc>
          <w:tcPr>
            <w:tcW w:w="999" w:type="pct"/>
            <w:tcBorders>
              <w:bottom w:val="single" w:sz="6" w:space="0" w:color="auto"/>
            </w:tcBorders>
          </w:tcPr>
          <w:p w:rsidR="008979A2" w:rsidRDefault="008979A2" w:rsidP="00294525">
            <w:pPr>
              <w:pStyle w:val="TableBodyText"/>
              <w:ind w:right="28"/>
            </w:pPr>
            <w:r>
              <w:t>22 855</w:t>
            </w:r>
          </w:p>
        </w:tc>
        <w:tc>
          <w:tcPr>
            <w:tcW w:w="999" w:type="pct"/>
            <w:tcBorders>
              <w:bottom w:val="single" w:sz="6" w:space="0" w:color="auto"/>
            </w:tcBorders>
          </w:tcPr>
          <w:p w:rsidR="008979A2" w:rsidRDefault="00C51369" w:rsidP="006646ED">
            <w:pPr>
              <w:pStyle w:val="TableBodyText"/>
              <w:ind w:right="28"/>
            </w:pPr>
            <w:r>
              <w:t>48 639</w:t>
            </w:r>
          </w:p>
        </w:tc>
      </w:tr>
    </w:tbl>
    <w:p w:rsidR="00375354" w:rsidRDefault="00375354" w:rsidP="006646ED">
      <w:pPr>
        <w:pStyle w:val="Note"/>
      </w:pPr>
      <w:r w:rsidRPr="008E77FE">
        <w:rPr>
          <w:rStyle w:val="NoteLabel"/>
        </w:rPr>
        <w:t>a</w:t>
      </w:r>
      <w:r w:rsidR="008A7907">
        <w:t xml:space="preserve"> </w:t>
      </w:r>
      <w:r w:rsidR="00951776">
        <w:t>These d</w:t>
      </w:r>
      <w:r w:rsidR="00F205B3">
        <w:t>ata</w:t>
      </w:r>
      <w:r w:rsidR="00B37D8A">
        <w:t xml:space="preserve"> under-report</w:t>
      </w:r>
      <w:r w:rsidR="00B773CC">
        <w:t xml:space="preserve"> patent assignments in Australia</w:t>
      </w:r>
      <w:r w:rsidR="00941A80">
        <w:t xml:space="preserve"> since registration of assignments with IP Australia is optional</w:t>
      </w:r>
      <w:r w:rsidR="00B773CC">
        <w:t>.</w:t>
      </w:r>
      <w:r w:rsidR="000E7C47">
        <w:t xml:space="preserve"> </w:t>
      </w:r>
      <w:r w:rsidR="000E7C47" w:rsidRPr="000E7C47">
        <w:rPr>
          <w:rStyle w:val="NoteLabel"/>
        </w:rPr>
        <w:t>b</w:t>
      </w:r>
      <w:r w:rsidR="000E7C47">
        <w:t xml:space="preserve"> </w:t>
      </w:r>
      <w:r w:rsidR="008A7907">
        <w:t xml:space="preserve">Assignments by applicants </w:t>
      </w:r>
      <w:r w:rsidR="005421CC">
        <w:t>refer to assignments made under s</w:t>
      </w:r>
      <w:r w:rsidR="00B37D8A">
        <w:t>.</w:t>
      </w:r>
      <w:r w:rsidR="00B8609E">
        <w:t> </w:t>
      </w:r>
      <w:r w:rsidR="005421CC">
        <w:t xml:space="preserve">113 of the </w:t>
      </w:r>
      <w:r w:rsidR="005421CC" w:rsidRPr="009338A8">
        <w:t>Patents Act</w:t>
      </w:r>
      <w:r>
        <w:t>.</w:t>
      </w:r>
      <w:r w:rsidR="005421CC">
        <w:t xml:space="preserve"> </w:t>
      </w:r>
      <w:r w:rsidR="000E7C47">
        <w:rPr>
          <w:rStyle w:val="NoteLabel"/>
        </w:rPr>
        <w:t>c</w:t>
      </w:r>
      <w:r w:rsidR="001A53BD">
        <w:t> </w:t>
      </w:r>
      <w:r w:rsidR="005421CC">
        <w:t>A</w:t>
      </w:r>
      <w:r w:rsidR="00BD14A8">
        <w:t>ssignments by patentees refer to</w:t>
      </w:r>
      <w:r w:rsidR="005421CC">
        <w:t xml:space="preserve"> assignments made under s</w:t>
      </w:r>
      <w:r w:rsidR="00B37D8A">
        <w:t>.</w:t>
      </w:r>
      <w:r w:rsidR="00B8609E">
        <w:t> 187, reg. </w:t>
      </w:r>
      <w:r w:rsidR="00C7072D">
        <w:t>19.1</w:t>
      </w:r>
      <w:r w:rsidR="005421CC">
        <w:t>.</w:t>
      </w:r>
      <w:r w:rsidR="00C51369">
        <w:t xml:space="preserve"> </w:t>
      </w:r>
      <w:r w:rsidR="00C51369" w:rsidRPr="007247A9">
        <w:rPr>
          <w:b/>
        </w:rPr>
        <w:t>..</w:t>
      </w:r>
      <w:r w:rsidR="00C51369">
        <w:t> Not applicable.</w:t>
      </w:r>
    </w:p>
    <w:p w:rsidR="008F5B7D" w:rsidRDefault="00375354" w:rsidP="00C42023">
      <w:pPr>
        <w:pStyle w:val="Source"/>
      </w:pPr>
      <w:r>
        <w:rPr>
          <w:i/>
        </w:rPr>
        <w:t>Source</w:t>
      </w:r>
      <w:r>
        <w:t>: IP Australia (unpublished).</w:t>
      </w:r>
    </w:p>
    <w:p w:rsidR="006E14FC" w:rsidRDefault="00614D76" w:rsidP="00FA131C">
      <w:pPr>
        <w:pStyle w:val="Heading2"/>
      </w:pPr>
      <w:r>
        <w:fldChar w:fldCharType="begin"/>
      </w:r>
      <w:r>
        <w:instrText xml:space="preserve"> COMMENTS  \* MERGEFORMAT </w:instrText>
      </w:r>
      <w:r>
        <w:fldChar w:fldCharType="separate"/>
      </w:r>
      <w:r w:rsidR="00FA131C">
        <w:t>4.</w:t>
      </w:r>
      <w:r>
        <w:fldChar w:fldCharType="end"/>
      </w:r>
      <w:r>
        <w:fldChar w:fldCharType="begin"/>
      </w:r>
      <w:r>
        <w:instrText xml:space="preserve"> SEQ </w:instrText>
      </w:r>
      <w:r>
        <w:instrText xml:space="preserve">Heading2 </w:instrText>
      </w:r>
      <w:r>
        <w:fldChar w:fldCharType="separate"/>
      </w:r>
      <w:r>
        <w:rPr>
          <w:noProof/>
        </w:rPr>
        <w:t>4</w:t>
      </w:r>
      <w:r>
        <w:rPr>
          <w:noProof/>
        </w:rPr>
        <w:fldChar w:fldCharType="end"/>
      </w:r>
      <w:r w:rsidR="00FA131C">
        <w:tab/>
      </w:r>
      <w:r w:rsidR="006E14FC">
        <w:t>Licensing</w:t>
      </w:r>
      <w:r w:rsidR="00FA131C">
        <w:t xml:space="preserve"> of patents</w:t>
      </w:r>
    </w:p>
    <w:p w:rsidR="003B07C0" w:rsidRDefault="00F16C79" w:rsidP="003B07C0">
      <w:pPr>
        <w:pStyle w:val="BodyText"/>
      </w:pPr>
      <w:r>
        <w:t>A</w:t>
      </w:r>
      <w:r w:rsidR="003B07C0">
        <w:t xml:space="preserve"> patent holder may </w:t>
      </w:r>
      <w:r>
        <w:t>license</w:t>
      </w:r>
      <w:r w:rsidR="003B07C0">
        <w:t xml:space="preserve"> exploitation rights to </w:t>
      </w:r>
      <w:r w:rsidR="003C6D55">
        <w:t>another party</w:t>
      </w:r>
      <w:r w:rsidR="003B07C0">
        <w:t xml:space="preserve">. The patent holder who provides the licence is referred to as the licensor, while the firm or individual acquiring the exploitation rights is referred to as the licensee. A patent licence </w:t>
      </w:r>
      <w:r w:rsidR="008F40F8">
        <w:t xml:space="preserve">normally </w:t>
      </w:r>
      <w:r w:rsidR="003B07C0">
        <w:t>constitutes a legal arrangement, and thus will have associated conditions that the licensee must adhere to in exploiting the patented innovation (Mendes nd).</w:t>
      </w:r>
      <w:r w:rsidR="008F40F8">
        <w:t xml:space="preserve"> However,</w:t>
      </w:r>
      <w:r w:rsidR="007775B1">
        <w:t xml:space="preserve"> it is not necessarily the case that all license agreements are formally documented. For example, with respect to the medical biotechnology sector,</w:t>
      </w:r>
      <w:r w:rsidR="008F40F8">
        <w:t xml:space="preserve"> the </w:t>
      </w:r>
      <w:r w:rsidR="008D2254">
        <w:t xml:space="preserve">Centre for Law and Genetics </w:t>
      </w:r>
      <w:r w:rsidR="00BC7DDF">
        <w:t>observed that</w:t>
      </w:r>
      <w:r w:rsidR="008D2254">
        <w:t>:</w:t>
      </w:r>
    </w:p>
    <w:p w:rsidR="008D2254" w:rsidRDefault="00E1166C" w:rsidP="008D2254">
      <w:pPr>
        <w:pStyle w:val="Quote"/>
      </w:pPr>
      <w:r>
        <w:t>… patent licen</w:t>
      </w:r>
      <w:r w:rsidR="00114E83">
        <w:t>c</w:t>
      </w:r>
      <w:r>
        <w:t>es are tacitly agreed on a frequent basis, so that there is no written agreement as such on the terms comprising the agreement. (sub. 3, p. 7)</w:t>
      </w:r>
    </w:p>
    <w:p w:rsidR="000A3CDA" w:rsidRPr="000A3CDA" w:rsidRDefault="000A3CDA" w:rsidP="00E206DC">
      <w:pPr>
        <w:pStyle w:val="BodyText"/>
      </w:pPr>
      <w:r>
        <w:t xml:space="preserve">The Walter and Eliza Hall Institute of Medical Research (sub. 13) </w:t>
      </w:r>
      <w:r w:rsidR="008F60E6">
        <w:t xml:space="preserve">noted that, </w:t>
      </w:r>
      <w:r w:rsidR="006C57DC">
        <w:t>rather than have a standalone</w:t>
      </w:r>
      <w:r w:rsidR="00406389">
        <w:t xml:space="preserve"> </w:t>
      </w:r>
      <w:r w:rsidR="006D63DB">
        <w:t>licence after an invention is fully developed</w:t>
      </w:r>
      <w:r w:rsidR="00A905B3">
        <w:t>,</w:t>
      </w:r>
      <w:r w:rsidR="006D63DB">
        <w:t xml:space="preserve"> </w:t>
      </w:r>
      <w:r w:rsidR="00A905B3">
        <w:t xml:space="preserve">biomedical research organisations </w:t>
      </w:r>
      <w:r w:rsidR="00261BF6">
        <w:t>often build licensing provisions into agreements with their development partners.</w:t>
      </w:r>
    </w:p>
    <w:p w:rsidR="00C505BE" w:rsidRDefault="00C505BE" w:rsidP="00435716">
      <w:pPr>
        <w:pStyle w:val="Heading3"/>
      </w:pPr>
      <w:r>
        <w:lastRenderedPageBreak/>
        <w:t>Exclusive, non-exclusive and sole licences</w:t>
      </w:r>
    </w:p>
    <w:p w:rsidR="00C505BE" w:rsidRDefault="00C505BE" w:rsidP="00C505BE">
      <w:pPr>
        <w:pStyle w:val="BodyText"/>
      </w:pPr>
      <w:r>
        <w:t>Parties may choose to enter into an exclusive licence, which gives the licensee (and persons authorised by the licensee) the ability to exploit the innovation covered by the patent</w:t>
      </w:r>
      <w:r w:rsidR="006C57DC">
        <w:t>,</w:t>
      </w:r>
      <w:r>
        <w:t xml:space="preserve"> and excludes the patent holder fr</w:t>
      </w:r>
      <w:r w:rsidR="006C57DC">
        <w:t>om doing the same (IP Australia </w:t>
      </w:r>
      <w:r>
        <w:t>2012</w:t>
      </w:r>
      <w:r w:rsidR="00B971E3">
        <w:t>l</w:t>
      </w:r>
      <w:r>
        <w:t>). Exclusive licences may be limited to particular territories, specified periods of time, or certain specified uses, enabling the patent holder to exploit the patent in other cases (ALRC 2004). An exclusive licence is more likely to raise concerns about accessing an invention</w:t>
      </w:r>
      <w:r w:rsidRPr="00E73A45">
        <w:t xml:space="preserve"> </w:t>
      </w:r>
      <w:r>
        <w:t>than a non-exclusive licence, but no more so than the original patent right itself.</w:t>
      </w:r>
    </w:p>
    <w:p w:rsidR="00C505BE" w:rsidRDefault="00C505BE" w:rsidP="00C505BE">
      <w:pPr>
        <w:pStyle w:val="BodyText"/>
      </w:pPr>
      <w:r>
        <w:t xml:space="preserve">Alternatively, a patent holder might decide to enter into in a sole licence with a licensee. In contrast to an exclusive licence, a sole licence </w:t>
      </w:r>
      <w:r w:rsidR="00A03AEC">
        <w:t>allows</w:t>
      </w:r>
      <w:r>
        <w:t xml:space="preserve"> for both the patent holder and the licensee to commercially exploit a patented innovation. It also prohibits a patent holder from licensing the patent rights to any other party (ALRC 2004).</w:t>
      </w:r>
    </w:p>
    <w:p w:rsidR="00C505BE" w:rsidRPr="00C505BE" w:rsidRDefault="00C505BE" w:rsidP="00C505BE">
      <w:pPr>
        <w:pStyle w:val="BodyText"/>
      </w:pPr>
      <w:r>
        <w:t>A non-exclusive licence gives the patentee greater freedom than an exclusive or sole licence</w:t>
      </w:r>
      <w:r w:rsidR="00A03AEC">
        <w:t>,</w:t>
      </w:r>
      <w:r>
        <w:t xml:space="preserve"> because the patentee retains the right to exploit the invention and to license it to other parties.</w:t>
      </w:r>
      <w:r w:rsidR="00786E03">
        <w:t xml:space="preserve"> </w:t>
      </w:r>
    </w:p>
    <w:p w:rsidR="007009FD" w:rsidRDefault="007009FD" w:rsidP="007009FD">
      <w:pPr>
        <w:pStyle w:val="Heading3"/>
      </w:pPr>
      <w:r>
        <w:t>Why license?</w:t>
      </w:r>
    </w:p>
    <w:p w:rsidR="006212DB" w:rsidRDefault="00304901" w:rsidP="006212DB">
      <w:pPr>
        <w:pStyle w:val="BodyText"/>
      </w:pPr>
      <w:r>
        <w:t>There</w:t>
      </w:r>
      <w:r w:rsidR="00A03AEC">
        <w:t xml:space="preserve"> are</w:t>
      </w:r>
      <w:r>
        <w:t xml:space="preserve"> </w:t>
      </w:r>
      <w:r w:rsidR="002F2A70">
        <w:t>many</w:t>
      </w:r>
      <w:r>
        <w:t xml:space="preserve"> reasons why </w:t>
      </w:r>
      <w:r w:rsidR="00EB69F2">
        <w:t xml:space="preserve">organisations might </w:t>
      </w:r>
      <w:r w:rsidR="00DE7E6B">
        <w:t xml:space="preserve">engage in licensing agreements. </w:t>
      </w:r>
      <w:r w:rsidR="007E601F">
        <w:t>An organisation that licenses-</w:t>
      </w:r>
      <w:r w:rsidR="00B362B7">
        <w:t xml:space="preserve">out patented technology to </w:t>
      </w:r>
      <w:r w:rsidR="00C62844">
        <w:t>another organisation may</w:t>
      </w:r>
      <w:r w:rsidR="007E601F">
        <w:t>, for instance,</w:t>
      </w:r>
      <w:r w:rsidR="00C62844">
        <w:t xml:space="preserve"> be motivated by:</w:t>
      </w:r>
    </w:p>
    <w:p w:rsidR="00C62844" w:rsidRDefault="00C62844" w:rsidP="00C62844">
      <w:pPr>
        <w:pStyle w:val="ListBullet"/>
      </w:pPr>
      <w:r>
        <w:t>a desire to earn revenue from royalty and other payments</w:t>
      </w:r>
      <w:r w:rsidR="00AA2B17">
        <w:rPr>
          <w:rStyle w:val="FootnoteReference"/>
        </w:rPr>
        <w:footnoteReference w:id="1"/>
      </w:r>
      <w:r>
        <w:t xml:space="preserve"> </w:t>
      </w:r>
    </w:p>
    <w:p w:rsidR="00C62844" w:rsidRDefault="006C133F" w:rsidP="00C62844">
      <w:pPr>
        <w:pStyle w:val="ListBullet"/>
      </w:pPr>
      <w:r>
        <w:t>a limited capacity</w:t>
      </w:r>
      <w:r w:rsidR="009D6F74">
        <w:t xml:space="preserve"> or desire</w:t>
      </w:r>
      <w:r>
        <w:t xml:space="preserve"> to manufacture </w:t>
      </w:r>
      <w:r w:rsidR="00352B05">
        <w:t>the patented product in commercial quantities</w:t>
      </w:r>
    </w:p>
    <w:p w:rsidR="00352B05" w:rsidRDefault="0060188B" w:rsidP="00C62844">
      <w:pPr>
        <w:pStyle w:val="ListBullet"/>
      </w:pPr>
      <w:r>
        <w:t xml:space="preserve">the </w:t>
      </w:r>
      <w:r w:rsidR="009F410A">
        <w:t>ability to</w:t>
      </w:r>
      <w:r w:rsidR="002E082C">
        <w:t xml:space="preserve"> establish and take</w:t>
      </w:r>
      <w:r>
        <w:t xml:space="preserve"> advantage of business networks in foreign jurisdictions</w:t>
      </w:r>
    </w:p>
    <w:p w:rsidR="009F410A" w:rsidRPr="006212DB" w:rsidRDefault="009F410A" w:rsidP="009F410A">
      <w:pPr>
        <w:pStyle w:val="ListBullet"/>
      </w:pPr>
      <w:r>
        <w:t>preventing or settling patent litigation, especially where cross-licensing may be involved (ALRC 2004)</w:t>
      </w:r>
    </w:p>
    <w:p w:rsidR="0060188B" w:rsidRDefault="002C59D5" w:rsidP="00C62844">
      <w:pPr>
        <w:pStyle w:val="ListBullet"/>
      </w:pPr>
      <w:r>
        <w:t xml:space="preserve">a </w:t>
      </w:r>
      <w:r w:rsidR="006D437E">
        <w:t>need</w:t>
      </w:r>
      <w:r>
        <w:t xml:space="preserve"> to establish collaborative research networks</w:t>
      </w:r>
      <w:r w:rsidR="00E83F22">
        <w:t>, including through cross</w:t>
      </w:r>
      <w:r w:rsidR="00D2658E">
        <w:noBreakHyphen/>
      </w:r>
      <w:r w:rsidR="00E83F22">
        <w:t>licensing</w:t>
      </w:r>
    </w:p>
    <w:p w:rsidR="00FB0261" w:rsidRDefault="006D437E" w:rsidP="00C62844">
      <w:pPr>
        <w:pStyle w:val="ListBullet"/>
      </w:pPr>
      <w:r>
        <w:lastRenderedPageBreak/>
        <w:t xml:space="preserve">a desire </w:t>
      </w:r>
      <w:r w:rsidR="00FB0261">
        <w:t>to spread the risk associated with commercialisation (</w:t>
      </w:r>
      <w:r w:rsidR="00204C10">
        <w:t>Institute of Patent and Trade Mark Attorneys</w:t>
      </w:r>
      <w:r w:rsidR="0059791E">
        <w:t xml:space="preserve"> and FICPI Australia</w:t>
      </w:r>
      <w:r w:rsidR="0019116D">
        <w:t>,</w:t>
      </w:r>
      <w:r w:rsidR="00204C10">
        <w:t xml:space="preserve"> </w:t>
      </w:r>
      <w:r w:rsidR="00FB0261">
        <w:t>sub. 18).</w:t>
      </w:r>
    </w:p>
    <w:p w:rsidR="007009FD" w:rsidRDefault="00910722" w:rsidP="007009FD">
      <w:pPr>
        <w:pStyle w:val="BodyText"/>
      </w:pPr>
      <w:r>
        <w:t>R</w:t>
      </w:r>
      <w:r w:rsidR="00746989">
        <w:t>easons for licensing have also been put forward in the economic literature</w:t>
      </w:r>
      <w:r w:rsidR="008C7F3B">
        <w:t>, and these mainly deal with strategic interactions among firms</w:t>
      </w:r>
      <w:r w:rsidR="001D7355">
        <w:t xml:space="preserve">: see </w:t>
      </w:r>
      <w:r w:rsidR="00661E7A">
        <w:t>Gallini (1984) and Rockett </w:t>
      </w:r>
      <w:r w:rsidR="008C7F3B">
        <w:t>(1990)</w:t>
      </w:r>
      <w:r w:rsidR="00746989">
        <w:t xml:space="preserve">. </w:t>
      </w:r>
      <w:r w:rsidR="00661E7A">
        <w:t>Shepard </w:t>
      </w:r>
      <w:r w:rsidR="008C7F3B">
        <w:t>(1987)</w:t>
      </w:r>
      <w:r w:rsidR="005C5EBC">
        <w:t xml:space="preserve"> has</w:t>
      </w:r>
      <w:r w:rsidR="008C7F3B">
        <w:t xml:space="preserve"> argued that licensing could expand the in</w:t>
      </w:r>
      <w:r w:rsidR="0097195A">
        <w:t>dustry</w:t>
      </w:r>
      <w:r w:rsidR="00512A71">
        <w:t>-</w:t>
      </w:r>
      <w:r w:rsidR="008C7F3B">
        <w:t>wide demand for a patented product by inducing quality competition between licensees.</w:t>
      </w:r>
      <w:r w:rsidR="00D451F9">
        <w:t xml:space="preserve"> </w:t>
      </w:r>
      <w:r w:rsidR="0067261D">
        <w:t>Nevertheless</w:t>
      </w:r>
      <w:r w:rsidR="007009FD">
        <w:t>, licensing is not always an appropriate strategy for a firm from a profit-maximising perspective, nor is licensing necessarily always feasible.</w:t>
      </w:r>
    </w:p>
    <w:p w:rsidR="007009FD" w:rsidRDefault="00F057D2" w:rsidP="007009FD">
      <w:pPr>
        <w:pStyle w:val="BodyText"/>
      </w:pPr>
      <w:r>
        <w:t xml:space="preserve">As noted above, licensing-out technology carries with it the risk of creating competitors </w:t>
      </w:r>
      <w:r w:rsidR="009774ED">
        <w:t>in the product market, which can erode the market share of the patentee firm</w:t>
      </w:r>
      <w:r w:rsidR="007009FD">
        <w:t>.</w:t>
      </w:r>
      <w:r w:rsidR="009774ED">
        <w:t xml:space="preserve"> To avoid this risk, firms may decline to license-out their technology.</w:t>
      </w:r>
      <w:r w:rsidR="007009FD">
        <w:t xml:space="preserve"> Transaction and negotiating costs may also prevent the signing of licensing agreements, if prohibitively large (Arora and Fosfuri 2003).</w:t>
      </w:r>
    </w:p>
    <w:p w:rsidR="007009FD" w:rsidRDefault="007009FD" w:rsidP="007009FD">
      <w:pPr>
        <w:pStyle w:val="BodyText"/>
      </w:pPr>
      <w:r>
        <w:t xml:space="preserve">Furthermore, patent holders may be reluctant to license their innovations if </w:t>
      </w:r>
      <w:r w:rsidR="00354474">
        <w:t>it requires</w:t>
      </w:r>
      <w:r>
        <w:t xml:space="preserve"> </w:t>
      </w:r>
      <w:r w:rsidR="00354474">
        <w:t>disclosure of</w:t>
      </w:r>
      <w:r>
        <w:t xml:space="preserve"> commercially sensitive information to third parties, or if they have concerns about the ability of potential licensees to successfully exploit the innovation </w:t>
      </w:r>
      <w:r w:rsidR="009C5664">
        <w:t>in</w:t>
      </w:r>
      <w:r>
        <w:t xml:space="preserve"> question (DeBoos and Wilson nd).</w:t>
      </w:r>
    </w:p>
    <w:p w:rsidR="006628F0" w:rsidRDefault="00F843F4" w:rsidP="007009FD">
      <w:pPr>
        <w:pStyle w:val="BodyText"/>
      </w:pPr>
      <w:r>
        <w:t>The</w:t>
      </w:r>
      <w:r w:rsidR="006628F0">
        <w:t xml:space="preserve"> </w:t>
      </w:r>
      <w:r>
        <w:t>Centre for Law and Genetics at the University of Tasmania</w:t>
      </w:r>
      <w:r w:rsidR="006628F0">
        <w:t xml:space="preserve"> noted a number of possible reasons for refusal to license:</w:t>
      </w:r>
    </w:p>
    <w:p w:rsidR="006628F0" w:rsidRDefault="006628F0" w:rsidP="006628F0">
      <w:pPr>
        <w:pStyle w:val="Quote"/>
      </w:pPr>
      <w:r>
        <w:t>The most obvious circumstances in which a patentee might be reluctant to license include: licensing to a competitor; where the patentee has the ability to further develop a patented invention and wishes to do so exclusively; or where it has already issued an exclusive licence to another party … a patentee might wish to retain exclusivity until it decides which of a number of development options it might exercise. Alternatively, there may be no viable market for the invention … (sub. 3, p. 4)</w:t>
      </w:r>
    </w:p>
    <w:p w:rsidR="00F843F4" w:rsidRDefault="00F843F4" w:rsidP="00F843F4">
      <w:pPr>
        <w:pStyle w:val="BodyText"/>
      </w:pPr>
      <w:r>
        <w:t xml:space="preserve">In addition to these reasons, the Centre for Law and Genetics </w:t>
      </w:r>
      <w:r w:rsidR="00F95103">
        <w:t>no</w:t>
      </w:r>
      <w:r>
        <w:t xml:space="preserve">ted that a patent holder might refuse to license </w:t>
      </w:r>
      <w:r w:rsidR="00D656F1">
        <w:t xml:space="preserve">for the purposes of stifling competition </w:t>
      </w:r>
      <w:r w:rsidR="009C5664">
        <w:t>or</w:t>
      </w:r>
      <w:r w:rsidR="00D656F1">
        <w:t xml:space="preserve"> follow-on research.</w:t>
      </w:r>
    </w:p>
    <w:p w:rsidR="009F449B" w:rsidRDefault="009F449B" w:rsidP="00F843F4">
      <w:pPr>
        <w:pStyle w:val="BodyText"/>
      </w:pPr>
      <w:r>
        <w:t>The Institute of Patent and Trade Mark Attorneys</w:t>
      </w:r>
      <w:r w:rsidR="00A33591">
        <w:t xml:space="preserve"> and FICPI Australia</w:t>
      </w:r>
      <w:r>
        <w:t xml:space="preserve"> </w:t>
      </w:r>
      <w:r w:rsidR="000A4DD8">
        <w:t>also observed that a refusal to license might be based on:</w:t>
      </w:r>
    </w:p>
    <w:p w:rsidR="000A4DD8" w:rsidRPr="00F843F4" w:rsidRDefault="000A4DD8" w:rsidP="000A4DD8">
      <w:pPr>
        <w:pStyle w:val="Quote"/>
      </w:pPr>
      <w:r>
        <w:t>… the availability internally of the resources needed to fully complete the development and commercialisation process itself, the time and effort required to negotiate and administer a license agreement and a consideration of the capabilities and resources of interested potential licensees. (sub. 18, p. 5)</w:t>
      </w:r>
    </w:p>
    <w:p w:rsidR="006C11A0" w:rsidRDefault="008042AD" w:rsidP="006C11A0">
      <w:pPr>
        <w:pStyle w:val="BodyText"/>
      </w:pPr>
      <w:r>
        <w:lastRenderedPageBreak/>
        <w:t xml:space="preserve">Some empirical </w:t>
      </w:r>
      <w:r w:rsidR="00321339">
        <w:t>information</w:t>
      </w:r>
      <w:r>
        <w:t xml:space="preserve"> on why organisations engage in licensing agreements </w:t>
      </w:r>
      <w:r w:rsidR="00321339">
        <w:t xml:space="preserve">has been </w:t>
      </w:r>
      <w:r w:rsidR="00F23BAA">
        <w:t>published by researchers at the O</w:t>
      </w:r>
      <w:r w:rsidR="007F441E">
        <w:t xml:space="preserve">rganisation for </w:t>
      </w:r>
      <w:r w:rsidR="00F23BAA">
        <w:t>E</w:t>
      </w:r>
      <w:r w:rsidR="007F441E">
        <w:t xml:space="preserve">conomic </w:t>
      </w:r>
      <w:r w:rsidR="00F23BAA">
        <w:t>C</w:t>
      </w:r>
      <w:r w:rsidR="007F441E">
        <w:t xml:space="preserve">ooperation and </w:t>
      </w:r>
      <w:r w:rsidR="00F23BAA">
        <w:t>D</w:t>
      </w:r>
      <w:r w:rsidR="007F441E">
        <w:t>evelopment</w:t>
      </w:r>
      <w:r w:rsidR="00D05BD3">
        <w:t>, following</w:t>
      </w:r>
      <w:r w:rsidR="006B495E">
        <w:t xml:space="preserve"> a survey conducted in </w:t>
      </w:r>
      <w:r w:rsidR="00D05BD3">
        <w:t>2007</w:t>
      </w:r>
      <w:r w:rsidR="009C7D91">
        <w:t xml:space="preserve"> (Zuniga and Guellec </w:t>
      </w:r>
      <w:r w:rsidR="00E47C19">
        <w:t>2009)</w:t>
      </w:r>
      <w:r w:rsidR="006C11A0">
        <w:t xml:space="preserve">. This survey obtained information </w:t>
      </w:r>
      <w:r w:rsidR="00B4372F">
        <w:t>o</w:t>
      </w:r>
      <w:r w:rsidR="006C11A0">
        <w:t xml:space="preserve">n licensing-out </w:t>
      </w:r>
      <w:r w:rsidR="00B4372F">
        <w:t>activity</w:t>
      </w:r>
      <w:r w:rsidR="006C11A0">
        <w:t xml:space="preserve"> from a total of 612 European companies and a total of 1640 Japanese companies. A range of companies of different sizes were included in each survey.</w:t>
      </w:r>
    </w:p>
    <w:p w:rsidR="00E846C2" w:rsidRDefault="008B6C61" w:rsidP="004A4F29">
      <w:pPr>
        <w:pStyle w:val="BodyText"/>
      </w:pPr>
      <w:r>
        <w:t>For both European and Japanese companies</w:t>
      </w:r>
      <w:r w:rsidR="006C5123">
        <w:t>,</w:t>
      </w:r>
      <w:r>
        <w:t xml:space="preserve"> it was found that the primary motivation to license was to earn revenue (cited by 60 per cent and 52 per cent of companies surveyed respectively), followed by a desire to enter into cross licensing deals (cited by 18 per cent of companies in each region). </w:t>
      </w:r>
      <w:r w:rsidR="006F3048">
        <w:t xml:space="preserve">In a similar vein, </w:t>
      </w:r>
      <w:r w:rsidR="00C4490F">
        <w:t>for Australia, Scott Bouvier observed</w:t>
      </w:r>
      <w:r w:rsidR="006F3048">
        <w:t>:</w:t>
      </w:r>
    </w:p>
    <w:p w:rsidR="006F3048" w:rsidRDefault="000E18DC" w:rsidP="006F3048">
      <w:pPr>
        <w:pStyle w:val="Quote"/>
      </w:pPr>
      <w:r>
        <w:t xml:space="preserve">In my experience, patent holders will generally license their inventions to third parties that offer sufficient commercial incentive to do so. </w:t>
      </w:r>
      <w:r w:rsidR="000C6745">
        <w:t>The potential to generate revenue or maximise adoptions tend to drive the Australian patent licensing system and ensures that licenses are made available to market. (sub. 2, p. 2)</w:t>
      </w:r>
    </w:p>
    <w:p w:rsidR="004A4F29" w:rsidRPr="004A4F29" w:rsidRDefault="00F269B0" w:rsidP="004A4F29">
      <w:pPr>
        <w:pStyle w:val="BodyText"/>
      </w:pPr>
      <w:r>
        <w:t>Zuniga and Guellec</w:t>
      </w:r>
      <w:r w:rsidR="0010182D">
        <w:t> (2009)</w:t>
      </w:r>
      <w:r>
        <w:t xml:space="preserve"> </w:t>
      </w:r>
      <w:r w:rsidR="00AD547E">
        <w:t xml:space="preserve">also found that in Europe, preventing others from infringing patents was a significant reason for licensing-out, cited by 14 per cent of those surveyed. </w:t>
      </w:r>
      <w:r w:rsidR="0063459B">
        <w:t xml:space="preserve">In Japan however, the next most significant reason for licensing-out </w:t>
      </w:r>
      <w:r w:rsidR="001F7428">
        <w:t xml:space="preserve">was </w:t>
      </w:r>
      <w:r w:rsidR="006D4854">
        <w:t>to establish</w:t>
      </w:r>
      <w:r w:rsidR="00745D0E">
        <w:t xml:space="preserve"> patented</w:t>
      </w:r>
      <w:r w:rsidR="006D4854">
        <w:t xml:space="preserve"> technology as a de facto standard, and to outsource manufacturing, each of these motivations being cited by 11 per cent of surveyed firms.</w:t>
      </w:r>
    </w:p>
    <w:p w:rsidR="003B2BA2" w:rsidRPr="003B2BA2" w:rsidRDefault="00E7639E" w:rsidP="003B2BA2">
      <w:pPr>
        <w:pStyle w:val="Heading3"/>
      </w:pPr>
      <w:r>
        <w:t>Content of licences</w:t>
      </w:r>
    </w:p>
    <w:p w:rsidR="00C54917" w:rsidRDefault="00592962" w:rsidP="00C54917">
      <w:pPr>
        <w:pStyle w:val="BodyText"/>
      </w:pPr>
      <w:r>
        <w:t>There is little information on the content of licen</w:t>
      </w:r>
      <w:r w:rsidR="00114E83">
        <w:t>c</w:t>
      </w:r>
      <w:r>
        <w:t>es. This reflects</w:t>
      </w:r>
      <w:r w:rsidR="00C54917">
        <w:t xml:space="preserve"> the commercial nature of the contracts made between </w:t>
      </w:r>
      <w:r w:rsidR="003028FA">
        <w:t>organisations</w:t>
      </w:r>
      <w:r w:rsidR="00C54917">
        <w:t>, which often include commercially sensitive information</w:t>
      </w:r>
      <w:r w:rsidR="00A171DD">
        <w:t>.</w:t>
      </w:r>
      <w:r w:rsidR="00C20525" w:rsidRPr="00C20525">
        <w:t xml:space="preserve"> </w:t>
      </w:r>
      <w:r w:rsidR="00C20525">
        <w:t>As researchers at the O</w:t>
      </w:r>
      <w:r w:rsidR="00255296">
        <w:t xml:space="preserve">rganisation for </w:t>
      </w:r>
      <w:r w:rsidR="00C20525">
        <w:t>E</w:t>
      </w:r>
      <w:r w:rsidR="00255296">
        <w:t xml:space="preserve">conomic </w:t>
      </w:r>
      <w:r w:rsidR="00C20525">
        <w:t>C</w:t>
      </w:r>
      <w:r w:rsidR="00255296">
        <w:t xml:space="preserve">ooperation and </w:t>
      </w:r>
      <w:r w:rsidR="00C20525">
        <w:t>D</w:t>
      </w:r>
      <w:r w:rsidR="00255296">
        <w:t>evelopment</w:t>
      </w:r>
      <w:r w:rsidR="00C20525">
        <w:t xml:space="preserve"> observed:</w:t>
      </w:r>
    </w:p>
    <w:p w:rsidR="00C54917" w:rsidRPr="00453AF1" w:rsidRDefault="00C54917" w:rsidP="00C54917">
      <w:pPr>
        <w:pStyle w:val="Quote"/>
      </w:pPr>
      <w:r>
        <w:t>Little is known on licensing transactions from a quantitative perspective: their volume, the profile of companies involved, the sectors where they are more prevalent, the motives for the firms involved, their economic effects … Anecdotal evidence is available for all these questions, but no statistics</w:t>
      </w:r>
      <w:r w:rsidR="00196714">
        <w:t>.</w:t>
      </w:r>
      <w:r>
        <w:t xml:space="preserve"> (Zuniga and Guellec 2009, p. 6)</w:t>
      </w:r>
    </w:p>
    <w:p w:rsidR="00FB1404" w:rsidRDefault="00FB1404" w:rsidP="00EF4100">
      <w:pPr>
        <w:pStyle w:val="BodyText"/>
      </w:pPr>
      <w:r>
        <w:t>Inquiry participants generally held the view that</w:t>
      </w:r>
      <w:r w:rsidR="00657B0D">
        <w:t xml:space="preserve"> t</w:t>
      </w:r>
      <w:r w:rsidR="00117B1E">
        <w:t>here is</w:t>
      </w:r>
      <w:r w:rsidR="00657B0D">
        <w:t xml:space="preserve"> a wide degree of</w:t>
      </w:r>
      <w:r w:rsidR="00117B1E">
        <w:t xml:space="preserve"> variability in </w:t>
      </w:r>
      <w:r>
        <w:t xml:space="preserve">licence </w:t>
      </w:r>
      <w:r w:rsidR="00117B1E">
        <w:t>arrangements</w:t>
      </w:r>
      <w:r>
        <w:t>. For example, the Centre for Law and Genetics</w:t>
      </w:r>
      <w:r w:rsidR="00EF4100">
        <w:t xml:space="preserve"> noted</w:t>
      </w:r>
      <w:r>
        <w:t xml:space="preserve"> that:</w:t>
      </w:r>
    </w:p>
    <w:p w:rsidR="00FB1404" w:rsidRDefault="00FB1404" w:rsidP="00FB1404">
      <w:pPr>
        <w:pStyle w:val="Quote"/>
      </w:pPr>
      <w:r>
        <w:t xml:space="preserve">Our survey and interview evidence indicates that there are many different types of agreements, tailored to meet the requirements of the parties transacting and the technology involved. Thus a patent licence agreement (in this industry at least) may contain a myriad of terms … While there have been attempts to draft standard licensing </w:t>
      </w:r>
      <w:r>
        <w:lastRenderedPageBreak/>
        <w:t>agreements for the licensing of genetic inventions, their success has been limited … (sub. 3, p. 7)</w:t>
      </w:r>
    </w:p>
    <w:p w:rsidR="00EF4100" w:rsidRDefault="00A60352" w:rsidP="00EF4100">
      <w:pPr>
        <w:pStyle w:val="BodyText"/>
      </w:pPr>
      <w:r>
        <w:t xml:space="preserve">Similarly, </w:t>
      </w:r>
      <w:r w:rsidR="00EF4100">
        <w:t>De Boos and Wilson (nd)</w:t>
      </w:r>
      <w:r>
        <w:t xml:space="preserve"> observed that</w:t>
      </w:r>
      <w:r w:rsidR="00EF4100">
        <w:t>:</w:t>
      </w:r>
    </w:p>
    <w:p w:rsidR="00EF4100" w:rsidRDefault="00EF4100" w:rsidP="00EF4100">
      <w:pPr>
        <w:pStyle w:val="Quote"/>
      </w:pPr>
      <w:r>
        <w:t>There are very few standard licensing transactions. A lot will depend on the commercial context and the agreement used to transfer the rights should be tailored to accomplish t</w:t>
      </w:r>
      <w:r w:rsidR="00196714">
        <w:t>he commercial objectives. (p. 1)</w:t>
      </w:r>
    </w:p>
    <w:p w:rsidR="00EF4100" w:rsidRDefault="00EF4100" w:rsidP="00EF4100">
      <w:pPr>
        <w:pStyle w:val="BodyText"/>
      </w:pPr>
      <w:r>
        <w:t>They list</w:t>
      </w:r>
      <w:r w:rsidR="0034798A">
        <w:t>ed</w:t>
      </w:r>
      <w:r>
        <w:t xml:space="preserve"> a number of </w:t>
      </w:r>
      <w:r w:rsidR="0034798A">
        <w:t>areas where</w:t>
      </w:r>
      <w:r>
        <w:t xml:space="preserve"> licensing agreements </w:t>
      </w:r>
      <w:r w:rsidR="0034798A">
        <w:t>can vary</w:t>
      </w:r>
      <w:r>
        <w:t>, including:</w:t>
      </w:r>
    </w:p>
    <w:p w:rsidR="00EF4100" w:rsidRDefault="00EF4100" w:rsidP="00EF4100">
      <w:pPr>
        <w:pStyle w:val="ListBullet"/>
      </w:pPr>
      <w:r>
        <w:t>the bundle of IP rights being licensed</w:t>
      </w:r>
    </w:p>
    <w:p w:rsidR="00EF4100" w:rsidRDefault="00EF4100" w:rsidP="00EF4100">
      <w:pPr>
        <w:pStyle w:val="ListBullet"/>
      </w:pPr>
      <w:r>
        <w:t>the type of activities permitted under the agreement</w:t>
      </w:r>
    </w:p>
    <w:p w:rsidR="00EF4100" w:rsidRDefault="00EF4100" w:rsidP="00EF4100">
      <w:pPr>
        <w:pStyle w:val="ListBullet"/>
      </w:pPr>
      <w:r>
        <w:t xml:space="preserve">whether sub-licensing </w:t>
      </w:r>
      <w:r w:rsidR="0034798A">
        <w:t>is permitted</w:t>
      </w:r>
    </w:p>
    <w:p w:rsidR="00EF4100" w:rsidRDefault="00EF4100" w:rsidP="00EF4100">
      <w:pPr>
        <w:pStyle w:val="ListBullet"/>
      </w:pPr>
      <w:r>
        <w:t>possible field of use or territorial limits</w:t>
      </w:r>
    </w:p>
    <w:p w:rsidR="00EF4100" w:rsidRDefault="00EF4100" w:rsidP="00EF4100">
      <w:pPr>
        <w:pStyle w:val="ListBullet"/>
      </w:pPr>
      <w:r>
        <w:t>the approach to be taken to improvements and infringement issues</w:t>
      </w:r>
    </w:p>
    <w:p w:rsidR="00EF4100" w:rsidRDefault="00EF4100" w:rsidP="00EF4100">
      <w:pPr>
        <w:pStyle w:val="ListBullet"/>
      </w:pPr>
      <w:r>
        <w:t>the nature of any obligations to be placed on the licensee</w:t>
      </w:r>
    </w:p>
    <w:p w:rsidR="00EF4100" w:rsidRDefault="00EF4100" w:rsidP="00EF4100">
      <w:pPr>
        <w:pStyle w:val="ListBullet"/>
      </w:pPr>
      <w:r>
        <w:t>rewards for the licensor</w:t>
      </w:r>
    </w:p>
    <w:p w:rsidR="00EF4100" w:rsidRDefault="00EF4100" w:rsidP="00EF4100">
      <w:pPr>
        <w:pStyle w:val="ListBullet"/>
      </w:pPr>
      <w:r>
        <w:t xml:space="preserve">the obligations of confidentiality </w:t>
      </w:r>
    </w:p>
    <w:p w:rsidR="00EF4100" w:rsidRDefault="00EF4100" w:rsidP="00EF4100">
      <w:pPr>
        <w:pStyle w:val="ListBullet"/>
      </w:pPr>
      <w:r>
        <w:t>dispute resolution mechanisms</w:t>
      </w:r>
    </w:p>
    <w:p w:rsidR="00EF4100" w:rsidRDefault="00EF4100" w:rsidP="00EF4100">
      <w:pPr>
        <w:pStyle w:val="ListBullet"/>
      </w:pPr>
      <w:r>
        <w:t>duration of the licence, and termination rights</w:t>
      </w:r>
    </w:p>
    <w:p w:rsidR="00EF4100" w:rsidRDefault="00EF4100" w:rsidP="00EF4100">
      <w:pPr>
        <w:pStyle w:val="ListBullet"/>
      </w:pPr>
      <w:r>
        <w:t>obligations post-termination of the licence (De Boos and Wilson nd).</w:t>
      </w:r>
    </w:p>
    <w:p w:rsidR="0022148A" w:rsidRDefault="0022148A" w:rsidP="00EF4100">
      <w:pPr>
        <w:pStyle w:val="BodyText"/>
      </w:pPr>
      <w:r>
        <w:t xml:space="preserve">The Advisory Council on Intellectual Property </w:t>
      </w:r>
      <w:r w:rsidR="005109D7">
        <w:t xml:space="preserve">also noted the potential for licensing contracts to differ widely </w:t>
      </w:r>
      <w:r w:rsidR="00990690">
        <w:t>(sub. 35).</w:t>
      </w:r>
    </w:p>
    <w:p w:rsidR="004C59B3" w:rsidRDefault="00EF4EF0" w:rsidP="00EF4100">
      <w:pPr>
        <w:pStyle w:val="BodyText"/>
      </w:pPr>
      <w:r>
        <w:t xml:space="preserve">The </w:t>
      </w:r>
      <w:r w:rsidR="00BF3788">
        <w:t xml:space="preserve">Walter and Eliza Hall Institute </w:t>
      </w:r>
      <w:r w:rsidR="00DB248E">
        <w:t>of Medical Research</w:t>
      </w:r>
      <w:r w:rsidR="00A60352">
        <w:t xml:space="preserve"> (sub. 13)</w:t>
      </w:r>
      <w:r>
        <w:t xml:space="preserve"> listed the matters that </w:t>
      </w:r>
      <w:r w:rsidR="00516DAB">
        <w:t>are often</w:t>
      </w:r>
      <w:r>
        <w:t xml:space="preserve"> included </w:t>
      </w:r>
      <w:r w:rsidR="001A6893">
        <w:t xml:space="preserve">in biomedical licensing agreements, </w:t>
      </w:r>
      <w:r w:rsidR="009B7800">
        <w:t xml:space="preserve">and the scope for them to differ </w:t>
      </w:r>
      <w:r w:rsidR="001D2CDA">
        <w:t>between agreements</w:t>
      </w:r>
      <w:r w:rsidR="00DB248E">
        <w:t xml:space="preserve"> </w:t>
      </w:r>
      <w:r w:rsidR="00BF3788">
        <w:t>(</w:t>
      </w:r>
      <w:r w:rsidR="00B819B4">
        <w:t>box 4.1</w:t>
      </w:r>
      <w:r w:rsidR="00BF3788">
        <w:t>)</w:t>
      </w:r>
      <w:r w:rsidR="00B819B4">
        <w:t>.</w:t>
      </w:r>
    </w:p>
    <w:p w:rsidR="00B819B4" w:rsidRDefault="00B819B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819B4">
        <w:tc>
          <w:tcPr>
            <w:tcW w:w="8771" w:type="dxa"/>
            <w:tcBorders>
              <w:top w:val="single" w:sz="6" w:space="0" w:color="auto"/>
              <w:bottom w:val="nil"/>
            </w:tcBorders>
          </w:tcPr>
          <w:p w:rsidR="00B819B4" w:rsidRDefault="00B819B4" w:rsidP="00642093">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Box \* ARABIC </w:instrText>
            </w:r>
            <w:r>
              <w:rPr>
                <w:b w:val="0"/>
              </w:rPr>
              <w:fldChar w:fldCharType="separate"/>
            </w:r>
            <w:r w:rsidR="00614D76">
              <w:rPr>
                <w:b w:val="0"/>
                <w:noProof/>
              </w:rPr>
              <w:t>1</w:t>
            </w:r>
            <w:r>
              <w:rPr>
                <w:b w:val="0"/>
              </w:rPr>
              <w:fldChar w:fldCharType="end"/>
            </w:r>
            <w:r>
              <w:tab/>
            </w:r>
            <w:r w:rsidR="00CA61BF">
              <w:t>Biomedical licensing agreement</w:t>
            </w:r>
            <w:r w:rsidR="00642093">
              <w:t>s</w:t>
            </w:r>
          </w:p>
        </w:tc>
      </w:tr>
      <w:tr w:rsidR="00B819B4">
        <w:trPr>
          <w:cantSplit/>
        </w:trPr>
        <w:tc>
          <w:tcPr>
            <w:tcW w:w="8771" w:type="dxa"/>
            <w:tcBorders>
              <w:top w:val="nil"/>
              <w:left w:val="single" w:sz="6" w:space="0" w:color="auto"/>
              <w:bottom w:val="nil"/>
              <w:right w:val="single" w:sz="6" w:space="0" w:color="auto"/>
            </w:tcBorders>
          </w:tcPr>
          <w:p w:rsidR="005F741E" w:rsidRDefault="005F741E" w:rsidP="005F741E">
            <w:pPr>
              <w:pStyle w:val="Box"/>
            </w:pPr>
            <w:r>
              <w:t xml:space="preserve">The Walter and Eliza Hall Institute of Medical Research </w:t>
            </w:r>
            <w:r w:rsidR="001323D1">
              <w:t xml:space="preserve">submitted </w:t>
            </w:r>
            <w:r>
              <w:t>information on the various types of provisions often included in licensing agreements in the biomedical sector. While certain matters must be enunciated in licensing contracts, their specific form and the emphases on different elements of the contract will inevitably differ from agreement to agreement.</w:t>
            </w:r>
          </w:p>
          <w:p w:rsidR="00B819B4" w:rsidRDefault="005C02C3">
            <w:pPr>
              <w:pStyle w:val="Box"/>
            </w:pPr>
            <w:r>
              <w:t>In any</w:t>
            </w:r>
            <w:r w:rsidR="00477B02">
              <w:t xml:space="preserve"> licensing</w:t>
            </w:r>
            <w:r>
              <w:t xml:space="preserve"> agreement, key concepts will be defined, such as the IP included, the term of the agreement, geographical territory covered, related parties to the agreement, and the type of licensing arrangement entered into (that is, exclusive, non</w:t>
            </w:r>
            <w:r w:rsidR="00E90D11">
              <w:noBreakHyphen/>
            </w:r>
            <w:r>
              <w:t>exclusive, or sole). Common considerations regarding payments include</w:t>
            </w:r>
            <w:r w:rsidR="0094175C">
              <w:t xml:space="preserve"> (but are not limited to)</w:t>
            </w:r>
            <w:r>
              <w:t>:</w:t>
            </w:r>
          </w:p>
          <w:p w:rsidR="005C02C3" w:rsidRDefault="0094175C" w:rsidP="005C02C3">
            <w:pPr>
              <w:pStyle w:val="BoxListBullet"/>
            </w:pPr>
            <w:r>
              <w:t>upfront payments for access to background IP</w:t>
            </w:r>
          </w:p>
          <w:p w:rsidR="0094175C" w:rsidRDefault="0094175C" w:rsidP="005C02C3">
            <w:pPr>
              <w:pStyle w:val="BoxListBullet"/>
            </w:pPr>
            <w:r>
              <w:t>royalties, which, for example, may be fixed, increasing, decreasing, or milestone or threshold based</w:t>
            </w:r>
          </w:p>
          <w:p w:rsidR="0094175C" w:rsidRDefault="00D16AEF" w:rsidP="005C02C3">
            <w:pPr>
              <w:pStyle w:val="BoxListBullet"/>
            </w:pPr>
            <w:r>
              <w:t xml:space="preserve">provisions for royalty stacking in the event that access to other IP is required </w:t>
            </w:r>
            <w:r w:rsidR="00BA7F7E">
              <w:t>for commercialisation</w:t>
            </w:r>
          </w:p>
          <w:p w:rsidR="00BA7F7E" w:rsidRDefault="00BA7F7E" w:rsidP="00A82051">
            <w:pPr>
              <w:pStyle w:val="BoxListBullet"/>
            </w:pPr>
            <w:r>
              <w:t>definition of returns in the event there is a combination product requiring IP from other parties</w:t>
            </w:r>
            <w:r w:rsidR="00FF7442">
              <w:t>.</w:t>
            </w:r>
          </w:p>
          <w:p w:rsidR="005C02C3" w:rsidRDefault="00F11C75">
            <w:pPr>
              <w:pStyle w:val="Box"/>
            </w:pPr>
            <w:r>
              <w:t>A</w:t>
            </w:r>
            <w:r w:rsidR="00A82051">
              <w:t xml:space="preserve"> licensee will typically be required </w:t>
            </w:r>
            <w:r>
              <w:t>to ensure that the sale of products occurs on proper commercial terms, and that quantities are available as free samples, o</w:t>
            </w:r>
            <w:r w:rsidR="00FF7442">
              <w:t>r for the purposes of donation.</w:t>
            </w:r>
          </w:p>
          <w:p w:rsidR="008363C8" w:rsidRDefault="00377C1A">
            <w:pPr>
              <w:pStyle w:val="Box"/>
            </w:pPr>
            <w:r>
              <w:t>Confidentiality provisions are standard. Academic licensors often require retained rights to the IP they license out to other parties, subject to confidentiality clauses</w:t>
            </w:r>
            <w:r w:rsidR="00715A2F">
              <w:t xml:space="preserve">. Commercial endeavour and performance obligations may also be part of a </w:t>
            </w:r>
            <w:r w:rsidR="00F255E7">
              <w:t>licence</w:t>
            </w:r>
            <w:r w:rsidR="00715A2F">
              <w:t>. These obligations seek to ensure that the IP covered by the agreement is commercially exploited</w:t>
            </w:r>
            <w:r w:rsidR="00600CB0">
              <w:t>, rather than remaining dormant</w:t>
            </w:r>
            <w:r w:rsidR="00A87C0C">
              <w:t>.</w:t>
            </w:r>
          </w:p>
          <w:p w:rsidR="00377C1A" w:rsidRDefault="00F977E2" w:rsidP="00FA18BE">
            <w:pPr>
              <w:pStyle w:val="Box"/>
            </w:pPr>
            <w:r>
              <w:t xml:space="preserve">Safeguards and procedures also exist to </w:t>
            </w:r>
            <w:r w:rsidR="00D340F1">
              <w:t xml:space="preserve">deal with issues that may arise, such as </w:t>
            </w:r>
            <w:r w:rsidR="00FA18BE">
              <w:t>non</w:t>
            </w:r>
            <w:r w:rsidR="00FA18BE">
              <w:noBreakHyphen/>
              <w:t>performance, conflict resolution, and termination of licen</w:t>
            </w:r>
            <w:r w:rsidR="00114E83">
              <w:t>c</w:t>
            </w:r>
            <w:r w:rsidR="00FA18BE">
              <w:t xml:space="preserve">es. </w:t>
            </w:r>
            <w:r w:rsidR="0015284A">
              <w:t>For instance, if a licensee fails to honour its performance obligations and rectify alleged underperformance, a licensor may elect to limit the territory, or field of an agreement. The licensor may also convert an exclusive licence to a non-exclusive licence, or exclude foundation IP or improved IP from the agreement in light of alleged underperformance.</w:t>
            </w:r>
          </w:p>
          <w:p w:rsidR="00EA2BFD" w:rsidRDefault="00EA2BFD" w:rsidP="00055CF6">
            <w:pPr>
              <w:pStyle w:val="Box"/>
            </w:pPr>
            <w:r>
              <w:t>Parties typically agree in advance</w:t>
            </w:r>
            <w:r w:rsidR="00055CF6">
              <w:t xml:space="preserve"> on</w:t>
            </w:r>
            <w:r>
              <w:t xml:space="preserve"> the procedures for addressing conflict, and failing internal resolution, a third part</w:t>
            </w:r>
            <w:r w:rsidR="00055CF6">
              <w:t>y (or parties) may be appointed. A</w:t>
            </w:r>
            <w:r>
              <w:t xml:space="preserve"> common example </w:t>
            </w:r>
            <w:r w:rsidR="00055CF6">
              <w:t>of an external party performing this role is</w:t>
            </w:r>
            <w:r>
              <w:t xml:space="preserve"> the Licensing Executives Society. Criteria for termination of a licensing agreement are often related to financial solvency of the parties involved, </w:t>
            </w:r>
            <w:r w:rsidR="00156F24">
              <w:t>and</w:t>
            </w:r>
            <w:r>
              <w:t xml:space="preserve"> their adherence to the terms of the agreement.</w:t>
            </w:r>
          </w:p>
        </w:tc>
      </w:tr>
      <w:tr w:rsidR="00B819B4">
        <w:trPr>
          <w:cantSplit/>
        </w:trPr>
        <w:tc>
          <w:tcPr>
            <w:tcW w:w="8771" w:type="dxa"/>
            <w:tcBorders>
              <w:top w:val="nil"/>
              <w:left w:val="single" w:sz="6" w:space="0" w:color="auto"/>
              <w:bottom w:val="nil"/>
              <w:right w:val="single" w:sz="6" w:space="0" w:color="auto"/>
            </w:tcBorders>
          </w:tcPr>
          <w:p w:rsidR="00B819B4" w:rsidRDefault="00B819B4" w:rsidP="009E0DF1">
            <w:pPr>
              <w:pStyle w:val="BoxSource"/>
            </w:pPr>
            <w:r>
              <w:rPr>
                <w:i/>
              </w:rPr>
              <w:t>Source</w:t>
            </w:r>
            <w:r w:rsidRPr="00167F06">
              <w:t xml:space="preserve">: </w:t>
            </w:r>
            <w:r>
              <w:t>Walter and Eliza Hall Institute</w:t>
            </w:r>
            <w:r w:rsidR="00DB248E">
              <w:t xml:space="preserve"> of Medical Research</w:t>
            </w:r>
            <w:r>
              <w:t xml:space="preserve"> (</w:t>
            </w:r>
            <w:r w:rsidR="009E0DF1">
              <w:t>sub. 13</w:t>
            </w:r>
            <w:r>
              <w:t>).</w:t>
            </w:r>
          </w:p>
        </w:tc>
      </w:tr>
      <w:tr w:rsidR="00B819B4">
        <w:trPr>
          <w:cantSplit/>
        </w:trPr>
        <w:tc>
          <w:tcPr>
            <w:tcW w:w="8771" w:type="dxa"/>
            <w:tcBorders>
              <w:top w:val="nil"/>
              <w:left w:val="single" w:sz="6" w:space="0" w:color="auto"/>
              <w:bottom w:val="single" w:sz="6" w:space="0" w:color="auto"/>
              <w:right w:val="single" w:sz="6" w:space="0" w:color="auto"/>
            </w:tcBorders>
          </w:tcPr>
          <w:p w:rsidR="00B819B4" w:rsidRDefault="00B819B4">
            <w:pPr>
              <w:pStyle w:val="Box"/>
              <w:spacing w:before="0" w:line="120" w:lineRule="exact"/>
            </w:pPr>
          </w:p>
        </w:tc>
      </w:tr>
      <w:tr w:rsidR="00B819B4" w:rsidRPr="000863A5">
        <w:tc>
          <w:tcPr>
            <w:tcW w:w="8771" w:type="dxa"/>
            <w:tcBorders>
              <w:top w:val="nil"/>
              <w:left w:val="nil"/>
              <w:bottom w:val="nil"/>
              <w:right w:val="nil"/>
            </w:tcBorders>
          </w:tcPr>
          <w:p w:rsidR="00B819B4" w:rsidRPr="000863A5" w:rsidRDefault="00B819B4" w:rsidP="00540272">
            <w:pPr>
              <w:pStyle w:val="Box"/>
              <w:keepNext w:val="0"/>
              <w:spacing w:before="60" w:after="60" w:line="80" w:lineRule="exact"/>
              <w:rPr>
                <w:b/>
                <w:sz w:val="14"/>
              </w:rPr>
            </w:pPr>
          </w:p>
        </w:tc>
      </w:tr>
    </w:tbl>
    <w:p w:rsidR="00E01E31" w:rsidRDefault="00E01E31" w:rsidP="00E01E31">
      <w:pPr>
        <w:pStyle w:val="Heading3"/>
      </w:pPr>
      <w:r>
        <w:lastRenderedPageBreak/>
        <w:t>Prevalence of licensing</w:t>
      </w:r>
    </w:p>
    <w:p w:rsidR="00D12968" w:rsidRDefault="0047533A" w:rsidP="00D12968">
      <w:pPr>
        <w:pStyle w:val="BodyText"/>
      </w:pPr>
      <w:r>
        <w:t>As mentioned, i</w:t>
      </w:r>
      <w:r w:rsidR="00D12968">
        <w:t>nformation on the prevalence of voluntary licensing is limited. The PatVal</w:t>
      </w:r>
      <w:r w:rsidR="005A391F">
        <w:noBreakHyphen/>
      </w:r>
      <w:r w:rsidR="00D12968">
        <w:t>EU and RIETI-Georgia Tech surveys noted earlier suggest that the extent of licensing</w:t>
      </w:r>
      <w:r w:rsidR="00133EE6">
        <w:t xml:space="preserve"> is relatively low</w:t>
      </w:r>
      <w:r w:rsidR="00D12968">
        <w:t>, at least among surveyed European,</w:t>
      </w:r>
      <w:r w:rsidR="00133EE6">
        <w:t xml:space="preserve"> Japanese and US patent holders</w:t>
      </w:r>
      <w:r w:rsidR="00D12968">
        <w:t xml:space="preserve">. For example, the PatVal-EU survey found that, across </w:t>
      </w:r>
      <w:r w:rsidR="00A26391">
        <w:t>all organisations, less than 15 </w:t>
      </w:r>
      <w:r w:rsidR="00D12968">
        <w:t>per cent of patents were licensed in some form (table 4.5). In comparison, around half of all patents were used solely by their owner and roughly 40 per cent were unused. Possible reasons for the low rate of licensing, and the implications it might have for public policy, are discussed later in this chapter.</w:t>
      </w:r>
    </w:p>
    <w:p w:rsidR="00030342" w:rsidRDefault="00030342" w:rsidP="00030342">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t>5</w:t>
      </w:r>
      <w:r>
        <w:tab/>
        <w:t>Patent use in PatVal-EU survey, by organisation type</w:t>
      </w:r>
      <w:r w:rsidR="005B2EB5" w:rsidRPr="00AF6953">
        <w:rPr>
          <w:rStyle w:val="NoteLabel"/>
          <w:b/>
        </w:rPr>
        <w:t>a</w:t>
      </w:r>
    </w:p>
    <w:p w:rsidR="00030342" w:rsidRDefault="00030342" w:rsidP="00030342">
      <w:pPr>
        <w:pStyle w:val="Subtitle"/>
      </w:pPr>
      <w:r>
        <w:t>Per cent</w:t>
      </w:r>
    </w:p>
    <w:tbl>
      <w:tblPr>
        <w:tblW w:w="5000" w:type="pct"/>
        <w:tblCellMar>
          <w:left w:w="0" w:type="dxa"/>
          <w:right w:w="0" w:type="dxa"/>
        </w:tblCellMar>
        <w:tblLook w:val="0000" w:firstRow="0" w:lastRow="0" w:firstColumn="0" w:lastColumn="0" w:noHBand="0" w:noVBand="0"/>
      </w:tblPr>
      <w:tblGrid>
        <w:gridCol w:w="1764"/>
        <w:gridCol w:w="1061"/>
        <w:gridCol w:w="1061"/>
        <w:gridCol w:w="1061"/>
        <w:gridCol w:w="1062"/>
        <w:gridCol w:w="1068"/>
        <w:gridCol w:w="1056"/>
        <w:gridCol w:w="656"/>
      </w:tblGrid>
      <w:tr w:rsidR="008171D2" w:rsidTr="000843D5">
        <w:tc>
          <w:tcPr>
            <w:tcW w:w="903" w:type="pct"/>
            <w:tcBorders>
              <w:top w:val="single" w:sz="6" w:space="0" w:color="auto"/>
              <w:bottom w:val="single" w:sz="6" w:space="0" w:color="auto"/>
            </w:tcBorders>
            <w:shd w:val="clear" w:color="auto" w:fill="auto"/>
          </w:tcPr>
          <w:p w:rsidR="00030342" w:rsidRDefault="00030342" w:rsidP="00786E03">
            <w:pPr>
              <w:pStyle w:val="TableColumnHeading"/>
              <w:jc w:val="left"/>
            </w:pPr>
          </w:p>
        </w:tc>
        <w:tc>
          <w:tcPr>
            <w:tcW w:w="618" w:type="pct"/>
            <w:tcBorders>
              <w:top w:val="single" w:sz="6" w:space="0" w:color="auto"/>
              <w:bottom w:val="single" w:sz="6" w:space="0" w:color="auto"/>
            </w:tcBorders>
            <w:shd w:val="clear" w:color="auto" w:fill="auto"/>
            <w:vAlign w:val="bottom"/>
          </w:tcPr>
          <w:p w:rsidR="00030342" w:rsidRDefault="00030342" w:rsidP="000843D5">
            <w:pPr>
              <w:pStyle w:val="TableColumnHeading"/>
            </w:pPr>
            <w:r>
              <w:t>Internal use only</w:t>
            </w:r>
          </w:p>
        </w:tc>
        <w:tc>
          <w:tcPr>
            <w:tcW w:w="618" w:type="pct"/>
            <w:tcBorders>
              <w:top w:val="single" w:sz="6" w:space="0" w:color="auto"/>
              <w:bottom w:val="single" w:sz="6" w:space="0" w:color="auto"/>
            </w:tcBorders>
            <w:vAlign w:val="bottom"/>
          </w:tcPr>
          <w:p w:rsidR="00030342" w:rsidRDefault="00030342" w:rsidP="000843D5">
            <w:pPr>
              <w:pStyle w:val="TableColumnHeading"/>
              <w:ind w:right="28"/>
            </w:pPr>
            <w:r>
              <w:t>Licensing only</w:t>
            </w:r>
          </w:p>
        </w:tc>
        <w:tc>
          <w:tcPr>
            <w:tcW w:w="618" w:type="pct"/>
            <w:tcBorders>
              <w:top w:val="single" w:sz="6" w:space="0" w:color="auto"/>
              <w:bottom w:val="single" w:sz="6" w:space="0" w:color="auto"/>
            </w:tcBorders>
            <w:vAlign w:val="bottom"/>
          </w:tcPr>
          <w:p w:rsidR="00030342" w:rsidRDefault="00030342" w:rsidP="000843D5">
            <w:pPr>
              <w:pStyle w:val="TableColumnHeading"/>
              <w:ind w:right="28"/>
            </w:pPr>
            <w:r>
              <w:t>Cross licensing</w:t>
            </w:r>
          </w:p>
        </w:tc>
        <w:tc>
          <w:tcPr>
            <w:tcW w:w="618" w:type="pct"/>
            <w:tcBorders>
              <w:top w:val="single" w:sz="6" w:space="0" w:color="auto"/>
              <w:bottom w:val="single" w:sz="6" w:space="0" w:color="auto"/>
            </w:tcBorders>
            <w:vAlign w:val="bottom"/>
          </w:tcPr>
          <w:p w:rsidR="00030342" w:rsidRDefault="00030342" w:rsidP="000843D5">
            <w:pPr>
              <w:pStyle w:val="TableColumnHeading"/>
              <w:ind w:right="28"/>
            </w:pPr>
            <w:r>
              <w:t>Licensing and use</w:t>
            </w:r>
          </w:p>
        </w:tc>
        <w:tc>
          <w:tcPr>
            <w:tcW w:w="618" w:type="pct"/>
            <w:tcBorders>
              <w:top w:val="single" w:sz="6" w:space="0" w:color="auto"/>
              <w:bottom w:val="single" w:sz="6" w:space="0" w:color="auto"/>
            </w:tcBorders>
            <w:vAlign w:val="bottom"/>
          </w:tcPr>
          <w:p w:rsidR="00030342" w:rsidRDefault="00030342" w:rsidP="000843D5">
            <w:pPr>
              <w:pStyle w:val="TableColumnHeading"/>
              <w:ind w:right="28"/>
            </w:pPr>
            <w:r>
              <w:t>Blocking competitors</w:t>
            </w:r>
          </w:p>
        </w:tc>
        <w:tc>
          <w:tcPr>
            <w:tcW w:w="618" w:type="pct"/>
            <w:tcBorders>
              <w:top w:val="single" w:sz="6" w:space="0" w:color="auto"/>
              <w:bottom w:val="single" w:sz="6" w:space="0" w:color="auto"/>
            </w:tcBorders>
            <w:vAlign w:val="bottom"/>
          </w:tcPr>
          <w:p w:rsidR="00030342" w:rsidRDefault="00030342" w:rsidP="000843D5">
            <w:pPr>
              <w:pStyle w:val="TableColumnHeading"/>
              <w:ind w:right="28"/>
            </w:pPr>
            <w:r>
              <w:t>Sleeping patents</w:t>
            </w:r>
          </w:p>
        </w:tc>
        <w:tc>
          <w:tcPr>
            <w:tcW w:w="387" w:type="pct"/>
            <w:tcBorders>
              <w:top w:val="single" w:sz="6" w:space="0" w:color="auto"/>
              <w:bottom w:val="single" w:sz="6" w:space="0" w:color="auto"/>
            </w:tcBorders>
            <w:shd w:val="clear" w:color="auto" w:fill="auto"/>
            <w:vAlign w:val="bottom"/>
          </w:tcPr>
          <w:p w:rsidR="00030342" w:rsidRDefault="00030342" w:rsidP="000843D5">
            <w:pPr>
              <w:pStyle w:val="TableColumnHeading"/>
              <w:ind w:right="28"/>
            </w:pPr>
            <w:r>
              <w:t>Total</w:t>
            </w:r>
          </w:p>
        </w:tc>
      </w:tr>
      <w:tr w:rsidR="008171D2" w:rsidTr="00786E03">
        <w:tc>
          <w:tcPr>
            <w:tcW w:w="903" w:type="pct"/>
            <w:tcBorders>
              <w:top w:val="single" w:sz="6" w:space="0" w:color="auto"/>
            </w:tcBorders>
          </w:tcPr>
          <w:p w:rsidR="00030342" w:rsidRDefault="00EF487B" w:rsidP="00AF6953">
            <w:pPr>
              <w:pStyle w:val="TableUnitsRow"/>
              <w:spacing w:line="220" w:lineRule="exact"/>
              <w:jc w:val="left"/>
            </w:pPr>
            <w:r>
              <w:t>Large </w:t>
            </w:r>
            <w:r w:rsidR="00030342">
              <w:t>companies</w:t>
            </w:r>
            <w:r w:rsidR="002B1404" w:rsidRPr="002B1404">
              <w:rPr>
                <w:rStyle w:val="NoteLabel"/>
              </w:rPr>
              <w:t>b</w:t>
            </w:r>
          </w:p>
        </w:tc>
        <w:tc>
          <w:tcPr>
            <w:tcW w:w="618" w:type="pct"/>
            <w:tcBorders>
              <w:top w:val="single" w:sz="6" w:space="0" w:color="auto"/>
            </w:tcBorders>
          </w:tcPr>
          <w:p w:rsidR="00030342" w:rsidRDefault="00030342" w:rsidP="00AF6953">
            <w:pPr>
              <w:pStyle w:val="TableUnitsRow"/>
              <w:spacing w:line="220" w:lineRule="exact"/>
            </w:pPr>
            <w:r>
              <w:t>50</w:t>
            </w:r>
          </w:p>
        </w:tc>
        <w:tc>
          <w:tcPr>
            <w:tcW w:w="618" w:type="pct"/>
            <w:tcBorders>
              <w:top w:val="single" w:sz="6" w:space="0" w:color="auto"/>
            </w:tcBorders>
          </w:tcPr>
          <w:p w:rsidR="00030342" w:rsidRDefault="00030342" w:rsidP="00AF6953">
            <w:pPr>
              <w:pStyle w:val="TableUnitsRow"/>
              <w:spacing w:line="220" w:lineRule="exact"/>
              <w:ind w:right="28"/>
            </w:pPr>
            <w:r>
              <w:t>3</w:t>
            </w:r>
          </w:p>
        </w:tc>
        <w:tc>
          <w:tcPr>
            <w:tcW w:w="618" w:type="pct"/>
            <w:tcBorders>
              <w:top w:val="single" w:sz="6" w:space="0" w:color="auto"/>
            </w:tcBorders>
          </w:tcPr>
          <w:p w:rsidR="00030342" w:rsidRDefault="00030342" w:rsidP="00AF6953">
            <w:pPr>
              <w:pStyle w:val="TableUnitsRow"/>
              <w:spacing w:line="220" w:lineRule="exact"/>
              <w:ind w:right="28"/>
            </w:pPr>
            <w:r>
              <w:t>3</w:t>
            </w:r>
          </w:p>
        </w:tc>
        <w:tc>
          <w:tcPr>
            <w:tcW w:w="618" w:type="pct"/>
            <w:tcBorders>
              <w:top w:val="single" w:sz="6" w:space="0" w:color="auto"/>
            </w:tcBorders>
          </w:tcPr>
          <w:p w:rsidR="00030342" w:rsidRDefault="00030342" w:rsidP="00AF6953">
            <w:pPr>
              <w:pStyle w:val="TableUnitsRow"/>
              <w:spacing w:line="220" w:lineRule="exact"/>
              <w:ind w:right="28"/>
            </w:pPr>
            <w:r>
              <w:t>3</w:t>
            </w:r>
          </w:p>
        </w:tc>
        <w:tc>
          <w:tcPr>
            <w:tcW w:w="618" w:type="pct"/>
            <w:tcBorders>
              <w:top w:val="single" w:sz="6" w:space="0" w:color="auto"/>
            </w:tcBorders>
          </w:tcPr>
          <w:p w:rsidR="00030342" w:rsidRDefault="00030342" w:rsidP="00AF6953">
            <w:pPr>
              <w:pStyle w:val="TableUnitsRow"/>
              <w:spacing w:line="220" w:lineRule="exact"/>
              <w:ind w:right="28"/>
            </w:pPr>
            <w:r>
              <w:t>22</w:t>
            </w:r>
          </w:p>
        </w:tc>
        <w:tc>
          <w:tcPr>
            <w:tcW w:w="618" w:type="pct"/>
            <w:tcBorders>
              <w:top w:val="single" w:sz="6" w:space="0" w:color="auto"/>
            </w:tcBorders>
          </w:tcPr>
          <w:p w:rsidR="00030342" w:rsidRDefault="00030342" w:rsidP="00AF6953">
            <w:pPr>
              <w:pStyle w:val="TableUnitsRow"/>
              <w:spacing w:line="220" w:lineRule="exact"/>
              <w:ind w:right="28"/>
            </w:pPr>
            <w:r>
              <w:t>19</w:t>
            </w:r>
          </w:p>
        </w:tc>
        <w:tc>
          <w:tcPr>
            <w:tcW w:w="387" w:type="pct"/>
            <w:tcBorders>
              <w:top w:val="single" w:sz="6" w:space="0" w:color="auto"/>
            </w:tcBorders>
          </w:tcPr>
          <w:p w:rsidR="00030342" w:rsidRDefault="00030342" w:rsidP="00AF6953">
            <w:pPr>
              <w:pStyle w:val="TableUnitsRow"/>
              <w:spacing w:line="220" w:lineRule="exact"/>
              <w:ind w:right="28"/>
            </w:pPr>
            <w:r>
              <w:t>100</w:t>
            </w:r>
          </w:p>
        </w:tc>
      </w:tr>
      <w:tr w:rsidR="008171D2" w:rsidTr="00786E03">
        <w:tc>
          <w:tcPr>
            <w:tcW w:w="903" w:type="pct"/>
          </w:tcPr>
          <w:p w:rsidR="008171D2" w:rsidRDefault="00EF487B" w:rsidP="00AF6953">
            <w:pPr>
              <w:pStyle w:val="TableBodyText"/>
              <w:spacing w:line="220" w:lineRule="exact"/>
              <w:jc w:val="left"/>
            </w:pPr>
            <w:r>
              <w:t>Medium sized</w:t>
            </w:r>
          </w:p>
          <w:p w:rsidR="00030342" w:rsidRDefault="008171D2" w:rsidP="00AF6953">
            <w:pPr>
              <w:pStyle w:val="TableBodyText"/>
              <w:spacing w:line="220" w:lineRule="exact"/>
              <w:jc w:val="left"/>
            </w:pPr>
            <w:r>
              <w:t xml:space="preserve">  </w:t>
            </w:r>
            <w:r w:rsidR="00030342">
              <w:t>companies</w:t>
            </w:r>
            <w:r w:rsidR="002B1404" w:rsidRPr="002B1404">
              <w:rPr>
                <w:rStyle w:val="NoteLabel"/>
              </w:rPr>
              <w:t>b</w:t>
            </w:r>
          </w:p>
        </w:tc>
        <w:tc>
          <w:tcPr>
            <w:tcW w:w="618" w:type="pct"/>
          </w:tcPr>
          <w:p w:rsidR="00030342" w:rsidRDefault="00030342" w:rsidP="00AF6953">
            <w:pPr>
              <w:pStyle w:val="TableBodyText"/>
              <w:spacing w:line="220" w:lineRule="exact"/>
            </w:pPr>
            <w:r>
              <w:t>66</w:t>
            </w:r>
          </w:p>
        </w:tc>
        <w:tc>
          <w:tcPr>
            <w:tcW w:w="618" w:type="pct"/>
          </w:tcPr>
          <w:p w:rsidR="00030342" w:rsidRDefault="00030342" w:rsidP="00AF6953">
            <w:pPr>
              <w:pStyle w:val="TableBodyText"/>
              <w:spacing w:line="220" w:lineRule="exact"/>
              <w:ind w:right="28"/>
            </w:pPr>
            <w:r>
              <w:t>5</w:t>
            </w:r>
          </w:p>
        </w:tc>
        <w:tc>
          <w:tcPr>
            <w:tcW w:w="618" w:type="pct"/>
          </w:tcPr>
          <w:p w:rsidR="00030342" w:rsidRDefault="00030342" w:rsidP="00AF6953">
            <w:pPr>
              <w:pStyle w:val="TableBodyText"/>
              <w:spacing w:line="220" w:lineRule="exact"/>
              <w:ind w:right="28"/>
            </w:pPr>
            <w:r>
              <w:t>1</w:t>
            </w:r>
          </w:p>
        </w:tc>
        <w:tc>
          <w:tcPr>
            <w:tcW w:w="618" w:type="pct"/>
          </w:tcPr>
          <w:p w:rsidR="00030342" w:rsidRDefault="00030342" w:rsidP="00AF6953">
            <w:pPr>
              <w:pStyle w:val="TableBodyText"/>
              <w:spacing w:line="220" w:lineRule="exact"/>
              <w:ind w:right="28"/>
            </w:pPr>
            <w:r>
              <w:t>4</w:t>
            </w:r>
          </w:p>
        </w:tc>
        <w:tc>
          <w:tcPr>
            <w:tcW w:w="618" w:type="pct"/>
          </w:tcPr>
          <w:p w:rsidR="00030342" w:rsidRDefault="00030342" w:rsidP="00AF6953">
            <w:pPr>
              <w:pStyle w:val="TableBodyText"/>
              <w:spacing w:line="220" w:lineRule="exact"/>
              <w:ind w:right="28"/>
            </w:pPr>
            <w:r>
              <w:t>14</w:t>
            </w:r>
          </w:p>
        </w:tc>
        <w:tc>
          <w:tcPr>
            <w:tcW w:w="618" w:type="pct"/>
          </w:tcPr>
          <w:p w:rsidR="00030342" w:rsidRDefault="00030342" w:rsidP="00AF6953">
            <w:pPr>
              <w:pStyle w:val="TableBodyText"/>
              <w:spacing w:line="220" w:lineRule="exact"/>
              <w:ind w:right="28"/>
            </w:pPr>
            <w:r>
              <w:t>10</w:t>
            </w:r>
          </w:p>
        </w:tc>
        <w:tc>
          <w:tcPr>
            <w:tcW w:w="387" w:type="pct"/>
          </w:tcPr>
          <w:p w:rsidR="00030342" w:rsidRDefault="00030342" w:rsidP="00AF6953">
            <w:pPr>
              <w:pStyle w:val="TableBodyText"/>
              <w:spacing w:line="220" w:lineRule="exact"/>
              <w:ind w:right="28"/>
            </w:pPr>
            <w:r>
              <w:t>100</w:t>
            </w:r>
          </w:p>
        </w:tc>
      </w:tr>
      <w:tr w:rsidR="008171D2" w:rsidTr="00786E03">
        <w:tc>
          <w:tcPr>
            <w:tcW w:w="903" w:type="pct"/>
          </w:tcPr>
          <w:p w:rsidR="00030342" w:rsidRDefault="00EF487B" w:rsidP="00AF6953">
            <w:pPr>
              <w:pStyle w:val="TableBodyText"/>
              <w:spacing w:line="220" w:lineRule="exact"/>
              <w:jc w:val="left"/>
            </w:pPr>
            <w:r>
              <w:t xml:space="preserve">Small </w:t>
            </w:r>
            <w:r w:rsidR="00030342">
              <w:t>companies</w:t>
            </w:r>
            <w:r w:rsidR="002B1404" w:rsidRPr="002B1404">
              <w:rPr>
                <w:rStyle w:val="NoteLabel"/>
              </w:rPr>
              <w:t>b</w:t>
            </w:r>
          </w:p>
        </w:tc>
        <w:tc>
          <w:tcPr>
            <w:tcW w:w="618" w:type="pct"/>
          </w:tcPr>
          <w:p w:rsidR="00030342" w:rsidRDefault="00030342" w:rsidP="00AF6953">
            <w:pPr>
              <w:pStyle w:val="TableBodyText"/>
              <w:spacing w:line="220" w:lineRule="exact"/>
            </w:pPr>
            <w:r>
              <w:t>56</w:t>
            </w:r>
          </w:p>
        </w:tc>
        <w:tc>
          <w:tcPr>
            <w:tcW w:w="618" w:type="pct"/>
          </w:tcPr>
          <w:p w:rsidR="00030342" w:rsidRDefault="00030342" w:rsidP="00AF6953">
            <w:pPr>
              <w:pStyle w:val="TableBodyText"/>
              <w:spacing w:line="220" w:lineRule="exact"/>
              <w:ind w:right="28"/>
            </w:pPr>
            <w:r>
              <w:t>15</w:t>
            </w:r>
          </w:p>
        </w:tc>
        <w:tc>
          <w:tcPr>
            <w:tcW w:w="618" w:type="pct"/>
          </w:tcPr>
          <w:p w:rsidR="00030342" w:rsidRDefault="00030342" w:rsidP="00AF6953">
            <w:pPr>
              <w:pStyle w:val="TableBodyText"/>
              <w:spacing w:line="220" w:lineRule="exact"/>
              <w:ind w:right="28"/>
            </w:pPr>
            <w:r>
              <w:t>4</w:t>
            </w:r>
          </w:p>
        </w:tc>
        <w:tc>
          <w:tcPr>
            <w:tcW w:w="618" w:type="pct"/>
          </w:tcPr>
          <w:p w:rsidR="00030342" w:rsidRDefault="00030342" w:rsidP="00AF6953">
            <w:pPr>
              <w:pStyle w:val="TableBodyText"/>
              <w:spacing w:line="220" w:lineRule="exact"/>
              <w:ind w:right="28"/>
            </w:pPr>
            <w:r>
              <w:t>7</w:t>
            </w:r>
          </w:p>
        </w:tc>
        <w:tc>
          <w:tcPr>
            <w:tcW w:w="618" w:type="pct"/>
          </w:tcPr>
          <w:p w:rsidR="00030342" w:rsidRDefault="00030342" w:rsidP="00AF6953">
            <w:pPr>
              <w:pStyle w:val="TableBodyText"/>
              <w:spacing w:line="220" w:lineRule="exact"/>
              <w:ind w:right="28"/>
            </w:pPr>
            <w:r>
              <w:t>10</w:t>
            </w:r>
          </w:p>
        </w:tc>
        <w:tc>
          <w:tcPr>
            <w:tcW w:w="618" w:type="pct"/>
          </w:tcPr>
          <w:p w:rsidR="00030342" w:rsidRDefault="00030342" w:rsidP="00AF6953">
            <w:pPr>
              <w:pStyle w:val="TableBodyText"/>
              <w:spacing w:line="220" w:lineRule="exact"/>
              <w:ind w:right="28"/>
            </w:pPr>
            <w:r>
              <w:t>9</w:t>
            </w:r>
          </w:p>
        </w:tc>
        <w:tc>
          <w:tcPr>
            <w:tcW w:w="387" w:type="pct"/>
          </w:tcPr>
          <w:p w:rsidR="00030342" w:rsidRDefault="00030342" w:rsidP="00AF6953">
            <w:pPr>
              <w:pStyle w:val="TableBodyText"/>
              <w:spacing w:line="220" w:lineRule="exact"/>
              <w:ind w:right="28"/>
            </w:pPr>
            <w:r>
              <w:t>100</w:t>
            </w:r>
          </w:p>
        </w:tc>
      </w:tr>
      <w:tr w:rsidR="008171D2" w:rsidTr="00786E03">
        <w:tc>
          <w:tcPr>
            <w:tcW w:w="903" w:type="pct"/>
          </w:tcPr>
          <w:p w:rsidR="008171D2" w:rsidRDefault="008171D2" w:rsidP="00AF6953">
            <w:pPr>
              <w:pStyle w:val="TableBodyText"/>
              <w:spacing w:line="220" w:lineRule="exact"/>
              <w:jc w:val="left"/>
            </w:pPr>
            <w:r>
              <w:t>Private research</w:t>
            </w:r>
          </w:p>
          <w:p w:rsidR="00030342" w:rsidRDefault="008171D2" w:rsidP="00AF6953">
            <w:pPr>
              <w:pStyle w:val="TableBodyText"/>
              <w:spacing w:line="220" w:lineRule="exact"/>
              <w:jc w:val="left"/>
            </w:pPr>
            <w:r>
              <w:t xml:space="preserve">  </w:t>
            </w:r>
            <w:r w:rsidR="00030342">
              <w:t>institutions</w:t>
            </w:r>
          </w:p>
        </w:tc>
        <w:tc>
          <w:tcPr>
            <w:tcW w:w="618" w:type="pct"/>
          </w:tcPr>
          <w:p w:rsidR="00030342" w:rsidRDefault="00030342" w:rsidP="00AF6953">
            <w:pPr>
              <w:pStyle w:val="TableBodyText"/>
              <w:spacing w:line="220" w:lineRule="exact"/>
            </w:pPr>
            <w:r>
              <w:t>17</w:t>
            </w:r>
          </w:p>
        </w:tc>
        <w:tc>
          <w:tcPr>
            <w:tcW w:w="618" w:type="pct"/>
          </w:tcPr>
          <w:p w:rsidR="00030342" w:rsidRDefault="00030342" w:rsidP="00AF6953">
            <w:pPr>
              <w:pStyle w:val="TableBodyText"/>
              <w:spacing w:line="220" w:lineRule="exact"/>
              <w:ind w:right="28"/>
            </w:pPr>
            <w:r>
              <w:t>35</w:t>
            </w:r>
          </w:p>
        </w:tc>
        <w:tc>
          <w:tcPr>
            <w:tcW w:w="618" w:type="pct"/>
          </w:tcPr>
          <w:p w:rsidR="00030342" w:rsidRDefault="00030342" w:rsidP="00AF6953">
            <w:pPr>
              <w:pStyle w:val="TableBodyText"/>
              <w:spacing w:line="220" w:lineRule="exact"/>
              <w:ind w:right="28"/>
            </w:pPr>
            <w:r>
              <w:t>0</w:t>
            </w:r>
          </w:p>
        </w:tc>
        <w:tc>
          <w:tcPr>
            <w:tcW w:w="618" w:type="pct"/>
          </w:tcPr>
          <w:p w:rsidR="00030342" w:rsidRDefault="00030342" w:rsidP="00AF6953">
            <w:pPr>
              <w:pStyle w:val="TableBodyText"/>
              <w:spacing w:line="220" w:lineRule="exact"/>
              <w:ind w:right="28"/>
            </w:pPr>
            <w:r>
              <w:t>6</w:t>
            </w:r>
          </w:p>
        </w:tc>
        <w:tc>
          <w:tcPr>
            <w:tcW w:w="618" w:type="pct"/>
          </w:tcPr>
          <w:p w:rsidR="00030342" w:rsidRDefault="00030342" w:rsidP="00AF6953">
            <w:pPr>
              <w:pStyle w:val="TableBodyText"/>
              <w:spacing w:line="220" w:lineRule="exact"/>
              <w:ind w:right="28"/>
            </w:pPr>
            <w:r>
              <w:t>19</w:t>
            </w:r>
          </w:p>
        </w:tc>
        <w:tc>
          <w:tcPr>
            <w:tcW w:w="618" w:type="pct"/>
          </w:tcPr>
          <w:p w:rsidR="00030342" w:rsidRDefault="00030342" w:rsidP="00AF6953">
            <w:pPr>
              <w:pStyle w:val="TableBodyText"/>
              <w:spacing w:line="220" w:lineRule="exact"/>
              <w:ind w:right="28"/>
            </w:pPr>
            <w:r>
              <w:t>23</w:t>
            </w:r>
          </w:p>
        </w:tc>
        <w:tc>
          <w:tcPr>
            <w:tcW w:w="387" w:type="pct"/>
          </w:tcPr>
          <w:p w:rsidR="00030342" w:rsidRDefault="00030342" w:rsidP="00AF6953">
            <w:pPr>
              <w:pStyle w:val="TableBodyText"/>
              <w:spacing w:line="220" w:lineRule="exact"/>
              <w:ind w:right="28"/>
            </w:pPr>
            <w:r>
              <w:t>100</w:t>
            </w:r>
          </w:p>
        </w:tc>
      </w:tr>
      <w:tr w:rsidR="008171D2" w:rsidTr="00786E03">
        <w:tc>
          <w:tcPr>
            <w:tcW w:w="903" w:type="pct"/>
          </w:tcPr>
          <w:p w:rsidR="008171D2" w:rsidRDefault="008171D2" w:rsidP="00AF6953">
            <w:pPr>
              <w:pStyle w:val="TableBodyText"/>
              <w:spacing w:line="220" w:lineRule="exact"/>
              <w:jc w:val="left"/>
            </w:pPr>
            <w:r>
              <w:t>Public research</w:t>
            </w:r>
          </w:p>
          <w:p w:rsidR="00030342" w:rsidRDefault="008171D2" w:rsidP="00AF6953">
            <w:pPr>
              <w:pStyle w:val="TableBodyText"/>
              <w:spacing w:line="220" w:lineRule="exact"/>
              <w:jc w:val="left"/>
            </w:pPr>
            <w:r>
              <w:t xml:space="preserve">  </w:t>
            </w:r>
            <w:r w:rsidR="00030342">
              <w:t>institutions</w:t>
            </w:r>
          </w:p>
        </w:tc>
        <w:tc>
          <w:tcPr>
            <w:tcW w:w="618" w:type="pct"/>
          </w:tcPr>
          <w:p w:rsidR="00030342" w:rsidRDefault="00030342" w:rsidP="00AF6953">
            <w:pPr>
              <w:pStyle w:val="TableBodyText"/>
              <w:spacing w:line="220" w:lineRule="exact"/>
            </w:pPr>
            <w:r>
              <w:t>22</w:t>
            </w:r>
          </w:p>
        </w:tc>
        <w:tc>
          <w:tcPr>
            <w:tcW w:w="618" w:type="pct"/>
          </w:tcPr>
          <w:p w:rsidR="00030342" w:rsidRDefault="00030342" w:rsidP="00AF6953">
            <w:pPr>
              <w:pStyle w:val="TableBodyText"/>
              <w:spacing w:line="220" w:lineRule="exact"/>
              <w:ind w:right="28"/>
            </w:pPr>
            <w:r>
              <w:t>23</w:t>
            </w:r>
          </w:p>
        </w:tc>
        <w:tc>
          <w:tcPr>
            <w:tcW w:w="618" w:type="pct"/>
          </w:tcPr>
          <w:p w:rsidR="00030342" w:rsidRDefault="00030342" w:rsidP="00AF6953">
            <w:pPr>
              <w:pStyle w:val="TableBodyText"/>
              <w:spacing w:line="220" w:lineRule="exact"/>
              <w:ind w:right="28"/>
            </w:pPr>
            <w:r>
              <w:t>4</w:t>
            </w:r>
          </w:p>
        </w:tc>
        <w:tc>
          <w:tcPr>
            <w:tcW w:w="618" w:type="pct"/>
          </w:tcPr>
          <w:p w:rsidR="00030342" w:rsidRDefault="00030342" w:rsidP="00AF6953">
            <w:pPr>
              <w:pStyle w:val="TableBodyText"/>
              <w:spacing w:line="220" w:lineRule="exact"/>
              <w:ind w:right="28"/>
            </w:pPr>
            <w:r>
              <w:t>6</w:t>
            </w:r>
          </w:p>
        </w:tc>
        <w:tc>
          <w:tcPr>
            <w:tcW w:w="618" w:type="pct"/>
          </w:tcPr>
          <w:p w:rsidR="00030342" w:rsidRDefault="00030342" w:rsidP="00AF6953">
            <w:pPr>
              <w:pStyle w:val="TableBodyText"/>
              <w:spacing w:line="220" w:lineRule="exact"/>
              <w:ind w:right="28"/>
            </w:pPr>
            <w:r>
              <w:t>11</w:t>
            </w:r>
          </w:p>
        </w:tc>
        <w:tc>
          <w:tcPr>
            <w:tcW w:w="618" w:type="pct"/>
          </w:tcPr>
          <w:p w:rsidR="00030342" w:rsidRDefault="00030342" w:rsidP="00AF6953">
            <w:pPr>
              <w:pStyle w:val="TableBodyText"/>
              <w:spacing w:line="220" w:lineRule="exact"/>
              <w:ind w:right="28"/>
            </w:pPr>
            <w:r>
              <w:t>34</w:t>
            </w:r>
          </w:p>
        </w:tc>
        <w:tc>
          <w:tcPr>
            <w:tcW w:w="387" w:type="pct"/>
          </w:tcPr>
          <w:p w:rsidR="00030342" w:rsidRDefault="00030342" w:rsidP="00AF6953">
            <w:pPr>
              <w:pStyle w:val="TableBodyText"/>
              <w:spacing w:line="220" w:lineRule="exact"/>
              <w:ind w:right="28"/>
            </w:pPr>
            <w:r>
              <w:t>100</w:t>
            </w:r>
          </w:p>
        </w:tc>
      </w:tr>
      <w:tr w:rsidR="008171D2" w:rsidTr="00786E03">
        <w:tc>
          <w:tcPr>
            <w:tcW w:w="903" w:type="pct"/>
          </w:tcPr>
          <w:p w:rsidR="00030342" w:rsidRDefault="00030342" w:rsidP="00AF6953">
            <w:pPr>
              <w:pStyle w:val="TableBodyText"/>
              <w:spacing w:line="220" w:lineRule="exact"/>
              <w:jc w:val="left"/>
            </w:pPr>
            <w:r>
              <w:t>Universities</w:t>
            </w:r>
          </w:p>
        </w:tc>
        <w:tc>
          <w:tcPr>
            <w:tcW w:w="618" w:type="pct"/>
          </w:tcPr>
          <w:p w:rsidR="00030342" w:rsidRDefault="00030342" w:rsidP="00AF6953">
            <w:pPr>
              <w:pStyle w:val="TableBodyText"/>
              <w:spacing w:line="220" w:lineRule="exact"/>
            </w:pPr>
            <w:r>
              <w:t>26</w:t>
            </w:r>
          </w:p>
        </w:tc>
        <w:tc>
          <w:tcPr>
            <w:tcW w:w="618" w:type="pct"/>
          </w:tcPr>
          <w:p w:rsidR="00030342" w:rsidRDefault="00030342" w:rsidP="00AF6953">
            <w:pPr>
              <w:pStyle w:val="TableBodyText"/>
              <w:spacing w:line="220" w:lineRule="exact"/>
              <w:ind w:right="28"/>
            </w:pPr>
            <w:r>
              <w:t>23</w:t>
            </w:r>
          </w:p>
        </w:tc>
        <w:tc>
          <w:tcPr>
            <w:tcW w:w="618" w:type="pct"/>
          </w:tcPr>
          <w:p w:rsidR="00030342" w:rsidRDefault="00030342" w:rsidP="00AF6953">
            <w:pPr>
              <w:pStyle w:val="TableBodyText"/>
              <w:spacing w:line="220" w:lineRule="exact"/>
              <w:ind w:right="28"/>
            </w:pPr>
            <w:r>
              <w:t>5</w:t>
            </w:r>
          </w:p>
        </w:tc>
        <w:tc>
          <w:tcPr>
            <w:tcW w:w="618" w:type="pct"/>
          </w:tcPr>
          <w:p w:rsidR="00030342" w:rsidRDefault="00030342" w:rsidP="00AF6953">
            <w:pPr>
              <w:pStyle w:val="TableBodyText"/>
              <w:spacing w:line="220" w:lineRule="exact"/>
              <w:ind w:right="28"/>
            </w:pPr>
            <w:r>
              <w:t>5</w:t>
            </w:r>
          </w:p>
        </w:tc>
        <w:tc>
          <w:tcPr>
            <w:tcW w:w="618" w:type="pct"/>
          </w:tcPr>
          <w:p w:rsidR="00030342" w:rsidRDefault="00030342" w:rsidP="00AF6953">
            <w:pPr>
              <w:pStyle w:val="TableBodyText"/>
              <w:spacing w:line="220" w:lineRule="exact"/>
              <w:ind w:right="28"/>
            </w:pPr>
            <w:r>
              <w:t>14</w:t>
            </w:r>
          </w:p>
        </w:tc>
        <w:tc>
          <w:tcPr>
            <w:tcW w:w="618" w:type="pct"/>
          </w:tcPr>
          <w:p w:rsidR="00030342" w:rsidRDefault="00030342" w:rsidP="00AF6953">
            <w:pPr>
              <w:pStyle w:val="TableBodyText"/>
              <w:spacing w:line="220" w:lineRule="exact"/>
              <w:ind w:right="28"/>
            </w:pPr>
            <w:r>
              <w:t>28</w:t>
            </w:r>
          </w:p>
        </w:tc>
        <w:tc>
          <w:tcPr>
            <w:tcW w:w="387" w:type="pct"/>
          </w:tcPr>
          <w:p w:rsidR="00030342" w:rsidRDefault="00030342" w:rsidP="00AF6953">
            <w:pPr>
              <w:pStyle w:val="TableBodyText"/>
              <w:spacing w:line="220" w:lineRule="exact"/>
              <w:ind w:right="28"/>
            </w:pPr>
            <w:r>
              <w:t>100</w:t>
            </w:r>
          </w:p>
        </w:tc>
      </w:tr>
      <w:tr w:rsidR="008171D2" w:rsidTr="00786E03">
        <w:tc>
          <w:tcPr>
            <w:tcW w:w="903" w:type="pct"/>
          </w:tcPr>
          <w:p w:rsidR="008171D2" w:rsidRDefault="00EF487B" w:rsidP="00AF6953">
            <w:pPr>
              <w:pStyle w:val="TableBodyText"/>
              <w:spacing w:line="220" w:lineRule="exact"/>
              <w:jc w:val="left"/>
            </w:pPr>
            <w:r>
              <w:t>Other government</w:t>
            </w:r>
          </w:p>
          <w:p w:rsidR="00030342" w:rsidRDefault="008171D2" w:rsidP="00AF6953">
            <w:pPr>
              <w:pStyle w:val="TableBodyText"/>
              <w:spacing w:line="220" w:lineRule="exact"/>
              <w:jc w:val="left"/>
            </w:pPr>
            <w:r>
              <w:t xml:space="preserve">  </w:t>
            </w:r>
            <w:r w:rsidR="00030342">
              <w:t>institutions</w:t>
            </w:r>
          </w:p>
        </w:tc>
        <w:tc>
          <w:tcPr>
            <w:tcW w:w="618" w:type="pct"/>
          </w:tcPr>
          <w:p w:rsidR="00030342" w:rsidRDefault="00030342" w:rsidP="00AF6953">
            <w:pPr>
              <w:pStyle w:val="TableBodyText"/>
              <w:spacing w:line="220" w:lineRule="exact"/>
            </w:pPr>
            <w:r>
              <w:t>42</w:t>
            </w:r>
          </w:p>
        </w:tc>
        <w:tc>
          <w:tcPr>
            <w:tcW w:w="618" w:type="pct"/>
          </w:tcPr>
          <w:p w:rsidR="00030342" w:rsidRDefault="00030342" w:rsidP="00AF6953">
            <w:pPr>
              <w:pStyle w:val="TableBodyText"/>
              <w:spacing w:line="220" w:lineRule="exact"/>
              <w:ind w:right="28"/>
            </w:pPr>
            <w:r>
              <w:t>17</w:t>
            </w:r>
          </w:p>
        </w:tc>
        <w:tc>
          <w:tcPr>
            <w:tcW w:w="618" w:type="pct"/>
          </w:tcPr>
          <w:p w:rsidR="00030342" w:rsidRDefault="00030342" w:rsidP="00AF6953">
            <w:pPr>
              <w:pStyle w:val="TableBodyText"/>
              <w:spacing w:line="220" w:lineRule="exact"/>
              <w:ind w:right="28"/>
            </w:pPr>
            <w:r>
              <w:t>0</w:t>
            </w:r>
          </w:p>
        </w:tc>
        <w:tc>
          <w:tcPr>
            <w:tcW w:w="618" w:type="pct"/>
          </w:tcPr>
          <w:p w:rsidR="00030342" w:rsidRDefault="00030342" w:rsidP="00AF6953">
            <w:pPr>
              <w:pStyle w:val="TableBodyText"/>
              <w:spacing w:line="220" w:lineRule="exact"/>
              <w:ind w:right="28"/>
            </w:pPr>
            <w:r>
              <w:t>8</w:t>
            </w:r>
          </w:p>
        </w:tc>
        <w:tc>
          <w:tcPr>
            <w:tcW w:w="618" w:type="pct"/>
          </w:tcPr>
          <w:p w:rsidR="00030342" w:rsidRDefault="00030342" w:rsidP="00AF6953">
            <w:pPr>
              <w:pStyle w:val="TableBodyText"/>
              <w:spacing w:line="220" w:lineRule="exact"/>
              <w:ind w:right="28"/>
            </w:pPr>
            <w:r>
              <w:t>8</w:t>
            </w:r>
          </w:p>
        </w:tc>
        <w:tc>
          <w:tcPr>
            <w:tcW w:w="618" w:type="pct"/>
          </w:tcPr>
          <w:p w:rsidR="00030342" w:rsidRDefault="00030342" w:rsidP="00AF6953">
            <w:pPr>
              <w:pStyle w:val="TableBodyText"/>
              <w:spacing w:line="220" w:lineRule="exact"/>
              <w:ind w:right="28"/>
            </w:pPr>
            <w:r>
              <w:t>25</w:t>
            </w:r>
          </w:p>
        </w:tc>
        <w:tc>
          <w:tcPr>
            <w:tcW w:w="387" w:type="pct"/>
          </w:tcPr>
          <w:p w:rsidR="00030342" w:rsidRDefault="00030342" w:rsidP="00AF6953">
            <w:pPr>
              <w:pStyle w:val="TableBodyText"/>
              <w:spacing w:line="220" w:lineRule="exact"/>
              <w:ind w:right="28"/>
            </w:pPr>
            <w:r>
              <w:t>100</w:t>
            </w:r>
          </w:p>
        </w:tc>
      </w:tr>
      <w:tr w:rsidR="008171D2" w:rsidTr="00786E03">
        <w:tc>
          <w:tcPr>
            <w:tcW w:w="903" w:type="pct"/>
          </w:tcPr>
          <w:p w:rsidR="00030342" w:rsidRDefault="00030342" w:rsidP="00AF6953">
            <w:pPr>
              <w:pStyle w:val="TableBodyText"/>
              <w:spacing w:line="220" w:lineRule="exact"/>
              <w:jc w:val="left"/>
            </w:pPr>
            <w:r>
              <w:t>Other</w:t>
            </w:r>
          </w:p>
        </w:tc>
        <w:tc>
          <w:tcPr>
            <w:tcW w:w="618" w:type="pct"/>
          </w:tcPr>
          <w:p w:rsidR="00030342" w:rsidRDefault="00030342" w:rsidP="00AF6953">
            <w:pPr>
              <w:pStyle w:val="TableBodyText"/>
              <w:spacing w:line="220" w:lineRule="exact"/>
            </w:pPr>
            <w:r>
              <w:t>34</w:t>
            </w:r>
          </w:p>
        </w:tc>
        <w:tc>
          <w:tcPr>
            <w:tcW w:w="618" w:type="pct"/>
          </w:tcPr>
          <w:p w:rsidR="00030342" w:rsidRDefault="00030342" w:rsidP="00AF6953">
            <w:pPr>
              <w:pStyle w:val="TableBodyText"/>
              <w:spacing w:line="220" w:lineRule="exact"/>
              <w:ind w:right="28"/>
            </w:pPr>
            <w:r>
              <w:t>17</w:t>
            </w:r>
          </w:p>
        </w:tc>
        <w:tc>
          <w:tcPr>
            <w:tcW w:w="618" w:type="pct"/>
          </w:tcPr>
          <w:p w:rsidR="00030342" w:rsidRDefault="00030342" w:rsidP="00AF6953">
            <w:pPr>
              <w:pStyle w:val="TableBodyText"/>
              <w:spacing w:line="220" w:lineRule="exact"/>
              <w:ind w:right="28"/>
            </w:pPr>
            <w:r>
              <w:t>4</w:t>
            </w:r>
          </w:p>
        </w:tc>
        <w:tc>
          <w:tcPr>
            <w:tcW w:w="618" w:type="pct"/>
          </w:tcPr>
          <w:p w:rsidR="00030342" w:rsidRDefault="00030342" w:rsidP="00AF6953">
            <w:pPr>
              <w:pStyle w:val="TableBodyText"/>
              <w:spacing w:line="220" w:lineRule="exact"/>
              <w:ind w:right="28"/>
            </w:pPr>
            <w:r>
              <w:t>9</w:t>
            </w:r>
          </w:p>
        </w:tc>
        <w:tc>
          <w:tcPr>
            <w:tcW w:w="618" w:type="pct"/>
          </w:tcPr>
          <w:p w:rsidR="00030342" w:rsidRDefault="00030342" w:rsidP="00AF6953">
            <w:pPr>
              <w:pStyle w:val="TableBodyText"/>
              <w:spacing w:line="220" w:lineRule="exact"/>
              <w:ind w:right="28"/>
            </w:pPr>
            <w:r>
              <w:t>13</w:t>
            </w:r>
          </w:p>
        </w:tc>
        <w:tc>
          <w:tcPr>
            <w:tcW w:w="618" w:type="pct"/>
          </w:tcPr>
          <w:p w:rsidR="00030342" w:rsidRDefault="00030342" w:rsidP="00AF6953">
            <w:pPr>
              <w:pStyle w:val="TableBodyText"/>
              <w:spacing w:line="220" w:lineRule="exact"/>
              <w:ind w:right="28"/>
            </w:pPr>
            <w:r>
              <w:t>23</w:t>
            </w:r>
          </w:p>
        </w:tc>
        <w:tc>
          <w:tcPr>
            <w:tcW w:w="387" w:type="pct"/>
          </w:tcPr>
          <w:p w:rsidR="00030342" w:rsidRDefault="00030342" w:rsidP="00AF6953">
            <w:pPr>
              <w:pStyle w:val="TableBodyText"/>
              <w:spacing w:line="220" w:lineRule="exact"/>
              <w:ind w:right="28"/>
            </w:pPr>
            <w:r>
              <w:t>100</w:t>
            </w:r>
          </w:p>
        </w:tc>
      </w:tr>
      <w:tr w:rsidR="008171D2" w:rsidTr="00786E03">
        <w:tc>
          <w:tcPr>
            <w:tcW w:w="903" w:type="pct"/>
            <w:tcBorders>
              <w:bottom w:val="single" w:sz="6" w:space="0" w:color="auto"/>
            </w:tcBorders>
            <w:shd w:val="clear" w:color="auto" w:fill="auto"/>
          </w:tcPr>
          <w:p w:rsidR="00030342" w:rsidRDefault="00030342" w:rsidP="00AF6953">
            <w:pPr>
              <w:pStyle w:val="TableBodyText"/>
              <w:spacing w:line="220" w:lineRule="exact"/>
              <w:jc w:val="left"/>
            </w:pPr>
            <w:r>
              <w:t>All organisations</w:t>
            </w:r>
          </w:p>
        </w:tc>
        <w:tc>
          <w:tcPr>
            <w:tcW w:w="618" w:type="pct"/>
            <w:tcBorders>
              <w:bottom w:val="single" w:sz="6" w:space="0" w:color="auto"/>
            </w:tcBorders>
            <w:shd w:val="clear" w:color="auto" w:fill="auto"/>
          </w:tcPr>
          <w:p w:rsidR="00030342" w:rsidRDefault="00030342" w:rsidP="00AF6953">
            <w:pPr>
              <w:pStyle w:val="TableBodyText"/>
              <w:spacing w:line="220" w:lineRule="exact"/>
            </w:pPr>
            <w:r>
              <w:t>51</w:t>
            </w:r>
          </w:p>
        </w:tc>
        <w:tc>
          <w:tcPr>
            <w:tcW w:w="618" w:type="pct"/>
            <w:tcBorders>
              <w:bottom w:val="single" w:sz="6" w:space="0" w:color="auto"/>
            </w:tcBorders>
          </w:tcPr>
          <w:p w:rsidR="00030342" w:rsidRDefault="00030342" w:rsidP="00AF6953">
            <w:pPr>
              <w:pStyle w:val="TableBodyText"/>
              <w:spacing w:line="220" w:lineRule="exact"/>
              <w:ind w:right="28"/>
            </w:pPr>
            <w:r>
              <w:t>6</w:t>
            </w:r>
          </w:p>
        </w:tc>
        <w:tc>
          <w:tcPr>
            <w:tcW w:w="618" w:type="pct"/>
            <w:tcBorders>
              <w:bottom w:val="single" w:sz="6" w:space="0" w:color="auto"/>
            </w:tcBorders>
          </w:tcPr>
          <w:p w:rsidR="00030342" w:rsidRDefault="00030342" w:rsidP="00AF6953">
            <w:pPr>
              <w:pStyle w:val="TableBodyText"/>
              <w:spacing w:line="220" w:lineRule="exact"/>
              <w:ind w:right="28"/>
            </w:pPr>
            <w:r>
              <w:t>3</w:t>
            </w:r>
          </w:p>
        </w:tc>
        <w:tc>
          <w:tcPr>
            <w:tcW w:w="618" w:type="pct"/>
            <w:tcBorders>
              <w:bottom w:val="single" w:sz="6" w:space="0" w:color="auto"/>
            </w:tcBorders>
          </w:tcPr>
          <w:p w:rsidR="00030342" w:rsidRDefault="00030342" w:rsidP="00AF6953">
            <w:pPr>
              <w:pStyle w:val="TableBodyText"/>
              <w:spacing w:line="220" w:lineRule="exact"/>
              <w:ind w:right="28"/>
            </w:pPr>
            <w:r>
              <w:t>4</w:t>
            </w:r>
          </w:p>
        </w:tc>
        <w:tc>
          <w:tcPr>
            <w:tcW w:w="618" w:type="pct"/>
            <w:tcBorders>
              <w:bottom w:val="single" w:sz="6" w:space="0" w:color="auto"/>
            </w:tcBorders>
          </w:tcPr>
          <w:p w:rsidR="00030342" w:rsidRDefault="00030342" w:rsidP="00AF6953">
            <w:pPr>
              <w:pStyle w:val="TableBodyText"/>
              <w:spacing w:line="220" w:lineRule="exact"/>
              <w:ind w:right="28"/>
            </w:pPr>
            <w:r>
              <w:t>19</w:t>
            </w:r>
          </w:p>
        </w:tc>
        <w:tc>
          <w:tcPr>
            <w:tcW w:w="618" w:type="pct"/>
            <w:tcBorders>
              <w:bottom w:val="single" w:sz="6" w:space="0" w:color="auto"/>
            </w:tcBorders>
          </w:tcPr>
          <w:p w:rsidR="00030342" w:rsidRDefault="00030342" w:rsidP="00AF6953">
            <w:pPr>
              <w:pStyle w:val="TableBodyText"/>
              <w:spacing w:line="220" w:lineRule="exact"/>
              <w:ind w:right="28"/>
            </w:pPr>
            <w:r>
              <w:t>18</w:t>
            </w:r>
          </w:p>
        </w:tc>
        <w:tc>
          <w:tcPr>
            <w:tcW w:w="387" w:type="pct"/>
            <w:tcBorders>
              <w:bottom w:val="single" w:sz="6" w:space="0" w:color="auto"/>
            </w:tcBorders>
            <w:shd w:val="clear" w:color="auto" w:fill="auto"/>
          </w:tcPr>
          <w:p w:rsidR="00030342" w:rsidRDefault="00030342" w:rsidP="00AF6953">
            <w:pPr>
              <w:pStyle w:val="TableBodyText"/>
              <w:spacing w:line="220" w:lineRule="exact"/>
              <w:ind w:right="28"/>
            </w:pPr>
            <w:r>
              <w:t>100</w:t>
            </w:r>
          </w:p>
        </w:tc>
      </w:tr>
    </w:tbl>
    <w:p w:rsidR="00030342" w:rsidRDefault="00030342" w:rsidP="00030342">
      <w:pPr>
        <w:pStyle w:val="Note"/>
      </w:pPr>
      <w:r w:rsidRPr="008E77FE">
        <w:rPr>
          <w:rStyle w:val="NoteLabel"/>
        </w:rPr>
        <w:t>a</w:t>
      </w:r>
      <w:r>
        <w:t xml:space="preserve"> </w:t>
      </w:r>
      <w:r w:rsidR="002A7320">
        <w:t xml:space="preserve">Data are based on a sample of 7556 patents granted by the European Patent Office </w:t>
      </w:r>
      <w:r w:rsidR="007F2094">
        <w:t xml:space="preserve">with priority dates between 1993 and 1997. </w:t>
      </w:r>
      <w:r w:rsidR="00346BB9">
        <w:t xml:space="preserve">Countries included in the survey include Germany, France, the UK, </w:t>
      </w:r>
      <w:r w:rsidR="008042A8">
        <w:t>Italy, the Netherlands and Spain.</w:t>
      </w:r>
      <w:r w:rsidR="000506A7">
        <w:t xml:space="preserve"> The survey was carried out in 2003 and 2004.</w:t>
      </w:r>
      <w:r w:rsidR="005B2EB5">
        <w:t xml:space="preserve"> </w:t>
      </w:r>
      <w:r w:rsidR="00401273">
        <w:t xml:space="preserve"> </w:t>
      </w:r>
      <w:r w:rsidR="007F2094" w:rsidRPr="007F2094">
        <w:rPr>
          <w:rStyle w:val="NoteLabel"/>
        </w:rPr>
        <w:t>b</w:t>
      </w:r>
      <w:r w:rsidR="007F2094">
        <w:t xml:space="preserve"> </w:t>
      </w:r>
      <w:r>
        <w:t>Small companies defined as those with less than 100 employees. Medium companies defined as those with 100–250 employees. Large companies are defined as having more than 250 employees.</w:t>
      </w:r>
    </w:p>
    <w:p w:rsidR="00E01E31" w:rsidRDefault="00030342" w:rsidP="00030342">
      <w:pPr>
        <w:pStyle w:val="Source"/>
      </w:pPr>
      <w:r>
        <w:rPr>
          <w:i/>
        </w:rPr>
        <w:t>Source</w:t>
      </w:r>
      <w:r>
        <w:t>: Giuri et al. (2007).</w:t>
      </w:r>
    </w:p>
    <w:p w:rsidR="004158BB" w:rsidRPr="004158BB" w:rsidRDefault="004158BB" w:rsidP="004158BB">
      <w:pPr>
        <w:pStyle w:val="BodyText"/>
      </w:pPr>
    </w:p>
    <w:p w:rsidR="0004365D" w:rsidRDefault="003B6781" w:rsidP="000E0894">
      <w:pPr>
        <w:pStyle w:val="Heading4"/>
      </w:pPr>
      <w:r>
        <w:lastRenderedPageBreak/>
        <w:t>Patent licensing records in Australia</w:t>
      </w:r>
    </w:p>
    <w:p w:rsidR="000F33EF" w:rsidRDefault="00EF6AC3" w:rsidP="000F33EF">
      <w:pPr>
        <w:pStyle w:val="BodyText"/>
      </w:pPr>
      <w:r>
        <w:t xml:space="preserve">IP Australia </w:t>
      </w:r>
      <w:r w:rsidR="003008D7">
        <w:t>possesses a</w:t>
      </w:r>
      <w:r>
        <w:t xml:space="preserve"> </w:t>
      </w:r>
      <w:r w:rsidR="00D57AA9">
        <w:t>patent register</w:t>
      </w:r>
      <w:r w:rsidR="0030126A">
        <w:t xml:space="preserve">, </w:t>
      </w:r>
      <w:r w:rsidR="00836238">
        <w:t xml:space="preserve">and a number of voluntary patent licensing agreements have been registered </w:t>
      </w:r>
      <w:r w:rsidR="008F4271">
        <w:t>on it</w:t>
      </w:r>
      <w:r w:rsidR="00836238">
        <w:t xml:space="preserve"> over time. </w:t>
      </w:r>
      <w:r w:rsidR="007858A5">
        <w:t xml:space="preserve">Some aggregated information on patent licences </w:t>
      </w:r>
      <w:r w:rsidR="00B562E2">
        <w:t>is available from this source</w:t>
      </w:r>
      <w:r w:rsidR="00F730BE">
        <w:t>.</w:t>
      </w:r>
      <w:r w:rsidR="00B562E2">
        <w:rPr>
          <w:rStyle w:val="FootnoteReference"/>
        </w:rPr>
        <w:footnoteReference w:id="2"/>
      </w:r>
    </w:p>
    <w:p w:rsidR="000F33EF" w:rsidRDefault="00E3256F" w:rsidP="000F33EF">
      <w:pPr>
        <w:pStyle w:val="BodyText"/>
      </w:pPr>
      <w:r>
        <w:t>It is important to keep in mind</w:t>
      </w:r>
      <w:r w:rsidR="00784EEF">
        <w:t>,</w:t>
      </w:r>
      <w:r>
        <w:t xml:space="preserve"> however, that there </w:t>
      </w:r>
      <w:r w:rsidR="00784EEF">
        <w:t>was</w:t>
      </w:r>
      <w:r>
        <w:t xml:space="preserve"> no obligation on parties to register a </w:t>
      </w:r>
      <w:r w:rsidR="00133EE6">
        <w:t>licence</w:t>
      </w:r>
      <w:r w:rsidR="00C3747F">
        <w:t xml:space="preserve"> with IP Australia. </w:t>
      </w:r>
      <w:r w:rsidR="006E668B">
        <w:t>Hence,</w:t>
      </w:r>
      <w:r w:rsidR="000842CB">
        <w:t xml:space="preserve"> (in keeping with the limited data on patent assignment mentioned earlier)</w:t>
      </w:r>
      <w:r w:rsidR="006E668B">
        <w:t xml:space="preserve"> </w:t>
      </w:r>
      <w:r w:rsidR="00784EEF">
        <w:t>its</w:t>
      </w:r>
      <w:r w:rsidR="006E668B">
        <w:t xml:space="preserve"> database does not represent a complete record of all voluntary patent </w:t>
      </w:r>
      <w:r w:rsidR="00133EE6">
        <w:t>licences</w:t>
      </w:r>
      <w:r w:rsidR="006E668B">
        <w:t xml:space="preserve"> in Australia</w:t>
      </w:r>
      <w:r w:rsidR="00B04947">
        <w:t>, and</w:t>
      </w:r>
      <w:r w:rsidR="00133EE6">
        <w:t xml:space="preserve"> so</w:t>
      </w:r>
      <w:r w:rsidR="00B04947">
        <w:t xml:space="preserve"> the actual aggregate characteristics and distribution </w:t>
      </w:r>
      <w:r w:rsidR="00706605">
        <w:t>o</w:t>
      </w:r>
      <w:r w:rsidR="00B04947">
        <w:t>f licences across industries may differ significantly from the data reported here.</w:t>
      </w:r>
    </w:p>
    <w:p w:rsidR="00B52657" w:rsidRDefault="007D4562" w:rsidP="000F33EF">
      <w:pPr>
        <w:pStyle w:val="BodyText"/>
      </w:pPr>
      <w:r>
        <w:t xml:space="preserve">From 1989 to 2011, the number of </w:t>
      </w:r>
      <w:r w:rsidR="00E30176">
        <w:t xml:space="preserve">voluntary licences recorded on IP Australia’s register totalled </w:t>
      </w:r>
      <w:r w:rsidR="00C24B1B">
        <w:t>1013</w:t>
      </w:r>
      <w:r w:rsidR="00520112">
        <w:t xml:space="preserve"> (table </w:t>
      </w:r>
      <w:r w:rsidR="008B5DB3">
        <w:t>4.</w:t>
      </w:r>
      <w:r w:rsidR="009153B4">
        <w:t>6</w:t>
      </w:r>
      <w:r w:rsidR="00520112">
        <w:t>)</w:t>
      </w:r>
      <w:r w:rsidR="00C24B1B">
        <w:t xml:space="preserve">, although the number </w:t>
      </w:r>
      <w:r w:rsidR="005178D7">
        <w:t>wa</w:t>
      </w:r>
      <w:r w:rsidR="00C24B1B">
        <w:t>s quite variable from year to year</w:t>
      </w:r>
      <w:r w:rsidR="00520112">
        <w:t>.</w:t>
      </w:r>
      <w:r w:rsidR="0049363E">
        <w:t xml:space="preserve"> </w:t>
      </w:r>
      <w:r w:rsidR="007A649D">
        <w:t>For example, 144 licences were registered in 2011, preceded by 62 in 2010.</w:t>
      </w:r>
      <w:r w:rsidR="00150ACE">
        <w:t xml:space="preserve"> For the purposes of comparison, </w:t>
      </w:r>
      <w:r w:rsidR="00E12CB2">
        <w:t>a total of over 14 000 patents were granted in 2010 alone</w:t>
      </w:r>
      <w:r w:rsidR="00016006">
        <w:t xml:space="preserve">, far exceeding the number of licences recorded with IP Australia </w:t>
      </w:r>
      <w:r w:rsidR="00C36EDE">
        <w:t>over a much longer time horizon</w:t>
      </w:r>
      <w:r w:rsidR="00E12CB2">
        <w:t>.</w:t>
      </w:r>
      <w:r w:rsidR="00C36EDE">
        <w:t xml:space="preserve"> It is difficult to determine </w:t>
      </w:r>
      <w:r w:rsidR="00744F30">
        <w:t xml:space="preserve">whether </w:t>
      </w:r>
      <w:r w:rsidR="009F0EB9">
        <w:t xml:space="preserve">this is because the extent of licensing in Australia is limited, or a low proportion of licensing agreements </w:t>
      </w:r>
      <w:r w:rsidR="005178D7">
        <w:t>we</w:t>
      </w:r>
      <w:r w:rsidR="009F0EB9">
        <w:t>re registered with IP Australia</w:t>
      </w:r>
      <w:r w:rsidR="00F533A5">
        <w:t>.</w:t>
      </w:r>
      <w:r w:rsidR="00150ACE">
        <w:t xml:space="preserve"> </w:t>
      </w:r>
    </w:p>
    <w:p w:rsidR="00C0781F" w:rsidRDefault="00C0781F" w:rsidP="000F33EF">
      <w:pPr>
        <w:pStyle w:val="BodyText"/>
      </w:pPr>
      <w:r>
        <w:t>The data suggest that licensing is not concentrated in a few industries. The technology group with the largest number of licen</w:t>
      </w:r>
      <w:r w:rsidR="00114E83">
        <w:t>c</w:t>
      </w:r>
      <w:r>
        <w:t>es between 1989 and 2011 was civil engineering, building, and mining, foll</w:t>
      </w:r>
      <w:r w:rsidR="007F2AD2">
        <w:t>owed by organic fine chemicals.</w:t>
      </w:r>
    </w:p>
    <w:p w:rsidR="001D3C6F" w:rsidRDefault="001D3C6F">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sidR="00557F89">
        <w:rPr>
          <w:b w:val="0"/>
        </w:rPr>
        <w:t>4.</w:t>
      </w:r>
      <w:r>
        <w:rPr>
          <w:b w:val="0"/>
        </w:rPr>
        <w:fldChar w:fldCharType="end"/>
      </w:r>
      <w:r w:rsidR="009153B4">
        <w:rPr>
          <w:b w:val="0"/>
        </w:rPr>
        <w:t>6</w:t>
      </w:r>
      <w:r>
        <w:tab/>
      </w:r>
      <w:r w:rsidR="008B5DB3">
        <w:t>Voluntary patent licen</w:t>
      </w:r>
      <w:r w:rsidR="00114E83">
        <w:t>c</w:t>
      </w:r>
      <w:r w:rsidR="008B5DB3">
        <w:t>es in Australia</w:t>
      </w:r>
    </w:p>
    <w:p w:rsidR="008B5DB3" w:rsidRDefault="008B5DB3" w:rsidP="008B5DB3">
      <w:pPr>
        <w:pStyle w:val="Subtitle"/>
      </w:pPr>
      <w:r>
        <w:t>Licen</w:t>
      </w:r>
      <w:r w:rsidR="00114E83">
        <w:t>c</w:t>
      </w:r>
      <w:r>
        <w:t>es recorded by IP Australia</w:t>
      </w:r>
      <w:r w:rsidRPr="008E77FE">
        <w:rPr>
          <w:rStyle w:val="NoteLabel"/>
        </w:rPr>
        <w:t>a</w:t>
      </w:r>
    </w:p>
    <w:tbl>
      <w:tblPr>
        <w:tblW w:w="5000" w:type="pct"/>
        <w:tblCellMar>
          <w:left w:w="0" w:type="dxa"/>
          <w:right w:w="0" w:type="dxa"/>
        </w:tblCellMar>
        <w:tblLook w:val="0000" w:firstRow="0" w:lastRow="0" w:firstColumn="0" w:lastColumn="0" w:noHBand="0" w:noVBand="0"/>
      </w:tblPr>
      <w:tblGrid>
        <w:gridCol w:w="3998"/>
        <w:gridCol w:w="2395"/>
        <w:gridCol w:w="2396"/>
      </w:tblGrid>
      <w:tr w:rsidR="0025205A" w:rsidTr="000843D5">
        <w:tc>
          <w:tcPr>
            <w:tcW w:w="2274" w:type="pct"/>
            <w:tcBorders>
              <w:top w:val="single" w:sz="6" w:space="0" w:color="auto"/>
              <w:bottom w:val="single" w:sz="6" w:space="0" w:color="auto"/>
            </w:tcBorders>
            <w:shd w:val="clear" w:color="auto" w:fill="auto"/>
          </w:tcPr>
          <w:p w:rsidR="0025205A" w:rsidRDefault="0025205A" w:rsidP="00F70520">
            <w:pPr>
              <w:pStyle w:val="TableColumnHeading"/>
              <w:jc w:val="left"/>
            </w:pPr>
            <w:r>
              <w:t>Technology group</w:t>
            </w:r>
          </w:p>
        </w:tc>
        <w:tc>
          <w:tcPr>
            <w:tcW w:w="1362" w:type="pct"/>
            <w:tcBorders>
              <w:top w:val="single" w:sz="6" w:space="0" w:color="auto"/>
              <w:bottom w:val="single" w:sz="6" w:space="0" w:color="auto"/>
            </w:tcBorders>
            <w:shd w:val="clear" w:color="auto" w:fill="auto"/>
            <w:vAlign w:val="bottom"/>
          </w:tcPr>
          <w:p w:rsidR="0025205A" w:rsidRDefault="0025205A" w:rsidP="000843D5">
            <w:pPr>
              <w:pStyle w:val="TableColumnHeading"/>
            </w:pPr>
            <w:r>
              <w:t>Total number of licences, 1989–2011</w:t>
            </w:r>
          </w:p>
        </w:tc>
        <w:tc>
          <w:tcPr>
            <w:tcW w:w="1363" w:type="pct"/>
            <w:tcBorders>
              <w:top w:val="single" w:sz="6" w:space="0" w:color="auto"/>
              <w:bottom w:val="single" w:sz="6" w:space="0" w:color="auto"/>
            </w:tcBorders>
            <w:vAlign w:val="bottom"/>
          </w:tcPr>
          <w:p w:rsidR="0025205A" w:rsidRDefault="0025205A" w:rsidP="000843D5">
            <w:pPr>
              <w:pStyle w:val="TableColumnHeading"/>
              <w:ind w:right="28"/>
            </w:pPr>
            <w:r>
              <w:t>Percentage share o</w:t>
            </w:r>
            <w:r w:rsidR="00B605E7">
              <w:t>f registered</w:t>
            </w:r>
            <w:r>
              <w:t xml:space="preserve"> licences</w:t>
            </w:r>
          </w:p>
        </w:tc>
      </w:tr>
      <w:tr w:rsidR="0025205A" w:rsidTr="005B0BCF">
        <w:tc>
          <w:tcPr>
            <w:tcW w:w="2274" w:type="pct"/>
            <w:tcBorders>
              <w:top w:val="single" w:sz="6" w:space="0" w:color="auto"/>
            </w:tcBorders>
          </w:tcPr>
          <w:p w:rsidR="0025205A" w:rsidRDefault="0025205A" w:rsidP="00621B55">
            <w:pPr>
              <w:pStyle w:val="TableUnitsRow"/>
              <w:jc w:val="left"/>
            </w:pPr>
            <w:r>
              <w:t>Agricultural and food machinery</w:t>
            </w:r>
          </w:p>
        </w:tc>
        <w:tc>
          <w:tcPr>
            <w:tcW w:w="1362" w:type="pct"/>
            <w:tcBorders>
              <w:top w:val="single" w:sz="6" w:space="0" w:color="auto"/>
            </w:tcBorders>
          </w:tcPr>
          <w:p w:rsidR="0025205A" w:rsidRDefault="0025205A" w:rsidP="00F70520">
            <w:pPr>
              <w:pStyle w:val="TableUnitsRow"/>
            </w:pPr>
            <w:r>
              <w:t>28</w:t>
            </w:r>
          </w:p>
        </w:tc>
        <w:tc>
          <w:tcPr>
            <w:tcW w:w="1363" w:type="pct"/>
            <w:tcBorders>
              <w:top w:val="single" w:sz="6" w:space="0" w:color="auto"/>
            </w:tcBorders>
          </w:tcPr>
          <w:p w:rsidR="0025205A" w:rsidRDefault="0025205A" w:rsidP="00F70520">
            <w:pPr>
              <w:pStyle w:val="TableUnitsRow"/>
              <w:ind w:right="28"/>
            </w:pPr>
            <w:r>
              <w:t>3</w:t>
            </w:r>
          </w:p>
        </w:tc>
      </w:tr>
      <w:tr w:rsidR="0025205A" w:rsidTr="005B0BCF">
        <w:tc>
          <w:tcPr>
            <w:tcW w:w="2274" w:type="pct"/>
          </w:tcPr>
          <w:p w:rsidR="0025205A" w:rsidRDefault="0025205A" w:rsidP="00F70520">
            <w:pPr>
              <w:pStyle w:val="TableBodyText"/>
              <w:jc w:val="left"/>
            </w:pPr>
            <w:r>
              <w:t>Agriculture, food</w:t>
            </w:r>
          </w:p>
        </w:tc>
        <w:tc>
          <w:tcPr>
            <w:tcW w:w="1362" w:type="pct"/>
          </w:tcPr>
          <w:p w:rsidR="0025205A" w:rsidRDefault="0025205A" w:rsidP="00F70520">
            <w:pPr>
              <w:pStyle w:val="TableBodyText"/>
            </w:pPr>
            <w:r>
              <w:t>11</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Analysis, measurement, control</w:t>
            </w:r>
          </w:p>
        </w:tc>
        <w:tc>
          <w:tcPr>
            <w:tcW w:w="1362" w:type="pct"/>
          </w:tcPr>
          <w:p w:rsidR="0025205A" w:rsidRDefault="0025205A" w:rsidP="00F70520">
            <w:pPr>
              <w:pStyle w:val="TableBodyText"/>
            </w:pPr>
            <w:r>
              <w:t>71</w:t>
            </w:r>
          </w:p>
        </w:tc>
        <w:tc>
          <w:tcPr>
            <w:tcW w:w="1363" w:type="pct"/>
          </w:tcPr>
          <w:p w:rsidR="0025205A" w:rsidRDefault="0025205A" w:rsidP="00F70520">
            <w:pPr>
              <w:pStyle w:val="TableBodyText"/>
              <w:ind w:right="28"/>
            </w:pPr>
            <w:r>
              <w:t>7</w:t>
            </w:r>
          </w:p>
        </w:tc>
      </w:tr>
      <w:tr w:rsidR="0025205A" w:rsidTr="005B0BCF">
        <w:tc>
          <w:tcPr>
            <w:tcW w:w="2274" w:type="pct"/>
          </w:tcPr>
          <w:p w:rsidR="0025205A" w:rsidRDefault="0025205A" w:rsidP="00F70520">
            <w:pPr>
              <w:pStyle w:val="TableBodyText"/>
              <w:jc w:val="left"/>
            </w:pPr>
            <w:r>
              <w:t>Audiovisual</w:t>
            </w:r>
          </w:p>
        </w:tc>
        <w:tc>
          <w:tcPr>
            <w:tcW w:w="1362" w:type="pct"/>
          </w:tcPr>
          <w:p w:rsidR="0025205A" w:rsidRDefault="0025205A" w:rsidP="00F70520">
            <w:pPr>
              <w:pStyle w:val="TableBodyText"/>
            </w:pPr>
            <w:r>
              <w:t>6</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Basic chemical processing, petrol</w:t>
            </w:r>
          </w:p>
        </w:tc>
        <w:tc>
          <w:tcPr>
            <w:tcW w:w="1362" w:type="pct"/>
          </w:tcPr>
          <w:p w:rsidR="0025205A" w:rsidRDefault="0025205A" w:rsidP="00F70520">
            <w:pPr>
              <w:pStyle w:val="TableBodyText"/>
            </w:pPr>
            <w:r>
              <w:t>19</w:t>
            </w:r>
          </w:p>
        </w:tc>
        <w:tc>
          <w:tcPr>
            <w:tcW w:w="1363" w:type="pct"/>
          </w:tcPr>
          <w:p w:rsidR="0025205A" w:rsidRDefault="0025205A" w:rsidP="00F70520">
            <w:pPr>
              <w:pStyle w:val="TableBodyText"/>
              <w:ind w:right="28"/>
            </w:pPr>
            <w:r>
              <w:t>2</w:t>
            </w:r>
          </w:p>
        </w:tc>
      </w:tr>
      <w:tr w:rsidR="0025205A" w:rsidTr="005B0BCF">
        <w:tc>
          <w:tcPr>
            <w:tcW w:w="2274" w:type="pct"/>
          </w:tcPr>
          <w:p w:rsidR="0025205A" w:rsidRDefault="0025205A" w:rsidP="00F70520">
            <w:pPr>
              <w:pStyle w:val="TableBodyText"/>
              <w:jc w:val="left"/>
            </w:pPr>
            <w:r>
              <w:t>Biotechnology</w:t>
            </w:r>
          </w:p>
        </w:tc>
        <w:tc>
          <w:tcPr>
            <w:tcW w:w="1362" w:type="pct"/>
          </w:tcPr>
          <w:p w:rsidR="0025205A" w:rsidRDefault="0025205A" w:rsidP="00F70520">
            <w:pPr>
              <w:pStyle w:val="TableBodyText"/>
            </w:pPr>
            <w:r>
              <w:t>22</w:t>
            </w:r>
          </w:p>
        </w:tc>
        <w:tc>
          <w:tcPr>
            <w:tcW w:w="1363" w:type="pct"/>
          </w:tcPr>
          <w:p w:rsidR="0025205A" w:rsidRDefault="0025205A" w:rsidP="00F70520">
            <w:pPr>
              <w:pStyle w:val="TableBodyText"/>
              <w:ind w:right="28"/>
            </w:pPr>
            <w:r>
              <w:t>2</w:t>
            </w:r>
          </w:p>
        </w:tc>
      </w:tr>
      <w:tr w:rsidR="0025205A" w:rsidTr="005B0BCF">
        <w:tc>
          <w:tcPr>
            <w:tcW w:w="2274" w:type="pct"/>
          </w:tcPr>
          <w:p w:rsidR="0025205A" w:rsidRDefault="0025205A" w:rsidP="00F70520">
            <w:pPr>
              <w:pStyle w:val="TableBodyText"/>
              <w:jc w:val="left"/>
            </w:pPr>
            <w:r>
              <w:t>Civil engineering, building, mining</w:t>
            </w:r>
          </w:p>
        </w:tc>
        <w:tc>
          <w:tcPr>
            <w:tcW w:w="1362" w:type="pct"/>
          </w:tcPr>
          <w:p w:rsidR="0025205A" w:rsidRDefault="0025205A" w:rsidP="00F70520">
            <w:pPr>
              <w:pStyle w:val="TableBodyText"/>
            </w:pPr>
            <w:r>
              <w:t>161</w:t>
            </w:r>
          </w:p>
        </w:tc>
        <w:tc>
          <w:tcPr>
            <w:tcW w:w="1363" w:type="pct"/>
          </w:tcPr>
          <w:p w:rsidR="0025205A" w:rsidRDefault="0025205A" w:rsidP="00F70520">
            <w:pPr>
              <w:pStyle w:val="TableBodyText"/>
              <w:ind w:right="28"/>
            </w:pPr>
            <w:r>
              <w:t>16</w:t>
            </w:r>
          </w:p>
        </w:tc>
      </w:tr>
      <w:tr w:rsidR="0025205A" w:rsidTr="005B0BCF">
        <w:tc>
          <w:tcPr>
            <w:tcW w:w="2274" w:type="pct"/>
          </w:tcPr>
          <w:p w:rsidR="0025205A" w:rsidRDefault="0025205A" w:rsidP="00F70520">
            <w:pPr>
              <w:pStyle w:val="TableBodyText"/>
              <w:jc w:val="left"/>
            </w:pPr>
            <w:r>
              <w:t>Consumer goods and equipment</w:t>
            </w:r>
          </w:p>
        </w:tc>
        <w:tc>
          <w:tcPr>
            <w:tcW w:w="1362" w:type="pct"/>
          </w:tcPr>
          <w:p w:rsidR="0025205A" w:rsidRDefault="0025205A" w:rsidP="00F70520">
            <w:pPr>
              <w:pStyle w:val="TableBodyText"/>
            </w:pPr>
            <w:r>
              <w:t>69</w:t>
            </w:r>
          </w:p>
        </w:tc>
        <w:tc>
          <w:tcPr>
            <w:tcW w:w="1363" w:type="pct"/>
          </w:tcPr>
          <w:p w:rsidR="0025205A" w:rsidRDefault="0025205A" w:rsidP="00F70520">
            <w:pPr>
              <w:pStyle w:val="TableBodyText"/>
              <w:ind w:right="28"/>
            </w:pPr>
            <w:r>
              <w:t>7</w:t>
            </w:r>
          </w:p>
        </w:tc>
      </w:tr>
      <w:tr w:rsidR="0025205A" w:rsidTr="005B0BCF">
        <w:tc>
          <w:tcPr>
            <w:tcW w:w="2274" w:type="pct"/>
          </w:tcPr>
          <w:p w:rsidR="0025205A" w:rsidRDefault="0025205A" w:rsidP="00F70520">
            <w:pPr>
              <w:pStyle w:val="TableBodyText"/>
              <w:jc w:val="left"/>
            </w:pPr>
            <w:r>
              <w:t>Electrical devices and engineering</w:t>
            </w:r>
          </w:p>
        </w:tc>
        <w:tc>
          <w:tcPr>
            <w:tcW w:w="1362" w:type="pct"/>
          </w:tcPr>
          <w:p w:rsidR="0025205A" w:rsidRDefault="0025205A" w:rsidP="00F70520">
            <w:pPr>
              <w:pStyle w:val="TableBodyText"/>
            </w:pPr>
            <w:r>
              <w:t>27</w:t>
            </w:r>
          </w:p>
        </w:tc>
        <w:tc>
          <w:tcPr>
            <w:tcW w:w="1363" w:type="pct"/>
          </w:tcPr>
          <w:p w:rsidR="0025205A" w:rsidRDefault="0025205A" w:rsidP="00F70520">
            <w:pPr>
              <w:pStyle w:val="TableBodyText"/>
              <w:ind w:right="28"/>
            </w:pPr>
            <w:r>
              <w:t>3</w:t>
            </w:r>
          </w:p>
        </w:tc>
      </w:tr>
      <w:tr w:rsidR="0025205A" w:rsidTr="005B0BCF">
        <w:tc>
          <w:tcPr>
            <w:tcW w:w="2274" w:type="pct"/>
          </w:tcPr>
          <w:p w:rsidR="0025205A" w:rsidRDefault="0025205A" w:rsidP="00F70520">
            <w:pPr>
              <w:pStyle w:val="TableBodyText"/>
              <w:jc w:val="left"/>
            </w:pPr>
            <w:r>
              <w:t>Engines, pumps, turbines</w:t>
            </w:r>
          </w:p>
        </w:tc>
        <w:tc>
          <w:tcPr>
            <w:tcW w:w="1362" w:type="pct"/>
          </w:tcPr>
          <w:p w:rsidR="0025205A" w:rsidRDefault="0025205A" w:rsidP="00F70520">
            <w:pPr>
              <w:pStyle w:val="TableBodyText"/>
            </w:pPr>
            <w:r>
              <w:t>17</w:t>
            </w:r>
          </w:p>
        </w:tc>
        <w:tc>
          <w:tcPr>
            <w:tcW w:w="1363" w:type="pct"/>
          </w:tcPr>
          <w:p w:rsidR="0025205A" w:rsidRDefault="0025205A" w:rsidP="00F70520">
            <w:pPr>
              <w:pStyle w:val="TableBodyText"/>
              <w:ind w:right="28"/>
            </w:pPr>
            <w:r>
              <w:t>2</w:t>
            </w:r>
          </w:p>
        </w:tc>
      </w:tr>
      <w:tr w:rsidR="0025205A" w:rsidTr="005B0BCF">
        <w:tc>
          <w:tcPr>
            <w:tcW w:w="2274" w:type="pct"/>
          </w:tcPr>
          <w:p w:rsidR="0025205A" w:rsidRDefault="0025205A" w:rsidP="00F70520">
            <w:pPr>
              <w:pStyle w:val="TableBodyText"/>
              <w:jc w:val="left"/>
            </w:pPr>
            <w:r>
              <w:t>Environment, pollution</w:t>
            </w:r>
          </w:p>
        </w:tc>
        <w:tc>
          <w:tcPr>
            <w:tcW w:w="1362" w:type="pct"/>
          </w:tcPr>
          <w:p w:rsidR="0025205A" w:rsidRDefault="0025205A" w:rsidP="00F70520">
            <w:pPr>
              <w:pStyle w:val="TableBodyText"/>
            </w:pPr>
            <w:r>
              <w:t>13</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General processes</w:t>
            </w:r>
          </w:p>
        </w:tc>
        <w:tc>
          <w:tcPr>
            <w:tcW w:w="1362" w:type="pct"/>
          </w:tcPr>
          <w:p w:rsidR="0025205A" w:rsidRDefault="0025205A" w:rsidP="00F70520">
            <w:pPr>
              <w:pStyle w:val="TableBodyText"/>
            </w:pPr>
            <w:r>
              <w:t>37</w:t>
            </w:r>
          </w:p>
        </w:tc>
        <w:tc>
          <w:tcPr>
            <w:tcW w:w="1363" w:type="pct"/>
          </w:tcPr>
          <w:p w:rsidR="0025205A" w:rsidRDefault="0025205A" w:rsidP="00F70520">
            <w:pPr>
              <w:pStyle w:val="TableBodyText"/>
              <w:ind w:right="28"/>
            </w:pPr>
            <w:r>
              <w:t>4</w:t>
            </w:r>
          </w:p>
        </w:tc>
      </w:tr>
      <w:tr w:rsidR="0025205A" w:rsidTr="005B0BCF">
        <w:tc>
          <w:tcPr>
            <w:tcW w:w="2274" w:type="pct"/>
          </w:tcPr>
          <w:p w:rsidR="0025205A" w:rsidRDefault="0025205A" w:rsidP="00F70520">
            <w:pPr>
              <w:pStyle w:val="TableBodyText"/>
              <w:jc w:val="left"/>
            </w:pPr>
            <w:r>
              <w:t>Handling, printing</w:t>
            </w:r>
          </w:p>
        </w:tc>
        <w:tc>
          <w:tcPr>
            <w:tcW w:w="1362" w:type="pct"/>
          </w:tcPr>
          <w:p w:rsidR="0025205A" w:rsidRDefault="0025205A" w:rsidP="00F70520">
            <w:pPr>
              <w:pStyle w:val="TableBodyText"/>
            </w:pPr>
            <w:r>
              <w:t>76</w:t>
            </w:r>
          </w:p>
        </w:tc>
        <w:tc>
          <w:tcPr>
            <w:tcW w:w="1363" w:type="pct"/>
          </w:tcPr>
          <w:p w:rsidR="0025205A" w:rsidRDefault="0025205A" w:rsidP="00F70520">
            <w:pPr>
              <w:pStyle w:val="TableBodyText"/>
              <w:ind w:right="28"/>
            </w:pPr>
            <w:r>
              <w:t>8</w:t>
            </w:r>
          </w:p>
        </w:tc>
      </w:tr>
      <w:tr w:rsidR="0025205A" w:rsidTr="005B0BCF">
        <w:tc>
          <w:tcPr>
            <w:tcW w:w="2274" w:type="pct"/>
          </w:tcPr>
          <w:p w:rsidR="0025205A" w:rsidRDefault="0025205A" w:rsidP="00F70520">
            <w:pPr>
              <w:pStyle w:val="TableBodyText"/>
              <w:jc w:val="left"/>
            </w:pPr>
            <w:r>
              <w:t>Information technology</w:t>
            </w:r>
          </w:p>
        </w:tc>
        <w:tc>
          <w:tcPr>
            <w:tcW w:w="1362" w:type="pct"/>
          </w:tcPr>
          <w:p w:rsidR="0025205A" w:rsidRDefault="0025205A" w:rsidP="00F70520">
            <w:pPr>
              <w:pStyle w:val="TableBodyText"/>
            </w:pPr>
            <w:r>
              <w:t>21</w:t>
            </w:r>
          </w:p>
        </w:tc>
        <w:tc>
          <w:tcPr>
            <w:tcW w:w="1363" w:type="pct"/>
          </w:tcPr>
          <w:p w:rsidR="0025205A" w:rsidRDefault="0025205A" w:rsidP="00F70520">
            <w:pPr>
              <w:pStyle w:val="TableBodyText"/>
              <w:ind w:right="28"/>
            </w:pPr>
            <w:r>
              <w:t>2</w:t>
            </w:r>
          </w:p>
        </w:tc>
      </w:tr>
      <w:tr w:rsidR="0025205A" w:rsidTr="005B0BCF">
        <w:tc>
          <w:tcPr>
            <w:tcW w:w="2274" w:type="pct"/>
          </w:tcPr>
          <w:p w:rsidR="0025205A" w:rsidRDefault="0025205A" w:rsidP="00F70520">
            <w:pPr>
              <w:pStyle w:val="TableBodyText"/>
              <w:jc w:val="left"/>
            </w:pPr>
            <w:r>
              <w:t>Macromolecular chemistry, polymers</w:t>
            </w:r>
          </w:p>
        </w:tc>
        <w:tc>
          <w:tcPr>
            <w:tcW w:w="1362" w:type="pct"/>
          </w:tcPr>
          <w:p w:rsidR="0025205A" w:rsidRDefault="0025205A" w:rsidP="00F70520">
            <w:pPr>
              <w:pStyle w:val="TableBodyText"/>
            </w:pPr>
            <w:r>
              <w:t>5</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Material processing</w:t>
            </w:r>
          </w:p>
        </w:tc>
        <w:tc>
          <w:tcPr>
            <w:tcW w:w="1362" w:type="pct"/>
          </w:tcPr>
          <w:p w:rsidR="0025205A" w:rsidRDefault="0025205A" w:rsidP="00F70520">
            <w:pPr>
              <w:pStyle w:val="TableBodyText"/>
            </w:pPr>
            <w:r>
              <w:t>21</w:t>
            </w:r>
          </w:p>
        </w:tc>
        <w:tc>
          <w:tcPr>
            <w:tcW w:w="1363" w:type="pct"/>
          </w:tcPr>
          <w:p w:rsidR="0025205A" w:rsidRDefault="0025205A" w:rsidP="00F70520">
            <w:pPr>
              <w:pStyle w:val="TableBodyText"/>
              <w:ind w:right="28"/>
            </w:pPr>
            <w:r>
              <w:t>2</w:t>
            </w:r>
          </w:p>
        </w:tc>
      </w:tr>
      <w:tr w:rsidR="0025205A" w:rsidTr="005B0BCF">
        <w:tc>
          <w:tcPr>
            <w:tcW w:w="2274" w:type="pct"/>
          </w:tcPr>
          <w:p w:rsidR="0025205A" w:rsidRDefault="0025205A" w:rsidP="00F70520">
            <w:pPr>
              <w:pStyle w:val="TableBodyText"/>
              <w:jc w:val="left"/>
            </w:pPr>
            <w:r>
              <w:t>Materials, metallurgy</w:t>
            </w:r>
          </w:p>
        </w:tc>
        <w:tc>
          <w:tcPr>
            <w:tcW w:w="1362" w:type="pct"/>
          </w:tcPr>
          <w:p w:rsidR="0025205A" w:rsidRDefault="0025205A" w:rsidP="00F70520">
            <w:pPr>
              <w:pStyle w:val="TableBodyText"/>
            </w:pPr>
            <w:r>
              <w:t>12</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Mechanical elements</w:t>
            </w:r>
          </w:p>
        </w:tc>
        <w:tc>
          <w:tcPr>
            <w:tcW w:w="1362" w:type="pct"/>
          </w:tcPr>
          <w:p w:rsidR="0025205A" w:rsidRDefault="0025205A" w:rsidP="00F70520">
            <w:pPr>
              <w:pStyle w:val="TableBodyText"/>
            </w:pPr>
            <w:r>
              <w:t>23</w:t>
            </w:r>
          </w:p>
        </w:tc>
        <w:tc>
          <w:tcPr>
            <w:tcW w:w="1363" w:type="pct"/>
          </w:tcPr>
          <w:p w:rsidR="0025205A" w:rsidRDefault="0025205A" w:rsidP="00F70520">
            <w:pPr>
              <w:pStyle w:val="TableBodyText"/>
              <w:ind w:right="28"/>
            </w:pPr>
            <w:r>
              <w:t>2</w:t>
            </w:r>
          </w:p>
        </w:tc>
      </w:tr>
      <w:tr w:rsidR="0025205A" w:rsidTr="005B0BCF">
        <w:tc>
          <w:tcPr>
            <w:tcW w:w="2274" w:type="pct"/>
          </w:tcPr>
          <w:p w:rsidR="0025205A" w:rsidRDefault="0025205A" w:rsidP="00F70520">
            <w:pPr>
              <w:pStyle w:val="TableBodyText"/>
              <w:jc w:val="left"/>
            </w:pPr>
            <w:r>
              <w:t>Mechanical tools</w:t>
            </w:r>
          </w:p>
        </w:tc>
        <w:tc>
          <w:tcPr>
            <w:tcW w:w="1362" w:type="pct"/>
          </w:tcPr>
          <w:p w:rsidR="0025205A" w:rsidRDefault="0025205A" w:rsidP="00F70520">
            <w:pPr>
              <w:pStyle w:val="TableBodyText"/>
            </w:pPr>
            <w:r>
              <w:t>5</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Medical engineering</w:t>
            </w:r>
          </w:p>
        </w:tc>
        <w:tc>
          <w:tcPr>
            <w:tcW w:w="1362" w:type="pct"/>
          </w:tcPr>
          <w:p w:rsidR="0025205A" w:rsidRDefault="0025205A" w:rsidP="00F70520">
            <w:pPr>
              <w:pStyle w:val="TableBodyText"/>
            </w:pPr>
            <w:r>
              <w:t>58</w:t>
            </w:r>
          </w:p>
        </w:tc>
        <w:tc>
          <w:tcPr>
            <w:tcW w:w="1363" w:type="pct"/>
          </w:tcPr>
          <w:p w:rsidR="0025205A" w:rsidRDefault="0025205A" w:rsidP="00F70520">
            <w:pPr>
              <w:pStyle w:val="TableBodyText"/>
              <w:ind w:right="28"/>
            </w:pPr>
            <w:r>
              <w:t>6</w:t>
            </w:r>
          </w:p>
        </w:tc>
      </w:tr>
      <w:tr w:rsidR="0025205A" w:rsidTr="005B0BCF">
        <w:tc>
          <w:tcPr>
            <w:tcW w:w="2274" w:type="pct"/>
          </w:tcPr>
          <w:p w:rsidR="0025205A" w:rsidRDefault="0025205A" w:rsidP="00F70520">
            <w:pPr>
              <w:pStyle w:val="TableBodyText"/>
              <w:jc w:val="left"/>
            </w:pPr>
            <w:r>
              <w:t>Optics</w:t>
            </w:r>
          </w:p>
        </w:tc>
        <w:tc>
          <w:tcPr>
            <w:tcW w:w="1362" w:type="pct"/>
          </w:tcPr>
          <w:p w:rsidR="0025205A" w:rsidRDefault="0025205A" w:rsidP="00F70520">
            <w:pPr>
              <w:pStyle w:val="TableBodyText"/>
            </w:pPr>
            <w:r>
              <w:t>13</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Organic fine chemicals</w:t>
            </w:r>
          </w:p>
        </w:tc>
        <w:tc>
          <w:tcPr>
            <w:tcW w:w="1362" w:type="pct"/>
          </w:tcPr>
          <w:p w:rsidR="0025205A" w:rsidRDefault="0025205A" w:rsidP="00F70520">
            <w:pPr>
              <w:pStyle w:val="TableBodyText"/>
            </w:pPr>
            <w:r>
              <w:t>119</w:t>
            </w:r>
          </w:p>
        </w:tc>
        <w:tc>
          <w:tcPr>
            <w:tcW w:w="1363" w:type="pct"/>
          </w:tcPr>
          <w:p w:rsidR="0025205A" w:rsidRDefault="0025205A" w:rsidP="00F70520">
            <w:pPr>
              <w:pStyle w:val="TableBodyText"/>
              <w:ind w:right="28"/>
            </w:pPr>
            <w:r>
              <w:t>12</w:t>
            </w:r>
          </w:p>
        </w:tc>
      </w:tr>
      <w:tr w:rsidR="0025205A" w:rsidTr="005B0BCF">
        <w:tc>
          <w:tcPr>
            <w:tcW w:w="2274" w:type="pct"/>
          </w:tcPr>
          <w:p w:rsidR="0025205A" w:rsidRDefault="0025205A" w:rsidP="00F70520">
            <w:pPr>
              <w:pStyle w:val="TableBodyText"/>
              <w:jc w:val="left"/>
            </w:pPr>
            <w:r>
              <w:t>Pharmaceuticals, cosmetics</w:t>
            </w:r>
          </w:p>
        </w:tc>
        <w:tc>
          <w:tcPr>
            <w:tcW w:w="1362" w:type="pct"/>
          </w:tcPr>
          <w:p w:rsidR="0025205A" w:rsidRDefault="0025205A" w:rsidP="00F70520">
            <w:pPr>
              <w:pStyle w:val="TableBodyText"/>
            </w:pPr>
            <w:r>
              <w:t>76</w:t>
            </w:r>
          </w:p>
        </w:tc>
        <w:tc>
          <w:tcPr>
            <w:tcW w:w="1363" w:type="pct"/>
          </w:tcPr>
          <w:p w:rsidR="0025205A" w:rsidRDefault="0025205A" w:rsidP="00F70520">
            <w:pPr>
              <w:pStyle w:val="TableBodyText"/>
              <w:ind w:right="28"/>
            </w:pPr>
            <w:r>
              <w:t>8</w:t>
            </w:r>
          </w:p>
        </w:tc>
      </w:tr>
      <w:tr w:rsidR="0025205A" w:rsidTr="005B0BCF">
        <w:tc>
          <w:tcPr>
            <w:tcW w:w="2274" w:type="pct"/>
          </w:tcPr>
          <w:p w:rsidR="0025205A" w:rsidRDefault="0025205A" w:rsidP="00F70520">
            <w:pPr>
              <w:pStyle w:val="TableBodyText"/>
              <w:jc w:val="left"/>
            </w:pPr>
            <w:r>
              <w:t>Semiconductors</w:t>
            </w:r>
          </w:p>
        </w:tc>
        <w:tc>
          <w:tcPr>
            <w:tcW w:w="1362" w:type="pct"/>
          </w:tcPr>
          <w:p w:rsidR="0025205A" w:rsidRDefault="0025205A" w:rsidP="00F70520">
            <w:pPr>
              <w:pStyle w:val="TableBodyText"/>
            </w:pPr>
            <w:r>
              <w:t>2</w:t>
            </w:r>
          </w:p>
        </w:tc>
        <w:tc>
          <w:tcPr>
            <w:tcW w:w="1363" w:type="pct"/>
          </w:tcPr>
          <w:p w:rsidR="0025205A" w:rsidRDefault="0025205A" w:rsidP="00F70520">
            <w:pPr>
              <w:pStyle w:val="TableBodyText"/>
              <w:ind w:right="28"/>
            </w:pPr>
            <w:r>
              <w:t>0</w:t>
            </w:r>
          </w:p>
        </w:tc>
      </w:tr>
      <w:tr w:rsidR="0025205A" w:rsidTr="005B0BCF">
        <w:tc>
          <w:tcPr>
            <w:tcW w:w="2274" w:type="pct"/>
          </w:tcPr>
          <w:p w:rsidR="0025205A" w:rsidRDefault="0025205A" w:rsidP="00F70520">
            <w:pPr>
              <w:pStyle w:val="TableBodyText"/>
              <w:jc w:val="left"/>
            </w:pPr>
            <w:r>
              <w:t>Space technology, weapons</w:t>
            </w:r>
          </w:p>
        </w:tc>
        <w:tc>
          <w:tcPr>
            <w:tcW w:w="1362" w:type="pct"/>
          </w:tcPr>
          <w:p w:rsidR="0025205A" w:rsidRDefault="0025205A" w:rsidP="00F70520">
            <w:pPr>
              <w:pStyle w:val="TableBodyText"/>
            </w:pPr>
            <w:r>
              <w:t>11</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Surfaces, coatings</w:t>
            </w:r>
          </w:p>
        </w:tc>
        <w:tc>
          <w:tcPr>
            <w:tcW w:w="1362" w:type="pct"/>
          </w:tcPr>
          <w:p w:rsidR="0025205A" w:rsidRDefault="0025205A" w:rsidP="00F70520">
            <w:pPr>
              <w:pStyle w:val="TableBodyText"/>
            </w:pPr>
            <w:r>
              <w:t>9</w:t>
            </w:r>
          </w:p>
        </w:tc>
        <w:tc>
          <w:tcPr>
            <w:tcW w:w="1363" w:type="pct"/>
          </w:tcPr>
          <w:p w:rsidR="0025205A" w:rsidRDefault="0025205A" w:rsidP="00F70520">
            <w:pPr>
              <w:pStyle w:val="TableBodyText"/>
              <w:ind w:right="28"/>
            </w:pPr>
            <w:r>
              <w:t>1</w:t>
            </w:r>
          </w:p>
        </w:tc>
      </w:tr>
      <w:tr w:rsidR="0025205A" w:rsidTr="005B0BCF">
        <w:tc>
          <w:tcPr>
            <w:tcW w:w="2274" w:type="pct"/>
          </w:tcPr>
          <w:p w:rsidR="0025205A" w:rsidRDefault="0025205A" w:rsidP="00F70520">
            <w:pPr>
              <w:pStyle w:val="TableBodyText"/>
              <w:jc w:val="left"/>
            </w:pPr>
            <w:r>
              <w:t>Telecommunications</w:t>
            </w:r>
          </w:p>
        </w:tc>
        <w:tc>
          <w:tcPr>
            <w:tcW w:w="1362" w:type="pct"/>
          </w:tcPr>
          <w:p w:rsidR="0025205A" w:rsidRDefault="0025205A" w:rsidP="00F70520">
            <w:pPr>
              <w:pStyle w:val="TableBodyText"/>
            </w:pPr>
            <w:r>
              <w:t>17</w:t>
            </w:r>
          </w:p>
        </w:tc>
        <w:tc>
          <w:tcPr>
            <w:tcW w:w="1363" w:type="pct"/>
          </w:tcPr>
          <w:p w:rsidR="0025205A" w:rsidRDefault="0025205A" w:rsidP="00F70520">
            <w:pPr>
              <w:pStyle w:val="TableBodyText"/>
              <w:ind w:right="28"/>
            </w:pPr>
            <w:r>
              <w:t>2</w:t>
            </w:r>
          </w:p>
        </w:tc>
      </w:tr>
      <w:tr w:rsidR="0025205A" w:rsidTr="005B0BCF">
        <w:tc>
          <w:tcPr>
            <w:tcW w:w="2274" w:type="pct"/>
          </w:tcPr>
          <w:p w:rsidR="0025205A" w:rsidRDefault="0025205A" w:rsidP="00F70520">
            <w:pPr>
              <w:pStyle w:val="TableBodyText"/>
              <w:jc w:val="left"/>
            </w:pPr>
            <w:r>
              <w:t>Thermal techniques</w:t>
            </w:r>
          </w:p>
        </w:tc>
        <w:tc>
          <w:tcPr>
            <w:tcW w:w="1362" w:type="pct"/>
          </w:tcPr>
          <w:p w:rsidR="0025205A" w:rsidRDefault="0025205A" w:rsidP="00F70520">
            <w:pPr>
              <w:pStyle w:val="TableBodyText"/>
            </w:pPr>
            <w:r>
              <w:t>45</w:t>
            </w:r>
          </w:p>
        </w:tc>
        <w:tc>
          <w:tcPr>
            <w:tcW w:w="1363" w:type="pct"/>
          </w:tcPr>
          <w:p w:rsidR="0025205A" w:rsidRDefault="0025205A" w:rsidP="00F70520">
            <w:pPr>
              <w:pStyle w:val="TableBodyText"/>
              <w:ind w:right="28"/>
            </w:pPr>
            <w:r>
              <w:t>4</w:t>
            </w:r>
          </w:p>
        </w:tc>
      </w:tr>
      <w:tr w:rsidR="0025205A" w:rsidTr="005B0BCF">
        <w:tc>
          <w:tcPr>
            <w:tcW w:w="2274" w:type="pct"/>
          </w:tcPr>
          <w:p w:rsidR="0025205A" w:rsidRDefault="0025205A" w:rsidP="00F70520">
            <w:pPr>
              <w:pStyle w:val="TableBodyText"/>
              <w:jc w:val="left"/>
            </w:pPr>
            <w:r>
              <w:t>Transport</w:t>
            </w:r>
          </w:p>
        </w:tc>
        <w:tc>
          <w:tcPr>
            <w:tcW w:w="1362" w:type="pct"/>
          </w:tcPr>
          <w:p w:rsidR="0025205A" w:rsidRDefault="0025205A" w:rsidP="00F70520">
            <w:pPr>
              <w:pStyle w:val="TableBodyText"/>
            </w:pPr>
            <w:r>
              <w:t>19</w:t>
            </w:r>
          </w:p>
        </w:tc>
        <w:tc>
          <w:tcPr>
            <w:tcW w:w="1363" w:type="pct"/>
          </w:tcPr>
          <w:p w:rsidR="0025205A" w:rsidRDefault="0025205A" w:rsidP="00F70520">
            <w:pPr>
              <w:pStyle w:val="TableBodyText"/>
              <w:ind w:right="28"/>
            </w:pPr>
            <w:r>
              <w:t>2</w:t>
            </w:r>
          </w:p>
        </w:tc>
      </w:tr>
      <w:tr w:rsidR="0025205A" w:rsidTr="005B0BCF">
        <w:tc>
          <w:tcPr>
            <w:tcW w:w="2274" w:type="pct"/>
            <w:tcBorders>
              <w:bottom w:val="single" w:sz="6" w:space="0" w:color="auto"/>
            </w:tcBorders>
            <w:shd w:val="clear" w:color="auto" w:fill="auto"/>
          </w:tcPr>
          <w:p w:rsidR="0025205A" w:rsidRDefault="0025205A" w:rsidP="00F70520">
            <w:pPr>
              <w:pStyle w:val="TableBodyText"/>
              <w:jc w:val="left"/>
            </w:pPr>
            <w:r>
              <w:t>Total</w:t>
            </w:r>
          </w:p>
        </w:tc>
        <w:tc>
          <w:tcPr>
            <w:tcW w:w="1362" w:type="pct"/>
            <w:tcBorders>
              <w:bottom w:val="single" w:sz="6" w:space="0" w:color="auto"/>
            </w:tcBorders>
            <w:shd w:val="clear" w:color="auto" w:fill="auto"/>
          </w:tcPr>
          <w:p w:rsidR="0025205A" w:rsidRDefault="0025205A" w:rsidP="00F70520">
            <w:pPr>
              <w:pStyle w:val="TableBodyText"/>
            </w:pPr>
            <w:r>
              <w:t>1</w:t>
            </w:r>
            <w:r w:rsidR="00AA3D2B">
              <w:t> </w:t>
            </w:r>
            <w:r>
              <w:t>013</w:t>
            </w:r>
          </w:p>
        </w:tc>
        <w:tc>
          <w:tcPr>
            <w:tcW w:w="1363" w:type="pct"/>
            <w:tcBorders>
              <w:bottom w:val="single" w:sz="6" w:space="0" w:color="auto"/>
            </w:tcBorders>
          </w:tcPr>
          <w:p w:rsidR="0025205A" w:rsidRDefault="0025205A" w:rsidP="00F70520">
            <w:pPr>
              <w:pStyle w:val="TableBodyText"/>
              <w:ind w:right="28"/>
            </w:pPr>
            <w:r>
              <w:t>100</w:t>
            </w:r>
          </w:p>
        </w:tc>
      </w:tr>
    </w:tbl>
    <w:p w:rsidR="001D3C6F" w:rsidRDefault="001D3C6F" w:rsidP="00F70520">
      <w:pPr>
        <w:pStyle w:val="Note"/>
      </w:pPr>
      <w:r w:rsidRPr="008E77FE">
        <w:rPr>
          <w:rStyle w:val="NoteLabel"/>
        </w:rPr>
        <w:t>a</w:t>
      </w:r>
      <w:r w:rsidR="008B5DB3">
        <w:t xml:space="preserve"> </w:t>
      </w:r>
      <w:r w:rsidR="00D378FE">
        <w:t xml:space="preserve">Data do not </w:t>
      </w:r>
      <w:r w:rsidR="00C00F1E">
        <w:t>include all voluntary licenc</w:t>
      </w:r>
      <w:r w:rsidR="00D378FE">
        <w:t>e agreements in Australia</w:t>
      </w:r>
      <w:r>
        <w:t>.</w:t>
      </w:r>
      <w:r w:rsidR="004D533B">
        <w:t xml:space="preserve"> The extent of underreporting is unknown.</w:t>
      </w:r>
    </w:p>
    <w:p w:rsidR="00520112" w:rsidRPr="000F33EF" w:rsidRDefault="001D3C6F" w:rsidP="0083309E">
      <w:pPr>
        <w:pStyle w:val="Source"/>
      </w:pPr>
      <w:r>
        <w:rPr>
          <w:i/>
        </w:rPr>
        <w:t>Source</w:t>
      </w:r>
      <w:r>
        <w:t xml:space="preserve">: </w:t>
      </w:r>
      <w:r w:rsidR="008B5DB3">
        <w:t>IP Australia</w:t>
      </w:r>
      <w:r w:rsidR="006F0679">
        <w:t xml:space="preserve"> (unpublished)</w:t>
      </w:r>
      <w:r w:rsidR="008B5DB3">
        <w:t>.</w:t>
      </w:r>
    </w:p>
    <w:p w:rsidR="00725E1A" w:rsidRDefault="00A8257B">
      <w:pPr>
        <w:pStyle w:val="Heading4"/>
      </w:pPr>
      <w:r>
        <w:t>Licensing of m</w:t>
      </w:r>
      <w:r w:rsidR="00725E1A">
        <w:t>edical biotechnology in Australia</w:t>
      </w:r>
    </w:p>
    <w:p w:rsidR="00967E34" w:rsidRDefault="00227F77" w:rsidP="00FD3093">
      <w:pPr>
        <w:pStyle w:val="BodyText"/>
      </w:pPr>
      <w:r>
        <w:t>A study by researchers at the Centre for Law and Genetics at the University of Tasmania shed</w:t>
      </w:r>
      <w:r w:rsidR="00DA603D">
        <w:t>s</w:t>
      </w:r>
      <w:r>
        <w:t xml:space="preserve"> some light on </w:t>
      </w:r>
      <w:r w:rsidR="002F32D9">
        <w:t xml:space="preserve">licensing behaviour in the Australian </w:t>
      </w:r>
      <w:r w:rsidR="004A7118">
        <w:t xml:space="preserve">medical biotechnology industry </w:t>
      </w:r>
      <w:r w:rsidR="00AD7802">
        <w:t>(Nicol and Nielsen 2003)</w:t>
      </w:r>
      <w:r w:rsidR="004A7118">
        <w:t xml:space="preserve">. </w:t>
      </w:r>
    </w:p>
    <w:p w:rsidR="00244E6E" w:rsidRDefault="00660598" w:rsidP="00FD3093">
      <w:pPr>
        <w:pStyle w:val="BodyText"/>
      </w:pPr>
      <w:r>
        <w:t xml:space="preserve">Of the organisations surveyed, </w:t>
      </w:r>
      <w:r w:rsidR="003B51BA">
        <w:t xml:space="preserve">only </w:t>
      </w:r>
      <w:r w:rsidR="00DD38B0">
        <w:t>52 per cent of research institutions</w:t>
      </w:r>
      <w:r w:rsidR="00C731D0">
        <w:t>,</w:t>
      </w:r>
      <w:r w:rsidR="00DD38B0">
        <w:t xml:space="preserve"> and </w:t>
      </w:r>
      <w:r w:rsidR="00047FB0">
        <w:t>just under 40</w:t>
      </w:r>
      <w:r w:rsidR="00DD38B0">
        <w:t xml:space="preserve"> per cent of companies</w:t>
      </w:r>
      <w:r w:rsidR="003B51BA">
        <w:t xml:space="preserve"> </w:t>
      </w:r>
      <w:r w:rsidR="00DD38B0">
        <w:t>reported that they licensed-out their IP.</w:t>
      </w:r>
      <w:r w:rsidR="004B39D2">
        <w:t xml:space="preserve"> </w:t>
      </w:r>
      <w:r w:rsidR="00154A29">
        <w:t xml:space="preserve">Of those </w:t>
      </w:r>
      <w:r w:rsidR="00154A29">
        <w:lastRenderedPageBreak/>
        <w:t xml:space="preserve">organisations that did license-out, </w:t>
      </w:r>
      <w:r w:rsidR="004B39D2">
        <w:t>many had only a small number of licen</w:t>
      </w:r>
      <w:r w:rsidR="00756707">
        <w:t>c</w:t>
      </w:r>
      <w:r w:rsidR="004B39D2">
        <w:t>es</w:t>
      </w:r>
      <w:r w:rsidR="00DA603D">
        <w:t xml:space="preserve"> (table </w:t>
      </w:r>
      <w:r w:rsidR="004B39D2">
        <w:t>4.</w:t>
      </w:r>
      <w:r w:rsidR="00E50AD4">
        <w:t>7</w:t>
      </w:r>
      <w:r w:rsidR="004B39D2">
        <w:t>).</w:t>
      </w:r>
    </w:p>
    <w:p w:rsidR="004B39D2" w:rsidRDefault="004B39D2" w:rsidP="006C7271">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557F89">
        <w:rPr>
          <w:b w:val="0"/>
        </w:rPr>
        <w:t>4.</w:t>
      </w:r>
      <w:r>
        <w:rPr>
          <w:b w:val="0"/>
        </w:rPr>
        <w:fldChar w:fldCharType="end"/>
      </w:r>
      <w:r w:rsidR="00E50AD4">
        <w:rPr>
          <w:b w:val="0"/>
        </w:rPr>
        <w:t>7</w:t>
      </w:r>
      <w:r>
        <w:tab/>
      </w:r>
      <w:r w:rsidR="00C731D0">
        <w:t>O</w:t>
      </w:r>
      <w:r w:rsidR="006C7271">
        <w:t>ut-licen</w:t>
      </w:r>
      <w:r w:rsidR="00114E83">
        <w:t>c</w:t>
      </w:r>
      <w:r w:rsidR="006C7271">
        <w:t>es reported in</w:t>
      </w:r>
      <w:r w:rsidR="005B3DFB">
        <w:t xml:space="preserve"> survey of the</w:t>
      </w:r>
      <w:r w:rsidR="006C7271">
        <w:t xml:space="preserve"> </w:t>
      </w:r>
      <w:r w:rsidR="005B3DFB">
        <w:t>Australian medical biotechnology industry</w:t>
      </w:r>
    </w:p>
    <w:tbl>
      <w:tblPr>
        <w:tblW w:w="5000" w:type="pct"/>
        <w:tblCellMar>
          <w:left w:w="0" w:type="dxa"/>
          <w:right w:w="0" w:type="dxa"/>
        </w:tblCellMar>
        <w:tblLook w:val="0000" w:firstRow="0" w:lastRow="0" w:firstColumn="0" w:lastColumn="0" w:noHBand="0" w:noVBand="0"/>
      </w:tblPr>
      <w:tblGrid>
        <w:gridCol w:w="2015"/>
        <w:gridCol w:w="1631"/>
        <w:gridCol w:w="1631"/>
        <w:gridCol w:w="1756"/>
        <w:gridCol w:w="1756"/>
      </w:tblGrid>
      <w:tr w:rsidR="004E76F7" w:rsidTr="000843D5">
        <w:trPr>
          <w:trHeight w:val="344"/>
        </w:trPr>
        <w:tc>
          <w:tcPr>
            <w:tcW w:w="1146" w:type="pct"/>
            <w:vMerge w:val="restart"/>
            <w:tcBorders>
              <w:top w:val="single" w:sz="6" w:space="0" w:color="auto"/>
            </w:tcBorders>
            <w:shd w:val="clear" w:color="auto" w:fill="auto"/>
            <w:vAlign w:val="bottom"/>
          </w:tcPr>
          <w:p w:rsidR="004E76F7" w:rsidRDefault="004E76F7" w:rsidP="00114E83">
            <w:pPr>
              <w:pStyle w:val="TableColumnHeading"/>
              <w:jc w:val="left"/>
            </w:pPr>
            <w:r>
              <w:t>Number of out</w:t>
            </w:r>
            <w:r>
              <w:noBreakHyphen/>
              <w:t>licen</w:t>
            </w:r>
            <w:r w:rsidR="00114E83">
              <w:t>c</w:t>
            </w:r>
            <w:r>
              <w:t>es</w:t>
            </w:r>
          </w:p>
        </w:tc>
        <w:tc>
          <w:tcPr>
            <w:tcW w:w="1856" w:type="pct"/>
            <w:gridSpan w:val="2"/>
            <w:tcBorders>
              <w:top w:val="single" w:sz="6" w:space="0" w:color="auto"/>
              <w:bottom w:val="single" w:sz="6" w:space="0" w:color="auto"/>
            </w:tcBorders>
            <w:shd w:val="clear" w:color="auto" w:fill="auto"/>
            <w:vAlign w:val="bottom"/>
          </w:tcPr>
          <w:p w:rsidR="004E76F7" w:rsidRPr="004E76F7" w:rsidRDefault="004E76F7" w:rsidP="000843D5">
            <w:pPr>
              <w:pStyle w:val="TableColumnHeading"/>
              <w:ind w:right="28"/>
              <w:jc w:val="left"/>
            </w:pPr>
            <w:r w:rsidRPr="004E76F7">
              <w:t>Research institutions</w:t>
            </w:r>
          </w:p>
        </w:tc>
        <w:tc>
          <w:tcPr>
            <w:tcW w:w="1998" w:type="pct"/>
            <w:gridSpan w:val="2"/>
            <w:tcBorders>
              <w:top w:val="single" w:sz="6" w:space="0" w:color="auto"/>
              <w:bottom w:val="single" w:sz="6" w:space="0" w:color="auto"/>
            </w:tcBorders>
            <w:vAlign w:val="bottom"/>
          </w:tcPr>
          <w:p w:rsidR="004E76F7" w:rsidRDefault="004E76F7" w:rsidP="000843D5">
            <w:pPr>
              <w:pStyle w:val="TableColumnHeading"/>
              <w:ind w:right="28"/>
              <w:jc w:val="left"/>
            </w:pPr>
            <w:r>
              <w:t>Companies</w:t>
            </w:r>
          </w:p>
        </w:tc>
      </w:tr>
      <w:tr w:rsidR="004E76F7" w:rsidTr="000843D5">
        <w:trPr>
          <w:trHeight w:val="343"/>
        </w:trPr>
        <w:tc>
          <w:tcPr>
            <w:tcW w:w="1146" w:type="pct"/>
            <w:vMerge/>
            <w:tcBorders>
              <w:bottom w:val="single" w:sz="6" w:space="0" w:color="auto"/>
            </w:tcBorders>
            <w:shd w:val="clear" w:color="auto" w:fill="auto"/>
          </w:tcPr>
          <w:p w:rsidR="004E76F7" w:rsidRDefault="004E76F7" w:rsidP="00C731D0">
            <w:pPr>
              <w:pStyle w:val="TableColumnHeading"/>
              <w:jc w:val="left"/>
            </w:pPr>
          </w:p>
        </w:tc>
        <w:tc>
          <w:tcPr>
            <w:tcW w:w="928" w:type="pct"/>
            <w:tcBorders>
              <w:top w:val="single" w:sz="6" w:space="0" w:color="auto"/>
              <w:bottom w:val="single" w:sz="6" w:space="0" w:color="auto"/>
            </w:tcBorders>
            <w:shd w:val="clear" w:color="auto" w:fill="auto"/>
            <w:vAlign w:val="bottom"/>
          </w:tcPr>
          <w:p w:rsidR="004E76F7" w:rsidRPr="004E76F7" w:rsidRDefault="004E76F7" w:rsidP="000843D5">
            <w:pPr>
              <w:pStyle w:val="TableColumnHeading"/>
              <w:ind w:right="28"/>
            </w:pPr>
            <w:r>
              <w:t>No.</w:t>
            </w:r>
          </w:p>
        </w:tc>
        <w:tc>
          <w:tcPr>
            <w:tcW w:w="928" w:type="pct"/>
            <w:tcBorders>
              <w:top w:val="single" w:sz="6" w:space="0" w:color="auto"/>
              <w:bottom w:val="single" w:sz="6" w:space="0" w:color="auto"/>
            </w:tcBorders>
            <w:shd w:val="clear" w:color="auto" w:fill="auto"/>
            <w:vAlign w:val="bottom"/>
          </w:tcPr>
          <w:p w:rsidR="004E76F7" w:rsidRPr="004E76F7" w:rsidRDefault="004E76F7" w:rsidP="005B3DFB">
            <w:pPr>
              <w:pStyle w:val="TableColumnHeading"/>
              <w:ind w:right="28"/>
            </w:pPr>
            <w:r>
              <w:t>Per cent of research institutions</w:t>
            </w:r>
          </w:p>
        </w:tc>
        <w:tc>
          <w:tcPr>
            <w:tcW w:w="999" w:type="pct"/>
            <w:tcBorders>
              <w:top w:val="single" w:sz="6" w:space="0" w:color="auto"/>
              <w:bottom w:val="single" w:sz="6" w:space="0" w:color="auto"/>
            </w:tcBorders>
            <w:vAlign w:val="bottom"/>
          </w:tcPr>
          <w:p w:rsidR="004E76F7" w:rsidRDefault="004E76F7" w:rsidP="005B3DFB">
            <w:pPr>
              <w:pStyle w:val="TableColumnHeading"/>
              <w:ind w:right="28"/>
            </w:pPr>
            <w:r>
              <w:t>No.</w:t>
            </w:r>
          </w:p>
        </w:tc>
        <w:tc>
          <w:tcPr>
            <w:tcW w:w="999" w:type="pct"/>
            <w:tcBorders>
              <w:top w:val="single" w:sz="6" w:space="0" w:color="auto"/>
              <w:bottom w:val="single" w:sz="6" w:space="0" w:color="auto"/>
            </w:tcBorders>
            <w:vAlign w:val="bottom"/>
          </w:tcPr>
          <w:p w:rsidR="004E76F7" w:rsidRDefault="004E76F7" w:rsidP="005B3DFB">
            <w:pPr>
              <w:pStyle w:val="TableColumnHeading"/>
              <w:ind w:right="28"/>
            </w:pPr>
            <w:r>
              <w:t>Per cent of companies</w:t>
            </w:r>
          </w:p>
        </w:tc>
      </w:tr>
      <w:tr w:rsidR="006C7271" w:rsidTr="00416394">
        <w:tc>
          <w:tcPr>
            <w:tcW w:w="1146" w:type="pct"/>
          </w:tcPr>
          <w:p w:rsidR="006C7271" w:rsidRDefault="006C7271" w:rsidP="00DC2C7D">
            <w:pPr>
              <w:pStyle w:val="TableBodyText"/>
              <w:jc w:val="left"/>
            </w:pPr>
            <w:r>
              <w:t>0</w:t>
            </w:r>
          </w:p>
        </w:tc>
        <w:tc>
          <w:tcPr>
            <w:tcW w:w="928" w:type="pct"/>
          </w:tcPr>
          <w:p w:rsidR="006C7271" w:rsidRDefault="000A2469" w:rsidP="00DC2C7D">
            <w:pPr>
              <w:pStyle w:val="TableBodyText"/>
            </w:pPr>
            <w:r>
              <w:t>8</w:t>
            </w:r>
          </w:p>
        </w:tc>
        <w:tc>
          <w:tcPr>
            <w:tcW w:w="928" w:type="pct"/>
          </w:tcPr>
          <w:p w:rsidR="006C7271" w:rsidRDefault="004B0BB7" w:rsidP="00DC2C7D">
            <w:pPr>
              <w:pStyle w:val="TableBodyText"/>
              <w:ind w:right="28"/>
            </w:pPr>
            <w:r>
              <w:t>35</w:t>
            </w:r>
          </w:p>
        </w:tc>
        <w:tc>
          <w:tcPr>
            <w:tcW w:w="999" w:type="pct"/>
          </w:tcPr>
          <w:p w:rsidR="006C7271" w:rsidRDefault="003740E4" w:rsidP="00DC2C7D">
            <w:pPr>
              <w:pStyle w:val="TableBodyText"/>
              <w:ind w:right="28"/>
            </w:pPr>
            <w:r>
              <w:t>24</w:t>
            </w:r>
          </w:p>
        </w:tc>
        <w:tc>
          <w:tcPr>
            <w:tcW w:w="999" w:type="pct"/>
          </w:tcPr>
          <w:p w:rsidR="006C7271" w:rsidRDefault="009E5D92" w:rsidP="00DC2C7D">
            <w:pPr>
              <w:pStyle w:val="TableBodyText"/>
              <w:ind w:right="28"/>
            </w:pPr>
            <w:r>
              <w:t>49</w:t>
            </w:r>
          </w:p>
        </w:tc>
      </w:tr>
      <w:tr w:rsidR="006C7271" w:rsidTr="00416394">
        <w:tc>
          <w:tcPr>
            <w:tcW w:w="1146" w:type="pct"/>
          </w:tcPr>
          <w:p w:rsidR="006C7271" w:rsidRDefault="006C7271" w:rsidP="00DC2C7D">
            <w:pPr>
              <w:pStyle w:val="TableBodyText"/>
              <w:jc w:val="left"/>
            </w:pPr>
            <w:r>
              <w:t>1</w:t>
            </w:r>
          </w:p>
        </w:tc>
        <w:tc>
          <w:tcPr>
            <w:tcW w:w="928" w:type="pct"/>
          </w:tcPr>
          <w:p w:rsidR="006C7271" w:rsidRDefault="000A2469" w:rsidP="00DC2C7D">
            <w:pPr>
              <w:pStyle w:val="TableBodyText"/>
            </w:pPr>
            <w:r>
              <w:t>3</w:t>
            </w:r>
          </w:p>
        </w:tc>
        <w:tc>
          <w:tcPr>
            <w:tcW w:w="928" w:type="pct"/>
          </w:tcPr>
          <w:p w:rsidR="006C7271" w:rsidRDefault="004B0BB7" w:rsidP="00DC2C7D">
            <w:pPr>
              <w:pStyle w:val="TableBodyText"/>
              <w:ind w:right="28"/>
            </w:pPr>
            <w:r>
              <w:t>13</w:t>
            </w:r>
          </w:p>
        </w:tc>
        <w:tc>
          <w:tcPr>
            <w:tcW w:w="999" w:type="pct"/>
          </w:tcPr>
          <w:p w:rsidR="006C7271" w:rsidRDefault="003740E4" w:rsidP="00DC2C7D">
            <w:pPr>
              <w:pStyle w:val="TableBodyText"/>
              <w:ind w:right="28"/>
            </w:pPr>
            <w:r>
              <w:t>3</w:t>
            </w:r>
          </w:p>
        </w:tc>
        <w:tc>
          <w:tcPr>
            <w:tcW w:w="999" w:type="pct"/>
          </w:tcPr>
          <w:p w:rsidR="006C7271" w:rsidRDefault="009E5D92" w:rsidP="00DC2C7D">
            <w:pPr>
              <w:pStyle w:val="TableBodyText"/>
              <w:ind w:right="28"/>
            </w:pPr>
            <w:r>
              <w:t>6</w:t>
            </w:r>
          </w:p>
        </w:tc>
      </w:tr>
      <w:tr w:rsidR="006C7271" w:rsidTr="00416394">
        <w:tc>
          <w:tcPr>
            <w:tcW w:w="1146" w:type="pct"/>
          </w:tcPr>
          <w:p w:rsidR="006C7271" w:rsidRDefault="006C7271" w:rsidP="00DC2C7D">
            <w:pPr>
              <w:pStyle w:val="TableBodyText"/>
              <w:jc w:val="left"/>
            </w:pPr>
            <w:r>
              <w:t>2–4</w:t>
            </w:r>
          </w:p>
        </w:tc>
        <w:tc>
          <w:tcPr>
            <w:tcW w:w="928" w:type="pct"/>
          </w:tcPr>
          <w:p w:rsidR="006C7271" w:rsidRDefault="000A2469" w:rsidP="00DC2C7D">
            <w:pPr>
              <w:pStyle w:val="TableBodyText"/>
            </w:pPr>
            <w:r>
              <w:t>3</w:t>
            </w:r>
          </w:p>
        </w:tc>
        <w:tc>
          <w:tcPr>
            <w:tcW w:w="928" w:type="pct"/>
          </w:tcPr>
          <w:p w:rsidR="006C7271" w:rsidRDefault="004B0BB7" w:rsidP="00DC2C7D">
            <w:pPr>
              <w:pStyle w:val="TableBodyText"/>
              <w:ind w:right="28"/>
            </w:pPr>
            <w:r>
              <w:t>13</w:t>
            </w:r>
          </w:p>
        </w:tc>
        <w:tc>
          <w:tcPr>
            <w:tcW w:w="999" w:type="pct"/>
          </w:tcPr>
          <w:p w:rsidR="006C7271" w:rsidRDefault="003740E4" w:rsidP="00DC2C7D">
            <w:pPr>
              <w:pStyle w:val="TableBodyText"/>
              <w:ind w:right="28"/>
            </w:pPr>
            <w:r>
              <w:t>9</w:t>
            </w:r>
          </w:p>
        </w:tc>
        <w:tc>
          <w:tcPr>
            <w:tcW w:w="999" w:type="pct"/>
          </w:tcPr>
          <w:p w:rsidR="006C7271" w:rsidRDefault="009E5D92" w:rsidP="00DC2C7D">
            <w:pPr>
              <w:pStyle w:val="TableBodyText"/>
              <w:ind w:right="28"/>
            </w:pPr>
            <w:r>
              <w:t>18</w:t>
            </w:r>
          </w:p>
        </w:tc>
      </w:tr>
      <w:tr w:rsidR="006C7271" w:rsidTr="00416394">
        <w:tc>
          <w:tcPr>
            <w:tcW w:w="1146" w:type="pct"/>
          </w:tcPr>
          <w:p w:rsidR="006C7271" w:rsidRDefault="006C7271" w:rsidP="00DC2C7D">
            <w:pPr>
              <w:pStyle w:val="TableBodyText"/>
              <w:jc w:val="left"/>
            </w:pPr>
            <w:r>
              <w:t>5–9</w:t>
            </w:r>
          </w:p>
        </w:tc>
        <w:tc>
          <w:tcPr>
            <w:tcW w:w="928" w:type="pct"/>
          </w:tcPr>
          <w:p w:rsidR="006C7271" w:rsidRDefault="000A2469" w:rsidP="00DC2C7D">
            <w:pPr>
              <w:pStyle w:val="TableBodyText"/>
            </w:pPr>
            <w:r>
              <w:t>2</w:t>
            </w:r>
          </w:p>
        </w:tc>
        <w:tc>
          <w:tcPr>
            <w:tcW w:w="928" w:type="pct"/>
          </w:tcPr>
          <w:p w:rsidR="006C7271" w:rsidRDefault="004B0BB7" w:rsidP="00DC2C7D">
            <w:pPr>
              <w:pStyle w:val="TableBodyText"/>
              <w:ind w:right="28"/>
            </w:pPr>
            <w:r>
              <w:t>9</w:t>
            </w:r>
          </w:p>
        </w:tc>
        <w:tc>
          <w:tcPr>
            <w:tcW w:w="999" w:type="pct"/>
          </w:tcPr>
          <w:p w:rsidR="006C7271" w:rsidRDefault="003740E4" w:rsidP="00DC2C7D">
            <w:pPr>
              <w:pStyle w:val="TableBodyText"/>
              <w:ind w:right="28"/>
            </w:pPr>
            <w:r>
              <w:t>1</w:t>
            </w:r>
          </w:p>
        </w:tc>
        <w:tc>
          <w:tcPr>
            <w:tcW w:w="999" w:type="pct"/>
          </w:tcPr>
          <w:p w:rsidR="006C7271" w:rsidRDefault="009E5D92" w:rsidP="00DC2C7D">
            <w:pPr>
              <w:pStyle w:val="TableBodyText"/>
              <w:ind w:right="28"/>
            </w:pPr>
            <w:r>
              <w:t>2</w:t>
            </w:r>
          </w:p>
        </w:tc>
      </w:tr>
      <w:tr w:rsidR="006C7271" w:rsidTr="00416394">
        <w:tc>
          <w:tcPr>
            <w:tcW w:w="1146" w:type="pct"/>
          </w:tcPr>
          <w:p w:rsidR="006C7271" w:rsidRDefault="006C7271" w:rsidP="00DC2C7D">
            <w:pPr>
              <w:pStyle w:val="TableBodyText"/>
              <w:jc w:val="left"/>
            </w:pPr>
            <w:r>
              <w:t>10–19</w:t>
            </w:r>
          </w:p>
        </w:tc>
        <w:tc>
          <w:tcPr>
            <w:tcW w:w="928" w:type="pct"/>
          </w:tcPr>
          <w:p w:rsidR="006C7271" w:rsidRDefault="000A2469" w:rsidP="00DC2C7D">
            <w:pPr>
              <w:pStyle w:val="TableBodyText"/>
            </w:pPr>
            <w:r>
              <w:t>0</w:t>
            </w:r>
          </w:p>
        </w:tc>
        <w:tc>
          <w:tcPr>
            <w:tcW w:w="928" w:type="pct"/>
          </w:tcPr>
          <w:p w:rsidR="006C7271" w:rsidRDefault="004B0BB7" w:rsidP="00DC2C7D">
            <w:pPr>
              <w:pStyle w:val="TableBodyText"/>
              <w:ind w:right="28"/>
            </w:pPr>
            <w:r>
              <w:t>0</w:t>
            </w:r>
          </w:p>
        </w:tc>
        <w:tc>
          <w:tcPr>
            <w:tcW w:w="999" w:type="pct"/>
          </w:tcPr>
          <w:p w:rsidR="006C7271" w:rsidRDefault="003740E4" w:rsidP="00DC2C7D">
            <w:pPr>
              <w:pStyle w:val="TableBodyText"/>
              <w:ind w:right="28"/>
            </w:pPr>
            <w:r>
              <w:t>0</w:t>
            </w:r>
          </w:p>
        </w:tc>
        <w:tc>
          <w:tcPr>
            <w:tcW w:w="999" w:type="pct"/>
          </w:tcPr>
          <w:p w:rsidR="006C7271" w:rsidRDefault="009E5D92" w:rsidP="00DC2C7D">
            <w:pPr>
              <w:pStyle w:val="TableBodyText"/>
              <w:ind w:right="28"/>
            </w:pPr>
            <w:r>
              <w:t>0</w:t>
            </w:r>
          </w:p>
        </w:tc>
      </w:tr>
      <w:tr w:rsidR="006C7271" w:rsidTr="00416394">
        <w:tc>
          <w:tcPr>
            <w:tcW w:w="1146" w:type="pct"/>
          </w:tcPr>
          <w:p w:rsidR="006C7271" w:rsidRDefault="000A2469" w:rsidP="00DC2C7D">
            <w:pPr>
              <w:pStyle w:val="TableBodyText"/>
              <w:jc w:val="left"/>
            </w:pPr>
            <w:r>
              <w:t>20–49</w:t>
            </w:r>
          </w:p>
        </w:tc>
        <w:tc>
          <w:tcPr>
            <w:tcW w:w="928" w:type="pct"/>
          </w:tcPr>
          <w:p w:rsidR="006C7271" w:rsidRDefault="000A2469" w:rsidP="00DC2C7D">
            <w:pPr>
              <w:pStyle w:val="TableBodyText"/>
            </w:pPr>
            <w:r>
              <w:t>1</w:t>
            </w:r>
          </w:p>
        </w:tc>
        <w:tc>
          <w:tcPr>
            <w:tcW w:w="928" w:type="pct"/>
          </w:tcPr>
          <w:p w:rsidR="006C7271" w:rsidRDefault="004B0BB7" w:rsidP="00DC2C7D">
            <w:pPr>
              <w:pStyle w:val="TableBodyText"/>
              <w:ind w:right="28"/>
            </w:pPr>
            <w:r>
              <w:t>4</w:t>
            </w:r>
          </w:p>
        </w:tc>
        <w:tc>
          <w:tcPr>
            <w:tcW w:w="999" w:type="pct"/>
          </w:tcPr>
          <w:p w:rsidR="006C7271" w:rsidRDefault="003740E4" w:rsidP="00DC2C7D">
            <w:pPr>
              <w:pStyle w:val="TableBodyText"/>
              <w:ind w:right="28"/>
            </w:pPr>
            <w:r>
              <w:t>1</w:t>
            </w:r>
          </w:p>
        </w:tc>
        <w:tc>
          <w:tcPr>
            <w:tcW w:w="999" w:type="pct"/>
          </w:tcPr>
          <w:p w:rsidR="006C7271" w:rsidRDefault="009E5D92" w:rsidP="00DC2C7D">
            <w:pPr>
              <w:pStyle w:val="TableBodyText"/>
              <w:ind w:right="28"/>
            </w:pPr>
            <w:r>
              <w:t>2</w:t>
            </w:r>
          </w:p>
        </w:tc>
      </w:tr>
      <w:tr w:rsidR="000A2469" w:rsidTr="00416394">
        <w:tc>
          <w:tcPr>
            <w:tcW w:w="1146" w:type="pct"/>
          </w:tcPr>
          <w:p w:rsidR="000A2469" w:rsidRDefault="000A2469" w:rsidP="00DC2C7D">
            <w:pPr>
              <w:pStyle w:val="TableBodyText"/>
              <w:jc w:val="left"/>
            </w:pPr>
            <w:r>
              <w:t>More than 50</w:t>
            </w:r>
          </w:p>
        </w:tc>
        <w:tc>
          <w:tcPr>
            <w:tcW w:w="928" w:type="pct"/>
          </w:tcPr>
          <w:p w:rsidR="000A2469" w:rsidRDefault="000A2469" w:rsidP="00DC2C7D">
            <w:pPr>
              <w:pStyle w:val="TableBodyText"/>
            </w:pPr>
            <w:r>
              <w:t>1</w:t>
            </w:r>
          </w:p>
        </w:tc>
        <w:tc>
          <w:tcPr>
            <w:tcW w:w="928" w:type="pct"/>
          </w:tcPr>
          <w:p w:rsidR="000A2469" w:rsidRDefault="004B0BB7" w:rsidP="00DC2C7D">
            <w:pPr>
              <w:pStyle w:val="TableBodyText"/>
              <w:ind w:right="28"/>
            </w:pPr>
            <w:r>
              <w:t>4</w:t>
            </w:r>
          </w:p>
        </w:tc>
        <w:tc>
          <w:tcPr>
            <w:tcW w:w="999" w:type="pct"/>
          </w:tcPr>
          <w:p w:rsidR="000A2469" w:rsidRDefault="003740E4" w:rsidP="00DC2C7D">
            <w:pPr>
              <w:pStyle w:val="TableBodyText"/>
              <w:ind w:right="28"/>
            </w:pPr>
            <w:r>
              <w:t>0</w:t>
            </w:r>
          </w:p>
        </w:tc>
        <w:tc>
          <w:tcPr>
            <w:tcW w:w="999" w:type="pct"/>
          </w:tcPr>
          <w:p w:rsidR="000A2469" w:rsidRDefault="009E5D92" w:rsidP="00DC2C7D">
            <w:pPr>
              <w:pStyle w:val="TableBodyText"/>
              <w:ind w:right="28"/>
            </w:pPr>
            <w:r>
              <w:t>0</w:t>
            </w:r>
          </w:p>
        </w:tc>
      </w:tr>
      <w:tr w:rsidR="000A2469" w:rsidTr="00416394">
        <w:tc>
          <w:tcPr>
            <w:tcW w:w="1146" w:type="pct"/>
          </w:tcPr>
          <w:p w:rsidR="000A2469" w:rsidRDefault="000A2469" w:rsidP="00DC2C7D">
            <w:pPr>
              <w:pStyle w:val="TableBodyText"/>
              <w:jc w:val="left"/>
            </w:pPr>
            <w:r>
              <w:t>Number not specified</w:t>
            </w:r>
          </w:p>
        </w:tc>
        <w:tc>
          <w:tcPr>
            <w:tcW w:w="928" w:type="pct"/>
          </w:tcPr>
          <w:p w:rsidR="000A2469" w:rsidRDefault="000A2469" w:rsidP="00DC2C7D">
            <w:pPr>
              <w:pStyle w:val="TableBodyText"/>
            </w:pPr>
            <w:r>
              <w:t>2</w:t>
            </w:r>
          </w:p>
        </w:tc>
        <w:tc>
          <w:tcPr>
            <w:tcW w:w="928" w:type="pct"/>
          </w:tcPr>
          <w:p w:rsidR="000A2469" w:rsidRDefault="004B0BB7" w:rsidP="00DC2C7D">
            <w:pPr>
              <w:pStyle w:val="TableBodyText"/>
              <w:ind w:right="28"/>
            </w:pPr>
            <w:r>
              <w:t>9</w:t>
            </w:r>
          </w:p>
        </w:tc>
        <w:tc>
          <w:tcPr>
            <w:tcW w:w="999" w:type="pct"/>
          </w:tcPr>
          <w:p w:rsidR="000A2469" w:rsidRDefault="003740E4" w:rsidP="00DC2C7D">
            <w:pPr>
              <w:pStyle w:val="TableBodyText"/>
              <w:ind w:right="28"/>
            </w:pPr>
            <w:r>
              <w:t>5</w:t>
            </w:r>
          </w:p>
        </w:tc>
        <w:tc>
          <w:tcPr>
            <w:tcW w:w="999" w:type="pct"/>
          </w:tcPr>
          <w:p w:rsidR="000A2469" w:rsidRDefault="009E5D92" w:rsidP="00DC2C7D">
            <w:pPr>
              <w:pStyle w:val="TableBodyText"/>
              <w:ind w:right="28"/>
            </w:pPr>
            <w:r>
              <w:t>10</w:t>
            </w:r>
          </w:p>
        </w:tc>
      </w:tr>
      <w:tr w:rsidR="006C7271" w:rsidTr="00416394">
        <w:tc>
          <w:tcPr>
            <w:tcW w:w="1146" w:type="pct"/>
            <w:tcBorders>
              <w:bottom w:val="single" w:sz="6" w:space="0" w:color="auto"/>
            </w:tcBorders>
            <w:shd w:val="clear" w:color="auto" w:fill="auto"/>
          </w:tcPr>
          <w:p w:rsidR="006C7271" w:rsidRDefault="000A2469" w:rsidP="00DC2C7D">
            <w:pPr>
              <w:pStyle w:val="TableBodyText"/>
              <w:jc w:val="left"/>
            </w:pPr>
            <w:r>
              <w:t>No answer</w:t>
            </w:r>
          </w:p>
        </w:tc>
        <w:tc>
          <w:tcPr>
            <w:tcW w:w="928" w:type="pct"/>
            <w:tcBorders>
              <w:bottom w:val="single" w:sz="6" w:space="0" w:color="auto"/>
            </w:tcBorders>
            <w:shd w:val="clear" w:color="auto" w:fill="auto"/>
          </w:tcPr>
          <w:p w:rsidR="006C7271" w:rsidRDefault="000A2469" w:rsidP="00DC2C7D">
            <w:pPr>
              <w:pStyle w:val="TableBodyText"/>
            </w:pPr>
            <w:r>
              <w:t>3</w:t>
            </w:r>
          </w:p>
        </w:tc>
        <w:tc>
          <w:tcPr>
            <w:tcW w:w="928" w:type="pct"/>
            <w:tcBorders>
              <w:bottom w:val="single" w:sz="6" w:space="0" w:color="auto"/>
            </w:tcBorders>
          </w:tcPr>
          <w:p w:rsidR="006C7271" w:rsidRDefault="004B0BB7" w:rsidP="00DC2C7D">
            <w:pPr>
              <w:pStyle w:val="TableBodyText"/>
              <w:ind w:right="28"/>
            </w:pPr>
            <w:r>
              <w:t>13</w:t>
            </w:r>
          </w:p>
        </w:tc>
        <w:tc>
          <w:tcPr>
            <w:tcW w:w="999" w:type="pct"/>
            <w:tcBorders>
              <w:bottom w:val="single" w:sz="6" w:space="0" w:color="auto"/>
            </w:tcBorders>
          </w:tcPr>
          <w:p w:rsidR="006C7271" w:rsidRDefault="003740E4" w:rsidP="00DC2C7D">
            <w:pPr>
              <w:pStyle w:val="TableBodyText"/>
              <w:ind w:right="28"/>
            </w:pPr>
            <w:r>
              <w:t>6</w:t>
            </w:r>
          </w:p>
        </w:tc>
        <w:tc>
          <w:tcPr>
            <w:tcW w:w="999" w:type="pct"/>
            <w:tcBorders>
              <w:bottom w:val="single" w:sz="6" w:space="0" w:color="auto"/>
            </w:tcBorders>
            <w:shd w:val="clear" w:color="auto" w:fill="auto"/>
          </w:tcPr>
          <w:p w:rsidR="006C7271" w:rsidRDefault="009E5D92" w:rsidP="00DC2C7D">
            <w:pPr>
              <w:pStyle w:val="TableBodyText"/>
              <w:ind w:right="28"/>
            </w:pPr>
            <w:r>
              <w:t>12</w:t>
            </w:r>
          </w:p>
        </w:tc>
      </w:tr>
    </w:tbl>
    <w:p w:rsidR="004B39D2" w:rsidRPr="008E77FE" w:rsidRDefault="004B39D2" w:rsidP="00DC2C7D">
      <w:pPr>
        <w:pStyle w:val="Source"/>
      </w:pPr>
      <w:r>
        <w:rPr>
          <w:i/>
        </w:rPr>
        <w:t>Source</w:t>
      </w:r>
      <w:r>
        <w:t>: Nicol and Nielsen (2003).</w:t>
      </w:r>
    </w:p>
    <w:p w:rsidR="004B39D2" w:rsidRDefault="007C152A" w:rsidP="00FD3093">
      <w:pPr>
        <w:pStyle w:val="BodyText"/>
      </w:pPr>
      <w:r>
        <w:t>Although some</w:t>
      </w:r>
      <w:r w:rsidR="00F94E36">
        <w:t xml:space="preserve"> respondents</w:t>
      </w:r>
      <w:r>
        <w:t xml:space="preserve"> seeking to acquire technology preferred to do so by assignment, o</w:t>
      </w:r>
      <w:r w:rsidR="00EF5173">
        <w:t>thers</w:t>
      </w:r>
      <w:r w:rsidR="00BD5A06">
        <w:t xml:space="preserve"> preferred to license-in technology</w:t>
      </w:r>
      <w:r w:rsidR="00613771">
        <w:t xml:space="preserve"> </w:t>
      </w:r>
      <w:r w:rsidR="003D2686">
        <w:t>due to</w:t>
      </w:r>
      <w:r w:rsidR="00831A32">
        <w:t xml:space="preserve"> risk and</w:t>
      </w:r>
      <w:r w:rsidR="003D2686">
        <w:t xml:space="preserve"> uncertainty, </w:t>
      </w:r>
      <w:r w:rsidR="00265E0B">
        <w:t>which can make</w:t>
      </w:r>
      <w:r w:rsidR="003D2686">
        <w:t xml:space="preserve"> valuation</w:t>
      </w:r>
      <w:r w:rsidR="00C763E4">
        <w:t xml:space="preserve"> of the technology</w:t>
      </w:r>
      <w:r w:rsidR="003D2686">
        <w:t xml:space="preserve"> for the pu</w:t>
      </w:r>
      <w:r w:rsidR="00C763E4">
        <w:t>rposes of assignment difficult.</w:t>
      </w:r>
      <w:r w:rsidR="002F7AA2">
        <w:t xml:space="preserve"> Indeed,</w:t>
      </w:r>
      <w:r w:rsidR="00265E0B">
        <w:t xml:space="preserve"> </w:t>
      </w:r>
      <w:r w:rsidR="002F7AA2">
        <w:t>r</w:t>
      </w:r>
      <w:r w:rsidR="00831A32">
        <w:t>oyalty payments</w:t>
      </w:r>
      <w:r w:rsidR="00BA06E1">
        <w:t xml:space="preserve"> associated with patent licences</w:t>
      </w:r>
      <w:r w:rsidR="00831A32">
        <w:t xml:space="preserve"> have </w:t>
      </w:r>
      <w:r w:rsidR="00BA06E1">
        <w:t>often</w:t>
      </w:r>
      <w:r w:rsidR="00831A32">
        <w:t xml:space="preserve"> </w:t>
      </w:r>
      <w:r w:rsidR="00CA5CD6">
        <w:t>been justified as a means of risk-sharing between patentees and licensees (Bousquet et al. 1998).</w:t>
      </w:r>
    </w:p>
    <w:p w:rsidR="001D3307" w:rsidRDefault="00277B2E" w:rsidP="00FD3093">
      <w:pPr>
        <w:pStyle w:val="BodyText"/>
      </w:pPr>
      <w:r>
        <w:t xml:space="preserve">A subsequent study of Australian licensing behaviour in this industry was undertaken </w:t>
      </w:r>
      <w:r w:rsidR="00DB3D28">
        <w:t>in 2007</w:t>
      </w:r>
      <w:r w:rsidR="00B57AD8" w:rsidRPr="00B57AD8">
        <w:t xml:space="preserve"> </w:t>
      </w:r>
      <w:r w:rsidR="00B57AD8">
        <w:t>(Nicol 2010)</w:t>
      </w:r>
      <w:r>
        <w:t xml:space="preserve">. </w:t>
      </w:r>
      <w:r w:rsidR="00A2419F">
        <w:t>A total of 59 individuals from the industry were surveyed, with survey respondents holding positions within the organisations they worked for such as chief executive officer, director, patent expert</w:t>
      </w:r>
      <w:r w:rsidR="00486679">
        <w:t>, and chief scientific officer.</w:t>
      </w:r>
    </w:p>
    <w:p w:rsidR="00A8093C" w:rsidRDefault="000B648B" w:rsidP="00FD3093">
      <w:pPr>
        <w:pStyle w:val="BodyText"/>
      </w:pPr>
      <w:r>
        <w:t xml:space="preserve">A </w:t>
      </w:r>
      <w:r w:rsidR="005C607C">
        <w:t>significant proportion of respondents (</w:t>
      </w:r>
      <w:r w:rsidR="00EB29C5">
        <w:t>3</w:t>
      </w:r>
      <w:r w:rsidR="005C607C">
        <w:t>4 per cent), rep</w:t>
      </w:r>
      <w:r w:rsidR="00951980">
        <w:t xml:space="preserve">orted that they did not license </w:t>
      </w:r>
      <w:r w:rsidR="005C607C">
        <w:t>in</w:t>
      </w:r>
      <w:r w:rsidR="003F018D">
        <w:t xml:space="preserve"> technology</w:t>
      </w:r>
      <w:r w:rsidR="005C607C">
        <w:t xml:space="preserve"> at all (table </w:t>
      </w:r>
      <w:r w:rsidR="009E57D7">
        <w:t>4.</w:t>
      </w:r>
      <w:r w:rsidR="00E50AD4">
        <w:t>8</w:t>
      </w:r>
      <w:r w:rsidR="005C607C">
        <w:t xml:space="preserve">). </w:t>
      </w:r>
      <w:r w:rsidR="008E74F3">
        <w:t>Nicol</w:t>
      </w:r>
      <w:r w:rsidR="004822F9">
        <w:t xml:space="preserve"> (2010) </w:t>
      </w:r>
      <w:r w:rsidR="001E3481">
        <w:t xml:space="preserve">concluded </w:t>
      </w:r>
      <w:r w:rsidR="004822F9">
        <w:t xml:space="preserve">that assignment, </w:t>
      </w:r>
      <w:r w:rsidR="001E3481">
        <w:t>rather than</w:t>
      </w:r>
      <w:r w:rsidR="004822F9">
        <w:t xml:space="preserve"> licensing, </w:t>
      </w:r>
      <w:r w:rsidR="00CC19E3">
        <w:t xml:space="preserve">may be the preferred </w:t>
      </w:r>
      <w:r w:rsidR="004822F9">
        <w:t xml:space="preserve">mechanism for </w:t>
      </w:r>
      <w:r w:rsidR="00CC19E3">
        <w:t xml:space="preserve">accessing </w:t>
      </w:r>
      <w:r w:rsidR="004822F9">
        <w:t>technology.</w:t>
      </w:r>
      <w:r w:rsidR="009D1AE9">
        <w:t xml:space="preserve"> </w:t>
      </w:r>
      <w:r w:rsidR="007E03DA">
        <w:t>T</w:t>
      </w:r>
      <w:r w:rsidR="009D1AE9">
        <w:t>he most common justification</w:t>
      </w:r>
      <w:r w:rsidR="007E03DA">
        <w:t xml:space="preserve"> given</w:t>
      </w:r>
      <w:r w:rsidR="009D1AE9">
        <w:t xml:space="preserve"> </w:t>
      </w:r>
      <w:r w:rsidR="00D535A3">
        <w:t>by survey re</w:t>
      </w:r>
      <w:r w:rsidR="00951980">
        <w:t xml:space="preserve">spondents for limited licensing </w:t>
      </w:r>
      <w:r w:rsidR="007E03DA">
        <w:t>was an ability to invent around patents</w:t>
      </w:r>
      <w:r w:rsidR="00D535A3">
        <w:t>.</w:t>
      </w:r>
    </w:p>
    <w:p w:rsidR="009E57D7" w:rsidRDefault="009E57D7" w:rsidP="009E57D7">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sidR="00557F89">
        <w:rPr>
          <w:b w:val="0"/>
        </w:rPr>
        <w:t>4.</w:t>
      </w:r>
      <w:r>
        <w:rPr>
          <w:b w:val="0"/>
        </w:rPr>
        <w:fldChar w:fldCharType="end"/>
      </w:r>
      <w:r w:rsidR="00E50AD4">
        <w:rPr>
          <w:b w:val="0"/>
        </w:rPr>
        <w:t>8</w:t>
      </w:r>
      <w:r w:rsidR="003F2A11">
        <w:tab/>
      </w:r>
      <w:r w:rsidR="00A73561">
        <w:t>Survey results on m</w:t>
      </w:r>
      <w:r w:rsidR="003F2A11">
        <w:t xml:space="preserve">edical biotechnology </w:t>
      </w:r>
      <w:r>
        <w:t>licensing</w:t>
      </w:r>
      <w:r w:rsidR="003F2A11">
        <w:t xml:space="preserve"> in</w:t>
      </w:r>
      <w:r>
        <w:t xml:space="preserve"> </w:t>
      </w:r>
    </w:p>
    <w:tbl>
      <w:tblPr>
        <w:tblW w:w="5000" w:type="pct"/>
        <w:tblCellMar>
          <w:left w:w="0" w:type="dxa"/>
          <w:right w:w="0" w:type="dxa"/>
        </w:tblCellMar>
        <w:tblLook w:val="0000" w:firstRow="0" w:lastRow="0" w:firstColumn="0" w:lastColumn="0" w:noHBand="0" w:noVBand="0"/>
      </w:tblPr>
      <w:tblGrid>
        <w:gridCol w:w="1841"/>
        <w:gridCol w:w="853"/>
        <w:gridCol w:w="737"/>
        <w:gridCol w:w="1628"/>
        <w:gridCol w:w="1245"/>
        <w:gridCol w:w="1522"/>
        <w:gridCol w:w="963"/>
      </w:tblGrid>
      <w:tr w:rsidR="00EB29C5" w:rsidTr="000843D5">
        <w:tc>
          <w:tcPr>
            <w:tcW w:w="1048" w:type="pct"/>
            <w:tcBorders>
              <w:top w:val="single" w:sz="6" w:space="0" w:color="auto"/>
              <w:bottom w:val="single" w:sz="6" w:space="0" w:color="auto"/>
            </w:tcBorders>
            <w:shd w:val="clear" w:color="auto" w:fill="auto"/>
            <w:vAlign w:val="bottom"/>
          </w:tcPr>
          <w:p w:rsidR="00EB29C5" w:rsidRDefault="003F2A11" w:rsidP="000843D5">
            <w:pPr>
              <w:pStyle w:val="TableColumnHeading"/>
              <w:jc w:val="left"/>
            </w:pPr>
            <w:r>
              <w:t>Number of licences</w:t>
            </w:r>
          </w:p>
        </w:tc>
        <w:tc>
          <w:tcPr>
            <w:tcW w:w="485" w:type="pct"/>
            <w:tcBorders>
              <w:top w:val="single" w:sz="6" w:space="0" w:color="auto"/>
              <w:bottom w:val="single" w:sz="6" w:space="0" w:color="auto"/>
            </w:tcBorders>
            <w:shd w:val="clear" w:color="auto" w:fill="auto"/>
            <w:vAlign w:val="bottom"/>
          </w:tcPr>
          <w:p w:rsidR="00EB29C5" w:rsidRDefault="00EB29C5" w:rsidP="00A73561">
            <w:pPr>
              <w:pStyle w:val="TableColumnHeading"/>
            </w:pPr>
            <w:r>
              <w:t>0</w:t>
            </w:r>
          </w:p>
        </w:tc>
        <w:tc>
          <w:tcPr>
            <w:tcW w:w="419" w:type="pct"/>
            <w:tcBorders>
              <w:top w:val="single" w:sz="6" w:space="0" w:color="auto"/>
              <w:bottom w:val="single" w:sz="6" w:space="0" w:color="auto"/>
            </w:tcBorders>
            <w:vAlign w:val="bottom"/>
          </w:tcPr>
          <w:p w:rsidR="00EB29C5" w:rsidRDefault="00EB29C5" w:rsidP="00A73561">
            <w:pPr>
              <w:pStyle w:val="TableColumnHeading"/>
              <w:ind w:right="28"/>
            </w:pPr>
            <w:r>
              <w:t>1–10</w:t>
            </w:r>
          </w:p>
        </w:tc>
        <w:tc>
          <w:tcPr>
            <w:tcW w:w="926" w:type="pct"/>
            <w:tcBorders>
              <w:top w:val="single" w:sz="6" w:space="0" w:color="auto"/>
              <w:bottom w:val="single" w:sz="6" w:space="0" w:color="auto"/>
            </w:tcBorders>
            <w:vAlign w:val="bottom"/>
          </w:tcPr>
          <w:p w:rsidR="00EB29C5" w:rsidRDefault="00EB29C5" w:rsidP="00A73561">
            <w:pPr>
              <w:pStyle w:val="TableColumnHeading"/>
              <w:ind w:right="28"/>
            </w:pPr>
            <w:r>
              <w:t>More than 10</w:t>
            </w:r>
          </w:p>
        </w:tc>
        <w:tc>
          <w:tcPr>
            <w:tcW w:w="708" w:type="pct"/>
            <w:tcBorders>
              <w:top w:val="single" w:sz="6" w:space="0" w:color="auto"/>
              <w:bottom w:val="single" w:sz="6" w:space="0" w:color="auto"/>
            </w:tcBorders>
            <w:vAlign w:val="bottom"/>
          </w:tcPr>
          <w:p w:rsidR="00EB29C5" w:rsidRDefault="00EB29C5" w:rsidP="00A73561">
            <w:pPr>
              <w:pStyle w:val="TableColumnHeading"/>
              <w:ind w:right="28"/>
            </w:pPr>
            <w:r>
              <w:t>Do not know</w:t>
            </w:r>
          </w:p>
        </w:tc>
        <w:tc>
          <w:tcPr>
            <w:tcW w:w="866" w:type="pct"/>
            <w:tcBorders>
              <w:top w:val="single" w:sz="6" w:space="0" w:color="auto"/>
              <w:bottom w:val="single" w:sz="6" w:space="0" w:color="auto"/>
            </w:tcBorders>
            <w:vAlign w:val="bottom"/>
          </w:tcPr>
          <w:p w:rsidR="00EB29C5" w:rsidRDefault="00B62D08" w:rsidP="00A73561">
            <w:pPr>
              <w:pStyle w:val="TableColumnHeading"/>
              <w:ind w:right="28"/>
            </w:pPr>
            <w:r>
              <w:t>No response</w:t>
            </w:r>
          </w:p>
        </w:tc>
        <w:tc>
          <w:tcPr>
            <w:tcW w:w="548" w:type="pct"/>
            <w:tcBorders>
              <w:top w:val="single" w:sz="6" w:space="0" w:color="auto"/>
              <w:bottom w:val="single" w:sz="6" w:space="0" w:color="auto"/>
            </w:tcBorders>
            <w:shd w:val="clear" w:color="auto" w:fill="auto"/>
            <w:vAlign w:val="bottom"/>
          </w:tcPr>
          <w:p w:rsidR="00EB29C5" w:rsidRDefault="00EB29C5" w:rsidP="00A73561">
            <w:pPr>
              <w:pStyle w:val="TableColumnHeading"/>
              <w:ind w:right="28"/>
            </w:pPr>
            <w:r>
              <w:t>Total</w:t>
            </w:r>
          </w:p>
        </w:tc>
      </w:tr>
      <w:tr w:rsidR="00EB29C5" w:rsidTr="000A79E2">
        <w:tc>
          <w:tcPr>
            <w:tcW w:w="1048" w:type="pct"/>
            <w:tcBorders>
              <w:top w:val="single" w:sz="6" w:space="0" w:color="auto"/>
            </w:tcBorders>
          </w:tcPr>
          <w:p w:rsidR="00A26F54" w:rsidRDefault="00636711" w:rsidP="000659AB">
            <w:pPr>
              <w:pStyle w:val="TableUnitsRow"/>
              <w:jc w:val="left"/>
            </w:pPr>
            <w:r>
              <w:t>Number of</w:t>
            </w:r>
          </w:p>
          <w:p w:rsidR="00EB29C5" w:rsidRDefault="00A26F54" w:rsidP="000659AB">
            <w:pPr>
              <w:pStyle w:val="TableUnitsRow"/>
              <w:jc w:val="left"/>
            </w:pPr>
            <w:r>
              <w:t xml:space="preserve">  </w:t>
            </w:r>
            <w:r w:rsidR="00EB29C5">
              <w:t>respondents</w:t>
            </w:r>
          </w:p>
        </w:tc>
        <w:tc>
          <w:tcPr>
            <w:tcW w:w="485" w:type="pct"/>
            <w:tcBorders>
              <w:top w:val="single" w:sz="6" w:space="0" w:color="auto"/>
            </w:tcBorders>
          </w:tcPr>
          <w:p w:rsidR="00EB29C5" w:rsidRDefault="00EB29C5" w:rsidP="000659AB">
            <w:pPr>
              <w:pStyle w:val="TableUnitsRow"/>
            </w:pPr>
            <w:r>
              <w:t>20</w:t>
            </w:r>
          </w:p>
        </w:tc>
        <w:tc>
          <w:tcPr>
            <w:tcW w:w="419" w:type="pct"/>
            <w:tcBorders>
              <w:top w:val="single" w:sz="6" w:space="0" w:color="auto"/>
            </w:tcBorders>
          </w:tcPr>
          <w:p w:rsidR="00EB29C5" w:rsidRDefault="00EB29C5" w:rsidP="000659AB">
            <w:pPr>
              <w:pStyle w:val="TableUnitsRow"/>
              <w:ind w:right="28"/>
            </w:pPr>
            <w:r>
              <w:t>23</w:t>
            </w:r>
          </w:p>
        </w:tc>
        <w:tc>
          <w:tcPr>
            <w:tcW w:w="926" w:type="pct"/>
            <w:tcBorders>
              <w:top w:val="single" w:sz="6" w:space="0" w:color="auto"/>
            </w:tcBorders>
          </w:tcPr>
          <w:p w:rsidR="00EB29C5" w:rsidRDefault="00EB29C5" w:rsidP="000659AB">
            <w:pPr>
              <w:pStyle w:val="TableUnitsRow"/>
              <w:ind w:right="28"/>
            </w:pPr>
            <w:r>
              <w:t>0</w:t>
            </w:r>
          </w:p>
        </w:tc>
        <w:tc>
          <w:tcPr>
            <w:tcW w:w="708" w:type="pct"/>
            <w:tcBorders>
              <w:top w:val="single" w:sz="6" w:space="0" w:color="auto"/>
            </w:tcBorders>
          </w:tcPr>
          <w:p w:rsidR="00EB29C5" w:rsidRDefault="00EB29C5" w:rsidP="000659AB">
            <w:pPr>
              <w:pStyle w:val="TableUnitsRow"/>
              <w:ind w:right="28"/>
            </w:pPr>
            <w:r>
              <w:t>2</w:t>
            </w:r>
          </w:p>
        </w:tc>
        <w:tc>
          <w:tcPr>
            <w:tcW w:w="866" w:type="pct"/>
            <w:tcBorders>
              <w:top w:val="single" w:sz="6" w:space="0" w:color="auto"/>
            </w:tcBorders>
          </w:tcPr>
          <w:p w:rsidR="00EB29C5" w:rsidRDefault="00EB29C5" w:rsidP="000659AB">
            <w:pPr>
              <w:pStyle w:val="TableUnitsRow"/>
              <w:ind w:right="28"/>
            </w:pPr>
            <w:r>
              <w:t>14</w:t>
            </w:r>
          </w:p>
        </w:tc>
        <w:tc>
          <w:tcPr>
            <w:tcW w:w="548" w:type="pct"/>
            <w:tcBorders>
              <w:top w:val="single" w:sz="6" w:space="0" w:color="auto"/>
            </w:tcBorders>
          </w:tcPr>
          <w:p w:rsidR="00EB29C5" w:rsidRDefault="00EB29C5" w:rsidP="000659AB">
            <w:pPr>
              <w:pStyle w:val="TableUnitsRow"/>
              <w:ind w:right="28"/>
            </w:pPr>
            <w:r>
              <w:t>59</w:t>
            </w:r>
          </w:p>
        </w:tc>
      </w:tr>
      <w:tr w:rsidR="00EB29C5" w:rsidTr="000A79E2">
        <w:tc>
          <w:tcPr>
            <w:tcW w:w="1048" w:type="pct"/>
            <w:tcBorders>
              <w:bottom w:val="single" w:sz="6" w:space="0" w:color="auto"/>
            </w:tcBorders>
            <w:shd w:val="clear" w:color="auto" w:fill="auto"/>
          </w:tcPr>
          <w:p w:rsidR="00A26F54" w:rsidRDefault="00A26F54" w:rsidP="004A0062">
            <w:pPr>
              <w:pStyle w:val="TableBodyText"/>
              <w:spacing w:line="220" w:lineRule="exact"/>
              <w:jc w:val="left"/>
            </w:pPr>
            <w:r>
              <w:t>Percentage share</w:t>
            </w:r>
          </w:p>
          <w:p w:rsidR="00EB29C5" w:rsidRDefault="00A26F54" w:rsidP="004A0062">
            <w:pPr>
              <w:pStyle w:val="TableBodyText"/>
              <w:spacing w:line="220" w:lineRule="exact"/>
              <w:jc w:val="left"/>
            </w:pPr>
            <w:r>
              <w:t xml:space="preserve">  </w:t>
            </w:r>
            <w:r w:rsidR="00EB29C5">
              <w:t>of respondents</w:t>
            </w:r>
            <w:r w:rsidR="000A79E2">
              <w:rPr>
                <w:rStyle w:val="NoteLabel"/>
              </w:rPr>
              <w:t>a</w:t>
            </w:r>
          </w:p>
        </w:tc>
        <w:tc>
          <w:tcPr>
            <w:tcW w:w="485" w:type="pct"/>
            <w:tcBorders>
              <w:bottom w:val="single" w:sz="6" w:space="0" w:color="auto"/>
            </w:tcBorders>
            <w:shd w:val="clear" w:color="auto" w:fill="auto"/>
          </w:tcPr>
          <w:p w:rsidR="00EB29C5" w:rsidRDefault="00EB29C5" w:rsidP="004A0062">
            <w:pPr>
              <w:pStyle w:val="TableBodyText"/>
              <w:spacing w:line="220" w:lineRule="exact"/>
            </w:pPr>
            <w:r>
              <w:t>34</w:t>
            </w:r>
          </w:p>
        </w:tc>
        <w:tc>
          <w:tcPr>
            <w:tcW w:w="419" w:type="pct"/>
            <w:tcBorders>
              <w:bottom w:val="single" w:sz="6" w:space="0" w:color="auto"/>
            </w:tcBorders>
          </w:tcPr>
          <w:p w:rsidR="00EB29C5" w:rsidRDefault="00EB29C5" w:rsidP="004A0062">
            <w:pPr>
              <w:pStyle w:val="TableBodyText"/>
              <w:spacing w:line="220" w:lineRule="exact"/>
              <w:ind w:right="28"/>
            </w:pPr>
            <w:r>
              <w:t>39</w:t>
            </w:r>
          </w:p>
        </w:tc>
        <w:tc>
          <w:tcPr>
            <w:tcW w:w="926" w:type="pct"/>
            <w:tcBorders>
              <w:bottom w:val="single" w:sz="6" w:space="0" w:color="auto"/>
            </w:tcBorders>
          </w:tcPr>
          <w:p w:rsidR="00EB29C5" w:rsidRDefault="00EB29C5" w:rsidP="004A0062">
            <w:pPr>
              <w:pStyle w:val="TableBodyText"/>
              <w:spacing w:line="220" w:lineRule="exact"/>
              <w:ind w:right="28"/>
            </w:pPr>
            <w:r>
              <w:t>0</w:t>
            </w:r>
          </w:p>
        </w:tc>
        <w:tc>
          <w:tcPr>
            <w:tcW w:w="708" w:type="pct"/>
            <w:tcBorders>
              <w:bottom w:val="single" w:sz="6" w:space="0" w:color="auto"/>
            </w:tcBorders>
          </w:tcPr>
          <w:p w:rsidR="00EB29C5" w:rsidRDefault="00EB29C5" w:rsidP="004A0062">
            <w:pPr>
              <w:pStyle w:val="TableBodyText"/>
              <w:spacing w:line="220" w:lineRule="exact"/>
              <w:ind w:right="28"/>
            </w:pPr>
            <w:r>
              <w:t>0</w:t>
            </w:r>
          </w:p>
        </w:tc>
        <w:tc>
          <w:tcPr>
            <w:tcW w:w="866" w:type="pct"/>
            <w:tcBorders>
              <w:bottom w:val="single" w:sz="6" w:space="0" w:color="auto"/>
            </w:tcBorders>
          </w:tcPr>
          <w:p w:rsidR="00EB29C5" w:rsidRDefault="00EB29C5" w:rsidP="004A0062">
            <w:pPr>
              <w:pStyle w:val="TableBodyText"/>
              <w:spacing w:line="220" w:lineRule="exact"/>
              <w:ind w:right="28"/>
            </w:pPr>
            <w:r>
              <w:t>24</w:t>
            </w:r>
          </w:p>
        </w:tc>
        <w:tc>
          <w:tcPr>
            <w:tcW w:w="548" w:type="pct"/>
            <w:tcBorders>
              <w:bottom w:val="single" w:sz="6" w:space="0" w:color="auto"/>
            </w:tcBorders>
            <w:shd w:val="clear" w:color="auto" w:fill="auto"/>
          </w:tcPr>
          <w:p w:rsidR="00EB29C5" w:rsidRDefault="00EB29C5" w:rsidP="004A0062">
            <w:pPr>
              <w:pStyle w:val="TableBodyText"/>
              <w:spacing w:line="220" w:lineRule="exact"/>
              <w:ind w:right="28"/>
            </w:pPr>
            <w:r>
              <w:t>100</w:t>
            </w:r>
          </w:p>
        </w:tc>
      </w:tr>
    </w:tbl>
    <w:p w:rsidR="00EB29C5" w:rsidRDefault="00EB29C5" w:rsidP="00EB29C5">
      <w:pPr>
        <w:pStyle w:val="Note"/>
      </w:pPr>
      <w:r w:rsidRPr="00EB29C5">
        <w:rPr>
          <w:rStyle w:val="NoteLabel"/>
        </w:rPr>
        <w:t>a</w:t>
      </w:r>
      <w:r>
        <w:t xml:space="preserve"> Row entries may not sum to 100 due to rounding.</w:t>
      </w:r>
    </w:p>
    <w:p w:rsidR="009E57D7" w:rsidRPr="008E77FE" w:rsidRDefault="009E57D7" w:rsidP="000659AB">
      <w:pPr>
        <w:pStyle w:val="Source"/>
      </w:pPr>
      <w:r>
        <w:rPr>
          <w:i/>
        </w:rPr>
        <w:t>Source</w:t>
      </w:r>
      <w:r>
        <w:t>: Nicol (2010).</w:t>
      </w:r>
    </w:p>
    <w:p w:rsidR="0016004C" w:rsidRDefault="003C1CC3" w:rsidP="00FD3093">
      <w:pPr>
        <w:pStyle w:val="BodyText"/>
      </w:pPr>
      <w:r>
        <w:t>Nicol</w:t>
      </w:r>
      <w:r w:rsidR="009D505A">
        <w:t xml:space="preserve"> (2010) also reported survey data on the </w:t>
      </w:r>
      <w:r w:rsidR="00E8578D">
        <w:t>degree of licensing</w:t>
      </w:r>
      <w:r w:rsidR="00E94183">
        <w:t xml:space="preserve"> </w:t>
      </w:r>
      <w:r w:rsidR="00D8122B">
        <w:t>out</w:t>
      </w:r>
      <w:r w:rsidR="00E8578D">
        <w:t>.</w:t>
      </w:r>
      <w:r w:rsidR="006B200A">
        <w:t xml:space="preserve"> </w:t>
      </w:r>
      <w:r w:rsidR="009D505A">
        <w:t>Respondents indicated</w:t>
      </w:r>
      <w:r w:rsidR="008D6025">
        <w:t xml:space="preserve"> that </w:t>
      </w:r>
      <w:r w:rsidR="009D505A">
        <w:t xml:space="preserve">licensing out </w:t>
      </w:r>
      <w:r w:rsidR="008D6025">
        <w:t>was generally not a widespread activity</w:t>
      </w:r>
      <w:r w:rsidR="00365DF5">
        <w:t>, possib</w:t>
      </w:r>
      <w:r w:rsidR="00874C9E">
        <w:t xml:space="preserve">ly </w:t>
      </w:r>
      <w:r w:rsidR="00365DF5">
        <w:t>indicating</w:t>
      </w:r>
      <w:r w:rsidR="00874C9E">
        <w:t xml:space="preserve"> that</w:t>
      </w:r>
      <w:r w:rsidR="00365DF5">
        <w:t xml:space="preserve"> many of</w:t>
      </w:r>
      <w:r w:rsidR="00874C9E">
        <w:t xml:space="preserve"> </w:t>
      </w:r>
      <w:r w:rsidR="00365DF5">
        <w:t>the innovations protected by patents were at too early a stage of development to license-out</w:t>
      </w:r>
      <w:r w:rsidR="00E8578D">
        <w:t xml:space="preserve"> </w:t>
      </w:r>
      <w:r w:rsidR="00611698">
        <w:t>(table 4.</w:t>
      </w:r>
      <w:r w:rsidR="00E50AD4">
        <w:t>9</w:t>
      </w:r>
      <w:r w:rsidR="00611698">
        <w:t>).</w:t>
      </w:r>
    </w:p>
    <w:p w:rsidR="000F5CF8" w:rsidRDefault="000F5CF8" w:rsidP="00C54268">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557F89">
        <w:rPr>
          <w:b w:val="0"/>
        </w:rPr>
        <w:t>4.</w:t>
      </w:r>
      <w:r>
        <w:rPr>
          <w:b w:val="0"/>
        </w:rPr>
        <w:fldChar w:fldCharType="end"/>
      </w:r>
      <w:r w:rsidR="00E50AD4">
        <w:rPr>
          <w:b w:val="0"/>
        </w:rPr>
        <w:t>9</w:t>
      </w:r>
      <w:r>
        <w:tab/>
      </w:r>
      <w:r w:rsidR="00A73561">
        <w:t>Survey results on m</w:t>
      </w:r>
      <w:r w:rsidR="00FA1ADA">
        <w:t xml:space="preserve">edical biotechnology licensing </w:t>
      </w:r>
      <w:r>
        <w:t xml:space="preserve">out </w:t>
      </w:r>
    </w:p>
    <w:tbl>
      <w:tblPr>
        <w:tblW w:w="5000" w:type="pct"/>
        <w:tblLayout w:type="fixed"/>
        <w:tblCellMar>
          <w:left w:w="0" w:type="dxa"/>
          <w:right w:w="0" w:type="dxa"/>
        </w:tblCellMar>
        <w:tblLook w:val="0000" w:firstRow="0" w:lastRow="0" w:firstColumn="0" w:lastColumn="0" w:noHBand="0" w:noVBand="0"/>
      </w:tblPr>
      <w:tblGrid>
        <w:gridCol w:w="1704"/>
        <w:gridCol w:w="592"/>
        <w:gridCol w:w="853"/>
        <w:gridCol w:w="708"/>
        <w:gridCol w:w="708"/>
        <w:gridCol w:w="708"/>
        <w:gridCol w:w="851"/>
        <w:gridCol w:w="1134"/>
        <w:gridCol w:w="993"/>
        <w:gridCol w:w="538"/>
      </w:tblGrid>
      <w:tr w:rsidR="00055E15" w:rsidTr="000843D5">
        <w:tc>
          <w:tcPr>
            <w:tcW w:w="969" w:type="pct"/>
            <w:tcBorders>
              <w:top w:val="single" w:sz="6" w:space="0" w:color="auto"/>
              <w:bottom w:val="single" w:sz="6" w:space="0" w:color="auto"/>
            </w:tcBorders>
            <w:shd w:val="clear" w:color="auto" w:fill="auto"/>
            <w:vAlign w:val="bottom"/>
          </w:tcPr>
          <w:p w:rsidR="00C56143" w:rsidRDefault="008F4B33" w:rsidP="000843D5">
            <w:pPr>
              <w:pStyle w:val="TableColumnHeading"/>
              <w:jc w:val="left"/>
            </w:pPr>
            <w:r>
              <w:t>Per cent of patents licensed out</w:t>
            </w:r>
          </w:p>
        </w:tc>
        <w:tc>
          <w:tcPr>
            <w:tcW w:w="337" w:type="pct"/>
            <w:tcBorders>
              <w:top w:val="single" w:sz="6" w:space="0" w:color="auto"/>
              <w:bottom w:val="single" w:sz="6" w:space="0" w:color="auto"/>
            </w:tcBorders>
            <w:shd w:val="clear" w:color="auto" w:fill="auto"/>
            <w:vAlign w:val="bottom"/>
          </w:tcPr>
          <w:p w:rsidR="00C56143" w:rsidRDefault="00C56143" w:rsidP="00A73561">
            <w:pPr>
              <w:pStyle w:val="TableColumnHeading"/>
            </w:pPr>
            <w:r>
              <w:t>0</w:t>
            </w:r>
          </w:p>
        </w:tc>
        <w:tc>
          <w:tcPr>
            <w:tcW w:w="485" w:type="pct"/>
            <w:tcBorders>
              <w:top w:val="single" w:sz="6" w:space="0" w:color="auto"/>
              <w:bottom w:val="single" w:sz="6" w:space="0" w:color="auto"/>
            </w:tcBorders>
            <w:vAlign w:val="bottom"/>
          </w:tcPr>
          <w:p w:rsidR="00C56143" w:rsidRDefault="00C56143" w:rsidP="00A73561">
            <w:pPr>
              <w:pStyle w:val="TableColumnHeading"/>
              <w:ind w:right="28"/>
            </w:pPr>
            <w:r>
              <w:t>1–5</w:t>
            </w:r>
          </w:p>
        </w:tc>
        <w:tc>
          <w:tcPr>
            <w:tcW w:w="403" w:type="pct"/>
            <w:tcBorders>
              <w:top w:val="single" w:sz="6" w:space="0" w:color="auto"/>
              <w:bottom w:val="single" w:sz="6" w:space="0" w:color="auto"/>
            </w:tcBorders>
            <w:vAlign w:val="bottom"/>
          </w:tcPr>
          <w:p w:rsidR="00C56143" w:rsidRDefault="00C56143" w:rsidP="00A73561">
            <w:pPr>
              <w:pStyle w:val="TableColumnHeading"/>
              <w:ind w:right="28"/>
            </w:pPr>
            <w:r>
              <w:t>6–10</w:t>
            </w:r>
          </w:p>
        </w:tc>
        <w:tc>
          <w:tcPr>
            <w:tcW w:w="403" w:type="pct"/>
            <w:tcBorders>
              <w:top w:val="single" w:sz="6" w:space="0" w:color="auto"/>
              <w:bottom w:val="single" w:sz="6" w:space="0" w:color="auto"/>
            </w:tcBorders>
            <w:vAlign w:val="bottom"/>
          </w:tcPr>
          <w:p w:rsidR="00C56143" w:rsidRDefault="00C56143" w:rsidP="00A73561">
            <w:pPr>
              <w:pStyle w:val="TableColumnHeading"/>
              <w:ind w:right="28"/>
            </w:pPr>
            <w:r>
              <w:t>11–20</w:t>
            </w:r>
          </w:p>
        </w:tc>
        <w:tc>
          <w:tcPr>
            <w:tcW w:w="403" w:type="pct"/>
            <w:tcBorders>
              <w:top w:val="single" w:sz="6" w:space="0" w:color="auto"/>
              <w:bottom w:val="single" w:sz="6" w:space="0" w:color="auto"/>
            </w:tcBorders>
            <w:vAlign w:val="bottom"/>
          </w:tcPr>
          <w:p w:rsidR="00C56143" w:rsidRDefault="00C56143" w:rsidP="00A73561">
            <w:pPr>
              <w:pStyle w:val="TableColumnHeading"/>
              <w:ind w:right="28"/>
            </w:pPr>
            <w:r>
              <w:t>21–50</w:t>
            </w:r>
          </w:p>
        </w:tc>
        <w:tc>
          <w:tcPr>
            <w:tcW w:w="484" w:type="pct"/>
            <w:tcBorders>
              <w:top w:val="single" w:sz="6" w:space="0" w:color="auto"/>
              <w:bottom w:val="single" w:sz="6" w:space="0" w:color="auto"/>
            </w:tcBorders>
            <w:vAlign w:val="bottom"/>
          </w:tcPr>
          <w:p w:rsidR="0088662C" w:rsidRDefault="0088662C" w:rsidP="00A73561">
            <w:pPr>
              <w:pStyle w:val="TableColumnHeading"/>
              <w:ind w:right="28"/>
            </w:pPr>
            <w:r>
              <w:t>More</w:t>
            </w:r>
          </w:p>
          <w:p w:rsidR="00C56143" w:rsidRDefault="0088662C" w:rsidP="00A73561">
            <w:pPr>
              <w:pStyle w:val="TableColumnHeading"/>
              <w:ind w:right="28"/>
            </w:pPr>
            <w:r>
              <w:t xml:space="preserve">  </w:t>
            </w:r>
            <w:r w:rsidR="00C56143">
              <w:t>than 50</w:t>
            </w:r>
          </w:p>
        </w:tc>
        <w:tc>
          <w:tcPr>
            <w:tcW w:w="645" w:type="pct"/>
            <w:tcBorders>
              <w:top w:val="single" w:sz="6" w:space="0" w:color="auto"/>
              <w:bottom w:val="single" w:sz="6" w:space="0" w:color="auto"/>
            </w:tcBorders>
            <w:vAlign w:val="bottom"/>
          </w:tcPr>
          <w:p w:rsidR="0088662C" w:rsidRDefault="0088662C" w:rsidP="00A73561">
            <w:pPr>
              <w:pStyle w:val="TableColumnHeading"/>
              <w:ind w:right="28"/>
            </w:pPr>
            <w:r>
              <w:t>Do not</w:t>
            </w:r>
          </w:p>
          <w:p w:rsidR="00C56143" w:rsidRDefault="0088662C" w:rsidP="00A73561">
            <w:pPr>
              <w:pStyle w:val="TableColumnHeading"/>
              <w:ind w:right="28"/>
            </w:pPr>
            <w:r>
              <w:t xml:space="preserve">  </w:t>
            </w:r>
            <w:r w:rsidR="00C56143">
              <w:t>know</w:t>
            </w:r>
          </w:p>
        </w:tc>
        <w:tc>
          <w:tcPr>
            <w:tcW w:w="565" w:type="pct"/>
            <w:tcBorders>
              <w:top w:val="single" w:sz="6" w:space="0" w:color="auto"/>
              <w:bottom w:val="single" w:sz="6" w:space="0" w:color="auto"/>
            </w:tcBorders>
            <w:vAlign w:val="bottom"/>
          </w:tcPr>
          <w:p w:rsidR="0088662C" w:rsidRDefault="0088662C" w:rsidP="00A73561">
            <w:pPr>
              <w:pStyle w:val="TableColumnHeading"/>
              <w:ind w:right="28"/>
            </w:pPr>
            <w:r>
              <w:t>No</w:t>
            </w:r>
          </w:p>
          <w:p w:rsidR="00C56143" w:rsidRDefault="0088662C" w:rsidP="00A73561">
            <w:pPr>
              <w:pStyle w:val="TableColumnHeading"/>
              <w:ind w:right="28"/>
            </w:pPr>
            <w:r>
              <w:t xml:space="preserve">  </w:t>
            </w:r>
            <w:r w:rsidR="00C56143">
              <w:t>response</w:t>
            </w:r>
          </w:p>
        </w:tc>
        <w:tc>
          <w:tcPr>
            <w:tcW w:w="306" w:type="pct"/>
            <w:tcBorders>
              <w:top w:val="single" w:sz="6" w:space="0" w:color="auto"/>
              <w:bottom w:val="single" w:sz="6" w:space="0" w:color="auto"/>
            </w:tcBorders>
            <w:shd w:val="clear" w:color="auto" w:fill="auto"/>
            <w:vAlign w:val="bottom"/>
          </w:tcPr>
          <w:p w:rsidR="00C56143" w:rsidRDefault="00C56143" w:rsidP="00A73561">
            <w:pPr>
              <w:pStyle w:val="TableColumnHeading"/>
              <w:ind w:right="28"/>
            </w:pPr>
            <w:r>
              <w:t>Total</w:t>
            </w:r>
          </w:p>
        </w:tc>
      </w:tr>
      <w:tr w:rsidR="00055E15" w:rsidTr="00055E15">
        <w:tc>
          <w:tcPr>
            <w:tcW w:w="969" w:type="pct"/>
            <w:tcBorders>
              <w:top w:val="single" w:sz="6" w:space="0" w:color="auto"/>
            </w:tcBorders>
          </w:tcPr>
          <w:p w:rsidR="00A26F54" w:rsidRDefault="00C56143" w:rsidP="000659AB">
            <w:pPr>
              <w:pStyle w:val="TableUnitsRow"/>
              <w:jc w:val="left"/>
            </w:pPr>
            <w:r>
              <w:t xml:space="preserve">Number </w:t>
            </w:r>
            <w:r w:rsidR="00A26F54">
              <w:t>of</w:t>
            </w:r>
          </w:p>
          <w:p w:rsidR="00C56143" w:rsidRDefault="00A26F54" w:rsidP="000659AB">
            <w:pPr>
              <w:pStyle w:val="TableUnitsRow"/>
              <w:jc w:val="left"/>
            </w:pPr>
            <w:r>
              <w:t xml:space="preserve">  </w:t>
            </w:r>
            <w:r w:rsidR="00C56143">
              <w:t>respondents</w:t>
            </w:r>
          </w:p>
        </w:tc>
        <w:tc>
          <w:tcPr>
            <w:tcW w:w="337" w:type="pct"/>
            <w:tcBorders>
              <w:top w:val="single" w:sz="6" w:space="0" w:color="auto"/>
            </w:tcBorders>
          </w:tcPr>
          <w:p w:rsidR="00C56143" w:rsidRDefault="008F4B33" w:rsidP="008F4B33">
            <w:pPr>
              <w:pStyle w:val="TableUnitsRow"/>
            </w:pPr>
            <w:r>
              <w:t>23</w:t>
            </w:r>
          </w:p>
        </w:tc>
        <w:tc>
          <w:tcPr>
            <w:tcW w:w="485" w:type="pct"/>
            <w:tcBorders>
              <w:top w:val="single" w:sz="6" w:space="0" w:color="auto"/>
            </w:tcBorders>
          </w:tcPr>
          <w:p w:rsidR="00C56143" w:rsidRDefault="008F4B33" w:rsidP="000659AB">
            <w:pPr>
              <w:pStyle w:val="TableUnitsRow"/>
              <w:ind w:right="28"/>
            </w:pPr>
            <w:r>
              <w:t>6</w:t>
            </w:r>
          </w:p>
        </w:tc>
        <w:tc>
          <w:tcPr>
            <w:tcW w:w="403" w:type="pct"/>
            <w:tcBorders>
              <w:top w:val="single" w:sz="6" w:space="0" w:color="auto"/>
            </w:tcBorders>
          </w:tcPr>
          <w:p w:rsidR="00C56143" w:rsidRDefault="00C56143" w:rsidP="000659AB">
            <w:pPr>
              <w:pStyle w:val="TableUnitsRow"/>
              <w:ind w:right="28"/>
            </w:pPr>
            <w:r>
              <w:t>1</w:t>
            </w:r>
          </w:p>
        </w:tc>
        <w:tc>
          <w:tcPr>
            <w:tcW w:w="403" w:type="pct"/>
            <w:tcBorders>
              <w:top w:val="single" w:sz="6" w:space="0" w:color="auto"/>
            </w:tcBorders>
          </w:tcPr>
          <w:p w:rsidR="00C56143" w:rsidRDefault="00C56143" w:rsidP="000659AB">
            <w:pPr>
              <w:pStyle w:val="TableUnitsRow"/>
              <w:ind w:right="28"/>
            </w:pPr>
            <w:r>
              <w:t>3</w:t>
            </w:r>
          </w:p>
        </w:tc>
        <w:tc>
          <w:tcPr>
            <w:tcW w:w="403" w:type="pct"/>
            <w:tcBorders>
              <w:top w:val="single" w:sz="6" w:space="0" w:color="auto"/>
            </w:tcBorders>
          </w:tcPr>
          <w:p w:rsidR="00C56143" w:rsidRDefault="00C56143" w:rsidP="000659AB">
            <w:pPr>
              <w:pStyle w:val="TableUnitsRow"/>
              <w:ind w:right="28"/>
            </w:pPr>
            <w:r>
              <w:t>4</w:t>
            </w:r>
          </w:p>
        </w:tc>
        <w:tc>
          <w:tcPr>
            <w:tcW w:w="484" w:type="pct"/>
            <w:tcBorders>
              <w:top w:val="single" w:sz="6" w:space="0" w:color="auto"/>
            </w:tcBorders>
          </w:tcPr>
          <w:p w:rsidR="00C56143" w:rsidRDefault="00C56143" w:rsidP="000659AB">
            <w:pPr>
              <w:pStyle w:val="TableUnitsRow"/>
              <w:ind w:right="28"/>
            </w:pPr>
            <w:r>
              <w:t>4</w:t>
            </w:r>
          </w:p>
        </w:tc>
        <w:tc>
          <w:tcPr>
            <w:tcW w:w="645" w:type="pct"/>
            <w:tcBorders>
              <w:top w:val="single" w:sz="6" w:space="0" w:color="auto"/>
            </w:tcBorders>
          </w:tcPr>
          <w:p w:rsidR="00C56143" w:rsidRDefault="00C56143" w:rsidP="000659AB">
            <w:pPr>
              <w:pStyle w:val="TableUnitsRow"/>
              <w:ind w:right="28"/>
            </w:pPr>
            <w:r>
              <w:t>4</w:t>
            </w:r>
          </w:p>
        </w:tc>
        <w:tc>
          <w:tcPr>
            <w:tcW w:w="565" w:type="pct"/>
            <w:tcBorders>
              <w:top w:val="single" w:sz="6" w:space="0" w:color="auto"/>
            </w:tcBorders>
          </w:tcPr>
          <w:p w:rsidR="00C56143" w:rsidRDefault="00C56143" w:rsidP="000659AB">
            <w:pPr>
              <w:pStyle w:val="TableUnitsRow"/>
              <w:ind w:right="28"/>
            </w:pPr>
            <w:r>
              <w:t>14</w:t>
            </w:r>
          </w:p>
        </w:tc>
        <w:tc>
          <w:tcPr>
            <w:tcW w:w="306" w:type="pct"/>
            <w:tcBorders>
              <w:top w:val="single" w:sz="6" w:space="0" w:color="auto"/>
            </w:tcBorders>
          </w:tcPr>
          <w:p w:rsidR="00C56143" w:rsidRDefault="00C56143" w:rsidP="000659AB">
            <w:pPr>
              <w:pStyle w:val="TableUnitsRow"/>
              <w:ind w:right="28"/>
            </w:pPr>
            <w:r>
              <w:t>59</w:t>
            </w:r>
          </w:p>
        </w:tc>
      </w:tr>
      <w:tr w:rsidR="00055E15" w:rsidTr="00055E15">
        <w:tc>
          <w:tcPr>
            <w:tcW w:w="969" w:type="pct"/>
            <w:tcBorders>
              <w:bottom w:val="single" w:sz="6" w:space="0" w:color="auto"/>
            </w:tcBorders>
            <w:shd w:val="clear" w:color="auto" w:fill="auto"/>
          </w:tcPr>
          <w:p w:rsidR="00A26F54" w:rsidRDefault="00A26F54" w:rsidP="004A0062">
            <w:pPr>
              <w:pStyle w:val="TableBodyText"/>
              <w:spacing w:line="220" w:lineRule="exact"/>
              <w:jc w:val="left"/>
            </w:pPr>
            <w:r>
              <w:t>Percentage share</w:t>
            </w:r>
          </w:p>
          <w:p w:rsidR="00C56143" w:rsidRDefault="00A26F54" w:rsidP="004A0062">
            <w:pPr>
              <w:pStyle w:val="TableBodyText"/>
              <w:spacing w:line="220" w:lineRule="exact"/>
              <w:jc w:val="left"/>
            </w:pPr>
            <w:r>
              <w:t xml:space="preserve">  </w:t>
            </w:r>
            <w:r w:rsidR="00C56143">
              <w:t>of respondents</w:t>
            </w:r>
            <w:r w:rsidR="000A79E2">
              <w:rPr>
                <w:rStyle w:val="NoteLabel"/>
              </w:rPr>
              <w:t>a</w:t>
            </w:r>
          </w:p>
        </w:tc>
        <w:tc>
          <w:tcPr>
            <w:tcW w:w="337" w:type="pct"/>
            <w:tcBorders>
              <w:bottom w:val="single" w:sz="6" w:space="0" w:color="auto"/>
            </w:tcBorders>
            <w:shd w:val="clear" w:color="auto" w:fill="auto"/>
          </w:tcPr>
          <w:p w:rsidR="00C56143" w:rsidRDefault="008F4B33" w:rsidP="004A0062">
            <w:pPr>
              <w:pStyle w:val="TableBodyText"/>
              <w:spacing w:line="220" w:lineRule="exact"/>
            </w:pPr>
            <w:r>
              <w:t>39</w:t>
            </w:r>
          </w:p>
        </w:tc>
        <w:tc>
          <w:tcPr>
            <w:tcW w:w="485" w:type="pct"/>
            <w:tcBorders>
              <w:bottom w:val="single" w:sz="6" w:space="0" w:color="auto"/>
            </w:tcBorders>
          </w:tcPr>
          <w:p w:rsidR="00C56143" w:rsidRDefault="008F4B33" w:rsidP="004A0062">
            <w:pPr>
              <w:pStyle w:val="TableBodyText"/>
              <w:spacing w:line="220" w:lineRule="exact"/>
              <w:ind w:right="28"/>
            </w:pPr>
            <w:r>
              <w:t>10</w:t>
            </w:r>
          </w:p>
        </w:tc>
        <w:tc>
          <w:tcPr>
            <w:tcW w:w="403" w:type="pct"/>
            <w:tcBorders>
              <w:bottom w:val="single" w:sz="6" w:space="0" w:color="auto"/>
            </w:tcBorders>
          </w:tcPr>
          <w:p w:rsidR="00C56143" w:rsidRDefault="00C56143" w:rsidP="004A0062">
            <w:pPr>
              <w:pStyle w:val="TableBodyText"/>
              <w:spacing w:line="220" w:lineRule="exact"/>
              <w:ind w:right="28"/>
            </w:pPr>
            <w:r>
              <w:t>2</w:t>
            </w:r>
          </w:p>
        </w:tc>
        <w:tc>
          <w:tcPr>
            <w:tcW w:w="403" w:type="pct"/>
            <w:tcBorders>
              <w:bottom w:val="single" w:sz="6" w:space="0" w:color="auto"/>
            </w:tcBorders>
          </w:tcPr>
          <w:p w:rsidR="00C56143" w:rsidRDefault="00C56143" w:rsidP="004A0062">
            <w:pPr>
              <w:pStyle w:val="TableBodyText"/>
              <w:spacing w:line="220" w:lineRule="exact"/>
              <w:ind w:right="28"/>
            </w:pPr>
            <w:r>
              <w:t>5</w:t>
            </w:r>
          </w:p>
        </w:tc>
        <w:tc>
          <w:tcPr>
            <w:tcW w:w="403" w:type="pct"/>
            <w:tcBorders>
              <w:bottom w:val="single" w:sz="6" w:space="0" w:color="auto"/>
            </w:tcBorders>
          </w:tcPr>
          <w:p w:rsidR="00C56143" w:rsidRDefault="00C56143" w:rsidP="004A0062">
            <w:pPr>
              <w:pStyle w:val="TableBodyText"/>
              <w:spacing w:line="220" w:lineRule="exact"/>
              <w:ind w:right="28"/>
            </w:pPr>
            <w:r>
              <w:t>7</w:t>
            </w:r>
          </w:p>
        </w:tc>
        <w:tc>
          <w:tcPr>
            <w:tcW w:w="484" w:type="pct"/>
            <w:tcBorders>
              <w:bottom w:val="single" w:sz="6" w:space="0" w:color="auto"/>
            </w:tcBorders>
          </w:tcPr>
          <w:p w:rsidR="00C56143" w:rsidRDefault="00C56143" w:rsidP="004A0062">
            <w:pPr>
              <w:pStyle w:val="TableBodyText"/>
              <w:spacing w:line="220" w:lineRule="exact"/>
              <w:ind w:right="28"/>
            </w:pPr>
            <w:r>
              <w:t>7</w:t>
            </w:r>
          </w:p>
        </w:tc>
        <w:tc>
          <w:tcPr>
            <w:tcW w:w="645" w:type="pct"/>
            <w:tcBorders>
              <w:bottom w:val="single" w:sz="6" w:space="0" w:color="auto"/>
            </w:tcBorders>
          </w:tcPr>
          <w:p w:rsidR="00C56143" w:rsidRDefault="00C56143" w:rsidP="004A0062">
            <w:pPr>
              <w:pStyle w:val="TableBodyText"/>
              <w:spacing w:line="220" w:lineRule="exact"/>
              <w:ind w:right="28"/>
            </w:pPr>
            <w:r>
              <w:t>7</w:t>
            </w:r>
          </w:p>
        </w:tc>
        <w:tc>
          <w:tcPr>
            <w:tcW w:w="565" w:type="pct"/>
            <w:tcBorders>
              <w:bottom w:val="single" w:sz="6" w:space="0" w:color="auto"/>
            </w:tcBorders>
          </w:tcPr>
          <w:p w:rsidR="00C56143" w:rsidRDefault="00C56143" w:rsidP="004A0062">
            <w:pPr>
              <w:pStyle w:val="TableBodyText"/>
              <w:spacing w:line="220" w:lineRule="exact"/>
              <w:ind w:right="28"/>
            </w:pPr>
            <w:r>
              <w:t>24</w:t>
            </w:r>
          </w:p>
        </w:tc>
        <w:tc>
          <w:tcPr>
            <w:tcW w:w="306" w:type="pct"/>
            <w:tcBorders>
              <w:bottom w:val="single" w:sz="6" w:space="0" w:color="auto"/>
            </w:tcBorders>
            <w:shd w:val="clear" w:color="auto" w:fill="auto"/>
          </w:tcPr>
          <w:p w:rsidR="00C56143" w:rsidRDefault="00C56143" w:rsidP="004A0062">
            <w:pPr>
              <w:pStyle w:val="TableBodyText"/>
              <w:spacing w:line="220" w:lineRule="exact"/>
              <w:ind w:right="28"/>
            </w:pPr>
            <w:r>
              <w:t>100</w:t>
            </w:r>
          </w:p>
        </w:tc>
      </w:tr>
    </w:tbl>
    <w:p w:rsidR="00E7652A" w:rsidRDefault="00E7652A" w:rsidP="00E7652A">
      <w:pPr>
        <w:pStyle w:val="Note"/>
      </w:pPr>
      <w:r w:rsidRPr="00EB29C5">
        <w:rPr>
          <w:rStyle w:val="NoteLabel"/>
        </w:rPr>
        <w:t>a</w:t>
      </w:r>
      <w:r>
        <w:t xml:space="preserve"> Row entries may not sum to 100 due to rounding.</w:t>
      </w:r>
    </w:p>
    <w:p w:rsidR="000F5CF8" w:rsidRPr="008E77FE" w:rsidRDefault="000F5CF8" w:rsidP="000659AB">
      <w:pPr>
        <w:pStyle w:val="Source"/>
      </w:pPr>
      <w:r>
        <w:rPr>
          <w:i/>
        </w:rPr>
        <w:t>Source</w:t>
      </w:r>
      <w:r>
        <w:t>: Nicol (2010).</w:t>
      </w:r>
    </w:p>
    <w:p w:rsidR="00B20D61" w:rsidRDefault="00483DE1" w:rsidP="00993EB5">
      <w:pPr>
        <w:pStyle w:val="Heading3"/>
      </w:pPr>
      <w:r>
        <w:t xml:space="preserve">Why is there a low rate of </w:t>
      </w:r>
      <w:r w:rsidR="00B20D61">
        <w:t>licensing?</w:t>
      </w:r>
    </w:p>
    <w:p w:rsidR="005D2475" w:rsidRDefault="00B20D61" w:rsidP="00B20D61">
      <w:pPr>
        <w:pStyle w:val="BodyText"/>
      </w:pPr>
      <w:r>
        <w:t xml:space="preserve">A number of </w:t>
      </w:r>
      <w:r w:rsidR="00615E37">
        <w:t xml:space="preserve">studies have considered </w:t>
      </w:r>
      <w:r w:rsidR="00843FB6">
        <w:t xml:space="preserve">whether the </w:t>
      </w:r>
      <w:r w:rsidR="008279C3">
        <w:t>number</w:t>
      </w:r>
      <w:r w:rsidR="00843FB6">
        <w:t xml:space="preserve"> of voluntary licensing agreements entered into by organisations holding patents</w:t>
      </w:r>
      <w:r w:rsidR="00993EB5">
        <w:t>,</w:t>
      </w:r>
      <w:r w:rsidR="00843FB6">
        <w:t xml:space="preserve"> an</w:t>
      </w:r>
      <w:r w:rsidR="008279C3">
        <w:t>d those seeking to utilise them</w:t>
      </w:r>
      <w:r w:rsidR="00843FB6">
        <w:t xml:space="preserve"> could be increased. </w:t>
      </w:r>
      <w:r w:rsidR="001129DB">
        <w:t xml:space="preserve">This </w:t>
      </w:r>
      <w:r w:rsidR="008279C3">
        <w:t>is often seen as a desirable objective on the grounds that it would lead to a more widespread utilisation of technology, and hence, result in a greater diffusion of innovations.</w:t>
      </w:r>
      <w:r w:rsidR="005D2475">
        <w:t xml:space="preserve"> </w:t>
      </w:r>
    </w:p>
    <w:p w:rsidR="006B431B" w:rsidRDefault="00027C51" w:rsidP="00B20D61">
      <w:pPr>
        <w:pStyle w:val="BodyText"/>
      </w:pPr>
      <w:r w:rsidRPr="008E7038">
        <w:t>As noted above, the PatVal-EU survey found a low rate of licensing of patents</w:t>
      </w:r>
      <w:r>
        <w:t xml:space="preserve">. </w:t>
      </w:r>
      <w:r w:rsidR="005D2475">
        <w:t>T</w:t>
      </w:r>
      <w:r w:rsidR="00B20D61">
        <w:t>he RIETI-Georgia Tech survey</w:t>
      </w:r>
      <w:r w:rsidR="00610498">
        <w:t xml:space="preserve"> identified a similar situation</w:t>
      </w:r>
      <w:r w:rsidR="00B20D61">
        <w:t xml:space="preserve"> </w:t>
      </w:r>
      <w:r w:rsidR="00610498">
        <w:t xml:space="preserve">for </w:t>
      </w:r>
      <w:r w:rsidR="00B20D61">
        <w:t>Japanese and US companies</w:t>
      </w:r>
      <w:r w:rsidR="00897EA4">
        <w:t>.</w:t>
      </w:r>
      <w:r w:rsidR="00B20D61">
        <w:t xml:space="preserve"> </w:t>
      </w:r>
      <w:r w:rsidR="00337D59">
        <w:t xml:space="preserve">A low rate of licensing however, </w:t>
      </w:r>
      <w:r w:rsidR="00953DC6">
        <w:t xml:space="preserve">does not necessarily indicate that patent owners </w:t>
      </w:r>
      <w:r w:rsidR="00FC347F">
        <w:t>regularly</w:t>
      </w:r>
      <w:r w:rsidR="00953DC6">
        <w:t xml:space="preserve"> deny access to patented technologies on reasonable terms. </w:t>
      </w:r>
      <w:r w:rsidR="007842E8">
        <w:t>P</w:t>
      </w:r>
      <w:r w:rsidR="0045468B">
        <w:t>atent owners have an incentive to maximise the benefit they receive from their inventions. Th</w:t>
      </w:r>
      <w:r w:rsidR="00993EB5">
        <w:t xml:space="preserve">at </w:t>
      </w:r>
      <w:r w:rsidR="0045468B">
        <w:t>goal is unlikely to be best served by refusing to license a patent.</w:t>
      </w:r>
    </w:p>
    <w:p w:rsidR="00E43C00" w:rsidRDefault="00E43C00" w:rsidP="00B20D61">
      <w:pPr>
        <w:pStyle w:val="BodyText"/>
      </w:pPr>
    </w:p>
    <w:p w:rsidR="00E9132B" w:rsidRDefault="00E9132B" w:rsidP="00E9132B">
      <w:pPr>
        <w:pStyle w:val="BodyText"/>
      </w:pPr>
      <w:r>
        <w:lastRenderedPageBreak/>
        <w:t>The</w:t>
      </w:r>
      <w:r w:rsidR="00C93177">
        <w:t xml:space="preserve"> available</w:t>
      </w:r>
      <w:r>
        <w:t xml:space="preserve"> evidence </w:t>
      </w:r>
      <w:r w:rsidR="003C2687">
        <w:t>indicates</w:t>
      </w:r>
      <w:r>
        <w:t xml:space="preserve"> that refusal to license patents on reasonable terms is </w:t>
      </w:r>
      <w:r w:rsidR="00E96E70">
        <w:t xml:space="preserve">not a major </w:t>
      </w:r>
      <w:r>
        <w:t>barrier to ac</w:t>
      </w:r>
      <w:r w:rsidR="00E43C00">
        <w:t>cessing patented innovations.</w:t>
      </w:r>
      <w:r>
        <w:t xml:space="preserve"> Scott Bouvier submitted:</w:t>
      </w:r>
    </w:p>
    <w:p w:rsidR="00E9132B" w:rsidRDefault="008211B0" w:rsidP="00E9132B">
      <w:pPr>
        <w:pStyle w:val="Quote"/>
      </w:pPr>
      <w:r>
        <w:t> … </w:t>
      </w:r>
      <w:r w:rsidR="00E9132B">
        <w:t xml:space="preserve">I see the issue of patent holders refusing to license their inventions as an uncommon and exceptional issue in the Australian context. </w:t>
      </w:r>
    </w:p>
    <w:p w:rsidR="00E9132B" w:rsidRDefault="00E9132B" w:rsidP="00E9132B">
      <w:pPr>
        <w:pStyle w:val="Quote"/>
      </w:pPr>
      <w:r>
        <w:t>The more familiar patent licensing issues my clients require assistance with tend to involve contentious negotiations of license terms or disputes that arise after a license has been granted. (sub. 2, p. 1)</w:t>
      </w:r>
    </w:p>
    <w:p w:rsidR="00E9132B" w:rsidRDefault="00E9132B" w:rsidP="00E9132B">
      <w:pPr>
        <w:pStyle w:val="BodyText"/>
      </w:pPr>
      <w:r>
        <w:t>Similarly, the Centre for Law and Genetics submitted with respect to the medical biotechnology industry:</w:t>
      </w:r>
    </w:p>
    <w:p w:rsidR="00E9132B" w:rsidRDefault="00E9132B" w:rsidP="00E9132B">
      <w:pPr>
        <w:pStyle w:val="Quote"/>
      </w:pPr>
      <w:r>
        <w:t>Both survey data and interview data indicated that refusals to license patents are not a pervasive issue for participants in this industry</w:t>
      </w:r>
      <w:r w:rsidR="00E52783">
        <w:t xml:space="preserve"> (in both contexts of out-licensing and in-licensing)</w:t>
      </w:r>
      <w:r>
        <w:t>. (sub. 3, p. 6)</w:t>
      </w:r>
    </w:p>
    <w:p w:rsidR="00E110F8" w:rsidRPr="00E110F8" w:rsidRDefault="00E110F8" w:rsidP="00E110F8">
      <w:pPr>
        <w:pStyle w:val="BodyText"/>
      </w:pPr>
      <w:r>
        <w:t xml:space="preserve">It appears that a more significant concern is that patent owners are not able to license as often as they would like to. In this regard, the Institute of Patent and Trade Mark Attorneys </w:t>
      </w:r>
      <w:r w:rsidR="0059791E">
        <w:t xml:space="preserve"> and FICPI Australia </w:t>
      </w:r>
      <w:r>
        <w:t>noted:</w:t>
      </w:r>
    </w:p>
    <w:p w:rsidR="00043D22" w:rsidRPr="00FF644A" w:rsidRDefault="00043D22" w:rsidP="00043D22">
      <w:pPr>
        <w:pStyle w:val="Quote"/>
      </w:pPr>
      <w:r>
        <w:t>… there would be far more patentees who are unsuccessful in seeking a licensee in Australia than there would be patentees entering into licensing arrangements. One of the major obstacles for patentees is to find a licensee who is both willing and capable of bringing an invention to market. This is not a problem with the patent system but rather due to the fact that not every patentable idea will be commercially valuable. (sub. 18, p. 5)</w:t>
      </w:r>
    </w:p>
    <w:p w:rsidR="00CE25FD" w:rsidRDefault="00CE25FD" w:rsidP="00B20D61">
      <w:pPr>
        <w:pStyle w:val="BodyText"/>
      </w:pPr>
      <w:r>
        <w:t>The RIETI-Georgia Tech survey measured the gap between a patent owner’s willingness to license and actual licensing activity. It was found that, in 2007, 40 per cent of Japanese organisations were willing to license their technology, but only 21 per cent actually did so. Around 30 per cent of US organisations reported a willingness to license, but only 14 per cent did so (Sadao and Walsh 2009).</w:t>
      </w:r>
    </w:p>
    <w:p w:rsidR="00B20D61" w:rsidRDefault="00CE25FD" w:rsidP="00B20D61">
      <w:pPr>
        <w:pStyle w:val="BodyText"/>
      </w:pPr>
      <w:r>
        <w:t xml:space="preserve">Similarly, survey data analysed by </w:t>
      </w:r>
      <w:r w:rsidR="00017689">
        <w:t>Zuniga and Guellec (2009)</w:t>
      </w:r>
      <w:r w:rsidR="00B20D61">
        <w:t xml:space="preserve"> </w:t>
      </w:r>
      <w:r w:rsidR="004854CF">
        <w:t xml:space="preserve">showed that in 2007, </w:t>
      </w:r>
      <w:r w:rsidR="00B20D61">
        <w:t>24 per cent of European firms holding patents were willing to license</w:t>
      </w:r>
      <w:r w:rsidR="002E381E">
        <w:t xml:space="preserve"> them</w:t>
      </w:r>
      <w:r w:rsidR="00B20D61">
        <w:t xml:space="preserve">, but could not, while the corresponding </w:t>
      </w:r>
      <w:r w:rsidR="00D4593C">
        <w:t>share</w:t>
      </w:r>
      <w:r w:rsidR="00B20D61">
        <w:t xml:space="preserve"> for Japanese firms was 53 per cent. A quarter of European firms cited difficulty in finding partners as thei</w:t>
      </w:r>
      <w:r w:rsidR="00C16160">
        <w:t xml:space="preserve">r main reason for not licensing </w:t>
      </w:r>
      <w:r w:rsidR="00B20D61">
        <w:t xml:space="preserve">out, and 18 per cent of Japanese companies regarded this as an important </w:t>
      </w:r>
      <w:r w:rsidR="00DC12AA">
        <w:t>barrier</w:t>
      </w:r>
      <w:r w:rsidR="00B20D61">
        <w:t>. Other reasons cited included the complexity and cost of drafting and negotiating contracts, lack of readiness of the innovation covered by the patent, and disagreements over pricing.</w:t>
      </w:r>
    </w:p>
    <w:p w:rsidR="00213FC1" w:rsidRDefault="00C91247" w:rsidP="00B20D61">
      <w:pPr>
        <w:pStyle w:val="BodyText"/>
      </w:pPr>
      <w:r>
        <w:t xml:space="preserve">Further research </w:t>
      </w:r>
      <w:r w:rsidR="003170A4">
        <w:t xml:space="preserve">is required on the impediments </w:t>
      </w:r>
      <w:r w:rsidR="00741A14">
        <w:t>that patent owners face in licensing their inventions</w:t>
      </w:r>
      <w:r w:rsidR="00063AA8">
        <w:t>. This is beyond the scope of the</w:t>
      </w:r>
      <w:r w:rsidR="00741A14">
        <w:t xml:space="preserve"> inquiry. </w:t>
      </w:r>
      <w:r w:rsidR="00063AA8">
        <w:t>P</w:t>
      </w:r>
      <w:r w:rsidR="007274BE">
        <w:t xml:space="preserve">otential barriers </w:t>
      </w:r>
      <w:r w:rsidR="00233CB7">
        <w:t>discussed</w:t>
      </w:r>
      <w:r w:rsidR="00824F64">
        <w:t xml:space="preserve"> </w:t>
      </w:r>
      <w:r w:rsidR="007274BE">
        <w:t xml:space="preserve">in the literature </w:t>
      </w:r>
      <w:r w:rsidR="007E6699">
        <w:t>include difficulties</w:t>
      </w:r>
      <w:r w:rsidR="00C329D4">
        <w:t xml:space="preserve"> in</w:t>
      </w:r>
      <w:r w:rsidR="007E6699">
        <w:t xml:space="preserve"> </w:t>
      </w:r>
      <w:r w:rsidR="00F42E9A">
        <w:t>identifying</w:t>
      </w:r>
      <w:r w:rsidR="00C329D4">
        <w:t xml:space="preserve"> licensing</w:t>
      </w:r>
      <w:r w:rsidR="00F42E9A">
        <w:t xml:space="preserve"> p</w:t>
      </w:r>
      <w:r w:rsidR="00C329D4">
        <w:t>artners; the</w:t>
      </w:r>
      <w:r w:rsidR="00F42E9A">
        <w:t xml:space="preserve"> cost and complexity of drafting and negotiating</w:t>
      </w:r>
      <w:r w:rsidR="00646D1F">
        <w:t xml:space="preserve"> licence contracts; an invention not being a </w:t>
      </w:r>
      <w:r w:rsidR="00646D1F">
        <w:lastRenderedPageBreak/>
        <w:t>viable</w:t>
      </w:r>
      <w:r w:rsidR="00F42E9A">
        <w:t xml:space="preserve"> commercial</w:t>
      </w:r>
      <w:r w:rsidR="00646D1F">
        <w:t xml:space="preserve"> proposition</w:t>
      </w:r>
      <w:r w:rsidR="00F42E9A">
        <w:t xml:space="preserve">, and concerns about </w:t>
      </w:r>
      <w:r w:rsidR="00646D1F">
        <w:t>reputational damage if the licensee implements an invention poorly or discloses commercially sensitive information</w:t>
      </w:r>
      <w:r w:rsidR="00F42E9A">
        <w:t xml:space="preserve">. </w:t>
      </w:r>
      <w:r w:rsidR="0005296A">
        <w:t>Compulsory licensing is not a solution to these problems.</w:t>
      </w:r>
    </w:p>
    <w:p w:rsidR="006646ED" w:rsidRDefault="00614D76" w:rsidP="006646ED">
      <w:pPr>
        <w:pStyle w:val="Heading2"/>
      </w:pPr>
      <w:r>
        <w:fldChar w:fldCharType="begin"/>
      </w:r>
      <w:r>
        <w:instrText xml:space="preserve"> COMMENTS  \* MERGEFORMAT </w:instrText>
      </w:r>
      <w:r>
        <w:fldChar w:fldCharType="separate"/>
      </w:r>
      <w:r w:rsidR="006646ED">
        <w:t>4.</w:t>
      </w:r>
      <w:r>
        <w:fldChar w:fldCharType="end"/>
      </w:r>
      <w:r>
        <w:fldChar w:fldCharType="begin"/>
      </w:r>
      <w:r>
        <w:instrText xml:space="preserve"> SEQ Heading2 </w:instrText>
      </w:r>
      <w:r>
        <w:fldChar w:fldCharType="separate"/>
      </w:r>
      <w:r>
        <w:rPr>
          <w:noProof/>
        </w:rPr>
        <w:t>5</w:t>
      </w:r>
      <w:r>
        <w:rPr>
          <w:noProof/>
        </w:rPr>
        <w:fldChar w:fldCharType="end"/>
      </w:r>
      <w:r w:rsidR="006646ED">
        <w:tab/>
        <w:t>Patent thickets, pools and clearinghouses</w:t>
      </w:r>
    </w:p>
    <w:p w:rsidR="007F4B04" w:rsidRDefault="00D75FD6" w:rsidP="007F4B04">
      <w:pPr>
        <w:pStyle w:val="BodyText"/>
      </w:pPr>
      <w:r>
        <w:t xml:space="preserve">While patents provide a means to </w:t>
      </w:r>
      <w:r w:rsidR="006A680F">
        <w:t xml:space="preserve">foster innovation by conferring exclusive rights for an innovation on a patent owner, </w:t>
      </w:r>
      <w:r w:rsidR="0094494E">
        <w:t xml:space="preserve">they may also create difficulties </w:t>
      </w:r>
      <w:r w:rsidR="00A7103E">
        <w:t>accessing those innovations</w:t>
      </w:r>
      <w:r w:rsidR="0094494E">
        <w:t xml:space="preserve">. </w:t>
      </w:r>
      <w:r w:rsidR="00A7103E">
        <w:t>Where the users of patented innovations have to negotiate multiple licen</w:t>
      </w:r>
      <w:r w:rsidR="003F5810">
        <w:t xml:space="preserve">ces </w:t>
      </w:r>
      <w:r w:rsidR="00A7103E">
        <w:t>in order to gain access</w:t>
      </w:r>
      <w:r w:rsidR="003F5810">
        <w:t xml:space="preserve"> to technology</w:t>
      </w:r>
      <w:r w:rsidR="00A7103E">
        <w:t xml:space="preserve">, they may face a multitude of overlapping patent rights, referred to as a ‘patent thicket’. </w:t>
      </w:r>
      <w:r w:rsidR="000E2B17">
        <w:t xml:space="preserve">Patent pools and clearinghouses have emerged internationally as potential </w:t>
      </w:r>
      <w:r w:rsidR="000506DF">
        <w:t>mechanisms to obviate thickets.</w:t>
      </w:r>
      <w:r w:rsidR="00C92C40">
        <w:t xml:space="preserve"> </w:t>
      </w:r>
      <w:r w:rsidR="000506DF">
        <w:t>However,</w:t>
      </w:r>
      <w:r w:rsidR="006832E6">
        <w:t xml:space="preserve"> competition laws are necessary to ensure that pools are not used to stifle competition.</w:t>
      </w:r>
      <w:r w:rsidR="00D0372C">
        <w:t xml:space="preserve"> A number of other mechanisms that </w:t>
      </w:r>
      <w:r w:rsidR="00464FCA">
        <w:t>are</w:t>
      </w:r>
      <w:r w:rsidR="00D0372C">
        <w:t xml:space="preserve"> used to access patented innovations, such as </w:t>
      </w:r>
      <w:r w:rsidR="00D17B39">
        <w:t>voluntary licences of right, are discussed in chapter 9.</w:t>
      </w:r>
    </w:p>
    <w:p w:rsidR="006646ED" w:rsidRPr="00BB3AE8" w:rsidRDefault="006646ED" w:rsidP="00C30BF7">
      <w:pPr>
        <w:pStyle w:val="Heading3"/>
      </w:pPr>
      <w:r>
        <w:t>Patent ‘thickets’</w:t>
      </w:r>
    </w:p>
    <w:p w:rsidR="006646ED" w:rsidRDefault="006646ED" w:rsidP="006646ED">
      <w:pPr>
        <w:pStyle w:val="BodyText"/>
      </w:pPr>
      <w:r>
        <w:t>It is not unusual for complex products like mobile phones to use multiple patented inventions, many of which have to be used under licence (chapter 5). The more licen</w:t>
      </w:r>
      <w:r w:rsidR="00B42981">
        <w:t>c</w:t>
      </w:r>
      <w:r>
        <w:t>es a firm has to negotiate with patent holders, the more costly developing their own product may become. Firms also need to be more aware of patents and ensure they do not inadvertently infringe them, leading to higher search costs (Aoki and Schiff 2008).</w:t>
      </w:r>
    </w:p>
    <w:p w:rsidR="006646ED" w:rsidRDefault="00505AD2" w:rsidP="006646ED">
      <w:pPr>
        <w:pStyle w:val="BodyText"/>
        <w:rPr>
          <w:szCs w:val="26"/>
        </w:rPr>
      </w:pPr>
      <w:r>
        <w:t>T</w:t>
      </w:r>
      <w:r w:rsidR="006646ED">
        <w:t xml:space="preserve">his </w:t>
      </w:r>
      <w:r>
        <w:t>can lead to</w:t>
      </w:r>
      <w:r w:rsidR="006646ED">
        <w:t xml:space="preserve"> the potential problem of ‘patent thick</w:t>
      </w:r>
      <w:r w:rsidR="00867CC9">
        <w:t xml:space="preserve">ets’. Shapiro (2001) defined a </w:t>
      </w:r>
      <w:r w:rsidR="006646ED">
        <w:t>pa</w:t>
      </w:r>
      <w:r w:rsidR="00867CC9">
        <w:t>tent thicket</w:t>
      </w:r>
      <w:r w:rsidR="006646ED">
        <w:t xml:space="preserve"> as an overlapping set of patent rights requiring those seeking to commercialise new technology to first obtain numerous licen</w:t>
      </w:r>
      <w:r w:rsidR="00114E83">
        <w:t>c</w:t>
      </w:r>
      <w:r w:rsidR="006646ED">
        <w:t xml:space="preserve">es from multiple patentees. </w:t>
      </w:r>
      <w:r w:rsidR="006646ED">
        <w:rPr>
          <w:szCs w:val="26"/>
        </w:rPr>
        <w:t>The patents requ</w:t>
      </w:r>
      <w:r w:rsidR="000E0E31">
        <w:rPr>
          <w:szCs w:val="26"/>
        </w:rPr>
        <w:t xml:space="preserve">ired to produce a good </w:t>
      </w:r>
      <w:r w:rsidR="006646ED">
        <w:rPr>
          <w:szCs w:val="26"/>
        </w:rPr>
        <w:t>can be numerous and the cost of negotiating with all patentees raises the eventual price for both producers and consumers.</w:t>
      </w:r>
    </w:p>
    <w:p w:rsidR="00CA3349" w:rsidRDefault="006646ED" w:rsidP="006646ED">
      <w:pPr>
        <w:pStyle w:val="BodyText"/>
      </w:pPr>
      <w:r>
        <w:rPr>
          <w:szCs w:val="26"/>
        </w:rPr>
        <w:t>The market power inherent in each patent owner’s right can lead to those holders extracting a high licence fee in exchange for use of the patent. If each of the multiple patent owners chooses to extract a high price, the required licence fees could limit the profit potential for the product or, in the extreme, make the product commercially unviable. In economics, Cournot labelled this as the ‘complements problem’ (Shapiro 2001). In the field of licensing, this phenomenon is often referred to as the ‘royalty stacking’ problem (Browning and Mulhern 2009).</w:t>
      </w:r>
      <w:r w:rsidR="00A85349" w:rsidRPr="00A85349">
        <w:t xml:space="preserve"> </w:t>
      </w:r>
      <w:r w:rsidR="00A85349">
        <w:t xml:space="preserve">Related to this is the ‘tragedy of the anti-commons’, which refers to a situation whereby a resource </w:t>
      </w:r>
      <w:r w:rsidR="00A85349">
        <w:lastRenderedPageBreak/>
        <w:t>is underutilised because of a failure of the owners of IP to coordinate access to required technology (box 4.2).</w:t>
      </w:r>
    </w:p>
    <w:p w:rsidR="00A85349" w:rsidRDefault="00A8534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85349">
        <w:tc>
          <w:tcPr>
            <w:tcW w:w="8771" w:type="dxa"/>
            <w:tcBorders>
              <w:top w:val="single" w:sz="6" w:space="0" w:color="auto"/>
              <w:bottom w:val="nil"/>
            </w:tcBorders>
          </w:tcPr>
          <w:p w:rsidR="00A85349" w:rsidRDefault="00A85349" w:rsidP="00A85349">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4.</w:t>
            </w:r>
            <w:r>
              <w:rPr>
                <w:b w:val="0"/>
              </w:rPr>
              <w:fldChar w:fldCharType="end"/>
            </w:r>
            <w:r>
              <w:rPr>
                <w:b w:val="0"/>
              </w:rPr>
              <w:fldChar w:fldCharType="begin"/>
            </w:r>
            <w:r>
              <w:rPr>
                <w:b w:val="0"/>
              </w:rPr>
              <w:instrText xml:space="preserve"> SEQ Box \* ARABIC </w:instrText>
            </w:r>
            <w:r>
              <w:rPr>
                <w:b w:val="0"/>
              </w:rPr>
              <w:fldChar w:fldCharType="separate"/>
            </w:r>
            <w:r w:rsidR="00614D76">
              <w:rPr>
                <w:b w:val="0"/>
                <w:noProof/>
              </w:rPr>
              <w:t>2</w:t>
            </w:r>
            <w:r>
              <w:rPr>
                <w:b w:val="0"/>
              </w:rPr>
              <w:fldChar w:fldCharType="end"/>
            </w:r>
            <w:r>
              <w:tab/>
              <w:t>The tragedy of the anti-commons</w:t>
            </w:r>
          </w:p>
        </w:tc>
      </w:tr>
      <w:tr w:rsidR="00A85349">
        <w:trPr>
          <w:cantSplit/>
        </w:trPr>
        <w:tc>
          <w:tcPr>
            <w:tcW w:w="8771" w:type="dxa"/>
            <w:tcBorders>
              <w:top w:val="nil"/>
              <w:left w:val="single" w:sz="6" w:space="0" w:color="auto"/>
              <w:bottom w:val="nil"/>
              <w:right w:val="single" w:sz="6" w:space="0" w:color="auto"/>
            </w:tcBorders>
          </w:tcPr>
          <w:p w:rsidR="00590B15" w:rsidRDefault="00342CBB">
            <w:pPr>
              <w:pStyle w:val="Box"/>
            </w:pPr>
            <w:r>
              <w:t>To demonstrate the concept of the tragedy of the anti-commons, s</w:t>
            </w:r>
            <w:r w:rsidR="00A85349">
              <w:t>uppose that there are two complementary technologies, A and B, required to produce another technology, C, and that the producers of C must pay royalties to the owners of the patents for</w:t>
            </w:r>
            <w:r w:rsidR="006235CB">
              <w:t xml:space="preserve"> access to</w:t>
            </w:r>
            <w:r w:rsidR="002F090F">
              <w:t xml:space="preserve"> their technologies</w:t>
            </w:r>
            <w:r w:rsidR="00A85349">
              <w:t xml:space="preserve">. If the required royalty for use of technology A were to be increased, the costs of producing technology C would rise, leading to a decrease in the quantity of technology C produced. One effect of this would be to reduce the royalties received by the owner of the patent for technology B. Hence, the decision to raise the royalty rate on technology A imposes a cost on the owner of technology B and fails to maximise joint royalty revenues for the </w:t>
            </w:r>
            <w:r w:rsidR="00E41433">
              <w:t>owners of technologies A and B.</w:t>
            </w:r>
            <w:r w:rsidR="00590B15">
              <w:t xml:space="preserve"> </w:t>
            </w:r>
            <w:r w:rsidR="00A85349">
              <w:t xml:space="preserve">As a result, the production, and hence, utilisation, of technology C is less than optimal. </w:t>
            </w:r>
          </w:p>
          <w:p w:rsidR="00590B15" w:rsidRDefault="00590B15">
            <w:pPr>
              <w:pStyle w:val="Box"/>
            </w:pPr>
            <w:r>
              <w:t xml:space="preserve">If, instead, </w:t>
            </w:r>
            <w:r w:rsidR="00F9736F">
              <w:t xml:space="preserve">royalties were set by patent holders A and B in conjunction, the imposition of bilateral costs through reduced use of technology could be avoided. </w:t>
            </w:r>
            <w:r w:rsidR="002F05F6">
              <w:t>The royalty per unit of C produced would be lower than if either patent holder A or B indepen</w:t>
            </w:r>
            <w:r w:rsidR="002F5B0E">
              <w:t xml:space="preserve">dently determined royalty rates, but joint royalty revenues would be greater. </w:t>
            </w:r>
            <w:r w:rsidR="00A14EE0">
              <w:t>Accordingly, the price of technology C would be lowered, thus benefitting its consumers.</w:t>
            </w:r>
          </w:p>
          <w:p w:rsidR="00A85349" w:rsidRDefault="00A85349" w:rsidP="00DE28B8">
            <w:pPr>
              <w:pStyle w:val="Box"/>
            </w:pPr>
            <w:r>
              <w:t>The greater the number of technologies required as inputs for production, the more severe the problem of obtaining required access may become, thus exacerbating the tragedy of the anti-</w:t>
            </w:r>
            <w:r w:rsidR="00A14EE0">
              <w:t>commons</w:t>
            </w:r>
            <w:r>
              <w:t>.</w:t>
            </w:r>
            <w:r w:rsidR="00A14EE0">
              <w:t xml:space="preserve"> </w:t>
            </w:r>
            <w:r w:rsidR="00DE28B8">
              <w:t>Although cooperation between patent holders to avoid the tragedy of the anti-commons might be desirable in the case of complementary technologies, cooperative determination of royalties for substitutable technologies is</w:t>
            </w:r>
            <w:r w:rsidR="006D1384">
              <w:t xml:space="preserve"> </w:t>
            </w:r>
            <w:r w:rsidR="00DE28B8">
              <w:t>likely to undermine competition and reduce access to technology.</w:t>
            </w:r>
          </w:p>
        </w:tc>
      </w:tr>
      <w:tr w:rsidR="00A85349">
        <w:trPr>
          <w:cantSplit/>
        </w:trPr>
        <w:tc>
          <w:tcPr>
            <w:tcW w:w="8771" w:type="dxa"/>
            <w:tcBorders>
              <w:top w:val="nil"/>
              <w:left w:val="single" w:sz="6" w:space="0" w:color="auto"/>
              <w:bottom w:val="nil"/>
              <w:right w:val="single" w:sz="6" w:space="0" w:color="auto"/>
            </w:tcBorders>
          </w:tcPr>
          <w:p w:rsidR="00A85349" w:rsidRDefault="00A85349">
            <w:pPr>
              <w:pStyle w:val="BoxSource"/>
            </w:pPr>
            <w:r>
              <w:rPr>
                <w:i/>
              </w:rPr>
              <w:t>Sources</w:t>
            </w:r>
            <w:r w:rsidRPr="00167F06">
              <w:t xml:space="preserve">: </w:t>
            </w:r>
            <w:r>
              <w:t>Aoki and Schiff (2008); Buchanan and Yoon (2000).</w:t>
            </w:r>
          </w:p>
        </w:tc>
      </w:tr>
      <w:tr w:rsidR="00A85349">
        <w:trPr>
          <w:cantSplit/>
        </w:trPr>
        <w:tc>
          <w:tcPr>
            <w:tcW w:w="8771" w:type="dxa"/>
            <w:tcBorders>
              <w:top w:val="nil"/>
              <w:left w:val="single" w:sz="6" w:space="0" w:color="auto"/>
              <w:bottom w:val="single" w:sz="6" w:space="0" w:color="auto"/>
              <w:right w:val="single" w:sz="6" w:space="0" w:color="auto"/>
            </w:tcBorders>
          </w:tcPr>
          <w:p w:rsidR="00A85349" w:rsidRDefault="00A85349">
            <w:pPr>
              <w:pStyle w:val="Box"/>
              <w:spacing w:before="0" w:line="120" w:lineRule="exact"/>
            </w:pPr>
          </w:p>
        </w:tc>
      </w:tr>
      <w:tr w:rsidR="00A85349" w:rsidRPr="000863A5">
        <w:tc>
          <w:tcPr>
            <w:tcW w:w="8771" w:type="dxa"/>
            <w:tcBorders>
              <w:top w:val="nil"/>
              <w:left w:val="nil"/>
              <w:bottom w:val="nil"/>
              <w:right w:val="nil"/>
            </w:tcBorders>
          </w:tcPr>
          <w:p w:rsidR="00A85349" w:rsidRPr="000863A5" w:rsidRDefault="00A85349" w:rsidP="008C77F5">
            <w:pPr>
              <w:pStyle w:val="Box"/>
              <w:keepNext w:val="0"/>
              <w:spacing w:before="60" w:after="60" w:line="80" w:lineRule="exact"/>
              <w:rPr>
                <w:b/>
                <w:sz w:val="14"/>
              </w:rPr>
            </w:pPr>
          </w:p>
        </w:tc>
      </w:tr>
    </w:tbl>
    <w:p w:rsidR="00CA3349" w:rsidRDefault="00CA3349" w:rsidP="00CA3349">
      <w:pPr>
        <w:pStyle w:val="BodyText"/>
      </w:pPr>
      <w:r>
        <w:t>Some indication of the potential importance of patent thickets is given by the RIETI-Georgia Tech survey. For both the Japanese and US organisations surveyed, only around 20 per cent of patents could be used on a stand-alone basis. Most commonly, a bundle of two to five patents was found to be required for commercialisation of an innovation protected by a patent in both Japan (where about 44 per cent of patents required such a bundle) and the U</w:t>
      </w:r>
      <w:r w:rsidR="00B36AAF">
        <w:t xml:space="preserve">nited </w:t>
      </w:r>
      <w:r>
        <w:t>S</w:t>
      </w:r>
      <w:r w:rsidR="00B36AAF">
        <w:t>tates</w:t>
      </w:r>
      <w:r>
        <w:t xml:space="preserve"> (where approximately 47 per cent of patents</w:t>
      </w:r>
      <w:r w:rsidR="00D831F4">
        <w:t xml:space="preserve"> </w:t>
      </w:r>
      <w:r>
        <w:t>required</w:t>
      </w:r>
      <w:r w:rsidR="00803093">
        <w:t xml:space="preserve"> a bundle of two to five patents for commercialisation</w:t>
      </w:r>
      <w:r>
        <w:t xml:space="preserve">). Furthermore, in both countries, about 30 per cent of patented innovations required access to between </w:t>
      </w:r>
      <w:r w:rsidR="00D831F4">
        <w:t>6</w:t>
      </w:r>
      <w:r>
        <w:t xml:space="preserve"> and 50 further patents for commercialisation (Sadao and Walsh 2009).</w:t>
      </w:r>
    </w:p>
    <w:p w:rsidR="00CA3349" w:rsidRPr="00CA3349" w:rsidRDefault="00CA3349" w:rsidP="00CA3349">
      <w:pPr>
        <w:spacing w:before="240" w:line="320" w:lineRule="atLeast"/>
        <w:jc w:val="both"/>
        <w:rPr>
          <w:szCs w:val="26"/>
        </w:rPr>
      </w:pPr>
      <w:r>
        <w:t xml:space="preserve">Another potential problem with multiple patents is that of patent ‘hold-up’. </w:t>
      </w:r>
      <w:r>
        <w:rPr>
          <w:szCs w:val="26"/>
        </w:rPr>
        <w:t xml:space="preserve">Hold-up can occur when one firm has invested considerably to develop a specific product </w:t>
      </w:r>
      <w:r>
        <w:rPr>
          <w:szCs w:val="26"/>
        </w:rPr>
        <w:lastRenderedPageBreak/>
        <w:t xml:space="preserve">and bring it to market, only to find out at a late stage of development, or once the product has launched, that another firm owns intellectual property rights over aspects of the product. In such a situation, the resultant negotiations can cause lengthy delays and higher costs for the firm seeking the licence (Browning and Mulhern 2009). This can undermine competition, with consumers </w:t>
      </w:r>
      <w:r w:rsidR="00D8242C">
        <w:rPr>
          <w:szCs w:val="26"/>
        </w:rPr>
        <w:t>facing</w:t>
      </w:r>
      <w:r>
        <w:rPr>
          <w:szCs w:val="26"/>
        </w:rPr>
        <w:t xml:space="preserve"> fewer choices and higher prices.</w:t>
      </w:r>
    </w:p>
    <w:p w:rsidR="006646ED" w:rsidRDefault="006646ED" w:rsidP="00B44C1F">
      <w:pPr>
        <w:pStyle w:val="Heading3"/>
      </w:pPr>
      <w:r>
        <w:t>Patent pools</w:t>
      </w:r>
    </w:p>
    <w:p w:rsidR="006646ED" w:rsidRDefault="006646ED" w:rsidP="006646ED">
      <w:pPr>
        <w:pStyle w:val="BodyText"/>
      </w:pPr>
      <w:r>
        <w:t>A number of private licensing access mechanisms have arisen to obviate potential problems that may result from multiple patents. Cross licensing</w:t>
      </w:r>
      <w:r w:rsidR="00034D17">
        <w:t xml:space="preserve"> is one such mechanism. A cross-</w:t>
      </w:r>
      <w:r>
        <w:t>licensing agreement between two firms gives the firms the right to access each other’s patents.</w:t>
      </w:r>
    </w:p>
    <w:p w:rsidR="006646ED" w:rsidRDefault="006646ED" w:rsidP="006646ED">
      <w:pPr>
        <w:pStyle w:val="BodyText"/>
      </w:pPr>
      <w:r>
        <w:t>Patent pools are another cooperative mechanism used by firms to enable greater access to patented technologies and other products. A patent pool essentially constitutes a package licen</w:t>
      </w:r>
      <w:r w:rsidR="00705C08">
        <w:t>c</w:t>
      </w:r>
      <w:r>
        <w:t>e for a number of patents. Patent pools are agreements between two or more patent owners to licen</w:t>
      </w:r>
      <w:r w:rsidR="00B72425">
        <w:t>s</w:t>
      </w:r>
      <w:r>
        <w:t xml:space="preserve">e </w:t>
      </w:r>
      <w:r w:rsidRPr="00EE658C">
        <w:t>one or more of their patents to one anoth</w:t>
      </w:r>
      <w:r>
        <w:t>er, or to bundle patents and</w:t>
      </w:r>
      <w:r w:rsidRPr="00EE658C">
        <w:t xml:space="preserve"> licen</w:t>
      </w:r>
      <w:r w:rsidR="00B72425">
        <w:t>s</w:t>
      </w:r>
      <w:r w:rsidRPr="00EE658C">
        <w:t xml:space="preserve">e them as a package to third parties </w:t>
      </w:r>
      <w:r>
        <w:t xml:space="preserve">who are </w:t>
      </w:r>
      <w:r w:rsidRPr="00EE658C">
        <w:t>willing to pay the royalties.</w:t>
      </w:r>
      <w:r>
        <w:t xml:space="preserve"> Licensees may also include the patent holders themselves. The po</w:t>
      </w:r>
      <w:r w:rsidR="00B72425">
        <w:t>ol may be administered by</w:t>
      </w:r>
      <w:r>
        <w:t xml:space="preserve"> one or more of the members of the pool, acting on behalf of all of the </w:t>
      </w:r>
      <w:r w:rsidR="00933410">
        <w:t>other members, or alternatively</w:t>
      </w:r>
      <w:r w:rsidR="00A44C32">
        <w:t>,</w:t>
      </w:r>
      <w:r>
        <w:t xml:space="preserve"> it might be administered by a management organisation (Aoki and Schiff 2008).</w:t>
      </w:r>
    </w:p>
    <w:p w:rsidR="006646ED" w:rsidRDefault="006646ED" w:rsidP="006646ED">
      <w:pPr>
        <w:pStyle w:val="BodyText"/>
      </w:pPr>
      <w:r>
        <w:t>Potential benefits associ</w:t>
      </w:r>
      <w:r w:rsidR="000209BE">
        <w:t>ated with patent pools include:</w:t>
      </w:r>
    </w:p>
    <w:p w:rsidR="006646ED" w:rsidRPr="008E1CEB" w:rsidRDefault="006646ED" w:rsidP="006646ED">
      <w:pPr>
        <w:pStyle w:val="ListBullet"/>
      </w:pPr>
      <w:r w:rsidRPr="008E1CEB">
        <w:t>lower</w:t>
      </w:r>
      <w:r>
        <w:t>ing</w:t>
      </w:r>
      <w:r w:rsidRPr="008E1CEB">
        <w:t xml:space="preserve"> the search and transaction costs of licensing by providing a one-stop shop for businesses to obtain the necessary licences required to develop a particular technology, therefore overcoming problems caused by ‘blocking’ and ‘stacking’ licen</w:t>
      </w:r>
      <w:r w:rsidR="00114E83">
        <w:t>c</w:t>
      </w:r>
      <w:r w:rsidRPr="008E1CEB">
        <w:t>es</w:t>
      </w:r>
    </w:p>
    <w:p w:rsidR="006646ED" w:rsidRPr="008E1CEB" w:rsidRDefault="006646ED" w:rsidP="006646ED">
      <w:pPr>
        <w:pStyle w:val="ListBullet"/>
      </w:pPr>
      <w:r>
        <w:t>reducing or eliminating</w:t>
      </w:r>
      <w:r w:rsidRPr="008E1CEB">
        <w:t xml:space="preserve"> the need for litigation over patent rights</w:t>
      </w:r>
    </w:p>
    <w:p w:rsidR="006646ED" w:rsidRPr="008E1CEB" w:rsidRDefault="006646ED" w:rsidP="006646ED">
      <w:pPr>
        <w:pStyle w:val="ListBullet"/>
      </w:pPr>
      <w:r>
        <w:t>facilitating</w:t>
      </w:r>
      <w:r w:rsidRPr="008E1CEB">
        <w:t xml:space="preserve"> risk sharing among members associated with research and development</w:t>
      </w:r>
    </w:p>
    <w:p w:rsidR="006646ED" w:rsidRPr="008E1CEB" w:rsidRDefault="006646ED" w:rsidP="006646ED">
      <w:pPr>
        <w:pStyle w:val="ListBullet"/>
      </w:pPr>
      <w:r w:rsidRPr="008E1CEB">
        <w:t>allow</w:t>
      </w:r>
      <w:r>
        <w:t>ing</w:t>
      </w:r>
      <w:r w:rsidRPr="008E1CEB">
        <w:t xml:space="preserve"> for free sharing of information related to patented technology among member</w:t>
      </w:r>
      <w:r w:rsidR="00ED1603">
        <w:t>s</w:t>
      </w:r>
      <w:r w:rsidRPr="008E1CEB">
        <w:t xml:space="preserve"> and licensees, where members have incentives to avoid overlapping efforts in areas of innovative effort, especially in the f</w:t>
      </w:r>
      <w:r>
        <w:t xml:space="preserve">ield of biotechnology (Clark et </w:t>
      </w:r>
      <w:r w:rsidRPr="008E1CEB">
        <w:t>al</w:t>
      </w:r>
      <w:r>
        <w:t>.</w:t>
      </w:r>
      <w:r w:rsidRPr="008E1CEB">
        <w:t xml:space="preserve"> 2000).</w:t>
      </w:r>
    </w:p>
    <w:p w:rsidR="006646ED" w:rsidRDefault="006646ED" w:rsidP="006646ED">
      <w:pPr>
        <w:pStyle w:val="BodyText"/>
        <w:ind w:left="45"/>
      </w:pPr>
      <w:r>
        <w:t>Aoki and Schiff (2008) argued that patent pools could enhance efficiency</w:t>
      </w:r>
      <w:r w:rsidR="00453FE0">
        <w:t>,</w:t>
      </w:r>
      <w:r w:rsidR="00825ABB">
        <w:t> </w:t>
      </w:r>
      <w:r>
        <w:t xml:space="preserve">provided that the patents within the pool cover complementary technologies and products, and hence, facilitate greater access to innovations. However, if the patents in the </w:t>
      </w:r>
      <w:r>
        <w:lastRenderedPageBreak/>
        <w:t xml:space="preserve">pool provide IP rights for technology and products that </w:t>
      </w:r>
      <w:r w:rsidR="00006FF0">
        <w:t xml:space="preserve">are substitutes, there is </w:t>
      </w:r>
      <w:r>
        <w:t xml:space="preserve">potential </w:t>
      </w:r>
      <w:r w:rsidR="00006FF0">
        <w:t>for</w:t>
      </w:r>
      <w:r>
        <w:t xml:space="preserve"> members of the patent pool </w:t>
      </w:r>
      <w:r w:rsidR="00006FF0">
        <w:t xml:space="preserve">to </w:t>
      </w:r>
      <w:r>
        <w:t xml:space="preserve">use </w:t>
      </w:r>
      <w:r w:rsidR="00006FF0">
        <w:t>it</w:t>
      </w:r>
      <w:r>
        <w:t xml:space="preserve"> as an instrument for collusion, to the detriment of those seeking access to patented innovations.</w:t>
      </w:r>
    </w:p>
    <w:p w:rsidR="006646ED" w:rsidRDefault="006646ED" w:rsidP="006646ED">
      <w:pPr>
        <w:pStyle w:val="BodyText"/>
      </w:pPr>
      <w:r>
        <w:t xml:space="preserve">Enforcement of competition law and selectivity in admitting patentees to the patent pool can help allay such concerns. </w:t>
      </w:r>
      <w:r w:rsidR="00B732AD">
        <w:t>A</w:t>
      </w:r>
      <w:r>
        <w:t xml:space="preserve">ntitrust guidelines on licensing of IP issued by </w:t>
      </w:r>
      <w:r w:rsidR="00453FE0">
        <w:t xml:space="preserve">the </w:t>
      </w:r>
      <w:r>
        <w:t>US Department of Justice</w:t>
      </w:r>
      <w:r w:rsidR="00B732AD">
        <w:t xml:space="preserve"> and the Federal Trade Commission</w:t>
      </w:r>
      <w:r>
        <w:t xml:space="preserve"> outline the circumstances where IP pooling may be procompe</w:t>
      </w:r>
      <w:r w:rsidR="00B732AD">
        <w:t>titive and anticompetitive (box </w:t>
      </w:r>
      <w:r>
        <w:t>4.</w:t>
      </w:r>
      <w:r w:rsidR="00827946">
        <w:t>3</w:t>
      </w:r>
      <w:r>
        <w:t xml:space="preserve">). However, it has been argued that US antitrust law and enforcement may play a counterproductive role where it opposes attempts </w:t>
      </w:r>
      <w:r w:rsidR="008537E3">
        <w:t xml:space="preserve">by </w:t>
      </w:r>
      <w:r>
        <w:t>patentees possessing complemen</w:t>
      </w:r>
      <w:r w:rsidRPr="008B128C">
        <w:t xml:space="preserve">tary and potentially </w:t>
      </w:r>
      <w:r>
        <w:t>blocking patents to coordinate practices</w:t>
      </w:r>
      <w:r w:rsidR="008537E3">
        <w:t>,</w:t>
      </w:r>
      <w:r>
        <w:t xml:space="preserve"> such as engaging in cross licensing, package licensing, or to form patent pools (Shapiro 2001).</w:t>
      </w:r>
    </w:p>
    <w:p w:rsidR="006646ED" w:rsidRDefault="006646ED" w:rsidP="006646E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46ED" w:rsidTr="006646ED">
        <w:tc>
          <w:tcPr>
            <w:tcW w:w="8771" w:type="dxa"/>
            <w:tcBorders>
              <w:top w:val="single" w:sz="6" w:space="0" w:color="auto"/>
              <w:bottom w:val="nil"/>
            </w:tcBorders>
          </w:tcPr>
          <w:p w:rsidR="006646ED" w:rsidRDefault="006646ED" w:rsidP="006646ED">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827946">
              <w:rPr>
                <w:b w:val="0"/>
              </w:rPr>
              <w:t>4.</w:t>
            </w:r>
            <w:r>
              <w:rPr>
                <w:b w:val="0"/>
              </w:rPr>
              <w:fldChar w:fldCharType="end"/>
            </w:r>
            <w:r>
              <w:rPr>
                <w:b w:val="0"/>
              </w:rPr>
              <w:fldChar w:fldCharType="begin"/>
            </w:r>
            <w:r>
              <w:rPr>
                <w:b w:val="0"/>
              </w:rPr>
              <w:instrText xml:space="preserve"> SEQ Box \* ARABIC </w:instrText>
            </w:r>
            <w:r>
              <w:rPr>
                <w:b w:val="0"/>
              </w:rPr>
              <w:fldChar w:fldCharType="separate"/>
            </w:r>
            <w:r w:rsidR="00614D76">
              <w:rPr>
                <w:b w:val="0"/>
                <w:noProof/>
              </w:rPr>
              <w:t>3</w:t>
            </w:r>
            <w:r>
              <w:rPr>
                <w:b w:val="0"/>
              </w:rPr>
              <w:fldChar w:fldCharType="end"/>
            </w:r>
            <w:r>
              <w:tab/>
              <w:t>US antitrust guidelines for IP pooling</w:t>
            </w:r>
          </w:p>
        </w:tc>
      </w:tr>
      <w:tr w:rsidR="006646ED" w:rsidTr="006646ED">
        <w:trPr>
          <w:cantSplit/>
        </w:trPr>
        <w:tc>
          <w:tcPr>
            <w:tcW w:w="8771" w:type="dxa"/>
            <w:tcBorders>
              <w:top w:val="nil"/>
              <w:left w:val="single" w:sz="6" w:space="0" w:color="auto"/>
              <w:bottom w:val="nil"/>
              <w:right w:val="single" w:sz="6" w:space="0" w:color="auto"/>
            </w:tcBorders>
          </w:tcPr>
          <w:p w:rsidR="006646ED" w:rsidRDefault="006646ED" w:rsidP="006646ED">
            <w:pPr>
              <w:pStyle w:val="Box"/>
            </w:pPr>
            <w:r>
              <w:t xml:space="preserve">According to the </w:t>
            </w:r>
            <w:r w:rsidRPr="00224BEB">
              <w:rPr>
                <w:i/>
              </w:rPr>
              <w:t>Antitrust Guidelines for the Licensing of Intellectual Property</w:t>
            </w:r>
            <w:r w:rsidR="00D31B13">
              <w:t xml:space="preserve"> issued by the US Department of Justice and the Federal Trade Commission,</w:t>
            </w:r>
            <w:r>
              <w:t xml:space="preserve"> </w:t>
            </w:r>
            <w:r w:rsidR="000D7394">
              <w:t>cross-</w:t>
            </w:r>
            <w:r w:rsidR="007932D8">
              <w:t>licensing and pooling arrangements can have procompetitive benefits</w:t>
            </w:r>
            <w:r>
              <w:t xml:space="preserve"> </w:t>
            </w:r>
            <w:r w:rsidR="007932D8">
              <w:t>where they</w:t>
            </w:r>
            <w:r>
              <w:t>:</w:t>
            </w:r>
          </w:p>
          <w:p w:rsidR="006646ED" w:rsidRDefault="007932D8" w:rsidP="006646ED">
            <w:pPr>
              <w:pStyle w:val="BoxListBullet"/>
            </w:pPr>
            <w:r>
              <w:t>integrate</w:t>
            </w:r>
            <w:r w:rsidR="006646ED">
              <w:t xml:space="preserve"> complementary technologies</w:t>
            </w:r>
          </w:p>
          <w:p w:rsidR="006646ED" w:rsidRDefault="007932D8" w:rsidP="006646ED">
            <w:pPr>
              <w:pStyle w:val="BoxListBullet"/>
            </w:pPr>
            <w:r>
              <w:t>reduce</w:t>
            </w:r>
            <w:r w:rsidR="006646ED">
              <w:t xml:space="preserve"> transaction costs</w:t>
            </w:r>
          </w:p>
          <w:p w:rsidR="006646ED" w:rsidRDefault="007932D8" w:rsidP="006646ED">
            <w:pPr>
              <w:pStyle w:val="BoxListBullet"/>
            </w:pPr>
            <w:r>
              <w:t>clear</w:t>
            </w:r>
            <w:r w:rsidR="006646ED">
              <w:t xml:space="preserve"> blocking positions</w:t>
            </w:r>
          </w:p>
          <w:p w:rsidR="006646ED" w:rsidRDefault="007932D8" w:rsidP="006646ED">
            <w:pPr>
              <w:pStyle w:val="BoxListBullet"/>
            </w:pPr>
            <w:r>
              <w:t>avoid</w:t>
            </w:r>
            <w:r w:rsidR="006646ED">
              <w:t xml:space="preserve"> costly infringement litigation</w:t>
            </w:r>
            <w:r>
              <w:t>.</w:t>
            </w:r>
          </w:p>
          <w:p w:rsidR="006646ED" w:rsidRDefault="00D257DE" w:rsidP="00D77D49">
            <w:pPr>
              <w:pStyle w:val="Box"/>
            </w:pPr>
            <w:r>
              <w:t>According to the</w:t>
            </w:r>
            <w:r w:rsidR="007C0A60">
              <w:t xml:space="preserve"> </w:t>
            </w:r>
            <w:r w:rsidR="000D7394">
              <w:t>guidelines</w:t>
            </w:r>
            <w:r>
              <w:t>,</w:t>
            </w:r>
            <w:r w:rsidR="007C0A60">
              <w:t xml:space="preserve"> </w:t>
            </w:r>
            <w:r>
              <w:t xml:space="preserve">exclusion from cross licensing and pooling </w:t>
            </w:r>
            <w:r w:rsidR="00D77D49">
              <w:t>among parties that collectively possess market power can result in anticompetitive effects where:</w:t>
            </w:r>
          </w:p>
          <w:p w:rsidR="00D77D49" w:rsidRDefault="004D45E4" w:rsidP="00D77D49">
            <w:pPr>
              <w:pStyle w:val="BoxListBullet"/>
            </w:pPr>
            <w:r>
              <w:t>excluded firms cannot effectively compete in the relevant market for the good incorporating the licensed technologies</w:t>
            </w:r>
          </w:p>
          <w:p w:rsidR="004D45E4" w:rsidRDefault="00E45FEF" w:rsidP="00D77D49">
            <w:pPr>
              <w:pStyle w:val="BoxListBullet"/>
            </w:pPr>
            <w:r>
              <w:t>the participants in the pool collectively possess market power in the relevant market</w:t>
            </w:r>
            <w:r w:rsidR="00B66BCB">
              <w:t>.</w:t>
            </w:r>
          </w:p>
          <w:p w:rsidR="00E45FEF" w:rsidRDefault="00B5502E" w:rsidP="00B4128B">
            <w:pPr>
              <w:pStyle w:val="Box"/>
            </w:pPr>
            <w:r>
              <w:t xml:space="preserve">If a pooling arrangement deters or discourages members from undertaking R&amp;D, the pool might be considered to have anticompetitive effects. </w:t>
            </w:r>
            <w:r w:rsidR="001567DB">
              <w:t>However, this is m</w:t>
            </w:r>
            <w:r w:rsidR="009042A0">
              <w:t xml:space="preserve">ore likely to be true when the pool includes members capable of undertaking a significant proportion of the R&amp;D in a market. </w:t>
            </w:r>
            <w:r w:rsidR="00117428">
              <w:t xml:space="preserve">There might be procompetitive benefits </w:t>
            </w:r>
            <w:r w:rsidR="006E037D">
              <w:t>if the exploitation of economies of scale is enabled and if the complementary capabilities of pool members are integrated.</w:t>
            </w:r>
          </w:p>
        </w:tc>
      </w:tr>
      <w:tr w:rsidR="006646ED" w:rsidTr="006646ED">
        <w:trPr>
          <w:cantSplit/>
        </w:trPr>
        <w:tc>
          <w:tcPr>
            <w:tcW w:w="8771" w:type="dxa"/>
            <w:tcBorders>
              <w:top w:val="nil"/>
              <w:left w:val="single" w:sz="6" w:space="0" w:color="auto"/>
              <w:bottom w:val="nil"/>
              <w:right w:val="single" w:sz="6" w:space="0" w:color="auto"/>
            </w:tcBorders>
          </w:tcPr>
          <w:p w:rsidR="006646ED" w:rsidRDefault="006646ED" w:rsidP="0037700C">
            <w:pPr>
              <w:pStyle w:val="BoxSource"/>
            </w:pPr>
            <w:r>
              <w:rPr>
                <w:i/>
              </w:rPr>
              <w:t>Source</w:t>
            </w:r>
            <w:r w:rsidRPr="00167F06">
              <w:t xml:space="preserve">: </w:t>
            </w:r>
            <w:r w:rsidR="00063215">
              <w:t xml:space="preserve">US </w:t>
            </w:r>
            <w:r w:rsidR="00255240">
              <w:t>Department of Justice and</w:t>
            </w:r>
            <w:r w:rsidR="0052275C">
              <w:t xml:space="preserve"> Federal Trade Commission (1995)</w:t>
            </w:r>
            <w:r>
              <w:t>.</w:t>
            </w:r>
          </w:p>
        </w:tc>
      </w:tr>
      <w:tr w:rsidR="006646ED" w:rsidTr="006646ED">
        <w:trPr>
          <w:cantSplit/>
        </w:trPr>
        <w:tc>
          <w:tcPr>
            <w:tcW w:w="8771" w:type="dxa"/>
            <w:tcBorders>
              <w:top w:val="nil"/>
              <w:left w:val="single" w:sz="6" w:space="0" w:color="auto"/>
              <w:bottom w:val="single" w:sz="6" w:space="0" w:color="auto"/>
              <w:right w:val="single" w:sz="6" w:space="0" w:color="auto"/>
            </w:tcBorders>
          </w:tcPr>
          <w:p w:rsidR="006646ED" w:rsidRDefault="006646ED" w:rsidP="006646ED">
            <w:pPr>
              <w:pStyle w:val="Box"/>
              <w:spacing w:before="0" w:line="120" w:lineRule="exact"/>
            </w:pPr>
          </w:p>
        </w:tc>
      </w:tr>
      <w:tr w:rsidR="006646ED" w:rsidRPr="000863A5" w:rsidTr="006646ED">
        <w:tc>
          <w:tcPr>
            <w:tcW w:w="8771" w:type="dxa"/>
            <w:tcBorders>
              <w:top w:val="nil"/>
              <w:left w:val="nil"/>
              <w:bottom w:val="nil"/>
              <w:right w:val="nil"/>
            </w:tcBorders>
          </w:tcPr>
          <w:p w:rsidR="006646ED" w:rsidRPr="000863A5" w:rsidRDefault="006646ED" w:rsidP="006646ED">
            <w:pPr>
              <w:pStyle w:val="Box"/>
              <w:keepNext w:val="0"/>
              <w:spacing w:before="60" w:after="60" w:line="80" w:lineRule="exact"/>
              <w:rPr>
                <w:b/>
                <w:sz w:val="14"/>
              </w:rPr>
            </w:pPr>
          </w:p>
        </w:tc>
      </w:tr>
    </w:tbl>
    <w:p w:rsidR="00CA3349" w:rsidRDefault="00CA3349" w:rsidP="006646ED">
      <w:pPr>
        <w:pStyle w:val="BodyText"/>
      </w:pPr>
      <w:r>
        <w:t xml:space="preserve">Patent pools may also be susceptible to problems with maintaining membership stability. Not all members of the pool may necessarily have the same objectives, which can make ongoing management of the pool difficult. For instance, some members of the pool might be research-only organisations, whereas other members </w:t>
      </w:r>
      <w:r>
        <w:lastRenderedPageBreak/>
        <w:t>are likely to be pr</w:t>
      </w:r>
      <w:r w:rsidR="008732F5">
        <w:t>ofit-maximising companies. The</w:t>
      </w:r>
      <w:r>
        <w:t xml:space="preserve"> </w:t>
      </w:r>
      <w:r w:rsidR="008732F5">
        <w:t>disparate motivations for the</w:t>
      </w:r>
      <w:r>
        <w:t xml:space="preserve"> </w:t>
      </w:r>
      <w:r w:rsidR="008732F5">
        <w:t>patenting activity may</w:t>
      </w:r>
      <w:r w:rsidR="00D85648">
        <w:t xml:space="preserve"> lead</w:t>
      </w:r>
      <w:r>
        <w:t xml:space="preserve"> to the possibility of ‘free riding’ and membership instability (Aoki and Schiff 2008).</w:t>
      </w:r>
    </w:p>
    <w:p w:rsidR="004701C9" w:rsidRDefault="006646ED" w:rsidP="006646ED">
      <w:pPr>
        <w:pStyle w:val="BodyText"/>
      </w:pPr>
      <w:r>
        <w:t>An additional concern raised in relation to patent pools is that they could potentially ‘shield’ ‘invalid’ patents</w:t>
      </w:r>
      <w:r w:rsidR="0038338F">
        <w:t>. T</w:t>
      </w:r>
      <w:r>
        <w:t>hose expecting their patents to be invalidated in court may have an incentive to settle by creating a patent pool. In turn, this may result in patent users and the public being forced to pay royalties on technology that would have become part of the public domain if the patents were actually litigated in court (Clark et al. 2000).</w:t>
      </w:r>
    </w:p>
    <w:p w:rsidR="00B97CE3" w:rsidRDefault="00B97CE3" w:rsidP="006646ED">
      <w:pPr>
        <w:pStyle w:val="BodyText"/>
      </w:pPr>
      <w:r>
        <w:t>Furthermore, Telstra Corporation Limited observed:</w:t>
      </w:r>
    </w:p>
    <w:p w:rsidR="00B97CE3" w:rsidRDefault="00F335D2" w:rsidP="00B97CE3">
      <w:pPr>
        <w:pStyle w:val="Quote"/>
      </w:pPr>
      <w:r>
        <w:t xml:space="preserve">Whilst patent pools sometimes address the patent thicket situation, patent pools do not always provide a solution. </w:t>
      </w:r>
      <w:r w:rsidR="00A3378B">
        <w:t xml:space="preserve">Participation in patent pools is voluntary and therefore dependent on industry co-operation. </w:t>
      </w:r>
      <w:r w:rsidR="00737BEC">
        <w:t>(sub. </w:t>
      </w:r>
      <w:r w:rsidR="000A2335">
        <w:t>8</w:t>
      </w:r>
      <w:r w:rsidR="00737BEC">
        <w:t>, p. 4)</w:t>
      </w:r>
    </w:p>
    <w:p w:rsidR="006646ED" w:rsidRDefault="006646ED" w:rsidP="006646ED">
      <w:pPr>
        <w:pStyle w:val="BodyText"/>
      </w:pPr>
      <w:r>
        <w:t>Patent pools are best suited to situations where complementary patents must be combined to produce a new product or innovation, and where there are common technological standards or the essential patents are easy to identify, as in information technology industries. Some</w:t>
      </w:r>
      <w:r w:rsidR="0038338F">
        <w:t xml:space="preserve"> overseas</w:t>
      </w:r>
      <w:r>
        <w:t xml:space="preserve"> examples of established patent pools include MPEG-2 (box 4.</w:t>
      </w:r>
      <w:r w:rsidR="00827946">
        <w:t>4</w:t>
      </w:r>
      <w:r>
        <w:t>) and</w:t>
      </w:r>
      <w:r w:rsidR="0038338F">
        <w:t xml:space="preserve"> the Medicines Patent Pool (box </w:t>
      </w:r>
      <w:r>
        <w:t>4.</w:t>
      </w:r>
      <w:r w:rsidR="00827946">
        <w:t>5</w:t>
      </w:r>
      <w:r>
        <w:t xml:space="preserve">). </w:t>
      </w:r>
      <w:r w:rsidR="0038338F">
        <w:t>N</w:t>
      </w:r>
      <w:r>
        <w:t>o patent pools</w:t>
      </w:r>
      <w:r w:rsidR="0038338F">
        <w:t xml:space="preserve"> are</w:t>
      </w:r>
      <w:r>
        <w:t xml:space="preserve"> recorded on the Australian Competition and Consumer Commission’s authorisation and notifications registers.</w:t>
      </w:r>
    </w:p>
    <w:p w:rsidR="00D85648" w:rsidRDefault="00196714" w:rsidP="006646ED">
      <w:pPr>
        <w:pStyle w:val="BodyText"/>
      </w:pPr>
      <w:r>
        <w:t>Patent pools have also been suggested by various organisations as useful mechanisms to deal with the specific problem of access and use of patented genes, diagnostic methods, technologies and tools that are used in genetics and biotechnology. Sung (2002) argued that genetic information represents an industry standard analogous to those in the electronics and telecommunications sector and that increasing patent protection in the sector should make cooperative market</w:t>
      </w:r>
      <w:r w:rsidR="00D85648">
        <w:noBreakHyphen/>
      </w:r>
      <w:r>
        <w:t xml:space="preserve">based technology transfer strategies through patent pools attractive to members of biotechnology industry, if not inevitable. </w:t>
      </w:r>
    </w:p>
    <w:p w:rsidR="00196714" w:rsidRDefault="00196714" w:rsidP="006646ED">
      <w:pPr>
        <w:pStyle w:val="BodyText"/>
      </w:pPr>
      <w:r>
        <w:t xml:space="preserve">Van Overwalle et al. (2006) suggested the creation of a </w:t>
      </w:r>
      <w:r w:rsidRPr="00C55B3E">
        <w:t>‘compulsory patent pool’</w:t>
      </w:r>
      <w:r>
        <w:t xml:space="preserve">, in which a </w:t>
      </w:r>
      <w:r w:rsidRPr="00C55B3E">
        <w:t>patent-pool en</w:t>
      </w:r>
      <w:r>
        <w:t xml:space="preserve">tity seeks a compulsory licence </w:t>
      </w:r>
      <w:r w:rsidRPr="00C55B3E">
        <w:t>from a patent ho</w:t>
      </w:r>
      <w:r>
        <w:t xml:space="preserve">lder of an essential technology </w:t>
      </w:r>
      <w:r w:rsidRPr="00C55B3E">
        <w:t>who doe</w:t>
      </w:r>
      <w:r>
        <w:t>s not voluntarily engage in the pool.</w:t>
      </w:r>
    </w:p>
    <w:p w:rsidR="006646ED" w:rsidRDefault="006646ED" w:rsidP="006646E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46ED" w:rsidTr="006646ED">
        <w:tc>
          <w:tcPr>
            <w:tcW w:w="8771" w:type="dxa"/>
            <w:tcBorders>
              <w:top w:val="single" w:sz="6" w:space="0" w:color="auto"/>
              <w:bottom w:val="nil"/>
            </w:tcBorders>
          </w:tcPr>
          <w:p w:rsidR="006646ED" w:rsidRDefault="006646ED" w:rsidP="006646ED">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827946">
              <w:rPr>
                <w:b w:val="0"/>
              </w:rPr>
              <w:t>4.</w:t>
            </w:r>
            <w:r>
              <w:rPr>
                <w:b w:val="0"/>
              </w:rPr>
              <w:fldChar w:fldCharType="end"/>
            </w:r>
            <w:r>
              <w:rPr>
                <w:b w:val="0"/>
              </w:rPr>
              <w:fldChar w:fldCharType="begin"/>
            </w:r>
            <w:r>
              <w:rPr>
                <w:b w:val="0"/>
              </w:rPr>
              <w:instrText xml:space="preserve"> SEQ Box \* ARABIC </w:instrText>
            </w:r>
            <w:r>
              <w:rPr>
                <w:b w:val="0"/>
              </w:rPr>
              <w:fldChar w:fldCharType="separate"/>
            </w:r>
            <w:r w:rsidR="00614D76">
              <w:rPr>
                <w:b w:val="0"/>
                <w:noProof/>
              </w:rPr>
              <w:t>4</w:t>
            </w:r>
            <w:r>
              <w:rPr>
                <w:b w:val="0"/>
              </w:rPr>
              <w:fldChar w:fldCharType="end"/>
            </w:r>
            <w:r>
              <w:tab/>
              <w:t>The MPEG-2 patent pool</w:t>
            </w:r>
          </w:p>
        </w:tc>
      </w:tr>
      <w:tr w:rsidR="006646ED" w:rsidTr="006646ED">
        <w:trPr>
          <w:cantSplit/>
        </w:trPr>
        <w:tc>
          <w:tcPr>
            <w:tcW w:w="8771" w:type="dxa"/>
            <w:tcBorders>
              <w:top w:val="nil"/>
              <w:left w:val="single" w:sz="6" w:space="0" w:color="auto"/>
              <w:bottom w:val="nil"/>
              <w:right w:val="single" w:sz="6" w:space="0" w:color="auto"/>
            </w:tcBorders>
          </w:tcPr>
          <w:p w:rsidR="006646ED" w:rsidRDefault="006646ED" w:rsidP="006646ED">
            <w:pPr>
              <w:pStyle w:val="Box"/>
            </w:pPr>
            <w:r>
              <w:t>MPEG-2 is a dig</w:t>
            </w:r>
            <w:r w:rsidR="002C2B83">
              <w:t>ital video compression standard</w:t>
            </w:r>
            <w:r>
              <w:t xml:space="preserve"> utilised in products such as DVDs. In 1990, a process to set a standard was initiated, and a working group was established in 1993 to develop a framework for licensing. Alternatives to a patent pool, including a clearinghouse were initially considered by the working group, before it finally settled on the former. The MPEG LA corporation was founded to deal with the licensing of MPEG-2 patents</w:t>
            </w:r>
            <w:r w:rsidR="00B02BFA">
              <w:t>. It</w:t>
            </w:r>
            <w:r>
              <w:t xml:space="preserve"> stated that:</w:t>
            </w:r>
          </w:p>
          <w:p w:rsidR="006646ED" w:rsidRDefault="006646ED" w:rsidP="006646ED">
            <w:pPr>
              <w:pStyle w:val="BoxQuote"/>
            </w:pPr>
            <w:r>
              <w:t>In th</w:t>
            </w:r>
            <w:r w:rsidR="0019559B">
              <w:t>e 1990s, the MPEG-2 standard … </w:t>
            </w:r>
            <w:r>
              <w:t>faced a patent thicket. The single biggest challenge to MPEG-2 adoption was access to essential patents. Many MPEG-2 patents owned by many parties made it virtually impossible for most users to negotiate the number of licenses necessary to use the standard (MPEG LA 2009).</w:t>
            </w:r>
          </w:p>
          <w:p w:rsidR="006646ED" w:rsidRDefault="006646ED" w:rsidP="006646ED">
            <w:pPr>
              <w:pStyle w:val="Box"/>
            </w:pPr>
            <w:r>
              <w:t xml:space="preserve">Forming the patent pool for MPEG-2 however, was not without difficulty. Encouraging companies to join the pool was complicated by the different incentives among members of the pool. For instance, Sony is a licensor and a licensee of MPEG-2 patents, and uses patents primarily as a means to protect its IP. By contrast, Columbia University was mainly focused on </w:t>
            </w:r>
            <w:r w:rsidR="00B02BFA">
              <w:t>maximising its</w:t>
            </w:r>
            <w:r>
              <w:t xml:space="preserve"> royalties. The heterogeneous incentives of those involved led to debate about the appropriate licensing rate to be charged to li</w:t>
            </w:r>
            <w:r w:rsidR="00D065B5">
              <w:t>censees</w:t>
            </w:r>
            <w:r>
              <w:t>.</w:t>
            </w:r>
          </w:p>
          <w:p w:rsidR="006646ED" w:rsidRDefault="006646ED" w:rsidP="00303B3C">
            <w:pPr>
              <w:pStyle w:val="Box"/>
            </w:pPr>
            <w:r>
              <w:t>The licensing rate set by the pool also led to some problems among both licensees and licensors. For instance, some licensees already had licensing agreements with MPEG LA member firms, and sought reductions in the royalties payments required for the pool. Instead of altering the MPEG standard licensing terms, MPEG LA advised licensees to seek concessions with the firms with whom their initial licensing agreements had been concluded. The MPEG LA licen</w:t>
            </w:r>
            <w:r w:rsidR="00597E8A">
              <w:t>c</w:t>
            </w:r>
            <w:r>
              <w:t>e itself makes a commitment to not raise royalty rate</w:t>
            </w:r>
            <w:r w:rsidR="00B02BFA">
              <w:t>s, except in extreme conditions.</w:t>
            </w:r>
            <w:r>
              <w:t xml:space="preserve"> Lerner and Tirole (2007) </w:t>
            </w:r>
            <w:r w:rsidR="00036F75">
              <w:t>argue</w:t>
            </w:r>
            <w:r w:rsidR="00C526BB">
              <w:t>d</w:t>
            </w:r>
            <w:r w:rsidR="00036F75">
              <w:t xml:space="preserve"> </w:t>
            </w:r>
            <w:r w:rsidR="00B02BFA">
              <w:t xml:space="preserve">that this </w:t>
            </w:r>
            <w:r w:rsidR="00036F75">
              <w:t>affects</w:t>
            </w:r>
            <w:r>
              <w:t xml:space="preserve"> the ability of the pool to attract new licensors. This is because the formula used to distribute royalties </w:t>
            </w:r>
            <w:r w:rsidR="00303B3C">
              <w:t>give</w:t>
            </w:r>
            <w:r>
              <w:t>s each licensor a pro rata share of licensing revenues, based on the number of essential patents it owns, while the rate charged to licensees remains constant.</w:t>
            </w:r>
          </w:p>
        </w:tc>
      </w:tr>
      <w:tr w:rsidR="006646ED" w:rsidTr="006646ED">
        <w:trPr>
          <w:cantSplit/>
        </w:trPr>
        <w:tc>
          <w:tcPr>
            <w:tcW w:w="8771" w:type="dxa"/>
            <w:tcBorders>
              <w:top w:val="nil"/>
              <w:left w:val="single" w:sz="6" w:space="0" w:color="auto"/>
              <w:bottom w:val="single" w:sz="6" w:space="0" w:color="auto"/>
              <w:right w:val="single" w:sz="6" w:space="0" w:color="auto"/>
            </w:tcBorders>
          </w:tcPr>
          <w:p w:rsidR="006646ED" w:rsidRDefault="006646ED" w:rsidP="006646ED">
            <w:pPr>
              <w:pStyle w:val="Box"/>
              <w:spacing w:before="0" w:line="120" w:lineRule="exact"/>
            </w:pPr>
          </w:p>
        </w:tc>
      </w:tr>
      <w:tr w:rsidR="006646ED" w:rsidRPr="000863A5" w:rsidTr="006646ED">
        <w:tc>
          <w:tcPr>
            <w:tcW w:w="8771" w:type="dxa"/>
            <w:tcBorders>
              <w:top w:val="nil"/>
              <w:left w:val="nil"/>
              <w:bottom w:val="nil"/>
              <w:right w:val="nil"/>
            </w:tcBorders>
          </w:tcPr>
          <w:p w:rsidR="006646ED" w:rsidRPr="000863A5" w:rsidRDefault="006646ED" w:rsidP="006646ED">
            <w:pPr>
              <w:pStyle w:val="Box"/>
              <w:keepNext w:val="0"/>
              <w:spacing w:before="60" w:after="60" w:line="80" w:lineRule="exact"/>
              <w:rPr>
                <w:b/>
                <w:sz w:val="14"/>
              </w:rPr>
            </w:pPr>
          </w:p>
        </w:tc>
      </w:tr>
    </w:tbl>
    <w:p w:rsidR="00196714" w:rsidRDefault="00196714" w:rsidP="00196714">
      <w:pPr>
        <w:pStyle w:val="BodyText"/>
      </w:pPr>
      <w:r>
        <w:t xml:space="preserve">However, given the lack of evidence that refusals to license are a pervasive problem in Australia, a mechanism of the kind </w:t>
      </w:r>
      <w:r w:rsidR="008D2A90">
        <w:t>suggested</w:t>
      </w:r>
      <w:r>
        <w:t xml:space="preserve"> by Van Overwalle et al. (2006) would not seem to be required and no submissions to this inquiry have </w:t>
      </w:r>
      <w:r w:rsidR="008D2A90">
        <w:t>proposed it</w:t>
      </w:r>
      <w:r>
        <w:t>. Even if refusals to license were a pervasive problem in Australia, the merits of a compulsory patent pool as a mechanism to address this would be question</w:t>
      </w:r>
      <w:r w:rsidR="009E25E6">
        <w:t>able</w:t>
      </w:r>
      <w:r>
        <w:t>, especially given the possibility of using other</w:t>
      </w:r>
      <w:r w:rsidR="009E25E6">
        <w:t xml:space="preserve"> policy</w:t>
      </w:r>
      <w:r>
        <w:t xml:space="preserve"> instruments as a means of rectification.</w:t>
      </w:r>
    </w:p>
    <w:p w:rsidR="006646ED" w:rsidRDefault="006646ED" w:rsidP="006646E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646ED" w:rsidTr="006646ED">
        <w:tc>
          <w:tcPr>
            <w:tcW w:w="8771" w:type="dxa"/>
            <w:tcBorders>
              <w:top w:val="single" w:sz="6" w:space="0" w:color="auto"/>
              <w:bottom w:val="nil"/>
            </w:tcBorders>
          </w:tcPr>
          <w:p w:rsidR="006646ED" w:rsidRDefault="006646ED" w:rsidP="006646ED">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827946">
              <w:rPr>
                <w:b w:val="0"/>
              </w:rPr>
              <w:t>4.</w:t>
            </w:r>
            <w:r>
              <w:rPr>
                <w:b w:val="0"/>
              </w:rPr>
              <w:fldChar w:fldCharType="end"/>
            </w:r>
            <w:r>
              <w:rPr>
                <w:b w:val="0"/>
              </w:rPr>
              <w:fldChar w:fldCharType="begin"/>
            </w:r>
            <w:r>
              <w:rPr>
                <w:b w:val="0"/>
              </w:rPr>
              <w:instrText xml:space="preserve"> SEQ Box \* ARABIC </w:instrText>
            </w:r>
            <w:r>
              <w:rPr>
                <w:b w:val="0"/>
              </w:rPr>
              <w:fldChar w:fldCharType="separate"/>
            </w:r>
            <w:r w:rsidR="00614D76">
              <w:rPr>
                <w:b w:val="0"/>
                <w:noProof/>
              </w:rPr>
              <w:t>5</w:t>
            </w:r>
            <w:r>
              <w:rPr>
                <w:b w:val="0"/>
              </w:rPr>
              <w:fldChar w:fldCharType="end"/>
            </w:r>
            <w:r>
              <w:tab/>
              <w:t>The Medicines Patent Pool</w:t>
            </w:r>
          </w:p>
        </w:tc>
      </w:tr>
      <w:tr w:rsidR="006646ED" w:rsidTr="006646ED">
        <w:trPr>
          <w:cantSplit/>
        </w:trPr>
        <w:tc>
          <w:tcPr>
            <w:tcW w:w="8771" w:type="dxa"/>
            <w:tcBorders>
              <w:top w:val="nil"/>
              <w:left w:val="single" w:sz="6" w:space="0" w:color="auto"/>
              <w:bottom w:val="nil"/>
              <w:right w:val="single" w:sz="6" w:space="0" w:color="auto"/>
            </w:tcBorders>
          </w:tcPr>
          <w:p w:rsidR="006646ED" w:rsidRDefault="006646ED" w:rsidP="006646ED">
            <w:pPr>
              <w:pStyle w:val="Box"/>
            </w:pPr>
            <w:r>
              <w:t>In 2006, Knowledge Ecology International and Doctors Without Borders put forward a proposal for a patent pool to UNITAID, which would focus on promoting access to HIV/AIDS medicines. Subsequently, the Medicines Patent Pool was established in December 2009, and works by negotiating voluntary licen</w:t>
            </w:r>
            <w:r w:rsidR="00114E83">
              <w:t>c</w:t>
            </w:r>
            <w:r>
              <w:t>es with patentees, then non</w:t>
            </w:r>
            <w:r>
              <w:noBreakHyphen/>
              <w:t>exclusively licensing these to third parties so that they may create generic versions of drugs for use in developing countries. Royalties from the sale of generics are then paid to paten</w:t>
            </w:r>
            <w:r w:rsidR="00C50144">
              <w:t>t holders</w:t>
            </w:r>
            <w:r>
              <w:t>.</w:t>
            </w:r>
          </w:p>
          <w:p w:rsidR="006646ED" w:rsidRDefault="006646ED" w:rsidP="006646ED">
            <w:pPr>
              <w:pStyle w:val="Box"/>
            </w:pPr>
            <w:r>
              <w:t>In 2010, the Medicines Patent Pool obtained its first licence when the US National Insti</w:t>
            </w:r>
            <w:r w:rsidR="00C50144">
              <w:t>tute of Health provided royalty-</w:t>
            </w:r>
            <w:r>
              <w:t>free licensing on patents of darunavir (a drug used to treat HIV infection) to the</w:t>
            </w:r>
            <w:r w:rsidR="00C50144">
              <w:t xml:space="preserve"> Pool</w:t>
            </w:r>
            <w:r>
              <w:t>. The scope of the licence encompassed all low- and middle-income countries defi</w:t>
            </w:r>
            <w:r w:rsidR="00C50144">
              <w:t>ned by the World Bank</w:t>
            </w:r>
            <w:r>
              <w:t>.</w:t>
            </w:r>
          </w:p>
          <w:p w:rsidR="006646ED" w:rsidRDefault="006646ED" w:rsidP="006646ED">
            <w:pPr>
              <w:pStyle w:val="Box"/>
            </w:pPr>
            <w:r>
              <w:t>The Medicines Patent Pool’s first licensing agreement with a pharmaceutical company occurred in 2011, when it entered into an agreement with Gilead Sciences for HIV and Hepatitis B medicines. The terms of the licensing agreement preserve the ability of companies to supply generic versions of the drugs covered under the agreement in the event of the issuance of compulsory licences by national governme</w:t>
            </w:r>
            <w:r w:rsidR="00C50144">
              <w:t>nts</w:t>
            </w:r>
            <w:r>
              <w:t>.</w:t>
            </w:r>
          </w:p>
        </w:tc>
      </w:tr>
      <w:tr w:rsidR="006646ED" w:rsidTr="006646ED">
        <w:trPr>
          <w:cantSplit/>
        </w:trPr>
        <w:tc>
          <w:tcPr>
            <w:tcW w:w="8771" w:type="dxa"/>
            <w:tcBorders>
              <w:top w:val="nil"/>
              <w:left w:val="single" w:sz="6" w:space="0" w:color="auto"/>
              <w:bottom w:val="nil"/>
              <w:right w:val="single" w:sz="6" w:space="0" w:color="auto"/>
            </w:tcBorders>
          </w:tcPr>
          <w:p w:rsidR="006646ED" w:rsidRDefault="006646ED" w:rsidP="006646ED">
            <w:pPr>
              <w:pStyle w:val="BoxSource"/>
            </w:pPr>
            <w:r>
              <w:rPr>
                <w:i/>
              </w:rPr>
              <w:t>Sources</w:t>
            </w:r>
            <w:r w:rsidRPr="00167F06">
              <w:t xml:space="preserve">: </w:t>
            </w:r>
            <w:r>
              <w:t>Cox (2012); Doctors Without Borders (2010); Medicines Patent Pool (2011).</w:t>
            </w:r>
          </w:p>
        </w:tc>
      </w:tr>
      <w:tr w:rsidR="006646ED" w:rsidTr="006646ED">
        <w:trPr>
          <w:cantSplit/>
        </w:trPr>
        <w:tc>
          <w:tcPr>
            <w:tcW w:w="8771" w:type="dxa"/>
            <w:tcBorders>
              <w:top w:val="nil"/>
              <w:left w:val="single" w:sz="6" w:space="0" w:color="auto"/>
              <w:bottom w:val="single" w:sz="6" w:space="0" w:color="auto"/>
              <w:right w:val="single" w:sz="6" w:space="0" w:color="auto"/>
            </w:tcBorders>
          </w:tcPr>
          <w:p w:rsidR="006646ED" w:rsidRDefault="006646ED" w:rsidP="006646ED">
            <w:pPr>
              <w:pStyle w:val="Box"/>
              <w:spacing w:before="0" w:line="120" w:lineRule="exact"/>
            </w:pPr>
          </w:p>
        </w:tc>
      </w:tr>
      <w:tr w:rsidR="006646ED" w:rsidRPr="000863A5" w:rsidTr="006646ED">
        <w:tc>
          <w:tcPr>
            <w:tcW w:w="8771" w:type="dxa"/>
            <w:tcBorders>
              <w:top w:val="nil"/>
              <w:left w:val="nil"/>
              <w:bottom w:val="nil"/>
              <w:right w:val="nil"/>
            </w:tcBorders>
          </w:tcPr>
          <w:p w:rsidR="006646ED" w:rsidRPr="000863A5" w:rsidRDefault="006646ED" w:rsidP="006646ED">
            <w:pPr>
              <w:pStyle w:val="Box"/>
              <w:keepNext w:val="0"/>
              <w:spacing w:before="60" w:after="60" w:line="80" w:lineRule="exact"/>
              <w:rPr>
                <w:b/>
                <w:sz w:val="14"/>
              </w:rPr>
            </w:pPr>
          </w:p>
        </w:tc>
      </w:tr>
    </w:tbl>
    <w:p w:rsidR="00811B5B" w:rsidRDefault="00811B5B" w:rsidP="00811B5B">
      <w:pPr>
        <w:pStyle w:val="Heading3"/>
      </w:pPr>
      <w:r>
        <w:t>IP clearinghouses</w:t>
      </w:r>
    </w:p>
    <w:p w:rsidR="00811B5B" w:rsidRDefault="00811B5B" w:rsidP="00811B5B">
      <w:pPr>
        <w:pStyle w:val="BodyText"/>
      </w:pPr>
      <w:r>
        <w:t>As an alternative to patent pools, IP clearinghouses may be another means by which firms can facilitate the use of patented innovations (although clearinghouses can apply to other forms of IP more generally). Clearinghouses can have broad objectives, such as providing databases and other informational repository tools, and can facilitate licensing and assignment of patents. Clearinghouses can assist those seeking access to patented technology by helping to reduce search costs and saving time. Besides providing informational services, clearinghouses can also handle administrative matters, such as the collection of royalties on behalf of patentees, and the monitoring of patent use by licensees (Aoki and Schiff 2008). These functions might help to reduce transaction and monitoring costs, and in doing so, facilitate licensing.</w:t>
      </w:r>
    </w:p>
    <w:p w:rsidR="00EB5E9C" w:rsidRDefault="006646ED" w:rsidP="00EB5E9C">
      <w:pPr>
        <w:pStyle w:val="BodyText"/>
      </w:pPr>
      <w:r>
        <w:t xml:space="preserve">An example relevant to patents is the Espacenet online information clearinghouse administered by the European Patent Office. This service provides a range of information on patents from a repository which includes over 70 million patent documents from around the world, accessible via a searchable database. Espacenet can provide information, for example, on the legal status of patents, allowing a user to determine whether a patent is in force, and in which countries it is in force, as well as enabling a user to view documents cited by or citing the document they are </w:t>
      </w:r>
      <w:r>
        <w:lastRenderedPageBreak/>
        <w:t>viewing (</w:t>
      </w:r>
      <w:r w:rsidR="00944DB9">
        <w:t>EPO</w:t>
      </w:r>
      <w:r>
        <w:t xml:space="preserve"> 2011). These types of services could help curb inadvertent patent infringement and prompt greater trade in technology.</w:t>
      </w:r>
      <w:r w:rsidR="00ED3B2E">
        <w:t xml:space="preserve"> </w:t>
      </w:r>
      <w:r w:rsidR="00521328">
        <w:t xml:space="preserve">IP Australia </w:t>
      </w:r>
      <w:r w:rsidR="00330628">
        <w:t>maintains a</w:t>
      </w:r>
      <w:r w:rsidR="006A6FD9">
        <w:t xml:space="preserve"> searchable</w:t>
      </w:r>
      <w:r w:rsidR="003A3C48">
        <w:t xml:space="preserve"> patent database</w:t>
      </w:r>
      <w:r w:rsidR="00330628">
        <w:t xml:space="preserve"> </w:t>
      </w:r>
      <w:r w:rsidR="003A3C48">
        <w:t>(AusPat)</w:t>
      </w:r>
      <w:r w:rsidR="00330628">
        <w:t xml:space="preserve"> </w:t>
      </w:r>
      <w:r w:rsidR="00744692">
        <w:t>which, among other functions, can help reduce the extent of duplication of activity</w:t>
      </w:r>
      <w:r w:rsidR="00E6250C">
        <w:t>, and save time and money for prospective patent applicants</w:t>
      </w:r>
      <w:r w:rsidR="00744692">
        <w:t>.</w:t>
      </w:r>
    </w:p>
    <w:p w:rsidR="006E14FC" w:rsidRPr="00FE4BC7" w:rsidRDefault="006E14FC" w:rsidP="00251F17">
      <w:pPr>
        <w:pStyle w:val="Heading3"/>
      </w:pPr>
      <w:bookmarkStart w:id="3" w:name="begin"/>
      <w:bookmarkEnd w:id="3"/>
    </w:p>
    <w:sectPr w:rsidR="006E14FC" w:rsidRPr="00FE4BC7" w:rsidSect="003477A3">
      <w:headerReference w:type="even" r:id="rId13"/>
      <w:headerReference w:type="default" r:id="rId14"/>
      <w:footerReference w:type="even" r:id="rId15"/>
      <w:footerReference w:type="default" r:id="rId16"/>
      <w:pgSz w:w="11907" w:h="16840" w:code="9"/>
      <w:pgMar w:top="1985" w:right="1304" w:bottom="1418" w:left="1814" w:header="1701" w:footer="567" w:gutter="0"/>
      <w:pgNumType w:start="6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5ED" w:rsidRDefault="006535ED">
      <w:r>
        <w:separator/>
      </w:r>
    </w:p>
  </w:endnote>
  <w:endnote w:type="continuationSeparator" w:id="0">
    <w:p w:rsidR="006535ED" w:rsidRDefault="00653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535ED">
      <w:trPr>
        <w:trHeight w:hRule="exact" w:val="740"/>
      </w:trPr>
      <w:tc>
        <w:tcPr>
          <w:tcW w:w="510" w:type="dxa"/>
          <w:tcBorders>
            <w:top w:val="single" w:sz="6" w:space="0" w:color="auto"/>
          </w:tcBorders>
        </w:tcPr>
        <w:p w:rsidR="006535ED" w:rsidRDefault="006535ED"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14D76">
            <w:rPr>
              <w:rStyle w:val="PageNumber"/>
              <w:noProof/>
            </w:rPr>
            <w:t>90</w:t>
          </w:r>
          <w:r>
            <w:rPr>
              <w:rStyle w:val="PageNumber"/>
            </w:rPr>
            <w:fldChar w:fldCharType="end"/>
          </w:r>
        </w:p>
      </w:tc>
      <w:tc>
        <w:tcPr>
          <w:tcW w:w="1644" w:type="dxa"/>
          <w:tcBorders>
            <w:top w:val="single" w:sz="6" w:space="0" w:color="auto"/>
          </w:tcBorders>
        </w:tcPr>
        <w:p w:rsidR="006535ED" w:rsidRDefault="00614D76" w:rsidP="0019293B">
          <w:pPr>
            <w:pStyle w:val="Footer"/>
          </w:pPr>
          <w:r>
            <w:fldChar w:fldCharType="begin"/>
          </w:r>
          <w:r>
            <w:instrText xml:space="preserve"> SUBJECT  \* MERGEFORMAT </w:instrText>
          </w:r>
          <w:r>
            <w:fldChar w:fldCharType="separate"/>
          </w:r>
          <w:r>
            <w:t>Compulsory licensing of patents</w:t>
          </w:r>
          <w:r>
            <w:fldChar w:fldCharType="end"/>
          </w:r>
        </w:p>
      </w:tc>
      <w:tc>
        <w:tcPr>
          <w:tcW w:w="6634" w:type="dxa"/>
        </w:tcPr>
        <w:p w:rsidR="006535ED" w:rsidRDefault="006535ED" w:rsidP="0019293B">
          <w:pPr>
            <w:pStyle w:val="Footer"/>
          </w:pPr>
        </w:p>
      </w:tc>
    </w:tr>
  </w:tbl>
  <w:p w:rsidR="006535ED" w:rsidRDefault="006535E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535ED">
      <w:trPr>
        <w:trHeight w:hRule="exact" w:val="740"/>
      </w:trPr>
      <w:tc>
        <w:tcPr>
          <w:tcW w:w="6634" w:type="dxa"/>
        </w:tcPr>
        <w:p w:rsidR="006535ED" w:rsidRDefault="006535ED">
          <w:pPr>
            <w:pStyle w:val="Footer"/>
            <w:ind w:right="360" w:firstLine="360"/>
          </w:pPr>
        </w:p>
      </w:tc>
      <w:tc>
        <w:tcPr>
          <w:tcW w:w="1644" w:type="dxa"/>
          <w:tcBorders>
            <w:top w:val="single" w:sz="6" w:space="0" w:color="auto"/>
          </w:tcBorders>
        </w:tcPr>
        <w:p w:rsidR="006535ED" w:rsidRDefault="00614D76">
          <w:pPr>
            <w:pStyle w:val="Footer"/>
          </w:pPr>
          <w:r>
            <w:fldChar w:fldCharType="begin"/>
          </w:r>
          <w:r>
            <w:instrText xml:space="preserve"> TITLE  \* MERGEFORMAT </w:instrText>
          </w:r>
          <w:r>
            <w:fldChar w:fldCharType="separate"/>
          </w:r>
          <w:r>
            <w:t xml:space="preserve">Current utilisation of patents </w:t>
          </w:r>
          <w:r>
            <w:fldChar w:fldCharType="end"/>
          </w:r>
        </w:p>
      </w:tc>
      <w:tc>
        <w:tcPr>
          <w:tcW w:w="510" w:type="dxa"/>
          <w:tcBorders>
            <w:top w:val="single" w:sz="6" w:space="0" w:color="auto"/>
          </w:tcBorders>
        </w:tcPr>
        <w:p w:rsidR="006535ED" w:rsidRDefault="006535ED">
          <w:pPr>
            <w:pStyle w:val="Footer"/>
            <w:jc w:val="right"/>
          </w:pPr>
          <w:r>
            <w:rPr>
              <w:rStyle w:val="PageNumber"/>
            </w:rPr>
            <w:fldChar w:fldCharType="begin"/>
          </w:r>
          <w:r>
            <w:rPr>
              <w:rStyle w:val="PageNumber"/>
            </w:rPr>
            <w:instrText xml:space="preserve">PAGE  </w:instrText>
          </w:r>
          <w:r>
            <w:rPr>
              <w:rStyle w:val="PageNumber"/>
            </w:rPr>
            <w:fldChar w:fldCharType="separate"/>
          </w:r>
          <w:r w:rsidR="00614D76">
            <w:rPr>
              <w:rStyle w:val="PageNumber"/>
              <w:noProof/>
            </w:rPr>
            <w:t>61</w:t>
          </w:r>
          <w:r>
            <w:rPr>
              <w:rStyle w:val="PageNumber"/>
            </w:rPr>
            <w:fldChar w:fldCharType="end"/>
          </w:r>
        </w:p>
      </w:tc>
    </w:tr>
  </w:tbl>
  <w:p w:rsidR="006535ED" w:rsidRDefault="006535E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5ED" w:rsidRDefault="006535ED">
      <w:r>
        <w:separator/>
      </w:r>
    </w:p>
  </w:footnote>
  <w:footnote w:type="continuationSeparator" w:id="0">
    <w:p w:rsidR="006535ED" w:rsidRDefault="006535ED">
      <w:r>
        <w:continuationSeparator/>
      </w:r>
    </w:p>
  </w:footnote>
  <w:footnote w:id="1">
    <w:p w:rsidR="006535ED" w:rsidRDefault="006535ED">
      <w:pPr>
        <w:pStyle w:val="FootnoteText"/>
      </w:pPr>
      <w:r>
        <w:rPr>
          <w:rStyle w:val="FootnoteReference"/>
        </w:rPr>
        <w:footnoteRef/>
      </w:r>
      <w:r>
        <w:t xml:space="preserve"> </w:t>
      </w:r>
      <w:r>
        <w:tab/>
        <w:t>Licensing-out technology to potential competitors might also increase a firm’s share of an industry’s profits (Arora and Fosfuri 2003).</w:t>
      </w:r>
    </w:p>
  </w:footnote>
  <w:footnote w:id="2">
    <w:p w:rsidR="006535ED" w:rsidRDefault="006535ED">
      <w:pPr>
        <w:pStyle w:val="FootnoteText"/>
      </w:pPr>
      <w:r>
        <w:rPr>
          <w:rStyle w:val="FootnoteReference"/>
        </w:rPr>
        <w:footnoteRef/>
      </w:r>
      <w:r>
        <w:t xml:space="preserve"> </w:t>
      </w:r>
      <w:r>
        <w:tab/>
        <w:t>From 30 January 2012, IP Australia’s patent register is no longer a legal securities register, and the details of security interests may be recorded with the Personal Properties Securities Register (PPSR). The PPSR is operated by the Insolvency and Trustee Service Australia, which was unable to provide the Commission with data similar to that provided by IP Australia.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535ED">
      <w:tc>
        <w:tcPr>
          <w:tcW w:w="2155" w:type="dxa"/>
          <w:tcBorders>
            <w:top w:val="single" w:sz="24" w:space="0" w:color="auto"/>
          </w:tcBorders>
        </w:tcPr>
        <w:p w:rsidR="006535ED" w:rsidRDefault="006535ED" w:rsidP="0019293B">
          <w:pPr>
            <w:pStyle w:val="HeaderEven"/>
          </w:pPr>
        </w:p>
      </w:tc>
      <w:tc>
        <w:tcPr>
          <w:tcW w:w="6634" w:type="dxa"/>
          <w:tcBorders>
            <w:top w:val="single" w:sz="6" w:space="0" w:color="auto"/>
          </w:tcBorders>
        </w:tcPr>
        <w:p w:rsidR="006535ED" w:rsidRDefault="006535ED" w:rsidP="0019293B">
          <w:pPr>
            <w:pStyle w:val="HeaderEven"/>
          </w:pPr>
        </w:p>
      </w:tc>
    </w:tr>
  </w:tbl>
  <w:p w:rsidR="006535ED" w:rsidRDefault="006535E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535ED">
      <w:tc>
        <w:tcPr>
          <w:tcW w:w="6634" w:type="dxa"/>
          <w:tcBorders>
            <w:top w:val="single" w:sz="6" w:space="0" w:color="auto"/>
          </w:tcBorders>
        </w:tcPr>
        <w:p w:rsidR="006535ED" w:rsidRDefault="006535ED" w:rsidP="00E669E2">
          <w:pPr>
            <w:pStyle w:val="HeaderOdd"/>
          </w:pPr>
        </w:p>
      </w:tc>
      <w:tc>
        <w:tcPr>
          <w:tcW w:w="2155" w:type="dxa"/>
          <w:tcBorders>
            <w:top w:val="single" w:sz="24" w:space="0" w:color="auto"/>
          </w:tcBorders>
        </w:tcPr>
        <w:p w:rsidR="006535ED" w:rsidRDefault="006535ED" w:rsidP="00E669E2">
          <w:pPr>
            <w:pStyle w:val="HeaderOdd"/>
          </w:pPr>
        </w:p>
      </w:tc>
    </w:tr>
  </w:tbl>
  <w:p w:rsidR="006535ED" w:rsidRDefault="006535E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3960828"/>
    <w:lvl w:ilvl="0">
      <w:start w:val="1"/>
      <w:numFmt w:val="decimal"/>
      <w:pStyle w:val="ListBullet2"/>
      <w:lvlText w:val="%1."/>
      <w:lvlJc w:val="left"/>
      <w:pPr>
        <w:tabs>
          <w:tab w:val="num" w:pos="926"/>
        </w:tabs>
        <w:ind w:left="926" w:hanging="360"/>
      </w:pPr>
      <w:rPr>
        <w:rFonts w:cs="Times New Roman"/>
      </w:rPr>
    </w:lvl>
  </w:abstractNum>
  <w:abstractNum w:abstractNumId="1">
    <w:nsid w:val="FFFFFF7F"/>
    <w:multiLevelType w:val="singleLevel"/>
    <w:tmpl w:val="C8CCDFE8"/>
    <w:lvl w:ilvl="0">
      <w:start w:val="1"/>
      <w:numFmt w:val="decimal"/>
      <w:lvlText w:val="%1."/>
      <w:lvlJc w:val="left"/>
      <w:pPr>
        <w:tabs>
          <w:tab w:val="num" w:pos="643"/>
        </w:tabs>
        <w:ind w:left="643" w:hanging="360"/>
      </w:pPr>
      <w:rPr>
        <w:rFonts w:cs="Times New Roman"/>
      </w:rPr>
    </w:lvl>
  </w:abstractNum>
  <w:abstractNum w:abstractNumId="2">
    <w:nsid w:val="FFFFFF82"/>
    <w:multiLevelType w:val="singleLevel"/>
    <w:tmpl w:val="D294033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C0F2A5B6"/>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E86CFAE4"/>
    <w:lvl w:ilvl="0">
      <w:start w:val="1"/>
      <w:numFmt w:val="decimal"/>
      <w:lvlText w:val="%1."/>
      <w:lvlJc w:val="left"/>
      <w:pPr>
        <w:tabs>
          <w:tab w:val="num" w:pos="360"/>
        </w:tabs>
        <w:ind w:left="360" w:hanging="360"/>
      </w:pPr>
      <w:rPr>
        <w:rFonts w:cs="Times New Roman"/>
      </w:rPr>
    </w:lvl>
  </w:abstractNum>
  <w:abstractNum w:abstractNumId="5">
    <w:nsid w:val="FFFFFF89"/>
    <w:multiLevelType w:val="singleLevel"/>
    <w:tmpl w:val="5EC628BA"/>
    <w:lvl w:ilvl="0">
      <w:start w:val="1"/>
      <w:numFmt w:val="bullet"/>
      <w:pStyle w:val="RecB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47A7C39"/>
    <w:multiLevelType w:val="singleLevel"/>
    <w:tmpl w:val="4438961C"/>
    <w:lvl w:ilvl="0">
      <w:numFmt w:val="bullet"/>
      <w:lvlText w:val="–"/>
      <w:lvlJc w:val="left"/>
      <w:pPr>
        <w:tabs>
          <w:tab w:val="num" w:pos="680"/>
        </w:tabs>
        <w:ind w:left="680" w:hanging="340"/>
      </w:pPr>
      <w:rPr>
        <w:rFonts w:ascii="Times New Roman" w:hAnsi="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cs="Times New Roman" w:hint="default"/>
      </w:rPr>
    </w:lvl>
    <w:lvl w:ilvl="1">
      <w:start w:val="1"/>
      <w:numFmt w:val="lowerLetter"/>
      <w:pStyle w:val="BoxListNumber2"/>
      <w:lvlText w:val="(%2)"/>
      <w:lvlJc w:val="left"/>
      <w:pPr>
        <w:tabs>
          <w:tab w:val="num" w:pos="680"/>
        </w:tabs>
        <w:ind w:left="680" w:hanging="396"/>
      </w:pPr>
      <w:rPr>
        <w:rFonts w:cs="Times New Roman" w:hint="default"/>
      </w:rPr>
    </w:lvl>
    <w:lvl w:ilvl="2">
      <w:start w:val="1"/>
      <w:numFmt w:val="lowerRoman"/>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cs="Times New Roman" w:hint="default"/>
      </w:rPr>
    </w:lvl>
    <w:lvl w:ilvl="1">
      <w:start w:val="1"/>
      <w:numFmt w:val="lowerLetter"/>
      <w:pStyle w:val="ListNumber2"/>
      <w:lvlText w:val="(%2)"/>
      <w:lvlJc w:val="left"/>
      <w:pPr>
        <w:tabs>
          <w:tab w:val="num" w:pos="794"/>
        </w:tabs>
        <w:ind w:left="794" w:hanging="454"/>
      </w:pPr>
      <w:rPr>
        <w:rFonts w:cs="Times New Roman" w:hint="default"/>
      </w:rPr>
    </w:lvl>
    <w:lvl w:ilvl="2">
      <w:start w:val="1"/>
      <w:numFmt w:val="lowerRoman"/>
      <w:pStyle w:val="ListNumber3"/>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27371796"/>
    <w:multiLevelType w:val="multilevel"/>
    <w:tmpl w:val="8E3050E6"/>
    <w:lvl w:ilvl="0">
      <w:start w:val="1"/>
      <w:numFmt w:val="decimal"/>
      <w:lvlText w:val="%1)"/>
      <w:lvlJc w:val="left"/>
      <w:pPr>
        <w:tabs>
          <w:tab w:val="num" w:pos="340"/>
        </w:tabs>
        <w:ind w:left="340" w:hanging="340"/>
      </w:pPr>
      <w:rPr>
        <w:rFonts w:cs="Times New Roman" w:hint="default"/>
      </w:rPr>
    </w:lvl>
    <w:lvl w:ilvl="1">
      <w:start w:val="1"/>
      <w:numFmt w:val="lowerLetter"/>
      <w:lvlText w:val="%2)"/>
      <w:lvlJc w:val="left"/>
      <w:pPr>
        <w:tabs>
          <w:tab w:val="num" w:pos="794"/>
        </w:tabs>
        <w:ind w:left="794" w:hanging="454"/>
      </w:pPr>
      <w:rPr>
        <w:rFonts w:cs="Times New Roman" w:hint="default"/>
      </w:rPr>
    </w:lvl>
    <w:lvl w:ilvl="2">
      <w:start w:val="1"/>
      <w:numFmt w:val="lowerRoman"/>
      <w:lvlText w:val="%3)"/>
      <w:lvlJc w:val="left"/>
      <w:pPr>
        <w:tabs>
          <w:tab w:val="num" w:pos="1304"/>
        </w:tabs>
        <w:ind w:left="1304" w:hanging="51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0C090017"/>
    <w:lvl w:ilvl="0">
      <w:start w:val="1"/>
      <w:numFmt w:val="lowerLetter"/>
      <w:lvlText w:val="%1)"/>
      <w:lvlJc w:val="left"/>
      <w:pPr>
        <w:ind w:left="700" w:hanging="360"/>
      </w:pPr>
      <w:rPr>
        <w:rFonts w:hint="default"/>
        <w:sz w:val="18"/>
      </w:rPr>
    </w:lvl>
  </w:abstractNum>
  <w:abstractNum w:abstractNumId="19">
    <w:nsid w:val="61DC75BA"/>
    <w:multiLevelType w:val="hybridMultilevel"/>
    <w:tmpl w:val="31D66FAC"/>
    <w:lvl w:ilvl="0" w:tplc="5F9ECA94">
      <w:numFmt w:val="bullet"/>
      <w:lvlText w:val=""/>
      <w:lvlJc w:val="left"/>
      <w:pPr>
        <w:ind w:left="870" w:hanging="51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5"/>
  </w:num>
  <w:num w:numId="8">
    <w:abstractNumId w:val="3"/>
  </w:num>
  <w:num w:numId="9">
    <w:abstractNumId w:val="2"/>
  </w:num>
  <w:num w:numId="10">
    <w:abstractNumId w:val="4"/>
  </w:num>
  <w:num w:numId="11">
    <w:abstractNumId w:val="1"/>
  </w:num>
  <w:num w:numId="12">
    <w:abstractNumId w:val="0"/>
  </w:num>
  <w:num w:numId="13">
    <w:abstractNumId w:val="5"/>
  </w:num>
  <w:num w:numId="14">
    <w:abstractNumId w:val="3"/>
  </w:num>
  <w:num w:numId="15">
    <w:abstractNumId w:val="2"/>
  </w:num>
  <w:num w:numId="16">
    <w:abstractNumId w:val="4"/>
  </w:num>
  <w:num w:numId="17">
    <w:abstractNumId w:val="1"/>
  </w:num>
  <w:num w:numId="18">
    <w:abstractNumId w:val="0"/>
  </w:num>
  <w:num w:numId="19">
    <w:abstractNumId w:val="5"/>
  </w:num>
  <w:num w:numId="20">
    <w:abstractNumId w:val="3"/>
  </w:num>
  <w:num w:numId="21">
    <w:abstractNumId w:val="2"/>
  </w:num>
  <w:num w:numId="22">
    <w:abstractNumId w:val="4"/>
  </w:num>
  <w:num w:numId="23">
    <w:abstractNumId w:val="1"/>
  </w:num>
  <w:num w:numId="24">
    <w:abstractNumId w:val="0"/>
  </w:num>
  <w:num w:numId="25">
    <w:abstractNumId w:val="5"/>
  </w:num>
  <w:num w:numId="26">
    <w:abstractNumId w:val="3"/>
  </w:num>
  <w:num w:numId="27">
    <w:abstractNumId w:val="2"/>
  </w:num>
  <w:num w:numId="28">
    <w:abstractNumId w:val="4"/>
  </w:num>
  <w:num w:numId="29">
    <w:abstractNumId w:val="1"/>
  </w:num>
  <w:num w:numId="30">
    <w:abstractNumId w:val="0"/>
  </w:num>
  <w:num w:numId="31">
    <w:abstractNumId w:val="14"/>
  </w:num>
  <w:num w:numId="32">
    <w:abstractNumId w:val="8"/>
  </w:num>
  <w:num w:numId="33">
    <w:abstractNumId w:val="21"/>
  </w:num>
  <w:num w:numId="34">
    <w:abstractNumId w:val="6"/>
  </w:num>
  <w:num w:numId="35">
    <w:abstractNumId w:val="16"/>
  </w:num>
  <w:num w:numId="36">
    <w:abstractNumId w:val="7"/>
  </w:num>
  <w:num w:numId="37">
    <w:abstractNumId w:val="20"/>
  </w:num>
  <w:num w:numId="38">
    <w:abstractNumId w:val="18"/>
  </w:num>
  <w:num w:numId="39">
    <w:abstractNumId w:val="22"/>
  </w:num>
  <w:num w:numId="40">
    <w:abstractNumId w:val="11"/>
  </w:num>
  <w:num w:numId="41">
    <w:abstractNumId w:val="17"/>
  </w:num>
  <w:num w:numId="42">
    <w:abstractNumId w:val="10"/>
  </w:num>
  <w:num w:numId="43">
    <w:abstractNumId w:val="12"/>
  </w:num>
  <w:num w:numId="44">
    <w:abstractNumId w:val="9"/>
  </w:num>
  <w:num w:numId="45">
    <w:abstractNumId w:val="13"/>
  </w:num>
  <w:num w:numId="46">
    <w:abstractNumId w:val="15"/>
  </w:num>
  <w:num w:numId="4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urrent utilisation of patents "/>
    <w:docVar w:name="ShortReportTitle" w:val="Compulsory licensing of patents"/>
  </w:docVars>
  <w:rsids>
    <w:rsidRoot w:val="00FE4BC7"/>
    <w:rsid w:val="00000496"/>
    <w:rsid w:val="00001F22"/>
    <w:rsid w:val="000021C4"/>
    <w:rsid w:val="00002375"/>
    <w:rsid w:val="000038FD"/>
    <w:rsid w:val="00004D9C"/>
    <w:rsid w:val="0000594F"/>
    <w:rsid w:val="00005BBB"/>
    <w:rsid w:val="00005C56"/>
    <w:rsid w:val="00006182"/>
    <w:rsid w:val="000063AA"/>
    <w:rsid w:val="00006873"/>
    <w:rsid w:val="00006AAC"/>
    <w:rsid w:val="00006FF0"/>
    <w:rsid w:val="000075AC"/>
    <w:rsid w:val="00007B55"/>
    <w:rsid w:val="00010123"/>
    <w:rsid w:val="000102A1"/>
    <w:rsid w:val="00010304"/>
    <w:rsid w:val="000107B5"/>
    <w:rsid w:val="00010973"/>
    <w:rsid w:val="00010D86"/>
    <w:rsid w:val="000114BC"/>
    <w:rsid w:val="000128B6"/>
    <w:rsid w:val="00012AA1"/>
    <w:rsid w:val="0001353E"/>
    <w:rsid w:val="00013711"/>
    <w:rsid w:val="00013EBD"/>
    <w:rsid w:val="00013EF9"/>
    <w:rsid w:val="0001407C"/>
    <w:rsid w:val="000143E3"/>
    <w:rsid w:val="000145F8"/>
    <w:rsid w:val="0001545E"/>
    <w:rsid w:val="00016006"/>
    <w:rsid w:val="00016135"/>
    <w:rsid w:val="00016C71"/>
    <w:rsid w:val="00017689"/>
    <w:rsid w:val="000208DE"/>
    <w:rsid w:val="000209BE"/>
    <w:rsid w:val="00020D45"/>
    <w:rsid w:val="00021323"/>
    <w:rsid w:val="00022106"/>
    <w:rsid w:val="00022D3A"/>
    <w:rsid w:val="0002317F"/>
    <w:rsid w:val="0002399A"/>
    <w:rsid w:val="00023A8D"/>
    <w:rsid w:val="00023EA0"/>
    <w:rsid w:val="000245AA"/>
    <w:rsid w:val="000246C1"/>
    <w:rsid w:val="00025970"/>
    <w:rsid w:val="00026413"/>
    <w:rsid w:val="000267C1"/>
    <w:rsid w:val="00027C51"/>
    <w:rsid w:val="00030342"/>
    <w:rsid w:val="00030BDA"/>
    <w:rsid w:val="0003156E"/>
    <w:rsid w:val="00033D49"/>
    <w:rsid w:val="000343FF"/>
    <w:rsid w:val="00034405"/>
    <w:rsid w:val="00034628"/>
    <w:rsid w:val="00034D17"/>
    <w:rsid w:val="00035950"/>
    <w:rsid w:val="0003664B"/>
    <w:rsid w:val="00036676"/>
    <w:rsid w:val="00036F75"/>
    <w:rsid w:val="00037179"/>
    <w:rsid w:val="00040068"/>
    <w:rsid w:val="0004099B"/>
    <w:rsid w:val="00040E7A"/>
    <w:rsid w:val="0004111F"/>
    <w:rsid w:val="00041342"/>
    <w:rsid w:val="00042348"/>
    <w:rsid w:val="0004272F"/>
    <w:rsid w:val="00043040"/>
    <w:rsid w:val="0004353E"/>
    <w:rsid w:val="0004365D"/>
    <w:rsid w:val="00043B87"/>
    <w:rsid w:val="00043D22"/>
    <w:rsid w:val="00044634"/>
    <w:rsid w:val="00045782"/>
    <w:rsid w:val="00045DC7"/>
    <w:rsid w:val="00046717"/>
    <w:rsid w:val="00046B0A"/>
    <w:rsid w:val="0004705F"/>
    <w:rsid w:val="000475B1"/>
    <w:rsid w:val="00047FB0"/>
    <w:rsid w:val="000504B5"/>
    <w:rsid w:val="000506A7"/>
    <w:rsid w:val="000506DF"/>
    <w:rsid w:val="00050D55"/>
    <w:rsid w:val="00050F34"/>
    <w:rsid w:val="00050FD8"/>
    <w:rsid w:val="00051BBA"/>
    <w:rsid w:val="00051E04"/>
    <w:rsid w:val="0005296A"/>
    <w:rsid w:val="0005297E"/>
    <w:rsid w:val="0005323C"/>
    <w:rsid w:val="00053552"/>
    <w:rsid w:val="0005410E"/>
    <w:rsid w:val="00054683"/>
    <w:rsid w:val="000550CF"/>
    <w:rsid w:val="000555EC"/>
    <w:rsid w:val="000555FD"/>
    <w:rsid w:val="00055AC4"/>
    <w:rsid w:val="00055CF6"/>
    <w:rsid w:val="00055D73"/>
    <w:rsid w:val="00055E15"/>
    <w:rsid w:val="000565B3"/>
    <w:rsid w:val="0005685D"/>
    <w:rsid w:val="00056F78"/>
    <w:rsid w:val="0005725E"/>
    <w:rsid w:val="00057419"/>
    <w:rsid w:val="000601B8"/>
    <w:rsid w:val="00060CF0"/>
    <w:rsid w:val="00061C43"/>
    <w:rsid w:val="00061CC5"/>
    <w:rsid w:val="00061E2D"/>
    <w:rsid w:val="000629E0"/>
    <w:rsid w:val="00062A22"/>
    <w:rsid w:val="00062C51"/>
    <w:rsid w:val="00062E12"/>
    <w:rsid w:val="00063215"/>
    <w:rsid w:val="0006343D"/>
    <w:rsid w:val="00063986"/>
    <w:rsid w:val="00063AA8"/>
    <w:rsid w:val="0006425E"/>
    <w:rsid w:val="00064312"/>
    <w:rsid w:val="0006468C"/>
    <w:rsid w:val="000659AB"/>
    <w:rsid w:val="000662FE"/>
    <w:rsid w:val="00066ADF"/>
    <w:rsid w:val="00067137"/>
    <w:rsid w:val="000671D4"/>
    <w:rsid w:val="000674C1"/>
    <w:rsid w:val="00067709"/>
    <w:rsid w:val="000700FE"/>
    <w:rsid w:val="0007082F"/>
    <w:rsid w:val="00070866"/>
    <w:rsid w:val="00070B16"/>
    <w:rsid w:val="000713C6"/>
    <w:rsid w:val="00071453"/>
    <w:rsid w:val="0007150B"/>
    <w:rsid w:val="00071FC8"/>
    <w:rsid w:val="0007298D"/>
    <w:rsid w:val="00072E5B"/>
    <w:rsid w:val="00072F2C"/>
    <w:rsid w:val="0007451F"/>
    <w:rsid w:val="00074D2A"/>
    <w:rsid w:val="00075957"/>
    <w:rsid w:val="000761AC"/>
    <w:rsid w:val="000765E1"/>
    <w:rsid w:val="0007693B"/>
    <w:rsid w:val="00076D55"/>
    <w:rsid w:val="00077799"/>
    <w:rsid w:val="00077F20"/>
    <w:rsid w:val="0008038E"/>
    <w:rsid w:val="000814E6"/>
    <w:rsid w:val="000829ED"/>
    <w:rsid w:val="00082EBD"/>
    <w:rsid w:val="00083188"/>
    <w:rsid w:val="0008332A"/>
    <w:rsid w:val="000837AE"/>
    <w:rsid w:val="00083871"/>
    <w:rsid w:val="000842CB"/>
    <w:rsid w:val="000843D5"/>
    <w:rsid w:val="00084719"/>
    <w:rsid w:val="00084D8C"/>
    <w:rsid w:val="000856B1"/>
    <w:rsid w:val="00085FC9"/>
    <w:rsid w:val="000865D6"/>
    <w:rsid w:val="000866FF"/>
    <w:rsid w:val="000867C1"/>
    <w:rsid w:val="0008711C"/>
    <w:rsid w:val="000871AB"/>
    <w:rsid w:val="00087344"/>
    <w:rsid w:val="0008764F"/>
    <w:rsid w:val="000876C7"/>
    <w:rsid w:val="00087A81"/>
    <w:rsid w:val="00087B91"/>
    <w:rsid w:val="00087EF6"/>
    <w:rsid w:val="00092D9B"/>
    <w:rsid w:val="00092EEC"/>
    <w:rsid w:val="000938F5"/>
    <w:rsid w:val="000940E9"/>
    <w:rsid w:val="0009419E"/>
    <w:rsid w:val="0009471A"/>
    <w:rsid w:val="0009477F"/>
    <w:rsid w:val="00094A3B"/>
    <w:rsid w:val="00095949"/>
    <w:rsid w:val="00095E73"/>
    <w:rsid w:val="00096171"/>
    <w:rsid w:val="0009719E"/>
    <w:rsid w:val="00097C50"/>
    <w:rsid w:val="000A0031"/>
    <w:rsid w:val="000A2335"/>
    <w:rsid w:val="000A2469"/>
    <w:rsid w:val="000A3CDA"/>
    <w:rsid w:val="000A43DE"/>
    <w:rsid w:val="000A44C1"/>
    <w:rsid w:val="000A459A"/>
    <w:rsid w:val="000A460F"/>
    <w:rsid w:val="000A4622"/>
    <w:rsid w:val="000A4DD8"/>
    <w:rsid w:val="000A5E54"/>
    <w:rsid w:val="000A5F3A"/>
    <w:rsid w:val="000A6EC7"/>
    <w:rsid w:val="000A6F04"/>
    <w:rsid w:val="000A6FE2"/>
    <w:rsid w:val="000A710C"/>
    <w:rsid w:val="000A7750"/>
    <w:rsid w:val="000A79E2"/>
    <w:rsid w:val="000B0393"/>
    <w:rsid w:val="000B0BE4"/>
    <w:rsid w:val="000B0FC1"/>
    <w:rsid w:val="000B115D"/>
    <w:rsid w:val="000B1563"/>
    <w:rsid w:val="000B19B2"/>
    <w:rsid w:val="000B2984"/>
    <w:rsid w:val="000B2C45"/>
    <w:rsid w:val="000B2DCB"/>
    <w:rsid w:val="000B303C"/>
    <w:rsid w:val="000B3218"/>
    <w:rsid w:val="000B39F0"/>
    <w:rsid w:val="000B4088"/>
    <w:rsid w:val="000B4A2F"/>
    <w:rsid w:val="000B601B"/>
    <w:rsid w:val="000B648B"/>
    <w:rsid w:val="000B7321"/>
    <w:rsid w:val="000B78C1"/>
    <w:rsid w:val="000B78E4"/>
    <w:rsid w:val="000C0FED"/>
    <w:rsid w:val="000C102C"/>
    <w:rsid w:val="000C12AF"/>
    <w:rsid w:val="000C163B"/>
    <w:rsid w:val="000C16BF"/>
    <w:rsid w:val="000C1857"/>
    <w:rsid w:val="000C207E"/>
    <w:rsid w:val="000C2E56"/>
    <w:rsid w:val="000C35F2"/>
    <w:rsid w:val="000C4148"/>
    <w:rsid w:val="000C4C8B"/>
    <w:rsid w:val="000C4F60"/>
    <w:rsid w:val="000C599D"/>
    <w:rsid w:val="000C6745"/>
    <w:rsid w:val="000C691D"/>
    <w:rsid w:val="000D0572"/>
    <w:rsid w:val="000D0783"/>
    <w:rsid w:val="000D0853"/>
    <w:rsid w:val="000D088A"/>
    <w:rsid w:val="000D1112"/>
    <w:rsid w:val="000D114D"/>
    <w:rsid w:val="000D11C9"/>
    <w:rsid w:val="000D13B8"/>
    <w:rsid w:val="000D1ABB"/>
    <w:rsid w:val="000D20E7"/>
    <w:rsid w:val="000D2215"/>
    <w:rsid w:val="000D2DA5"/>
    <w:rsid w:val="000D381F"/>
    <w:rsid w:val="000D3824"/>
    <w:rsid w:val="000D385B"/>
    <w:rsid w:val="000D4FC4"/>
    <w:rsid w:val="000D5387"/>
    <w:rsid w:val="000D6889"/>
    <w:rsid w:val="000D7394"/>
    <w:rsid w:val="000D7814"/>
    <w:rsid w:val="000E0527"/>
    <w:rsid w:val="000E0615"/>
    <w:rsid w:val="000E0894"/>
    <w:rsid w:val="000E09F2"/>
    <w:rsid w:val="000E0E31"/>
    <w:rsid w:val="000E121F"/>
    <w:rsid w:val="000E15DA"/>
    <w:rsid w:val="000E183B"/>
    <w:rsid w:val="000E18DC"/>
    <w:rsid w:val="000E1C3E"/>
    <w:rsid w:val="000E2317"/>
    <w:rsid w:val="000E2888"/>
    <w:rsid w:val="000E2B17"/>
    <w:rsid w:val="000E33B7"/>
    <w:rsid w:val="000E3881"/>
    <w:rsid w:val="000E3F5D"/>
    <w:rsid w:val="000E43CA"/>
    <w:rsid w:val="000E5AFB"/>
    <w:rsid w:val="000E5E9A"/>
    <w:rsid w:val="000E64EA"/>
    <w:rsid w:val="000E6BD2"/>
    <w:rsid w:val="000E7690"/>
    <w:rsid w:val="000E7C47"/>
    <w:rsid w:val="000F0145"/>
    <w:rsid w:val="000F0CD5"/>
    <w:rsid w:val="000F14C1"/>
    <w:rsid w:val="000F19FE"/>
    <w:rsid w:val="000F1B29"/>
    <w:rsid w:val="000F1BF9"/>
    <w:rsid w:val="000F1C58"/>
    <w:rsid w:val="000F284B"/>
    <w:rsid w:val="000F2A1D"/>
    <w:rsid w:val="000F2F0F"/>
    <w:rsid w:val="000F32C8"/>
    <w:rsid w:val="000F33EF"/>
    <w:rsid w:val="000F3AC8"/>
    <w:rsid w:val="000F3AEF"/>
    <w:rsid w:val="000F3E95"/>
    <w:rsid w:val="000F420B"/>
    <w:rsid w:val="000F4411"/>
    <w:rsid w:val="000F4458"/>
    <w:rsid w:val="000F49DC"/>
    <w:rsid w:val="000F4D24"/>
    <w:rsid w:val="000F570D"/>
    <w:rsid w:val="000F5BB1"/>
    <w:rsid w:val="000F5CF8"/>
    <w:rsid w:val="000F6095"/>
    <w:rsid w:val="000F6555"/>
    <w:rsid w:val="000F7012"/>
    <w:rsid w:val="000F7D96"/>
    <w:rsid w:val="000F7DC2"/>
    <w:rsid w:val="000F7F98"/>
    <w:rsid w:val="001008F1"/>
    <w:rsid w:val="00100A96"/>
    <w:rsid w:val="0010110A"/>
    <w:rsid w:val="0010163C"/>
    <w:rsid w:val="0010182D"/>
    <w:rsid w:val="00102897"/>
    <w:rsid w:val="00103D72"/>
    <w:rsid w:val="00103FA0"/>
    <w:rsid w:val="00104225"/>
    <w:rsid w:val="00106AC7"/>
    <w:rsid w:val="00106F9C"/>
    <w:rsid w:val="00107629"/>
    <w:rsid w:val="00107D0A"/>
    <w:rsid w:val="00107D65"/>
    <w:rsid w:val="00110116"/>
    <w:rsid w:val="0011076E"/>
    <w:rsid w:val="00110860"/>
    <w:rsid w:val="00110A63"/>
    <w:rsid w:val="001111CD"/>
    <w:rsid w:val="0011141E"/>
    <w:rsid w:val="00111832"/>
    <w:rsid w:val="001124AD"/>
    <w:rsid w:val="001129DB"/>
    <w:rsid w:val="0011329F"/>
    <w:rsid w:val="00113644"/>
    <w:rsid w:val="0011375F"/>
    <w:rsid w:val="0011412A"/>
    <w:rsid w:val="00114CCD"/>
    <w:rsid w:val="00114CF0"/>
    <w:rsid w:val="00114E83"/>
    <w:rsid w:val="0011501C"/>
    <w:rsid w:val="0011544D"/>
    <w:rsid w:val="0011571E"/>
    <w:rsid w:val="00116079"/>
    <w:rsid w:val="00117428"/>
    <w:rsid w:val="00117500"/>
    <w:rsid w:val="0011780E"/>
    <w:rsid w:val="00117B1E"/>
    <w:rsid w:val="00120072"/>
    <w:rsid w:val="001200F8"/>
    <w:rsid w:val="00120225"/>
    <w:rsid w:val="00120683"/>
    <w:rsid w:val="001209A8"/>
    <w:rsid w:val="00120BA6"/>
    <w:rsid w:val="00120D40"/>
    <w:rsid w:val="0012176C"/>
    <w:rsid w:val="00122C2F"/>
    <w:rsid w:val="00122DDE"/>
    <w:rsid w:val="00123578"/>
    <w:rsid w:val="00123D45"/>
    <w:rsid w:val="00123DA3"/>
    <w:rsid w:val="001241AB"/>
    <w:rsid w:val="0012424D"/>
    <w:rsid w:val="00124292"/>
    <w:rsid w:val="00124C8E"/>
    <w:rsid w:val="00124ED8"/>
    <w:rsid w:val="00125069"/>
    <w:rsid w:val="001252BF"/>
    <w:rsid w:val="00125D33"/>
    <w:rsid w:val="00126724"/>
    <w:rsid w:val="00126A0F"/>
    <w:rsid w:val="00126D64"/>
    <w:rsid w:val="00126EB8"/>
    <w:rsid w:val="001274D4"/>
    <w:rsid w:val="001274D6"/>
    <w:rsid w:val="0012783A"/>
    <w:rsid w:val="00130363"/>
    <w:rsid w:val="001304D1"/>
    <w:rsid w:val="0013125C"/>
    <w:rsid w:val="001319A9"/>
    <w:rsid w:val="001323D1"/>
    <w:rsid w:val="0013294D"/>
    <w:rsid w:val="00132A79"/>
    <w:rsid w:val="00133EE6"/>
    <w:rsid w:val="00133F40"/>
    <w:rsid w:val="001340D6"/>
    <w:rsid w:val="00134ADB"/>
    <w:rsid w:val="00134D75"/>
    <w:rsid w:val="001358A9"/>
    <w:rsid w:val="001363AA"/>
    <w:rsid w:val="00136786"/>
    <w:rsid w:val="001372D3"/>
    <w:rsid w:val="00137A53"/>
    <w:rsid w:val="00137F56"/>
    <w:rsid w:val="00140284"/>
    <w:rsid w:val="001413F2"/>
    <w:rsid w:val="001418DC"/>
    <w:rsid w:val="00141EFF"/>
    <w:rsid w:val="001429F1"/>
    <w:rsid w:val="00142B91"/>
    <w:rsid w:val="00142B98"/>
    <w:rsid w:val="00142E2E"/>
    <w:rsid w:val="0014308D"/>
    <w:rsid w:val="0014330E"/>
    <w:rsid w:val="0014349E"/>
    <w:rsid w:val="0014352C"/>
    <w:rsid w:val="001446C0"/>
    <w:rsid w:val="00144C70"/>
    <w:rsid w:val="001455F0"/>
    <w:rsid w:val="00145A0D"/>
    <w:rsid w:val="00145D7C"/>
    <w:rsid w:val="001460F5"/>
    <w:rsid w:val="00146511"/>
    <w:rsid w:val="001469FD"/>
    <w:rsid w:val="001478E4"/>
    <w:rsid w:val="00147BC8"/>
    <w:rsid w:val="001500EE"/>
    <w:rsid w:val="00150874"/>
    <w:rsid w:val="001509D7"/>
    <w:rsid w:val="00150ACE"/>
    <w:rsid w:val="00150E6D"/>
    <w:rsid w:val="00150EF4"/>
    <w:rsid w:val="00151158"/>
    <w:rsid w:val="001521D6"/>
    <w:rsid w:val="001526AA"/>
    <w:rsid w:val="001526FE"/>
    <w:rsid w:val="0015284A"/>
    <w:rsid w:val="0015404D"/>
    <w:rsid w:val="00154140"/>
    <w:rsid w:val="00154466"/>
    <w:rsid w:val="001545F7"/>
    <w:rsid w:val="00154622"/>
    <w:rsid w:val="00154A29"/>
    <w:rsid w:val="00155112"/>
    <w:rsid w:val="00155B12"/>
    <w:rsid w:val="001565CF"/>
    <w:rsid w:val="001567DB"/>
    <w:rsid w:val="00156F24"/>
    <w:rsid w:val="00156F7E"/>
    <w:rsid w:val="001571DD"/>
    <w:rsid w:val="00157205"/>
    <w:rsid w:val="00157410"/>
    <w:rsid w:val="00157AA8"/>
    <w:rsid w:val="00157E23"/>
    <w:rsid w:val="0016004C"/>
    <w:rsid w:val="0016078A"/>
    <w:rsid w:val="00160AAA"/>
    <w:rsid w:val="00160AED"/>
    <w:rsid w:val="00160E1B"/>
    <w:rsid w:val="00161311"/>
    <w:rsid w:val="00162A02"/>
    <w:rsid w:val="00162A96"/>
    <w:rsid w:val="00162C87"/>
    <w:rsid w:val="00163780"/>
    <w:rsid w:val="0016424A"/>
    <w:rsid w:val="001642B1"/>
    <w:rsid w:val="001645F5"/>
    <w:rsid w:val="001647E8"/>
    <w:rsid w:val="00165309"/>
    <w:rsid w:val="00166383"/>
    <w:rsid w:val="0016654D"/>
    <w:rsid w:val="00166924"/>
    <w:rsid w:val="00166AF0"/>
    <w:rsid w:val="00166DC3"/>
    <w:rsid w:val="00167051"/>
    <w:rsid w:val="0016772F"/>
    <w:rsid w:val="00167F06"/>
    <w:rsid w:val="001706AB"/>
    <w:rsid w:val="0017070D"/>
    <w:rsid w:val="00170789"/>
    <w:rsid w:val="00170AA2"/>
    <w:rsid w:val="00170F92"/>
    <w:rsid w:val="00171399"/>
    <w:rsid w:val="00171574"/>
    <w:rsid w:val="0017164D"/>
    <w:rsid w:val="001719DD"/>
    <w:rsid w:val="001722A4"/>
    <w:rsid w:val="00172389"/>
    <w:rsid w:val="00172EEA"/>
    <w:rsid w:val="0017343E"/>
    <w:rsid w:val="001735DA"/>
    <w:rsid w:val="0017409D"/>
    <w:rsid w:val="00174819"/>
    <w:rsid w:val="00174A43"/>
    <w:rsid w:val="00174EB9"/>
    <w:rsid w:val="00174FE0"/>
    <w:rsid w:val="00175875"/>
    <w:rsid w:val="00175EB2"/>
    <w:rsid w:val="00176076"/>
    <w:rsid w:val="00176184"/>
    <w:rsid w:val="00176C81"/>
    <w:rsid w:val="0017705D"/>
    <w:rsid w:val="00177130"/>
    <w:rsid w:val="00177A0B"/>
    <w:rsid w:val="00177B19"/>
    <w:rsid w:val="00177E4A"/>
    <w:rsid w:val="001801C0"/>
    <w:rsid w:val="0018057F"/>
    <w:rsid w:val="00180B00"/>
    <w:rsid w:val="00180C62"/>
    <w:rsid w:val="00180F5F"/>
    <w:rsid w:val="00181784"/>
    <w:rsid w:val="00182569"/>
    <w:rsid w:val="001833C6"/>
    <w:rsid w:val="00183BD3"/>
    <w:rsid w:val="00183E82"/>
    <w:rsid w:val="00184A8F"/>
    <w:rsid w:val="00185835"/>
    <w:rsid w:val="0018584C"/>
    <w:rsid w:val="00185ED8"/>
    <w:rsid w:val="00185FCE"/>
    <w:rsid w:val="00186071"/>
    <w:rsid w:val="00186114"/>
    <w:rsid w:val="00186F1F"/>
    <w:rsid w:val="001874F2"/>
    <w:rsid w:val="001878BB"/>
    <w:rsid w:val="001907D2"/>
    <w:rsid w:val="00190E1A"/>
    <w:rsid w:val="0019116D"/>
    <w:rsid w:val="00191574"/>
    <w:rsid w:val="00191AE0"/>
    <w:rsid w:val="00191DE5"/>
    <w:rsid w:val="00191E5A"/>
    <w:rsid w:val="00191F47"/>
    <w:rsid w:val="001922AD"/>
    <w:rsid w:val="0019293B"/>
    <w:rsid w:val="00192A23"/>
    <w:rsid w:val="00192F77"/>
    <w:rsid w:val="001935D3"/>
    <w:rsid w:val="001937A1"/>
    <w:rsid w:val="001941C7"/>
    <w:rsid w:val="001942CB"/>
    <w:rsid w:val="001942ED"/>
    <w:rsid w:val="00194388"/>
    <w:rsid w:val="00194481"/>
    <w:rsid w:val="00194796"/>
    <w:rsid w:val="00194A3C"/>
    <w:rsid w:val="00194DA5"/>
    <w:rsid w:val="00194F7C"/>
    <w:rsid w:val="00195281"/>
    <w:rsid w:val="00195411"/>
    <w:rsid w:val="0019559B"/>
    <w:rsid w:val="0019652C"/>
    <w:rsid w:val="001965B5"/>
    <w:rsid w:val="00196683"/>
    <w:rsid w:val="00196714"/>
    <w:rsid w:val="00196717"/>
    <w:rsid w:val="00196728"/>
    <w:rsid w:val="0019725D"/>
    <w:rsid w:val="0019795F"/>
    <w:rsid w:val="001A1779"/>
    <w:rsid w:val="001A1BF0"/>
    <w:rsid w:val="001A1DB6"/>
    <w:rsid w:val="001A212F"/>
    <w:rsid w:val="001A24BB"/>
    <w:rsid w:val="001A2CB2"/>
    <w:rsid w:val="001A3257"/>
    <w:rsid w:val="001A35D1"/>
    <w:rsid w:val="001A398A"/>
    <w:rsid w:val="001A4BF4"/>
    <w:rsid w:val="001A4C64"/>
    <w:rsid w:val="001A4D83"/>
    <w:rsid w:val="001A53BD"/>
    <w:rsid w:val="001A5A14"/>
    <w:rsid w:val="001A5E25"/>
    <w:rsid w:val="001A6388"/>
    <w:rsid w:val="001A6893"/>
    <w:rsid w:val="001A6967"/>
    <w:rsid w:val="001A6A20"/>
    <w:rsid w:val="001A7208"/>
    <w:rsid w:val="001B0782"/>
    <w:rsid w:val="001B0DDA"/>
    <w:rsid w:val="001B11DA"/>
    <w:rsid w:val="001B1962"/>
    <w:rsid w:val="001B1A1E"/>
    <w:rsid w:val="001B1EE6"/>
    <w:rsid w:val="001B222B"/>
    <w:rsid w:val="001B242C"/>
    <w:rsid w:val="001B2498"/>
    <w:rsid w:val="001B2963"/>
    <w:rsid w:val="001B35DD"/>
    <w:rsid w:val="001B3630"/>
    <w:rsid w:val="001B37FE"/>
    <w:rsid w:val="001B3897"/>
    <w:rsid w:val="001B3AE6"/>
    <w:rsid w:val="001B3EB9"/>
    <w:rsid w:val="001B43B9"/>
    <w:rsid w:val="001B4C01"/>
    <w:rsid w:val="001B4CDC"/>
    <w:rsid w:val="001B5C6B"/>
    <w:rsid w:val="001B6520"/>
    <w:rsid w:val="001B6F7F"/>
    <w:rsid w:val="001B7AB5"/>
    <w:rsid w:val="001B7BC8"/>
    <w:rsid w:val="001C0045"/>
    <w:rsid w:val="001C060F"/>
    <w:rsid w:val="001C0861"/>
    <w:rsid w:val="001C0865"/>
    <w:rsid w:val="001C0F6A"/>
    <w:rsid w:val="001C180A"/>
    <w:rsid w:val="001C1AF1"/>
    <w:rsid w:val="001C251D"/>
    <w:rsid w:val="001C2991"/>
    <w:rsid w:val="001C32DE"/>
    <w:rsid w:val="001C38D8"/>
    <w:rsid w:val="001C3ABA"/>
    <w:rsid w:val="001C4430"/>
    <w:rsid w:val="001C4670"/>
    <w:rsid w:val="001C5183"/>
    <w:rsid w:val="001C5A1D"/>
    <w:rsid w:val="001C6076"/>
    <w:rsid w:val="001C62DB"/>
    <w:rsid w:val="001C6C54"/>
    <w:rsid w:val="001C6E88"/>
    <w:rsid w:val="001D0402"/>
    <w:rsid w:val="001D05EF"/>
    <w:rsid w:val="001D0E06"/>
    <w:rsid w:val="001D16D6"/>
    <w:rsid w:val="001D2877"/>
    <w:rsid w:val="001D2CDA"/>
    <w:rsid w:val="001D2DAE"/>
    <w:rsid w:val="001D3307"/>
    <w:rsid w:val="001D3C6F"/>
    <w:rsid w:val="001D449C"/>
    <w:rsid w:val="001D480D"/>
    <w:rsid w:val="001D564A"/>
    <w:rsid w:val="001D5A53"/>
    <w:rsid w:val="001D5E07"/>
    <w:rsid w:val="001D6050"/>
    <w:rsid w:val="001D6259"/>
    <w:rsid w:val="001D6503"/>
    <w:rsid w:val="001D6621"/>
    <w:rsid w:val="001D7355"/>
    <w:rsid w:val="001D74EF"/>
    <w:rsid w:val="001D7643"/>
    <w:rsid w:val="001E074F"/>
    <w:rsid w:val="001E0DAB"/>
    <w:rsid w:val="001E10F9"/>
    <w:rsid w:val="001E127B"/>
    <w:rsid w:val="001E188F"/>
    <w:rsid w:val="001E20E2"/>
    <w:rsid w:val="001E3481"/>
    <w:rsid w:val="001E3C05"/>
    <w:rsid w:val="001E47AC"/>
    <w:rsid w:val="001E4F15"/>
    <w:rsid w:val="001E5B9B"/>
    <w:rsid w:val="001E7741"/>
    <w:rsid w:val="001E79F8"/>
    <w:rsid w:val="001E7BE8"/>
    <w:rsid w:val="001E7C4D"/>
    <w:rsid w:val="001F0248"/>
    <w:rsid w:val="001F0448"/>
    <w:rsid w:val="001F0A7C"/>
    <w:rsid w:val="001F0D9F"/>
    <w:rsid w:val="001F1F8A"/>
    <w:rsid w:val="001F2E87"/>
    <w:rsid w:val="001F3246"/>
    <w:rsid w:val="001F3515"/>
    <w:rsid w:val="001F3D46"/>
    <w:rsid w:val="001F3EB3"/>
    <w:rsid w:val="001F593E"/>
    <w:rsid w:val="001F5F78"/>
    <w:rsid w:val="001F602C"/>
    <w:rsid w:val="001F6477"/>
    <w:rsid w:val="001F678D"/>
    <w:rsid w:val="001F69D5"/>
    <w:rsid w:val="001F735A"/>
    <w:rsid w:val="001F7428"/>
    <w:rsid w:val="001F74C4"/>
    <w:rsid w:val="0020023A"/>
    <w:rsid w:val="00200771"/>
    <w:rsid w:val="00200864"/>
    <w:rsid w:val="00200B2B"/>
    <w:rsid w:val="00201007"/>
    <w:rsid w:val="00202562"/>
    <w:rsid w:val="00202C2C"/>
    <w:rsid w:val="002038DC"/>
    <w:rsid w:val="00203A8A"/>
    <w:rsid w:val="002043C5"/>
    <w:rsid w:val="00204C10"/>
    <w:rsid w:val="00204F3D"/>
    <w:rsid w:val="00205202"/>
    <w:rsid w:val="0020528A"/>
    <w:rsid w:val="00206CB4"/>
    <w:rsid w:val="0020718C"/>
    <w:rsid w:val="00207264"/>
    <w:rsid w:val="00207288"/>
    <w:rsid w:val="002106B9"/>
    <w:rsid w:val="002108A2"/>
    <w:rsid w:val="00210D19"/>
    <w:rsid w:val="00210D41"/>
    <w:rsid w:val="00210FE5"/>
    <w:rsid w:val="002115C1"/>
    <w:rsid w:val="002117B2"/>
    <w:rsid w:val="00212075"/>
    <w:rsid w:val="002127E5"/>
    <w:rsid w:val="002128D2"/>
    <w:rsid w:val="00212FDF"/>
    <w:rsid w:val="0021361B"/>
    <w:rsid w:val="00213B2B"/>
    <w:rsid w:val="00213FC1"/>
    <w:rsid w:val="00216C5F"/>
    <w:rsid w:val="002171A3"/>
    <w:rsid w:val="002173DB"/>
    <w:rsid w:val="0022148A"/>
    <w:rsid w:val="00221551"/>
    <w:rsid w:val="002227D1"/>
    <w:rsid w:val="0022284F"/>
    <w:rsid w:val="00222CA5"/>
    <w:rsid w:val="00224BA5"/>
    <w:rsid w:val="00224BB8"/>
    <w:rsid w:val="00225093"/>
    <w:rsid w:val="00225922"/>
    <w:rsid w:val="00225FCC"/>
    <w:rsid w:val="0022748D"/>
    <w:rsid w:val="00227E90"/>
    <w:rsid w:val="00227F77"/>
    <w:rsid w:val="002303D7"/>
    <w:rsid w:val="00231089"/>
    <w:rsid w:val="00231801"/>
    <w:rsid w:val="00231C24"/>
    <w:rsid w:val="002320B1"/>
    <w:rsid w:val="00232185"/>
    <w:rsid w:val="0023219C"/>
    <w:rsid w:val="002326A0"/>
    <w:rsid w:val="0023288E"/>
    <w:rsid w:val="002331C2"/>
    <w:rsid w:val="0023365A"/>
    <w:rsid w:val="00233CB7"/>
    <w:rsid w:val="002345D0"/>
    <w:rsid w:val="002349F2"/>
    <w:rsid w:val="00234D06"/>
    <w:rsid w:val="00234E7B"/>
    <w:rsid w:val="00235016"/>
    <w:rsid w:val="0023506E"/>
    <w:rsid w:val="00235100"/>
    <w:rsid w:val="00235AD9"/>
    <w:rsid w:val="00235DAB"/>
    <w:rsid w:val="00236810"/>
    <w:rsid w:val="00236A1B"/>
    <w:rsid w:val="00236E09"/>
    <w:rsid w:val="00236F7C"/>
    <w:rsid w:val="0023782C"/>
    <w:rsid w:val="00237932"/>
    <w:rsid w:val="00241B0F"/>
    <w:rsid w:val="00242279"/>
    <w:rsid w:val="0024301F"/>
    <w:rsid w:val="002432BC"/>
    <w:rsid w:val="0024358A"/>
    <w:rsid w:val="00243D11"/>
    <w:rsid w:val="00244E6E"/>
    <w:rsid w:val="002450DC"/>
    <w:rsid w:val="00245B5C"/>
    <w:rsid w:val="00245C82"/>
    <w:rsid w:val="00245F5E"/>
    <w:rsid w:val="002464D3"/>
    <w:rsid w:val="00246ACB"/>
    <w:rsid w:val="00246E3E"/>
    <w:rsid w:val="002479D6"/>
    <w:rsid w:val="00247A2F"/>
    <w:rsid w:val="00247C9C"/>
    <w:rsid w:val="00250053"/>
    <w:rsid w:val="0025025C"/>
    <w:rsid w:val="00251B2C"/>
    <w:rsid w:val="00251F17"/>
    <w:rsid w:val="0025205A"/>
    <w:rsid w:val="0025220E"/>
    <w:rsid w:val="00252552"/>
    <w:rsid w:val="002528AF"/>
    <w:rsid w:val="00252986"/>
    <w:rsid w:val="00253119"/>
    <w:rsid w:val="00253295"/>
    <w:rsid w:val="00253EE8"/>
    <w:rsid w:val="00254034"/>
    <w:rsid w:val="0025405E"/>
    <w:rsid w:val="0025486C"/>
    <w:rsid w:val="00254C4A"/>
    <w:rsid w:val="00254DEF"/>
    <w:rsid w:val="00255240"/>
    <w:rsid w:val="00255296"/>
    <w:rsid w:val="00255D13"/>
    <w:rsid w:val="00256423"/>
    <w:rsid w:val="00256492"/>
    <w:rsid w:val="0025693B"/>
    <w:rsid w:val="00256ADE"/>
    <w:rsid w:val="00257068"/>
    <w:rsid w:val="00257D44"/>
    <w:rsid w:val="00257F90"/>
    <w:rsid w:val="00260334"/>
    <w:rsid w:val="00261BF6"/>
    <w:rsid w:val="00262136"/>
    <w:rsid w:val="0026347F"/>
    <w:rsid w:val="0026372F"/>
    <w:rsid w:val="00263ECA"/>
    <w:rsid w:val="0026402C"/>
    <w:rsid w:val="0026434B"/>
    <w:rsid w:val="00264924"/>
    <w:rsid w:val="00264C5D"/>
    <w:rsid w:val="002656AF"/>
    <w:rsid w:val="00265792"/>
    <w:rsid w:val="00265E0B"/>
    <w:rsid w:val="00265FE9"/>
    <w:rsid w:val="0026631D"/>
    <w:rsid w:val="002673F8"/>
    <w:rsid w:val="00267B23"/>
    <w:rsid w:val="0027219D"/>
    <w:rsid w:val="002723E6"/>
    <w:rsid w:val="00272DCF"/>
    <w:rsid w:val="002734FB"/>
    <w:rsid w:val="0027466C"/>
    <w:rsid w:val="002749C2"/>
    <w:rsid w:val="00274BED"/>
    <w:rsid w:val="0027583C"/>
    <w:rsid w:val="00275FFC"/>
    <w:rsid w:val="0027612A"/>
    <w:rsid w:val="0027698F"/>
    <w:rsid w:val="00276D46"/>
    <w:rsid w:val="0027760B"/>
    <w:rsid w:val="00277B2E"/>
    <w:rsid w:val="00280029"/>
    <w:rsid w:val="00281573"/>
    <w:rsid w:val="00281855"/>
    <w:rsid w:val="00281C9C"/>
    <w:rsid w:val="00282BDE"/>
    <w:rsid w:val="00283077"/>
    <w:rsid w:val="002833FC"/>
    <w:rsid w:val="0028362E"/>
    <w:rsid w:val="0028423E"/>
    <w:rsid w:val="00285303"/>
    <w:rsid w:val="00285477"/>
    <w:rsid w:val="00285AD6"/>
    <w:rsid w:val="00285C88"/>
    <w:rsid w:val="00287195"/>
    <w:rsid w:val="00287C6B"/>
    <w:rsid w:val="00287FD2"/>
    <w:rsid w:val="00291B40"/>
    <w:rsid w:val="00292500"/>
    <w:rsid w:val="0029295A"/>
    <w:rsid w:val="00292C8D"/>
    <w:rsid w:val="00293ABB"/>
    <w:rsid w:val="00293B79"/>
    <w:rsid w:val="00294403"/>
    <w:rsid w:val="00294525"/>
    <w:rsid w:val="00294876"/>
    <w:rsid w:val="002954EB"/>
    <w:rsid w:val="0029557A"/>
    <w:rsid w:val="00295FC9"/>
    <w:rsid w:val="002976A7"/>
    <w:rsid w:val="0029776B"/>
    <w:rsid w:val="002977BD"/>
    <w:rsid w:val="00297BBC"/>
    <w:rsid w:val="00297FD6"/>
    <w:rsid w:val="002A05CD"/>
    <w:rsid w:val="002A15BA"/>
    <w:rsid w:val="002A4079"/>
    <w:rsid w:val="002A416D"/>
    <w:rsid w:val="002A4490"/>
    <w:rsid w:val="002A46D9"/>
    <w:rsid w:val="002A48F9"/>
    <w:rsid w:val="002A4AE4"/>
    <w:rsid w:val="002A5008"/>
    <w:rsid w:val="002A577B"/>
    <w:rsid w:val="002A6291"/>
    <w:rsid w:val="002A6E18"/>
    <w:rsid w:val="002A7320"/>
    <w:rsid w:val="002A778A"/>
    <w:rsid w:val="002A7C35"/>
    <w:rsid w:val="002A7CED"/>
    <w:rsid w:val="002B0212"/>
    <w:rsid w:val="002B04E8"/>
    <w:rsid w:val="002B110F"/>
    <w:rsid w:val="002B1404"/>
    <w:rsid w:val="002B1729"/>
    <w:rsid w:val="002B1AF1"/>
    <w:rsid w:val="002B1FB4"/>
    <w:rsid w:val="002B28F9"/>
    <w:rsid w:val="002B2F8A"/>
    <w:rsid w:val="002B3369"/>
    <w:rsid w:val="002B4008"/>
    <w:rsid w:val="002B4956"/>
    <w:rsid w:val="002B6189"/>
    <w:rsid w:val="002B6A24"/>
    <w:rsid w:val="002B6DBA"/>
    <w:rsid w:val="002B7ED4"/>
    <w:rsid w:val="002C007C"/>
    <w:rsid w:val="002C04C9"/>
    <w:rsid w:val="002C130E"/>
    <w:rsid w:val="002C212F"/>
    <w:rsid w:val="002C279A"/>
    <w:rsid w:val="002C29E8"/>
    <w:rsid w:val="002C2A42"/>
    <w:rsid w:val="002C2B1C"/>
    <w:rsid w:val="002C2B83"/>
    <w:rsid w:val="002C2CD1"/>
    <w:rsid w:val="002C2E4E"/>
    <w:rsid w:val="002C3167"/>
    <w:rsid w:val="002C4323"/>
    <w:rsid w:val="002C4C14"/>
    <w:rsid w:val="002C50E5"/>
    <w:rsid w:val="002C5670"/>
    <w:rsid w:val="002C59D5"/>
    <w:rsid w:val="002C653D"/>
    <w:rsid w:val="002C6895"/>
    <w:rsid w:val="002C6AFA"/>
    <w:rsid w:val="002C707E"/>
    <w:rsid w:val="002C72C1"/>
    <w:rsid w:val="002C759B"/>
    <w:rsid w:val="002C77FF"/>
    <w:rsid w:val="002D0E8E"/>
    <w:rsid w:val="002D205A"/>
    <w:rsid w:val="002D2340"/>
    <w:rsid w:val="002D254A"/>
    <w:rsid w:val="002D2A7B"/>
    <w:rsid w:val="002D3898"/>
    <w:rsid w:val="002D3921"/>
    <w:rsid w:val="002D3EDD"/>
    <w:rsid w:val="002D4B4D"/>
    <w:rsid w:val="002D58CA"/>
    <w:rsid w:val="002D6170"/>
    <w:rsid w:val="002D64A0"/>
    <w:rsid w:val="002D7EBD"/>
    <w:rsid w:val="002E01F2"/>
    <w:rsid w:val="002E082C"/>
    <w:rsid w:val="002E09C6"/>
    <w:rsid w:val="002E228F"/>
    <w:rsid w:val="002E27C0"/>
    <w:rsid w:val="002E29D9"/>
    <w:rsid w:val="002E381E"/>
    <w:rsid w:val="002E3D84"/>
    <w:rsid w:val="002E3F61"/>
    <w:rsid w:val="002E4FE0"/>
    <w:rsid w:val="002E51A5"/>
    <w:rsid w:val="002E5B9F"/>
    <w:rsid w:val="002E6251"/>
    <w:rsid w:val="002E6654"/>
    <w:rsid w:val="002E66EF"/>
    <w:rsid w:val="002E683F"/>
    <w:rsid w:val="002E7307"/>
    <w:rsid w:val="002E77FF"/>
    <w:rsid w:val="002F045D"/>
    <w:rsid w:val="002F05F6"/>
    <w:rsid w:val="002F0788"/>
    <w:rsid w:val="002F090F"/>
    <w:rsid w:val="002F0C65"/>
    <w:rsid w:val="002F0F09"/>
    <w:rsid w:val="002F1750"/>
    <w:rsid w:val="002F1E7F"/>
    <w:rsid w:val="002F1F9B"/>
    <w:rsid w:val="002F263E"/>
    <w:rsid w:val="002F2700"/>
    <w:rsid w:val="002F2931"/>
    <w:rsid w:val="002F2975"/>
    <w:rsid w:val="002F2A70"/>
    <w:rsid w:val="002F2C47"/>
    <w:rsid w:val="002F2CD2"/>
    <w:rsid w:val="002F2FD8"/>
    <w:rsid w:val="002F3135"/>
    <w:rsid w:val="002F32D9"/>
    <w:rsid w:val="002F3EEC"/>
    <w:rsid w:val="002F461B"/>
    <w:rsid w:val="002F53E0"/>
    <w:rsid w:val="002F543C"/>
    <w:rsid w:val="002F5AA8"/>
    <w:rsid w:val="002F5B0E"/>
    <w:rsid w:val="002F6778"/>
    <w:rsid w:val="002F6938"/>
    <w:rsid w:val="002F6DE6"/>
    <w:rsid w:val="002F7801"/>
    <w:rsid w:val="002F7AA2"/>
    <w:rsid w:val="002F7F25"/>
    <w:rsid w:val="0030032B"/>
    <w:rsid w:val="003008D7"/>
    <w:rsid w:val="00300F84"/>
    <w:rsid w:val="00301189"/>
    <w:rsid w:val="0030126A"/>
    <w:rsid w:val="003015B4"/>
    <w:rsid w:val="00301DF4"/>
    <w:rsid w:val="00301FA4"/>
    <w:rsid w:val="003020C8"/>
    <w:rsid w:val="003028FA"/>
    <w:rsid w:val="00303111"/>
    <w:rsid w:val="003031B6"/>
    <w:rsid w:val="003031E7"/>
    <w:rsid w:val="003031EC"/>
    <w:rsid w:val="00303B3C"/>
    <w:rsid w:val="003043A3"/>
    <w:rsid w:val="00304901"/>
    <w:rsid w:val="003049F4"/>
    <w:rsid w:val="00304E16"/>
    <w:rsid w:val="003056A4"/>
    <w:rsid w:val="00305AE7"/>
    <w:rsid w:val="00306525"/>
    <w:rsid w:val="00306DF8"/>
    <w:rsid w:val="00306FAA"/>
    <w:rsid w:val="00307E7A"/>
    <w:rsid w:val="0031008E"/>
    <w:rsid w:val="0031179F"/>
    <w:rsid w:val="00311CDD"/>
    <w:rsid w:val="00312320"/>
    <w:rsid w:val="003129CE"/>
    <w:rsid w:val="003130D0"/>
    <w:rsid w:val="00313C8C"/>
    <w:rsid w:val="0031425E"/>
    <w:rsid w:val="00314450"/>
    <w:rsid w:val="00314F94"/>
    <w:rsid w:val="00315261"/>
    <w:rsid w:val="00315A95"/>
    <w:rsid w:val="00316DB7"/>
    <w:rsid w:val="003170A4"/>
    <w:rsid w:val="00320045"/>
    <w:rsid w:val="003202E5"/>
    <w:rsid w:val="00321339"/>
    <w:rsid w:val="003221B7"/>
    <w:rsid w:val="003225A6"/>
    <w:rsid w:val="00322B80"/>
    <w:rsid w:val="00323B01"/>
    <w:rsid w:val="00323D38"/>
    <w:rsid w:val="00323E09"/>
    <w:rsid w:val="0032431A"/>
    <w:rsid w:val="00326052"/>
    <w:rsid w:val="0032625A"/>
    <w:rsid w:val="003267FC"/>
    <w:rsid w:val="003269D2"/>
    <w:rsid w:val="00326FBF"/>
    <w:rsid w:val="00326FE7"/>
    <w:rsid w:val="00327649"/>
    <w:rsid w:val="0032768A"/>
    <w:rsid w:val="00327AE4"/>
    <w:rsid w:val="00327BA0"/>
    <w:rsid w:val="00327F5C"/>
    <w:rsid w:val="0033011C"/>
    <w:rsid w:val="00330188"/>
    <w:rsid w:val="00330628"/>
    <w:rsid w:val="003306EA"/>
    <w:rsid w:val="00330D19"/>
    <w:rsid w:val="003317DB"/>
    <w:rsid w:val="003319A4"/>
    <w:rsid w:val="003319CF"/>
    <w:rsid w:val="00332072"/>
    <w:rsid w:val="00332555"/>
    <w:rsid w:val="003326DD"/>
    <w:rsid w:val="0033300F"/>
    <w:rsid w:val="00333435"/>
    <w:rsid w:val="00333768"/>
    <w:rsid w:val="00333932"/>
    <w:rsid w:val="00333CC1"/>
    <w:rsid w:val="00333E92"/>
    <w:rsid w:val="0033440A"/>
    <w:rsid w:val="003361F6"/>
    <w:rsid w:val="0033650A"/>
    <w:rsid w:val="0033651D"/>
    <w:rsid w:val="0033682C"/>
    <w:rsid w:val="00336F52"/>
    <w:rsid w:val="00337656"/>
    <w:rsid w:val="0033777A"/>
    <w:rsid w:val="00337CE1"/>
    <w:rsid w:val="00337D59"/>
    <w:rsid w:val="0034032B"/>
    <w:rsid w:val="00340500"/>
    <w:rsid w:val="00341431"/>
    <w:rsid w:val="00341B04"/>
    <w:rsid w:val="00342A3E"/>
    <w:rsid w:val="00342C39"/>
    <w:rsid w:val="00342CBB"/>
    <w:rsid w:val="0034329D"/>
    <w:rsid w:val="00343DDC"/>
    <w:rsid w:val="003442B5"/>
    <w:rsid w:val="00344A28"/>
    <w:rsid w:val="00346593"/>
    <w:rsid w:val="00346BB9"/>
    <w:rsid w:val="003477A3"/>
    <w:rsid w:val="0034798A"/>
    <w:rsid w:val="00347B82"/>
    <w:rsid w:val="00350147"/>
    <w:rsid w:val="003502C7"/>
    <w:rsid w:val="00350556"/>
    <w:rsid w:val="003518AA"/>
    <w:rsid w:val="00352053"/>
    <w:rsid w:val="00352165"/>
    <w:rsid w:val="0035225C"/>
    <w:rsid w:val="00352469"/>
    <w:rsid w:val="003524AB"/>
    <w:rsid w:val="003525A7"/>
    <w:rsid w:val="00352B05"/>
    <w:rsid w:val="00352CAE"/>
    <w:rsid w:val="00352E9F"/>
    <w:rsid w:val="00353039"/>
    <w:rsid w:val="00353182"/>
    <w:rsid w:val="00353D5C"/>
    <w:rsid w:val="00354474"/>
    <w:rsid w:val="00355251"/>
    <w:rsid w:val="003552AF"/>
    <w:rsid w:val="00355B88"/>
    <w:rsid w:val="00355DAA"/>
    <w:rsid w:val="00355FAB"/>
    <w:rsid w:val="003560CB"/>
    <w:rsid w:val="003565D9"/>
    <w:rsid w:val="0035688A"/>
    <w:rsid w:val="00357CD5"/>
    <w:rsid w:val="00357D0E"/>
    <w:rsid w:val="003600E2"/>
    <w:rsid w:val="003602E1"/>
    <w:rsid w:val="0036061B"/>
    <w:rsid w:val="00360CEB"/>
    <w:rsid w:val="00360D14"/>
    <w:rsid w:val="003612F7"/>
    <w:rsid w:val="0036180F"/>
    <w:rsid w:val="00361D89"/>
    <w:rsid w:val="00361FE9"/>
    <w:rsid w:val="003626C1"/>
    <w:rsid w:val="0036290B"/>
    <w:rsid w:val="00362ECF"/>
    <w:rsid w:val="003632F0"/>
    <w:rsid w:val="003638BE"/>
    <w:rsid w:val="00363D7E"/>
    <w:rsid w:val="00363E34"/>
    <w:rsid w:val="00364DEA"/>
    <w:rsid w:val="0036576E"/>
    <w:rsid w:val="00365DF5"/>
    <w:rsid w:val="0036621C"/>
    <w:rsid w:val="00366627"/>
    <w:rsid w:val="0036680A"/>
    <w:rsid w:val="0036749B"/>
    <w:rsid w:val="003675BE"/>
    <w:rsid w:val="00367CD7"/>
    <w:rsid w:val="0037026F"/>
    <w:rsid w:val="00370771"/>
    <w:rsid w:val="003709F0"/>
    <w:rsid w:val="003711B8"/>
    <w:rsid w:val="00371240"/>
    <w:rsid w:val="00371668"/>
    <w:rsid w:val="003716EE"/>
    <w:rsid w:val="00371790"/>
    <w:rsid w:val="00371D62"/>
    <w:rsid w:val="00372446"/>
    <w:rsid w:val="003724E7"/>
    <w:rsid w:val="00373557"/>
    <w:rsid w:val="00373953"/>
    <w:rsid w:val="00374050"/>
    <w:rsid w:val="003740E4"/>
    <w:rsid w:val="00374449"/>
    <w:rsid w:val="00374731"/>
    <w:rsid w:val="00375354"/>
    <w:rsid w:val="00375B0F"/>
    <w:rsid w:val="00376493"/>
    <w:rsid w:val="0037700C"/>
    <w:rsid w:val="0037730D"/>
    <w:rsid w:val="003777B4"/>
    <w:rsid w:val="00377C1A"/>
    <w:rsid w:val="003801E6"/>
    <w:rsid w:val="00380608"/>
    <w:rsid w:val="00380796"/>
    <w:rsid w:val="003811E3"/>
    <w:rsid w:val="00381977"/>
    <w:rsid w:val="003823DA"/>
    <w:rsid w:val="0038338F"/>
    <w:rsid w:val="003847D5"/>
    <w:rsid w:val="0038499C"/>
    <w:rsid w:val="0038552F"/>
    <w:rsid w:val="00385855"/>
    <w:rsid w:val="00385BB8"/>
    <w:rsid w:val="00387D26"/>
    <w:rsid w:val="003905B8"/>
    <w:rsid w:val="003911E0"/>
    <w:rsid w:val="0039157A"/>
    <w:rsid w:val="003919EB"/>
    <w:rsid w:val="003919F9"/>
    <w:rsid w:val="00391AA3"/>
    <w:rsid w:val="00391FE8"/>
    <w:rsid w:val="00392623"/>
    <w:rsid w:val="003933DA"/>
    <w:rsid w:val="00393CBB"/>
    <w:rsid w:val="00394296"/>
    <w:rsid w:val="003945B8"/>
    <w:rsid w:val="00395445"/>
    <w:rsid w:val="003956E5"/>
    <w:rsid w:val="00396A42"/>
    <w:rsid w:val="00396CEC"/>
    <w:rsid w:val="003A0A6A"/>
    <w:rsid w:val="003A1495"/>
    <w:rsid w:val="003A1C1B"/>
    <w:rsid w:val="003A1E78"/>
    <w:rsid w:val="003A2072"/>
    <w:rsid w:val="003A26B4"/>
    <w:rsid w:val="003A323D"/>
    <w:rsid w:val="003A3C48"/>
    <w:rsid w:val="003A3D02"/>
    <w:rsid w:val="003A3D6F"/>
    <w:rsid w:val="003A3E48"/>
    <w:rsid w:val="003A409E"/>
    <w:rsid w:val="003A40AA"/>
    <w:rsid w:val="003A4657"/>
    <w:rsid w:val="003A4AF8"/>
    <w:rsid w:val="003A5022"/>
    <w:rsid w:val="003A5C54"/>
    <w:rsid w:val="003A6013"/>
    <w:rsid w:val="003A70C6"/>
    <w:rsid w:val="003A7B0D"/>
    <w:rsid w:val="003A7FCD"/>
    <w:rsid w:val="003B06DF"/>
    <w:rsid w:val="003B07C0"/>
    <w:rsid w:val="003B0FBA"/>
    <w:rsid w:val="003B1ADB"/>
    <w:rsid w:val="003B2BA2"/>
    <w:rsid w:val="003B2DCE"/>
    <w:rsid w:val="003B2F28"/>
    <w:rsid w:val="003B322B"/>
    <w:rsid w:val="003B3A8B"/>
    <w:rsid w:val="003B3D24"/>
    <w:rsid w:val="003B4379"/>
    <w:rsid w:val="003B4475"/>
    <w:rsid w:val="003B51BA"/>
    <w:rsid w:val="003B5D4E"/>
    <w:rsid w:val="003B65D2"/>
    <w:rsid w:val="003B6781"/>
    <w:rsid w:val="003B697E"/>
    <w:rsid w:val="003B7DA6"/>
    <w:rsid w:val="003C0567"/>
    <w:rsid w:val="003C13D4"/>
    <w:rsid w:val="003C14B3"/>
    <w:rsid w:val="003C1578"/>
    <w:rsid w:val="003C1A6F"/>
    <w:rsid w:val="003C1A7E"/>
    <w:rsid w:val="003C1CC3"/>
    <w:rsid w:val="003C1DA6"/>
    <w:rsid w:val="003C1DCE"/>
    <w:rsid w:val="003C2687"/>
    <w:rsid w:val="003C38B5"/>
    <w:rsid w:val="003C3A23"/>
    <w:rsid w:val="003C3AC9"/>
    <w:rsid w:val="003C4067"/>
    <w:rsid w:val="003C4B85"/>
    <w:rsid w:val="003C5D99"/>
    <w:rsid w:val="003C5FD9"/>
    <w:rsid w:val="003C6D55"/>
    <w:rsid w:val="003C748B"/>
    <w:rsid w:val="003C765D"/>
    <w:rsid w:val="003C7725"/>
    <w:rsid w:val="003D0433"/>
    <w:rsid w:val="003D0F25"/>
    <w:rsid w:val="003D12FA"/>
    <w:rsid w:val="003D1A6E"/>
    <w:rsid w:val="003D1BE1"/>
    <w:rsid w:val="003D2686"/>
    <w:rsid w:val="003D2AE5"/>
    <w:rsid w:val="003D347C"/>
    <w:rsid w:val="003D3D69"/>
    <w:rsid w:val="003D3F0C"/>
    <w:rsid w:val="003D4291"/>
    <w:rsid w:val="003D4EB6"/>
    <w:rsid w:val="003D5078"/>
    <w:rsid w:val="003D5E38"/>
    <w:rsid w:val="003D6113"/>
    <w:rsid w:val="003D6257"/>
    <w:rsid w:val="003D73AF"/>
    <w:rsid w:val="003D767C"/>
    <w:rsid w:val="003D7D4C"/>
    <w:rsid w:val="003E0924"/>
    <w:rsid w:val="003E102D"/>
    <w:rsid w:val="003E2107"/>
    <w:rsid w:val="003E2F59"/>
    <w:rsid w:val="003E3315"/>
    <w:rsid w:val="003E3680"/>
    <w:rsid w:val="003E38B6"/>
    <w:rsid w:val="003E4142"/>
    <w:rsid w:val="003E429D"/>
    <w:rsid w:val="003E547C"/>
    <w:rsid w:val="003E558C"/>
    <w:rsid w:val="003E5D48"/>
    <w:rsid w:val="003E6616"/>
    <w:rsid w:val="003E67A1"/>
    <w:rsid w:val="003E6E08"/>
    <w:rsid w:val="003E7C73"/>
    <w:rsid w:val="003F018D"/>
    <w:rsid w:val="003F044F"/>
    <w:rsid w:val="003F0789"/>
    <w:rsid w:val="003F0B17"/>
    <w:rsid w:val="003F0E0A"/>
    <w:rsid w:val="003F171D"/>
    <w:rsid w:val="003F1E3B"/>
    <w:rsid w:val="003F258F"/>
    <w:rsid w:val="003F25B5"/>
    <w:rsid w:val="003F2622"/>
    <w:rsid w:val="003F2A11"/>
    <w:rsid w:val="003F4598"/>
    <w:rsid w:val="003F46AE"/>
    <w:rsid w:val="003F4F4C"/>
    <w:rsid w:val="003F5810"/>
    <w:rsid w:val="003F5877"/>
    <w:rsid w:val="003F5924"/>
    <w:rsid w:val="003F5D7C"/>
    <w:rsid w:val="003F5E34"/>
    <w:rsid w:val="003F6127"/>
    <w:rsid w:val="003F665C"/>
    <w:rsid w:val="003F6FA8"/>
    <w:rsid w:val="003F7282"/>
    <w:rsid w:val="003F73E7"/>
    <w:rsid w:val="003F7789"/>
    <w:rsid w:val="003F7E90"/>
    <w:rsid w:val="00400156"/>
    <w:rsid w:val="00400364"/>
    <w:rsid w:val="00400575"/>
    <w:rsid w:val="0040080A"/>
    <w:rsid w:val="00401273"/>
    <w:rsid w:val="00401882"/>
    <w:rsid w:val="00401A61"/>
    <w:rsid w:val="00401B5E"/>
    <w:rsid w:val="00401B75"/>
    <w:rsid w:val="00401F1E"/>
    <w:rsid w:val="0040238B"/>
    <w:rsid w:val="004025E5"/>
    <w:rsid w:val="0040299D"/>
    <w:rsid w:val="00402A0E"/>
    <w:rsid w:val="00402CFE"/>
    <w:rsid w:val="00402D46"/>
    <w:rsid w:val="00402DEF"/>
    <w:rsid w:val="00403142"/>
    <w:rsid w:val="004033AD"/>
    <w:rsid w:val="0040401B"/>
    <w:rsid w:val="00404533"/>
    <w:rsid w:val="00404DCA"/>
    <w:rsid w:val="00405008"/>
    <w:rsid w:val="00405C1B"/>
    <w:rsid w:val="00405C94"/>
    <w:rsid w:val="00406389"/>
    <w:rsid w:val="00406629"/>
    <w:rsid w:val="00406F07"/>
    <w:rsid w:val="004072FA"/>
    <w:rsid w:val="0040741E"/>
    <w:rsid w:val="004100C8"/>
    <w:rsid w:val="00410583"/>
    <w:rsid w:val="00410844"/>
    <w:rsid w:val="00411DBD"/>
    <w:rsid w:val="00411DED"/>
    <w:rsid w:val="004127B1"/>
    <w:rsid w:val="004128D5"/>
    <w:rsid w:val="00412ACE"/>
    <w:rsid w:val="00412F4E"/>
    <w:rsid w:val="00413177"/>
    <w:rsid w:val="00413F01"/>
    <w:rsid w:val="00413F91"/>
    <w:rsid w:val="00414E8B"/>
    <w:rsid w:val="00415651"/>
    <w:rsid w:val="00415664"/>
    <w:rsid w:val="004158BB"/>
    <w:rsid w:val="00416394"/>
    <w:rsid w:val="00416E36"/>
    <w:rsid w:val="00416E86"/>
    <w:rsid w:val="00416FF0"/>
    <w:rsid w:val="00417269"/>
    <w:rsid w:val="00417CB4"/>
    <w:rsid w:val="00420340"/>
    <w:rsid w:val="00420F77"/>
    <w:rsid w:val="0042165E"/>
    <w:rsid w:val="00421BCE"/>
    <w:rsid w:val="00422775"/>
    <w:rsid w:val="004229F1"/>
    <w:rsid w:val="00422D0D"/>
    <w:rsid w:val="004231C3"/>
    <w:rsid w:val="00423ADF"/>
    <w:rsid w:val="00426088"/>
    <w:rsid w:val="00426198"/>
    <w:rsid w:val="00426B2C"/>
    <w:rsid w:val="00426B46"/>
    <w:rsid w:val="00426FDE"/>
    <w:rsid w:val="004272F7"/>
    <w:rsid w:val="0043002E"/>
    <w:rsid w:val="00430860"/>
    <w:rsid w:val="00430D29"/>
    <w:rsid w:val="00431249"/>
    <w:rsid w:val="004313A4"/>
    <w:rsid w:val="00431DFC"/>
    <w:rsid w:val="00432B76"/>
    <w:rsid w:val="0043417C"/>
    <w:rsid w:val="00434443"/>
    <w:rsid w:val="00434A8F"/>
    <w:rsid w:val="00434C19"/>
    <w:rsid w:val="00435296"/>
    <w:rsid w:val="00435716"/>
    <w:rsid w:val="00435F9C"/>
    <w:rsid w:val="00437389"/>
    <w:rsid w:val="004373BC"/>
    <w:rsid w:val="00437CE6"/>
    <w:rsid w:val="00437D8C"/>
    <w:rsid w:val="00440367"/>
    <w:rsid w:val="0044152C"/>
    <w:rsid w:val="004416D9"/>
    <w:rsid w:val="004417C6"/>
    <w:rsid w:val="00442477"/>
    <w:rsid w:val="004425B9"/>
    <w:rsid w:val="00442B1B"/>
    <w:rsid w:val="00442C65"/>
    <w:rsid w:val="00443842"/>
    <w:rsid w:val="00443BC4"/>
    <w:rsid w:val="00443CE7"/>
    <w:rsid w:val="00443F03"/>
    <w:rsid w:val="00444349"/>
    <w:rsid w:val="004445E3"/>
    <w:rsid w:val="004448EE"/>
    <w:rsid w:val="004449BC"/>
    <w:rsid w:val="00444FDB"/>
    <w:rsid w:val="004452E1"/>
    <w:rsid w:val="0044592F"/>
    <w:rsid w:val="00445CA6"/>
    <w:rsid w:val="00446092"/>
    <w:rsid w:val="004470A1"/>
    <w:rsid w:val="00447426"/>
    <w:rsid w:val="0044749F"/>
    <w:rsid w:val="00447A02"/>
    <w:rsid w:val="00450810"/>
    <w:rsid w:val="00450886"/>
    <w:rsid w:val="004510DA"/>
    <w:rsid w:val="00451953"/>
    <w:rsid w:val="00451E3F"/>
    <w:rsid w:val="00451F37"/>
    <w:rsid w:val="00451FCE"/>
    <w:rsid w:val="0045234D"/>
    <w:rsid w:val="004526C8"/>
    <w:rsid w:val="004526ED"/>
    <w:rsid w:val="004527ED"/>
    <w:rsid w:val="00452CCE"/>
    <w:rsid w:val="00452F19"/>
    <w:rsid w:val="004531E4"/>
    <w:rsid w:val="00453AF1"/>
    <w:rsid w:val="00453F18"/>
    <w:rsid w:val="00453FE0"/>
    <w:rsid w:val="0045468B"/>
    <w:rsid w:val="004546CB"/>
    <w:rsid w:val="004550DE"/>
    <w:rsid w:val="00455ACA"/>
    <w:rsid w:val="00456B8E"/>
    <w:rsid w:val="00457241"/>
    <w:rsid w:val="0045728C"/>
    <w:rsid w:val="004572F4"/>
    <w:rsid w:val="00457831"/>
    <w:rsid w:val="00457BD1"/>
    <w:rsid w:val="004604D7"/>
    <w:rsid w:val="004607B0"/>
    <w:rsid w:val="00460D46"/>
    <w:rsid w:val="00461314"/>
    <w:rsid w:val="00462759"/>
    <w:rsid w:val="004633A6"/>
    <w:rsid w:val="004636B0"/>
    <w:rsid w:val="00463E7B"/>
    <w:rsid w:val="00464216"/>
    <w:rsid w:val="00464941"/>
    <w:rsid w:val="00464A25"/>
    <w:rsid w:val="00464FCA"/>
    <w:rsid w:val="00465743"/>
    <w:rsid w:val="004679E0"/>
    <w:rsid w:val="004701C9"/>
    <w:rsid w:val="00470FB7"/>
    <w:rsid w:val="00472A87"/>
    <w:rsid w:val="00472CCE"/>
    <w:rsid w:val="00472F23"/>
    <w:rsid w:val="004734D7"/>
    <w:rsid w:val="00473728"/>
    <w:rsid w:val="00473C35"/>
    <w:rsid w:val="004742BD"/>
    <w:rsid w:val="0047533A"/>
    <w:rsid w:val="004757C8"/>
    <w:rsid w:val="004759D6"/>
    <w:rsid w:val="00475BCA"/>
    <w:rsid w:val="004762C3"/>
    <w:rsid w:val="004764DA"/>
    <w:rsid w:val="00476EB9"/>
    <w:rsid w:val="00477144"/>
    <w:rsid w:val="00477B02"/>
    <w:rsid w:val="004804C1"/>
    <w:rsid w:val="00480C0E"/>
    <w:rsid w:val="00480F98"/>
    <w:rsid w:val="00481194"/>
    <w:rsid w:val="00481B62"/>
    <w:rsid w:val="00481BEB"/>
    <w:rsid w:val="004822F9"/>
    <w:rsid w:val="004832C4"/>
    <w:rsid w:val="0048370B"/>
    <w:rsid w:val="00483CBF"/>
    <w:rsid w:val="00483D86"/>
    <w:rsid w:val="00483DE1"/>
    <w:rsid w:val="00484FFD"/>
    <w:rsid w:val="0048531D"/>
    <w:rsid w:val="004854CF"/>
    <w:rsid w:val="0048556A"/>
    <w:rsid w:val="00486679"/>
    <w:rsid w:val="00486A2C"/>
    <w:rsid w:val="00486B61"/>
    <w:rsid w:val="004873BE"/>
    <w:rsid w:val="00487A2A"/>
    <w:rsid w:val="004903F9"/>
    <w:rsid w:val="00490FDA"/>
    <w:rsid w:val="004914AC"/>
    <w:rsid w:val="00491F02"/>
    <w:rsid w:val="00491FD6"/>
    <w:rsid w:val="00492710"/>
    <w:rsid w:val="004929C2"/>
    <w:rsid w:val="00492B54"/>
    <w:rsid w:val="00492CA1"/>
    <w:rsid w:val="00492E28"/>
    <w:rsid w:val="004930D7"/>
    <w:rsid w:val="0049343F"/>
    <w:rsid w:val="0049363E"/>
    <w:rsid w:val="0049393A"/>
    <w:rsid w:val="0049394A"/>
    <w:rsid w:val="0049459F"/>
    <w:rsid w:val="004946CA"/>
    <w:rsid w:val="00495169"/>
    <w:rsid w:val="00495999"/>
    <w:rsid w:val="00496A84"/>
    <w:rsid w:val="0049705E"/>
    <w:rsid w:val="00497195"/>
    <w:rsid w:val="004972EF"/>
    <w:rsid w:val="00497A10"/>
    <w:rsid w:val="004A0062"/>
    <w:rsid w:val="004A0382"/>
    <w:rsid w:val="004A0463"/>
    <w:rsid w:val="004A07FD"/>
    <w:rsid w:val="004A0C40"/>
    <w:rsid w:val="004A0EB0"/>
    <w:rsid w:val="004A0F70"/>
    <w:rsid w:val="004A137F"/>
    <w:rsid w:val="004A13F0"/>
    <w:rsid w:val="004A1B95"/>
    <w:rsid w:val="004A2BB7"/>
    <w:rsid w:val="004A36DC"/>
    <w:rsid w:val="004A38DD"/>
    <w:rsid w:val="004A3B6D"/>
    <w:rsid w:val="004A3C1F"/>
    <w:rsid w:val="004A3F55"/>
    <w:rsid w:val="004A4F29"/>
    <w:rsid w:val="004A51C9"/>
    <w:rsid w:val="004A586A"/>
    <w:rsid w:val="004A65C3"/>
    <w:rsid w:val="004A6912"/>
    <w:rsid w:val="004A6A49"/>
    <w:rsid w:val="004A6CB5"/>
    <w:rsid w:val="004A7118"/>
    <w:rsid w:val="004A79EF"/>
    <w:rsid w:val="004A7C03"/>
    <w:rsid w:val="004A7F38"/>
    <w:rsid w:val="004B017B"/>
    <w:rsid w:val="004B0BB7"/>
    <w:rsid w:val="004B12EA"/>
    <w:rsid w:val="004B24CD"/>
    <w:rsid w:val="004B2998"/>
    <w:rsid w:val="004B39D2"/>
    <w:rsid w:val="004B3C5D"/>
    <w:rsid w:val="004B3FDF"/>
    <w:rsid w:val="004B423E"/>
    <w:rsid w:val="004B43AE"/>
    <w:rsid w:val="004B4D4B"/>
    <w:rsid w:val="004B4F8C"/>
    <w:rsid w:val="004B50C9"/>
    <w:rsid w:val="004B5438"/>
    <w:rsid w:val="004B591A"/>
    <w:rsid w:val="004B5C6E"/>
    <w:rsid w:val="004B6107"/>
    <w:rsid w:val="004B6D43"/>
    <w:rsid w:val="004B6E13"/>
    <w:rsid w:val="004B75CE"/>
    <w:rsid w:val="004B781D"/>
    <w:rsid w:val="004C1099"/>
    <w:rsid w:val="004C1806"/>
    <w:rsid w:val="004C21BE"/>
    <w:rsid w:val="004C2A5B"/>
    <w:rsid w:val="004C30ED"/>
    <w:rsid w:val="004C4490"/>
    <w:rsid w:val="004C4637"/>
    <w:rsid w:val="004C471B"/>
    <w:rsid w:val="004C4EFB"/>
    <w:rsid w:val="004C53DB"/>
    <w:rsid w:val="004C588D"/>
    <w:rsid w:val="004C59B3"/>
    <w:rsid w:val="004C5F4E"/>
    <w:rsid w:val="004C78CE"/>
    <w:rsid w:val="004D01A7"/>
    <w:rsid w:val="004D0931"/>
    <w:rsid w:val="004D0D4B"/>
    <w:rsid w:val="004D12FA"/>
    <w:rsid w:val="004D1489"/>
    <w:rsid w:val="004D199C"/>
    <w:rsid w:val="004D1EAA"/>
    <w:rsid w:val="004D226B"/>
    <w:rsid w:val="004D27C1"/>
    <w:rsid w:val="004D2BED"/>
    <w:rsid w:val="004D389F"/>
    <w:rsid w:val="004D3CCF"/>
    <w:rsid w:val="004D3FCA"/>
    <w:rsid w:val="004D45E4"/>
    <w:rsid w:val="004D49C0"/>
    <w:rsid w:val="004D533B"/>
    <w:rsid w:val="004D5650"/>
    <w:rsid w:val="004D5675"/>
    <w:rsid w:val="004D69FD"/>
    <w:rsid w:val="004D73DD"/>
    <w:rsid w:val="004D743B"/>
    <w:rsid w:val="004D7609"/>
    <w:rsid w:val="004E0B31"/>
    <w:rsid w:val="004E0BC7"/>
    <w:rsid w:val="004E24E8"/>
    <w:rsid w:val="004E26A4"/>
    <w:rsid w:val="004E32E2"/>
    <w:rsid w:val="004E37D4"/>
    <w:rsid w:val="004E4152"/>
    <w:rsid w:val="004E46A1"/>
    <w:rsid w:val="004E5706"/>
    <w:rsid w:val="004E5A59"/>
    <w:rsid w:val="004E5F76"/>
    <w:rsid w:val="004E7490"/>
    <w:rsid w:val="004E76F7"/>
    <w:rsid w:val="004E7FAA"/>
    <w:rsid w:val="004F0120"/>
    <w:rsid w:val="004F0500"/>
    <w:rsid w:val="004F05BB"/>
    <w:rsid w:val="004F10D3"/>
    <w:rsid w:val="004F1105"/>
    <w:rsid w:val="004F1106"/>
    <w:rsid w:val="004F1211"/>
    <w:rsid w:val="004F13D6"/>
    <w:rsid w:val="004F1E25"/>
    <w:rsid w:val="004F1FDC"/>
    <w:rsid w:val="004F251C"/>
    <w:rsid w:val="004F25E7"/>
    <w:rsid w:val="004F2A67"/>
    <w:rsid w:val="004F3319"/>
    <w:rsid w:val="004F3AAA"/>
    <w:rsid w:val="004F43D6"/>
    <w:rsid w:val="004F4466"/>
    <w:rsid w:val="004F4CAD"/>
    <w:rsid w:val="004F627B"/>
    <w:rsid w:val="004F6BF1"/>
    <w:rsid w:val="004F6D6E"/>
    <w:rsid w:val="004F7078"/>
    <w:rsid w:val="004F743A"/>
    <w:rsid w:val="00500004"/>
    <w:rsid w:val="00500225"/>
    <w:rsid w:val="00500549"/>
    <w:rsid w:val="00500AAA"/>
    <w:rsid w:val="005013FB"/>
    <w:rsid w:val="0050165D"/>
    <w:rsid w:val="005026DE"/>
    <w:rsid w:val="00505527"/>
    <w:rsid w:val="00505AA4"/>
    <w:rsid w:val="00505AD2"/>
    <w:rsid w:val="00506A9A"/>
    <w:rsid w:val="00506EA3"/>
    <w:rsid w:val="00506F5D"/>
    <w:rsid w:val="005073F8"/>
    <w:rsid w:val="005078F2"/>
    <w:rsid w:val="005104DF"/>
    <w:rsid w:val="005109D7"/>
    <w:rsid w:val="00510D73"/>
    <w:rsid w:val="0051173D"/>
    <w:rsid w:val="00511FC2"/>
    <w:rsid w:val="00512A71"/>
    <w:rsid w:val="005134C3"/>
    <w:rsid w:val="00513582"/>
    <w:rsid w:val="00514065"/>
    <w:rsid w:val="00514467"/>
    <w:rsid w:val="00514860"/>
    <w:rsid w:val="00514CD9"/>
    <w:rsid w:val="00514D24"/>
    <w:rsid w:val="00514D57"/>
    <w:rsid w:val="005156E0"/>
    <w:rsid w:val="00515857"/>
    <w:rsid w:val="00515874"/>
    <w:rsid w:val="00515A7F"/>
    <w:rsid w:val="005160C9"/>
    <w:rsid w:val="0051667C"/>
    <w:rsid w:val="00516DAB"/>
    <w:rsid w:val="00516F9C"/>
    <w:rsid w:val="005170C8"/>
    <w:rsid w:val="005178D7"/>
    <w:rsid w:val="00517A31"/>
    <w:rsid w:val="00517CE6"/>
    <w:rsid w:val="00517E4A"/>
    <w:rsid w:val="00517EC2"/>
    <w:rsid w:val="00520112"/>
    <w:rsid w:val="00520274"/>
    <w:rsid w:val="005203B5"/>
    <w:rsid w:val="00520494"/>
    <w:rsid w:val="00520F3E"/>
    <w:rsid w:val="00521328"/>
    <w:rsid w:val="00521AB9"/>
    <w:rsid w:val="0052275C"/>
    <w:rsid w:val="00522B15"/>
    <w:rsid w:val="00523639"/>
    <w:rsid w:val="005238FD"/>
    <w:rsid w:val="0052450C"/>
    <w:rsid w:val="005250F0"/>
    <w:rsid w:val="005256F6"/>
    <w:rsid w:val="00525949"/>
    <w:rsid w:val="00526B3B"/>
    <w:rsid w:val="00527220"/>
    <w:rsid w:val="00527459"/>
    <w:rsid w:val="005300AB"/>
    <w:rsid w:val="005305DC"/>
    <w:rsid w:val="005308E2"/>
    <w:rsid w:val="005311AB"/>
    <w:rsid w:val="00531FE5"/>
    <w:rsid w:val="0053387C"/>
    <w:rsid w:val="00533CD3"/>
    <w:rsid w:val="00534357"/>
    <w:rsid w:val="00534EA1"/>
    <w:rsid w:val="00534FDC"/>
    <w:rsid w:val="005356A1"/>
    <w:rsid w:val="00535AE0"/>
    <w:rsid w:val="00536D36"/>
    <w:rsid w:val="005378B1"/>
    <w:rsid w:val="00540272"/>
    <w:rsid w:val="005403B2"/>
    <w:rsid w:val="00541487"/>
    <w:rsid w:val="005421CC"/>
    <w:rsid w:val="00542250"/>
    <w:rsid w:val="005426D1"/>
    <w:rsid w:val="00542B22"/>
    <w:rsid w:val="00542D2C"/>
    <w:rsid w:val="00543504"/>
    <w:rsid w:val="00543FC9"/>
    <w:rsid w:val="005449F9"/>
    <w:rsid w:val="00544F5C"/>
    <w:rsid w:val="005452B8"/>
    <w:rsid w:val="00545633"/>
    <w:rsid w:val="0054565D"/>
    <w:rsid w:val="005464B7"/>
    <w:rsid w:val="005471D2"/>
    <w:rsid w:val="005474D7"/>
    <w:rsid w:val="00547752"/>
    <w:rsid w:val="00547DC3"/>
    <w:rsid w:val="00550E8C"/>
    <w:rsid w:val="005518E0"/>
    <w:rsid w:val="005523D7"/>
    <w:rsid w:val="00552623"/>
    <w:rsid w:val="00554561"/>
    <w:rsid w:val="00554D61"/>
    <w:rsid w:val="00554FB7"/>
    <w:rsid w:val="00555532"/>
    <w:rsid w:val="00556231"/>
    <w:rsid w:val="00557649"/>
    <w:rsid w:val="00557F89"/>
    <w:rsid w:val="00560131"/>
    <w:rsid w:val="00560550"/>
    <w:rsid w:val="005605C3"/>
    <w:rsid w:val="005608D2"/>
    <w:rsid w:val="00560E14"/>
    <w:rsid w:val="005611F5"/>
    <w:rsid w:val="005618C6"/>
    <w:rsid w:val="00561E26"/>
    <w:rsid w:val="0056211C"/>
    <w:rsid w:val="005629E0"/>
    <w:rsid w:val="00562EF6"/>
    <w:rsid w:val="0056330E"/>
    <w:rsid w:val="00563707"/>
    <w:rsid w:val="00563CF2"/>
    <w:rsid w:val="00564372"/>
    <w:rsid w:val="0056450B"/>
    <w:rsid w:val="00564BAD"/>
    <w:rsid w:val="0056552B"/>
    <w:rsid w:val="00566BCA"/>
    <w:rsid w:val="00567029"/>
    <w:rsid w:val="00570059"/>
    <w:rsid w:val="00570B51"/>
    <w:rsid w:val="00570F2A"/>
    <w:rsid w:val="005713B2"/>
    <w:rsid w:val="0057155C"/>
    <w:rsid w:val="00571E59"/>
    <w:rsid w:val="00571FDF"/>
    <w:rsid w:val="005722B8"/>
    <w:rsid w:val="0057285E"/>
    <w:rsid w:val="005737DC"/>
    <w:rsid w:val="00573E85"/>
    <w:rsid w:val="00573FB1"/>
    <w:rsid w:val="005743A1"/>
    <w:rsid w:val="00574545"/>
    <w:rsid w:val="00574FD7"/>
    <w:rsid w:val="00575B3F"/>
    <w:rsid w:val="0057632E"/>
    <w:rsid w:val="005771F4"/>
    <w:rsid w:val="005774B7"/>
    <w:rsid w:val="005774C2"/>
    <w:rsid w:val="005776C9"/>
    <w:rsid w:val="00577CB0"/>
    <w:rsid w:val="00577FCB"/>
    <w:rsid w:val="00580941"/>
    <w:rsid w:val="00581158"/>
    <w:rsid w:val="005811CB"/>
    <w:rsid w:val="005815DE"/>
    <w:rsid w:val="00581C00"/>
    <w:rsid w:val="00581D36"/>
    <w:rsid w:val="00581FC1"/>
    <w:rsid w:val="00582198"/>
    <w:rsid w:val="005825CD"/>
    <w:rsid w:val="00583007"/>
    <w:rsid w:val="00583C39"/>
    <w:rsid w:val="0058401C"/>
    <w:rsid w:val="005840F3"/>
    <w:rsid w:val="005853E6"/>
    <w:rsid w:val="0059076E"/>
    <w:rsid w:val="005907CF"/>
    <w:rsid w:val="005909CF"/>
    <w:rsid w:val="00590B15"/>
    <w:rsid w:val="00590D8D"/>
    <w:rsid w:val="00591481"/>
    <w:rsid w:val="00591484"/>
    <w:rsid w:val="005915FC"/>
    <w:rsid w:val="00591E71"/>
    <w:rsid w:val="0059248A"/>
    <w:rsid w:val="00592962"/>
    <w:rsid w:val="00592FE6"/>
    <w:rsid w:val="00593530"/>
    <w:rsid w:val="00594F0D"/>
    <w:rsid w:val="00595434"/>
    <w:rsid w:val="00596C5D"/>
    <w:rsid w:val="00596DA3"/>
    <w:rsid w:val="0059791E"/>
    <w:rsid w:val="00597E8A"/>
    <w:rsid w:val="005A0136"/>
    <w:rsid w:val="005A0588"/>
    <w:rsid w:val="005A0D41"/>
    <w:rsid w:val="005A0E10"/>
    <w:rsid w:val="005A1B3D"/>
    <w:rsid w:val="005A1E06"/>
    <w:rsid w:val="005A1FC4"/>
    <w:rsid w:val="005A22B4"/>
    <w:rsid w:val="005A2CDE"/>
    <w:rsid w:val="005A391F"/>
    <w:rsid w:val="005A3995"/>
    <w:rsid w:val="005A469E"/>
    <w:rsid w:val="005A4F6F"/>
    <w:rsid w:val="005A50CB"/>
    <w:rsid w:val="005A557F"/>
    <w:rsid w:val="005A6711"/>
    <w:rsid w:val="005A678C"/>
    <w:rsid w:val="005A68EE"/>
    <w:rsid w:val="005A6B8F"/>
    <w:rsid w:val="005A6E82"/>
    <w:rsid w:val="005A719C"/>
    <w:rsid w:val="005A750D"/>
    <w:rsid w:val="005A78F7"/>
    <w:rsid w:val="005A7A2E"/>
    <w:rsid w:val="005B06CD"/>
    <w:rsid w:val="005B0B99"/>
    <w:rsid w:val="005B0BCF"/>
    <w:rsid w:val="005B1032"/>
    <w:rsid w:val="005B1327"/>
    <w:rsid w:val="005B1885"/>
    <w:rsid w:val="005B19B9"/>
    <w:rsid w:val="005B1A95"/>
    <w:rsid w:val="005B1ADE"/>
    <w:rsid w:val="005B29B2"/>
    <w:rsid w:val="005B2AB3"/>
    <w:rsid w:val="005B2C0F"/>
    <w:rsid w:val="005B2E0D"/>
    <w:rsid w:val="005B2EB5"/>
    <w:rsid w:val="005B314C"/>
    <w:rsid w:val="005B37AE"/>
    <w:rsid w:val="005B3DFB"/>
    <w:rsid w:val="005B428B"/>
    <w:rsid w:val="005B5665"/>
    <w:rsid w:val="005B5896"/>
    <w:rsid w:val="005B5A22"/>
    <w:rsid w:val="005B5B92"/>
    <w:rsid w:val="005B5F59"/>
    <w:rsid w:val="005B6586"/>
    <w:rsid w:val="005B6861"/>
    <w:rsid w:val="005B6E09"/>
    <w:rsid w:val="005B6EDB"/>
    <w:rsid w:val="005B7079"/>
    <w:rsid w:val="005C02C3"/>
    <w:rsid w:val="005C045A"/>
    <w:rsid w:val="005C05FD"/>
    <w:rsid w:val="005C06C0"/>
    <w:rsid w:val="005C1012"/>
    <w:rsid w:val="005C1C02"/>
    <w:rsid w:val="005C29D4"/>
    <w:rsid w:val="005C2C91"/>
    <w:rsid w:val="005C347E"/>
    <w:rsid w:val="005C350C"/>
    <w:rsid w:val="005C37F0"/>
    <w:rsid w:val="005C3C8F"/>
    <w:rsid w:val="005C4C41"/>
    <w:rsid w:val="005C5BAA"/>
    <w:rsid w:val="005C5EBC"/>
    <w:rsid w:val="005C607C"/>
    <w:rsid w:val="005C6389"/>
    <w:rsid w:val="005C6905"/>
    <w:rsid w:val="005C75FC"/>
    <w:rsid w:val="005D0639"/>
    <w:rsid w:val="005D1D79"/>
    <w:rsid w:val="005D1FFC"/>
    <w:rsid w:val="005D1FFE"/>
    <w:rsid w:val="005D208F"/>
    <w:rsid w:val="005D21F8"/>
    <w:rsid w:val="005D2475"/>
    <w:rsid w:val="005D2EBA"/>
    <w:rsid w:val="005D2FB5"/>
    <w:rsid w:val="005D3AC0"/>
    <w:rsid w:val="005D3F72"/>
    <w:rsid w:val="005D4625"/>
    <w:rsid w:val="005D4693"/>
    <w:rsid w:val="005D4C94"/>
    <w:rsid w:val="005D53F4"/>
    <w:rsid w:val="005D55B0"/>
    <w:rsid w:val="005D61A6"/>
    <w:rsid w:val="005D6296"/>
    <w:rsid w:val="005D684F"/>
    <w:rsid w:val="005D687D"/>
    <w:rsid w:val="005D6ACF"/>
    <w:rsid w:val="005D6E3C"/>
    <w:rsid w:val="005D76EC"/>
    <w:rsid w:val="005D7970"/>
    <w:rsid w:val="005D7BAF"/>
    <w:rsid w:val="005E0071"/>
    <w:rsid w:val="005E00B4"/>
    <w:rsid w:val="005E0E12"/>
    <w:rsid w:val="005E1214"/>
    <w:rsid w:val="005E15A2"/>
    <w:rsid w:val="005E16F4"/>
    <w:rsid w:val="005E18AC"/>
    <w:rsid w:val="005E1E28"/>
    <w:rsid w:val="005E1F70"/>
    <w:rsid w:val="005E2150"/>
    <w:rsid w:val="005E2441"/>
    <w:rsid w:val="005E264B"/>
    <w:rsid w:val="005E2B6E"/>
    <w:rsid w:val="005E34EB"/>
    <w:rsid w:val="005E3977"/>
    <w:rsid w:val="005E3C6B"/>
    <w:rsid w:val="005E530E"/>
    <w:rsid w:val="005E558D"/>
    <w:rsid w:val="005E581F"/>
    <w:rsid w:val="005E5981"/>
    <w:rsid w:val="005E5F9B"/>
    <w:rsid w:val="005E7663"/>
    <w:rsid w:val="005E7DEE"/>
    <w:rsid w:val="005F0096"/>
    <w:rsid w:val="005F03AD"/>
    <w:rsid w:val="005F16C7"/>
    <w:rsid w:val="005F294F"/>
    <w:rsid w:val="005F34C8"/>
    <w:rsid w:val="005F39F0"/>
    <w:rsid w:val="005F3A5B"/>
    <w:rsid w:val="005F3C6C"/>
    <w:rsid w:val="005F466E"/>
    <w:rsid w:val="005F54F2"/>
    <w:rsid w:val="005F5737"/>
    <w:rsid w:val="005F5BF6"/>
    <w:rsid w:val="005F6FDD"/>
    <w:rsid w:val="005F741E"/>
    <w:rsid w:val="005F7AA1"/>
    <w:rsid w:val="005F7D58"/>
    <w:rsid w:val="005F7F16"/>
    <w:rsid w:val="0060042F"/>
    <w:rsid w:val="006009B4"/>
    <w:rsid w:val="00600A3D"/>
    <w:rsid w:val="00600B6A"/>
    <w:rsid w:val="00600CB0"/>
    <w:rsid w:val="0060188B"/>
    <w:rsid w:val="006018FE"/>
    <w:rsid w:val="00601DA0"/>
    <w:rsid w:val="00602062"/>
    <w:rsid w:val="00602F0E"/>
    <w:rsid w:val="00603889"/>
    <w:rsid w:val="006038F2"/>
    <w:rsid w:val="0060417C"/>
    <w:rsid w:val="00604E0C"/>
    <w:rsid w:val="006051C1"/>
    <w:rsid w:val="00606124"/>
    <w:rsid w:val="00606A3A"/>
    <w:rsid w:val="006073C7"/>
    <w:rsid w:val="006073ED"/>
    <w:rsid w:val="00607A33"/>
    <w:rsid w:val="00607BF1"/>
    <w:rsid w:val="0061007A"/>
    <w:rsid w:val="00610288"/>
    <w:rsid w:val="00610498"/>
    <w:rsid w:val="006104CA"/>
    <w:rsid w:val="00611698"/>
    <w:rsid w:val="00611AC4"/>
    <w:rsid w:val="00611AFC"/>
    <w:rsid w:val="00611EB7"/>
    <w:rsid w:val="00611F7A"/>
    <w:rsid w:val="00611FAD"/>
    <w:rsid w:val="006120C0"/>
    <w:rsid w:val="00612632"/>
    <w:rsid w:val="00612873"/>
    <w:rsid w:val="00612879"/>
    <w:rsid w:val="00612B0D"/>
    <w:rsid w:val="00612D69"/>
    <w:rsid w:val="00612E00"/>
    <w:rsid w:val="006131C5"/>
    <w:rsid w:val="006132C8"/>
    <w:rsid w:val="00613771"/>
    <w:rsid w:val="00613953"/>
    <w:rsid w:val="00613AA3"/>
    <w:rsid w:val="00614AFE"/>
    <w:rsid w:val="00614D76"/>
    <w:rsid w:val="00615C91"/>
    <w:rsid w:val="00615E37"/>
    <w:rsid w:val="00616B3C"/>
    <w:rsid w:val="006172A9"/>
    <w:rsid w:val="00617EA9"/>
    <w:rsid w:val="00617F60"/>
    <w:rsid w:val="00620044"/>
    <w:rsid w:val="00620665"/>
    <w:rsid w:val="006212DB"/>
    <w:rsid w:val="0062133D"/>
    <w:rsid w:val="006214B8"/>
    <w:rsid w:val="00621B55"/>
    <w:rsid w:val="00621CC8"/>
    <w:rsid w:val="00621E8F"/>
    <w:rsid w:val="006222C3"/>
    <w:rsid w:val="00622681"/>
    <w:rsid w:val="00622A68"/>
    <w:rsid w:val="00622F30"/>
    <w:rsid w:val="006230C9"/>
    <w:rsid w:val="00623586"/>
    <w:rsid w:val="006235CB"/>
    <w:rsid w:val="00623A55"/>
    <w:rsid w:val="00623AC5"/>
    <w:rsid w:val="00623EFF"/>
    <w:rsid w:val="00624968"/>
    <w:rsid w:val="006266D3"/>
    <w:rsid w:val="006273D6"/>
    <w:rsid w:val="006275CC"/>
    <w:rsid w:val="00627713"/>
    <w:rsid w:val="0063002B"/>
    <w:rsid w:val="006303E8"/>
    <w:rsid w:val="00630AAC"/>
    <w:rsid w:val="00630D4D"/>
    <w:rsid w:val="0063133B"/>
    <w:rsid w:val="006315CC"/>
    <w:rsid w:val="00632A74"/>
    <w:rsid w:val="00632F43"/>
    <w:rsid w:val="006338A1"/>
    <w:rsid w:val="00633F8C"/>
    <w:rsid w:val="00634489"/>
    <w:rsid w:val="0063459B"/>
    <w:rsid w:val="006347C7"/>
    <w:rsid w:val="0063528A"/>
    <w:rsid w:val="0063664E"/>
    <w:rsid w:val="00636711"/>
    <w:rsid w:val="00636E68"/>
    <w:rsid w:val="0063734D"/>
    <w:rsid w:val="00637AAF"/>
    <w:rsid w:val="00637F27"/>
    <w:rsid w:val="00640065"/>
    <w:rsid w:val="0064044F"/>
    <w:rsid w:val="0064067C"/>
    <w:rsid w:val="00642093"/>
    <w:rsid w:val="00642820"/>
    <w:rsid w:val="006429E1"/>
    <w:rsid w:val="00643411"/>
    <w:rsid w:val="00643947"/>
    <w:rsid w:val="00643CD9"/>
    <w:rsid w:val="00643F48"/>
    <w:rsid w:val="006441BF"/>
    <w:rsid w:val="006448B6"/>
    <w:rsid w:val="00644FC7"/>
    <w:rsid w:val="00645202"/>
    <w:rsid w:val="00646450"/>
    <w:rsid w:val="006465ED"/>
    <w:rsid w:val="00646D1F"/>
    <w:rsid w:val="006474DE"/>
    <w:rsid w:val="006475DF"/>
    <w:rsid w:val="0064795B"/>
    <w:rsid w:val="0065008F"/>
    <w:rsid w:val="006505EB"/>
    <w:rsid w:val="006508F7"/>
    <w:rsid w:val="00651085"/>
    <w:rsid w:val="006513AC"/>
    <w:rsid w:val="00651970"/>
    <w:rsid w:val="0065224C"/>
    <w:rsid w:val="0065270C"/>
    <w:rsid w:val="00652AC3"/>
    <w:rsid w:val="00652BAC"/>
    <w:rsid w:val="006535D9"/>
    <w:rsid w:val="006535ED"/>
    <w:rsid w:val="00653BCC"/>
    <w:rsid w:val="00654949"/>
    <w:rsid w:val="00655A15"/>
    <w:rsid w:val="0065706D"/>
    <w:rsid w:val="00657213"/>
    <w:rsid w:val="00657360"/>
    <w:rsid w:val="006574D7"/>
    <w:rsid w:val="0065787A"/>
    <w:rsid w:val="00657AAE"/>
    <w:rsid w:val="00657B0D"/>
    <w:rsid w:val="006604C1"/>
    <w:rsid w:val="00660598"/>
    <w:rsid w:val="0066070D"/>
    <w:rsid w:val="00660734"/>
    <w:rsid w:val="006612D6"/>
    <w:rsid w:val="00661E7A"/>
    <w:rsid w:val="006620F6"/>
    <w:rsid w:val="00662645"/>
    <w:rsid w:val="0066288F"/>
    <w:rsid w:val="006628F0"/>
    <w:rsid w:val="00662C43"/>
    <w:rsid w:val="00662FDB"/>
    <w:rsid w:val="0066317D"/>
    <w:rsid w:val="006639A4"/>
    <w:rsid w:val="006643EB"/>
    <w:rsid w:val="0066444C"/>
    <w:rsid w:val="006646ED"/>
    <w:rsid w:val="00664E1B"/>
    <w:rsid w:val="00664FEB"/>
    <w:rsid w:val="00666FC2"/>
    <w:rsid w:val="00667436"/>
    <w:rsid w:val="006701D8"/>
    <w:rsid w:val="0067050E"/>
    <w:rsid w:val="006708F9"/>
    <w:rsid w:val="00670B10"/>
    <w:rsid w:val="00670C1D"/>
    <w:rsid w:val="00670D2C"/>
    <w:rsid w:val="00670FC0"/>
    <w:rsid w:val="00670FC3"/>
    <w:rsid w:val="00671179"/>
    <w:rsid w:val="006714C5"/>
    <w:rsid w:val="0067175A"/>
    <w:rsid w:val="0067231E"/>
    <w:rsid w:val="0067261D"/>
    <w:rsid w:val="006739D5"/>
    <w:rsid w:val="00674060"/>
    <w:rsid w:val="0067411A"/>
    <w:rsid w:val="00674231"/>
    <w:rsid w:val="006752A2"/>
    <w:rsid w:val="00675377"/>
    <w:rsid w:val="00675662"/>
    <w:rsid w:val="0067655C"/>
    <w:rsid w:val="00676758"/>
    <w:rsid w:val="00677123"/>
    <w:rsid w:val="00677666"/>
    <w:rsid w:val="00677816"/>
    <w:rsid w:val="006804BF"/>
    <w:rsid w:val="006808E4"/>
    <w:rsid w:val="006814B6"/>
    <w:rsid w:val="006816A0"/>
    <w:rsid w:val="00681964"/>
    <w:rsid w:val="00681B5B"/>
    <w:rsid w:val="00681C5E"/>
    <w:rsid w:val="0068204D"/>
    <w:rsid w:val="006828FB"/>
    <w:rsid w:val="00682EF1"/>
    <w:rsid w:val="006832E6"/>
    <w:rsid w:val="00683B25"/>
    <w:rsid w:val="00684469"/>
    <w:rsid w:val="00684B34"/>
    <w:rsid w:val="00684C74"/>
    <w:rsid w:val="006857F5"/>
    <w:rsid w:val="00685C68"/>
    <w:rsid w:val="00687520"/>
    <w:rsid w:val="00687D84"/>
    <w:rsid w:val="00690AC3"/>
    <w:rsid w:val="006910CD"/>
    <w:rsid w:val="006910F7"/>
    <w:rsid w:val="00691DCF"/>
    <w:rsid w:val="0069217D"/>
    <w:rsid w:val="0069244D"/>
    <w:rsid w:val="006927A5"/>
    <w:rsid w:val="00693D8A"/>
    <w:rsid w:val="00695862"/>
    <w:rsid w:val="006969D0"/>
    <w:rsid w:val="00696AB8"/>
    <w:rsid w:val="00696FA1"/>
    <w:rsid w:val="006973B3"/>
    <w:rsid w:val="006976CD"/>
    <w:rsid w:val="006A05A0"/>
    <w:rsid w:val="006A0881"/>
    <w:rsid w:val="006A0938"/>
    <w:rsid w:val="006A1B12"/>
    <w:rsid w:val="006A22B8"/>
    <w:rsid w:val="006A2CFE"/>
    <w:rsid w:val="006A2E18"/>
    <w:rsid w:val="006A34B8"/>
    <w:rsid w:val="006A3823"/>
    <w:rsid w:val="006A4328"/>
    <w:rsid w:val="006A445C"/>
    <w:rsid w:val="006A4655"/>
    <w:rsid w:val="006A53EB"/>
    <w:rsid w:val="006A5A2B"/>
    <w:rsid w:val="006A5B2A"/>
    <w:rsid w:val="006A64F4"/>
    <w:rsid w:val="006A680F"/>
    <w:rsid w:val="006A6FD9"/>
    <w:rsid w:val="006B003E"/>
    <w:rsid w:val="006B0CF8"/>
    <w:rsid w:val="006B0F7A"/>
    <w:rsid w:val="006B1FB9"/>
    <w:rsid w:val="006B200A"/>
    <w:rsid w:val="006B2B3C"/>
    <w:rsid w:val="006B3951"/>
    <w:rsid w:val="006B4067"/>
    <w:rsid w:val="006B431B"/>
    <w:rsid w:val="006B495E"/>
    <w:rsid w:val="006B4A66"/>
    <w:rsid w:val="006B5594"/>
    <w:rsid w:val="006B5D25"/>
    <w:rsid w:val="006B66EE"/>
    <w:rsid w:val="006B6CCB"/>
    <w:rsid w:val="006B731E"/>
    <w:rsid w:val="006B7483"/>
    <w:rsid w:val="006B7F83"/>
    <w:rsid w:val="006C02D2"/>
    <w:rsid w:val="006C0A31"/>
    <w:rsid w:val="006C11A0"/>
    <w:rsid w:val="006C133F"/>
    <w:rsid w:val="006C141C"/>
    <w:rsid w:val="006C1D81"/>
    <w:rsid w:val="006C218B"/>
    <w:rsid w:val="006C224B"/>
    <w:rsid w:val="006C2572"/>
    <w:rsid w:val="006C2785"/>
    <w:rsid w:val="006C32A1"/>
    <w:rsid w:val="006C3826"/>
    <w:rsid w:val="006C3BD9"/>
    <w:rsid w:val="006C3C91"/>
    <w:rsid w:val="006C40D9"/>
    <w:rsid w:val="006C4596"/>
    <w:rsid w:val="006C4F62"/>
    <w:rsid w:val="006C5123"/>
    <w:rsid w:val="006C521F"/>
    <w:rsid w:val="006C57DC"/>
    <w:rsid w:val="006C5F43"/>
    <w:rsid w:val="006C6251"/>
    <w:rsid w:val="006C6D18"/>
    <w:rsid w:val="006C7038"/>
    <w:rsid w:val="006C7271"/>
    <w:rsid w:val="006D1384"/>
    <w:rsid w:val="006D16AE"/>
    <w:rsid w:val="006D17E7"/>
    <w:rsid w:val="006D1EF4"/>
    <w:rsid w:val="006D26F1"/>
    <w:rsid w:val="006D3A84"/>
    <w:rsid w:val="006D3B23"/>
    <w:rsid w:val="006D42DE"/>
    <w:rsid w:val="006D4300"/>
    <w:rsid w:val="006D437E"/>
    <w:rsid w:val="006D4854"/>
    <w:rsid w:val="006D4E2C"/>
    <w:rsid w:val="006D4E43"/>
    <w:rsid w:val="006D60B5"/>
    <w:rsid w:val="006D63DB"/>
    <w:rsid w:val="006D684B"/>
    <w:rsid w:val="006D6F6C"/>
    <w:rsid w:val="006E037D"/>
    <w:rsid w:val="006E0958"/>
    <w:rsid w:val="006E1175"/>
    <w:rsid w:val="006E14FC"/>
    <w:rsid w:val="006E16C6"/>
    <w:rsid w:val="006E1DF3"/>
    <w:rsid w:val="006E21E2"/>
    <w:rsid w:val="006E2EF8"/>
    <w:rsid w:val="006E4E73"/>
    <w:rsid w:val="006E4F88"/>
    <w:rsid w:val="006E4FB6"/>
    <w:rsid w:val="006E51BB"/>
    <w:rsid w:val="006E5C47"/>
    <w:rsid w:val="006E5FDA"/>
    <w:rsid w:val="006E668B"/>
    <w:rsid w:val="006E6DD2"/>
    <w:rsid w:val="006E73EF"/>
    <w:rsid w:val="006E7883"/>
    <w:rsid w:val="006E793E"/>
    <w:rsid w:val="006E7D50"/>
    <w:rsid w:val="006E7ED3"/>
    <w:rsid w:val="006F0679"/>
    <w:rsid w:val="006F1E27"/>
    <w:rsid w:val="006F238B"/>
    <w:rsid w:val="006F23BC"/>
    <w:rsid w:val="006F2407"/>
    <w:rsid w:val="006F3048"/>
    <w:rsid w:val="006F3209"/>
    <w:rsid w:val="006F3873"/>
    <w:rsid w:val="006F3988"/>
    <w:rsid w:val="006F4082"/>
    <w:rsid w:val="006F45D0"/>
    <w:rsid w:val="006F4D53"/>
    <w:rsid w:val="006F5C87"/>
    <w:rsid w:val="006F5D2D"/>
    <w:rsid w:val="006F5D4F"/>
    <w:rsid w:val="006F6923"/>
    <w:rsid w:val="006F69C8"/>
    <w:rsid w:val="006F7209"/>
    <w:rsid w:val="006F77BB"/>
    <w:rsid w:val="007002DB"/>
    <w:rsid w:val="007002FB"/>
    <w:rsid w:val="00700865"/>
    <w:rsid w:val="007009FD"/>
    <w:rsid w:val="00700A64"/>
    <w:rsid w:val="0070188A"/>
    <w:rsid w:val="0070227F"/>
    <w:rsid w:val="0070272F"/>
    <w:rsid w:val="00702DEC"/>
    <w:rsid w:val="00702E91"/>
    <w:rsid w:val="00703CF2"/>
    <w:rsid w:val="00703FEE"/>
    <w:rsid w:val="00704C2E"/>
    <w:rsid w:val="007053EB"/>
    <w:rsid w:val="00705BC7"/>
    <w:rsid w:val="00705C08"/>
    <w:rsid w:val="00705F4F"/>
    <w:rsid w:val="007063A4"/>
    <w:rsid w:val="00706605"/>
    <w:rsid w:val="007069E9"/>
    <w:rsid w:val="00706E4B"/>
    <w:rsid w:val="00707143"/>
    <w:rsid w:val="007075A9"/>
    <w:rsid w:val="00707A4E"/>
    <w:rsid w:val="00707C24"/>
    <w:rsid w:val="00707E8E"/>
    <w:rsid w:val="00711060"/>
    <w:rsid w:val="0071148A"/>
    <w:rsid w:val="00712098"/>
    <w:rsid w:val="00712749"/>
    <w:rsid w:val="00712BC7"/>
    <w:rsid w:val="007130D3"/>
    <w:rsid w:val="0071338F"/>
    <w:rsid w:val="00713523"/>
    <w:rsid w:val="00713AA9"/>
    <w:rsid w:val="00713F4B"/>
    <w:rsid w:val="00714D4D"/>
    <w:rsid w:val="00715A2F"/>
    <w:rsid w:val="00715B2E"/>
    <w:rsid w:val="00715D3A"/>
    <w:rsid w:val="00716033"/>
    <w:rsid w:val="00716422"/>
    <w:rsid w:val="007164E9"/>
    <w:rsid w:val="00716AE4"/>
    <w:rsid w:val="00716E95"/>
    <w:rsid w:val="0071741C"/>
    <w:rsid w:val="00721CBA"/>
    <w:rsid w:val="00721E47"/>
    <w:rsid w:val="007226DB"/>
    <w:rsid w:val="007233D8"/>
    <w:rsid w:val="00723677"/>
    <w:rsid w:val="00723EFD"/>
    <w:rsid w:val="00723FE2"/>
    <w:rsid w:val="007246CF"/>
    <w:rsid w:val="007247A9"/>
    <w:rsid w:val="00725843"/>
    <w:rsid w:val="00725A2A"/>
    <w:rsid w:val="00725E1A"/>
    <w:rsid w:val="007260B8"/>
    <w:rsid w:val="0072649A"/>
    <w:rsid w:val="007274BE"/>
    <w:rsid w:val="00727D76"/>
    <w:rsid w:val="00731EA2"/>
    <w:rsid w:val="0073275B"/>
    <w:rsid w:val="0073387C"/>
    <w:rsid w:val="007340CB"/>
    <w:rsid w:val="00734103"/>
    <w:rsid w:val="00734259"/>
    <w:rsid w:val="00734569"/>
    <w:rsid w:val="00734A79"/>
    <w:rsid w:val="00734B46"/>
    <w:rsid w:val="00735002"/>
    <w:rsid w:val="0073555C"/>
    <w:rsid w:val="00735EC0"/>
    <w:rsid w:val="00735FE5"/>
    <w:rsid w:val="00736303"/>
    <w:rsid w:val="00736FFC"/>
    <w:rsid w:val="0073768E"/>
    <w:rsid w:val="0073789B"/>
    <w:rsid w:val="00737BEC"/>
    <w:rsid w:val="00740598"/>
    <w:rsid w:val="00740D0E"/>
    <w:rsid w:val="00740EDF"/>
    <w:rsid w:val="00741A14"/>
    <w:rsid w:val="00741D7E"/>
    <w:rsid w:val="00742C09"/>
    <w:rsid w:val="007433C5"/>
    <w:rsid w:val="00743903"/>
    <w:rsid w:val="00743DE1"/>
    <w:rsid w:val="007445B1"/>
    <w:rsid w:val="00744692"/>
    <w:rsid w:val="007446C0"/>
    <w:rsid w:val="00744AE0"/>
    <w:rsid w:val="00744F30"/>
    <w:rsid w:val="007452B5"/>
    <w:rsid w:val="00745666"/>
    <w:rsid w:val="00745D0E"/>
    <w:rsid w:val="00745E53"/>
    <w:rsid w:val="00745FBB"/>
    <w:rsid w:val="0074613C"/>
    <w:rsid w:val="00746883"/>
    <w:rsid w:val="00746989"/>
    <w:rsid w:val="00747931"/>
    <w:rsid w:val="00750620"/>
    <w:rsid w:val="00750A40"/>
    <w:rsid w:val="00750B45"/>
    <w:rsid w:val="00750BC6"/>
    <w:rsid w:val="00751186"/>
    <w:rsid w:val="00751B5F"/>
    <w:rsid w:val="00752B50"/>
    <w:rsid w:val="00753C88"/>
    <w:rsid w:val="00753FE0"/>
    <w:rsid w:val="00754053"/>
    <w:rsid w:val="0075483B"/>
    <w:rsid w:val="00754AA9"/>
    <w:rsid w:val="00754FC4"/>
    <w:rsid w:val="0075511A"/>
    <w:rsid w:val="007555FB"/>
    <w:rsid w:val="00755A50"/>
    <w:rsid w:val="00756707"/>
    <w:rsid w:val="0075693B"/>
    <w:rsid w:val="007571A3"/>
    <w:rsid w:val="0075771E"/>
    <w:rsid w:val="00760316"/>
    <w:rsid w:val="007604BB"/>
    <w:rsid w:val="00760874"/>
    <w:rsid w:val="00760B0E"/>
    <w:rsid w:val="007612D0"/>
    <w:rsid w:val="007615B3"/>
    <w:rsid w:val="007617E2"/>
    <w:rsid w:val="007627BF"/>
    <w:rsid w:val="007633EC"/>
    <w:rsid w:val="00763577"/>
    <w:rsid w:val="007636AB"/>
    <w:rsid w:val="00764738"/>
    <w:rsid w:val="00764D8D"/>
    <w:rsid w:val="007657AB"/>
    <w:rsid w:val="00765C17"/>
    <w:rsid w:val="007664D3"/>
    <w:rsid w:val="00766A07"/>
    <w:rsid w:val="00766F17"/>
    <w:rsid w:val="0077010D"/>
    <w:rsid w:val="00770193"/>
    <w:rsid w:val="00770E19"/>
    <w:rsid w:val="007710B4"/>
    <w:rsid w:val="00771544"/>
    <w:rsid w:val="007717F7"/>
    <w:rsid w:val="007719F2"/>
    <w:rsid w:val="00771A85"/>
    <w:rsid w:val="007724C9"/>
    <w:rsid w:val="007741F3"/>
    <w:rsid w:val="007749EA"/>
    <w:rsid w:val="0077575D"/>
    <w:rsid w:val="00775DA2"/>
    <w:rsid w:val="00775DF7"/>
    <w:rsid w:val="007768DC"/>
    <w:rsid w:val="0077732B"/>
    <w:rsid w:val="007775B1"/>
    <w:rsid w:val="00780B6E"/>
    <w:rsid w:val="00780C5D"/>
    <w:rsid w:val="00780F09"/>
    <w:rsid w:val="007812D3"/>
    <w:rsid w:val="00781486"/>
    <w:rsid w:val="00781CA7"/>
    <w:rsid w:val="00782E5C"/>
    <w:rsid w:val="00783265"/>
    <w:rsid w:val="00783E47"/>
    <w:rsid w:val="00783ECF"/>
    <w:rsid w:val="00783FCE"/>
    <w:rsid w:val="007842E8"/>
    <w:rsid w:val="00784BB8"/>
    <w:rsid w:val="00784EEF"/>
    <w:rsid w:val="00785232"/>
    <w:rsid w:val="0078532F"/>
    <w:rsid w:val="00785508"/>
    <w:rsid w:val="007858A5"/>
    <w:rsid w:val="00786267"/>
    <w:rsid w:val="00786977"/>
    <w:rsid w:val="00786C31"/>
    <w:rsid w:val="00786DE6"/>
    <w:rsid w:val="00786E03"/>
    <w:rsid w:val="007905DC"/>
    <w:rsid w:val="00790A7B"/>
    <w:rsid w:val="00791708"/>
    <w:rsid w:val="00792031"/>
    <w:rsid w:val="007932D8"/>
    <w:rsid w:val="007935F3"/>
    <w:rsid w:val="00793B00"/>
    <w:rsid w:val="00793F73"/>
    <w:rsid w:val="00794000"/>
    <w:rsid w:val="00794795"/>
    <w:rsid w:val="007948D2"/>
    <w:rsid w:val="00794CB0"/>
    <w:rsid w:val="00794E2F"/>
    <w:rsid w:val="0079516D"/>
    <w:rsid w:val="00795BDE"/>
    <w:rsid w:val="00796596"/>
    <w:rsid w:val="00796BBB"/>
    <w:rsid w:val="00796D21"/>
    <w:rsid w:val="00796DEE"/>
    <w:rsid w:val="00796F56"/>
    <w:rsid w:val="00797052"/>
    <w:rsid w:val="007973DA"/>
    <w:rsid w:val="007976EA"/>
    <w:rsid w:val="00797AAA"/>
    <w:rsid w:val="00797B59"/>
    <w:rsid w:val="00797DAB"/>
    <w:rsid w:val="007A03A1"/>
    <w:rsid w:val="007A069C"/>
    <w:rsid w:val="007A0B12"/>
    <w:rsid w:val="007A1AFC"/>
    <w:rsid w:val="007A21EB"/>
    <w:rsid w:val="007A29A8"/>
    <w:rsid w:val="007A2F7C"/>
    <w:rsid w:val="007A304D"/>
    <w:rsid w:val="007A34BD"/>
    <w:rsid w:val="007A35C7"/>
    <w:rsid w:val="007A4358"/>
    <w:rsid w:val="007A4D20"/>
    <w:rsid w:val="007A4F4F"/>
    <w:rsid w:val="007A649D"/>
    <w:rsid w:val="007A6858"/>
    <w:rsid w:val="007A7323"/>
    <w:rsid w:val="007A7707"/>
    <w:rsid w:val="007A7ABE"/>
    <w:rsid w:val="007B0FA8"/>
    <w:rsid w:val="007B11FF"/>
    <w:rsid w:val="007B1295"/>
    <w:rsid w:val="007B1A93"/>
    <w:rsid w:val="007B1DAB"/>
    <w:rsid w:val="007B28A5"/>
    <w:rsid w:val="007B32AD"/>
    <w:rsid w:val="007B3FB4"/>
    <w:rsid w:val="007B46E1"/>
    <w:rsid w:val="007B4E62"/>
    <w:rsid w:val="007B5152"/>
    <w:rsid w:val="007B5164"/>
    <w:rsid w:val="007B587F"/>
    <w:rsid w:val="007B71BA"/>
    <w:rsid w:val="007B7FFD"/>
    <w:rsid w:val="007C0840"/>
    <w:rsid w:val="007C0A54"/>
    <w:rsid w:val="007C0A60"/>
    <w:rsid w:val="007C1040"/>
    <w:rsid w:val="007C152A"/>
    <w:rsid w:val="007C16BC"/>
    <w:rsid w:val="007C1826"/>
    <w:rsid w:val="007C2143"/>
    <w:rsid w:val="007C2F6D"/>
    <w:rsid w:val="007C345A"/>
    <w:rsid w:val="007C36C9"/>
    <w:rsid w:val="007C3EB7"/>
    <w:rsid w:val="007C4FAA"/>
    <w:rsid w:val="007C58D3"/>
    <w:rsid w:val="007C599E"/>
    <w:rsid w:val="007C6911"/>
    <w:rsid w:val="007C69B2"/>
    <w:rsid w:val="007C7102"/>
    <w:rsid w:val="007C71C0"/>
    <w:rsid w:val="007C71C6"/>
    <w:rsid w:val="007C7CF9"/>
    <w:rsid w:val="007D004D"/>
    <w:rsid w:val="007D0BA5"/>
    <w:rsid w:val="007D2003"/>
    <w:rsid w:val="007D2156"/>
    <w:rsid w:val="007D27A0"/>
    <w:rsid w:val="007D291F"/>
    <w:rsid w:val="007D2966"/>
    <w:rsid w:val="007D30D3"/>
    <w:rsid w:val="007D39A7"/>
    <w:rsid w:val="007D4562"/>
    <w:rsid w:val="007D46E8"/>
    <w:rsid w:val="007D4E65"/>
    <w:rsid w:val="007D53BC"/>
    <w:rsid w:val="007D595B"/>
    <w:rsid w:val="007D5BCF"/>
    <w:rsid w:val="007D5C9F"/>
    <w:rsid w:val="007D6385"/>
    <w:rsid w:val="007D6390"/>
    <w:rsid w:val="007D6401"/>
    <w:rsid w:val="007D78B5"/>
    <w:rsid w:val="007E01E4"/>
    <w:rsid w:val="007E03DA"/>
    <w:rsid w:val="007E098B"/>
    <w:rsid w:val="007E0AAD"/>
    <w:rsid w:val="007E146E"/>
    <w:rsid w:val="007E226A"/>
    <w:rsid w:val="007E2863"/>
    <w:rsid w:val="007E48BB"/>
    <w:rsid w:val="007E500C"/>
    <w:rsid w:val="007E5CB2"/>
    <w:rsid w:val="007E5F4C"/>
    <w:rsid w:val="007E601F"/>
    <w:rsid w:val="007E647E"/>
    <w:rsid w:val="007E650E"/>
    <w:rsid w:val="007E6699"/>
    <w:rsid w:val="007E7A9E"/>
    <w:rsid w:val="007E7E7C"/>
    <w:rsid w:val="007F0A36"/>
    <w:rsid w:val="007F12BD"/>
    <w:rsid w:val="007F141F"/>
    <w:rsid w:val="007F144B"/>
    <w:rsid w:val="007F189D"/>
    <w:rsid w:val="007F18C0"/>
    <w:rsid w:val="007F2094"/>
    <w:rsid w:val="007F28E3"/>
    <w:rsid w:val="007F2AD2"/>
    <w:rsid w:val="007F2F22"/>
    <w:rsid w:val="007F3642"/>
    <w:rsid w:val="007F36A0"/>
    <w:rsid w:val="007F404F"/>
    <w:rsid w:val="007F441E"/>
    <w:rsid w:val="007F4B04"/>
    <w:rsid w:val="007F4DAF"/>
    <w:rsid w:val="007F5063"/>
    <w:rsid w:val="007F5572"/>
    <w:rsid w:val="007F55C4"/>
    <w:rsid w:val="007F5AFA"/>
    <w:rsid w:val="007F5B92"/>
    <w:rsid w:val="007F6A71"/>
    <w:rsid w:val="007F7107"/>
    <w:rsid w:val="007F79BB"/>
    <w:rsid w:val="007F7DB1"/>
    <w:rsid w:val="007F7F10"/>
    <w:rsid w:val="00800261"/>
    <w:rsid w:val="00800571"/>
    <w:rsid w:val="00800F29"/>
    <w:rsid w:val="008015AD"/>
    <w:rsid w:val="0080256F"/>
    <w:rsid w:val="0080281D"/>
    <w:rsid w:val="00803093"/>
    <w:rsid w:val="00803DE5"/>
    <w:rsid w:val="00803E10"/>
    <w:rsid w:val="0080410D"/>
    <w:rsid w:val="008041A7"/>
    <w:rsid w:val="008042A8"/>
    <w:rsid w:val="008042AD"/>
    <w:rsid w:val="0080438B"/>
    <w:rsid w:val="00804B92"/>
    <w:rsid w:val="00804CBD"/>
    <w:rsid w:val="008058F1"/>
    <w:rsid w:val="00805986"/>
    <w:rsid w:val="008060B2"/>
    <w:rsid w:val="00806571"/>
    <w:rsid w:val="00806C85"/>
    <w:rsid w:val="008079A2"/>
    <w:rsid w:val="00807C9E"/>
    <w:rsid w:val="0081004D"/>
    <w:rsid w:val="0081024F"/>
    <w:rsid w:val="0081030F"/>
    <w:rsid w:val="0081111A"/>
    <w:rsid w:val="00811450"/>
    <w:rsid w:val="00811B5B"/>
    <w:rsid w:val="0081200A"/>
    <w:rsid w:val="00812337"/>
    <w:rsid w:val="0081286F"/>
    <w:rsid w:val="00812AC2"/>
    <w:rsid w:val="00812F55"/>
    <w:rsid w:val="00812F5F"/>
    <w:rsid w:val="00813152"/>
    <w:rsid w:val="0081434B"/>
    <w:rsid w:val="00814681"/>
    <w:rsid w:val="00815302"/>
    <w:rsid w:val="00815A28"/>
    <w:rsid w:val="00815B2C"/>
    <w:rsid w:val="00815C96"/>
    <w:rsid w:val="00816626"/>
    <w:rsid w:val="00816699"/>
    <w:rsid w:val="0081680F"/>
    <w:rsid w:val="00816AAE"/>
    <w:rsid w:val="00816C61"/>
    <w:rsid w:val="00816E18"/>
    <w:rsid w:val="008171D2"/>
    <w:rsid w:val="008201DF"/>
    <w:rsid w:val="00820303"/>
    <w:rsid w:val="0082087D"/>
    <w:rsid w:val="008211B0"/>
    <w:rsid w:val="008211EF"/>
    <w:rsid w:val="0082264E"/>
    <w:rsid w:val="00822918"/>
    <w:rsid w:val="00823274"/>
    <w:rsid w:val="008233BE"/>
    <w:rsid w:val="0082349C"/>
    <w:rsid w:val="00823C83"/>
    <w:rsid w:val="0082411C"/>
    <w:rsid w:val="0082427E"/>
    <w:rsid w:val="00824881"/>
    <w:rsid w:val="00824F64"/>
    <w:rsid w:val="00825ABB"/>
    <w:rsid w:val="008261A6"/>
    <w:rsid w:val="008269FC"/>
    <w:rsid w:val="008272BC"/>
    <w:rsid w:val="00827723"/>
    <w:rsid w:val="00827946"/>
    <w:rsid w:val="008279C3"/>
    <w:rsid w:val="00827A67"/>
    <w:rsid w:val="00827FF9"/>
    <w:rsid w:val="00830515"/>
    <w:rsid w:val="00830C0D"/>
    <w:rsid w:val="00831529"/>
    <w:rsid w:val="0083175F"/>
    <w:rsid w:val="00831A32"/>
    <w:rsid w:val="00831DA5"/>
    <w:rsid w:val="00832730"/>
    <w:rsid w:val="008327D2"/>
    <w:rsid w:val="00832C55"/>
    <w:rsid w:val="00832F4E"/>
    <w:rsid w:val="0083309E"/>
    <w:rsid w:val="008331CC"/>
    <w:rsid w:val="008333D2"/>
    <w:rsid w:val="008339EC"/>
    <w:rsid w:val="00834436"/>
    <w:rsid w:val="00834722"/>
    <w:rsid w:val="0083503B"/>
    <w:rsid w:val="008350FF"/>
    <w:rsid w:val="00835548"/>
    <w:rsid w:val="00836087"/>
    <w:rsid w:val="00836238"/>
    <w:rsid w:val="008363C8"/>
    <w:rsid w:val="00836AAD"/>
    <w:rsid w:val="0083718A"/>
    <w:rsid w:val="00837EA5"/>
    <w:rsid w:val="00840201"/>
    <w:rsid w:val="0084033C"/>
    <w:rsid w:val="00841AE3"/>
    <w:rsid w:val="00841BFD"/>
    <w:rsid w:val="00842933"/>
    <w:rsid w:val="00842F1C"/>
    <w:rsid w:val="00843117"/>
    <w:rsid w:val="0084312A"/>
    <w:rsid w:val="00843D3A"/>
    <w:rsid w:val="00843FB6"/>
    <w:rsid w:val="00843FBB"/>
    <w:rsid w:val="00844314"/>
    <w:rsid w:val="00844681"/>
    <w:rsid w:val="00844D77"/>
    <w:rsid w:val="00844FFD"/>
    <w:rsid w:val="00846148"/>
    <w:rsid w:val="008474FC"/>
    <w:rsid w:val="00847ED4"/>
    <w:rsid w:val="00847F11"/>
    <w:rsid w:val="00850683"/>
    <w:rsid w:val="00850F73"/>
    <w:rsid w:val="00851560"/>
    <w:rsid w:val="00851803"/>
    <w:rsid w:val="008518B4"/>
    <w:rsid w:val="00851B45"/>
    <w:rsid w:val="00852476"/>
    <w:rsid w:val="0085254B"/>
    <w:rsid w:val="00853239"/>
    <w:rsid w:val="00853365"/>
    <w:rsid w:val="008536F5"/>
    <w:rsid w:val="008537E3"/>
    <w:rsid w:val="0085467C"/>
    <w:rsid w:val="008552F3"/>
    <w:rsid w:val="008553CD"/>
    <w:rsid w:val="008558FB"/>
    <w:rsid w:val="00856311"/>
    <w:rsid w:val="0085689E"/>
    <w:rsid w:val="00856A11"/>
    <w:rsid w:val="0085701D"/>
    <w:rsid w:val="008576D6"/>
    <w:rsid w:val="008578F6"/>
    <w:rsid w:val="00857DD2"/>
    <w:rsid w:val="00860052"/>
    <w:rsid w:val="008601DF"/>
    <w:rsid w:val="00860457"/>
    <w:rsid w:val="0086082C"/>
    <w:rsid w:val="00860DE4"/>
    <w:rsid w:val="00861D44"/>
    <w:rsid w:val="00862CD6"/>
    <w:rsid w:val="00862D45"/>
    <w:rsid w:val="00862FA1"/>
    <w:rsid w:val="00863983"/>
    <w:rsid w:val="0086406C"/>
    <w:rsid w:val="008646E2"/>
    <w:rsid w:val="00864ADC"/>
    <w:rsid w:val="008653E2"/>
    <w:rsid w:val="00865745"/>
    <w:rsid w:val="00865934"/>
    <w:rsid w:val="00866C61"/>
    <w:rsid w:val="00866D4C"/>
    <w:rsid w:val="00866DFB"/>
    <w:rsid w:val="00867457"/>
    <w:rsid w:val="00867644"/>
    <w:rsid w:val="00867A62"/>
    <w:rsid w:val="00867CC9"/>
    <w:rsid w:val="00867D26"/>
    <w:rsid w:val="00867DCA"/>
    <w:rsid w:val="00870437"/>
    <w:rsid w:val="00871A5C"/>
    <w:rsid w:val="00871BA5"/>
    <w:rsid w:val="00871D57"/>
    <w:rsid w:val="00872E73"/>
    <w:rsid w:val="00872FE9"/>
    <w:rsid w:val="008730A1"/>
    <w:rsid w:val="008732F5"/>
    <w:rsid w:val="00873DBC"/>
    <w:rsid w:val="008740CF"/>
    <w:rsid w:val="00874491"/>
    <w:rsid w:val="00874867"/>
    <w:rsid w:val="008749B9"/>
    <w:rsid w:val="00874AEC"/>
    <w:rsid w:val="00874C9E"/>
    <w:rsid w:val="00874EC1"/>
    <w:rsid w:val="00875647"/>
    <w:rsid w:val="00875A9F"/>
    <w:rsid w:val="008773F4"/>
    <w:rsid w:val="00877477"/>
    <w:rsid w:val="008775F2"/>
    <w:rsid w:val="008800FC"/>
    <w:rsid w:val="00880153"/>
    <w:rsid w:val="00880AFD"/>
    <w:rsid w:val="00880E4F"/>
    <w:rsid w:val="00880F97"/>
    <w:rsid w:val="0088133A"/>
    <w:rsid w:val="008815F1"/>
    <w:rsid w:val="008827DD"/>
    <w:rsid w:val="00882A8A"/>
    <w:rsid w:val="00882F57"/>
    <w:rsid w:val="00883067"/>
    <w:rsid w:val="0088312A"/>
    <w:rsid w:val="008839FF"/>
    <w:rsid w:val="00885599"/>
    <w:rsid w:val="00885AC2"/>
    <w:rsid w:val="00885BE1"/>
    <w:rsid w:val="00886236"/>
    <w:rsid w:val="00886562"/>
    <w:rsid w:val="0088662C"/>
    <w:rsid w:val="008869B2"/>
    <w:rsid w:val="00886E2A"/>
    <w:rsid w:val="00887032"/>
    <w:rsid w:val="008872BA"/>
    <w:rsid w:val="00887343"/>
    <w:rsid w:val="00887358"/>
    <w:rsid w:val="00890B1D"/>
    <w:rsid w:val="008917BA"/>
    <w:rsid w:val="008918D0"/>
    <w:rsid w:val="00892240"/>
    <w:rsid w:val="00892435"/>
    <w:rsid w:val="008924E2"/>
    <w:rsid w:val="0089285E"/>
    <w:rsid w:val="00892C7E"/>
    <w:rsid w:val="00892D4B"/>
    <w:rsid w:val="00893F16"/>
    <w:rsid w:val="00894250"/>
    <w:rsid w:val="0089436C"/>
    <w:rsid w:val="0089462E"/>
    <w:rsid w:val="00895954"/>
    <w:rsid w:val="0089668D"/>
    <w:rsid w:val="00896833"/>
    <w:rsid w:val="008969BF"/>
    <w:rsid w:val="008969FF"/>
    <w:rsid w:val="00896D5F"/>
    <w:rsid w:val="00896F50"/>
    <w:rsid w:val="008979A2"/>
    <w:rsid w:val="00897EA4"/>
    <w:rsid w:val="00897EBB"/>
    <w:rsid w:val="008A003D"/>
    <w:rsid w:val="008A094F"/>
    <w:rsid w:val="008A0C0E"/>
    <w:rsid w:val="008A13F0"/>
    <w:rsid w:val="008A185C"/>
    <w:rsid w:val="008A1BF3"/>
    <w:rsid w:val="008A1D60"/>
    <w:rsid w:val="008A1DDE"/>
    <w:rsid w:val="008A2B6F"/>
    <w:rsid w:val="008A2E54"/>
    <w:rsid w:val="008A33A3"/>
    <w:rsid w:val="008A3952"/>
    <w:rsid w:val="008A399E"/>
    <w:rsid w:val="008A3E5E"/>
    <w:rsid w:val="008A4030"/>
    <w:rsid w:val="008A4875"/>
    <w:rsid w:val="008A4C55"/>
    <w:rsid w:val="008A5129"/>
    <w:rsid w:val="008A5CA5"/>
    <w:rsid w:val="008A74EC"/>
    <w:rsid w:val="008A7907"/>
    <w:rsid w:val="008A7AB8"/>
    <w:rsid w:val="008B008D"/>
    <w:rsid w:val="008B06B1"/>
    <w:rsid w:val="008B0A9F"/>
    <w:rsid w:val="008B0CC2"/>
    <w:rsid w:val="008B13E3"/>
    <w:rsid w:val="008B1797"/>
    <w:rsid w:val="008B1885"/>
    <w:rsid w:val="008B19E7"/>
    <w:rsid w:val="008B1A87"/>
    <w:rsid w:val="008B235B"/>
    <w:rsid w:val="008B2838"/>
    <w:rsid w:val="008B2C10"/>
    <w:rsid w:val="008B2C3A"/>
    <w:rsid w:val="008B2E01"/>
    <w:rsid w:val="008B3740"/>
    <w:rsid w:val="008B3D1C"/>
    <w:rsid w:val="008B4045"/>
    <w:rsid w:val="008B413F"/>
    <w:rsid w:val="008B4809"/>
    <w:rsid w:val="008B5103"/>
    <w:rsid w:val="008B5125"/>
    <w:rsid w:val="008B525C"/>
    <w:rsid w:val="008B5268"/>
    <w:rsid w:val="008B5DB3"/>
    <w:rsid w:val="008B5FC6"/>
    <w:rsid w:val="008B63CB"/>
    <w:rsid w:val="008B65C0"/>
    <w:rsid w:val="008B6C61"/>
    <w:rsid w:val="008B73A1"/>
    <w:rsid w:val="008B742A"/>
    <w:rsid w:val="008B7B68"/>
    <w:rsid w:val="008C08BC"/>
    <w:rsid w:val="008C139D"/>
    <w:rsid w:val="008C1C02"/>
    <w:rsid w:val="008C2F80"/>
    <w:rsid w:val="008C3001"/>
    <w:rsid w:val="008C313E"/>
    <w:rsid w:val="008C3364"/>
    <w:rsid w:val="008C44EB"/>
    <w:rsid w:val="008C4A8B"/>
    <w:rsid w:val="008C5CCB"/>
    <w:rsid w:val="008C5EE1"/>
    <w:rsid w:val="008C6143"/>
    <w:rsid w:val="008C723A"/>
    <w:rsid w:val="008C77F5"/>
    <w:rsid w:val="008C78E0"/>
    <w:rsid w:val="008C7CD8"/>
    <w:rsid w:val="008C7EC2"/>
    <w:rsid w:val="008C7F3B"/>
    <w:rsid w:val="008D2254"/>
    <w:rsid w:val="008D2A90"/>
    <w:rsid w:val="008D3372"/>
    <w:rsid w:val="008D365C"/>
    <w:rsid w:val="008D4321"/>
    <w:rsid w:val="008D56E3"/>
    <w:rsid w:val="008D59A0"/>
    <w:rsid w:val="008D5A6B"/>
    <w:rsid w:val="008D5CED"/>
    <w:rsid w:val="008D6025"/>
    <w:rsid w:val="008D6158"/>
    <w:rsid w:val="008D61E3"/>
    <w:rsid w:val="008D64F6"/>
    <w:rsid w:val="008D672C"/>
    <w:rsid w:val="008D6AA4"/>
    <w:rsid w:val="008D7164"/>
    <w:rsid w:val="008D73D8"/>
    <w:rsid w:val="008E01FA"/>
    <w:rsid w:val="008E04E3"/>
    <w:rsid w:val="008E06C1"/>
    <w:rsid w:val="008E0775"/>
    <w:rsid w:val="008E18B0"/>
    <w:rsid w:val="008E3BEC"/>
    <w:rsid w:val="008E4047"/>
    <w:rsid w:val="008E437C"/>
    <w:rsid w:val="008E5532"/>
    <w:rsid w:val="008E6ECC"/>
    <w:rsid w:val="008E71BC"/>
    <w:rsid w:val="008E7297"/>
    <w:rsid w:val="008E74F3"/>
    <w:rsid w:val="008E7FEA"/>
    <w:rsid w:val="008F33AA"/>
    <w:rsid w:val="008F3495"/>
    <w:rsid w:val="008F3656"/>
    <w:rsid w:val="008F3FBC"/>
    <w:rsid w:val="008F40F8"/>
    <w:rsid w:val="008F4271"/>
    <w:rsid w:val="008F437C"/>
    <w:rsid w:val="008F4B33"/>
    <w:rsid w:val="008F4E1F"/>
    <w:rsid w:val="008F592C"/>
    <w:rsid w:val="008F5B7D"/>
    <w:rsid w:val="008F60E6"/>
    <w:rsid w:val="008F62BF"/>
    <w:rsid w:val="008F6A34"/>
    <w:rsid w:val="008F744F"/>
    <w:rsid w:val="008F7DA3"/>
    <w:rsid w:val="0090064D"/>
    <w:rsid w:val="00901666"/>
    <w:rsid w:val="009020AB"/>
    <w:rsid w:val="00902236"/>
    <w:rsid w:val="00902597"/>
    <w:rsid w:val="00902E63"/>
    <w:rsid w:val="00902EE3"/>
    <w:rsid w:val="009030BF"/>
    <w:rsid w:val="009042A0"/>
    <w:rsid w:val="00904BE7"/>
    <w:rsid w:val="009051FB"/>
    <w:rsid w:val="00905219"/>
    <w:rsid w:val="00905963"/>
    <w:rsid w:val="00905A54"/>
    <w:rsid w:val="00907AD0"/>
    <w:rsid w:val="0091032F"/>
    <w:rsid w:val="009105F1"/>
    <w:rsid w:val="00910722"/>
    <w:rsid w:val="0091094D"/>
    <w:rsid w:val="00910959"/>
    <w:rsid w:val="0091097F"/>
    <w:rsid w:val="00910A0C"/>
    <w:rsid w:val="00910DC0"/>
    <w:rsid w:val="00911792"/>
    <w:rsid w:val="00911C79"/>
    <w:rsid w:val="00912CEA"/>
    <w:rsid w:val="0091305B"/>
    <w:rsid w:val="00913D54"/>
    <w:rsid w:val="00913F4E"/>
    <w:rsid w:val="00914213"/>
    <w:rsid w:val="00914368"/>
    <w:rsid w:val="00914CC9"/>
    <w:rsid w:val="00915006"/>
    <w:rsid w:val="009153B4"/>
    <w:rsid w:val="009171A5"/>
    <w:rsid w:val="009174F6"/>
    <w:rsid w:val="00917981"/>
    <w:rsid w:val="00921299"/>
    <w:rsid w:val="009218B5"/>
    <w:rsid w:val="009227DB"/>
    <w:rsid w:val="00922D9E"/>
    <w:rsid w:val="0092354E"/>
    <w:rsid w:val="00923BEF"/>
    <w:rsid w:val="009240E2"/>
    <w:rsid w:val="0092475C"/>
    <w:rsid w:val="00924769"/>
    <w:rsid w:val="00924B23"/>
    <w:rsid w:val="0092523D"/>
    <w:rsid w:val="009259C4"/>
    <w:rsid w:val="00925B1A"/>
    <w:rsid w:val="009267A5"/>
    <w:rsid w:val="009268A4"/>
    <w:rsid w:val="00926A8D"/>
    <w:rsid w:val="00926D52"/>
    <w:rsid w:val="00927076"/>
    <w:rsid w:val="009271EA"/>
    <w:rsid w:val="0092769D"/>
    <w:rsid w:val="00927CB8"/>
    <w:rsid w:val="00930C2F"/>
    <w:rsid w:val="00930ED8"/>
    <w:rsid w:val="00931076"/>
    <w:rsid w:val="00931662"/>
    <w:rsid w:val="00931A48"/>
    <w:rsid w:val="00932567"/>
    <w:rsid w:val="00933410"/>
    <w:rsid w:val="009338A8"/>
    <w:rsid w:val="00933BBD"/>
    <w:rsid w:val="00933F8E"/>
    <w:rsid w:val="009344C9"/>
    <w:rsid w:val="009345D9"/>
    <w:rsid w:val="00934B15"/>
    <w:rsid w:val="00934F52"/>
    <w:rsid w:val="009365DB"/>
    <w:rsid w:val="009371E9"/>
    <w:rsid w:val="009410F3"/>
    <w:rsid w:val="0094132B"/>
    <w:rsid w:val="0094160F"/>
    <w:rsid w:val="0094175C"/>
    <w:rsid w:val="00941A80"/>
    <w:rsid w:val="009421AB"/>
    <w:rsid w:val="00942678"/>
    <w:rsid w:val="00942783"/>
    <w:rsid w:val="00942B62"/>
    <w:rsid w:val="009436C2"/>
    <w:rsid w:val="009439A2"/>
    <w:rsid w:val="00943DB9"/>
    <w:rsid w:val="00943E1B"/>
    <w:rsid w:val="00943E53"/>
    <w:rsid w:val="00943EF2"/>
    <w:rsid w:val="009441D3"/>
    <w:rsid w:val="009447C4"/>
    <w:rsid w:val="0094494E"/>
    <w:rsid w:val="00944ADB"/>
    <w:rsid w:val="00944DB9"/>
    <w:rsid w:val="009453FF"/>
    <w:rsid w:val="0094611E"/>
    <w:rsid w:val="009464AA"/>
    <w:rsid w:val="009465B7"/>
    <w:rsid w:val="00947136"/>
    <w:rsid w:val="00947289"/>
    <w:rsid w:val="00947B83"/>
    <w:rsid w:val="0095010F"/>
    <w:rsid w:val="009503CD"/>
    <w:rsid w:val="009503DA"/>
    <w:rsid w:val="00951776"/>
    <w:rsid w:val="00951980"/>
    <w:rsid w:val="00952CCE"/>
    <w:rsid w:val="00953DC6"/>
    <w:rsid w:val="00953FC1"/>
    <w:rsid w:val="00954152"/>
    <w:rsid w:val="00955AEE"/>
    <w:rsid w:val="00955E76"/>
    <w:rsid w:val="00956A0C"/>
    <w:rsid w:val="00956BD9"/>
    <w:rsid w:val="00956F63"/>
    <w:rsid w:val="0095718B"/>
    <w:rsid w:val="009571FD"/>
    <w:rsid w:val="0096023B"/>
    <w:rsid w:val="009605F8"/>
    <w:rsid w:val="00960F36"/>
    <w:rsid w:val="00961064"/>
    <w:rsid w:val="00961F7F"/>
    <w:rsid w:val="009622EF"/>
    <w:rsid w:val="00962489"/>
    <w:rsid w:val="00963605"/>
    <w:rsid w:val="0096472A"/>
    <w:rsid w:val="00964E4D"/>
    <w:rsid w:val="0096506C"/>
    <w:rsid w:val="009661AA"/>
    <w:rsid w:val="0096677F"/>
    <w:rsid w:val="009669B1"/>
    <w:rsid w:val="00966C7C"/>
    <w:rsid w:val="0096711B"/>
    <w:rsid w:val="009677A0"/>
    <w:rsid w:val="00967E34"/>
    <w:rsid w:val="0097038A"/>
    <w:rsid w:val="00970C06"/>
    <w:rsid w:val="00970FF0"/>
    <w:rsid w:val="00970FFE"/>
    <w:rsid w:val="00971387"/>
    <w:rsid w:val="0097195A"/>
    <w:rsid w:val="0097284D"/>
    <w:rsid w:val="0097345A"/>
    <w:rsid w:val="00973AB9"/>
    <w:rsid w:val="009741CB"/>
    <w:rsid w:val="00974423"/>
    <w:rsid w:val="00974F34"/>
    <w:rsid w:val="00974F68"/>
    <w:rsid w:val="00975590"/>
    <w:rsid w:val="009755CB"/>
    <w:rsid w:val="00975B76"/>
    <w:rsid w:val="00976203"/>
    <w:rsid w:val="0097638F"/>
    <w:rsid w:val="009765EF"/>
    <w:rsid w:val="009768DF"/>
    <w:rsid w:val="00976C59"/>
    <w:rsid w:val="00977452"/>
    <w:rsid w:val="009774ED"/>
    <w:rsid w:val="009777A6"/>
    <w:rsid w:val="00977EAE"/>
    <w:rsid w:val="0098035E"/>
    <w:rsid w:val="00980B71"/>
    <w:rsid w:val="009811C0"/>
    <w:rsid w:val="009813F3"/>
    <w:rsid w:val="00983A9F"/>
    <w:rsid w:val="00983BA5"/>
    <w:rsid w:val="0098424B"/>
    <w:rsid w:val="0098493D"/>
    <w:rsid w:val="009858C1"/>
    <w:rsid w:val="009864AB"/>
    <w:rsid w:val="009865A9"/>
    <w:rsid w:val="00986634"/>
    <w:rsid w:val="00986731"/>
    <w:rsid w:val="00986A20"/>
    <w:rsid w:val="00986A53"/>
    <w:rsid w:val="0099046E"/>
    <w:rsid w:val="00990690"/>
    <w:rsid w:val="00990A37"/>
    <w:rsid w:val="00990BFE"/>
    <w:rsid w:val="00990C2C"/>
    <w:rsid w:val="00990D7C"/>
    <w:rsid w:val="0099151E"/>
    <w:rsid w:val="0099255A"/>
    <w:rsid w:val="0099316F"/>
    <w:rsid w:val="009935D3"/>
    <w:rsid w:val="009937ED"/>
    <w:rsid w:val="00993EB5"/>
    <w:rsid w:val="0099479E"/>
    <w:rsid w:val="009952FB"/>
    <w:rsid w:val="0099561E"/>
    <w:rsid w:val="00995E24"/>
    <w:rsid w:val="00996D94"/>
    <w:rsid w:val="009A148F"/>
    <w:rsid w:val="009A1783"/>
    <w:rsid w:val="009A17BC"/>
    <w:rsid w:val="009A22A5"/>
    <w:rsid w:val="009A2666"/>
    <w:rsid w:val="009A2E57"/>
    <w:rsid w:val="009A38D0"/>
    <w:rsid w:val="009A3AAE"/>
    <w:rsid w:val="009A4371"/>
    <w:rsid w:val="009A4422"/>
    <w:rsid w:val="009A44BE"/>
    <w:rsid w:val="009A493F"/>
    <w:rsid w:val="009A56B2"/>
    <w:rsid w:val="009A61B1"/>
    <w:rsid w:val="009A7499"/>
    <w:rsid w:val="009B03DA"/>
    <w:rsid w:val="009B0685"/>
    <w:rsid w:val="009B094B"/>
    <w:rsid w:val="009B10D8"/>
    <w:rsid w:val="009B19AC"/>
    <w:rsid w:val="009B2209"/>
    <w:rsid w:val="009B2587"/>
    <w:rsid w:val="009B2DF7"/>
    <w:rsid w:val="009B2F41"/>
    <w:rsid w:val="009B3D25"/>
    <w:rsid w:val="009B3EE6"/>
    <w:rsid w:val="009B562C"/>
    <w:rsid w:val="009B56AB"/>
    <w:rsid w:val="009B5BB5"/>
    <w:rsid w:val="009B703E"/>
    <w:rsid w:val="009B7800"/>
    <w:rsid w:val="009C0680"/>
    <w:rsid w:val="009C108B"/>
    <w:rsid w:val="009C148B"/>
    <w:rsid w:val="009C19A4"/>
    <w:rsid w:val="009C1EA2"/>
    <w:rsid w:val="009C2644"/>
    <w:rsid w:val="009C2C37"/>
    <w:rsid w:val="009C2DF6"/>
    <w:rsid w:val="009C34BF"/>
    <w:rsid w:val="009C37E9"/>
    <w:rsid w:val="009C39F6"/>
    <w:rsid w:val="009C3D15"/>
    <w:rsid w:val="009C417F"/>
    <w:rsid w:val="009C4B64"/>
    <w:rsid w:val="009C4C9F"/>
    <w:rsid w:val="009C4E5C"/>
    <w:rsid w:val="009C4EFD"/>
    <w:rsid w:val="009C538F"/>
    <w:rsid w:val="009C5446"/>
    <w:rsid w:val="009C5475"/>
    <w:rsid w:val="009C5664"/>
    <w:rsid w:val="009C6D82"/>
    <w:rsid w:val="009C72D8"/>
    <w:rsid w:val="009C7497"/>
    <w:rsid w:val="009C78F4"/>
    <w:rsid w:val="009C7CC9"/>
    <w:rsid w:val="009C7D91"/>
    <w:rsid w:val="009D09D8"/>
    <w:rsid w:val="009D0A8D"/>
    <w:rsid w:val="009D0EAF"/>
    <w:rsid w:val="009D1AE9"/>
    <w:rsid w:val="009D1B87"/>
    <w:rsid w:val="009D24AA"/>
    <w:rsid w:val="009D2CD1"/>
    <w:rsid w:val="009D2FF6"/>
    <w:rsid w:val="009D32FC"/>
    <w:rsid w:val="009D3B12"/>
    <w:rsid w:val="009D4525"/>
    <w:rsid w:val="009D4CB8"/>
    <w:rsid w:val="009D505A"/>
    <w:rsid w:val="009D5507"/>
    <w:rsid w:val="009D57C2"/>
    <w:rsid w:val="009D5E0B"/>
    <w:rsid w:val="009D6F74"/>
    <w:rsid w:val="009E0721"/>
    <w:rsid w:val="009E0DF1"/>
    <w:rsid w:val="009E10A1"/>
    <w:rsid w:val="009E1486"/>
    <w:rsid w:val="009E19A7"/>
    <w:rsid w:val="009E203B"/>
    <w:rsid w:val="009E24E9"/>
    <w:rsid w:val="009E25E6"/>
    <w:rsid w:val="009E3321"/>
    <w:rsid w:val="009E35B3"/>
    <w:rsid w:val="009E3F6A"/>
    <w:rsid w:val="009E41D6"/>
    <w:rsid w:val="009E470F"/>
    <w:rsid w:val="009E4C2D"/>
    <w:rsid w:val="009E4E04"/>
    <w:rsid w:val="009E4E43"/>
    <w:rsid w:val="009E4F59"/>
    <w:rsid w:val="009E523C"/>
    <w:rsid w:val="009E57D7"/>
    <w:rsid w:val="009E5D92"/>
    <w:rsid w:val="009E6643"/>
    <w:rsid w:val="009E6E9C"/>
    <w:rsid w:val="009E724B"/>
    <w:rsid w:val="009F05D2"/>
    <w:rsid w:val="009F0919"/>
    <w:rsid w:val="009F0B60"/>
    <w:rsid w:val="009F0EB9"/>
    <w:rsid w:val="009F10E1"/>
    <w:rsid w:val="009F15ED"/>
    <w:rsid w:val="009F16F3"/>
    <w:rsid w:val="009F20F7"/>
    <w:rsid w:val="009F228F"/>
    <w:rsid w:val="009F2F97"/>
    <w:rsid w:val="009F352C"/>
    <w:rsid w:val="009F3938"/>
    <w:rsid w:val="009F3A2C"/>
    <w:rsid w:val="009F3FAC"/>
    <w:rsid w:val="009F410A"/>
    <w:rsid w:val="009F449B"/>
    <w:rsid w:val="009F4ECB"/>
    <w:rsid w:val="009F585C"/>
    <w:rsid w:val="009F5934"/>
    <w:rsid w:val="009F5C86"/>
    <w:rsid w:val="009F696D"/>
    <w:rsid w:val="009F6BC6"/>
    <w:rsid w:val="009F736F"/>
    <w:rsid w:val="009F7C13"/>
    <w:rsid w:val="009F7C84"/>
    <w:rsid w:val="009F7CF3"/>
    <w:rsid w:val="00A00B94"/>
    <w:rsid w:val="00A00DFE"/>
    <w:rsid w:val="00A01311"/>
    <w:rsid w:val="00A01521"/>
    <w:rsid w:val="00A01AA6"/>
    <w:rsid w:val="00A01EDC"/>
    <w:rsid w:val="00A02B05"/>
    <w:rsid w:val="00A02F33"/>
    <w:rsid w:val="00A03AEC"/>
    <w:rsid w:val="00A03EBD"/>
    <w:rsid w:val="00A05B04"/>
    <w:rsid w:val="00A067FD"/>
    <w:rsid w:val="00A07395"/>
    <w:rsid w:val="00A07E75"/>
    <w:rsid w:val="00A07FAB"/>
    <w:rsid w:val="00A1051F"/>
    <w:rsid w:val="00A1068E"/>
    <w:rsid w:val="00A10FFD"/>
    <w:rsid w:val="00A11843"/>
    <w:rsid w:val="00A11E77"/>
    <w:rsid w:val="00A1223A"/>
    <w:rsid w:val="00A12601"/>
    <w:rsid w:val="00A12B99"/>
    <w:rsid w:val="00A12CE4"/>
    <w:rsid w:val="00A13C0A"/>
    <w:rsid w:val="00A13EE2"/>
    <w:rsid w:val="00A14EE0"/>
    <w:rsid w:val="00A151A6"/>
    <w:rsid w:val="00A15965"/>
    <w:rsid w:val="00A16CF7"/>
    <w:rsid w:val="00A16D19"/>
    <w:rsid w:val="00A171DD"/>
    <w:rsid w:val="00A17328"/>
    <w:rsid w:val="00A17559"/>
    <w:rsid w:val="00A17AB7"/>
    <w:rsid w:val="00A17C0E"/>
    <w:rsid w:val="00A2010C"/>
    <w:rsid w:val="00A2067B"/>
    <w:rsid w:val="00A216A1"/>
    <w:rsid w:val="00A21B8F"/>
    <w:rsid w:val="00A2203D"/>
    <w:rsid w:val="00A22F8D"/>
    <w:rsid w:val="00A230E3"/>
    <w:rsid w:val="00A23A20"/>
    <w:rsid w:val="00A23A58"/>
    <w:rsid w:val="00A23E91"/>
    <w:rsid w:val="00A2419F"/>
    <w:rsid w:val="00A244D1"/>
    <w:rsid w:val="00A24515"/>
    <w:rsid w:val="00A24651"/>
    <w:rsid w:val="00A24EB8"/>
    <w:rsid w:val="00A25CD9"/>
    <w:rsid w:val="00A260F6"/>
    <w:rsid w:val="00A26111"/>
    <w:rsid w:val="00A26233"/>
    <w:rsid w:val="00A26391"/>
    <w:rsid w:val="00A268B9"/>
    <w:rsid w:val="00A2696A"/>
    <w:rsid w:val="00A26F54"/>
    <w:rsid w:val="00A2703A"/>
    <w:rsid w:val="00A27407"/>
    <w:rsid w:val="00A27A1B"/>
    <w:rsid w:val="00A315CE"/>
    <w:rsid w:val="00A31F0B"/>
    <w:rsid w:val="00A3240D"/>
    <w:rsid w:val="00A32DA3"/>
    <w:rsid w:val="00A33591"/>
    <w:rsid w:val="00A336A7"/>
    <w:rsid w:val="00A3378B"/>
    <w:rsid w:val="00A33B3E"/>
    <w:rsid w:val="00A33CD9"/>
    <w:rsid w:val="00A33DFF"/>
    <w:rsid w:val="00A341BD"/>
    <w:rsid w:val="00A342AF"/>
    <w:rsid w:val="00A3481E"/>
    <w:rsid w:val="00A349B3"/>
    <w:rsid w:val="00A349B6"/>
    <w:rsid w:val="00A35115"/>
    <w:rsid w:val="00A3519B"/>
    <w:rsid w:val="00A35290"/>
    <w:rsid w:val="00A362F0"/>
    <w:rsid w:val="00A36942"/>
    <w:rsid w:val="00A36D9A"/>
    <w:rsid w:val="00A36EDA"/>
    <w:rsid w:val="00A37C73"/>
    <w:rsid w:val="00A37CAF"/>
    <w:rsid w:val="00A40A4D"/>
    <w:rsid w:val="00A43123"/>
    <w:rsid w:val="00A4339C"/>
    <w:rsid w:val="00A43C2B"/>
    <w:rsid w:val="00A43C42"/>
    <w:rsid w:val="00A440BB"/>
    <w:rsid w:val="00A4459C"/>
    <w:rsid w:val="00A44C32"/>
    <w:rsid w:val="00A455F2"/>
    <w:rsid w:val="00A458C9"/>
    <w:rsid w:val="00A470E5"/>
    <w:rsid w:val="00A47D60"/>
    <w:rsid w:val="00A50565"/>
    <w:rsid w:val="00A50689"/>
    <w:rsid w:val="00A51A96"/>
    <w:rsid w:val="00A52446"/>
    <w:rsid w:val="00A52F1F"/>
    <w:rsid w:val="00A52FB4"/>
    <w:rsid w:val="00A5357E"/>
    <w:rsid w:val="00A53701"/>
    <w:rsid w:val="00A53744"/>
    <w:rsid w:val="00A537AF"/>
    <w:rsid w:val="00A54DE2"/>
    <w:rsid w:val="00A551B4"/>
    <w:rsid w:val="00A551F9"/>
    <w:rsid w:val="00A554AB"/>
    <w:rsid w:val="00A5561C"/>
    <w:rsid w:val="00A56183"/>
    <w:rsid w:val="00A56188"/>
    <w:rsid w:val="00A56E4D"/>
    <w:rsid w:val="00A56FD5"/>
    <w:rsid w:val="00A571B1"/>
    <w:rsid w:val="00A57A10"/>
    <w:rsid w:val="00A57DA1"/>
    <w:rsid w:val="00A60352"/>
    <w:rsid w:val="00A6044E"/>
    <w:rsid w:val="00A60556"/>
    <w:rsid w:val="00A6194A"/>
    <w:rsid w:val="00A61F3A"/>
    <w:rsid w:val="00A624B9"/>
    <w:rsid w:val="00A626BC"/>
    <w:rsid w:val="00A6283D"/>
    <w:rsid w:val="00A62D5C"/>
    <w:rsid w:val="00A62E72"/>
    <w:rsid w:val="00A6315E"/>
    <w:rsid w:val="00A63532"/>
    <w:rsid w:val="00A63CB7"/>
    <w:rsid w:val="00A642F4"/>
    <w:rsid w:val="00A64C22"/>
    <w:rsid w:val="00A65534"/>
    <w:rsid w:val="00A65688"/>
    <w:rsid w:val="00A65788"/>
    <w:rsid w:val="00A65F8D"/>
    <w:rsid w:val="00A65FC7"/>
    <w:rsid w:val="00A663E9"/>
    <w:rsid w:val="00A666FC"/>
    <w:rsid w:val="00A668B0"/>
    <w:rsid w:val="00A66D28"/>
    <w:rsid w:val="00A670B2"/>
    <w:rsid w:val="00A676BD"/>
    <w:rsid w:val="00A67FBA"/>
    <w:rsid w:val="00A705B5"/>
    <w:rsid w:val="00A7103E"/>
    <w:rsid w:val="00A71160"/>
    <w:rsid w:val="00A71A69"/>
    <w:rsid w:val="00A71CB7"/>
    <w:rsid w:val="00A72181"/>
    <w:rsid w:val="00A72431"/>
    <w:rsid w:val="00A72F67"/>
    <w:rsid w:val="00A7302C"/>
    <w:rsid w:val="00A73561"/>
    <w:rsid w:val="00A73C5C"/>
    <w:rsid w:val="00A75405"/>
    <w:rsid w:val="00A76D6C"/>
    <w:rsid w:val="00A76F68"/>
    <w:rsid w:val="00A77273"/>
    <w:rsid w:val="00A772F5"/>
    <w:rsid w:val="00A775BD"/>
    <w:rsid w:val="00A8093C"/>
    <w:rsid w:val="00A82051"/>
    <w:rsid w:val="00A8257B"/>
    <w:rsid w:val="00A82E55"/>
    <w:rsid w:val="00A83101"/>
    <w:rsid w:val="00A832B3"/>
    <w:rsid w:val="00A83379"/>
    <w:rsid w:val="00A83444"/>
    <w:rsid w:val="00A83EF4"/>
    <w:rsid w:val="00A84628"/>
    <w:rsid w:val="00A846D4"/>
    <w:rsid w:val="00A8491C"/>
    <w:rsid w:val="00A850A3"/>
    <w:rsid w:val="00A85349"/>
    <w:rsid w:val="00A85C0A"/>
    <w:rsid w:val="00A868EC"/>
    <w:rsid w:val="00A86E60"/>
    <w:rsid w:val="00A87060"/>
    <w:rsid w:val="00A8709E"/>
    <w:rsid w:val="00A873AA"/>
    <w:rsid w:val="00A87923"/>
    <w:rsid w:val="00A87C0C"/>
    <w:rsid w:val="00A87C58"/>
    <w:rsid w:val="00A905B3"/>
    <w:rsid w:val="00A912EF"/>
    <w:rsid w:val="00A92744"/>
    <w:rsid w:val="00A927C5"/>
    <w:rsid w:val="00A92B53"/>
    <w:rsid w:val="00A93E9F"/>
    <w:rsid w:val="00A940BD"/>
    <w:rsid w:val="00A9418C"/>
    <w:rsid w:val="00A94C0B"/>
    <w:rsid w:val="00A94FA6"/>
    <w:rsid w:val="00A956EF"/>
    <w:rsid w:val="00A95A56"/>
    <w:rsid w:val="00A962AF"/>
    <w:rsid w:val="00A96716"/>
    <w:rsid w:val="00A96FBC"/>
    <w:rsid w:val="00A97654"/>
    <w:rsid w:val="00A979DD"/>
    <w:rsid w:val="00A97BC2"/>
    <w:rsid w:val="00AA068E"/>
    <w:rsid w:val="00AA06F4"/>
    <w:rsid w:val="00AA1737"/>
    <w:rsid w:val="00AA1937"/>
    <w:rsid w:val="00AA1A0A"/>
    <w:rsid w:val="00AA1F14"/>
    <w:rsid w:val="00AA201D"/>
    <w:rsid w:val="00AA2B17"/>
    <w:rsid w:val="00AA2F13"/>
    <w:rsid w:val="00AA3438"/>
    <w:rsid w:val="00AA3901"/>
    <w:rsid w:val="00AA3B81"/>
    <w:rsid w:val="00AA3D2B"/>
    <w:rsid w:val="00AA483F"/>
    <w:rsid w:val="00AA49A0"/>
    <w:rsid w:val="00AA4C40"/>
    <w:rsid w:val="00AA4CDC"/>
    <w:rsid w:val="00AA4DAB"/>
    <w:rsid w:val="00AA5682"/>
    <w:rsid w:val="00AA6153"/>
    <w:rsid w:val="00AA6710"/>
    <w:rsid w:val="00AA75B5"/>
    <w:rsid w:val="00AA7706"/>
    <w:rsid w:val="00AB0451"/>
    <w:rsid w:val="00AB0681"/>
    <w:rsid w:val="00AB0822"/>
    <w:rsid w:val="00AB09E1"/>
    <w:rsid w:val="00AB0FE9"/>
    <w:rsid w:val="00AB1106"/>
    <w:rsid w:val="00AB1BB2"/>
    <w:rsid w:val="00AB21DD"/>
    <w:rsid w:val="00AB23A5"/>
    <w:rsid w:val="00AB3228"/>
    <w:rsid w:val="00AB3C71"/>
    <w:rsid w:val="00AB445A"/>
    <w:rsid w:val="00AB5250"/>
    <w:rsid w:val="00AB5265"/>
    <w:rsid w:val="00AB6452"/>
    <w:rsid w:val="00AB68B8"/>
    <w:rsid w:val="00AB75D1"/>
    <w:rsid w:val="00AB7CB0"/>
    <w:rsid w:val="00AC0457"/>
    <w:rsid w:val="00AC066C"/>
    <w:rsid w:val="00AC06AD"/>
    <w:rsid w:val="00AC17CF"/>
    <w:rsid w:val="00AC1C0C"/>
    <w:rsid w:val="00AC275A"/>
    <w:rsid w:val="00AC2CC0"/>
    <w:rsid w:val="00AC3EE0"/>
    <w:rsid w:val="00AC430F"/>
    <w:rsid w:val="00AC48D1"/>
    <w:rsid w:val="00AC4A67"/>
    <w:rsid w:val="00AC4BE9"/>
    <w:rsid w:val="00AC5119"/>
    <w:rsid w:val="00AC5329"/>
    <w:rsid w:val="00AC5464"/>
    <w:rsid w:val="00AC5988"/>
    <w:rsid w:val="00AC5A54"/>
    <w:rsid w:val="00AC5DBC"/>
    <w:rsid w:val="00AC641A"/>
    <w:rsid w:val="00AC6778"/>
    <w:rsid w:val="00AC6780"/>
    <w:rsid w:val="00AC696C"/>
    <w:rsid w:val="00AC77A9"/>
    <w:rsid w:val="00AC785A"/>
    <w:rsid w:val="00AC7B12"/>
    <w:rsid w:val="00AD0008"/>
    <w:rsid w:val="00AD15B1"/>
    <w:rsid w:val="00AD1DE5"/>
    <w:rsid w:val="00AD2572"/>
    <w:rsid w:val="00AD25EE"/>
    <w:rsid w:val="00AD3088"/>
    <w:rsid w:val="00AD3696"/>
    <w:rsid w:val="00AD3730"/>
    <w:rsid w:val="00AD4A8C"/>
    <w:rsid w:val="00AD4B01"/>
    <w:rsid w:val="00AD4CB7"/>
    <w:rsid w:val="00AD520B"/>
    <w:rsid w:val="00AD547E"/>
    <w:rsid w:val="00AD550F"/>
    <w:rsid w:val="00AD5A22"/>
    <w:rsid w:val="00AD5B85"/>
    <w:rsid w:val="00AD6225"/>
    <w:rsid w:val="00AD6796"/>
    <w:rsid w:val="00AD6EBA"/>
    <w:rsid w:val="00AD7023"/>
    <w:rsid w:val="00AD70F2"/>
    <w:rsid w:val="00AD7802"/>
    <w:rsid w:val="00AE152E"/>
    <w:rsid w:val="00AE3083"/>
    <w:rsid w:val="00AE321E"/>
    <w:rsid w:val="00AE388C"/>
    <w:rsid w:val="00AE3A01"/>
    <w:rsid w:val="00AE5421"/>
    <w:rsid w:val="00AE573B"/>
    <w:rsid w:val="00AE5E4A"/>
    <w:rsid w:val="00AE6C56"/>
    <w:rsid w:val="00AE7058"/>
    <w:rsid w:val="00AF002E"/>
    <w:rsid w:val="00AF0FD3"/>
    <w:rsid w:val="00AF1670"/>
    <w:rsid w:val="00AF16DF"/>
    <w:rsid w:val="00AF1B04"/>
    <w:rsid w:val="00AF2C0A"/>
    <w:rsid w:val="00AF2C3B"/>
    <w:rsid w:val="00AF2E6E"/>
    <w:rsid w:val="00AF31BC"/>
    <w:rsid w:val="00AF3382"/>
    <w:rsid w:val="00AF395B"/>
    <w:rsid w:val="00AF3CB8"/>
    <w:rsid w:val="00AF44DB"/>
    <w:rsid w:val="00AF53AA"/>
    <w:rsid w:val="00AF559E"/>
    <w:rsid w:val="00AF564F"/>
    <w:rsid w:val="00AF68CD"/>
    <w:rsid w:val="00AF694B"/>
    <w:rsid w:val="00AF6953"/>
    <w:rsid w:val="00B002E8"/>
    <w:rsid w:val="00B00A6F"/>
    <w:rsid w:val="00B00EE1"/>
    <w:rsid w:val="00B01114"/>
    <w:rsid w:val="00B02B7E"/>
    <w:rsid w:val="00B02BFA"/>
    <w:rsid w:val="00B038A0"/>
    <w:rsid w:val="00B042CB"/>
    <w:rsid w:val="00B04947"/>
    <w:rsid w:val="00B04D7C"/>
    <w:rsid w:val="00B04EC6"/>
    <w:rsid w:val="00B0567B"/>
    <w:rsid w:val="00B05851"/>
    <w:rsid w:val="00B05F1B"/>
    <w:rsid w:val="00B05FEA"/>
    <w:rsid w:val="00B061D4"/>
    <w:rsid w:val="00B0639A"/>
    <w:rsid w:val="00B065A4"/>
    <w:rsid w:val="00B06CE6"/>
    <w:rsid w:val="00B073DC"/>
    <w:rsid w:val="00B07428"/>
    <w:rsid w:val="00B07AA9"/>
    <w:rsid w:val="00B07FD4"/>
    <w:rsid w:val="00B103A7"/>
    <w:rsid w:val="00B106FB"/>
    <w:rsid w:val="00B10B33"/>
    <w:rsid w:val="00B116BD"/>
    <w:rsid w:val="00B12508"/>
    <w:rsid w:val="00B12838"/>
    <w:rsid w:val="00B13145"/>
    <w:rsid w:val="00B14373"/>
    <w:rsid w:val="00B14ADA"/>
    <w:rsid w:val="00B157D7"/>
    <w:rsid w:val="00B15FD5"/>
    <w:rsid w:val="00B16F75"/>
    <w:rsid w:val="00B170C1"/>
    <w:rsid w:val="00B1741B"/>
    <w:rsid w:val="00B17E46"/>
    <w:rsid w:val="00B20652"/>
    <w:rsid w:val="00B20D61"/>
    <w:rsid w:val="00B20E06"/>
    <w:rsid w:val="00B210E0"/>
    <w:rsid w:val="00B2118A"/>
    <w:rsid w:val="00B21307"/>
    <w:rsid w:val="00B21660"/>
    <w:rsid w:val="00B21870"/>
    <w:rsid w:val="00B21A26"/>
    <w:rsid w:val="00B21B47"/>
    <w:rsid w:val="00B2274E"/>
    <w:rsid w:val="00B22975"/>
    <w:rsid w:val="00B2306E"/>
    <w:rsid w:val="00B23437"/>
    <w:rsid w:val="00B236DB"/>
    <w:rsid w:val="00B23DC4"/>
    <w:rsid w:val="00B2459C"/>
    <w:rsid w:val="00B24C6D"/>
    <w:rsid w:val="00B25D65"/>
    <w:rsid w:val="00B2635D"/>
    <w:rsid w:val="00B26B16"/>
    <w:rsid w:val="00B275CB"/>
    <w:rsid w:val="00B27F59"/>
    <w:rsid w:val="00B31BDE"/>
    <w:rsid w:val="00B31BF4"/>
    <w:rsid w:val="00B31F34"/>
    <w:rsid w:val="00B32532"/>
    <w:rsid w:val="00B3460D"/>
    <w:rsid w:val="00B35177"/>
    <w:rsid w:val="00B356DE"/>
    <w:rsid w:val="00B35820"/>
    <w:rsid w:val="00B35A23"/>
    <w:rsid w:val="00B35A92"/>
    <w:rsid w:val="00B362B7"/>
    <w:rsid w:val="00B36741"/>
    <w:rsid w:val="00B36AAF"/>
    <w:rsid w:val="00B36FCF"/>
    <w:rsid w:val="00B37830"/>
    <w:rsid w:val="00B37D8A"/>
    <w:rsid w:val="00B40C66"/>
    <w:rsid w:val="00B40E34"/>
    <w:rsid w:val="00B40E7D"/>
    <w:rsid w:val="00B40F74"/>
    <w:rsid w:val="00B4128B"/>
    <w:rsid w:val="00B4198D"/>
    <w:rsid w:val="00B41C92"/>
    <w:rsid w:val="00B41F9C"/>
    <w:rsid w:val="00B422D1"/>
    <w:rsid w:val="00B42429"/>
    <w:rsid w:val="00B42981"/>
    <w:rsid w:val="00B42CE4"/>
    <w:rsid w:val="00B42CFC"/>
    <w:rsid w:val="00B4372F"/>
    <w:rsid w:val="00B43C2E"/>
    <w:rsid w:val="00B440AD"/>
    <w:rsid w:val="00B44C1F"/>
    <w:rsid w:val="00B45AD5"/>
    <w:rsid w:val="00B464B6"/>
    <w:rsid w:val="00B469AD"/>
    <w:rsid w:val="00B46A1D"/>
    <w:rsid w:val="00B46DF0"/>
    <w:rsid w:val="00B47978"/>
    <w:rsid w:val="00B47C9A"/>
    <w:rsid w:val="00B47D56"/>
    <w:rsid w:val="00B503EA"/>
    <w:rsid w:val="00B517D6"/>
    <w:rsid w:val="00B52657"/>
    <w:rsid w:val="00B5277E"/>
    <w:rsid w:val="00B53E7E"/>
    <w:rsid w:val="00B543B1"/>
    <w:rsid w:val="00B54C69"/>
    <w:rsid w:val="00B5502E"/>
    <w:rsid w:val="00B55E5F"/>
    <w:rsid w:val="00B562E2"/>
    <w:rsid w:val="00B56B41"/>
    <w:rsid w:val="00B57279"/>
    <w:rsid w:val="00B57AD8"/>
    <w:rsid w:val="00B605E7"/>
    <w:rsid w:val="00B60DFB"/>
    <w:rsid w:val="00B614F5"/>
    <w:rsid w:val="00B61B59"/>
    <w:rsid w:val="00B61E17"/>
    <w:rsid w:val="00B6206D"/>
    <w:rsid w:val="00B620F4"/>
    <w:rsid w:val="00B62B2F"/>
    <w:rsid w:val="00B62D08"/>
    <w:rsid w:val="00B632E2"/>
    <w:rsid w:val="00B6342E"/>
    <w:rsid w:val="00B6352F"/>
    <w:rsid w:val="00B64D21"/>
    <w:rsid w:val="00B64E75"/>
    <w:rsid w:val="00B66BCB"/>
    <w:rsid w:val="00B70302"/>
    <w:rsid w:val="00B705DC"/>
    <w:rsid w:val="00B7091D"/>
    <w:rsid w:val="00B70A90"/>
    <w:rsid w:val="00B710DE"/>
    <w:rsid w:val="00B7113F"/>
    <w:rsid w:val="00B71D59"/>
    <w:rsid w:val="00B72425"/>
    <w:rsid w:val="00B7256C"/>
    <w:rsid w:val="00B72674"/>
    <w:rsid w:val="00B72B5F"/>
    <w:rsid w:val="00B732AD"/>
    <w:rsid w:val="00B73402"/>
    <w:rsid w:val="00B73944"/>
    <w:rsid w:val="00B73DB2"/>
    <w:rsid w:val="00B744A1"/>
    <w:rsid w:val="00B752FB"/>
    <w:rsid w:val="00B7547A"/>
    <w:rsid w:val="00B75794"/>
    <w:rsid w:val="00B773CC"/>
    <w:rsid w:val="00B773F0"/>
    <w:rsid w:val="00B774C9"/>
    <w:rsid w:val="00B8065E"/>
    <w:rsid w:val="00B81591"/>
    <w:rsid w:val="00B818D8"/>
    <w:rsid w:val="00B819B4"/>
    <w:rsid w:val="00B82382"/>
    <w:rsid w:val="00B83575"/>
    <w:rsid w:val="00B8362C"/>
    <w:rsid w:val="00B838AF"/>
    <w:rsid w:val="00B854E8"/>
    <w:rsid w:val="00B8609E"/>
    <w:rsid w:val="00B866D9"/>
    <w:rsid w:val="00B86B2B"/>
    <w:rsid w:val="00B87D4B"/>
    <w:rsid w:val="00B902C6"/>
    <w:rsid w:val="00B90562"/>
    <w:rsid w:val="00B905D0"/>
    <w:rsid w:val="00B91063"/>
    <w:rsid w:val="00B91426"/>
    <w:rsid w:val="00B9162D"/>
    <w:rsid w:val="00B92017"/>
    <w:rsid w:val="00B92CBF"/>
    <w:rsid w:val="00B92DE1"/>
    <w:rsid w:val="00B93356"/>
    <w:rsid w:val="00B9350A"/>
    <w:rsid w:val="00B937B4"/>
    <w:rsid w:val="00B93C1B"/>
    <w:rsid w:val="00B93FBD"/>
    <w:rsid w:val="00B952F6"/>
    <w:rsid w:val="00B9624A"/>
    <w:rsid w:val="00B9697F"/>
    <w:rsid w:val="00B971E3"/>
    <w:rsid w:val="00B9726A"/>
    <w:rsid w:val="00B97823"/>
    <w:rsid w:val="00B97C82"/>
    <w:rsid w:val="00B97CE3"/>
    <w:rsid w:val="00BA0009"/>
    <w:rsid w:val="00BA047C"/>
    <w:rsid w:val="00BA06AE"/>
    <w:rsid w:val="00BA06E1"/>
    <w:rsid w:val="00BA1093"/>
    <w:rsid w:val="00BA26E4"/>
    <w:rsid w:val="00BA2F7C"/>
    <w:rsid w:val="00BA3A4F"/>
    <w:rsid w:val="00BA3B06"/>
    <w:rsid w:val="00BA3E54"/>
    <w:rsid w:val="00BA3F0D"/>
    <w:rsid w:val="00BA4358"/>
    <w:rsid w:val="00BA4999"/>
    <w:rsid w:val="00BA4C3A"/>
    <w:rsid w:val="00BA4CA7"/>
    <w:rsid w:val="00BA4FCC"/>
    <w:rsid w:val="00BA5362"/>
    <w:rsid w:val="00BA6253"/>
    <w:rsid w:val="00BA6D2B"/>
    <w:rsid w:val="00BA6DF1"/>
    <w:rsid w:val="00BA6F3A"/>
    <w:rsid w:val="00BA73B6"/>
    <w:rsid w:val="00BA765A"/>
    <w:rsid w:val="00BA7730"/>
    <w:rsid w:val="00BA7A26"/>
    <w:rsid w:val="00BA7BD6"/>
    <w:rsid w:val="00BA7C98"/>
    <w:rsid w:val="00BA7E27"/>
    <w:rsid w:val="00BA7F7E"/>
    <w:rsid w:val="00BB0244"/>
    <w:rsid w:val="00BB02DD"/>
    <w:rsid w:val="00BB0BCA"/>
    <w:rsid w:val="00BB11BE"/>
    <w:rsid w:val="00BB13CD"/>
    <w:rsid w:val="00BB16AE"/>
    <w:rsid w:val="00BB1C61"/>
    <w:rsid w:val="00BB2213"/>
    <w:rsid w:val="00BB2603"/>
    <w:rsid w:val="00BB284A"/>
    <w:rsid w:val="00BB28DF"/>
    <w:rsid w:val="00BB2924"/>
    <w:rsid w:val="00BB2AF7"/>
    <w:rsid w:val="00BB34F9"/>
    <w:rsid w:val="00BB38DA"/>
    <w:rsid w:val="00BB3AE8"/>
    <w:rsid w:val="00BB3D61"/>
    <w:rsid w:val="00BB3D8A"/>
    <w:rsid w:val="00BB46D4"/>
    <w:rsid w:val="00BB4980"/>
    <w:rsid w:val="00BB4C7D"/>
    <w:rsid w:val="00BB4FCD"/>
    <w:rsid w:val="00BB56D0"/>
    <w:rsid w:val="00BB5BC0"/>
    <w:rsid w:val="00BB5D1A"/>
    <w:rsid w:val="00BB63E8"/>
    <w:rsid w:val="00BB642C"/>
    <w:rsid w:val="00BB67FF"/>
    <w:rsid w:val="00BB69EC"/>
    <w:rsid w:val="00BB6B7F"/>
    <w:rsid w:val="00BB6CEE"/>
    <w:rsid w:val="00BB70B4"/>
    <w:rsid w:val="00BB721C"/>
    <w:rsid w:val="00BB7806"/>
    <w:rsid w:val="00BB7827"/>
    <w:rsid w:val="00BB7A24"/>
    <w:rsid w:val="00BC0205"/>
    <w:rsid w:val="00BC0462"/>
    <w:rsid w:val="00BC0D1C"/>
    <w:rsid w:val="00BC2EAE"/>
    <w:rsid w:val="00BC3B5D"/>
    <w:rsid w:val="00BC4E8C"/>
    <w:rsid w:val="00BC50C3"/>
    <w:rsid w:val="00BC5479"/>
    <w:rsid w:val="00BC62ED"/>
    <w:rsid w:val="00BC67F4"/>
    <w:rsid w:val="00BC6C4B"/>
    <w:rsid w:val="00BC6DE6"/>
    <w:rsid w:val="00BC7540"/>
    <w:rsid w:val="00BC7DDF"/>
    <w:rsid w:val="00BD0B9C"/>
    <w:rsid w:val="00BD0F92"/>
    <w:rsid w:val="00BD13EA"/>
    <w:rsid w:val="00BD1448"/>
    <w:rsid w:val="00BD14A8"/>
    <w:rsid w:val="00BD15AA"/>
    <w:rsid w:val="00BD163E"/>
    <w:rsid w:val="00BD1C74"/>
    <w:rsid w:val="00BD2419"/>
    <w:rsid w:val="00BD24A7"/>
    <w:rsid w:val="00BD2935"/>
    <w:rsid w:val="00BD2BD4"/>
    <w:rsid w:val="00BD32EF"/>
    <w:rsid w:val="00BD3844"/>
    <w:rsid w:val="00BD3B15"/>
    <w:rsid w:val="00BD3FE9"/>
    <w:rsid w:val="00BD4BA4"/>
    <w:rsid w:val="00BD514D"/>
    <w:rsid w:val="00BD552C"/>
    <w:rsid w:val="00BD5A06"/>
    <w:rsid w:val="00BD5CB7"/>
    <w:rsid w:val="00BD74DC"/>
    <w:rsid w:val="00BD7F27"/>
    <w:rsid w:val="00BE01B1"/>
    <w:rsid w:val="00BE091F"/>
    <w:rsid w:val="00BE18A4"/>
    <w:rsid w:val="00BE2984"/>
    <w:rsid w:val="00BE2DD2"/>
    <w:rsid w:val="00BE3125"/>
    <w:rsid w:val="00BE3808"/>
    <w:rsid w:val="00BE386E"/>
    <w:rsid w:val="00BE4BFA"/>
    <w:rsid w:val="00BE4DBE"/>
    <w:rsid w:val="00BE6A31"/>
    <w:rsid w:val="00BE778C"/>
    <w:rsid w:val="00BF00B3"/>
    <w:rsid w:val="00BF01FF"/>
    <w:rsid w:val="00BF1263"/>
    <w:rsid w:val="00BF31BA"/>
    <w:rsid w:val="00BF36D0"/>
    <w:rsid w:val="00BF3788"/>
    <w:rsid w:val="00BF3933"/>
    <w:rsid w:val="00BF42E1"/>
    <w:rsid w:val="00BF4798"/>
    <w:rsid w:val="00BF50E6"/>
    <w:rsid w:val="00BF5E3B"/>
    <w:rsid w:val="00BF5EBC"/>
    <w:rsid w:val="00BF5FDB"/>
    <w:rsid w:val="00BF6B51"/>
    <w:rsid w:val="00BF6F65"/>
    <w:rsid w:val="00BF7384"/>
    <w:rsid w:val="00BF79D7"/>
    <w:rsid w:val="00BF7B53"/>
    <w:rsid w:val="00C00072"/>
    <w:rsid w:val="00C004D2"/>
    <w:rsid w:val="00C00B16"/>
    <w:rsid w:val="00C00D36"/>
    <w:rsid w:val="00C00F1E"/>
    <w:rsid w:val="00C016EC"/>
    <w:rsid w:val="00C016F6"/>
    <w:rsid w:val="00C03426"/>
    <w:rsid w:val="00C04502"/>
    <w:rsid w:val="00C04F5C"/>
    <w:rsid w:val="00C05330"/>
    <w:rsid w:val="00C05A66"/>
    <w:rsid w:val="00C05CC9"/>
    <w:rsid w:val="00C062E9"/>
    <w:rsid w:val="00C06C91"/>
    <w:rsid w:val="00C0781F"/>
    <w:rsid w:val="00C07866"/>
    <w:rsid w:val="00C079E1"/>
    <w:rsid w:val="00C07B64"/>
    <w:rsid w:val="00C10AA7"/>
    <w:rsid w:val="00C10B3E"/>
    <w:rsid w:val="00C11198"/>
    <w:rsid w:val="00C11667"/>
    <w:rsid w:val="00C11E79"/>
    <w:rsid w:val="00C131B3"/>
    <w:rsid w:val="00C13721"/>
    <w:rsid w:val="00C14808"/>
    <w:rsid w:val="00C14890"/>
    <w:rsid w:val="00C14BC2"/>
    <w:rsid w:val="00C1578B"/>
    <w:rsid w:val="00C15945"/>
    <w:rsid w:val="00C15CD7"/>
    <w:rsid w:val="00C16160"/>
    <w:rsid w:val="00C162CA"/>
    <w:rsid w:val="00C169BE"/>
    <w:rsid w:val="00C17770"/>
    <w:rsid w:val="00C179EC"/>
    <w:rsid w:val="00C20525"/>
    <w:rsid w:val="00C20A2B"/>
    <w:rsid w:val="00C20FD5"/>
    <w:rsid w:val="00C21056"/>
    <w:rsid w:val="00C2147B"/>
    <w:rsid w:val="00C230B9"/>
    <w:rsid w:val="00C232E6"/>
    <w:rsid w:val="00C2427C"/>
    <w:rsid w:val="00C242FC"/>
    <w:rsid w:val="00C24408"/>
    <w:rsid w:val="00C24B1B"/>
    <w:rsid w:val="00C257A8"/>
    <w:rsid w:val="00C2648E"/>
    <w:rsid w:val="00C26FC6"/>
    <w:rsid w:val="00C2751C"/>
    <w:rsid w:val="00C2773E"/>
    <w:rsid w:val="00C27CAF"/>
    <w:rsid w:val="00C30042"/>
    <w:rsid w:val="00C3066D"/>
    <w:rsid w:val="00C30793"/>
    <w:rsid w:val="00C30AA9"/>
    <w:rsid w:val="00C30BF7"/>
    <w:rsid w:val="00C31324"/>
    <w:rsid w:val="00C314B7"/>
    <w:rsid w:val="00C3179C"/>
    <w:rsid w:val="00C31D5C"/>
    <w:rsid w:val="00C322F6"/>
    <w:rsid w:val="00C3264C"/>
    <w:rsid w:val="00C329D4"/>
    <w:rsid w:val="00C32D8A"/>
    <w:rsid w:val="00C32E58"/>
    <w:rsid w:val="00C32EAF"/>
    <w:rsid w:val="00C3355E"/>
    <w:rsid w:val="00C335B9"/>
    <w:rsid w:val="00C33C85"/>
    <w:rsid w:val="00C342DF"/>
    <w:rsid w:val="00C34701"/>
    <w:rsid w:val="00C34773"/>
    <w:rsid w:val="00C347EF"/>
    <w:rsid w:val="00C3496B"/>
    <w:rsid w:val="00C34E57"/>
    <w:rsid w:val="00C35A05"/>
    <w:rsid w:val="00C35B16"/>
    <w:rsid w:val="00C36322"/>
    <w:rsid w:val="00C3682A"/>
    <w:rsid w:val="00C36EDE"/>
    <w:rsid w:val="00C3745E"/>
    <w:rsid w:val="00C3747F"/>
    <w:rsid w:val="00C379B4"/>
    <w:rsid w:val="00C37E04"/>
    <w:rsid w:val="00C410E8"/>
    <w:rsid w:val="00C41720"/>
    <w:rsid w:val="00C42023"/>
    <w:rsid w:val="00C42754"/>
    <w:rsid w:val="00C43418"/>
    <w:rsid w:val="00C43B45"/>
    <w:rsid w:val="00C43CCB"/>
    <w:rsid w:val="00C4490F"/>
    <w:rsid w:val="00C44AD7"/>
    <w:rsid w:val="00C45221"/>
    <w:rsid w:val="00C45AC0"/>
    <w:rsid w:val="00C45AFF"/>
    <w:rsid w:val="00C45E19"/>
    <w:rsid w:val="00C46B57"/>
    <w:rsid w:val="00C470BD"/>
    <w:rsid w:val="00C470BE"/>
    <w:rsid w:val="00C50144"/>
    <w:rsid w:val="00C505BE"/>
    <w:rsid w:val="00C51369"/>
    <w:rsid w:val="00C519E3"/>
    <w:rsid w:val="00C51C25"/>
    <w:rsid w:val="00C524B8"/>
    <w:rsid w:val="00C526BB"/>
    <w:rsid w:val="00C529A8"/>
    <w:rsid w:val="00C52CE9"/>
    <w:rsid w:val="00C54268"/>
    <w:rsid w:val="00C543F4"/>
    <w:rsid w:val="00C5442F"/>
    <w:rsid w:val="00C5472A"/>
    <w:rsid w:val="00C54917"/>
    <w:rsid w:val="00C549A9"/>
    <w:rsid w:val="00C549CD"/>
    <w:rsid w:val="00C54A21"/>
    <w:rsid w:val="00C54B36"/>
    <w:rsid w:val="00C54F88"/>
    <w:rsid w:val="00C56143"/>
    <w:rsid w:val="00C564E4"/>
    <w:rsid w:val="00C56593"/>
    <w:rsid w:val="00C56FC1"/>
    <w:rsid w:val="00C6005F"/>
    <w:rsid w:val="00C60157"/>
    <w:rsid w:val="00C60757"/>
    <w:rsid w:val="00C60AEE"/>
    <w:rsid w:val="00C60CE4"/>
    <w:rsid w:val="00C60E09"/>
    <w:rsid w:val="00C610D2"/>
    <w:rsid w:val="00C620D4"/>
    <w:rsid w:val="00C62220"/>
    <w:rsid w:val="00C62844"/>
    <w:rsid w:val="00C6291C"/>
    <w:rsid w:val="00C633CB"/>
    <w:rsid w:val="00C6342E"/>
    <w:rsid w:val="00C63637"/>
    <w:rsid w:val="00C63E70"/>
    <w:rsid w:val="00C6494C"/>
    <w:rsid w:val="00C64D94"/>
    <w:rsid w:val="00C65568"/>
    <w:rsid w:val="00C655E0"/>
    <w:rsid w:val="00C6567B"/>
    <w:rsid w:val="00C657A4"/>
    <w:rsid w:val="00C65AC8"/>
    <w:rsid w:val="00C66584"/>
    <w:rsid w:val="00C67C6A"/>
    <w:rsid w:val="00C7072D"/>
    <w:rsid w:val="00C70ADE"/>
    <w:rsid w:val="00C712C1"/>
    <w:rsid w:val="00C7134D"/>
    <w:rsid w:val="00C7142A"/>
    <w:rsid w:val="00C719A4"/>
    <w:rsid w:val="00C71D6D"/>
    <w:rsid w:val="00C7223B"/>
    <w:rsid w:val="00C72307"/>
    <w:rsid w:val="00C72321"/>
    <w:rsid w:val="00C72E12"/>
    <w:rsid w:val="00C731D0"/>
    <w:rsid w:val="00C7321F"/>
    <w:rsid w:val="00C7322E"/>
    <w:rsid w:val="00C734B8"/>
    <w:rsid w:val="00C73FC4"/>
    <w:rsid w:val="00C74588"/>
    <w:rsid w:val="00C75595"/>
    <w:rsid w:val="00C7581C"/>
    <w:rsid w:val="00C75FC3"/>
    <w:rsid w:val="00C761FF"/>
    <w:rsid w:val="00C763E4"/>
    <w:rsid w:val="00C76A54"/>
    <w:rsid w:val="00C76F5E"/>
    <w:rsid w:val="00C77176"/>
    <w:rsid w:val="00C80983"/>
    <w:rsid w:val="00C80EFA"/>
    <w:rsid w:val="00C8144C"/>
    <w:rsid w:val="00C817D5"/>
    <w:rsid w:val="00C81D4A"/>
    <w:rsid w:val="00C83196"/>
    <w:rsid w:val="00C83635"/>
    <w:rsid w:val="00C836D9"/>
    <w:rsid w:val="00C83CD3"/>
    <w:rsid w:val="00C84BCE"/>
    <w:rsid w:val="00C84BD6"/>
    <w:rsid w:val="00C84FBF"/>
    <w:rsid w:val="00C85169"/>
    <w:rsid w:val="00C859C3"/>
    <w:rsid w:val="00C8695A"/>
    <w:rsid w:val="00C86E4C"/>
    <w:rsid w:val="00C8762C"/>
    <w:rsid w:val="00C876B4"/>
    <w:rsid w:val="00C876EB"/>
    <w:rsid w:val="00C90A3B"/>
    <w:rsid w:val="00C91247"/>
    <w:rsid w:val="00C91FE6"/>
    <w:rsid w:val="00C927EB"/>
    <w:rsid w:val="00C92C40"/>
    <w:rsid w:val="00C92F55"/>
    <w:rsid w:val="00C93177"/>
    <w:rsid w:val="00C93753"/>
    <w:rsid w:val="00C93FE4"/>
    <w:rsid w:val="00C943F9"/>
    <w:rsid w:val="00C94679"/>
    <w:rsid w:val="00C953EC"/>
    <w:rsid w:val="00C95706"/>
    <w:rsid w:val="00C95B63"/>
    <w:rsid w:val="00C96AA0"/>
    <w:rsid w:val="00C97275"/>
    <w:rsid w:val="00C97585"/>
    <w:rsid w:val="00C97A6F"/>
    <w:rsid w:val="00CA00F9"/>
    <w:rsid w:val="00CA014C"/>
    <w:rsid w:val="00CA05CE"/>
    <w:rsid w:val="00CA1D45"/>
    <w:rsid w:val="00CA1EA8"/>
    <w:rsid w:val="00CA207E"/>
    <w:rsid w:val="00CA267F"/>
    <w:rsid w:val="00CA28F1"/>
    <w:rsid w:val="00CA2961"/>
    <w:rsid w:val="00CA2E40"/>
    <w:rsid w:val="00CA3339"/>
    <w:rsid w:val="00CA3349"/>
    <w:rsid w:val="00CA3A5E"/>
    <w:rsid w:val="00CA3AA7"/>
    <w:rsid w:val="00CA3D93"/>
    <w:rsid w:val="00CA412D"/>
    <w:rsid w:val="00CA4277"/>
    <w:rsid w:val="00CA4921"/>
    <w:rsid w:val="00CA54F1"/>
    <w:rsid w:val="00CA5CD6"/>
    <w:rsid w:val="00CA61BF"/>
    <w:rsid w:val="00CA6477"/>
    <w:rsid w:val="00CA766A"/>
    <w:rsid w:val="00CA7B67"/>
    <w:rsid w:val="00CA7CE3"/>
    <w:rsid w:val="00CB0379"/>
    <w:rsid w:val="00CB039B"/>
    <w:rsid w:val="00CB072C"/>
    <w:rsid w:val="00CB095D"/>
    <w:rsid w:val="00CB097C"/>
    <w:rsid w:val="00CB0D45"/>
    <w:rsid w:val="00CB19A7"/>
    <w:rsid w:val="00CB2BA7"/>
    <w:rsid w:val="00CB3C7E"/>
    <w:rsid w:val="00CB400C"/>
    <w:rsid w:val="00CB415D"/>
    <w:rsid w:val="00CB43C1"/>
    <w:rsid w:val="00CB47F6"/>
    <w:rsid w:val="00CB50D7"/>
    <w:rsid w:val="00CB6B20"/>
    <w:rsid w:val="00CB7177"/>
    <w:rsid w:val="00CB798F"/>
    <w:rsid w:val="00CB7D45"/>
    <w:rsid w:val="00CC0472"/>
    <w:rsid w:val="00CC0726"/>
    <w:rsid w:val="00CC0C8F"/>
    <w:rsid w:val="00CC0ECD"/>
    <w:rsid w:val="00CC1373"/>
    <w:rsid w:val="00CC14B9"/>
    <w:rsid w:val="00CC16A9"/>
    <w:rsid w:val="00CC1892"/>
    <w:rsid w:val="00CC1998"/>
    <w:rsid w:val="00CC19E3"/>
    <w:rsid w:val="00CC212C"/>
    <w:rsid w:val="00CC275A"/>
    <w:rsid w:val="00CC2AF4"/>
    <w:rsid w:val="00CC30DD"/>
    <w:rsid w:val="00CC3A52"/>
    <w:rsid w:val="00CC427D"/>
    <w:rsid w:val="00CC4946"/>
    <w:rsid w:val="00CC5A70"/>
    <w:rsid w:val="00CC6AC5"/>
    <w:rsid w:val="00CC6DA0"/>
    <w:rsid w:val="00CC710D"/>
    <w:rsid w:val="00CC7E47"/>
    <w:rsid w:val="00CD054B"/>
    <w:rsid w:val="00CD0E4F"/>
    <w:rsid w:val="00CD1A1A"/>
    <w:rsid w:val="00CD25CA"/>
    <w:rsid w:val="00CD28F4"/>
    <w:rsid w:val="00CD318C"/>
    <w:rsid w:val="00CD3C04"/>
    <w:rsid w:val="00CD3D9A"/>
    <w:rsid w:val="00CD42CA"/>
    <w:rsid w:val="00CD4C31"/>
    <w:rsid w:val="00CD4E9C"/>
    <w:rsid w:val="00CD5296"/>
    <w:rsid w:val="00CD5613"/>
    <w:rsid w:val="00CD674C"/>
    <w:rsid w:val="00CE0B7E"/>
    <w:rsid w:val="00CE0CE7"/>
    <w:rsid w:val="00CE1200"/>
    <w:rsid w:val="00CE1DB4"/>
    <w:rsid w:val="00CE1F20"/>
    <w:rsid w:val="00CE25FD"/>
    <w:rsid w:val="00CE26A1"/>
    <w:rsid w:val="00CE2773"/>
    <w:rsid w:val="00CE27FD"/>
    <w:rsid w:val="00CE2F4E"/>
    <w:rsid w:val="00CE37E8"/>
    <w:rsid w:val="00CE4105"/>
    <w:rsid w:val="00CE5460"/>
    <w:rsid w:val="00CE5BD0"/>
    <w:rsid w:val="00CE65C9"/>
    <w:rsid w:val="00CE6640"/>
    <w:rsid w:val="00CE7608"/>
    <w:rsid w:val="00CE79A6"/>
    <w:rsid w:val="00CF1FDE"/>
    <w:rsid w:val="00CF21ED"/>
    <w:rsid w:val="00CF25BB"/>
    <w:rsid w:val="00CF2954"/>
    <w:rsid w:val="00CF2B07"/>
    <w:rsid w:val="00CF32C1"/>
    <w:rsid w:val="00CF33D6"/>
    <w:rsid w:val="00CF43A9"/>
    <w:rsid w:val="00CF4733"/>
    <w:rsid w:val="00CF4FE5"/>
    <w:rsid w:val="00CF550A"/>
    <w:rsid w:val="00CF5B63"/>
    <w:rsid w:val="00CF674E"/>
    <w:rsid w:val="00CF68CE"/>
    <w:rsid w:val="00CF693B"/>
    <w:rsid w:val="00CF7E16"/>
    <w:rsid w:val="00D0006C"/>
    <w:rsid w:val="00D002DD"/>
    <w:rsid w:val="00D00545"/>
    <w:rsid w:val="00D006D9"/>
    <w:rsid w:val="00D00989"/>
    <w:rsid w:val="00D00D3E"/>
    <w:rsid w:val="00D01C41"/>
    <w:rsid w:val="00D01FB6"/>
    <w:rsid w:val="00D026CD"/>
    <w:rsid w:val="00D02BB9"/>
    <w:rsid w:val="00D02FE2"/>
    <w:rsid w:val="00D03585"/>
    <w:rsid w:val="00D0372C"/>
    <w:rsid w:val="00D041E6"/>
    <w:rsid w:val="00D041F1"/>
    <w:rsid w:val="00D0467B"/>
    <w:rsid w:val="00D04949"/>
    <w:rsid w:val="00D04BEF"/>
    <w:rsid w:val="00D04F3A"/>
    <w:rsid w:val="00D05683"/>
    <w:rsid w:val="00D05BD3"/>
    <w:rsid w:val="00D060F1"/>
    <w:rsid w:val="00D064A3"/>
    <w:rsid w:val="00D065B5"/>
    <w:rsid w:val="00D0699F"/>
    <w:rsid w:val="00D06AD3"/>
    <w:rsid w:val="00D07F63"/>
    <w:rsid w:val="00D10E9E"/>
    <w:rsid w:val="00D112B5"/>
    <w:rsid w:val="00D117A4"/>
    <w:rsid w:val="00D11B12"/>
    <w:rsid w:val="00D11BC6"/>
    <w:rsid w:val="00D1204C"/>
    <w:rsid w:val="00D12968"/>
    <w:rsid w:val="00D1297D"/>
    <w:rsid w:val="00D131DE"/>
    <w:rsid w:val="00D131E5"/>
    <w:rsid w:val="00D134FE"/>
    <w:rsid w:val="00D13D6A"/>
    <w:rsid w:val="00D14026"/>
    <w:rsid w:val="00D14111"/>
    <w:rsid w:val="00D154E3"/>
    <w:rsid w:val="00D1566F"/>
    <w:rsid w:val="00D157CC"/>
    <w:rsid w:val="00D165ED"/>
    <w:rsid w:val="00D16798"/>
    <w:rsid w:val="00D16949"/>
    <w:rsid w:val="00D16AEF"/>
    <w:rsid w:val="00D16CF9"/>
    <w:rsid w:val="00D17B39"/>
    <w:rsid w:val="00D17DA5"/>
    <w:rsid w:val="00D20298"/>
    <w:rsid w:val="00D204E5"/>
    <w:rsid w:val="00D20591"/>
    <w:rsid w:val="00D205D3"/>
    <w:rsid w:val="00D2090E"/>
    <w:rsid w:val="00D20CF1"/>
    <w:rsid w:val="00D20EAF"/>
    <w:rsid w:val="00D211DE"/>
    <w:rsid w:val="00D220DE"/>
    <w:rsid w:val="00D2481E"/>
    <w:rsid w:val="00D25536"/>
    <w:rsid w:val="00D257DE"/>
    <w:rsid w:val="00D2658E"/>
    <w:rsid w:val="00D26882"/>
    <w:rsid w:val="00D270A4"/>
    <w:rsid w:val="00D272E2"/>
    <w:rsid w:val="00D27B89"/>
    <w:rsid w:val="00D3009A"/>
    <w:rsid w:val="00D3042F"/>
    <w:rsid w:val="00D30930"/>
    <w:rsid w:val="00D30F65"/>
    <w:rsid w:val="00D316DD"/>
    <w:rsid w:val="00D31B13"/>
    <w:rsid w:val="00D31EAB"/>
    <w:rsid w:val="00D31FE9"/>
    <w:rsid w:val="00D32B29"/>
    <w:rsid w:val="00D32BE5"/>
    <w:rsid w:val="00D32ED0"/>
    <w:rsid w:val="00D331FB"/>
    <w:rsid w:val="00D33CC9"/>
    <w:rsid w:val="00D340F1"/>
    <w:rsid w:val="00D34C66"/>
    <w:rsid w:val="00D34D30"/>
    <w:rsid w:val="00D34E1B"/>
    <w:rsid w:val="00D350F9"/>
    <w:rsid w:val="00D3543F"/>
    <w:rsid w:val="00D359A6"/>
    <w:rsid w:val="00D3669A"/>
    <w:rsid w:val="00D36B44"/>
    <w:rsid w:val="00D376BA"/>
    <w:rsid w:val="00D378FE"/>
    <w:rsid w:val="00D37BF7"/>
    <w:rsid w:val="00D37E08"/>
    <w:rsid w:val="00D37FBF"/>
    <w:rsid w:val="00D406AF"/>
    <w:rsid w:val="00D40BCE"/>
    <w:rsid w:val="00D41097"/>
    <w:rsid w:val="00D4118C"/>
    <w:rsid w:val="00D42796"/>
    <w:rsid w:val="00D43A26"/>
    <w:rsid w:val="00D4445B"/>
    <w:rsid w:val="00D4488D"/>
    <w:rsid w:val="00D44A0E"/>
    <w:rsid w:val="00D44CFC"/>
    <w:rsid w:val="00D451F9"/>
    <w:rsid w:val="00D4593C"/>
    <w:rsid w:val="00D45D2E"/>
    <w:rsid w:val="00D46393"/>
    <w:rsid w:val="00D46661"/>
    <w:rsid w:val="00D46DBC"/>
    <w:rsid w:val="00D4723C"/>
    <w:rsid w:val="00D479A4"/>
    <w:rsid w:val="00D47D09"/>
    <w:rsid w:val="00D5002D"/>
    <w:rsid w:val="00D514D4"/>
    <w:rsid w:val="00D518AB"/>
    <w:rsid w:val="00D51A94"/>
    <w:rsid w:val="00D51C7C"/>
    <w:rsid w:val="00D51DB8"/>
    <w:rsid w:val="00D52631"/>
    <w:rsid w:val="00D526AA"/>
    <w:rsid w:val="00D52C0A"/>
    <w:rsid w:val="00D535A3"/>
    <w:rsid w:val="00D53D02"/>
    <w:rsid w:val="00D546E7"/>
    <w:rsid w:val="00D54C42"/>
    <w:rsid w:val="00D5527A"/>
    <w:rsid w:val="00D55294"/>
    <w:rsid w:val="00D55369"/>
    <w:rsid w:val="00D5568A"/>
    <w:rsid w:val="00D5577B"/>
    <w:rsid w:val="00D567D9"/>
    <w:rsid w:val="00D56E6F"/>
    <w:rsid w:val="00D57AA9"/>
    <w:rsid w:val="00D6034D"/>
    <w:rsid w:val="00D60D02"/>
    <w:rsid w:val="00D60E93"/>
    <w:rsid w:val="00D60F56"/>
    <w:rsid w:val="00D61097"/>
    <w:rsid w:val="00D611BE"/>
    <w:rsid w:val="00D6166E"/>
    <w:rsid w:val="00D61B9E"/>
    <w:rsid w:val="00D61D8D"/>
    <w:rsid w:val="00D633FB"/>
    <w:rsid w:val="00D63564"/>
    <w:rsid w:val="00D63A76"/>
    <w:rsid w:val="00D63C8B"/>
    <w:rsid w:val="00D63D73"/>
    <w:rsid w:val="00D64452"/>
    <w:rsid w:val="00D6453E"/>
    <w:rsid w:val="00D64756"/>
    <w:rsid w:val="00D64D67"/>
    <w:rsid w:val="00D64E0C"/>
    <w:rsid w:val="00D64E5E"/>
    <w:rsid w:val="00D64EE4"/>
    <w:rsid w:val="00D656F1"/>
    <w:rsid w:val="00D65881"/>
    <w:rsid w:val="00D6634C"/>
    <w:rsid w:val="00D6664E"/>
    <w:rsid w:val="00D66E1E"/>
    <w:rsid w:val="00D67F38"/>
    <w:rsid w:val="00D7186E"/>
    <w:rsid w:val="00D71892"/>
    <w:rsid w:val="00D72642"/>
    <w:rsid w:val="00D73BAC"/>
    <w:rsid w:val="00D75662"/>
    <w:rsid w:val="00D75722"/>
    <w:rsid w:val="00D75B32"/>
    <w:rsid w:val="00D75FD6"/>
    <w:rsid w:val="00D762DA"/>
    <w:rsid w:val="00D7672B"/>
    <w:rsid w:val="00D76B45"/>
    <w:rsid w:val="00D77646"/>
    <w:rsid w:val="00D779D7"/>
    <w:rsid w:val="00D77D49"/>
    <w:rsid w:val="00D77D89"/>
    <w:rsid w:val="00D8087E"/>
    <w:rsid w:val="00D80CF5"/>
    <w:rsid w:val="00D810DE"/>
    <w:rsid w:val="00D8122B"/>
    <w:rsid w:val="00D81502"/>
    <w:rsid w:val="00D81E6C"/>
    <w:rsid w:val="00D81FEE"/>
    <w:rsid w:val="00D81FF4"/>
    <w:rsid w:val="00D8242C"/>
    <w:rsid w:val="00D82533"/>
    <w:rsid w:val="00D82A95"/>
    <w:rsid w:val="00D82E62"/>
    <w:rsid w:val="00D82F22"/>
    <w:rsid w:val="00D831F4"/>
    <w:rsid w:val="00D83C3C"/>
    <w:rsid w:val="00D84658"/>
    <w:rsid w:val="00D84A6A"/>
    <w:rsid w:val="00D85648"/>
    <w:rsid w:val="00D8631F"/>
    <w:rsid w:val="00D86567"/>
    <w:rsid w:val="00D86E58"/>
    <w:rsid w:val="00D8727C"/>
    <w:rsid w:val="00D87795"/>
    <w:rsid w:val="00D87D3C"/>
    <w:rsid w:val="00D9017F"/>
    <w:rsid w:val="00D90B81"/>
    <w:rsid w:val="00D90BA0"/>
    <w:rsid w:val="00D91878"/>
    <w:rsid w:val="00D91D72"/>
    <w:rsid w:val="00D91E05"/>
    <w:rsid w:val="00D92EF5"/>
    <w:rsid w:val="00D93C53"/>
    <w:rsid w:val="00D93D6D"/>
    <w:rsid w:val="00D9427F"/>
    <w:rsid w:val="00D94A71"/>
    <w:rsid w:val="00D95855"/>
    <w:rsid w:val="00D95DA2"/>
    <w:rsid w:val="00D96DF5"/>
    <w:rsid w:val="00D971B0"/>
    <w:rsid w:val="00D9726B"/>
    <w:rsid w:val="00D97D1D"/>
    <w:rsid w:val="00D97D4C"/>
    <w:rsid w:val="00DA02C9"/>
    <w:rsid w:val="00DA0461"/>
    <w:rsid w:val="00DA11D1"/>
    <w:rsid w:val="00DA24D7"/>
    <w:rsid w:val="00DA272E"/>
    <w:rsid w:val="00DA2871"/>
    <w:rsid w:val="00DA42C1"/>
    <w:rsid w:val="00DA4517"/>
    <w:rsid w:val="00DA48FD"/>
    <w:rsid w:val="00DA4AB5"/>
    <w:rsid w:val="00DA4C2B"/>
    <w:rsid w:val="00DA5394"/>
    <w:rsid w:val="00DA539E"/>
    <w:rsid w:val="00DA5BBA"/>
    <w:rsid w:val="00DA603D"/>
    <w:rsid w:val="00DA6A31"/>
    <w:rsid w:val="00DA709D"/>
    <w:rsid w:val="00DB0CFB"/>
    <w:rsid w:val="00DB11A5"/>
    <w:rsid w:val="00DB136D"/>
    <w:rsid w:val="00DB195F"/>
    <w:rsid w:val="00DB1A1E"/>
    <w:rsid w:val="00DB1C28"/>
    <w:rsid w:val="00DB212B"/>
    <w:rsid w:val="00DB248E"/>
    <w:rsid w:val="00DB24F0"/>
    <w:rsid w:val="00DB2A04"/>
    <w:rsid w:val="00DB2C1F"/>
    <w:rsid w:val="00DB32A0"/>
    <w:rsid w:val="00DB3632"/>
    <w:rsid w:val="00DB3C1E"/>
    <w:rsid w:val="00DB3D28"/>
    <w:rsid w:val="00DB4540"/>
    <w:rsid w:val="00DB4D27"/>
    <w:rsid w:val="00DB4DFF"/>
    <w:rsid w:val="00DB4EC4"/>
    <w:rsid w:val="00DB5825"/>
    <w:rsid w:val="00DB5CBB"/>
    <w:rsid w:val="00DB6159"/>
    <w:rsid w:val="00DB64CB"/>
    <w:rsid w:val="00DB67C9"/>
    <w:rsid w:val="00DB6E92"/>
    <w:rsid w:val="00DC066D"/>
    <w:rsid w:val="00DC0C95"/>
    <w:rsid w:val="00DC11DD"/>
    <w:rsid w:val="00DC11FC"/>
    <w:rsid w:val="00DC12AA"/>
    <w:rsid w:val="00DC1790"/>
    <w:rsid w:val="00DC1DE3"/>
    <w:rsid w:val="00DC22BC"/>
    <w:rsid w:val="00DC2C7D"/>
    <w:rsid w:val="00DC3812"/>
    <w:rsid w:val="00DC392C"/>
    <w:rsid w:val="00DC3EEB"/>
    <w:rsid w:val="00DC48C4"/>
    <w:rsid w:val="00DC53E1"/>
    <w:rsid w:val="00DC59C8"/>
    <w:rsid w:val="00DC5AA0"/>
    <w:rsid w:val="00DC7C9C"/>
    <w:rsid w:val="00DC7FF2"/>
    <w:rsid w:val="00DD0182"/>
    <w:rsid w:val="00DD0486"/>
    <w:rsid w:val="00DD0919"/>
    <w:rsid w:val="00DD0C90"/>
    <w:rsid w:val="00DD0DF5"/>
    <w:rsid w:val="00DD11AB"/>
    <w:rsid w:val="00DD1670"/>
    <w:rsid w:val="00DD181D"/>
    <w:rsid w:val="00DD1924"/>
    <w:rsid w:val="00DD2AE0"/>
    <w:rsid w:val="00DD3565"/>
    <w:rsid w:val="00DD3781"/>
    <w:rsid w:val="00DD38B0"/>
    <w:rsid w:val="00DD41C8"/>
    <w:rsid w:val="00DD43BF"/>
    <w:rsid w:val="00DD4ACD"/>
    <w:rsid w:val="00DD50E9"/>
    <w:rsid w:val="00DD5FF3"/>
    <w:rsid w:val="00DD6242"/>
    <w:rsid w:val="00DD6580"/>
    <w:rsid w:val="00DD6D8B"/>
    <w:rsid w:val="00DD753A"/>
    <w:rsid w:val="00DE039C"/>
    <w:rsid w:val="00DE0931"/>
    <w:rsid w:val="00DE16B5"/>
    <w:rsid w:val="00DE1D48"/>
    <w:rsid w:val="00DE26C5"/>
    <w:rsid w:val="00DE28B8"/>
    <w:rsid w:val="00DE2BD1"/>
    <w:rsid w:val="00DE367D"/>
    <w:rsid w:val="00DE3811"/>
    <w:rsid w:val="00DE3ED9"/>
    <w:rsid w:val="00DE48E5"/>
    <w:rsid w:val="00DE5107"/>
    <w:rsid w:val="00DE5441"/>
    <w:rsid w:val="00DE5EAB"/>
    <w:rsid w:val="00DE6191"/>
    <w:rsid w:val="00DE6867"/>
    <w:rsid w:val="00DE71F9"/>
    <w:rsid w:val="00DE76CD"/>
    <w:rsid w:val="00DE7C08"/>
    <w:rsid w:val="00DE7E6B"/>
    <w:rsid w:val="00DF0204"/>
    <w:rsid w:val="00DF065C"/>
    <w:rsid w:val="00DF0769"/>
    <w:rsid w:val="00DF0D78"/>
    <w:rsid w:val="00DF0DF1"/>
    <w:rsid w:val="00DF0E72"/>
    <w:rsid w:val="00DF1110"/>
    <w:rsid w:val="00DF14A1"/>
    <w:rsid w:val="00DF181B"/>
    <w:rsid w:val="00DF1C27"/>
    <w:rsid w:val="00DF21CB"/>
    <w:rsid w:val="00DF341B"/>
    <w:rsid w:val="00DF3555"/>
    <w:rsid w:val="00DF442D"/>
    <w:rsid w:val="00DF4566"/>
    <w:rsid w:val="00DF48EC"/>
    <w:rsid w:val="00DF5796"/>
    <w:rsid w:val="00DF5BED"/>
    <w:rsid w:val="00DF5EE2"/>
    <w:rsid w:val="00DF6090"/>
    <w:rsid w:val="00DF6406"/>
    <w:rsid w:val="00DF681A"/>
    <w:rsid w:val="00DF69DE"/>
    <w:rsid w:val="00DF6C96"/>
    <w:rsid w:val="00DF7145"/>
    <w:rsid w:val="00DF73F5"/>
    <w:rsid w:val="00DF7487"/>
    <w:rsid w:val="00DF7FA7"/>
    <w:rsid w:val="00E00A53"/>
    <w:rsid w:val="00E01E31"/>
    <w:rsid w:val="00E029AD"/>
    <w:rsid w:val="00E04629"/>
    <w:rsid w:val="00E04D95"/>
    <w:rsid w:val="00E05899"/>
    <w:rsid w:val="00E05FF3"/>
    <w:rsid w:val="00E061F9"/>
    <w:rsid w:val="00E06B3C"/>
    <w:rsid w:val="00E06BD2"/>
    <w:rsid w:val="00E07147"/>
    <w:rsid w:val="00E07164"/>
    <w:rsid w:val="00E07A63"/>
    <w:rsid w:val="00E10652"/>
    <w:rsid w:val="00E10B40"/>
    <w:rsid w:val="00E110F8"/>
    <w:rsid w:val="00E1166C"/>
    <w:rsid w:val="00E11DD1"/>
    <w:rsid w:val="00E123FC"/>
    <w:rsid w:val="00E12791"/>
    <w:rsid w:val="00E12CB2"/>
    <w:rsid w:val="00E12F69"/>
    <w:rsid w:val="00E1309C"/>
    <w:rsid w:val="00E13236"/>
    <w:rsid w:val="00E13DE7"/>
    <w:rsid w:val="00E14013"/>
    <w:rsid w:val="00E14083"/>
    <w:rsid w:val="00E147EC"/>
    <w:rsid w:val="00E1485E"/>
    <w:rsid w:val="00E14AE7"/>
    <w:rsid w:val="00E15FD5"/>
    <w:rsid w:val="00E164BF"/>
    <w:rsid w:val="00E165F0"/>
    <w:rsid w:val="00E16FAA"/>
    <w:rsid w:val="00E17C72"/>
    <w:rsid w:val="00E2053A"/>
    <w:rsid w:val="00E206DC"/>
    <w:rsid w:val="00E20CF2"/>
    <w:rsid w:val="00E21346"/>
    <w:rsid w:val="00E21B43"/>
    <w:rsid w:val="00E21FC6"/>
    <w:rsid w:val="00E22B8D"/>
    <w:rsid w:val="00E23137"/>
    <w:rsid w:val="00E23157"/>
    <w:rsid w:val="00E2360C"/>
    <w:rsid w:val="00E23D15"/>
    <w:rsid w:val="00E23E60"/>
    <w:rsid w:val="00E23EBD"/>
    <w:rsid w:val="00E2449B"/>
    <w:rsid w:val="00E24A32"/>
    <w:rsid w:val="00E25D6D"/>
    <w:rsid w:val="00E27404"/>
    <w:rsid w:val="00E27F50"/>
    <w:rsid w:val="00E30176"/>
    <w:rsid w:val="00E303A6"/>
    <w:rsid w:val="00E3071A"/>
    <w:rsid w:val="00E30A09"/>
    <w:rsid w:val="00E30DF1"/>
    <w:rsid w:val="00E30FC6"/>
    <w:rsid w:val="00E31518"/>
    <w:rsid w:val="00E3179B"/>
    <w:rsid w:val="00E32027"/>
    <w:rsid w:val="00E32124"/>
    <w:rsid w:val="00E32168"/>
    <w:rsid w:val="00E3256F"/>
    <w:rsid w:val="00E32C30"/>
    <w:rsid w:val="00E32F2A"/>
    <w:rsid w:val="00E3304D"/>
    <w:rsid w:val="00E33440"/>
    <w:rsid w:val="00E334F8"/>
    <w:rsid w:val="00E339AE"/>
    <w:rsid w:val="00E33A70"/>
    <w:rsid w:val="00E33B7E"/>
    <w:rsid w:val="00E346FD"/>
    <w:rsid w:val="00E34C62"/>
    <w:rsid w:val="00E3554A"/>
    <w:rsid w:val="00E3559C"/>
    <w:rsid w:val="00E355BB"/>
    <w:rsid w:val="00E36247"/>
    <w:rsid w:val="00E367A0"/>
    <w:rsid w:val="00E3755C"/>
    <w:rsid w:val="00E37619"/>
    <w:rsid w:val="00E37A24"/>
    <w:rsid w:val="00E403A1"/>
    <w:rsid w:val="00E40882"/>
    <w:rsid w:val="00E40C14"/>
    <w:rsid w:val="00E40E4C"/>
    <w:rsid w:val="00E40EDD"/>
    <w:rsid w:val="00E41433"/>
    <w:rsid w:val="00E41715"/>
    <w:rsid w:val="00E41E42"/>
    <w:rsid w:val="00E42537"/>
    <w:rsid w:val="00E42FB1"/>
    <w:rsid w:val="00E431A9"/>
    <w:rsid w:val="00E43542"/>
    <w:rsid w:val="00E43C00"/>
    <w:rsid w:val="00E43F31"/>
    <w:rsid w:val="00E442CE"/>
    <w:rsid w:val="00E44447"/>
    <w:rsid w:val="00E44C7F"/>
    <w:rsid w:val="00E451FD"/>
    <w:rsid w:val="00E459C0"/>
    <w:rsid w:val="00E45B9C"/>
    <w:rsid w:val="00E45FEF"/>
    <w:rsid w:val="00E46879"/>
    <w:rsid w:val="00E46FE0"/>
    <w:rsid w:val="00E47501"/>
    <w:rsid w:val="00E47BCE"/>
    <w:rsid w:val="00E47C19"/>
    <w:rsid w:val="00E50378"/>
    <w:rsid w:val="00E50389"/>
    <w:rsid w:val="00E506C9"/>
    <w:rsid w:val="00E50AD4"/>
    <w:rsid w:val="00E50CBF"/>
    <w:rsid w:val="00E50D86"/>
    <w:rsid w:val="00E515A2"/>
    <w:rsid w:val="00E52431"/>
    <w:rsid w:val="00E525E3"/>
    <w:rsid w:val="00E52783"/>
    <w:rsid w:val="00E52CF1"/>
    <w:rsid w:val="00E52F45"/>
    <w:rsid w:val="00E550E9"/>
    <w:rsid w:val="00E551A5"/>
    <w:rsid w:val="00E55D6D"/>
    <w:rsid w:val="00E562FA"/>
    <w:rsid w:val="00E568C5"/>
    <w:rsid w:val="00E60057"/>
    <w:rsid w:val="00E6104E"/>
    <w:rsid w:val="00E6129A"/>
    <w:rsid w:val="00E6250C"/>
    <w:rsid w:val="00E6277C"/>
    <w:rsid w:val="00E62A6D"/>
    <w:rsid w:val="00E62F8D"/>
    <w:rsid w:val="00E6323D"/>
    <w:rsid w:val="00E63424"/>
    <w:rsid w:val="00E643C3"/>
    <w:rsid w:val="00E6442F"/>
    <w:rsid w:val="00E654A1"/>
    <w:rsid w:val="00E658DD"/>
    <w:rsid w:val="00E669E2"/>
    <w:rsid w:val="00E677FA"/>
    <w:rsid w:val="00E6780D"/>
    <w:rsid w:val="00E703F1"/>
    <w:rsid w:val="00E7063D"/>
    <w:rsid w:val="00E70C77"/>
    <w:rsid w:val="00E714CA"/>
    <w:rsid w:val="00E71B9A"/>
    <w:rsid w:val="00E72899"/>
    <w:rsid w:val="00E7395B"/>
    <w:rsid w:val="00E73BA7"/>
    <w:rsid w:val="00E7414E"/>
    <w:rsid w:val="00E74233"/>
    <w:rsid w:val="00E74755"/>
    <w:rsid w:val="00E74B7C"/>
    <w:rsid w:val="00E74FB1"/>
    <w:rsid w:val="00E757E8"/>
    <w:rsid w:val="00E7596A"/>
    <w:rsid w:val="00E76018"/>
    <w:rsid w:val="00E76135"/>
    <w:rsid w:val="00E7639E"/>
    <w:rsid w:val="00E7652A"/>
    <w:rsid w:val="00E76615"/>
    <w:rsid w:val="00E77EBF"/>
    <w:rsid w:val="00E80F04"/>
    <w:rsid w:val="00E8130F"/>
    <w:rsid w:val="00E8140C"/>
    <w:rsid w:val="00E823DD"/>
    <w:rsid w:val="00E82F4F"/>
    <w:rsid w:val="00E83F22"/>
    <w:rsid w:val="00E846C2"/>
    <w:rsid w:val="00E849FF"/>
    <w:rsid w:val="00E84A60"/>
    <w:rsid w:val="00E852C5"/>
    <w:rsid w:val="00E8578D"/>
    <w:rsid w:val="00E85A5F"/>
    <w:rsid w:val="00E85AB9"/>
    <w:rsid w:val="00E861C9"/>
    <w:rsid w:val="00E8651F"/>
    <w:rsid w:val="00E86B89"/>
    <w:rsid w:val="00E86B9F"/>
    <w:rsid w:val="00E87722"/>
    <w:rsid w:val="00E900B6"/>
    <w:rsid w:val="00E900DB"/>
    <w:rsid w:val="00E901BA"/>
    <w:rsid w:val="00E90241"/>
    <w:rsid w:val="00E90D11"/>
    <w:rsid w:val="00E910F1"/>
    <w:rsid w:val="00E912EB"/>
    <w:rsid w:val="00E9132B"/>
    <w:rsid w:val="00E9150D"/>
    <w:rsid w:val="00E91FB2"/>
    <w:rsid w:val="00E9337F"/>
    <w:rsid w:val="00E940C9"/>
    <w:rsid w:val="00E94183"/>
    <w:rsid w:val="00E9472D"/>
    <w:rsid w:val="00E95050"/>
    <w:rsid w:val="00E95E05"/>
    <w:rsid w:val="00E95EE1"/>
    <w:rsid w:val="00E964CE"/>
    <w:rsid w:val="00E965C0"/>
    <w:rsid w:val="00E96897"/>
    <w:rsid w:val="00E96A65"/>
    <w:rsid w:val="00E96E70"/>
    <w:rsid w:val="00E97179"/>
    <w:rsid w:val="00E97E6C"/>
    <w:rsid w:val="00EA01B5"/>
    <w:rsid w:val="00EA05E5"/>
    <w:rsid w:val="00EA075B"/>
    <w:rsid w:val="00EA0C79"/>
    <w:rsid w:val="00EA102D"/>
    <w:rsid w:val="00EA126B"/>
    <w:rsid w:val="00EA236E"/>
    <w:rsid w:val="00EA2B5A"/>
    <w:rsid w:val="00EA2BFD"/>
    <w:rsid w:val="00EA36E9"/>
    <w:rsid w:val="00EA3CF0"/>
    <w:rsid w:val="00EA5992"/>
    <w:rsid w:val="00EA6105"/>
    <w:rsid w:val="00EA6798"/>
    <w:rsid w:val="00EA6C6F"/>
    <w:rsid w:val="00EA753C"/>
    <w:rsid w:val="00EB0227"/>
    <w:rsid w:val="00EB04C4"/>
    <w:rsid w:val="00EB0C50"/>
    <w:rsid w:val="00EB0ED3"/>
    <w:rsid w:val="00EB10E7"/>
    <w:rsid w:val="00EB152D"/>
    <w:rsid w:val="00EB1A2D"/>
    <w:rsid w:val="00EB29C5"/>
    <w:rsid w:val="00EB3376"/>
    <w:rsid w:val="00EB3763"/>
    <w:rsid w:val="00EB4329"/>
    <w:rsid w:val="00EB5A92"/>
    <w:rsid w:val="00EB5B8A"/>
    <w:rsid w:val="00EB5E9C"/>
    <w:rsid w:val="00EB69F2"/>
    <w:rsid w:val="00EB7392"/>
    <w:rsid w:val="00EB7990"/>
    <w:rsid w:val="00EB7D5F"/>
    <w:rsid w:val="00EC08E7"/>
    <w:rsid w:val="00EC0972"/>
    <w:rsid w:val="00EC0F53"/>
    <w:rsid w:val="00EC1D64"/>
    <w:rsid w:val="00EC1E58"/>
    <w:rsid w:val="00EC24AB"/>
    <w:rsid w:val="00EC2844"/>
    <w:rsid w:val="00EC299E"/>
    <w:rsid w:val="00EC2B8D"/>
    <w:rsid w:val="00EC311F"/>
    <w:rsid w:val="00EC3495"/>
    <w:rsid w:val="00EC36BA"/>
    <w:rsid w:val="00EC4682"/>
    <w:rsid w:val="00EC6353"/>
    <w:rsid w:val="00EC7BB4"/>
    <w:rsid w:val="00EC7E72"/>
    <w:rsid w:val="00ED0267"/>
    <w:rsid w:val="00ED0802"/>
    <w:rsid w:val="00ED0853"/>
    <w:rsid w:val="00ED15FF"/>
    <w:rsid w:val="00ED1603"/>
    <w:rsid w:val="00ED1856"/>
    <w:rsid w:val="00ED1859"/>
    <w:rsid w:val="00ED243E"/>
    <w:rsid w:val="00ED24E3"/>
    <w:rsid w:val="00ED27BB"/>
    <w:rsid w:val="00ED3B2E"/>
    <w:rsid w:val="00ED430B"/>
    <w:rsid w:val="00ED6300"/>
    <w:rsid w:val="00ED74B7"/>
    <w:rsid w:val="00ED7C65"/>
    <w:rsid w:val="00EE0100"/>
    <w:rsid w:val="00EE04A6"/>
    <w:rsid w:val="00EE050F"/>
    <w:rsid w:val="00EE0FCB"/>
    <w:rsid w:val="00EE156E"/>
    <w:rsid w:val="00EE22E9"/>
    <w:rsid w:val="00EE254D"/>
    <w:rsid w:val="00EE2B92"/>
    <w:rsid w:val="00EE352F"/>
    <w:rsid w:val="00EE3787"/>
    <w:rsid w:val="00EE4FAE"/>
    <w:rsid w:val="00EE6113"/>
    <w:rsid w:val="00EE6911"/>
    <w:rsid w:val="00EE6E97"/>
    <w:rsid w:val="00EE73DA"/>
    <w:rsid w:val="00EE7799"/>
    <w:rsid w:val="00EE7B85"/>
    <w:rsid w:val="00EE7FD7"/>
    <w:rsid w:val="00EF00B2"/>
    <w:rsid w:val="00EF032C"/>
    <w:rsid w:val="00EF04CD"/>
    <w:rsid w:val="00EF067B"/>
    <w:rsid w:val="00EF0CD6"/>
    <w:rsid w:val="00EF0EAD"/>
    <w:rsid w:val="00EF11D9"/>
    <w:rsid w:val="00EF2BB9"/>
    <w:rsid w:val="00EF2C50"/>
    <w:rsid w:val="00EF3554"/>
    <w:rsid w:val="00EF3E2A"/>
    <w:rsid w:val="00EF3E48"/>
    <w:rsid w:val="00EF4100"/>
    <w:rsid w:val="00EF437C"/>
    <w:rsid w:val="00EF467E"/>
    <w:rsid w:val="00EF487B"/>
    <w:rsid w:val="00EF4EF0"/>
    <w:rsid w:val="00EF5173"/>
    <w:rsid w:val="00EF5C49"/>
    <w:rsid w:val="00EF5E37"/>
    <w:rsid w:val="00EF6983"/>
    <w:rsid w:val="00EF6AC3"/>
    <w:rsid w:val="00EF6C6C"/>
    <w:rsid w:val="00EF7228"/>
    <w:rsid w:val="00EF7724"/>
    <w:rsid w:val="00F00043"/>
    <w:rsid w:val="00F000E2"/>
    <w:rsid w:val="00F009E3"/>
    <w:rsid w:val="00F00C37"/>
    <w:rsid w:val="00F01793"/>
    <w:rsid w:val="00F024F9"/>
    <w:rsid w:val="00F028CD"/>
    <w:rsid w:val="00F02EF6"/>
    <w:rsid w:val="00F039DE"/>
    <w:rsid w:val="00F03E0B"/>
    <w:rsid w:val="00F056FC"/>
    <w:rsid w:val="00F057D2"/>
    <w:rsid w:val="00F064A0"/>
    <w:rsid w:val="00F0719D"/>
    <w:rsid w:val="00F074C6"/>
    <w:rsid w:val="00F07972"/>
    <w:rsid w:val="00F07BE6"/>
    <w:rsid w:val="00F07F2E"/>
    <w:rsid w:val="00F07FA3"/>
    <w:rsid w:val="00F10476"/>
    <w:rsid w:val="00F108D3"/>
    <w:rsid w:val="00F10B1F"/>
    <w:rsid w:val="00F10BEB"/>
    <w:rsid w:val="00F10EEA"/>
    <w:rsid w:val="00F114D6"/>
    <w:rsid w:val="00F11C75"/>
    <w:rsid w:val="00F12BEC"/>
    <w:rsid w:val="00F135D8"/>
    <w:rsid w:val="00F13E4C"/>
    <w:rsid w:val="00F14978"/>
    <w:rsid w:val="00F167CC"/>
    <w:rsid w:val="00F16870"/>
    <w:rsid w:val="00F16C79"/>
    <w:rsid w:val="00F17284"/>
    <w:rsid w:val="00F17C8A"/>
    <w:rsid w:val="00F17E3B"/>
    <w:rsid w:val="00F205B3"/>
    <w:rsid w:val="00F20845"/>
    <w:rsid w:val="00F20BF0"/>
    <w:rsid w:val="00F20F27"/>
    <w:rsid w:val="00F21045"/>
    <w:rsid w:val="00F226D2"/>
    <w:rsid w:val="00F22793"/>
    <w:rsid w:val="00F22BC2"/>
    <w:rsid w:val="00F22ED5"/>
    <w:rsid w:val="00F2322A"/>
    <w:rsid w:val="00F23A62"/>
    <w:rsid w:val="00F23BAA"/>
    <w:rsid w:val="00F24B69"/>
    <w:rsid w:val="00F255E7"/>
    <w:rsid w:val="00F25BE6"/>
    <w:rsid w:val="00F25C4C"/>
    <w:rsid w:val="00F25EB0"/>
    <w:rsid w:val="00F26812"/>
    <w:rsid w:val="00F269B0"/>
    <w:rsid w:val="00F26EBB"/>
    <w:rsid w:val="00F274CF"/>
    <w:rsid w:val="00F2791F"/>
    <w:rsid w:val="00F27AF9"/>
    <w:rsid w:val="00F27B89"/>
    <w:rsid w:val="00F27D33"/>
    <w:rsid w:val="00F30848"/>
    <w:rsid w:val="00F3119D"/>
    <w:rsid w:val="00F31299"/>
    <w:rsid w:val="00F3158E"/>
    <w:rsid w:val="00F3160B"/>
    <w:rsid w:val="00F3249D"/>
    <w:rsid w:val="00F32782"/>
    <w:rsid w:val="00F329B4"/>
    <w:rsid w:val="00F333F1"/>
    <w:rsid w:val="00F33401"/>
    <w:rsid w:val="00F33513"/>
    <w:rsid w:val="00F335D2"/>
    <w:rsid w:val="00F34496"/>
    <w:rsid w:val="00F34AE5"/>
    <w:rsid w:val="00F3534A"/>
    <w:rsid w:val="00F363DF"/>
    <w:rsid w:val="00F36D59"/>
    <w:rsid w:val="00F36ED7"/>
    <w:rsid w:val="00F371BD"/>
    <w:rsid w:val="00F401D1"/>
    <w:rsid w:val="00F4048B"/>
    <w:rsid w:val="00F410E5"/>
    <w:rsid w:val="00F41234"/>
    <w:rsid w:val="00F41894"/>
    <w:rsid w:val="00F41F92"/>
    <w:rsid w:val="00F42484"/>
    <w:rsid w:val="00F42E9A"/>
    <w:rsid w:val="00F43165"/>
    <w:rsid w:val="00F435BF"/>
    <w:rsid w:val="00F43B37"/>
    <w:rsid w:val="00F44981"/>
    <w:rsid w:val="00F44F34"/>
    <w:rsid w:val="00F45DD8"/>
    <w:rsid w:val="00F4619C"/>
    <w:rsid w:val="00F46249"/>
    <w:rsid w:val="00F4635C"/>
    <w:rsid w:val="00F46E6A"/>
    <w:rsid w:val="00F470E8"/>
    <w:rsid w:val="00F47D79"/>
    <w:rsid w:val="00F5004D"/>
    <w:rsid w:val="00F505BD"/>
    <w:rsid w:val="00F5073E"/>
    <w:rsid w:val="00F51197"/>
    <w:rsid w:val="00F51671"/>
    <w:rsid w:val="00F52226"/>
    <w:rsid w:val="00F523B1"/>
    <w:rsid w:val="00F5245E"/>
    <w:rsid w:val="00F52673"/>
    <w:rsid w:val="00F52785"/>
    <w:rsid w:val="00F52ADD"/>
    <w:rsid w:val="00F52E80"/>
    <w:rsid w:val="00F533A5"/>
    <w:rsid w:val="00F53807"/>
    <w:rsid w:val="00F53D43"/>
    <w:rsid w:val="00F541EF"/>
    <w:rsid w:val="00F5462D"/>
    <w:rsid w:val="00F54F0B"/>
    <w:rsid w:val="00F550A3"/>
    <w:rsid w:val="00F550A4"/>
    <w:rsid w:val="00F558B1"/>
    <w:rsid w:val="00F55B65"/>
    <w:rsid w:val="00F567C1"/>
    <w:rsid w:val="00F56BD8"/>
    <w:rsid w:val="00F5761F"/>
    <w:rsid w:val="00F57CFE"/>
    <w:rsid w:val="00F60D7D"/>
    <w:rsid w:val="00F60DA2"/>
    <w:rsid w:val="00F61023"/>
    <w:rsid w:val="00F61F2B"/>
    <w:rsid w:val="00F62A7E"/>
    <w:rsid w:val="00F62C81"/>
    <w:rsid w:val="00F631C8"/>
    <w:rsid w:val="00F63CA0"/>
    <w:rsid w:val="00F64413"/>
    <w:rsid w:val="00F649A4"/>
    <w:rsid w:val="00F64B36"/>
    <w:rsid w:val="00F64EE5"/>
    <w:rsid w:val="00F65697"/>
    <w:rsid w:val="00F65B8D"/>
    <w:rsid w:val="00F65D49"/>
    <w:rsid w:val="00F66070"/>
    <w:rsid w:val="00F666E1"/>
    <w:rsid w:val="00F669B9"/>
    <w:rsid w:val="00F66BD7"/>
    <w:rsid w:val="00F678EA"/>
    <w:rsid w:val="00F67FA1"/>
    <w:rsid w:val="00F70520"/>
    <w:rsid w:val="00F70642"/>
    <w:rsid w:val="00F70654"/>
    <w:rsid w:val="00F7085C"/>
    <w:rsid w:val="00F709FD"/>
    <w:rsid w:val="00F70DEB"/>
    <w:rsid w:val="00F715AC"/>
    <w:rsid w:val="00F71BB0"/>
    <w:rsid w:val="00F730BE"/>
    <w:rsid w:val="00F73448"/>
    <w:rsid w:val="00F74A22"/>
    <w:rsid w:val="00F75D83"/>
    <w:rsid w:val="00F762CB"/>
    <w:rsid w:val="00F76FFE"/>
    <w:rsid w:val="00F77E1C"/>
    <w:rsid w:val="00F802E3"/>
    <w:rsid w:val="00F803DB"/>
    <w:rsid w:val="00F8040A"/>
    <w:rsid w:val="00F809D6"/>
    <w:rsid w:val="00F80A44"/>
    <w:rsid w:val="00F81308"/>
    <w:rsid w:val="00F813B9"/>
    <w:rsid w:val="00F81CAD"/>
    <w:rsid w:val="00F820C2"/>
    <w:rsid w:val="00F82922"/>
    <w:rsid w:val="00F83D40"/>
    <w:rsid w:val="00F84170"/>
    <w:rsid w:val="00F843F4"/>
    <w:rsid w:val="00F8440A"/>
    <w:rsid w:val="00F848A7"/>
    <w:rsid w:val="00F85047"/>
    <w:rsid w:val="00F85053"/>
    <w:rsid w:val="00F85325"/>
    <w:rsid w:val="00F86E5C"/>
    <w:rsid w:val="00F90351"/>
    <w:rsid w:val="00F91873"/>
    <w:rsid w:val="00F9277F"/>
    <w:rsid w:val="00F9369E"/>
    <w:rsid w:val="00F938AA"/>
    <w:rsid w:val="00F93B09"/>
    <w:rsid w:val="00F94232"/>
    <w:rsid w:val="00F946BB"/>
    <w:rsid w:val="00F94E36"/>
    <w:rsid w:val="00F950F4"/>
    <w:rsid w:val="00F95103"/>
    <w:rsid w:val="00F958B5"/>
    <w:rsid w:val="00F95E0F"/>
    <w:rsid w:val="00F96380"/>
    <w:rsid w:val="00F96B62"/>
    <w:rsid w:val="00F96C63"/>
    <w:rsid w:val="00F96E1D"/>
    <w:rsid w:val="00F9736F"/>
    <w:rsid w:val="00F973D3"/>
    <w:rsid w:val="00F977E2"/>
    <w:rsid w:val="00F97941"/>
    <w:rsid w:val="00F97965"/>
    <w:rsid w:val="00F97A14"/>
    <w:rsid w:val="00F97A29"/>
    <w:rsid w:val="00F97C18"/>
    <w:rsid w:val="00F97E62"/>
    <w:rsid w:val="00FA0078"/>
    <w:rsid w:val="00FA0226"/>
    <w:rsid w:val="00FA033F"/>
    <w:rsid w:val="00FA06A1"/>
    <w:rsid w:val="00FA0A7A"/>
    <w:rsid w:val="00FA1113"/>
    <w:rsid w:val="00FA1165"/>
    <w:rsid w:val="00FA131C"/>
    <w:rsid w:val="00FA144C"/>
    <w:rsid w:val="00FA1816"/>
    <w:rsid w:val="00FA18BE"/>
    <w:rsid w:val="00FA1ADA"/>
    <w:rsid w:val="00FA212A"/>
    <w:rsid w:val="00FA2A07"/>
    <w:rsid w:val="00FA2C3B"/>
    <w:rsid w:val="00FA2C9C"/>
    <w:rsid w:val="00FA3501"/>
    <w:rsid w:val="00FA39D2"/>
    <w:rsid w:val="00FA3E23"/>
    <w:rsid w:val="00FA401F"/>
    <w:rsid w:val="00FA496E"/>
    <w:rsid w:val="00FA4E74"/>
    <w:rsid w:val="00FA5B4B"/>
    <w:rsid w:val="00FA62A1"/>
    <w:rsid w:val="00FA712C"/>
    <w:rsid w:val="00FB0261"/>
    <w:rsid w:val="00FB0F55"/>
    <w:rsid w:val="00FB10A1"/>
    <w:rsid w:val="00FB1404"/>
    <w:rsid w:val="00FB14E7"/>
    <w:rsid w:val="00FB19D0"/>
    <w:rsid w:val="00FB242F"/>
    <w:rsid w:val="00FB3A20"/>
    <w:rsid w:val="00FB3F36"/>
    <w:rsid w:val="00FB43D0"/>
    <w:rsid w:val="00FB472E"/>
    <w:rsid w:val="00FB4898"/>
    <w:rsid w:val="00FB4BF3"/>
    <w:rsid w:val="00FB51DB"/>
    <w:rsid w:val="00FB5BCD"/>
    <w:rsid w:val="00FB5E73"/>
    <w:rsid w:val="00FB5F14"/>
    <w:rsid w:val="00FB60E7"/>
    <w:rsid w:val="00FB6E54"/>
    <w:rsid w:val="00FB74C3"/>
    <w:rsid w:val="00FB79FD"/>
    <w:rsid w:val="00FB7F0B"/>
    <w:rsid w:val="00FC1C12"/>
    <w:rsid w:val="00FC1DAE"/>
    <w:rsid w:val="00FC1E59"/>
    <w:rsid w:val="00FC1EC8"/>
    <w:rsid w:val="00FC2155"/>
    <w:rsid w:val="00FC345B"/>
    <w:rsid w:val="00FC347F"/>
    <w:rsid w:val="00FC3ED1"/>
    <w:rsid w:val="00FC3FDD"/>
    <w:rsid w:val="00FC52DA"/>
    <w:rsid w:val="00FC5532"/>
    <w:rsid w:val="00FC6637"/>
    <w:rsid w:val="00FC6BE5"/>
    <w:rsid w:val="00FC6E7E"/>
    <w:rsid w:val="00FC6FDB"/>
    <w:rsid w:val="00FC7847"/>
    <w:rsid w:val="00FC7DB7"/>
    <w:rsid w:val="00FD027F"/>
    <w:rsid w:val="00FD0357"/>
    <w:rsid w:val="00FD13F9"/>
    <w:rsid w:val="00FD15B0"/>
    <w:rsid w:val="00FD174F"/>
    <w:rsid w:val="00FD1A6D"/>
    <w:rsid w:val="00FD229E"/>
    <w:rsid w:val="00FD22B1"/>
    <w:rsid w:val="00FD2D89"/>
    <w:rsid w:val="00FD2F44"/>
    <w:rsid w:val="00FD3093"/>
    <w:rsid w:val="00FD3615"/>
    <w:rsid w:val="00FD3733"/>
    <w:rsid w:val="00FD3885"/>
    <w:rsid w:val="00FD3DB4"/>
    <w:rsid w:val="00FD4726"/>
    <w:rsid w:val="00FD588E"/>
    <w:rsid w:val="00FD6327"/>
    <w:rsid w:val="00FD678F"/>
    <w:rsid w:val="00FD6CD1"/>
    <w:rsid w:val="00FD7285"/>
    <w:rsid w:val="00FD74DD"/>
    <w:rsid w:val="00FE0BE3"/>
    <w:rsid w:val="00FE146D"/>
    <w:rsid w:val="00FE1B69"/>
    <w:rsid w:val="00FE33C8"/>
    <w:rsid w:val="00FE3B7B"/>
    <w:rsid w:val="00FE4518"/>
    <w:rsid w:val="00FE4659"/>
    <w:rsid w:val="00FE4A06"/>
    <w:rsid w:val="00FE4BC7"/>
    <w:rsid w:val="00FE4E4C"/>
    <w:rsid w:val="00FE5A30"/>
    <w:rsid w:val="00FE5F39"/>
    <w:rsid w:val="00FE6484"/>
    <w:rsid w:val="00FE79D6"/>
    <w:rsid w:val="00FF0669"/>
    <w:rsid w:val="00FF20E7"/>
    <w:rsid w:val="00FF211F"/>
    <w:rsid w:val="00FF2D2F"/>
    <w:rsid w:val="00FF3962"/>
    <w:rsid w:val="00FF39B9"/>
    <w:rsid w:val="00FF3EA7"/>
    <w:rsid w:val="00FF4741"/>
    <w:rsid w:val="00FF55A3"/>
    <w:rsid w:val="00FF594A"/>
    <w:rsid w:val="00FF6105"/>
    <w:rsid w:val="00FF644A"/>
    <w:rsid w:val="00FF7442"/>
    <w:rsid w:val="00FF7A8D"/>
    <w:rsid w:val="00FF7C00"/>
    <w:rsid w:val="00FF7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81D4A"/>
    <w:rPr>
      <w:sz w:val="26"/>
      <w:szCs w:val="24"/>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uiPriority w:val="99"/>
    <w:qFormat/>
    <w:rsid w:val="00A17328"/>
    <w:pPr>
      <w:outlineLvl w:val="4"/>
    </w:pPr>
    <w:rPr>
      <w:rFonts w:ascii="Times New Roman" w:hAnsi="Times New Roman"/>
      <w:sz w:val="26"/>
    </w:rPr>
  </w:style>
  <w:style w:type="paragraph" w:styleId="Heading6">
    <w:name w:val="heading 6"/>
    <w:basedOn w:val="BodyText"/>
    <w:next w:val="BodyText"/>
    <w:link w:val="Heading6Char"/>
    <w:uiPriority w:val="99"/>
    <w:qFormat/>
    <w:rsid w:val="00A17328"/>
    <w:pPr>
      <w:spacing w:after="60"/>
      <w:jc w:val="left"/>
      <w:outlineLvl w:val="5"/>
    </w:pPr>
    <w:rPr>
      <w:i/>
      <w:sz w:val="22"/>
    </w:rPr>
  </w:style>
  <w:style w:type="paragraph" w:styleId="Heading7">
    <w:name w:val="heading 7"/>
    <w:basedOn w:val="BodyText"/>
    <w:next w:val="BodyText"/>
    <w:link w:val="Heading7Char"/>
    <w:uiPriority w:val="99"/>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uiPriority w:val="99"/>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uiPriority w:val="99"/>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7219D"/>
    <w:rPr>
      <w:rFonts w:ascii="Cambria" w:hAnsi="Cambria" w:cs="Times New Roman"/>
      <w:b/>
      <w:bCs/>
      <w:kern w:val="32"/>
      <w:sz w:val="32"/>
      <w:szCs w:val="32"/>
      <w:lang w:val="en-AU" w:eastAsia="en-AU"/>
    </w:rPr>
  </w:style>
  <w:style w:type="character" w:customStyle="1" w:styleId="Heading2Char">
    <w:name w:val="Heading 2 Char"/>
    <w:link w:val="Heading2"/>
    <w:uiPriority w:val="99"/>
    <w:semiHidden/>
    <w:locked/>
    <w:rsid w:val="0027219D"/>
    <w:rPr>
      <w:rFonts w:ascii="Cambria" w:hAnsi="Cambria" w:cs="Times New Roman"/>
      <w:b/>
      <w:bCs/>
      <w:i/>
      <w:iCs/>
      <w:sz w:val="28"/>
      <w:szCs w:val="28"/>
      <w:lang w:val="en-AU" w:eastAsia="en-AU"/>
    </w:rPr>
  </w:style>
  <w:style w:type="character" w:customStyle="1" w:styleId="Heading3Char">
    <w:name w:val="Heading 3 Char"/>
    <w:link w:val="Heading3"/>
    <w:uiPriority w:val="99"/>
    <w:semiHidden/>
    <w:locked/>
    <w:rsid w:val="0027219D"/>
    <w:rPr>
      <w:rFonts w:ascii="Cambria" w:hAnsi="Cambria" w:cs="Times New Roman"/>
      <w:b/>
      <w:bCs/>
      <w:sz w:val="26"/>
      <w:szCs w:val="26"/>
      <w:lang w:val="en-AU" w:eastAsia="en-AU"/>
    </w:rPr>
  </w:style>
  <w:style w:type="character" w:customStyle="1" w:styleId="Heading4Char">
    <w:name w:val="Heading 4 Char"/>
    <w:link w:val="Heading4"/>
    <w:uiPriority w:val="99"/>
    <w:semiHidden/>
    <w:locked/>
    <w:rsid w:val="0027219D"/>
    <w:rPr>
      <w:rFonts w:ascii="Calibri" w:hAnsi="Calibri" w:cs="Times New Roman"/>
      <w:b/>
      <w:bCs/>
      <w:sz w:val="28"/>
      <w:szCs w:val="28"/>
      <w:lang w:val="en-AU" w:eastAsia="en-AU"/>
    </w:rPr>
  </w:style>
  <w:style w:type="character" w:customStyle="1" w:styleId="Heading5Char">
    <w:name w:val="Heading 5 Char"/>
    <w:link w:val="Heading5"/>
    <w:uiPriority w:val="99"/>
    <w:semiHidden/>
    <w:locked/>
    <w:rsid w:val="0027219D"/>
    <w:rPr>
      <w:rFonts w:ascii="Calibri" w:hAnsi="Calibri" w:cs="Times New Roman"/>
      <w:b/>
      <w:bCs/>
      <w:i/>
      <w:iCs/>
      <w:sz w:val="26"/>
      <w:szCs w:val="26"/>
      <w:lang w:val="en-AU" w:eastAsia="en-AU"/>
    </w:rPr>
  </w:style>
  <w:style w:type="character" w:customStyle="1" w:styleId="Heading6Char">
    <w:name w:val="Heading 6 Char"/>
    <w:link w:val="Heading6"/>
    <w:uiPriority w:val="99"/>
    <w:semiHidden/>
    <w:locked/>
    <w:rsid w:val="0027219D"/>
    <w:rPr>
      <w:rFonts w:ascii="Calibri" w:hAnsi="Calibri" w:cs="Times New Roman"/>
      <w:b/>
      <w:bCs/>
      <w:lang w:val="en-AU" w:eastAsia="en-AU"/>
    </w:rPr>
  </w:style>
  <w:style w:type="character" w:customStyle="1" w:styleId="Heading7Char">
    <w:name w:val="Heading 7 Char"/>
    <w:link w:val="Heading7"/>
    <w:uiPriority w:val="99"/>
    <w:semiHidden/>
    <w:locked/>
    <w:rsid w:val="0027219D"/>
    <w:rPr>
      <w:rFonts w:ascii="Calibri" w:hAnsi="Calibri" w:cs="Times New Roman"/>
      <w:sz w:val="24"/>
      <w:szCs w:val="24"/>
      <w:lang w:val="en-AU" w:eastAsia="en-AU"/>
    </w:rPr>
  </w:style>
  <w:style w:type="character" w:customStyle="1" w:styleId="Heading8Char">
    <w:name w:val="Heading 8 Char"/>
    <w:link w:val="Heading8"/>
    <w:uiPriority w:val="99"/>
    <w:semiHidden/>
    <w:locked/>
    <w:rsid w:val="0027219D"/>
    <w:rPr>
      <w:rFonts w:ascii="Calibri" w:hAnsi="Calibri" w:cs="Times New Roman"/>
      <w:i/>
      <w:iCs/>
      <w:sz w:val="24"/>
      <w:szCs w:val="24"/>
      <w:lang w:val="en-AU" w:eastAsia="en-AU"/>
    </w:rPr>
  </w:style>
  <w:style w:type="character" w:customStyle="1" w:styleId="Heading9Char">
    <w:name w:val="Heading 9 Char"/>
    <w:link w:val="Heading9"/>
    <w:uiPriority w:val="99"/>
    <w:semiHidden/>
    <w:locked/>
    <w:rsid w:val="0027219D"/>
    <w:rPr>
      <w:rFonts w:ascii="Cambria" w:hAnsi="Cambria" w:cs="Times New Roman"/>
      <w:lang w:val="en-AU" w:eastAsia="en-AU"/>
    </w:rPr>
  </w:style>
  <w:style w:type="paragraph" w:styleId="BodyText">
    <w:name w:val="Body Text"/>
    <w:basedOn w:val="Normal"/>
    <w:link w:val="BodyTextChar"/>
    <w:qFormat/>
    <w:rsid w:val="009345D9"/>
    <w:pPr>
      <w:spacing w:before="240" w:line="320" w:lineRule="atLeast"/>
      <w:jc w:val="both"/>
    </w:pPr>
    <w:rPr>
      <w:szCs w:val="20"/>
    </w:rPr>
  </w:style>
  <w:style w:type="character" w:customStyle="1" w:styleId="BodyTextChar">
    <w:name w:val="Body Text Char"/>
    <w:link w:val="BodyText"/>
    <w:locked/>
    <w:rsid w:val="0027219D"/>
    <w:rPr>
      <w:rFonts w:cs="Times New Roman"/>
      <w:sz w:val="24"/>
      <w:szCs w:val="24"/>
      <w:lang w:val="en-AU" w:eastAsia="en-AU"/>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character" w:customStyle="1" w:styleId="FooterChar">
    <w:name w:val="Footer Char"/>
    <w:link w:val="Footer"/>
    <w:uiPriority w:val="99"/>
    <w:semiHidden/>
    <w:locked/>
    <w:rsid w:val="0027219D"/>
    <w:rPr>
      <w:rFonts w:cs="Times New Roman"/>
      <w:sz w:val="24"/>
      <w:szCs w:val="24"/>
      <w:lang w:val="en-AU" w:eastAsia="en-AU"/>
    </w:rPr>
  </w:style>
  <w:style w:type="paragraph" w:customStyle="1" w:styleId="FooterEnd">
    <w:name w:val="Footer End"/>
    <w:basedOn w:val="Footer"/>
    <w:uiPriority w:val="99"/>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link w:val="Header"/>
    <w:uiPriority w:val="99"/>
    <w:semiHidden/>
    <w:locked/>
    <w:rsid w:val="0027219D"/>
    <w:rPr>
      <w:rFonts w:cs="Times New Roman"/>
      <w:sz w:val="24"/>
      <w:szCs w:val="24"/>
      <w:lang w:val="en-AU" w:eastAsia="en-AU"/>
    </w:rPr>
  </w:style>
  <w:style w:type="paragraph" w:customStyle="1" w:styleId="HeaderEnd">
    <w:name w:val="Header End"/>
    <w:basedOn w:val="Header"/>
    <w:autoRedefine/>
    <w:uiPriority w:val="99"/>
    <w:rsid w:val="00914368"/>
    <w:pPr>
      <w:spacing w:line="20" w:lineRule="exact"/>
    </w:pPr>
    <w:rPr>
      <w:sz w:val="16"/>
    </w:rPr>
  </w:style>
  <w:style w:type="paragraph" w:customStyle="1" w:styleId="HeaderEven">
    <w:name w:val="Header Even"/>
    <w:basedOn w:val="Header"/>
    <w:uiPriority w:val="99"/>
    <w:semiHidden/>
    <w:rsid w:val="00C543F4"/>
  </w:style>
  <w:style w:type="paragraph" w:customStyle="1" w:styleId="HeaderOdd">
    <w:name w:val="Header Odd"/>
    <w:basedOn w:val="Header"/>
    <w:uiPriority w:val="99"/>
    <w:semiHidden/>
    <w:rsid w:val="00C543F4"/>
  </w:style>
  <w:style w:type="character" w:styleId="PageNumber">
    <w:name w:val="page number"/>
    <w:uiPriority w:val="99"/>
    <w:rsid w:val="00A17328"/>
    <w:rPr>
      <w:rFonts w:ascii="Arial" w:hAnsi="Arial" w:cs="Times New Roman"/>
      <w:b/>
      <w:sz w:val="16"/>
    </w:rPr>
  </w:style>
  <w:style w:type="paragraph" w:customStyle="1" w:styleId="Abbreviation">
    <w:name w:val="Abbreviation"/>
    <w:basedOn w:val="BodyText"/>
    <w:uiPriority w:val="99"/>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uiPriority w:val="99"/>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link w:val="BoxListBulletChar"/>
    <w:rsid w:val="00DB67C9"/>
    <w:pPr>
      <w:keepNext/>
      <w:numPr>
        <w:numId w:val="3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3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44"/>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tabs>
        <w:tab w:val="num" w:pos="794"/>
      </w:tabs>
      <w:spacing w:before="60"/>
    </w:pPr>
  </w:style>
  <w:style w:type="paragraph" w:customStyle="1" w:styleId="BoxQuote">
    <w:name w:val="Box Quote"/>
    <w:basedOn w:val="BodyText"/>
    <w:next w:val="Box"/>
    <w:uiPriority w:val="99"/>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uiPriority w:val="99"/>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uiPriority w:val="99"/>
    <w:rsid w:val="00A17328"/>
    <w:pPr>
      <w:spacing w:after="80" w:line="200" w:lineRule="exact"/>
      <w:ind w:firstLine="0"/>
    </w:pPr>
    <w:rPr>
      <w:b w:val="0"/>
      <w:sz w:val="20"/>
    </w:rPr>
  </w:style>
  <w:style w:type="paragraph" w:customStyle="1" w:styleId="Chapter">
    <w:name w:val="Chapter"/>
    <w:basedOn w:val="Heading1"/>
    <w:next w:val="BodyText"/>
    <w:uiPriority w:val="99"/>
    <w:semiHidden/>
    <w:rsid w:val="00A17328"/>
    <w:pPr>
      <w:ind w:left="0" w:firstLine="0"/>
      <w:outlineLvl w:val="9"/>
    </w:pPr>
  </w:style>
  <w:style w:type="paragraph" w:customStyle="1" w:styleId="ChapterSummary">
    <w:name w:val="Chapter Summary"/>
    <w:basedOn w:val="BodyText"/>
    <w:uiPriority w:val="99"/>
    <w:rsid w:val="00A17328"/>
    <w:pPr>
      <w:ind w:left="907"/>
    </w:pPr>
    <w:rPr>
      <w:rFonts w:ascii="Arial" w:hAnsi="Arial"/>
      <w:b/>
      <w:sz w:val="22"/>
    </w:rPr>
  </w:style>
  <w:style w:type="character" w:styleId="CommentReference">
    <w:name w:val="annotation reference"/>
    <w:uiPriority w:val="99"/>
    <w:semiHidden/>
    <w:rsid w:val="00A17328"/>
    <w:rPr>
      <w:rFonts w:cs="Times New Roman"/>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character" w:customStyle="1" w:styleId="CommentTextChar">
    <w:name w:val="Comment Text Char"/>
    <w:link w:val="CommentText"/>
    <w:uiPriority w:val="99"/>
    <w:semiHidden/>
    <w:locked/>
    <w:rsid w:val="0027219D"/>
    <w:rPr>
      <w:rFonts w:cs="Times New Roman"/>
      <w:sz w:val="20"/>
      <w:szCs w:val="20"/>
      <w:lang w:val="en-AU" w:eastAsia="en-AU"/>
    </w:rPr>
  </w:style>
  <w:style w:type="paragraph" w:customStyle="1" w:styleId="Continued">
    <w:name w:val="Continued"/>
    <w:basedOn w:val="BoxContinued"/>
    <w:next w:val="BodyText"/>
    <w:uiPriority w:val="99"/>
    <w:rsid w:val="00A17328"/>
  </w:style>
  <w:style w:type="character" w:customStyle="1" w:styleId="DocumentInfo">
    <w:name w:val="Document Info"/>
    <w:uiPriority w:val="99"/>
    <w:semiHidden/>
    <w:rsid w:val="00A17328"/>
    <w:rPr>
      <w:rFonts w:ascii="Arial" w:hAnsi="Arial" w:cs="Times New Roman"/>
      <w:sz w:val="14"/>
    </w:rPr>
  </w:style>
  <w:style w:type="character" w:customStyle="1" w:styleId="DraftingNote">
    <w:name w:val="Drafting Note"/>
    <w:uiPriority w:val="99"/>
    <w:rsid w:val="00A17328"/>
    <w:rPr>
      <w:rFonts w:cs="Times New Roman"/>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link w:val="Subtitle"/>
    <w:locked/>
    <w:rsid w:val="00F10476"/>
    <w:rPr>
      <w:rFonts w:ascii="Arial" w:hAnsi="Arial" w:cs="Times New Roman"/>
      <w:sz w:val="24"/>
      <w:szCs w:val="24"/>
    </w:rPr>
  </w:style>
  <w:style w:type="paragraph" w:customStyle="1" w:styleId="Finding">
    <w:name w:val="Finding"/>
    <w:basedOn w:val="BodyText"/>
    <w:uiPriority w:val="99"/>
    <w:rsid w:val="001363AA"/>
    <w:pPr>
      <w:keepLines/>
      <w:spacing w:before="180"/>
    </w:pPr>
    <w:rPr>
      <w:i/>
    </w:rPr>
  </w:style>
  <w:style w:type="paragraph" w:customStyle="1" w:styleId="FindingBullet">
    <w:name w:val="Finding Bullet"/>
    <w:basedOn w:val="Finding"/>
    <w:uiPriority w:val="99"/>
    <w:rsid w:val="00AB0681"/>
    <w:pPr>
      <w:numPr>
        <w:numId w:val="33"/>
      </w:numPr>
      <w:spacing w:before="80"/>
    </w:pPr>
  </w:style>
  <w:style w:type="paragraph" w:customStyle="1" w:styleId="FindingNoTitle">
    <w:name w:val="Finding NoTitle"/>
    <w:basedOn w:val="Finding"/>
    <w:uiPriority w:val="99"/>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uiPriority w:val="99"/>
    <w:rsid w:val="00A17328"/>
    <w:pPr>
      <w:framePr w:wrap="notBeside" w:hAnchor="text"/>
    </w:pPr>
  </w:style>
  <w:style w:type="character" w:styleId="FootnoteReference">
    <w:name w:val="footnote reference"/>
    <w:uiPriority w:val="99"/>
    <w:semiHidden/>
    <w:rsid w:val="00A17328"/>
    <w:rPr>
      <w:rFonts w:ascii="Times New Roman" w:hAnsi="Times New Roman" w:cs="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character" w:customStyle="1" w:styleId="FootnoteTextChar">
    <w:name w:val="Footnote Text Char"/>
    <w:link w:val="FootnoteText"/>
    <w:uiPriority w:val="99"/>
    <w:semiHidden/>
    <w:locked/>
    <w:rsid w:val="0027219D"/>
    <w:rPr>
      <w:rFonts w:cs="Times New Roman"/>
      <w:sz w:val="20"/>
      <w:szCs w:val="20"/>
      <w:lang w:val="en-AU" w:eastAsia="en-AU"/>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uiPriority w:val="99"/>
    <w:rsid w:val="00A17328"/>
    <w:pPr>
      <w:spacing w:after="140"/>
      <w:jc w:val="both"/>
    </w:pPr>
    <w:rPr>
      <w:rFonts w:ascii="Arial" w:hAnsi="Arial"/>
      <w:sz w:val="24"/>
      <w:lang w:eastAsia="en-US"/>
    </w:rPr>
  </w:style>
  <w:style w:type="paragraph" w:customStyle="1" w:styleId="Jurisdictioncommentsheading">
    <w:name w:val="Jurisdiction comments heading"/>
    <w:uiPriority w:val="99"/>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uiPriority w:val="99"/>
    <w:rsid w:val="00A17328"/>
    <w:pPr>
      <w:numPr>
        <w:numId w:val="34"/>
      </w:numPr>
      <w:spacing w:after="140"/>
      <w:jc w:val="both"/>
    </w:pPr>
    <w:rPr>
      <w:rFonts w:ascii="Arial" w:hAnsi="Arial"/>
      <w:sz w:val="24"/>
      <w:lang w:eastAsia="en-US"/>
    </w:rPr>
  </w:style>
  <w:style w:type="paragraph" w:styleId="ListBullet">
    <w:name w:val="List Bullet"/>
    <w:basedOn w:val="BodyText"/>
    <w:rsid w:val="00DB67C9"/>
    <w:pPr>
      <w:numPr>
        <w:numId w:val="35"/>
      </w:numPr>
      <w:spacing w:before="120"/>
    </w:pPr>
  </w:style>
  <w:style w:type="paragraph" w:styleId="ListBullet2">
    <w:name w:val="List Bullet 2"/>
    <w:basedOn w:val="BodyText"/>
    <w:uiPriority w:val="99"/>
    <w:rsid w:val="00DB67C9"/>
    <w:pPr>
      <w:numPr>
        <w:numId w:val="6"/>
      </w:numPr>
      <w:tabs>
        <w:tab w:val="clear" w:pos="926"/>
        <w:tab w:val="num" w:pos="680"/>
      </w:tabs>
      <w:spacing w:before="120"/>
      <w:ind w:left="680" w:hanging="340"/>
    </w:pPr>
  </w:style>
  <w:style w:type="paragraph" w:styleId="ListBullet3">
    <w:name w:val="List Bullet 3"/>
    <w:basedOn w:val="BodyText"/>
    <w:uiPriority w:val="99"/>
    <w:rsid w:val="00DB67C9"/>
    <w:pPr>
      <w:numPr>
        <w:numId w:val="37"/>
      </w:numPr>
      <w:spacing w:before="120"/>
    </w:pPr>
  </w:style>
  <w:style w:type="paragraph" w:styleId="ListNumber">
    <w:name w:val="List Number"/>
    <w:basedOn w:val="BodyText"/>
    <w:uiPriority w:val="99"/>
    <w:rsid w:val="00864ADC"/>
    <w:pPr>
      <w:numPr>
        <w:numId w:val="42"/>
      </w:numPr>
      <w:spacing w:before="120"/>
    </w:pPr>
  </w:style>
  <w:style w:type="paragraph" w:styleId="ListNumber2">
    <w:name w:val="List Number 2"/>
    <w:basedOn w:val="ListNumber"/>
    <w:uiPriority w:val="99"/>
    <w:rsid w:val="00864ADC"/>
    <w:pPr>
      <w:numPr>
        <w:ilvl w:val="1"/>
      </w:numPr>
      <w:tabs>
        <w:tab w:val="num" w:pos="680"/>
      </w:tabs>
    </w:pPr>
  </w:style>
  <w:style w:type="paragraph" w:styleId="ListNumber3">
    <w:name w:val="List Number 3"/>
    <w:basedOn w:val="ListNumber2"/>
    <w:uiPriority w:val="99"/>
    <w:rsid w:val="00864ADC"/>
    <w:pPr>
      <w:numPr>
        <w:ilvl w:val="2"/>
      </w:numPr>
      <w:tabs>
        <w:tab w:val="num" w:pos="680"/>
        <w:tab w:val="num" w:pos="794"/>
      </w:tabs>
    </w:pPr>
  </w:style>
  <w:style w:type="character" w:customStyle="1" w:styleId="NoteLabel">
    <w:name w:val="Note Label"/>
    <w:rsid w:val="00A17328"/>
    <w:rPr>
      <w:rFonts w:ascii="Arial" w:hAnsi="Arial" w:cs="Times New Roman"/>
      <w:b/>
      <w:position w:val="6"/>
      <w:sz w:val="18"/>
    </w:rPr>
  </w:style>
  <w:style w:type="paragraph" w:customStyle="1" w:styleId="PartDivider">
    <w:name w:val="Part Divider"/>
    <w:basedOn w:val="BodyText"/>
    <w:next w:val="BodyText"/>
    <w:uiPriority w:val="99"/>
    <w:semiHidden/>
    <w:rsid w:val="00A17328"/>
    <w:pPr>
      <w:spacing w:before="0" w:line="40" w:lineRule="exact"/>
      <w:jc w:val="right"/>
    </w:pPr>
    <w:rPr>
      <w:smallCaps/>
      <w:sz w:val="16"/>
    </w:rPr>
  </w:style>
  <w:style w:type="paragraph" w:customStyle="1" w:styleId="PartNumber">
    <w:name w:val="Part Number"/>
    <w:basedOn w:val="BodyText"/>
    <w:next w:val="BodyText"/>
    <w:uiPriority w:val="99"/>
    <w:semiHidden/>
    <w:rsid w:val="00A17328"/>
    <w:pPr>
      <w:spacing w:before="4000" w:line="320" w:lineRule="exact"/>
      <w:ind w:left="6634"/>
      <w:jc w:val="right"/>
    </w:pPr>
    <w:rPr>
      <w:smallCaps/>
      <w:spacing w:val="60"/>
      <w:sz w:val="32"/>
    </w:rPr>
  </w:style>
  <w:style w:type="paragraph" w:customStyle="1" w:styleId="PartTitle">
    <w:name w:val="Part Title"/>
    <w:basedOn w:val="BodyText"/>
    <w:uiPriority w:val="99"/>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character" w:customStyle="1" w:styleId="QuoteChar">
    <w:name w:val="Quote Char"/>
    <w:link w:val="Quote"/>
    <w:uiPriority w:val="99"/>
    <w:locked/>
    <w:rsid w:val="0027219D"/>
    <w:rPr>
      <w:rFonts w:cs="Times New Roman"/>
      <w:i/>
      <w:iCs/>
      <w:color w:val="000000"/>
      <w:sz w:val="24"/>
      <w:szCs w:val="24"/>
      <w:lang w:val="en-AU" w:eastAsia="en-AU"/>
    </w:rPr>
  </w:style>
  <w:style w:type="paragraph" w:customStyle="1" w:styleId="QuoteBullet">
    <w:name w:val="Quote Bullet"/>
    <w:basedOn w:val="Quote"/>
    <w:uiPriority w:val="99"/>
    <w:rsid w:val="00323E09"/>
    <w:pPr>
      <w:ind w:left="0"/>
    </w:pPr>
  </w:style>
  <w:style w:type="paragraph" w:customStyle="1" w:styleId="Rec">
    <w:name w:val="Rec"/>
    <w:basedOn w:val="BodyText"/>
    <w:uiPriority w:val="99"/>
    <w:rsid w:val="001363AA"/>
    <w:pPr>
      <w:keepLines/>
      <w:spacing w:before="180"/>
    </w:pPr>
    <w:rPr>
      <w:b/>
      <w:i/>
    </w:rPr>
  </w:style>
  <w:style w:type="paragraph" w:customStyle="1" w:styleId="RecBullet">
    <w:name w:val="Rec Bullet"/>
    <w:basedOn w:val="Rec"/>
    <w:uiPriority w:val="99"/>
    <w:rsid w:val="00323E09"/>
    <w:pPr>
      <w:numPr>
        <w:numId w:val="39"/>
      </w:numPr>
      <w:spacing w:before="80"/>
    </w:pPr>
  </w:style>
  <w:style w:type="paragraph" w:customStyle="1" w:styleId="RecB">
    <w:name w:val="RecB"/>
    <w:basedOn w:val="Normal"/>
    <w:uiPriority w:val="99"/>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uiPriority w:val="99"/>
    <w:semiHidden/>
    <w:rsid w:val="00F85325"/>
    <w:pPr>
      <w:numPr>
        <w:numId w:val="13"/>
      </w:numPr>
      <w:tabs>
        <w:tab w:val="clear" w:pos="360"/>
        <w:tab w:val="num" w:pos="284"/>
        <w:tab w:val="num" w:pos="340"/>
      </w:tabs>
      <w:spacing w:before="80"/>
      <w:ind w:left="340" w:hanging="340"/>
    </w:pPr>
  </w:style>
  <w:style w:type="paragraph" w:customStyle="1" w:styleId="RecBNoTitle">
    <w:name w:val="RecB NoTitle"/>
    <w:basedOn w:val="RecB"/>
    <w:uiPriority w:val="99"/>
    <w:semiHidden/>
    <w:rsid w:val="00F85325"/>
    <w:pPr>
      <w:spacing w:before="240"/>
    </w:pPr>
  </w:style>
  <w:style w:type="paragraph" w:customStyle="1" w:styleId="Reference">
    <w:name w:val="Reference"/>
    <w:basedOn w:val="BodyText"/>
    <w:uiPriority w:val="99"/>
    <w:rsid w:val="00A17328"/>
    <w:pPr>
      <w:spacing w:before="120"/>
      <w:ind w:left="340" w:hanging="340"/>
    </w:pPr>
  </w:style>
  <w:style w:type="paragraph" w:customStyle="1" w:styleId="SequenceInfo">
    <w:name w:val="Sequence Info"/>
    <w:basedOn w:val="BodyText"/>
    <w:uiPriority w:val="99"/>
    <w:semiHidden/>
    <w:rsid w:val="00A17328"/>
    <w:rPr>
      <w:vanish/>
      <w:sz w:val="16"/>
    </w:rPr>
  </w:style>
  <w:style w:type="paragraph" w:customStyle="1" w:styleId="SideNote">
    <w:name w:val="Side Note"/>
    <w:basedOn w:val="BodyText"/>
    <w:next w:val="BodyText"/>
    <w:uiPriority w:val="99"/>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uiPriority w:val="99"/>
    <w:semiHidden/>
    <w:rsid w:val="00A17328"/>
    <w:pPr>
      <w:framePr w:wrap="around"/>
      <w:numPr>
        <w:numId w:val="40"/>
      </w:numPr>
      <w:tabs>
        <w:tab w:val="left" w:pos="227"/>
      </w:tabs>
    </w:pPr>
  </w:style>
  <w:style w:type="paragraph" w:customStyle="1" w:styleId="SideNoteGraphic">
    <w:name w:val="Side Note Graphic"/>
    <w:basedOn w:val="SideNote"/>
    <w:next w:val="BodyText"/>
    <w:uiPriority w:val="99"/>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uiPriority w:val="99"/>
    <w:rsid w:val="00323E09"/>
    <w:pPr>
      <w:numPr>
        <w:numId w:val="4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99"/>
    <w:semiHidden/>
    <w:rsid w:val="00A17328"/>
    <w:pPr>
      <w:tabs>
        <w:tab w:val="right" w:pos="8789"/>
      </w:tabs>
      <w:ind w:left="510" w:right="851" w:hanging="510"/>
      <w:jc w:val="left"/>
    </w:pPr>
    <w:rPr>
      <w:b/>
    </w:rPr>
  </w:style>
  <w:style w:type="paragraph" w:styleId="TOC3">
    <w:name w:val="toc 3"/>
    <w:basedOn w:val="TOC2"/>
    <w:uiPriority w:val="99"/>
    <w:semiHidden/>
    <w:rsid w:val="00A17328"/>
    <w:pPr>
      <w:spacing w:before="60"/>
      <w:ind w:left="1190" w:hanging="680"/>
    </w:pPr>
    <w:rPr>
      <w:b w:val="0"/>
    </w:rPr>
  </w:style>
  <w:style w:type="paragraph" w:styleId="TableofFigures">
    <w:name w:val="table of figures"/>
    <w:basedOn w:val="TOC3"/>
    <w:next w:val="BodyText"/>
    <w:uiPriority w:val="99"/>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99"/>
    <w:semiHidden/>
    <w:rsid w:val="00A17328"/>
    <w:pPr>
      <w:tabs>
        <w:tab w:val="right" w:pos="8789"/>
      </w:tabs>
      <w:spacing w:before="480" w:after="60" w:line="320" w:lineRule="exact"/>
      <w:ind w:left="1191" w:right="851" w:hanging="1191"/>
    </w:pPr>
    <w:rPr>
      <w:b/>
      <w:caps/>
    </w:rPr>
  </w:style>
  <w:style w:type="paragraph" w:styleId="TOC4">
    <w:name w:val="toc 4"/>
    <w:basedOn w:val="TOC3"/>
    <w:uiPriority w:val="99"/>
    <w:semiHidden/>
    <w:rsid w:val="00A17328"/>
    <w:pPr>
      <w:ind w:left="1191" w:firstLine="0"/>
    </w:pPr>
  </w:style>
  <w:style w:type="paragraph" w:customStyle="1" w:styleId="RecBBullet2">
    <w:name w:val="RecB Bullet 2"/>
    <w:basedOn w:val="ListBullet2"/>
    <w:uiPriority w:val="99"/>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link w:val="BalloonText"/>
    <w:uiPriority w:val="99"/>
    <w:locked/>
    <w:rsid w:val="006B2B3C"/>
    <w:rPr>
      <w:rFonts w:ascii="Tahoma" w:hAnsi="Tahoma" w:cs="Tahoma"/>
      <w:sz w:val="16"/>
      <w:szCs w:val="16"/>
    </w:rPr>
  </w:style>
  <w:style w:type="paragraph" w:customStyle="1" w:styleId="BoxListBullet3">
    <w:name w:val="Box List Bullet 3"/>
    <w:basedOn w:val="ListBullet3"/>
    <w:uiPriority w:val="99"/>
    <w:rsid w:val="003565D9"/>
    <w:pPr>
      <w:spacing w:before="60" w:line="280" w:lineRule="atLeast"/>
      <w:ind w:left="907" w:hanging="340"/>
    </w:pPr>
    <w:rPr>
      <w:rFonts w:ascii="Arial" w:hAnsi="Arial"/>
      <w:sz w:val="22"/>
    </w:rPr>
  </w:style>
  <w:style w:type="character" w:styleId="Emphasis">
    <w:name w:val="Emphasis"/>
    <w:uiPriority w:val="99"/>
    <w:qFormat/>
    <w:rsid w:val="00DA5BBA"/>
    <w:rPr>
      <w:rFonts w:cs="Times New Roman"/>
      <w:i/>
      <w:iCs/>
    </w:rPr>
  </w:style>
  <w:style w:type="paragraph" w:customStyle="1" w:styleId="BoxQuoteBullet">
    <w:name w:val="Box Quote Bullet"/>
    <w:basedOn w:val="BoxQuote"/>
    <w:next w:val="Box"/>
    <w:uiPriority w:val="99"/>
    <w:rsid w:val="00C81D4A"/>
    <w:pPr>
      <w:numPr>
        <w:numId w:val="45"/>
      </w:numPr>
      <w:ind w:left="568" w:hanging="284"/>
    </w:pPr>
  </w:style>
  <w:style w:type="paragraph" w:customStyle="1" w:styleId="InformationRequestBullet">
    <w:name w:val="Information Request Bullet"/>
    <w:basedOn w:val="ListBullet"/>
    <w:next w:val="BodyText"/>
    <w:uiPriority w:val="99"/>
    <w:rsid w:val="00BA7E27"/>
    <w:pPr>
      <w:numPr>
        <w:numId w:val="46"/>
      </w:numPr>
      <w:ind w:left="227" w:hanging="227"/>
    </w:pPr>
    <w:rPr>
      <w:rFonts w:ascii="Arial" w:hAnsi="Arial"/>
      <w:i/>
      <w:sz w:val="24"/>
    </w:rPr>
  </w:style>
  <w:style w:type="character" w:styleId="Hyperlink">
    <w:name w:val="Hyperlink"/>
    <w:uiPriority w:val="99"/>
    <w:rsid w:val="008B06B1"/>
    <w:rPr>
      <w:rFonts w:cs="Times New Roman"/>
      <w:color w:val="0000FF"/>
      <w:u w:val="single"/>
    </w:rPr>
  </w:style>
  <w:style w:type="character" w:customStyle="1" w:styleId="BoxChar">
    <w:name w:val="Box Char"/>
    <w:link w:val="Box"/>
    <w:rsid w:val="009858C1"/>
    <w:rPr>
      <w:rFonts w:ascii="Arial" w:hAnsi="Arial"/>
      <w:sz w:val="22"/>
    </w:rPr>
  </w:style>
  <w:style w:type="character" w:customStyle="1" w:styleId="BoxListBulletChar">
    <w:name w:val="Box List Bullet Char"/>
    <w:link w:val="BoxListBullet"/>
    <w:locked/>
    <w:rsid w:val="009858C1"/>
    <w:rPr>
      <w:rFonts w:ascii="Arial" w:hAnsi="Arial"/>
      <w:sz w:val="22"/>
    </w:rPr>
  </w:style>
  <w:style w:type="paragraph" w:styleId="CommentSubject">
    <w:name w:val="annotation subject"/>
    <w:basedOn w:val="CommentText"/>
    <w:next w:val="CommentText"/>
    <w:link w:val="CommentSubjectChar"/>
    <w:uiPriority w:val="99"/>
    <w:semiHidden/>
    <w:unhideWhenUsed/>
    <w:locked/>
    <w:rsid w:val="00CD3C04"/>
    <w:pPr>
      <w:spacing w:before="0" w:line="240" w:lineRule="auto"/>
      <w:ind w:left="0" w:firstLine="0"/>
    </w:pPr>
    <w:rPr>
      <w:b/>
      <w:bCs/>
      <w:szCs w:val="20"/>
    </w:rPr>
  </w:style>
  <w:style w:type="character" w:customStyle="1" w:styleId="CommentSubjectChar">
    <w:name w:val="Comment Subject Char"/>
    <w:link w:val="CommentSubject"/>
    <w:uiPriority w:val="99"/>
    <w:semiHidden/>
    <w:rsid w:val="00CD3C04"/>
    <w:rPr>
      <w:rFonts w:cs="Times New Roman"/>
      <w:b/>
      <w:bCs/>
      <w:sz w:val="20"/>
      <w:szCs w:val="20"/>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81D4A"/>
    <w:rPr>
      <w:sz w:val="26"/>
      <w:szCs w:val="24"/>
    </w:rPr>
  </w:style>
  <w:style w:type="paragraph" w:styleId="Heading1">
    <w:name w:val="heading 1"/>
    <w:basedOn w:val="BodyText"/>
    <w:next w:val="BodyText"/>
    <w:link w:val="Heading1Char"/>
    <w:uiPriority w:val="99"/>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uiPriority w:val="99"/>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9"/>
    <w:qFormat/>
    <w:rsid w:val="00A17328"/>
    <w:pPr>
      <w:spacing w:before="560" w:line="320" w:lineRule="exact"/>
      <w:ind w:left="0" w:firstLine="0"/>
      <w:outlineLvl w:val="2"/>
    </w:pPr>
    <w:rPr>
      <w:sz w:val="26"/>
    </w:rPr>
  </w:style>
  <w:style w:type="paragraph" w:styleId="Heading4">
    <w:name w:val="heading 4"/>
    <w:basedOn w:val="Heading3"/>
    <w:next w:val="BodyText"/>
    <w:link w:val="Heading4Char"/>
    <w:uiPriority w:val="99"/>
    <w:qFormat/>
    <w:rsid w:val="00A17328"/>
    <w:pPr>
      <w:spacing w:before="480"/>
      <w:outlineLvl w:val="3"/>
    </w:pPr>
    <w:rPr>
      <w:b w:val="0"/>
      <w:i/>
      <w:sz w:val="24"/>
    </w:rPr>
  </w:style>
  <w:style w:type="paragraph" w:styleId="Heading5">
    <w:name w:val="heading 5"/>
    <w:basedOn w:val="Heading4"/>
    <w:next w:val="BodyText"/>
    <w:link w:val="Heading5Char"/>
    <w:uiPriority w:val="99"/>
    <w:qFormat/>
    <w:rsid w:val="00A17328"/>
    <w:pPr>
      <w:outlineLvl w:val="4"/>
    </w:pPr>
    <w:rPr>
      <w:rFonts w:ascii="Times New Roman" w:hAnsi="Times New Roman"/>
      <w:sz w:val="26"/>
    </w:rPr>
  </w:style>
  <w:style w:type="paragraph" w:styleId="Heading6">
    <w:name w:val="heading 6"/>
    <w:basedOn w:val="BodyText"/>
    <w:next w:val="BodyText"/>
    <w:link w:val="Heading6Char"/>
    <w:uiPriority w:val="99"/>
    <w:qFormat/>
    <w:rsid w:val="00A17328"/>
    <w:pPr>
      <w:spacing w:after="60"/>
      <w:jc w:val="left"/>
      <w:outlineLvl w:val="5"/>
    </w:pPr>
    <w:rPr>
      <w:i/>
      <w:sz w:val="22"/>
    </w:rPr>
  </w:style>
  <w:style w:type="paragraph" w:styleId="Heading7">
    <w:name w:val="heading 7"/>
    <w:basedOn w:val="BodyText"/>
    <w:next w:val="BodyText"/>
    <w:link w:val="Heading7Char"/>
    <w:uiPriority w:val="99"/>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uiPriority w:val="99"/>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uiPriority w:val="99"/>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7219D"/>
    <w:rPr>
      <w:rFonts w:ascii="Cambria" w:hAnsi="Cambria" w:cs="Times New Roman"/>
      <w:b/>
      <w:bCs/>
      <w:kern w:val="32"/>
      <w:sz w:val="32"/>
      <w:szCs w:val="32"/>
      <w:lang w:val="en-AU" w:eastAsia="en-AU"/>
    </w:rPr>
  </w:style>
  <w:style w:type="character" w:customStyle="1" w:styleId="Heading2Char">
    <w:name w:val="Heading 2 Char"/>
    <w:link w:val="Heading2"/>
    <w:uiPriority w:val="99"/>
    <w:semiHidden/>
    <w:locked/>
    <w:rsid w:val="0027219D"/>
    <w:rPr>
      <w:rFonts w:ascii="Cambria" w:hAnsi="Cambria" w:cs="Times New Roman"/>
      <w:b/>
      <w:bCs/>
      <w:i/>
      <w:iCs/>
      <w:sz w:val="28"/>
      <w:szCs w:val="28"/>
      <w:lang w:val="en-AU" w:eastAsia="en-AU"/>
    </w:rPr>
  </w:style>
  <w:style w:type="character" w:customStyle="1" w:styleId="Heading3Char">
    <w:name w:val="Heading 3 Char"/>
    <w:link w:val="Heading3"/>
    <w:uiPriority w:val="99"/>
    <w:semiHidden/>
    <w:locked/>
    <w:rsid w:val="0027219D"/>
    <w:rPr>
      <w:rFonts w:ascii="Cambria" w:hAnsi="Cambria" w:cs="Times New Roman"/>
      <w:b/>
      <w:bCs/>
      <w:sz w:val="26"/>
      <w:szCs w:val="26"/>
      <w:lang w:val="en-AU" w:eastAsia="en-AU"/>
    </w:rPr>
  </w:style>
  <w:style w:type="character" w:customStyle="1" w:styleId="Heading4Char">
    <w:name w:val="Heading 4 Char"/>
    <w:link w:val="Heading4"/>
    <w:uiPriority w:val="99"/>
    <w:semiHidden/>
    <w:locked/>
    <w:rsid w:val="0027219D"/>
    <w:rPr>
      <w:rFonts w:ascii="Calibri" w:hAnsi="Calibri" w:cs="Times New Roman"/>
      <w:b/>
      <w:bCs/>
      <w:sz w:val="28"/>
      <w:szCs w:val="28"/>
      <w:lang w:val="en-AU" w:eastAsia="en-AU"/>
    </w:rPr>
  </w:style>
  <w:style w:type="character" w:customStyle="1" w:styleId="Heading5Char">
    <w:name w:val="Heading 5 Char"/>
    <w:link w:val="Heading5"/>
    <w:uiPriority w:val="99"/>
    <w:semiHidden/>
    <w:locked/>
    <w:rsid w:val="0027219D"/>
    <w:rPr>
      <w:rFonts w:ascii="Calibri" w:hAnsi="Calibri" w:cs="Times New Roman"/>
      <w:b/>
      <w:bCs/>
      <w:i/>
      <w:iCs/>
      <w:sz w:val="26"/>
      <w:szCs w:val="26"/>
      <w:lang w:val="en-AU" w:eastAsia="en-AU"/>
    </w:rPr>
  </w:style>
  <w:style w:type="character" w:customStyle="1" w:styleId="Heading6Char">
    <w:name w:val="Heading 6 Char"/>
    <w:link w:val="Heading6"/>
    <w:uiPriority w:val="99"/>
    <w:semiHidden/>
    <w:locked/>
    <w:rsid w:val="0027219D"/>
    <w:rPr>
      <w:rFonts w:ascii="Calibri" w:hAnsi="Calibri" w:cs="Times New Roman"/>
      <w:b/>
      <w:bCs/>
      <w:lang w:val="en-AU" w:eastAsia="en-AU"/>
    </w:rPr>
  </w:style>
  <w:style w:type="character" w:customStyle="1" w:styleId="Heading7Char">
    <w:name w:val="Heading 7 Char"/>
    <w:link w:val="Heading7"/>
    <w:uiPriority w:val="99"/>
    <w:semiHidden/>
    <w:locked/>
    <w:rsid w:val="0027219D"/>
    <w:rPr>
      <w:rFonts w:ascii="Calibri" w:hAnsi="Calibri" w:cs="Times New Roman"/>
      <w:sz w:val="24"/>
      <w:szCs w:val="24"/>
      <w:lang w:val="en-AU" w:eastAsia="en-AU"/>
    </w:rPr>
  </w:style>
  <w:style w:type="character" w:customStyle="1" w:styleId="Heading8Char">
    <w:name w:val="Heading 8 Char"/>
    <w:link w:val="Heading8"/>
    <w:uiPriority w:val="99"/>
    <w:semiHidden/>
    <w:locked/>
    <w:rsid w:val="0027219D"/>
    <w:rPr>
      <w:rFonts w:ascii="Calibri" w:hAnsi="Calibri" w:cs="Times New Roman"/>
      <w:i/>
      <w:iCs/>
      <w:sz w:val="24"/>
      <w:szCs w:val="24"/>
      <w:lang w:val="en-AU" w:eastAsia="en-AU"/>
    </w:rPr>
  </w:style>
  <w:style w:type="character" w:customStyle="1" w:styleId="Heading9Char">
    <w:name w:val="Heading 9 Char"/>
    <w:link w:val="Heading9"/>
    <w:uiPriority w:val="99"/>
    <w:semiHidden/>
    <w:locked/>
    <w:rsid w:val="0027219D"/>
    <w:rPr>
      <w:rFonts w:ascii="Cambria" w:hAnsi="Cambria" w:cs="Times New Roman"/>
      <w:lang w:val="en-AU" w:eastAsia="en-AU"/>
    </w:rPr>
  </w:style>
  <w:style w:type="paragraph" w:styleId="BodyText">
    <w:name w:val="Body Text"/>
    <w:basedOn w:val="Normal"/>
    <w:link w:val="BodyTextChar"/>
    <w:qFormat/>
    <w:rsid w:val="009345D9"/>
    <w:pPr>
      <w:spacing w:before="240" w:line="320" w:lineRule="atLeast"/>
      <w:jc w:val="both"/>
    </w:pPr>
    <w:rPr>
      <w:szCs w:val="20"/>
    </w:rPr>
  </w:style>
  <w:style w:type="character" w:customStyle="1" w:styleId="BodyTextChar">
    <w:name w:val="Body Text Char"/>
    <w:link w:val="BodyText"/>
    <w:locked/>
    <w:rsid w:val="0027219D"/>
    <w:rPr>
      <w:rFonts w:cs="Times New Roman"/>
      <w:sz w:val="24"/>
      <w:szCs w:val="24"/>
      <w:lang w:val="en-AU" w:eastAsia="en-AU"/>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character" w:customStyle="1" w:styleId="FooterChar">
    <w:name w:val="Footer Char"/>
    <w:link w:val="Footer"/>
    <w:uiPriority w:val="99"/>
    <w:semiHidden/>
    <w:locked/>
    <w:rsid w:val="0027219D"/>
    <w:rPr>
      <w:rFonts w:cs="Times New Roman"/>
      <w:sz w:val="24"/>
      <w:szCs w:val="24"/>
      <w:lang w:val="en-AU" w:eastAsia="en-AU"/>
    </w:rPr>
  </w:style>
  <w:style w:type="paragraph" w:customStyle="1" w:styleId="FooterEnd">
    <w:name w:val="Footer End"/>
    <w:basedOn w:val="Footer"/>
    <w:uiPriority w:val="99"/>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link w:val="Header"/>
    <w:uiPriority w:val="99"/>
    <w:semiHidden/>
    <w:locked/>
    <w:rsid w:val="0027219D"/>
    <w:rPr>
      <w:rFonts w:cs="Times New Roman"/>
      <w:sz w:val="24"/>
      <w:szCs w:val="24"/>
      <w:lang w:val="en-AU" w:eastAsia="en-AU"/>
    </w:rPr>
  </w:style>
  <w:style w:type="paragraph" w:customStyle="1" w:styleId="HeaderEnd">
    <w:name w:val="Header End"/>
    <w:basedOn w:val="Header"/>
    <w:autoRedefine/>
    <w:uiPriority w:val="99"/>
    <w:rsid w:val="00914368"/>
    <w:pPr>
      <w:spacing w:line="20" w:lineRule="exact"/>
    </w:pPr>
    <w:rPr>
      <w:sz w:val="16"/>
    </w:rPr>
  </w:style>
  <w:style w:type="paragraph" w:customStyle="1" w:styleId="HeaderEven">
    <w:name w:val="Header Even"/>
    <w:basedOn w:val="Header"/>
    <w:uiPriority w:val="99"/>
    <w:semiHidden/>
    <w:rsid w:val="00C543F4"/>
  </w:style>
  <w:style w:type="paragraph" w:customStyle="1" w:styleId="HeaderOdd">
    <w:name w:val="Header Odd"/>
    <w:basedOn w:val="Header"/>
    <w:uiPriority w:val="99"/>
    <w:semiHidden/>
    <w:rsid w:val="00C543F4"/>
  </w:style>
  <w:style w:type="character" w:styleId="PageNumber">
    <w:name w:val="page number"/>
    <w:uiPriority w:val="99"/>
    <w:rsid w:val="00A17328"/>
    <w:rPr>
      <w:rFonts w:ascii="Arial" w:hAnsi="Arial" w:cs="Times New Roman"/>
      <w:b/>
      <w:sz w:val="16"/>
    </w:rPr>
  </w:style>
  <w:style w:type="paragraph" w:customStyle="1" w:styleId="Abbreviation">
    <w:name w:val="Abbreviation"/>
    <w:basedOn w:val="BodyText"/>
    <w:uiPriority w:val="99"/>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uiPriority w:val="99"/>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link w:val="BoxListBulletChar"/>
    <w:rsid w:val="00DB67C9"/>
    <w:pPr>
      <w:keepNext/>
      <w:numPr>
        <w:numId w:val="3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3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44"/>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tabs>
        <w:tab w:val="num" w:pos="794"/>
      </w:tabs>
      <w:spacing w:before="60"/>
    </w:pPr>
  </w:style>
  <w:style w:type="paragraph" w:customStyle="1" w:styleId="BoxQuote">
    <w:name w:val="Box Quote"/>
    <w:basedOn w:val="BodyText"/>
    <w:next w:val="Box"/>
    <w:uiPriority w:val="99"/>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uiPriority w:val="99"/>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uiPriority w:val="99"/>
    <w:rsid w:val="00A17328"/>
    <w:pPr>
      <w:spacing w:after="80" w:line="200" w:lineRule="exact"/>
      <w:ind w:firstLine="0"/>
    </w:pPr>
    <w:rPr>
      <w:b w:val="0"/>
      <w:sz w:val="20"/>
    </w:rPr>
  </w:style>
  <w:style w:type="paragraph" w:customStyle="1" w:styleId="Chapter">
    <w:name w:val="Chapter"/>
    <w:basedOn w:val="Heading1"/>
    <w:next w:val="BodyText"/>
    <w:uiPriority w:val="99"/>
    <w:semiHidden/>
    <w:rsid w:val="00A17328"/>
    <w:pPr>
      <w:ind w:left="0" w:firstLine="0"/>
      <w:outlineLvl w:val="9"/>
    </w:pPr>
  </w:style>
  <w:style w:type="paragraph" w:customStyle="1" w:styleId="ChapterSummary">
    <w:name w:val="Chapter Summary"/>
    <w:basedOn w:val="BodyText"/>
    <w:uiPriority w:val="99"/>
    <w:rsid w:val="00A17328"/>
    <w:pPr>
      <w:ind w:left="907"/>
    </w:pPr>
    <w:rPr>
      <w:rFonts w:ascii="Arial" w:hAnsi="Arial"/>
      <w:b/>
      <w:sz w:val="22"/>
    </w:rPr>
  </w:style>
  <w:style w:type="character" w:styleId="CommentReference">
    <w:name w:val="annotation reference"/>
    <w:uiPriority w:val="99"/>
    <w:semiHidden/>
    <w:rsid w:val="00A17328"/>
    <w:rPr>
      <w:rFonts w:cs="Times New Roman"/>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character" w:customStyle="1" w:styleId="CommentTextChar">
    <w:name w:val="Comment Text Char"/>
    <w:link w:val="CommentText"/>
    <w:uiPriority w:val="99"/>
    <w:semiHidden/>
    <w:locked/>
    <w:rsid w:val="0027219D"/>
    <w:rPr>
      <w:rFonts w:cs="Times New Roman"/>
      <w:sz w:val="20"/>
      <w:szCs w:val="20"/>
      <w:lang w:val="en-AU" w:eastAsia="en-AU"/>
    </w:rPr>
  </w:style>
  <w:style w:type="paragraph" w:customStyle="1" w:styleId="Continued">
    <w:name w:val="Continued"/>
    <w:basedOn w:val="BoxContinued"/>
    <w:next w:val="BodyText"/>
    <w:uiPriority w:val="99"/>
    <w:rsid w:val="00A17328"/>
  </w:style>
  <w:style w:type="character" w:customStyle="1" w:styleId="DocumentInfo">
    <w:name w:val="Document Info"/>
    <w:uiPriority w:val="99"/>
    <w:semiHidden/>
    <w:rsid w:val="00A17328"/>
    <w:rPr>
      <w:rFonts w:ascii="Arial" w:hAnsi="Arial" w:cs="Times New Roman"/>
      <w:sz w:val="14"/>
    </w:rPr>
  </w:style>
  <w:style w:type="character" w:customStyle="1" w:styleId="DraftingNote">
    <w:name w:val="Drafting Note"/>
    <w:uiPriority w:val="99"/>
    <w:rsid w:val="00A17328"/>
    <w:rPr>
      <w:rFonts w:cs="Times New Roman"/>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link w:val="Subtitle"/>
    <w:locked/>
    <w:rsid w:val="00F10476"/>
    <w:rPr>
      <w:rFonts w:ascii="Arial" w:hAnsi="Arial" w:cs="Times New Roman"/>
      <w:sz w:val="24"/>
      <w:szCs w:val="24"/>
    </w:rPr>
  </w:style>
  <w:style w:type="paragraph" w:customStyle="1" w:styleId="Finding">
    <w:name w:val="Finding"/>
    <w:basedOn w:val="BodyText"/>
    <w:uiPriority w:val="99"/>
    <w:rsid w:val="001363AA"/>
    <w:pPr>
      <w:keepLines/>
      <w:spacing w:before="180"/>
    </w:pPr>
    <w:rPr>
      <w:i/>
    </w:rPr>
  </w:style>
  <w:style w:type="paragraph" w:customStyle="1" w:styleId="FindingBullet">
    <w:name w:val="Finding Bullet"/>
    <w:basedOn w:val="Finding"/>
    <w:uiPriority w:val="99"/>
    <w:rsid w:val="00AB0681"/>
    <w:pPr>
      <w:numPr>
        <w:numId w:val="33"/>
      </w:numPr>
      <w:spacing w:before="80"/>
    </w:pPr>
  </w:style>
  <w:style w:type="paragraph" w:customStyle="1" w:styleId="FindingNoTitle">
    <w:name w:val="Finding NoTitle"/>
    <w:basedOn w:val="Finding"/>
    <w:uiPriority w:val="99"/>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uiPriority w:val="99"/>
    <w:rsid w:val="00A17328"/>
    <w:pPr>
      <w:framePr w:wrap="notBeside" w:hAnchor="text"/>
    </w:pPr>
  </w:style>
  <w:style w:type="character" w:styleId="FootnoteReference">
    <w:name w:val="footnote reference"/>
    <w:uiPriority w:val="99"/>
    <w:semiHidden/>
    <w:rsid w:val="00A17328"/>
    <w:rPr>
      <w:rFonts w:ascii="Times New Roman" w:hAnsi="Times New Roman" w:cs="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character" w:customStyle="1" w:styleId="FootnoteTextChar">
    <w:name w:val="Footnote Text Char"/>
    <w:link w:val="FootnoteText"/>
    <w:uiPriority w:val="99"/>
    <w:semiHidden/>
    <w:locked/>
    <w:rsid w:val="0027219D"/>
    <w:rPr>
      <w:rFonts w:cs="Times New Roman"/>
      <w:sz w:val="20"/>
      <w:szCs w:val="20"/>
      <w:lang w:val="en-AU" w:eastAsia="en-AU"/>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uiPriority w:val="99"/>
    <w:rsid w:val="00A17328"/>
    <w:pPr>
      <w:spacing w:after="140"/>
      <w:jc w:val="both"/>
    </w:pPr>
    <w:rPr>
      <w:rFonts w:ascii="Arial" w:hAnsi="Arial"/>
      <w:sz w:val="24"/>
      <w:lang w:eastAsia="en-US"/>
    </w:rPr>
  </w:style>
  <w:style w:type="paragraph" w:customStyle="1" w:styleId="Jurisdictioncommentsheading">
    <w:name w:val="Jurisdiction comments heading"/>
    <w:uiPriority w:val="99"/>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uiPriority w:val="99"/>
    <w:rsid w:val="00A17328"/>
    <w:pPr>
      <w:numPr>
        <w:numId w:val="34"/>
      </w:numPr>
      <w:spacing w:after="140"/>
      <w:jc w:val="both"/>
    </w:pPr>
    <w:rPr>
      <w:rFonts w:ascii="Arial" w:hAnsi="Arial"/>
      <w:sz w:val="24"/>
      <w:lang w:eastAsia="en-US"/>
    </w:rPr>
  </w:style>
  <w:style w:type="paragraph" w:styleId="ListBullet">
    <w:name w:val="List Bullet"/>
    <w:basedOn w:val="BodyText"/>
    <w:rsid w:val="00DB67C9"/>
    <w:pPr>
      <w:numPr>
        <w:numId w:val="35"/>
      </w:numPr>
      <w:spacing w:before="120"/>
    </w:pPr>
  </w:style>
  <w:style w:type="paragraph" w:styleId="ListBullet2">
    <w:name w:val="List Bullet 2"/>
    <w:basedOn w:val="BodyText"/>
    <w:uiPriority w:val="99"/>
    <w:rsid w:val="00DB67C9"/>
    <w:pPr>
      <w:numPr>
        <w:numId w:val="6"/>
      </w:numPr>
      <w:tabs>
        <w:tab w:val="clear" w:pos="926"/>
        <w:tab w:val="num" w:pos="680"/>
      </w:tabs>
      <w:spacing w:before="120"/>
      <w:ind w:left="680" w:hanging="340"/>
    </w:pPr>
  </w:style>
  <w:style w:type="paragraph" w:styleId="ListBullet3">
    <w:name w:val="List Bullet 3"/>
    <w:basedOn w:val="BodyText"/>
    <w:uiPriority w:val="99"/>
    <w:rsid w:val="00DB67C9"/>
    <w:pPr>
      <w:numPr>
        <w:numId w:val="37"/>
      </w:numPr>
      <w:spacing w:before="120"/>
    </w:pPr>
  </w:style>
  <w:style w:type="paragraph" w:styleId="ListNumber">
    <w:name w:val="List Number"/>
    <w:basedOn w:val="BodyText"/>
    <w:uiPriority w:val="99"/>
    <w:rsid w:val="00864ADC"/>
    <w:pPr>
      <w:numPr>
        <w:numId w:val="42"/>
      </w:numPr>
      <w:spacing w:before="120"/>
    </w:pPr>
  </w:style>
  <w:style w:type="paragraph" w:styleId="ListNumber2">
    <w:name w:val="List Number 2"/>
    <w:basedOn w:val="ListNumber"/>
    <w:uiPriority w:val="99"/>
    <w:rsid w:val="00864ADC"/>
    <w:pPr>
      <w:numPr>
        <w:ilvl w:val="1"/>
      </w:numPr>
      <w:tabs>
        <w:tab w:val="num" w:pos="680"/>
      </w:tabs>
    </w:pPr>
  </w:style>
  <w:style w:type="paragraph" w:styleId="ListNumber3">
    <w:name w:val="List Number 3"/>
    <w:basedOn w:val="ListNumber2"/>
    <w:uiPriority w:val="99"/>
    <w:rsid w:val="00864ADC"/>
    <w:pPr>
      <w:numPr>
        <w:ilvl w:val="2"/>
      </w:numPr>
      <w:tabs>
        <w:tab w:val="num" w:pos="680"/>
        <w:tab w:val="num" w:pos="794"/>
      </w:tabs>
    </w:pPr>
  </w:style>
  <w:style w:type="character" w:customStyle="1" w:styleId="NoteLabel">
    <w:name w:val="Note Label"/>
    <w:rsid w:val="00A17328"/>
    <w:rPr>
      <w:rFonts w:ascii="Arial" w:hAnsi="Arial" w:cs="Times New Roman"/>
      <w:b/>
      <w:position w:val="6"/>
      <w:sz w:val="18"/>
    </w:rPr>
  </w:style>
  <w:style w:type="paragraph" w:customStyle="1" w:styleId="PartDivider">
    <w:name w:val="Part Divider"/>
    <w:basedOn w:val="BodyText"/>
    <w:next w:val="BodyText"/>
    <w:uiPriority w:val="99"/>
    <w:semiHidden/>
    <w:rsid w:val="00A17328"/>
    <w:pPr>
      <w:spacing w:before="0" w:line="40" w:lineRule="exact"/>
      <w:jc w:val="right"/>
    </w:pPr>
    <w:rPr>
      <w:smallCaps/>
      <w:sz w:val="16"/>
    </w:rPr>
  </w:style>
  <w:style w:type="paragraph" w:customStyle="1" w:styleId="PartNumber">
    <w:name w:val="Part Number"/>
    <w:basedOn w:val="BodyText"/>
    <w:next w:val="BodyText"/>
    <w:uiPriority w:val="99"/>
    <w:semiHidden/>
    <w:rsid w:val="00A17328"/>
    <w:pPr>
      <w:spacing w:before="4000" w:line="320" w:lineRule="exact"/>
      <w:ind w:left="6634"/>
      <w:jc w:val="right"/>
    </w:pPr>
    <w:rPr>
      <w:smallCaps/>
      <w:spacing w:val="60"/>
      <w:sz w:val="32"/>
    </w:rPr>
  </w:style>
  <w:style w:type="paragraph" w:customStyle="1" w:styleId="PartTitle">
    <w:name w:val="Part Title"/>
    <w:basedOn w:val="BodyText"/>
    <w:uiPriority w:val="99"/>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character" w:customStyle="1" w:styleId="QuoteChar">
    <w:name w:val="Quote Char"/>
    <w:link w:val="Quote"/>
    <w:uiPriority w:val="99"/>
    <w:locked/>
    <w:rsid w:val="0027219D"/>
    <w:rPr>
      <w:rFonts w:cs="Times New Roman"/>
      <w:i/>
      <w:iCs/>
      <w:color w:val="000000"/>
      <w:sz w:val="24"/>
      <w:szCs w:val="24"/>
      <w:lang w:val="en-AU" w:eastAsia="en-AU"/>
    </w:rPr>
  </w:style>
  <w:style w:type="paragraph" w:customStyle="1" w:styleId="QuoteBullet">
    <w:name w:val="Quote Bullet"/>
    <w:basedOn w:val="Quote"/>
    <w:uiPriority w:val="99"/>
    <w:rsid w:val="00323E09"/>
    <w:pPr>
      <w:ind w:left="0"/>
    </w:pPr>
  </w:style>
  <w:style w:type="paragraph" w:customStyle="1" w:styleId="Rec">
    <w:name w:val="Rec"/>
    <w:basedOn w:val="BodyText"/>
    <w:uiPriority w:val="99"/>
    <w:rsid w:val="001363AA"/>
    <w:pPr>
      <w:keepLines/>
      <w:spacing w:before="180"/>
    </w:pPr>
    <w:rPr>
      <w:b/>
      <w:i/>
    </w:rPr>
  </w:style>
  <w:style w:type="paragraph" w:customStyle="1" w:styleId="RecBullet">
    <w:name w:val="Rec Bullet"/>
    <w:basedOn w:val="Rec"/>
    <w:uiPriority w:val="99"/>
    <w:rsid w:val="00323E09"/>
    <w:pPr>
      <w:numPr>
        <w:numId w:val="39"/>
      </w:numPr>
      <w:spacing w:before="80"/>
    </w:pPr>
  </w:style>
  <w:style w:type="paragraph" w:customStyle="1" w:styleId="RecB">
    <w:name w:val="RecB"/>
    <w:basedOn w:val="Normal"/>
    <w:uiPriority w:val="99"/>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uiPriority w:val="99"/>
    <w:semiHidden/>
    <w:rsid w:val="00F85325"/>
    <w:pPr>
      <w:numPr>
        <w:numId w:val="13"/>
      </w:numPr>
      <w:tabs>
        <w:tab w:val="clear" w:pos="360"/>
        <w:tab w:val="num" w:pos="284"/>
        <w:tab w:val="num" w:pos="340"/>
      </w:tabs>
      <w:spacing w:before="80"/>
      <w:ind w:left="340" w:hanging="340"/>
    </w:pPr>
  </w:style>
  <w:style w:type="paragraph" w:customStyle="1" w:styleId="RecBNoTitle">
    <w:name w:val="RecB NoTitle"/>
    <w:basedOn w:val="RecB"/>
    <w:uiPriority w:val="99"/>
    <w:semiHidden/>
    <w:rsid w:val="00F85325"/>
    <w:pPr>
      <w:spacing w:before="240"/>
    </w:pPr>
  </w:style>
  <w:style w:type="paragraph" w:customStyle="1" w:styleId="Reference">
    <w:name w:val="Reference"/>
    <w:basedOn w:val="BodyText"/>
    <w:uiPriority w:val="99"/>
    <w:rsid w:val="00A17328"/>
    <w:pPr>
      <w:spacing w:before="120"/>
      <w:ind w:left="340" w:hanging="340"/>
    </w:pPr>
  </w:style>
  <w:style w:type="paragraph" w:customStyle="1" w:styleId="SequenceInfo">
    <w:name w:val="Sequence Info"/>
    <w:basedOn w:val="BodyText"/>
    <w:uiPriority w:val="99"/>
    <w:semiHidden/>
    <w:rsid w:val="00A17328"/>
    <w:rPr>
      <w:vanish/>
      <w:sz w:val="16"/>
    </w:rPr>
  </w:style>
  <w:style w:type="paragraph" w:customStyle="1" w:styleId="SideNote">
    <w:name w:val="Side Note"/>
    <w:basedOn w:val="BodyText"/>
    <w:next w:val="BodyText"/>
    <w:uiPriority w:val="99"/>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uiPriority w:val="99"/>
    <w:semiHidden/>
    <w:rsid w:val="00A17328"/>
    <w:pPr>
      <w:framePr w:wrap="around"/>
      <w:numPr>
        <w:numId w:val="40"/>
      </w:numPr>
      <w:tabs>
        <w:tab w:val="left" w:pos="227"/>
      </w:tabs>
    </w:pPr>
  </w:style>
  <w:style w:type="paragraph" w:customStyle="1" w:styleId="SideNoteGraphic">
    <w:name w:val="Side Note Graphic"/>
    <w:basedOn w:val="SideNote"/>
    <w:next w:val="BodyText"/>
    <w:uiPriority w:val="99"/>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uiPriority w:val="99"/>
    <w:rsid w:val="00323E09"/>
    <w:pPr>
      <w:numPr>
        <w:numId w:val="4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99"/>
    <w:semiHidden/>
    <w:rsid w:val="00A17328"/>
    <w:pPr>
      <w:tabs>
        <w:tab w:val="right" w:pos="8789"/>
      </w:tabs>
      <w:ind w:left="510" w:right="851" w:hanging="510"/>
      <w:jc w:val="left"/>
    </w:pPr>
    <w:rPr>
      <w:b/>
    </w:rPr>
  </w:style>
  <w:style w:type="paragraph" w:styleId="TOC3">
    <w:name w:val="toc 3"/>
    <w:basedOn w:val="TOC2"/>
    <w:uiPriority w:val="99"/>
    <w:semiHidden/>
    <w:rsid w:val="00A17328"/>
    <w:pPr>
      <w:spacing w:before="60"/>
      <w:ind w:left="1190" w:hanging="680"/>
    </w:pPr>
    <w:rPr>
      <w:b w:val="0"/>
    </w:rPr>
  </w:style>
  <w:style w:type="paragraph" w:styleId="TableofFigures">
    <w:name w:val="table of figures"/>
    <w:basedOn w:val="TOC3"/>
    <w:next w:val="BodyText"/>
    <w:uiPriority w:val="99"/>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99"/>
    <w:semiHidden/>
    <w:rsid w:val="00A17328"/>
    <w:pPr>
      <w:tabs>
        <w:tab w:val="right" w:pos="8789"/>
      </w:tabs>
      <w:spacing w:before="480" w:after="60" w:line="320" w:lineRule="exact"/>
      <w:ind w:left="1191" w:right="851" w:hanging="1191"/>
    </w:pPr>
    <w:rPr>
      <w:b/>
      <w:caps/>
    </w:rPr>
  </w:style>
  <w:style w:type="paragraph" w:styleId="TOC4">
    <w:name w:val="toc 4"/>
    <w:basedOn w:val="TOC3"/>
    <w:uiPriority w:val="99"/>
    <w:semiHidden/>
    <w:rsid w:val="00A17328"/>
    <w:pPr>
      <w:ind w:left="1191" w:firstLine="0"/>
    </w:pPr>
  </w:style>
  <w:style w:type="paragraph" w:customStyle="1" w:styleId="RecBBullet2">
    <w:name w:val="RecB Bullet 2"/>
    <w:basedOn w:val="ListBullet2"/>
    <w:uiPriority w:val="99"/>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link w:val="BalloonText"/>
    <w:uiPriority w:val="99"/>
    <w:locked/>
    <w:rsid w:val="006B2B3C"/>
    <w:rPr>
      <w:rFonts w:ascii="Tahoma" w:hAnsi="Tahoma" w:cs="Tahoma"/>
      <w:sz w:val="16"/>
      <w:szCs w:val="16"/>
    </w:rPr>
  </w:style>
  <w:style w:type="paragraph" w:customStyle="1" w:styleId="BoxListBullet3">
    <w:name w:val="Box List Bullet 3"/>
    <w:basedOn w:val="ListBullet3"/>
    <w:uiPriority w:val="99"/>
    <w:rsid w:val="003565D9"/>
    <w:pPr>
      <w:spacing w:before="60" w:line="280" w:lineRule="atLeast"/>
      <w:ind w:left="907" w:hanging="340"/>
    </w:pPr>
    <w:rPr>
      <w:rFonts w:ascii="Arial" w:hAnsi="Arial"/>
      <w:sz w:val="22"/>
    </w:rPr>
  </w:style>
  <w:style w:type="character" w:styleId="Emphasis">
    <w:name w:val="Emphasis"/>
    <w:uiPriority w:val="99"/>
    <w:qFormat/>
    <w:rsid w:val="00DA5BBA"/>
    <w:rPr>
      <w:rFonts w:cs="Times New Roman"/>
      <w:i/>
      <w:iCs/>
    </w:rPr>
  </w:style>
  <w:style w:type="paragraph" w:customStyle="1" w:styleId="BoxQuoteBullet">
    <w:name w:val="Box Quote Bullet"/>
    <w:basedOn w:val="BoxQuote"/>
    <w:next w:val="Box"/>
    <w:uiPriority w:val="99"/>
    <w:rsid w:val="00C81D4A"/>
    <w:pPr>
      <w:numPr>
        <w:numId w:val="45"/>
      </w:numPr>
      <w:ind w:left="568" w:hanging="284"/>
    </w:pPr>
  </w:style>
  <w:style w:type="paragraph" w:customStyle="1" w:styleId="InformationRequestBullet">
    <w:name w:val="Information Request Bullet"/>
    <w:basedOn w:val="ListBullet"/>
    <w:next w:val="BodyText"/>
    <w:uiPriority w:val="99"/>
    <w:rsid w:val="00BA7E27"/>
    <w:pPr>
      <w:numPr>
        <w:numId w:val="46"/>
      </w:numPr>
      <w:ind w:left="227" w:hanging="227"/>
    </w:pPr>
    <w:rPr>
      <w:rFonts w:ascii="Arial" w:hAnsi="Arial"/>
      <w:i/>
      <w:sz w:val="24"/>
    </w:rPr>
  </w:style>
  <w:style w:type="character" w:styleId="Hyperlink">
    <w:name w:val="Hyperlink"/>
    <w:uiPriority w:val="99"/>
    <w:rsid w:val="008B06B1"/>
    <w:rPr>
      <w:rFonts w:cs="Times New Roman"/>
      <w:color w:val="0000FF"/>
      <w:u w:val="single"/>
    </w:rPr>
  </w:style>
  <w:style w:type="character" w:customStyle="1" w:styleId="BoxChar">
    <w:name w:val="Box Char"/>
    <w:link w:val="Box"/>
    <w:rsid w:val="009858C1"/>
    <w:rPr>
      <w:rFonts w:ascii="Arial" w:hAnsi="Arial"/>
      <w:sz w:val="22"/>
    </w:rPr>
  </w:style>
  <w:style w:type="character" w:customStyle="1" w:styleId="BoxListBulletChar">
    <w:name w:val="Box List Bullet Char"/>
    <w:link w:val="BoxListBullet"/>
    <w:locked/>
    <w:rsid w:val="009858C1"/>
    <w:rPr>
      <w:rFonts w:ascii="Arial" w:hAnsi="Arial"/>
      <w:sz w:val="22"/>
    </w:rPr>
  </w:style>
  <w:style w:type="paragraph" w:styleId="CommentSubject">
    <w:name w:val="annotation subject"/>
    <w:basedOn w:val="CommentText"/>
    <w:next w:val="CommentText"/>
    <w:link w:val="CommentSubjectChar"/>
    <w:uiPriority w:val="99"/>
    <w:semiHidden/>
    <w:unhideWhenUsed/>
    <w:locked/>
    <w:rsid w:val="00CD3C04"/>
    <w:pPr>
      <w:spacing w:before="0" w:line="240" w:lineRule="auto"/>
      <w:ind w:left="0" w:firstLine="0"/>
    </w:pPr>
    <w:rPr>
      <w:b/>
      <w:bCs/>
      <w:szCs w:val="20"/>
    </w:rPr>
  </w:style>
  <w:style w:type="character" w:customStyle="1" w:styleId="CommentSubjectChar">
    <w:name w:val="Comment Subject Char"/>
    <w:link w:val="CommentSubject"/>
    <w:uiPriority w:val="99"/>
    <w:semiHidden/>
    <w:rsid w:val="00CD3C04"/>
    <w:rPr>
      <w:rFonts w:cs="Times New Roman"/>
      <w:b/>
      <w:bCs/>
      <w:sz w:val="20"/>
      <w:szCs w:val="20"/>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500359">
      <w:bodyDiv w:val="1"/>
      <w:marLeft w:val="0"/>
      <w:marRight w:val="0"/>
      <w:marTop w:val="0"/>
      <w:marBottom w:val="0"/>
      <w:divBdr>
        <w:top w:val="none" w:sz="0" w:space="0" w:color="auto"/>
        <w:left w:val="none" w:sz="0" w:space="0" w:color="auto"/>
        <w:bottom w:val="none" w:sz="0" w:space="0" w:color="auto"/>
        <w:right w:val="none" w:sz="0" w:space="0" w:color="auto"/>
      </w:divBdr>
    </w:div>
    <w:div w:id="17149577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f\gthompson\My%20Documents\Patents\Data\Patent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InquiryC\Patents\Work\Greg%20T\Data\Patents.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oleObject" Target="file:///\\mel_1\groups\InquiryC\Patents\Work\Greg%20T\Data\Patent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mel_1\groups\InquiryC\Patents\Work\Greg%20T\Data\Paten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v>Applications</c:v>
          </c:tx>
          <c:spPr>
            <a:solidFill>
              <a:schemeClr val="tx1"/>
            </a:solidFill>
          </c:spPr>
          <c:invertIfNegative val="0"/>
          <c:cat>
            <c:numRef>
              <c:f>'WIPO graphs'!$A$44:$A$59</c:f>
              <c:numCache>
                <c:formatCode>General</c:formatCode>
                <c:ptCount val="16"/>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numCache>
            </c:numRef>
          </c:cat>
          <c:val>
            <c:numRef>
              <c:f>'WIPO graphs'!$D$5:$D$20</c:f>
              <c:numCache>
                <c:formatCode>General</c:formatCode>
                <c:ptCount val="16"/>
                <c:pt idx="0">
                  <c:v>14061</c:v>
                </c:pt>
                <c:pt idx="1">
                  <c:v>15018</c:v>
                </c:pt>
                <c:pt idx="2">
                  <c:v>17158</c:v>
                </c:pt>
                <c:pt idx="3">
                  <c:v>17925</c:v>
                </c:pt>
                <c:pt idx="4">
                  <c:v>19818</c:v>
                </c:pt>
                <c:pt idx="5">
                  <c:v>22001</c:v>
                </c:pt>
                <c:pt idx="6">
                  <c:v>22735</c:v>
                </c:pt>
                <c:pt idx="7">
                  <c:v>22545</c:v>
                </c:pt>
                <c:pt idx="8">
                  <c:v>21594</c:v>
                </c:pt>
                <c:pt idx="9">
                  <c:v>22833</c:v>
                </c:pt>
                <c:pt idx="10">
                  <c:v>23857</c:v>
                </c:pt>
                <c:pt idx="11">
                  <c:v>26003</c:v>
                </c:pt>
                <c:pt idx="12">
                  <c:v>26840</c:v>
                </c:pt>
                <c:pt idx="13">
                  <c:v>26346</c:v>
                </c:pt>
                <c:pt idx="14">
                  <c:v>23681</c:v>
                </c:pt>
                <c:pt idx="15">
                  <c:v>24887</c:v>
                </c:pt>
              </c:numCache>
            </c:numRef>
          </c:val>
        </c:ser>
        <c:ser>
          <c:idx val="1"/>
          <c:order val="1"/>
          <c:tx>
            <c:v>Grants</c:v>
          </c:tx>
          <c:spPr>
            <a:solidFill>
              <a:schemeClr val="bg1">
                <a:lumMod val="50000"/>
              </a:schemeClr>
            </a:solidFill>
          </c:spPr>
          <c:invertIfNegative val="0"/>
          <c:cat>
            <c:numRef>
              <c:f>'WIPO graphs'!$A$44:$A$59</c:f>
              <c:numCache>
                <c:formatCode>General</c:formatCode>
                <c:ptCount val="16"/>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numCache>
            </c:numRef>
          </c:cat>
          <c:val>
            <c:numRef>
              <c:f>'WIPO graphs'!$D$44:$D$59</c:f>
              <c:numCache>
                <c:formatCode>General</c:formatCode>
                <c:ptCount val="16"/>
                <c:pt idx="0">
                  <c:v>9406</c:v>
                </c:pt>
                <c:pt idx="1">
                  <c:v>8754</c:v>
                </c:pt>
                <c:pt idx="2">
                  <c:v>9204</c:v>
                </c:pt>
                <c:pt idx="3">
                  <c:v>14450</c:v>
                </c:pt>
                <c:pt idx="4">
                  <c:v>13203</c:v>
                </c:pt>
                <c:pt idx="5">
                  <c:v>13548</c:v>
                </c:pt>
                <c:pt idx="6">
                  <c:v>13703</c:v>
                </c:pt>
                <c:pt idx="7">
                  <c:v>13612</c:v>
                </c:pt>
                <c:pt idx="8">
                  <c:v>13056</c:v>
                </c:pt>
                <c:pt idx="9">
                  <c:v>12739</c:v>
                </c:pt>
                <c:pt idx="10">
                  <c:v>10979</c:v>
                </c:pt>
                <c:pt idx="11">
                  <c:v>9426</c:v>
                </c:pt>
                <c:pt idx="12">
                  <c:v>11236</c:v>
                </c:pt>
                <c:pt idx="13">
                  <c:v>11863</c:v>
                </c:pt>
                <c:pt idx="14">
                  <c:v>12410</c:v>
                </c:pt>
                <c:pt idx="15">
                  <c:v>14557</c:v>
                </c:pt>
              </c:numCache>
            </c:numRef>
          </c:val>
        </c:ser>
        <c:dLbls>
          <c:showLegendKey val="0"/>
          <c:showVal val="0"/>
          <c:showCatName val="0"/>
          <c:showSerName val="0"/>
          <c:showPercent val="0"/>
          <c:showBubbleSize val="0"/>
        </c:dLbls>
        <c:gapWidth val="150"/>
        <c:axId val="76766208"/>
        <c:axId val="89259392"/>
      </c:barChart>
      <c:catAx>
        <c:axId val="76766208"/>
        <c:scaling>
          <c:orientation val="minMax"/>
        </c:scaling>
        <c:delete val="0"/>
        <c:axPos val="b"/>
        <c:numFmt formatCode="General" sourceLinked="1"/>
        <c:majorTickMark val="out"/>
        <c:minorTickMark val="none"/>
        <c:tickLblPos val="nextTo"/>
        <c:spPr>
          <a:ln w="12700">
            <a:solidFill>
              <a:schemeClr val="tx1"/>
            </a:solidFill>
          </a:ln>
        </c:spPr>
        <c:txPr>
          <a:bodyPr rot="-2700000"/>
          <a:lstStyle/>
          <a:p>
            <a:pPr>
              <a:defRPr>
                <a:latin typeface="Arial" pitchFamily="34" charset="0"/>
                <a:cs typeface="Arial" pitchFamily="34" charset="0"/>
              </a:defRPr>
            </a:pPr>
            <a:endParaRPr lang="en-US"/>
          </a:p>
        </c:txPr>
        <c:crossAx val="89259392"/>
        <c:crosses val="autoZero"/>
        <c:auto val="1"/>
        <c:lblAlgn val="ctr"/>
        <c:lblOffset val="100"/>
        <c:noMultiLvlLbl val="0"/>
      </c:catAx>
      <c:valAx>
        <c:axId val="89259392"/>
        <c:scaling>
          <c:orientation val="minMax"/>
        </c:scaling>
        <c:delete val="0"/>
        <c:axPos val="l"/>
        <c:majorGridlines>
          <c:spPr>
            <a:ln w="6350"/>
          </c:spPr>
        </c:majorGridlines>
        <c:numFmt formatCode="General" sourceLinked="1"/>
        <c:majorTickMark val="in"/>
        <c:minorTickMark val="none"/>
        <c:tickLblPos val="nextTo"/>
        <c:spPr>
          <a:ln w="6350">
            <a:solidFill>
              <a:sysClr val="windowText" lastClr="000000"/>
            </a:solidFill>
          </a:ln>
        </c:spPr>
        <c:txPr>
          <a:bodyPr/>
          <a:lstStyle/>
          <a:p>
            <a:pPr>
              <a:defRPr>
                <a:latin typeface="Arial" pitchFamily="34" charset="0"/>
                <a:cs typeface="Arial" pitchFamily="34" charset="0"/>
              </a:defRPr>
            </a:pPr>
            <a:endParaRPr lang="en-US"/>
          </a:p>
        </c:txPr>
        <c:crossAx val="76766208"/>
        <c:crosses val="autoZero"/>
        <c:crossBetween val="between"/>
      </c:valAx>
      <c:spPr>
        <a:ln w="12700">
          <a:solidFill>
            <a:schemeClr val="tx1"/>
          </a:solidFill>
        </a:ln>
      </c:spPr>
    </c:plotArea>
    <c:legend>
      <c:legendPos val="b"/>
      <c:layout>
        <c:manualLayout>
          <c:xMode val="edge"/>
          <c:yMode val="edge"/>
          <c:x val="0.33932832720234296"/>
          <c:y val="0.91084347789859599"/>
          <c:w val="0.30046182855301934"/>
          <c:h val="7.1319658710372796E-2"/>
        </c:manualLayout>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v>Canada</c:v>
          </c:tx>
          <c:spPr>
            <a:ln w="25400">
              <a:solidFill>
                <a:schemeClr val="tx1"/>
              </a:solidFill>
            </a:ln>
          </c:spPr>
          <c:marker>
            <c:symbol val="none"/>
          </c:marker>
          <c:cat>
            <c:numRef>
              <c:f>'WIPO graphs'!$A$90:$A$105</c:f>
              <c:numCache>
                <c:formatCode>General</c:formatCode>
                <c:ptCount val="16"/>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numCache>
            </c:numRef>
          </c:cat>
          <c:val>
            <c:numRef>
              <c:f>'WIPO graphs'!$D$90:$D$105</c:f>
              <c:numCache>
                <c:formatCode>0</c:formatCode>
                <c:ptCount val="16"/>
                <c:pt idx="0">
                  <c:v>9139</c:v>
                </c:pt>
                <c:pt idx="1">
                  <c:v>7145</c:v>
                </c:pt>
                <c:pt idx="2">
                  <c:v>7283</c:v>
                </c:pt>
                <c:pt idx="3">
                  <c:v>9572</c:v>
                </c:pt>
                <c:pt idx="4">
                  <c:v>13778</c:v>
                </c:pt>
                <c:pt idx="5">
                  <c:v>12125</c:v>
                </c:pt>
                <c:pt idx="6">
                  <c:v>12019</c:v>
                </c:pt>
                <c:pt idx="7">
                  <c:v>8910</c:v>
                </c:pt>
                <c:pt idx="8">
                  <c:v>11551</c:v>
                </c:pt>
                <c:pt idx="9">
                  <c:v>13077</c:v>
                </c:pt>
                <c:pt idx="10">
                  <c:v>15516</c:v>
                </c:pt>
                <c:pt idx="11">
                  <c:v>14972</c:v>
                </c:pt>
                <c:pt idx="12">
                  <c:v>18550</c:v>
                </c:pt>
                <c:pt idx="13">
                  <c:v>18703</c:v>
                </c:pt>
                <c:pt idx="14">
                  <c:v>19497</c:v>
                </c:pt>
                <c:pt idx="15">
                  <c:v>19120</c:v>
                </c:pt>
              </c:numCache>
            </c:numRef>
          </c:val>
          <c:smooth val="0"/>
        </c:ser>
        <c:ser>
          <c:idx val="1"/>
          <c:order val="1"/>
          <c:tx>
            <c:v>China</c:v>
          </c:tx>
          <c:spPr>
            <a:ln w="22225">
              <a:solidFill>
                <a:schemeClr val="tx1"/>
              </a:solidFill>
              <a:prstDash val="lgDashDotDot"/>
            </a:ln>
          </c:spPr>
          <c:marker>
            <c:symbol val="none"/>
          </c:marker>
          <c:cat>
            <c:numRef>
              <c:f>'WIPO graphs'!$A$90:$A$105</c:f>
              <c:numCache>
                <c:formatCode>General</c:formatCode>
                <c:ptCount val="16"/>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numCache>
            </c:numRef>
          </c:cat>
          <c:val>
            <c:numRef>
              <c:f>'WIPO graphs'!$G$90:$G$105</c:f>
              <c:numCache>
                <c:formatCode>0</c:formatCode>
                <c:ptCount val="16"/>
                <c:pt idx="0">
                  <c:v>3393</c:v>
                </c:pt>
                <c:pt idx="1">
                  <c:v>2976</c:v>
                </c:pt>
                <c:pt idx="2">
                  <c:v>3494</c:v>
                </c:pt>
                <c:pt idx="3">
                  <c:v>4735</c:v>
                </c:pt>
                <c:pt idx="4">
                  <c:v>7637</c:v>
                </c:pt>
                <c:pt idx="5">
                  <c:v>13058</c:v>
                </c:pt>
                <c:pt idx="6">
                  <c:v>16296</c:v>
                </c:pt>
                <c:pt idx="7">
                  <c:v>21257</c:v>
                </c:pt>
                <c:pt idx="8">
                  <c:v>37154</c:v>
                </c:pt>
                <c:pt idx="9">
                  <c:v>49360</c:v>
                </c:pt>
                <c:pt idx="10">
                  <c:v>53305</c:v>
                </c:pt>
                <c:pt idx="11">
                  <c:v>57786</c:v>
                </c:pt>
                <c:pt idx="12">
                  <c:v>67948</c:v>
                </c:pt>
                <c:pt idx="13">
                  <c:v>93706</c:v>
                </c:pt>
                <c:pt idx="14">
                  <c:v>128389</c:v>
                </c:pt>
                <c:pt idx="15">
                  <c:v>135110</c:v>
                </c:pt>
              </c:numCache>
            </c:numRef>
          </c:val>
          <c:smooth val="0"/>
        </c:ser>
        <c:ser>
          <c:idx val="2"/>
          <c:order val="2"/>
          <c:tx>
            <c:v>Germany</c:v>
          </c:tx>
          <c:spPr>
            <a:ln w="25400">
              <a:solidFill>
                <a:schemeClr val="tx1"/>
              </a:solidFill>
              <a:prstDash val="sysDash"/>
            </a:ln>
          </c:spPr>
          <c:marker>
            <c:symbol val="none"/>
          </c:marker>
          <c:cat>
            <c:numRef>
              <c:f>'WIPO graphs'!$A$90:$A$105</c:f>
              <c:numCache>
                <c:formatCode>General</c:formatCode>
                <c:ptCount val="16"/>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numCache>
            </c:numRef>
          </c:cat>
          <c:val>
            <c:numRef>
              <c:f>'WIPO graphs'!$H$90:$H$105</c:f>
              <c:numCache>
                <c:formatCode>#,##0</c:formatCode>
                <c:ptCount val="16"/>
                <c:pt idx="0">
                  <c:v>16000</c:v>
                </c:pt>
                <c:pt idx="1">
                  <c:v>16393</c:v>
                </c:pt>
                <c:pt idx="2">
                  <c:v>16333</c:v>
                </c:pt>
                <c:pt idx="3">
                  <c:v>15836</c:v>
                </c:pt>
                <c:pt idx="4">
                  <c:v>15008</c:v>
                </c:pt>
                <c:pt idx="5">
                  <c:v>14707</c:v>
                </c:pt>
                <c:pt idx="6">
                  <c:v>14351</c:v>
                </c:pt>
                <c:pt idx="7">
                  <c:v>14860</c:v>
                </c:pt>
                <c:pt idx="8">
                  <c:v>17434</c:v>
                </c:pt>
                <c:pt idx="9">
                  <c:v>16661</c:v>
                </c:pt>
                <c:pt idx="10">
                  <c:v>17063</c:v>
                </c:pt>
                <c:pt idx="11">
                  <c:v>21034</c:v>
                </c:pt>
                <c:pt idx="12">
                  <c:v>17739</c:v>
                </c:pt>
                <c:pt idx="13">
                  <c:v>17308</c:v>
                </c:pt>
                <c:pt idx="14">
                  <c:v>14435</c:v>
                </c:pt>
                <c:pt idx="15">
                  <c:v>13678</c:v>
                </c:pt>
              </c:numCache>
            </c:numRef>
          </c:val>
          <c:smooth val="0"/>
        </c:ser>
        <c:ser>
          <c:idx val="3"/>
          <c:order val="3"/>
          <c:tx>
            <c:v>Japan</c:v>
          </c:tx>
          <c:spPr>
            <a:ln w="25400">
              <a:solidFill>
                <a:schemeClr val="tx1"/>
              </a:solidFill>
              <a:prstDash val="lgDashDot"/>
            </a:ln>
          </c:spPr>
          <c:marker>
            <c:symbol val="none"/>
          </c:marker>
          <c:cat>
            <c:numRef>
              <c:f>'WIPO graphs'!$A$90:$A$105</c:f>
              <c:numCache>
                <c:formatCode>General</c:formatCode>
                <c:ptCount val="16"/>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numCache>
            </c:numRef>
          </c:cat>
          <c:val>
            <c:numRef>
              <c:f>'WIPO graphs'!$K$90:$K$105</c:f>
              <c:numCache>
                <c:formatCode>0</c:formatCode>
                <c:ptCount val="16"/>
                <c:pt idx="0">
                  <c:v>109100</c:v>
                </c:pt>
                <c:pt idx="1">
                  <c:v>215100</c:v>
                </c:pt>
                <c:pt idx="2">
                  <c:v>147686</c:v>
                </c:pt>
                <c:pt idx="3">
                  <c:v>141448</c:v>
                </c:pt>
                <c:pt idx="4">
                  <c:v>150059</c:v>
                </c:pt>
                <c:pt idx="5">
                  <c:v>125880</c:v>
                </c:pt>
                <c:pt idx="6">
                  <c:v>121742</c:v>
                </c:pt>
                <c:pt idx="7">
                  <c:v>119192</c:v>
                </c:pt>
                <c:pt idx="8">
                  <c:v>122522</c:v>
                </c:pt>
                <c:pt idx="9">
                  <c:v>124192</c:v>
                </c:pt>
                <c:pt idx="10">
                  <c:v>122944</c:v>
                </c:pt>
                <c:pt idx="11">
                  <c:v>141399</c:v>
                </c:pt>
                <c:pt idx="12">
                  <c:v>164954</c:v>
                </c:pt>
                <c:pt idx="13">
                  <c:v>176950</c:v>
                </c:pt>
                <c:pt idx="14">
                  <c:v>193349</c:v>
                </c:pt>
                <c:pt idx="15">
                  <c:v>222693</c:v>
                </c:pt>
              </c:numCache>
            </c:numRef>
          </c:val>
          <c:smooth val="0"/>
        </c:ser>
        <c:ser>
          <c:idx val="4"/>
          <c:order val="4"/>
          <c:tx>
            <c:v>United Kingdom</c:v>
          </c:tx>
          <c:spPr>
            <a:ln w="22225">
              <a:solidFill>
                <a:schemeClr val="tx1"/>
              </a:solidFill>
              <a:prstDash val="sysDot"/>
            </a:ln>
          </c:spPr>
          <c:marker>
            <c:symbol val="none"/>
          </c:marker>
          <c:cat>
            <c:numRef>
              <c:f>'WIPO graphs'!$A$90:$A$105</c:f>
              <c:numCache>
                <c:formatCode>General</c:formatCode>
                <c:ptCount val="16"/>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numCache>
            </c:numRef>
          </c:cat>
          <c:val>
            <c:numRef>
              <c:f>'WIPO graphs'!$N$90:$N$105</c:f>
              <c:numCache>
                <c:formatCode>0</c:formatCode>
                <c:ptCount val="16"/>
                <c:pt idx="0">
                  <c:v>9473</c:v>
                </c:pt>
                <c:pt idx="1">
                  <c:v>7132</c:v>
                </c:pt>
                <c:pt idx="2">
                  <c:v>7945</c:v>
                </c:pt>
                <c:pt idx="3">
                  <c:v>9249</c:v>
                </c:pt>
                <c:pt idx="4">
                  <c:v>7995</c:v>
                </c:pt>
                <c:pt idx="5">
                  <c:v>8253</c:v>
                </c:pt>
                <c:pt idx="6">
                  <c:v>7555</c:v>
                </c:pt>
                <c:pt idx="7">
                  <c:v>8636</c:v>
                </c:pt>
                <c:pt idx="8">
                  <c:v>9755</c:v>
                </c:pt>
                <c:pt idx="9">
                  <c:v>10541</c:v>
                </c:pt>
                <c:pt idx="10">
                  <c:v>10159</c:v>
                </c:pt>
                <c:pt idx="11">
                  <c:v>7907</c:v>
                </c:pt>
                <c:pt idx="12">
                  <c:v>5930</c:v>
                </c:pt>
                <c:pt idx="13">
                  <c:v>5360</c:v>
                </c:pt>
                <c:pt idx="14">
                  <c:v>5428</c:v>
                </c:pt>
                <c:pt idx="15">
                  <c:v>5594</c:v>
                </c:pt>
              </c:numCache>
            </c:numRef>
          </c:val>
          <c:smooth val="0"/>
        </c:ser>
        <c:ser>
          <c:idx val="5"/>
          <c:order val="5"/>
          <c:tx>
            <c:v>United States</c:v>
          </c:tx>
          <c:spPr>
            <a:ln w="25400">
              <a:solidFill>
                <a:schemeClr val="tx1"/>
              </a:solidFill>
              <a:prstDash val="lgDash"/>
            </a:ln>
          </c:spPr>
          <c:marker>
            <c:symbol val="none"/>
          </c:marker>
          <c:cat>
            <c:numRef>
              <c:f>'WIPO graphs'!$A$90:$A$105</c:f>
              <c:numCache>
                <c:formatCode>General</c:formatCode>
                <c:ptCount val="16"/>
                <c:pt idx="0">
                  <c:v>1995</c:v>
                </c:pt>
                <c:pt idx="1">
                  <c:v>1996</c:v>
                </c:pt>
                <c:pt idx="2">
                  <c:v>1997</c:v>
                </c:pt>
                <c:pt idx="3">
                  <c:v>1998</c:v>
                </c:pt>
                <c:pt idx="4">
                  <c:v>1999</c:v>
                </c:pt>
                <c:pt idx="5">
                  <c:v>2000</c:v>
                </c:pt>
                <c:pt idx="6">
                  <c:v>2001</c:v>
                </c:pt>
                <c:pt idx="7">
                  <c:v>2002</c:v>
                </c:pt>
                <c:pt idx="8">
                  <c:v>2003</c:v>
                </c:pt>
                <c:pt idx="9">
                  <c:v>2004</c:v>
                </c:pt>
                <c:pt idx="10">
                  <c:v>2005</c:v>
                </c:pt>
                <c:pt idx="11">
                  <c:v>2006</c:v>
                </c:pt>
                <c:pt idx="12">
                  <c:v>2007</c:v>
                </c:pt>
                <c:pt idx="13">
                  <c:v>2008</c:v>
                </c:pt>
                <c:pt idx="14">
                  <c:v>2009</c:v>
                </c:pt>
                <c:pt idx="15">
                  <c:v>2010</c:v>
                </c:pt>
              </c:numCache>
            </c:numRef>
          </c:cat>
          <c:val>
            <c:numRef>
              <c:f>'WIPO graphs'!$Q$90:$Q$105</c:f>
              <c:numCache>
                <c:formatCode>0</c:formatCode>
                <c:ptCount val="16"/>
                <c:pt idx="0">
                  <c:v>101419</c:v>
                </c:pt>
                <c:pt idx="1">
                  <c:v>109646</c:v>
                </c:pt>
                <c:pt idx="2">
                  <c:v>111984</c:v>
                </c:pt>
                <c:pt idx="3">
                  <c:v>147520</c:v>
                </c:pt>
                <c:pt idx="4">
                  <c:v>153487</c:v>
                </c:pt>
                <c:pt idx="5">
                  <c:v>157496</c:v>
                </c:pt>
                <c:pt idx="6">
                  <c:v>166038</c:v>
                </c:pt>
                <c:pt idx="7">
                  <c:v>163518</c:v>
                </c:pt>
                <c:pt idx="8">
                  <c:v>169035</c:v>
                </c:pt>
                <c:pt idx="9">
                  <c:v>164291</c:v>
                </c:pt>
                <c:pt idx="10">
                  <c:v>143806</c:v>
                </c:pt>
                <c:pt idx="11">
                  <c:v>173770</c:v>
                </c:pt>
                <c:pt idx="12">
                  <c:v>157283</c:v>
                </c:pt>
                <c:pt idx="13">
                  <c:v>157772</c:v>
                </c:pt>
                <c:pt idx="14">
                  <c:v>167349</c:v>
                </c:pt>
                <c:pt idx="15">
                  <c:v>219614</c:v>
                </c:pt>
              </c:numCache>
            </c:numRef>
          </c:val>
          <c:smooth val="0"/>
        </c:ser>
        <c:dLbls>
          <c:showLegendKey val="0"/>
          <c:showVal val="0"/>
          <c:showCatName val="0"/>
          <c:showSerName val="0"/>
          <c:showPercent val="0"/>
          <c:showBubbleSize val="0"/>
        </c:dLbls>
        <c:marker val="1"/>
        <c:smooth val="0"/>
        <c:axId val="76735616"/>
        <c:axId val="76737152"/>
      </c:lineChart>
      <c:catAx>
        <c:axId val="76735616"/>
        <c:scaling>
          <c:orientation val="minMax"/>
        </c:scaling>
        <c:delete val="0"/>
        <c:axPos val="b"/>
        <c:numFmt formatCode="General" sourceLinked="1"/>
        <c:majorTickMark val="out"/>
        <c:minorTickMark val="none"/>
        <c:tickLblPos val="nextTo"/>
        <c:spPr>
          <a:ln w="12700">
            <a:solidFill>
              <a:schemeClr val="tx1"/>
            </a:solidFill>
          </a:ln>
        </c:spPr>
        <c:txPr>
          <a:bodyPr rot="-2700000"/>
          <a:lstStyle/>
          <a:p>
            <a:pPr>
              <a:defRPr>
                <a:latin typeface="Arial" pitchFamily="34" charset="0"/>
                <a:cs typeface="Arial" pitchFamily="34" charset="0"/>
              </a:defRPr>
            </a:pPr>
            <a:endParaRPr lang="en-US"/>
          </a:p>
        </c:txPr>
        <c:crossAx val="76737152"/>
        <c:crosses val="autoZero"/>
        <c:auto val="1"/>
        <c:lblAlgn val="ctr"/>
        <c:lblOffset val="100"/>
        <c:noMultiLvlLbl val="0"/>
      </c:catAx>
      <c:valAx>
        <c:axId val="76737152"/>
        <c:scaling>
          <c:orientation val="minMax"/>
        </c:scaling>
        <c:delete val="0"/>
        <c:axPos val="l"/>
        <c:majorGridlines>
          <c:spPr>
            <a:ln w="6350"/>
          </c:spPr>
        </c:majorGridlines>
        <c:numFmt formatCode="0" sourceLinked="1"/>
        <c:majorTickMark val="in"/>
        <c:minorTickMark val="none"/>
        <c:tickLblPos val="nextTo"/>
        <c:spPr>
          <a:ln w="12700">
            <a:solidFill>
              <a:schemeClr val="tx1"/>
            </a:solidFill>
          </a:ln>
        </c:spPr>
        <c:txPr>
          <a:bodyPr/>
          <a:lstStyle/>
          <a:p>
            <a:pPr>
              <a:defRPr>
                <a:latin typeface="Arial" pitchFamily="34" charset="0"/>
                <a:cs typeface="Arial" pitchFamily="34" charset="0"/>
              </a:defRPr>
            </a:pPr>
            <a:endParaRPr lang="en-US"/>
          </a:p>
        </c:txPr>
        <c:crossAx val="76735616"/>
        <c:crosses val="autoZero"/>
        <c:crossBetween val="between"/>
        <c:dispUnits>
          <c:builtInUnit val="thousands"/>
          <c:dispUnitsLbl>
            <c:layout>
              <c:manualLayout>
                <c:xMode val="edge"/>
                <c:yMode val="edge"/>
                <c:x val="1.3986062087066703E-2"/>
                <c:y val="0.31488948749827322"/>
              </c:manualLayout>
            </c:layout>
            <c:tx>
              <c:rich>
                <a:bodyPr/>
                <a:lstStyle/>
                <a:p>
                  <a:pPr>
                    <a:defRPr>
                      <a:latin typeface="Arial" pitchFamily="34" charset="0"/>
                      <a:cs typeface="Arial" pitchFamily="34" charset="0"/>
                    </a:defRPr>
                  </a:pPr>
                  <a:r>
                    <a:rPr lang="en-AU">
                      <a:latin typeface="Arial" pitchFamily="34" charset="0"/>
                      <a:cs typeface="Arial" pitchFamily="34" charset="0"/>
                    </a:rPr>
                    <a:t> Thousands</a:t>
                  </a:r>
                </a:p>
              </c:rich>
            </c:tx>
          </c:dispUnitsLbl>
        </c:dispUnits>
      </c:valAx>
      <c:spPr>
        <a:ln w="12700">
          <a:solidFill>
            <a:schemeClr val="tx1"/>
          </a:solidFill>
        </a:ln>
      </c:spPr>
    </c:plotArea>
    <c:legend>
      <c:legendPos val="b"/>
      <c:layout>
        <c:manualLayout>
          <c:xMode val="edge"/>
          <c:yMode val="edge"/>
          <c:x val="0.14574712643678164"/>
          <c:y val="0.84812957590827465"/>
          <c:w val="0.70786206896551729"/>
          <c:h val="0.14309849426716398"/>
        </c:manualLayout>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5159154089103"/>
          <c:y val="4.3912175648702596E-2"/>
          <c:w val="0.85773055632371276"/>
          <c:h val="0.4416885913212944"/>
        </c:manualLayout>
      </c:layout>
      <c:barChart>
        <c:barDir val="col"/>
        <c:grouping val="clustered"/>
        <c:varyColors val="0"/>
        <c:ser>
          <c:idx val="0"/>
          <c:order val="0"/>
          <c:tx>
            <c:strRef>
              <c:f>'PatVal-EU'!$B$3</c:f>
              <c:strCache>
                <c:ptCount val="1"/>
                <c:pt idx="0">
                  <c:v>Internal use only</c:v>
                </c:pt>
              </c:strCache>
            </c:strRef>
          </c:tx>
          <c:spPr>
            <a:solidFill>
              <a:schemeClr val="tx1">
                <a:lumMod val="50000"/>
                <a:lumOff val="50000"/>
              </a:schemeClr>
            </a:solidFill>
          </c:spPr>
          <c:invertIfNegative val="0"/>
          <c:cat>
            <c:strRef>
              <c:f>'PatVal-EU'!$A$5:$A$13</c:f>
              <c:strCache>
                <c:ptCount val="9"/>
                <c:pt idx="0">
                  <c:v>Large companies</c:v>
                </c:pt>
                <c:pt idx="1">
                  <c:v>Medium-sized companies</c:v>
                </c:pt>
                <c:pt idx="2">
                  <c:v>Small companies</c:v>
                </c:pt>
                <c:pt idx="3">
                  <c:v>Private research institutions</c:v>
                </c:pt>
                <c:pt idx="4">
                  <c:v>Public research institutions</c:v>
                </c:pt>
                <c:pt idx="5">
                  <c:v>Universities</c:v>
                </c:pt>
                <c:pt idx="6">
                  <c:v>Other government institutions</c:v>
                </c:pt>
                <c:pt idx="7">
                  <c:v>Other</c:v>
                </c:pt>
                <c:pt idx="8">
                  <c:v>All organisations</c:v>
                </c:pt>
              </c:strCache>
            </c:strRef>
          </c:cat>
          <c:val>
            <c:numRef>
              <c:f>'PatVal-EU'!$B$5:$B$13</c:f>
              <c:numCache>
                <c:formatCode>General</c:formatCode>
                <c:ptCount val="9"/>
                <c:pt idx="0">
                  <c:v>50</c:v>
                </c:pt>
                <c:pt idx="1">
                  <c:v>66</c:v>
                </c:pt>
                <c:pt idx="2">
                  <c:v>56</c:v>
                </c:pt>
                <c:pt idx="3">
                  <c:v>17</c:v>
                </c:pt>
                <c:pt idx="4">
                  <c:v>22</c:v>
                </c:pt>
                <c:pt idx="5">
                  <c:v>26</c:v>
                </c:pt>
                <c:pt idx="6">
                  <c:v>42</c:v>
                </c:pt>
                <c:pt idx="7">
                  <c:v>34</c:v>
                </c:pt>
                <c:pt idx="8">
                  <c:v>51</c:v>
                </c:pt>
              </c:numCache>
            </c:numRef>
          </c:val>
        </c:ser>
        <c:ser>
          <c:idx val="1"/>
          <c:order val="1"/>
          <c:tx>
            <c:strRef>
              <c:f>'PatVal-EU'!$C$3</c:f>
              <c:strCache>
                <c:ptCount val="1"/>
                <c:pt idx="0">
                  <c:v>Blocking competitors</c:v>
                </c:pt>
              </c:strCache>
            </c:strRef>
          </c:tx>
          <c:spPr>
            <a:solidFill>
              <a:schemeClr val="tx1"/>
            </a:solidFill>
          </c:spPr>
          <c:invertIfNegative val="0"/>
          <c:cat>
            <c:strRef>
              <c:f>'PatVal-EU'!$A$5:$A$13</c:f>
              <c:strCache>
                <c:ptCount val="9"/>
                <c:pt idx="0">
                  <c:v>Large companies</c:v>
                </c:pt>
                <c:pt idx="1">
                  <c:v>Medium-sized companies</c:v>
                </c:pt>
                <c:pt idx="2">
                  <c:v>Small companies</c:v>
                </c:pt>
                <c:pt idx="3">
                  <c:v>Private research institutions</c:v>
                </c:pt>
                <c:pt idx="4">
                  <c:v>Public research institutions</c:v>
                </c:pt>
                <c:pt idx="5">
                  <c:v>Universities</c:v>
                </c:pt>
                <c:pt idx="6">
                  <c:v>Other government institutions</c:v>
                </c:pt>
                <c:pt idx="7">
                  <c:v>Other</c:v>
                </c:pt>
                <c:pt idx="8">
                  <c:v>All organisations</c:v>
                </c:pt>
              </c:strCache>
            </c:strRef>
          </c:cat>
          <c:val>
            <c:numRef>
              <c:f>'PatVal-EU'!$C$5:$C$13</c:f>
              <c:numCache>
                <c:formatCode>General</c:formatCode>
                <c:ptCount val="9"/>
                <c:pt idx="0">
                  <c:v>22</c:v>
                </c:pt>
                <c:pt idx="1">
                  <c:v>14</c:v>
                </c:pt>
                <c:pt idx="2">
                  <c:v>10</c:v>
                </c:pt>
                <c:pt idx="3">
                  <c:v>19</c:v>
                </c:pt>
                <c:pt idx="4">
                  <c:v>11</c:v>
                </c:pt>
                <c:pt idx="5">
                  <c:v>14</c:v>
                </c:pt>
                <c:pt idx="6">
                  <c:v>8</c:v>
                </c:pt>
                <c:pt idx="7">
                  <c:v>13</c:v>
                </c:pt>
                <c:pt idx="8">
                  <c:v>19</c:v>
                </c:pt>
              </c:numCache>
            </c:numRef>
          </c:val>
        </c:ser>
        <c:ser>
          <c:idx val="2"/>
          <c:order val="2"/>
          <c:tx>
            <c:strRef>
              <c:f>'PatVal-EU'!$D$3</c:f>
              <c:strCache>
                <c:ptCount val="1"/>
                <c:pt idx="0">
                  <c:v>Sleeping patents</c:v>
                </c:pt>
              </c:strCache>
            </c:strRef>
          </c:tx>
          <c:spPr>
            <a:pattFill prst="dkDnDiag">
              <a:fgClr>
                <a:schemeClr val="tx1"/>
              </a:fgClr>
              <a:bgClr>
                <a:schemeClr val="bg1"/>
              </a:bgClr>
            </a:pattFill>
          </c:spPr>
          <c:invertIfNegative val="0"/>
          <c:cat>
            <c:strRef>
              <c:f>'PatVal-EU'!$A$5:$A$13</c:f>
              <c:strCache>
                <c:ptCount val="9"/>
                <c:pt idx="0">
                  <c:v>Large companies</c:v>
                </c:pt>
                <c:pt idx="1">
                  <c:v>Medium-sized companies</c:v>
                </c:pt>
                <c:pt idx="2">
                  <c:v>Small companies</c:v>
                </c:pt>
                <c:pt idx="3">
                  <c:v>Private research institutions</c:v>
                </c:pt>
                <c:pt idx="4">
                  <c:v>Public research institutions</c:v>
                </c:pt>
                <c:pt idx="5">
                  <c:v>Universities</c:v>
                </c:pt>
                <c:pt idx="6">
                  <c:v>Other government institutions</c:v>
                </c:pt>
                <c:pt idx="7">
                  <c:v>Other</c:v>
                </c:pt>
                <c:pt idx="8">
                  <c:v>All organisations</c:v>
                </c:pt>
              </c:strCache>
            </c:strRef>
          </c:cat>
          <c:val>
            <c:numRef>
              <c:f>'PatVal-EU'!$D$5:$D$13</c:f>
              <c:numCache>
                <c:formatCode>General</c:formatCode>
                <c:ptCount val="9"/>
                <c:pt idx="0">
                  <c:v>19</c:v>
                </c:pt>
                <c:pt idx="1">
                  <c:v>10</c:v>
                </c:pt>
                <c:pt idx="2">
                  <c:v>9</c:v>
                </c:pt>
                <c:pt idx="3">
                  <c:v>23</c:v>
                </c:pt>
                <c:pt idx="4">
                  <c:v>34</c:v>
                </c:pt>
                <c:pt idx="5">
                  <c:v>28</c:v>
                </c:pt>
                <c:pt idx="6">
                  <c:v>25</c:v>
                </c:pt>
                <c:pt idx="7">
                  <c:v>23</c:v>
                </c:pt>
                <c:pt idx="8">
                  <c:v>18</c:v>
                </c:pt>
              </c:numCache>
            </c:numRef>
          </c:val>
        </c:ser>
        <c:dLbls>
          <c:showLegendKey val="0"/>
          <c:showVal val="0"/>
          <c:showCatName val="0"/>
          <c:showSerName val="0"/>
          <c:showPercent val="0"/>
          <c:showBubbleSize val="0"/>
        </c:dLbls>
        <c:gapWidth val="150"/>
        <c:axId val="76854400"/>
        <c:axId val="76855936"/>
      </c:barChart>
      <c:catAx>
        <c:axId val="76854400"/>
        <c:scaling>
          <c:orientation val="minMax"/>
        </c:scaling>
        <c:delete val="0"/>
        <c:axPos val="b"/>
        <c:majorTickMark val="out"/>
        <c:minorTickMark val="none"/>
        <c:tickLblPos val="nextTo"/>
        <c:spPr>
          <a:ln w="12700">
            <a:solidFill>
              <a:schemeClr val="tx1"/>
            </a:solidFill>
          </a:ln>
        </c:spPr>
        <c:txPr>
          <a:bodyPr/>
          <a:lstStyle/>
          <a:p>
            <a:pPr>
              <a:defRPr>
                <a:latin typeface="Arial" pitchFamily="34" charset="0"/>
                <a:cs typeface="Arial" pitchFamily="34" charset="0"/>
              </a:defRPr>
            </a:pPr>
            <a:endParaRPr lang="en-US"/>
          </a:p>
        </c:txPr>
        <c:crossAx val="76855936"/>
        <c:crosses val="autoZero"/>
        <c:auto val="1"/>
        <c:lblAlgn val="ctr"/>
        <c:lblOffset val="100"/>
        <c:noMultiLvlLbl val="0"/>
      </c:catAx>
      <c:valAx>
        <c:axId val="76855936"/>
        <c:scaling>
          <c:orientation val="minMax"/>
        </c:scaling>
        <c:delete val="0"/>
        <c:axPos val="l"/>
        <c:majorGridlines/>
        <c:title>
          <c:tx>
            <c:rich>
              <a:bodyPr rot="-5400000" vert="horz"/>
              <a:lstStyle/>
              <a:p>
                <a:pPr>
                  <a:defRPr/>
                </a:pPr>
                <a:r>
                  <a:rPr lang="en-AU">
                    <a:latin typeface="Arial" pitchFamily="34" charset="0"/>
                    <a:cs typeface="Arial" pitchFamily="34" charset="0"/>
                  </a:rPr>
                  <a:t>Per cent of patent use</a:t>
                </a:r>
              </a:p>
            </c:rich>
          </c:tx>
          <c:layout>
            <c:manualLayout>
              <c:xMode val="edge"/>
              <c:yMode val="edge"/>
              <c:x val="1.4787430683918669E-2"/>
              <c:y val="2.7944111776447105E-2"/>
            </c:manualLayout>
          </c:layout>
          <c:overlay val="0"/>
        </c:title>
        <c:numFmt formatCode="General" sourceLinked="1"/>
        <c:majorTickMark val="in"/>
        <c:minorTickMark val="none"/>
        <c:tickLblPos val="nextTo"/>
        <c:spPr>
          <a:ln w="12700">
            <a:solidFill>
              <a:schemeClr val="tx1"/>
            </a:solidFill>
          </a:ln>
        </c:spPr>
        <c:txPr>
          <a:bodyPr/>
          <a:lstStyle/>
          <a:p>
            <a:pPr>
              <a:defRPr>
                <a:latin typeface="Arial" pitchFamily="34" charset="0"/>
                <a:cs typeface="Arial" pitchFamily="34" charset="0"/>
              </a:defRPr>
            </a:pPr>
            <a:endParaRPr lang="en-US"/>
          </a:p>
        </c:txPr>
        <c:crossAx val="76854400"/>
        <c:crosses val="autoZero"/>
        <c:crossBetween val="between"/>
      </c:valAx>
      <c:spPr>
        <a:ln w="12700">
          <a:solidFill>
            <a:schemeClr val="tx1"/>
          </a:solidFill>
        </a:ln>
      </c:spPr>
    </c:plotArea>
    <c:legend>
      <c:legendPos val="b"/>
      <c:layout>
        <c:manualLayout>
          <c:xMode val="edge"/>
          <c:yMode val="edge"/>
          <c:x val="0.1221936629455514"/>
          <c:y val="0.92642588838071893"/>
          <c:w val="0.79935649448624846"/>
          <c:h val="6.8116680025775228E-2"/>
        </c:manualLayout>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127174623618145"/>
          <c:y val="4.6413502109704644E-2"/>
          <c:w val="0.85146679155811844"/>
          <c:h val="0.49948270706667997"/>
        </c:manualLayout>
      </c:layout>
      <c:barChart>
        <c:barDir val="col"/>
        <c:grouping val="clustered"/>
        <c:varyColors val="0"/>
        <c:ser>
          <c:idx val="0"/>
          <c:order val="0"/>
          <c:tx>
            <c:strRef>
              <c:f>'Sadao &amp; Walsh'!$B$4</c:f>
              <c:strCache>
                <c:ptCount val="1"/>
                <c:pt idx="0">
                  <c:v>Japan</c:v>
                </c:pt>
              </c:strCache>
            </c:strRef>
          </c:tx>
          <c:spPr>
            <a:solidFill>
              <a:schemeClr val="tx1"/>
            </a:solidFill>
          </c:spPr>
          <c:invertIfNegative val="0"/>
          <c:cat>
            <c:strRef>
              <c:f>'Sadao &amp; Walsh'!$A$5:$A$10</c:f>
              <c:strCache>
                <c:ptCount val="6"/>
                <c:pt idx="0">
                  <c:v>Any commercialisation</c:v>
                </c:pt>
                <c:pt idx="1">
                  <c:v>Use for own product</c:v>
                </c:pt>
                <c:pt idx="2">
                  <c:v>Internal use only</c:v>
                </c:pt>
                <c:pt idx="3">
                  <c:v>Licensed</c:v>
                </c:pt>
                <c:pt idx="4">
                  <c:v>Cross-licence included</c:v>
                </c:pt>
                <c:pt idx="5">
                  <c:v>Use for new company</c:v>
                </c:pt>
              </c:strCache>
            </c:strRef>
          </c:cat>
          <c:val>
            <c:numRef>
              <c:f>'Sadao &amp; Walsh'!$B$5:$B$10</c:f>
              <c:numCache>
                <c:formatCode>General</c:formatCode>
                <c:ptCount val="6"/>
                <c:pt idx="0">
                  <c:v>62</c:v>
                </c:pt>
                <c:pt idx="1">
                  <c:v>54</c:v>
                </c:pt>
                <c:pt idx="2">
                  <c:v>35</c:v>
                </c:pt>
                <c:pt idx="3">
                  <c:v>21</c:v>
                </c:pt>
                <c:pt idx="4">
                  <c:v>28</c:v>
                </c:pt>
                <c:pt idx="5">
                  <c:v>4</c:v>
                </c:pt>
              </c:numCache>
            </c:numRef>
          </c:val>
        </c:ser>
        <c:ser>
          <c:idx val="1"/>
          <c:order val="1"/>
          <c:tx>
            <c:strRef>
              <c:f>'Sadao &amp; Walsh'!$C$4</c:f>
              <c:strCache>
                <c:ptCount val="1"/>
                <c:pt idx="0">
                  <c:v>United States</c:v>
                </c:pt>
              </c:strCache>
            </c:strRef>
          </c:tx>
          <c:spPr>
            <a:solidFill>
              <a:schemeClr val="bg1">
                <a:lumMod val="50000"/>
              </a:schemeClr>
            </a:solidFill>
          </c:spPr>
          <c:invertIfNegative val="0"/>
          <c:cat>
            <c:strRef>
              <c:f>'Sadao &amp; Walsh'!$A$5:$A$10</c:f>
              <c:strCache>
                <c:ptCount val="6"/>
                <c:pt idx="0">
                  <c:v>Any commercialisation</c:v>
                </c:pt>
                <c:pt idx="1">
                  <c:v>Use for own product</c:v>
                </c:pt>
                <c:pt idx="2">
                  <c:v>Internal use only</c:v>
                </c:pt>
                <c:pt idx="3">
                  <c:v>Licensed</c:v>
                </c:pt>
                <c:pt idx="4">
                  <c:v>Cross-licence included</c:v>
                </c:pt>
                <c:pt idx="5">
                  <c:v>Use for new company</c:v>
                </c:pt>
              </c:strCache>
            </c:strRef>
          </c:cat>
          <c:val>
            <c:numRef>
              <c:f>'Sadao &amp; Walsh'!$C$5:$C$10</c:f>
              <c:numCache>
                <c:formatCode>General</c:formatCode>
                <c:ptCount val="6"/>
                <c:pt idx="0">
                  <c:v>62</c:v>
                </c:pt>
                <c:pt idx="1">
                  <c:v>50</c:v>
                </c:pt>
                <c:pt idx="2">
                  <c:v>40</c:v>
                </c:pt>
                <c:pt idx="3">
                  <c:v>14</c:v>
                </c:pt>
                <c:pt idx="4">
                  <c:v>25</c:v>
                </c:pt>
                <c:pt idx="5">
                  <c:v>7</c:v>
                </c:pt>
              </c:numCache>
            </c:numRef>
          </c:val>
        </c:ser>
        <c:dLbls>
          <c:showLegendKey val="0"/>
          <c:showVal val="0"/>
          <c:showCatName val="0"/>
          <c:showSerName val="0"/>
          <c:showPercent val="0"/>
          <c:showBubbleSize val="0"/>
        </c:dLbls>
        <c:gapWidth val="150"/>
        <c:axId val="76868992"/>
        <c:axId val="76940416"/>
      </c:barChart>
      <c:catAx>
        <c:axId val="76868992"/>
        <c:scaling>
          <c:orientation val="minMax"/>
        </c:scaling>
        <c:delete val="0"/>
        <c:axPos val="b"/>
        <c:majorTickMark val="out"/>
        <c:minorTickMark val="none"/>
        <c:tickLblPos val="nextTo"/>
        <c:spPr>
          <a:ln w="12700">
            <a:solidFill>
              <a:schemeClr val="tx1"/>
            </a:solidFill>
          </a:ln>
        </c:spPr>
        <c:txPr>
          <a:bodyPr/>
          <a:lstStyle/>
          <a:p>
            <a:pPr>
              <a:defRPr>
                <a:latin typeface="Arial" pitchFamily="34" charset="0"/>
                <a:cs typeface="Arial" pitchFamily="34" charset="0"/>
              </a:defRPr>
            </a:pPr>
            <a:endParaRPr lang="en-US"/>
          </a:p>
        </c:txPr>
        <c:crossAx val="76940416"/>
        <c:crosses val="autoZero"/>
        <c:auto val="1"/>
        <c:lblAlgn val="ctr"/>
        <c:lblOffset val="100"/>
        <c:noMultiLvlLbl val="0"/>
      </c:catAx>
      <c:valAx>
        <c:axId val="76940416"/>
        <c:scaling>
          <c:orientation val="minMax"/>
        </c:scaling>
        <c:delete val="0"/>
        <c:axPos val="l"/>
        <c:majorGridlines>
          <c:spPr>
            <a:ln w="6350"/>
          </c:spPr>
        </c:majorGridlines>
        <c:title>
          <c:tx>
            <c:rich>
              <a:bodyPr rot="-5400000" vert="horz"/>
              <a:lstStyle/>
              <a:p>
                <a:pPr>
                  <a:defRPr/>
                </a:pPr>
                <a:r>
                  <a:rPr lang="en-AU">
                    <a:latin typeface="Arial" pitchFamily="34" charset="0"/>
                    <a:cs typeface="Arial" pitchFamily="34" charset="0"/>
                  </a:rPr>
                  <a:t>Per cent</a:t>
                </a:r>
              </a:p>
            </c:rich>
          </c:tx>
          <c:layout>
            <c:manualLayout>
              <c:xMode val="edge"/>
              <c:yMode val="edge"/>
              <c:x val="1.2391573729863693E-2"/>
              <c:y val="0.18493106083258581"/>
            </c:manualLayout>
          </c:layout>
          <c:overlay val="0"/>
        </c:title>
        <c:numFmt formatCode="General" sourceLinked="1"/>
        <c:majorTickMark val="in"/>
        <c:minorTickMark val="none"/>
        <c:tickLblPos val="nextTo"/>
        <c:spPr>
          <a:ln w="12700">
            <a:solidFill>
              <a:schemeClr val="tx1"/>
            </a:solidFill>
          </a:ln>
        </c:spPr>
        <c:txPr>
          <a:bodyPr/>
          <a:lstStyle/>
          <a:p>
            <a:pPr>
              <a:defRPr>
                <a:latin typeface="Arial" pitchFamily="34" charset="0"/>
                <a:cs typeface="Arial" pitchFamily="34" charset="0"/>
              </a:defRPr>
            </a:pPr>
            <a:endParaRPr lang="en-US"/>
          </a:p>
        </c:txPr>
        <c:crossAx val="76868992"/>
        <c:crosses val="autoZero"/>
        <c:crossBetween val="between"/>
      </c:valAx>
      <c:spPr>
        <a:ln w="12700">
          <a:solidFill>
            <a:schemeClr val="tx1"/>
          </a:solidFill>
        </a:ln>
      </c:spPr>
    </c:plotArea>
    <c:legend>
      <c:legendPos val="b"/>
      <c:layout>
        <c:manualLayout>
          <c:xMode val="edge"/>
          <c:yMode val="edge"/>
          <c:x val="0.37026607733512862"/>
          <c:y val="0.91526196883617394"/>
          <c:w val="0.27879538291914252"/>
          <c:h val="7.1996744077876346E-2"/>
        </c:manualLayout>
      </c:layout>
      <c:overlay val="0"/>
      <c:txPr>
        <a:bodyPr/>
        <a:lstStyle/>
        <a:p>
          <a:pPr>
            <a:defRPr>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7930E-4ED8-4156-85EF-21969BF0F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12815</TotalTime>
  <Pages>30</Pages>
  <Words>9422</Words>
  <Characters>53712</Characters>
  <Application>Microsoft Office Word</Application>
  <DocSecurity>0</DocSecurity>
  <Lines>447</Lines>
  <Paragraphs>126</Paragraphs>
  <ScaleCrop>false</ScaleCrop>
  <HeadingPairs>
    <vt:vector size="2" baseType="variant">
      <vt:variant>
        <vt:lpstr>Title</vt:lpstr>
      </vt:variant>
      <vt:variant>
        <vt:i4>1</vt:i4>
      </vt:variant>
    </vt:vector>
  </HeadingPairs>
  <TitlesOfParts>
    <vt:vector size="1" baseType="lpstr">
      <vt:lpstr>Current utilisation of patents </vt:lpstr>
    </vt:vector>
  </TitlesOfParts>
  <Company>Productivity Commission</Company>
  <LinksUpToDate>false</LinksUpToDate>
  <CharactersWithSpaces>63008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 utilisation of patents </dc:title>
  <dc:subject>Compulsory licensing of patents</dc:subject>
  <dc:creator>Productivity Commission</dc:creator>
  <cp:keywords/>
  <dc:description>4.</dc:description>
  <cp:lastModifiedBy>Goss, Yvette</cp:lastModifiedBy>
  <cp:revision>5787</cp:revision>
  <cp:lastPrinted>2012-12-05T05:31:00Z</cp:lastPrinted>
  <dcterms:created xsi:type="dcterms:W3CDTF">2012-08-16T06:38:00Z</dcterms:created>
  <dcterms:modified xsi:type="dcterms:W3CDTF">2012-12-05T05:31:00Z</dcterms:modified>
</cp:coreProperties>
</file>