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BE5F8F" w:rsidP="00BE5F8F">
      <w:pPr>
        <w:pStyle w:val="Heading1"/>
        <w:spacing w:before="0"/>
      </w:pPr>
      <w:bookmarkStart w:id="0" w:name="ChapterNumber"/>
      <w:bookmarkStart w:id="1" w:name="_GoBack"/>
      <w:bookmarkEnd w:id="1"/>
      <w:r>
        <w:t>5</w:t>
      </w:r>
      <w:bookmarkEnd w:id="0"/>
      <w:r>
        <w:tab/>
      </w:r>
      <w:bookmarkStart w:id="2" w:name="ChapterTitle"/>
      <w:r>
        <w:t>Specific concerns about patent access</w:t>
      </w:r>
      <w:bookmarkEnd w:id="2"/>
    </w:p>
    <w:p w:rsidR="00B46C97" w:rsidRDefault="00B46C97">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46C97">
        <w:tc>
          <w:tcPr>
            <w:tcW w:w="8771" w:type="dxa"/>
            <w:tcBorders>
              <w:top w:val="single" w:sz="6" w:space="0" w:color="auto"/>
              <w:bottom w:val="nil"/>
            </w:tcBorders>
          </w:tcPr>
          <w:p w:rsidR="00B46C97" w:rsidRDefault="00B46C97" w:rsidP="00B46C97">
            <w:pPr>
              <w:pStyle w:val="BoxTitle"/>
            </w:pPr>
            <w:r>
              <w:t>Key points</w:t>
            </w:r>
          </w:p>
        </w:tc>
      </w:tr>
      <w:tr w:rsidR="00B46C97">
        <w:trPr>
          <w:cantSplit/>
        </w:trPr>
        <w:tc>
          <w:tcPr>
            <w:tcW w:w="8771" w:type="dxa"/>
            <w:tcBorders>
              <w:top w:val="nil"/>
              <w:left w:val="single" w:sz="6" w:space="0" w:color="auto"/>
              <w:bottom w:val="nil"/>
              <w:right w:val="single" w:sz="6" w:space="0" w:color="auto"/>
            </w:tcBorders>
          </w:tcPr>
          <w:p w:rsidR="00492A86" w:rsidRDefault="0061204B" w:rsidP="00537DD7">
            <w:pPr>
              <w:pStyle w:val="BoxListBullet"/>
            </w:pPr>
            <w:r>
              <w:t xml:space="preserve">Compulsory licensing has been suggested as a way to address concerns </w:t>
            </w:r>
            <w:r w:rsidR="003B12F8">
              <w:t>that</w:t>
            </w:r>
            <w:r>
              <w:t xml:space="preserve"> patents </w:t>
            </w:r>
            <w:r w:rsidR="00C965F3">
              <w:t xml:space="preserve">could be used to </w:t>
            </w:r>
            <w:r w:rsidR="003B12F8">
              <w:t xml:space="preserve">unduly restrict access to, </w:t>
            </w:r>
            <w:r w:rsidR="00CA1E26">
              <w:t xml:space="preserve">and </w:t>
            </w:r>
            <w:r w:rsidR="003B12F8">
              <w:t>reduce the affordability of</w:t>
            </w:r>
            <w:r w:rsidR="00C965F3">
              <w:t>,</w:t>
            </w:r>
            <w:r w:rsidR="003B12F8">
              <w:t xml:space="preserve"> </w:t>
            </w:r>
            <w:r>
              <w:t>given technolog</w:t>
            </w:r>
            <w:r w:rsidR="003B12F8">
              <w:t>ies</w:t>
            </w:r>
            <w:r>
              <w:t>.</w:t>
            </w:r>
            <w:r w:rsidR="00CA1E26">
              <w:t xml:space="preserve"> </w:t>
            </w:r>
            <w:r w:rsidR="003B12F8">
              <w:t xml:space="preserve">The </w:t>
            </w:r>
            <w:r w:rsidR="00024A71">
              <w:t xml:space="preserve">Commission </w:t>
            </w:r>
            <w:r w:rsidR="003B12F8">
              <w:t>has been asked</w:t>
            </w:r>
            <w:r w:rsidR="00D230E7">
              <w:t xml:space="preserve"> to examine four specific areas — </w:t>
            </w:r>
            <w:r>
              <w:t>gene patents, standard essential patents, climate change and food security.</w:t>
            </w:r>
          </w:p>
          <w:p w:rsidR="00CC7FBC" w:rsidRPr="00537DD7" w:rsidRDefault="002577FD" w:rsidP="00537DD7">
            <w:pPr>
              <w:pStyle w:val="BoxListBullet"/>
            </w:pPr>
            <w:r>
              <w:t>Patent-</w:t>
            </w:r>
            <w:r w:rsidR="00C965F3">
              <w:t>related c</w:t>
            </w:r>
            <w:r w:rsidR="000932F4" w:rsidRPr="00537DD7">
              <w:t>ontroversy and litigation in the field of biotechnology is not new.</w:t>
            </w:r>
            <w:r w:rsidR="000932F4">
              <w:t xml:space="preserve"> </w:t>
            </w:r>
            <w:r w:rsidR="00CC7FBC" w:rsidRPr="00537DD7">
              <w:t xml:space="preserve">The current controversy over the patenting of genes has largely arisen due to high profile court cases concerning patents over the </w:t>
            </w:r>
            <w:r w:rsidR="000932F4">
              <w:t xml:space="preserve">tumour suppressor </w:t>
            </w:r>
            <w:r w:rsidR="00F672CF">
              <w:t xml:space="preserve">genes, </w:t>
            </w:r>
            <w:r w:rsidR="00CC7FBC" w:rsidRPr="00537DD7">
              <w:t xml:space="preserve">BRCA1 and BRCA2. </w:t>
            </w:r>
            <w:r w:rsidR="000932F4">
              <w:t>These genes</w:t>
            </w:r>
            <w:r w:rsidR="000932F4" w:rsidRPr="000932F4">
              <w:rPr>
                <w:rFonts w:ascii="Times New Roman" w:hAnsi="Times New Roman"/>
                <w:sz w:val="26"/>
                <w:szCs w:val="24"/>
              </w:rPr>
              <w:t xml:space="preserve"> </w:t>
            </w:r>
            <w:r w:rsidR="000932F4" w:rsidRPr="000932F4">
              <w:t>ha</w:t>
            </w:r>
            <w:r w:rsidR="000932F4">
              <w:t>ve</w:t>
            </w:r>
            <w:r w:rsidR="000932F4" w:rsidRPr="000932F4">
              <w:t xml:space="preserve"> been linked to the development of breast, prostate and ovarian cancer</w:t>
            </w:r>
            <w:r w:rsidR="000932F4">
              <w:t>.</w:t>
            </w:r>
          </w:p>
          <w:p w:rsidR="00E25124" w:rsidRPr="00537DD7" w:rsidRDefault="00F672CF" w:rsidP="00F672CF">
            <w:pPr>
              <w:pStyle w:val="BoxListBullet"/>
            </w:pPr>
            <w:r>
              <w:t>Previous r</w:t>
            </w:r>
            <w:r w:rsidR="00CC7FBC" w:rsidRPr="00537DD7">
              <w:t xml:space="preserve">eviews have not supported adding an exemption for genetic material to the </w:t>
            </w:r>
            <w:r w:rsidR="00CC7FBC" w:rsidRPr="00C965F3">
              <w:rPr>
                <w:i/>
              </w:rPr>
              <w:t>Patents Act 1990</w:t>
            </w:r>
            <w:r w:rsidR="00CC7FBC" w:rsidRPr="00537DD7">
              <w:t xml:space="preserve"> (Cwlth).</w:t>
            </w:r>
            <w:r w:rsidR="00C965F3">
              <w:t xml:space="preserve"> </w:t>
            </w:r>
            <w:r>
              <w:t>However</w:t>
            </w:r>
            <w:r w:rsidR="003970A2">
              <w:t>,</w:t>
            </w:r>
            <w:r>
              <w:t xml:space="preserve"> l</w:t>
            </w:r>
            <w:r w:rsidR="00E25124" w:rsidRPr="00537DD7">
              <w:t>ike past reviews, the Commission can see a prima facie case for efficient and effective safeguards to address concerns about the patent system’s impact on access to healthcare.</w:t>
            </w:r>
          </w:p>
          <w:p w:rsidR="00E25124" w:rsidRPr="00537DD7" w:rsidRDefault="00CC7FBC">
            <w:pPr>
              <w:pStyle w:val="BoxListBullet"/>
              <w:rPr>
                <w:szCs w:val="24"/>
              </w:rPr>
            </w:pPr>
            <w:r w:rsidRPr="00537DD7">
              <w:t xml:space="preserve">Standard essential patents can exacerbate problems associated with </w:t>
            </w:r>
            <w:r w:rsidR="00E25124" w:rsidRPr="00537DD7">
              <w:t xml:space="preserve">market power and </w:t>
            </w:r>
            <w:r w:rsidRPr="00537DD7">
              <w:t>patent thicket</w:t>
            </w:r>
            <w:r w:rsidR="00F672CF">
              <w:t>s</w:t>
            </w:r>
            <w:r w:rsidRPr="00537DD7">
              <w:t xml:space="preserve"> in telecommunications and other hi-tech industries. </w:t>
            </w:r>
          </w:p>
          <w:p w:rsidR="00CC7FBC" w:rsidRPr="00537DD7" w:rsidRDefault="00E01025">
            <w:pPr>
              <w:pStyle w:val="BoxListBullet"/>
              <w:rPr>
                <w:szCs w:val="24"/>
              </w:rPr>
            </w:pPr>
            <w:r>
              <w:t xml:space="preserve">As </w:t>
            </w:r>
            <w:r w:rsidR="00E25124" w:rsidRPr="00537DD7">
              <w:t>existing legislation</w:t>
            </w:r>
            <w:r w:rsidR="00CC7FBC" w:rsidRPr="00537DD7">
              <w:t xml:space="preserve"> </w:t>
            </w:r>
            <w:r>
              <w:t>protects</w:t>
            </w:r>
            <w:r w:rsidR="00E25124" w:rsidRPr="00537DD7">
              <w:t xml:space="preserve"> against market power abuse, </w:t>
            </w:r>
            <w:r w:rsidR="00613854" w:rsidRPr="00537DD7">
              <w:t xml:space="preserve">it </w:t>
            </w:r>
            <w:r>
              <w:t xml:space="preserve">is </w:t>
            </w:r>
            <w:r w:rsidR="00613854" w:rsidRPr="00537DD7">
              <w:t xml:space="preserve">unlikely </w:t>
            </w:r>
            <w:r w:rsidR="00024A71">
              <w:t xml:space="preserve">that </w:t>
            </w:r>
            <w:r w:rsidR="00C965F3">
              <w:t xml:space="preserve">specific </w:t>
            </w:r>
            <w:r w:rsidR="00CC7FBC" w:rsidRPr="00537DD7">
              <w:t>compulsory licensing</w:t>
            </w:r>
            <w:r w:rsidR="00C965F3">
              <w:t xml:space="preserve"> provisions</w:t>
            </w:r>
            <w:r w:rsidR="00CC7FBC" w:rsidRPr="00537DD7">
              <w:t xml:space="preserve"> </w:t>
            </w:r>
            <w:r w:rsidR="00C965F3">
              <w:t>are</w:t>
            </w:r>
            <w:r w:rsidR="00613854" w:rsidRPr="00537DD7">
              <w:t xml:space="preserve"> ne</w:t>
            </w:r>
            <w:r w:rsidR="00C965F3">
              <w:t>eded</w:t>
            </w:r>
            <w:r w:rsidR="00613854" w:rsidRPr="00537DD7">
              <w:t xml:space="preserve"> to address problems associated with standard essential patents.</w:t>
            </w:r>
            <w:r w:rsidR="00915A53" w:rsidRPr="00915A53">
              <w:rPr>
                <w:rFonts w:ascii="Times New Roman" w:hAnsi="Times New Roman"/>
                <w:sz w:val="26"/>
                <w:szCs w:val="24"/>
                <w:lang w:val="en"/>
              </w:rPr>
              <w:t xml:space="preserve"> </w:t>
            </w:r>
            <w:r w:rsidR="00915A53" w:rsidRPr="00915A53">
              <w:rPr>
                <w:lang w:val="en"/>
              </w:rPr>
              <w:t>In any case, many of the indu</w:t>
            </w:r>
            <w:r w:rsidR="003970A2">
              <w:rPr>
                <w:lang w:val="en"/>
              </w:rPr>
              <w:t>stries associated with standard</w:t>
            </w:r>
            <w:r w:rsidR="00915A53" w:rsidRPr="00915A53">
              <w:rPr>
                <w:lang w:val="en"/>
              </w:rPr>
              <w:t xml:space="preserve"> essential patents are primarily located outside of Australia.</w:t>
            </w:r>
          </w:p>
          <w:p w:rsidR="00C965F3" w:rsidRPr="00446002" w:rsidRDefault="00E01025" w:rsidP="002577FD">
            <w:pPr>
              <w:pStyle w:val="BoxListBullet"/>
            </w:pPr>
            <w:r>
              <w:t>There are more effective ways for</w:t>
            </w:r>
            <w:r w:rsidR="0091441E">
              <w:t xml:space="preserve"> </w:t>
            </w:r>
            <w:r w:rsidR="00C965F3">
              <w:t xml:space="preserve">Australia </w:t>
            </w:r>
            <w:r>
              <w:t xml:space="preserve">to </w:t>
            </w:r>
            <w:r w:rsidR="0091441E">
              <w:t xml:space="preserve">assist developing countries to address </w:t>
            </w:r>
            <w:r w:rsidR="00CC7FBC" w:rsidRPr="00537DD7">
              <w:t xml:space="preserve">climate change </w:t>
            </w:r>
            <w:r w:rsidR="0091441E">
              <w:t>and</w:t>
            </w:r>
            <w:r w:rsidR="00CC7FBC" w:rsidRPr="00537DD7">
              <w:t xml:space="preserve"> food insecurity</w:t>
            </w:r>
            <w:r w:rsidR="009D2511">
              <w:t xml:space="preserve"> </w:t>
            </w:r>
            <w:r w:rsidR="0091441E">
              <w:t xml:space="preserve">than </w:t>
            </w:r>
            <w:r w:rsidR="00C965F3">
              <w:t xml:space="preserve">changing the </w:t>
            </w:r>
            <w:r w:rsidR="003B12F8">
              <w:t>compulsory licensing</w:t>
            </w:r>
            <w:r w:rsidR="00C965F3">
              <w:t xml:space="preserve"> provisions</w:t>
            </w:r>
            <w:r w:rsidR="00351691">
              <w:t>.</w:t>
            </w:r>
            <w:r w:rsidR="00C965F3">
              <w:t xml:space="preserve"> </w:t>
            </w:r>
            <w:r w:rsidR="002577FD">
              <w:t>Moreover, d</w:t>
            </w:r>
            <w:r w:rsidR="00C965F3">
              <w:t xml:space="preserve">eveloping nations could use their own compulsory </w:t>
            </w:r>
            <w:r w:rsidR="002577FD">
              <w:t>provisions</w:t>
            </w:r>
            <w:r w:rsidR="00C965F3">
              <w:t xml:space="preserve"> if necessary.</w:t>
            </w:r>
          </w:p>
        </w:tc>
      </w:tr>
      <w:tr w:rsidR="00B46C97">
        <w:trPr>
          <w:cantSplit/>
        </w:trPr>
        <w:tc>
          <w:tcPr>
            <w:tcW w:w="8771" w:type="dxa"/>
            <w:tcBorders>
              <w:top w:val="nil"/>
              <w:left w:val="single" w:sz="6" w:space="0" w:color="auto"/>
              <w:bottom w:val="single" w:sz="6" w:space="0" w:color="auto"/>
              <w:right w:val="single" w:sz="6" w:space="0" w:color="auto"/>
            </w:tcBorders>
          </w:tcPr>
          <w:p w:rsidR="00B46C97" w:rsidRDefault="00B46C97">
            <w:pPr>
              <w:pStyle w:val="Box"/>
              <w:spacing w:before="0" w:line="120" w:lineRule="exact"/>
            </w:pPr>
          </w:p>
        </w:tc>
      </w:tr>
      <w:tr w:rsidR="00B46C97" w:rsidRPr="000863A5">
        <w:tc>
          <w:tcPr>
            <w:tcW w:w="8771" w:type="dxa"/>
            <w:tcBorders>
              <w:top w:val="nil"/>
              <w:left w:val="nil"/>
              <w:bottom w:val="nil"/>
              <w:right w:val="nil"/>
            </w:tcBorders>
          </w:tcPr>
          <w:p w:rsidR="00B46C97" w:rsidRPr="000863A5" w:rsidRDefault="00B46C97" w:rsidP="00B46C97">
            <w:pPr>
              <w:pStyle w:val="Box"/>
              <w:keepNext w:val="0"/>
              <w:spacing w:before="60" w:after="60" w:line="80" w:lineRule="exact"/>
              <w:rPr>
                <w:b/>
                <w:sz w:val="14"/>
              </w:rPr>
            </w:pPr>
          </w:p>
        </w:tc>
      </w:tr>
    </w:tbl>
    <w:p w:rsidR="00446002" w:rsidRDefault="001A2617" w:rsidP="001A2617">
      <w:pPr>
        <w:pStyle w:val="BodyText"/>
      </w:pPr>
      <w:r>
        <w:t xml:space="preserve">The terms of reference for this inquiry identify several specific areas — genes, </w:t>
      </w:r>
      <w:r w:rsidR="001A62E5">
        <w:t xml:space="preserve">standard essential patents, </w:t>
      </w:r>
      <w:r>
        <w:t>food security, climate change mitigation and alte</w:t>
      </w:r>
      <w:r w:rsidR="001A62E5">
        <w:t xml:space="preserve">rnative energy </w:t>
      </w:r>
      <w:r w:rsidR="00323696">
        <w:t>technologies</w:t>
      </w:r>
      <w:r>
        <w:t xml:space="preserve"> — whe</w:t>
      </w:r>
      <w:r w:rsidR="000300FB">
        <w:t>re the existence of patents has</w:t>
      </w:r>
      <w:r>
        <w:t xml:space="preserve"> raised sensitive issues that could potentially be addressed through compulsory licensing. A common theme in these cases is a concern about access </w:t>
      </w:r>
      <w:r w:rsidR="0061204B">
        <w:t xml:space="preserve">to, </w:t>
      </w:r>
      <w:r>
        <w:t>and/or price for</w:t>
      </w:r>
      <w:r w:rsidR="0061204B">
        <w:t>,</w:t>
      </w:r>
      <w:r>
        <w:t xml:space="preserve"> a given technology.</w:t>
      </w:r>
      <w:r w:rsidR="00F61F54">
        <w:t xml:space="preserve"> </w:t>
      </w:r>
      <w:r w:rsidR="006524FE">
        <w:t>This chapter examines these issues, and discusses the potential role of compulsory licensing, in each case.</w:t>
      </w:r>
      <w:r w:rsidR="00161CC8">
        <w:t xml:space="preserve"> </w:t>
      </w:r>
      <w:r w:rsidR="00E01025">
        <w:t>The i</w:t>
      </w:r>
      <w:r w:rsidR="00161CC8">
        <w:t xml:space="preserve">ssues about whether technologies related to these areas should be patentable </w:t>
      </w:r>
      <w:r w:rsidR="00E01025">
        <w:t>is</w:t>
      </w:r>
      <w:r w:rsidR="00161CC8">
        <w:t xml:space="preserve"> beyond the scope of this inquiry.</w:t>
      </w:r>
    </w:p>
    <w:p w:rsidR="00746A81" w:rsidRDefault="00BE5F8F" w:rsidP="00746A81">
      <w:pPr>
        <w:pStyle w:val="Heading2"/>
      </w:pPr>
      <w:r>
        <w:lastRenderedPageBreak/>
        <w:t>5.</w:t>
      </w:r>
      <w:r>
        <w:rPr>
          <w:noProof/>
        </w:rPr>
        <w:t>1</w:t>
      </w:r>
      <w:r w:rsidR="00207059">
        <w:tab/>
        <w:t>Gene patents and health</w:t>
      </w:r>
      <w:r w:rsidR="00746A81">
        <w:t>care</w:t>
      </w:r>
    </w:p>
    <w:p w:rsidR="005B75BF" w:rsidRPr="005B75BF" w:rsidRDefault="00C026D8" w:rsidP="005B75BF">
      <w:pPr>
        <w:pStyle w:val="BodyText"/>
      </w:pPr>
      <w:r>
        <w:t>The granting of patents on human genes and associated testi</w:t>
      </w:r>
      <w:r w:rsidR="00B46C97">
        <w:t>ng methods has sparked a debate</w:t>
      </w:r>
      <w:r w:rsidR="00F672CF">
        <w:t xml:space="preserve"> in Australia</w:t>
      </w:r>
      <w:r w:rsidR="00B46C97">
        <w:t>,</w:t>
      </w:r>
      <w:r>
        <w:t xml:space="preserve"> and internationally, about the legality </w:t>
      </w:r>
      <w:r w:rsidR="00F61F54">
        <w:t xml:space="preserve">and morality </w:t>
      </w:r>
      <w:r>
        <w:t xml:space="preserve">of such patents. The </w:t>
      </w:r>
      <w:r w:rsidR="005B75BF">
        <w:t>argument</w:t>
      </w:r>
      <w:r w:rsidR="00F61F54">
        <w:t xml:space="preserve"> is both an argument over what the law </w:t>
      </w:r>
      <w:r w:rsidR="001B6EF3">
        <w:t>is</w:t>
      </w:r>
      <w:r w:rsidR="00F61F54">
        <w:t xml:space="preserve"> and what the law should be</w:t>
      </w:r>
      <w:r w:rsidR="00220AB7">
        <w:t xml:space="preserve">. The </w:t>
      </w:r>
      <w:r w:rsidR="00F61F54">
        <w:t xml:space="preserve">first </w:t>
      </w:r>
      <w:r w:rsidR="00220AB7">
        <w:t>aspect is</w:t>
      </w:r>
      <w:r w:rsidR="005B75BF">
        <w:t xml:space="preserve"> being </w:t>
      </w:r>
      <w:r w:rsidR="00220AB7">
        <w:t xml:space="preserve">tested </w:t>
      </w:r>
      <w:r w:rsidR="005B75BF">
        <w:t xml:space="preserve">in </w:t>
      </w:r>
      <w:r w:rsidR="00220AB7">
        <w:t>the</w:t>
      </w:r>
      <w:r w:rsidR="005B75BF">
        <w:t xml:space="preserve"> courts</w:t>
      </w:r>
      <w:r w:rsidR="00220AB7">
        <w:t xml:space="preserve">, and </w:t>
      </w:r>
      <w:r w:rsidR="00B46C97">
        <w:t>will de</w:t>
      </w:r>
      <w:r w:rsidR="00255DB5">
        <w:t>termine</w:t>
      </w:r>
      <w:r w:rsidR="00B46C97">
        <w:t xml:space="preserve"> </w:t>
      </w:r>
      <w:r>
        <w:t>whether genetic material is</w:t>
      </w:r>
      <w:r w:rsidR="005B75BF">
        <w:t xml:space="preserve"> patent</w:t>
      </w:r>
      <w:r>
        <w:t>able</w:t>
      </w:r>
      <w:r w:rsidR="005B75BF">
        <w:t xml:space="preserve"> under </w:t>
      </w:r>
      <w:r>
        <w:t xml:space="preserve">current </w:t>
      </w:r>
      <w:r w:rsidR="005B75BF">
        <w:t xml:space="preserve">law. </w:t>
      </w:r>
      <w:r w:rsidR="00E01025">
        <w:t>There is c</w:t>
      </w:r>
      <w:r w:rsidR="005B75BF">
        <w:t>oncurrently</w:t>
      </w:r>
      <w:r w:rsidR="00E01025">
        <w:t>,</w:t>
      </w:r>
      <w:r w:rsidR="005B75BF">
        <w:t xml:space="preserve"> a separate</w:t>
      </w:r>
      <w:r w:rsidR="00E01025">
        <w:t xml:space="preserve"> </w:t>
      </w:r>
      <w:r w:rsidR="00F61F54">
        <w:t xml:space="preserve">more </w:t>
      </w:r>
      <w:r>
        <w:t>normative,</w:t>
      </w:r>
      <w:r w:rsidR="005B75BF">
        <w:t xml:space="preserve"> debate being had over whether</w:t>
      </w:r>
      <w:r>
        <w:t xml:space="preserve"> genetic material should be patentable</w:t>
      </w:r>
      <w:r w:rsidR="005B75BF">
        <w:t>.</w:t>
      </w:r>
      <w:r w:rsidR="00E2037E">
        <w:t xml:space="preserve"> A number of past</w:t>
      </w:r>
      <w:r w:rsidR="00E7144F">
        <w:t>,</w:t>
      </w:r>
      <w:r w:rsidR="00E2037E">
        <w:t xml:space="preserve"> </w:t>
      </w:r>
      <w:r w:rsidR="00E7144F">
        <w:t xml:space="preserve">parliamentary and other, </w:t>
      </w:r>
      <w:r w:rsidR="00E2037E">
        <w:t xml:space="preserve">reviews have examined the debate </w:t>
      </w:r>
      <w:r w:rsidR="00363D98">
        <w:t>and found little reason to exclude genetic materials from patentability.</w:t>
      </w:r>
    </w:p>
    <w:p w:rsidR="00E41B96" w:rsidRDefault="00E41B96" w:rsidP="00E41B96">
      <w:pPr>
        <w:pStyle w:val="Heading3"/>
      </w:pPr>
      <w:r>
        <w:t>Can a gene be patented?</w:t>
      </w:r>
    </w:p>
    <w:p w:rsidR="00435358" w:rsidRDefault="00E41B96" w:rsidP="00E41B96">
      <w:pPr>
        <w:pStyle w:val="BodyText"/>
      </w:pPr>
      <w:r>
        <w:t xml:space="preserve">In Australia, the criteria for patentability set out in the </w:t>
      </w:r>
      <w:r w:rsidRPr="00C003FC">
        <w:rPr>
          <w:i/>
        </w:rPr>
        <w:t>Patent</w:t>
      </w:r>
      <w:r>
        <w:rPr>
          <w:i/>
        </w:rPr>
        <w:t>s</w:t>
      </w:r>
      <w:r w:rsidRPr="00C003FC">
        <w:rPr>
          <w:i/>
        </w:rPr>
        <w:t xml:space="preserve"> Act 1990</w:t>
      </w:r>
      <w:r>
        <w:t xml:space="preserve"> (Cwlth) </w:t>
      </w:r>
      <w:r w:rsidR="00B66921">
        <w:t xml:space="preserve">(Patents Act) </w:t>
      </w:r>
      <w:r>
        <w:t xml:space="preserve">establish the threshold for granting patents (chapter 3 discusses these criteria in more detail). IP Australia determines whether an invention meets these criteria. </w:t>
      </w:r>
      <w:r w:rsidR="00435358">
        <w:t>However, the patentability of invention</w:t>
      </w:r>
      <w:r w:rsidR="0019335E">
        <w:t xml:space="preserve">s can be contested in court, and may result in changes to </w:t>
      </w:r>
      <w:r w:rsidR="00E7144F">
        <w:t xml:space="preserve">the </w:t>
      </w:r>
      <w:r w:rsidR="0019335E">
        <w:t>interpretation of the patentability criteria.</w:t>
      </w:r>
      <w:r w:rsidR="00435358">
        <w:t xml:space="preserve"> </w:t>
      </w:r>
      <w:r w:rsidR="00435358" w:rsidRPr="009205A9">
        <w:t>A prominent exampl</w:t>
      </w:r>
      <w:r w:rsidR="00435358">
        <w:t xml:space="preserve">e of </w:t>
      </w:r>
      <w:r w:rsidR="00E7144F">
        <w:t xml:space="preserve">such jurisprudence </w:t>
      </w:r>
      <w:r w:rsidR="00435358" w:rsidRPr="009205A9">
        <w:t xml:space="preserve">is the 1959 High Court case, </w:t>
      </w:r>
      <w:r w:rsidR="00435358" w:rsidRPr="009205A9">
        <w:rPr>
          <w:i/>
        </w:rPr>
        <w:t>National Research Development Corporation v The Commissioner of Patents</w:t>
      </w:r>
      <w:r w:rsidR="00435358" w:rsidRPr="009205A9">
        <w:t xml:space="preserve"> (the NRDC case)</w:t>
      </w:r>
      <w:r w:rsidR="00435358">
        <w:t>, which resulted in a significant broadening of the patentability criteria (ACIP 2010</w:t>
      </w:r>
      <w:r w:rsidR="002A6987">
        <w:t>c</w:t>
      </w:r>
      <w:r w:rsidR="00435358">
        <w:t>)</w:t>
      </w:r>
      <w:r w:rsidR="00435358" w:rsidRPr="009205A9">
        <w:t>.</w:t>
      </w:r>
      <w:r w:rsidR="00435358">
        <w:t xml:space="preserve"> </w:t>
      </w:r>
      <w:r w:rsidR="00435358" w:rsidRPr="009205A9">
        <w:t xml:space="preserve">The </w:t>
      </w:r>
      <w:r w:rsidR="00435358">
        <w:t xml:space="preserve">invention being contested </w:t>
      </w:r>
      <w:r w:rsidR="00435358" w:rsidRPr="009205A9">
        <w:t xml:space="preserve">was a method of using known chemicals </w:t>
      </w:r>
      <w:r w:rsidR="00435358">
        <w:t xml:space="preserve">as a herbicide </w:t>
      </w:r>
      <w:r w:rsidR="00435358" w:rsidRPr="009205A9">
        <w:t>to treat soil</w:t>
      </w:r>
      <w:r w:rsidR="00435358">
        <w:t xml:space="preserve">. The </w:t>
      </w:r>
      <w:r w:rsidR="002577FD">
        <w:t>Commissioner of</w:t>
      </w:r>
      <w:r w:rsidR="00435358">
        <w:t xml:space="preserve"> </w:t>
      </w:r>
      <w:r w:rsidR="002577FD">
        <w:t xml:space="preserve">Patent’s </w:t>
      </w:r>
      <w:r w:rsidR="00435358">
        <w:t>decision not to grant a patent was overturned by the High Court</w:t>
      </w:r>
      <w:r w:rsidR="0019335E">
        <w:t>,</w:t>
      </w:r>
      <w:r w:rsidR="00435358">
        <w:t xml:space="preserve"> which </w:t>
      </w:r>
      <w:r w:rsidR="00435358" w:rsidRPr="009205A9">
        <w:t xml:space="preserve">determined </w:t>
      </w:r>
      <w:r w:rsidR="00435358">
        <w:t xml:space="preserve">the application </w:t>
      </w:r>
      <w:r w:rsidR="001B6EF3">
        <w:t xml:space="preserve">valid </w:t>
      </w:r>
      <w:r w:rsidR="00435358" w:rsidRPr="009205A9">
        <w:t xml:space="preserve">because </w:t>
      </w:r>
      <w:r w:rsidR="001B6EF3">
        <w:t>the invention</w:t>
      </w:r>
      <w:r w:rsidR="00435358" w:rsidRPr="009205A9">
        <w:t xml:space="preserve"> had economic significance and resulted in ‘an artificially created state of affairs’</w:t>
      </w:r>
      <w:r w:rsidR="00435358">
        <w:t xml:space="preserve"> (ACIP</w:t>
      </w:r>
      <w:r w:rsidR="002C5E4D">
        <w:t> </w:t>
      </w:r>
      <w:r w:rsidR="00435358">
        <w:t>2010</w:t>
      </w:r>
      <w:r w:rsidR="002A6987">
        <w:t>c</w:t>
      </w:r>
      <w:r w:rsidR="00435358">
        <w:t>)</w:t>
      </w:r>
      <w:r w:rsidR="00435358" w:rsidRPr="009205A9">
        <w:t>.</w:t>
      </w:r>
      <w:r w:rsidR="00435358">
        <w:t xml:space="preserve"> </w:t>
      </w:r>
    </w:p>
    <w:p w:rsidR="00E41B96" w:rsidRDefault="00435358" w:rsidP="00E41B96">
      <w:pPr>
        <w:pStyle w:val="BodyText"/>
      </w:pPr>
      <w:r>
        <w:t>The NRDC case led to</w:t>
      </w:r>
      <w:r w:rsidR="0019335E">
        <w:t xml:space="preserve"> </w:t>
      </w:r>
      <w:r w:rsidR="0067039C">
        <w:t xml:space="preserve">a </w:t>
      </w:r>
      <w:r w:rsidR="0019335E">
        <w:t>broaden</w:t>
      </w:r>
      <w:r w:rsidR="0067039C">
        <w:t>ing of Australia’s</w:t>
      </w:r>
      <w:r w:rsidR="0019335E">
        <w:t xml:space="preserve"> patentability criteria and to</w:t>
      </w:r>
      <w:r>
        <w:t xml:space="preserve"> a number of newly emerging technologies </w:t>
      </w:r>
      <w:r w:rsidR="0067039C">
        <w:t xml:space="preserve">being </w:t>
      </w:r>
      <w:r>
        <w:t>patentable subjec</w:t>
      </w:r>
      <w:r w:rsidR="00830EF2">
        <w:t>t matters</w:t>
      </w:r>
      <w:r w:rsidR="0019335E">
        <w:t xml:space="preserve">. These </w:t>
      </w:r>
      <w:r>
        <w:t>includ</w:t>
      </w:r>
      <w:r w:rsidR="0019335E">
        <w:t>ed,</w:t>
      </w:r>
      <w:r>
        <w:t xml:space="preserve"> </w:t>
      </w:r>
      <w:r w:rsidR="00CA3DF0">
        <w:t>methods of medical treatment, living organisms, mathematical algorithms and genetic material (ACIP 2010</w:t>
      </w:r>
      <w:r w:rsidR="002A6987">
        <w:t>c</w:t>
      </w:r>
      <w:r w:rsidR="00CA3DF0">
        <w:t>)</w:t>
      </w:r>
      <w:r>
        <w:t xml:space="preserve">. </w:t>
      </w:r>
      <w:r w:rsidR="00E41B96">
        <w:t xml:space="preserve">In the case of patents over genetic material, </w:t>
      </w:r>
      <w:r w:rsidR="001C5B51">
        <w:t>the Australian Industrial Property Organisation (</w:t>
      </w:r>
      <w:r w:rsidR="00E41B96">
        <w:t>IP Australia</w:t>
      </w:r>
      <w:r w:rsidR="001C5B51">
        <w:t>’s predecessor)</w:t>
      </w:r>
      <w:r w:rsidR="00E41B96">
        <w:t xml:space="preserve"> declared in 1995 that </w:t>
      </w:r>
      <w:r w:rsidR="00E41B96" w:rsidRPr="005C2088">
        <w:t>DNA sequence</w:t>
      </w:r>
      <w:r w:rsidR="00E41B96">
        <w:t xml:space="preserve">s isolated and purified from the human body (box </w:t>
      </w:r>
      <w:r w:rsidR="00BE5F8F">
        <w:t>5.1</w:t>
      </w:r>
      <w:r w:rsidR="00E41B96">
        <w:t>) were patentable subject matter</w:t>
      </w:r>
      <w:r w:rsidR="00CA3DF0">
        <w:t xml:space="preserve">, since they satisfied the NRDC case concept of ‘an artificially created state of affairs’ </w:t>
      </w:r>
      <w:r w:rsidR="00E41B96">
        <w:t>(ACIP 2010</w:t>
      </w:r>
      <w:r w:rsidR="002A6987">
        <w:t>c</w:t>
      </w:r>
      <w:r w:rsidR="00E41B96">
        <w:t>)</w:t>
      </w:r>
      <w:r w:rsidR="00E41B96" w:rsidRPr="005C2088">
        <w:t>.</w:t>
      </w:r>
      <w:r w:rsidR="00E41B96">
        <w:t xml:space="preserve"> It has subsequently </w:t>
      </w:r>
      <w:r w:rsidR="00E41B96" w:rsidRPr="00994A47">
        <w:t xml:space="preserve">granted patents over a wide </w:t>
      </w:r>
      <w:r w:rsidR="00E41B96">
        <w:t>variety</w:t>
      </w:r>
      <w:r w:rsidR="00E41B96" w:rsidRPr="00994A47">
        <w:t xml:space="preserve"> of human </w:t>
      </w:r>
      <w:r w:rsidR="00E41B96">
        <w:t>genes and genetic material, including those that cover</w:t>
      </w:r>
      <w:r w:rsidR="00E41B96" w:rsidRPr="00994A47">
        <w:t xml:space="preserve"> </w:t>
      </w:r>
      <w:r w:rsidR="00E41B96">
        <w:t xml:space="preserve">an isolated and purified gene sequence </w:t>
      </w:r>
      <w:r w:rsidR="00E41B96" w:rsidRPr="000300FB">
        <w:t>per se</w:t>
      </w:r>
      <w:r w:rsidR="00E41B96" w:rsidRPr="00B46C97">
        <w:rPr>
          <w:i/>
        </w:rPr>
        <w:t xml:space="preserve"> </w:t>
      </w:r>
      <w:r w:rsidR="00E41B96">
        <w:t>(IP Australia 20</w:t>
      </w:r>
      <w:r w:rsidR="00A9300B">
        <w:t>09</w:t>
      </w:r>
      <w:r w:rsidR="002A6987">
        <w:t>c</w:t>
      </w:r>
      <w:r w:rsidR="00E41B96">
        <w:t xml:space="preserve">). </w:t>
      </w:r>
    </w:p>
    <w:p w:rsidR="00E41B96" w:rsidRDefault="00E41B96" w:rsidP="00E41B96">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41B96" w:rsidTr="00E41B96">
        <w:tc>
          <w:tcPr>
            <w:tcW w:w="8771" w:type="dxa"/>
            <w:tcBorders>
              <w:top w:val="single" w:sz="6" w:space="0" w:color="auto"/>
              <w:bottom w:val="nil"/>
            </w:tcBorders>
          </w:tcPr>
          <w:p w:rsidR="00E41B96" w:rsidRDefault="00E41B96" w:rsidP="00E41B96">
            <w:pPr>
              <w:pStyle w:val="BoxTitle"/>
            </w:pPr>
            <w:r>
              <w:rPr>
                <w:b w:val="0"/>
              </w:rPr>
              <w:t xml:space="preserve">Box </w:t>
            </w:r>
            <w:bookmarkStart w:id="3" w:name="OLE_LINK1"/>
            <w:r w:rsidR="00BE5F8F">
              <w:rPr>
                <w:b w:val="0"/>
              </w:rPr>
              <w:t>5.</w:t>
            </w:r>
            <w:r w:rsidR="00BE5F8F">
              <w:rPr>
                <w:b w:val="0"/>
                <w:noProof/>
              </w:rPr>
              <w:t>1</w:t>
            </w:r>
            <w:bookmarkEnd w:id="3"/>
            <w:r>
              <w:tab/>
              <w:t>Isolated and purified genes</w:t>
            </w:r>
          </w:p>
        </w:tc>
      </w:tr>
      <w:tr w:rsidR="00E41B96" w:rsidTr="00E41B96">
        <w:trPr>
          <w:cantSplit/>
        </w:trPr>
        <w:tc>
          <w:tcPr>
            <w:tcW w:w="8771" w:type="dxa"/>
            <w:tcBorders>
              <w:top w:val="nil"/>
              <w:left w:val="single" w:sz="6" w:space="0" w:color="auto"/>
              <w:bottom w:val="nil"/>
              <w:right w:val="single" w:sz="6" w:space="0" w:color="auto"/>
            </w:tcBorders>
          </w:tcPr>
          <w:p w:rsidR="00E41B96" w:rsidRPr="00B22108" w:rsidRDefault="00E41B96" w:rsidP="00E41B96">
            <w:pPr>
              <w:pStyle w:val="Box"/>
            </w:pPr>
            <w:r w:rsidRPr="00B22108">
              <w:t>Deoxyribonucleic acid (DNA) is a nucleic acid containing the genetic instructions used in the development and functioning of all known living organisms. The DNA segments carrying this genetic information are called genes. Natural DNA exists in the human body as one of 46 DNA molecules. Each of these DNA molecules is condensed and intertwined with various proteins, to form a structure known as chromatin that makes up a larger structural complex, a chromosome. Chromosomes are further encapsulated within a series of membranes and suspended i</w:t>
            </w:r>
            <w:r w:rsidR="00685CDF">
              <w:t>n a complex intracellular environment</w:t>
            </w:r>
            <w:r w:rsidRPr="00B22108">
              <w:t xml:space="preserve">. </w:t>
            </w:r>
          </w:p>
          <w:p w:rsidR="00E41B96" w:rsidRPr="00B22108" w:rsidRDefault="00683AD9" w:rsidP="00E41B96">
            <w:pPr>
              <w:pStyle w:val="Box"/>
            </w:pPr>
            <w:r w:rsidRPr="00B22108">
              <w:t>Isolated DNA, is a free-standing portion of the larger, natural DNA molecule. Isolated DNA has been cleaved (</w:t>
            </w:r>
            <w:r>
              <w:t xml:space="preserve">that is, </w:t>
            </w:r>
            <w:r w:rsidRPr="00B22108">
              <w:t xml:space="preserve">had covalent bonds in its backbone chemically severed) or synthesized to consist of just a fraction of a naturally occurring DNA molecule. </w:t>
            </w:r>
            <w:r w:rsidR="00B940BB">
              <w:t>In contrast, p</w:t>
            </w:r>
            <w:r w:rsidR="00B940BB" w:rsidRPr="00B22108">
              <w:t xml:space="preserve">urification makes pure what was the same material, but was combined, or contaminated, with other materials. </w:t>
            </w:r>
            <w:r w:rsidR="00B940BB">
              <w:t>Accordingly, i</w:t>
            </w:r>
            <w:r w:rsidR="00B940BB" w:rsidRPr="00B22108">
              <w:t>solated DNA is not just purified DNA.</w:t>
            </w:r>
            <w:r w:rsidR="00B940BB">
              <w:t xml:space="preserve"> </w:t>
            </w:r>
            <w:r w:rsidRPr="00B22108">
              <w:t>Although isolated DNA is removed from its native cellular and chromosomal environment, it has also been manipulated chemically so as to produce a molecule that is different fro</w:t>
            </w:r>
            <w:r>
              <w:t xml:space="preserve">m that which exists in the body. </w:t>
            </w:r>
            <w:r w:rsidR="00E41B96">
              <w:t xml:space="preserve">However, there is </w:t>
            </w:r>
            <w:r w:rsidR="00E41B96" w:rsidRPr="00B22108">
              <w:t>a key similarity</w:t>
            </w:r>
            <w:r w:rsidR="00E41B96">
              <w:t xml:space="preserve"> between isolated DNA and the naturally occurring form</w:t>
            </w:r>
            <w:r>
              <w:t xml:space="preserve">. That is, </w:t>
            </w:r>
            <w:r w:rsidR="00E41B96" w:rsidRPr="00B22108">
              <w:t xml:space="preserve">the information content contained </w:t>
            </w:r>
            <w:r w:rsidR="00E41B96">
              <w:t xml:space="preserve">on the </w:t>
            </w:r>
            <w:r>
              <w:t>DNAs’</w:t>
            </w:r>
            <w:r w:rsidR="00E41B96" w:rsidRPr="00B22108">
              <w:t xml:space="preserve"> nucleotide sequences</w:t>
            </w:r>
            <w:r w:rsidR="00B940BB">
              <w:t xml:space="preserve">, </w:t>
            </w:r>
            <w:r>
              <w:t>are identical</w:t>
            </w:r>
            <w:r w:rsidR="00E41B96" w:rsidRPr="00B22108">
              <w:t>.</w:t>
            </w:r>
          </w:p>
          <w:p w:rsidR="00E41B96" w:rsidRPr="00B22108" w:rsidRDefault="00E41B96" w:rsidP="00683AD9">
            <w:pPr>
              <w:pStyle w:val="Box"/>
            </w:pPr>
            <w:r w:rsidRPr="00B22108">
              <w:t xml:space="preserve">A patent claim on an isolated gene sequence can </w:t>
            </w:r>
            <w:r>
              <w:t xml:space="preserve">exclude others from performing </w:t>
            </w:r>
            <w:r w:rsidRPr="00B22108">
              <w:t>genetic test</w:t>
            </w:r>
            <w:r>
              <w:t xml:space="preserve">s, </w:t>
            </w:r>
            <w:r w:rsidRPr="00B22108">
              <w:t xml:space="preserve">because typical methods of testing the gene in question require production of the patented </w:t>
            </w:r>
            <w:r w:rsidR="00683AD9">
              <w:t>isolated sequence</w:t>
            </w:r>
            <w:r w:rsidRPr="00B22108">
              <w:t>. A similar situation occurs where there is a patent on the process or method involving testing for a particular genetic sequence and then associating that sequence with a disease or condition.</w:t>
            </w:r>
          </w:p>
        </w:tc>
      </w:tr>
      <w:tr w:rsidR="00E41B96" w:rsidTr="00E41B96">
        <w:trPr>
          <w:cantSplit/>
        </w:trPr>
        <w:tc>
          <w:tcPr>
            <w:tcW w:w="8771" w:type="dxa"/>
            <w:tcBorders>
              <w:top w:val="nil"/>
              <w:left w:val="single" w:sz="6" w:space="0" w:color="auto"/>
              <w:bottom w:val="nil"/>
              <w:right w:val="single" w:sz="6" w:space="0" w:color="auto"/>
            </w:tcBorders>
          </w:tcPr>
          <w:p w:rsidR="00E41B96" w:rsidRDefault="00E41B96" w:rsidP="00E41B96">
            <w:pPr>
              <w:pStyle w:val="BoxSource"/>
            </w:pPr>
            <w:r>
              <w:rPr>
                <w:i/>
              </w:rPr>
              <w:t>Sources</w:t>
            </w:r>
            <w:r w:rsidRPr="00167F06">
              <w:t xml:space="preserve">: </w:t>
            </w:r>
            <w:r>
              <w:t>SCARC (2010); US Court of Appeals for the Federal Circuit (2012).</w:t>
            </w:r>
          </w:p>
        </w:tc>
      </w:tr>
      <w:tr w:rsidR="00E41B96" w:rsidTr="00E41B96">
        <w:trPr>
          <w:cantSplit/>
        </w:trPr>
        <w:tc>
          <w:tcPr>
            <w:tcW w:w="8771" w:type="dxa"/>
            <w:tcBorders>
              <w:top w:val="nil"/>
              <w:left w:val="single" w:sz="6" w:space="0" w:color="auto"/>
              <w:bottom w:val="single" w:sz="6" w:space="0" w:color="auto"/>
              <w:right w:val="single" w:sz="6" w:space="0" w:color="auto"/>
            </w:tcBorders>
          </w:tcPr>
          <w:p w:rsidR="00E41B96" w:rsidRDefault="00E41B96" w:rsidP="00E41B96">
            <w:pPr>
              <w:pStyle w:val="Box"/>
              <w:spacing w:before="0" w:line="120" w:lineRule="exact"/>
            </w:pPr>
          </w:p>
        </w:tc>
      </w:tr>
      <w:tr w:rsidR="00E41B96" w:rsidTr="00E41B96">
        <w:tc>
          <w:tcPr>
            <w:tcW w:w="8771" w:type="dxa"/>
            <w:tcBorders>
              <w:top w:val="nil"/>
              <w:left w:val="nil"/>
              <w:bottom w:val="nil"/>
              <w:right w:val="nil"/>
            </w:tcBorders>
          </w:tcPr>
          <w:p w:rsidR="00E41B96" w:rsidRDefault="00E41B96" w:rsidP="00E41B96">
            <w:pPr>
              <w:pStyle w:val="Box"/>
              <w:keepNext w:val="0"/>
              <w:spacing w:before="60" w:after="60" w:line="80" w:lineRule="exact"/>
              <w:rPr>
                <w:b/>
                <w:color w:val="FF00FF"/>
                <w:sz w:val="14"/>
              </w:rPr>
            </w:pPr>
          </w:p>
        </w:tc>
      </w:tr>
    </w:tbl>
    <w:p w:rsidR="00E41B96" w:rsidRDefault="00E41B96" w:rsidP="00E41B96">
      <w:pPr>
        <w:pStyle w:val="BodyText"/>
      </w:pPr>
      <w:r>
        <w:t xml:space="preserve">This position is consistent with other OECD nations. In 2002, the OECD stated: </w:t>
      </w:r>
    </w:p>
    <w:p w:rsidR="00E41B96" w:rsidRPr="009205A9" w:rsidRDefault="00E41B96" w:rsidP="009205A9">
      <w:pPr>
        <w:pStyle w:val="Quote"/>
      </w:pPr>
      <w:r w:rsidRPr="009205A9">
        <w:t>…</w:t>
      </w:r>
      <w:r w:rsidR="00B26464">
        <w:t> </w:t>
      </w:r>
      <w:r w:rsidRPr="009205A9">
        <w:t>the position of the official patent authorities in OECD countries has been more or less stable for some time. Assuming that a DNA sequence is novel (not previously publicly known or used in a public manner) and that the other criteria of patentability are also met (utility, inventiveness/non-obviousness), the substance of the DNA itself can be patented. (OECD 2002, p.</w:t>
      </w:r>
      <w:r w:rsidR="0021492D">
        <w:t xml:space="preserve"> </w:t>
      </w:r>
      <w:r w:rsidRPr="009205A9">
        <w:t>28)</w:t>
      </w:r>
    </w:p>
    <w:p w:rsidR="00E41B96" w:rsidRPr="009205A9" w:rsidRDefault="00E41B96" w:rsidP="009205A9">
      <w:pPr>
        <w:pStyle w:val="BodyText"/>
      </w:pPr>
      <w:r w:rsidRPr="009205A9">
        <w:t xml:space="preserve">That said, the legality of gene patents in Australia has not been tested in court (SCARC 2010). Sections 20 and 21 of the Patents Act state that the granting of a </w:t>
      </w:r>
      <w:r w:rsidR="001B6EF3">
        <w:t>p</w:t>
      </w:r>
      <w:r w:rsidRPr="009205A9">
        <w:t xml:space="preserve">atent does not guarantee, or necessarily imply, that a patent is legally valid. The patent system is premised on the idea that patents may or will be tested through legal proceedings (SCARC 2010). </w:t>
      </w:r>
    </w:p>
    <w:p w:rsidR="00E41B96" w:rsidRDefault="00C26241" w:rsidP="00E41B96">
      <w:pPr>
        <w:pStyle w:val="BodyText"/>
      </w:pPr>
      <w:r>
        <w:t>P</w:t>
      </w:r>
      <w:r w:rsidR="00E41B96">
        <w:t xml:space="preserve">rominent court cases </w:t>
      </w:r>
      <w:r>
        <w:t xml:space="preserve">concerning patents over the BRCA genes have just concluded in the United States, and </w:t>
      </w:r>
      <w:r w:rsidR="00E41B96">
        <w:t>are under way</w:t>
      </w:r>
      <w:r w:rsidR="001B6EF3" w:rsidRPr="001B6EF3">
        <w:t xml:space="preserve"> </w:t>
      </w:r>
      <w:r w:rsidR="001B6EF3">
        <w:t>in Australia</w:t>
      </w:r>
      <w:r w:rsidR="00E41B96">
        <w:t xml:space="preserve"> (box </w:t>
      </w:r>
      <w:r w:rsidR="00BE5F8F">
        <w:t>5.2</w:t>
      </w:r>
      <w:r w:rsidR="00E41B96">
        <w:t xml:space="preserve">). At the heart of the legal case in Australia is the assertion that an isolated and purified gene from the human body is a discovery and not an invention, and is therefore not patentable </w:t>
      </w:r>
      <w:r w:rsidR="00E41B96">
        <w:lastRenderedPageBreak/>
        <w:t xml:space="preserve">(Maurice Blackburn 2012). </w:t>
      </w:r>
      <w:r w:rsidR="00E41B96" w:rsidRPr="0094515C">
        <w:t xml:space="preserve">Traditionally, discoveries have </w:t>
      </w:r>
      <w:r w:rsidR="00E41B96">
        <w:t xml:space="preserve">not </w:t>
      </w:r>
      <w:r w:rsidR="00E41B96" w:rsidRPr="0094515C">
        <w:t>been</w:t>
      </w:r>
      <w:r w:rsidR="00E41B96">
        <w:t xml:space="preserve"> </w:t>
      </w:r>
      <w:r w:rsidR="00E41B96" w:rsidRPr="0094515C">
        <w:t xml:space="preserve">regarded as patentable subject matter </w:t>
      </w:r>
      <w:r w:rsidR="00E41B96">
        <w:t>‘</w:t>
      </w:r>
      <w:r w:rsidR="00E41B96" w:rsidRPr="0094515C">
        <w:t>because no knowledge or</w:t>
      </w:r>
      <w:r w:rsidR="00E41B96">
        <w:t xml:space="preserve"> </w:t>
      </w:r>
      <w:r w:rsidR="00E41B96" w:rsidRPr="0094515C">
        <w:t>ingenuity has been applied to produce a new and useful thing</w:t>
      </w:r>
      <w:r w:rsidR="00E41B96">
        <w:t>’ (ALRC 2004, p.</w:t>
      </w:r>
      <w:r w:rsidR="0021492D">
        <w:t xml:space="preserve"> </w:t>
      </w:r>
      <w:r w:rsidR="00E41B96">
        <w:t>123)</w:t>
      </w:r>
      <w:r w:rsidR="00E41B96" w:rsidRPr="0094515C">
        <w:t xml:space="preserve">. </w:t>
      </w:r>
      <w:r w:rsidR="00E41B96">
        <w:t xml:space="preserve">The case is testing the validity of patents over isolated and purified genetic material by examining the differences between the genes that occur naturally in the body and those that are isolated and purified, and the extent to which they constitute an invention. </w:t>
      </w:r>
    </w:p>
    <w:p w:rsidR="00574433" w:rsidRDefault="00005A6B" w:rsidP="00034356">
      <w:pPr>
        <w:pStyle w:val="BodyText"/>
      </w:pPr>
      <w:r>
        <w:t>While the case</w:t>
      </w:r>
      <w:r w:rsidR="00D67434" w:rsidRPr="00034356">
        <w:t xml:space="preserve"> will give guidance on the patentability of genetic material, </w:t>
      </w:r>
      <w:r>
        <w:t xml:space="preserve">it may have little </w:t>
      </w:r>
      <w:r w:rsidR="00255DB5">
        <w:t xml:space="preserve">practical </w:t>
      </w:r>
      <w:r>
        <w:t xml:space="preserve">impact on patenting activity in </w:t>
      </w:r>
      <w:r w:rsidR="00255DB5">
        <w:t>the future</w:t>
      </w:r>
      <w:r w:rsidR="00D67434" w:rsidRPr="00034356">
        <w:t xml:space="preserve">. </w:t>
      </w:r>
      <w:r w:rsidR="00C26241">
        <w:t xml:space="preserve">The </w:t>
      </w:r>
      <w:r w:rsidR="00F064C4">
        <w:t xml:space="preserve">controversy related to </w:t>
      </w:r>
      <w:r>
        <w:t xml:space="preserve">gene patents and the BRCA cases </w:t>
      </w:r>
      <w:r w:rsidR="00255DB5">
        <w:t xml:space="preserve">could well </w:t>
      </w:r>
      <w:r>
        <w:t xml:space="preserve">decline. </w:t>
      </w:r>
      <w:r w:rsidR="00D67434" w:rsidRPr="00034356">
        <w:t>First</w:t>
      </w:r>
      <w:r w:rsidR="00745F97" w:rsidRPr="00034356">
        <w:t>,</w:t>
      </w:r>
      <w:r w:rsidR="00D67434" w:rsidRPr="00034356">
        <w:t xml:space="preserve"> </w:t>
      </w:r>
      <w:r w:rsidR="001B6EF3">
        <w:t xml:space="preserve">the patents on the </w:t>
      </w:r>
      <w:r w:rsidR="00D67434" w:rsidRPr="00034356">
        <w:t>BRCA1 and BRCA2</w:t>
      </w:r>
      <w:r w:rsidR="00745F97" w:rsidRPr="00034356">
        <w:t xml:space="preserve"> gene</w:t>
      </w:r>
      <w:r w:rsidR="005F258F">
        <w:t xml:space="preserve">s expire in </w:t>
      </w:r>
      <w:r w:rsidR="00745F97" w:rsidRPr="00034356">
        <w:t>August 2015 and December 2016 respectively (</w:t>
      </w:r>
      <w:r w:rsidR="005F258F">
        <w:t>IP A</w:t>
      </w:r>
      <w:r w:rsidR="006B030F">
        <w:t>ustralia, Canberra, pers. comm.</w:t>
      </w:r>
      <w:r w:rsidR="00AC0B91">
        <w:t>,</w:t>
      </w:r>
      <w:r w:rsidR="005F258F">
        <w:t xml:space="preserve"> 12 October 2012</w:t>
      </w:r>
      <w:r w:rsidR="00745F97" w:rsidRPr="00034356">
        <w:t>)</w:t>
      </w:r>
      <w:r w:rsidR="002E7324">
        <w:t>.</w:t>
      </w:r>
      <w:r w:rsidR="00255DB5">
        <w:t xml:space="preserve"> Similarly, the bulk of existing gene patents</w:t>
      </w:r>
      <w:r w:rsidR="0048153B">
        <w:t xml:space="preserve">, particularly those that cover a gene sequence </w:t>
      </w:r>
      <w:r w:rsidR="0048153B" w:rsidRPr="000300FB">
        <w:t>per se</w:t>
      </w:r>
      <w:r w:rsidR="0048153B" w:rsidRPr="0048153B">
        <w:t>,</w:t>
      </w:r>
      <w:r w:rsidR="00255DB5" w:rsidRPr="0048153B">
        <w:t xml:space="preserve"> </w:t>
      </w:r>
      <w:r w:rsidR="00255DB5">
        <w:t>are due to expire in the near future (SCARC 2010).</w:t>
      </w:r>
    </w:p>
    <w:p w:rsidR="008E6BCA" w:rsidRDefault="00745F97" w:rsidP="00034356">
      <w:pPr>
        <w:pStyle w:val="BodyText"/>
      </w:pPr>
      <w:r w:rsidRPr="00034356">
        <w:t xml:space="preserve">Second, the proportion of the human genome that </w:t>
      </w:r>
      <w:r w:rsidR="00790D7C">
        <w:t xml:space="preserve">remains under </w:t>
      </w:r>
      <w:r w:rsidRPr="00034356">
        <w:t xml:space="preserve">patent </w:t>
      </w:r>
      <w:r w:rsidR="001B6EF3">
        <w:t xml:space="preserve">may be minimal. While figures as high as </w:t>
      </w:r>
      <w:r w:rsidR="0006556F" w:rsidRPr="00034356">
        <w:t xml:space="preserve">20 per cent (Jensen and Murray 2005) </w:t>
      </w:r>
      <w:r w:rsidR="001B6EF3">
        <w:t>have been suggested</w:t>
      </w:r>
      <w:r w:rsidR="0019335E">
        <w:t>,</w:t>
      </w:r>
      <w:r w:rsidR="001B6EF3">
        <w:t xml:space="preserve"> other work shows that this is likely an overestimate and that the figure may be as low as </w:t>
      </w:r>
      <w:r w:rsidRPr="00034356">
        <w:t>2 per cent (</w:t>
      </w:r>
      <w:r w:rsidR="0014674A">
        <w:t xml:space="preserve">Commission estimates based on </w:t>
      </w:r>
      <w:r w:rsidRPr="00034356">
        <w:t>Holman 2012)</w:t>
      </w:r>
      <w:r w:rsidR="0006556F" w:rsidRPr="00034356">
        <w:t xml:space="preserve">. </w:t>
      </w:r>
      <w:r w:rsidR="00034356" w:rsidRPr="00034356">
        <w:t xml:space="preserve">This number </w:t>
      </w:r>
      <w:r w:rsidR="0019335E">
        <w:t xml:space="preserve">may be </w:t>
      </w:r>
      <w:r w:rsidR="00034356" w:rsidRPr="00034356">
        <w:t>even lower in Australia</w:t>
      </w:r>
      <w:r w:rsidR="008C57A2">
        <w:t>.</w:t>
      </w:r>
      <w:r w:rsidR="00034356" w:rsidRPr="00034356">
        <w:t xml:space="preserve"> IP Australia estimat</w:t>
      </w:r>
      <w:r w:rsidR="008C57A2">
        <w:t>ed</w:t>
      </w:r>
      <w:r w:rsidR="00034356" w:rsidRPr="00034356">
        <w:t xml:space="preserve"> </w:t>
      </w:r>
      <w:r w:rsidR="00574433">
        <w:t>that there were</w:t>
      </w:r>
      <w:r w:rsidR="00034356" w:rsidRPr="00034356">
        <w:t xml:space="preserve"> </w:t>
      </w:r>
      <w:r w:rsidR="008C57A2">
        <w:t xml:space="preserve">only </w:t>
      </w:r>
      <w:r w:rsidR="00034356" w:rsidRPr="00034356">
        <w:t xml:space="preserve">202 patents claiming an isolated </w:t>
      </w:r>
      <w:r w:rsidR="008C57A2">
        <w:t>DNA</w:t>
      </w:r>
      <w:r w:rsidR="008E6BCA">
        <w:rPr>
          <w:rStyle w:val="FootnoteReference"/>
        </w:rPr>
        <w:footnoteReference w:id="1"/>
      </w:r>
      <w:r w:rsidR="008C57A2">
        <w:t xml:space="preserve"> which remain current, </w:t>
      </w:r>
      <w:r w:rsidR="00034356" w:rsidRPr="00034356">
        <w:t xml:space="preserve">most of which have a </w:t>
      </w:r>
      <w:r w:rsidR="00C26241">
        <w:t xml:space="preserve">commencement </w:t>
      </w:r>
      <w:r w:rsidR="00034356" w:rsidRPr="00034356">
        <w:t>date before the completion of t</w:t>
      </w:r>
      <w:r w:rsidR="008C57A2">
        <w:t>he Human Genome Project in 2003 (SCARC 2010)</w:t>
      </w:r>
      <w:r w:rsidR="00034356" w:rsidRPr="00034356">
        <w:t xml:space="preserve">. </w:t>
      </w:r>
      <w:r w:rsidR="00574433">
        <w:t>Since then</w:t>
      </w:r>
      <w:r w:rsidR="000300FB">
        <w:t>,</w:t>
      </w:r>
      <w:r w:rsidR="00574433">
        <w:t xml:space="preserve"> IP Australia estimate</w:t>
      </w:r>
      <w:r w:rsidR="000300FB">
        <w:t>s</w:t>
      </w:r>
      <w:r w:rsidR="00574433">
        <w:t xml:space="preserve"> that an additional 34 gene patents have been granted (</w:t>
      </w:r>
      <w:r w:rsidR="00574433" w:rsidRPr="00574433">
        <w:t>IP A</w:t>
      </w:r>
      <w:r w:rsidR="006B030F">
        <w:t>ustralia, Canberra, pers. comm.</w:t>
      </w:r>
      <w:r w:rsidR="00AC0B91">
        <w:t>,</w:t>
      </w:r>
      <w:r w:rsidR="00574433" w:rsidRPr="00574433">
        <w:t xml:space="preserve"> 12 October 2012</w:t>
      </w:r>
      <w:r w:rsidR="00574433">
        <w:t xml:space="preserve">). </w:t>
      </w:r>
    </w:p>
    <w:p w:rsidR="00D67434" w:rsidRDefault="0006556F" w:rsidP="00034356">
      <w:pPr>
        <w:pStyle w:val="BodyText"/>
      </w:pPr>
      <w:r w:rsidRPr="00034356">
        <w:t xml:space="preserve">Third, the </w:t>
      </w:r>
      <w:r w:rsidR="00B940BB">
        <w:t>number</w:t>
      </w:r>
      <w:r w:rsidRPr="00034356">
        <w:t xml:space="preserve"> of gene patents </w:t>
      </w:r>
      <w:r w:rsidR="00034356">
        <w:t xml:space="preserve">is likely to decline </w:t>
      </w:r>
      <w:r w:rsidR="008C57A2">
        <w:t xml:space="preserve">in future </w:t>
      </w:r>
      <w:r w:rsidR="00034356">
        <w:t>as</w:t>
      </w:r>
      <w:r w:rsidR="00034356" w:rsidRPr="00034356">
        <w:rPr>
          <w:szCs w:val="26"/>
        </w:rPr>
        <w:t xml:space="preserve"> </w:t>
      </w:r>
      <w:r w:rsidR="00034356">
        <w:rPr>
          <w:szCs w:val="26"/>
        </w:rPr>
        <w:t xml:space="preserve">it is becoming more difficult to satisfy </w:t>
      </w:r>
      <w:r w:rsidR="00034356" w:rsidRPr="00034356">
        <w:t>req</w:t>
      </w:r>
      <w:r w:rsidR="00034356">
        <w:t>uirements that an invention is ‘novel’</w:t>
      </w:r>
      <w:r w:rsidR="00034356" w:rsidRPr="00034356">
        <w:t xml:space="preserve"> and involves an inventive step</w:t>
      </w:r>
      <w:r w:rsidR="008C57A2">
        <w:t>. This is</w:t>
      </w:r>
      <w:r w:rsidR="00034356">
        <w:t xml:space="preserve"> due to the growth of prior art and skill in the area</w:t>
      </w:r>
      <w:r w:rsidR="002E7324">
        <w:t>, making</w:t>
      </w:r>
      <w:r w:rsidR="00F064C4">
        <w:t xml:space="preserve"> broad patents on isolated genes more difficult to obtain</w:t>
      </w:r>
      <w:r w:rsidR="002E7324">
        <w:t xml:space="preserve"> (SCARC 2010)</w:t>
      </w:r>
      <w:r w:rsidR="00F064C4">
        <w:t>. As stated by Pfizer</w:t>
      </w:r>
      <w:r w:rsidR="006B030F">
        <w:t xml:space="preserve"> Australia</w:t>
      </w:r>
      <w:r w:rsidR="00F064C4">
        <w:t>:</w:t>
      </w:r>
    </w:p>
    <w:p w:rsidR="00F064C4" w:rsidRPr="00034356" w:rsidRDefault="00F064C4" w:rsidP="00F064C4">
      <w:pPr>
        <w:pStyle w:val="Quote"/>
      </w:pPr>
      <w:r w:rsidRPr="00F064C4">
        <w:t>As patent offices world</w:t>
      </w:r>
      <w:r w:rsidR="00735784">
        <w:t>-</w:t>
      </w:r>
      <w:r w:rsidRPr="00F064C4">
        <w:t>wide have</w:t>
      </w:r>
      <w:r>
        <w:t xml:space="preserve"> </w:t>
      </w:r>
      <w:r w:rsidRPr="00F064C4">
        <w:t>gained experience with genetic technologies, the patents now granted are much more specific to</w:t>
      </w:r>
      <w:r>
        <w:t xml:space="preserve"> </w:t>
      </w:r>
      <w:r w:rsidRPr="00F064C4">
        <w:t>the biotechnologies than the early broader patents. Since the patent term is 20 years from the</w:t>
      </w:r>
      <w:r>
        <w:t xml:space="preserve"> </w:t>
      </w:r>
      <w:r w:rsidRPr="00F064C4">
        <w:t>date when the priority application is filed, the majority of the early, broad patents are nearing the</w:t>
      </w:r>
      <w:r>
        <w:t xml:space="preserve"> </w:t>
      </w:r>
      <w:r w:rsidRPr="00F064C4">
        <w:t>end of their patent life.</w:t>
      </w:r>
      <w:r>
        <w:t xml:space="preserve"> (Pfizer</w:t>
      </w:r>
      <w:r w:rsidR="006B030F">
        <w:t xml:space="preserve"> Australia</w:t>
      </w:r>
      <w:r>
        <w:t>, sub. 24, p.</w:t>
      </w:r>
      <w:r w:rsidR="0021492D">
        <w:t xml:space="preserve"> </w:t>
      </w:r>
      <w:r>
        <w:t>2)</w:t>
      </w:r>
    </w:p>
    <w:p w:rsidR="00E41B96" w:rsidRDefault="00E41B96" w:rsidP="00E41B96">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41B96" w:rsidTr="00E41B96">
        <w:tc>
          <w:tcPr>
            <w:tcW w:w="8771" w:type="dxa"/>
            <w:tcBorders>
              <w:top w:val="single" w:sz="6" w:space="0" w:color="auto"/>
              <w:bottom w:val="nil"/>
            </w:tcBorders>
          </w:tcPr>
          <w:p w:rsidR="00E41B96" w:rsidRDefault="00E41B96" w:rsidP="00E41B96">
            <w:pPr>
              <w:pStyle w:val="BoxTitle"/>
            </w:pPr>
            <w:r>
              <w:rPr>
                <w:b w:val="0"/>
              </w:rPr>
              <w:t xml:space="preserve">Box </w:t>
            </w:r>
            <w:bookmarkStart w:id="4" w:name="OLE_LINK2"/>
            <w:r w:rsidR="00BE5F8F">
              <w:rPr>
                <w:b w:val="0"/>
              </w:rPr>
              <w:t>5.</w:t>
            </w:r>
            <w:r w:rsidR="00BE5F8F">
              <w:rPr>
                <w:b w:val="0"/>
                <w:noProof/>
              </w:rPr>
              <w:t>2</w:t>
            </w:r>
            <w:bookmarkEnd w:id="4"/>
            <w:r>
              <w:tab/>
            </w:r>
            <w:r w:rsidRPr="00887110">
              <w:rPr>
                <w:bCs/>
              </w:rPr>
              <w:t>The BRCA1 and BRCA2 gene patents</w:t>
            </w:r>
          </w:p>
        </w:tc>
      </w:tr>
      <w:tr w:rsidR="00E41B96" w:rsidTr="00E41B96">
        <w:trPr>
          <w:cantSplit/>
        </w:trPr>
        <w:tc>
          <w:tcPr>
            <w:tcW w:w="8771" w:type="dxa"/>
            <w:tcBorders>
              <w:top w:val="nil"/>
              <w:left w:val="single" w:sz="6" w:space="0" w:color="auto"/>
              <w:bottom w:val="nil"/>
              <w:right w:val="single" w:sz="6" w:space="0" w:color="auto"/>
            </w:tcBorders>
          </w:tcPr>
          <w:p w:rsidR="00E41B96" w:rsidRPr="00C26DC7" w:rsidRDefault="00E41B96" w:rsidP="00E41B96">
            <w:pPr>
              <w:pStyle w:val="Box"/>
            </w:pPr>
            <w:r w:rsidRPr="00C26DC7">
              <w:t xml:space="preserve">The BRCA1 and BRCA2 genes belong to a class of genes known as tumour suppressors. The normal BRCA1 and BRCA2 genes help prevent uncontrolled cell growth. Mutation of these genes has been linked to the development of breast, prostate and ovarian cancer. A US company, Myriad Genetics Incorporated (Myriad), holds the patents relating to methods and processes used to isolate and detect mutations of the BRCA1 and BRCA2 genes. </w:t>
            </w:r>
            <w:r>
              <w:t xml:space="preserve">In 2002, </w:t>
            </w:r>
            <w:r w:rsidRPr="00C26DC7">
              <w:t>Genetic Technologies Limited (GTL) obtained an exclusive licence from Myriad to perform diagnostic testing for BRCA1 and BRCA2 genes</w:t>
            </w:r>
            <w:r>
              <w:t xml:space="preserve"> in Australia</w:t>
            </w:r>
            <w:r w:rsidRPr="00C26DC7">
              <w:t>.</w:t>
            </w:r>
          </w:p>
          <w:p w:rsidR="00E41B96" w:rsidRPr="00C26DC7" w:rsidRDefault="002577FD" w:rsidP="00E41B96">
            <w:pPr>
              <w:pStyle w:val="Box"/>
            </w:pPr>
            <w:r>
              <w:t>In 2002–200</w:t>
            </w:r>
            <w:r w:rsidR="00E41B96">
              <w:t xml:space="preserve">3 and 2008, </w:t>
            </w:r>
            <w:r w:rsidR="00E41B96" w:rsidRPr="00C26DC7">
              <w:t xml:space="preserve">GTL attempted to enforce </w:t>
            </w:r>
            <w:r w:rsidR="00E41B96">
              <w:t>its</w:t>
            </w:r>
            <w:r w:rsidR="00E41B96" w:rsidRPr="00C26DC7">
              <w:t xml:space="preserve"> rights over diagnostic testing of the BRCA1 and BRCA2 genes</w:t>
            </w:r>
            <w:r w:rsidR="00E41B96">
              <w:t xml:space="preserve"> in Australia</w:t>
            </w:r>
            <w:r w:rsidR="00E41B96" w:rsidRPr="00C26DC7">
              <w:t xml:space="preserve">. However, </w:t>
            </w:r>
            <w:r w:rsidR="00E41B96">
              <w:t xml:space="preserve">following community opposition, </w:t>
            </w:r>
            <w:r w:rsidR="00E41B96" w:rsidRPr="00C26DC7">
              <w:t xml:space="preserve">in </w:t>
            </w:r>
            <w:r w:rsidR="00E41B96">
              <w:t xml:space="preserve">both instances GTL subsequently </w:t>
            </w:r>
            <w:r w:rsidR="00E41B96" w:rsidRPr="00C26DC7">
              <w:t xml:space="preserve">announced that it </w:t>
            </w:r>
            <w:r w:rsidR="00E41B96">
              <w:t>would</w:t>
            </w:r>
            <w:r w:rsidR="00E41B96" w:rsidRPr="00C26DC7">
              <w:t xml:space="preserve"> no longer seek to enforce its rights and </w:t>
            </w:r>
            <w:r w:rsidR="00E41B96">
              <w:t>would</w:t>
            </w:r>
            <w:r w:rsidR="00E41B96" w:rsidRPr="00C26DC7">
              <w:t xml:space="preserve"> allow other laboratories in Australia to freely perform testing. </w:t>
            </w:r>
          </w:p>
          <w:p w:rsidR="008C57A2" w:rsidRDefault="00E41B96" w:rsidP="00E41B96">
            <w:pPr>
              <w:pStyle w:val="Box"/>
            </w:pPr>
            <w:r w:rsidRPr="00C26DC7">
              <w:t>The actions of Myriad and GTL have raised concern</w:t>
            </w:r>
            <w:r>
              <w:t>s</w:t>
            </w:r>
            <w:r w:rsidRPr="00C26DC7">
              <w:t xml:space="preserve"> in relation to access to affordable genetic testing and </w:t>
            </w:r>
            <w:r w:rsidR="00FD5758">
              <w:t xml:space="preserve">prompted legal action </w:t>
            </w:r>
            <w:r w:rsidRPr="00C26DC7">
              <w:t>in both Australia and the U</w:t>
            </w:r>
            <w:r>
              <w:t xml:space="preserve">nited </w:t>
            </w:r>
            <w:r w:rsidRPr="00C26DC7">
              <w:t>S</w:t>
            </w:r>
            <w:r>
              <w:t>tates.</w:t>
            </w:r>
            <w:r w:rsidRPr="00C26DC7">
              <w:t xml:space="preserve"> </w:t>
            </w:r>
          </w:p>
          <w:p w:rsidR="00E41B96" w:rsidRPr="001316C0" w:rsidRDefault="00E41B96" w:rsidP="00E41B96">
            <w:pPr>
              <w:pStyle w:val="Box"/>
            </w:pPr>
            <w:r w:rsidRPr="00C26DC7">
              <w:t>In the U</w:t>
            </w:r>
            <w:r>
              <w:t xml:space="preserve">nited </w:t>
            </w:r>
            <w:r w:rsidRPr="00C26DC7">
              <w:t>S</w:t>
            </w:r>
            <w:r>
              <w:t>tates</w:t>
            </w:r>
            <w:r w:rsidRPr="00C26DC7">
              <w:t>, court proceedings were initiated in 2009 by the American Civil Liberties Union (ACLU) and the Public Patent Foundation against several respondents, includ</w:t>
            </w:r>
            <w:r>
              <w:t>ing</w:t>
            </w:r>
            <w:r w:rsidRPr="00C26DC7">
              <w:t xml:space="preserve"> Myriad and the US Patent and Trademarks Office. The </w:t>
            </w:r>
            <w:r>
              <w:t xml:space="preserve">US District </w:t>
            </w:r>
            <w:r w:rsidRPr="00C26DC7">
              <w:t xml:space="preserve">Court </w:t>
            </w:r>
            <w:r>
              <w:t xml:space="preserve">for the Southern District of New York </w:t>
            </w:r>
            <w:r w:rsidRPr="00C26DC7">
              <w:t>ruled that the BRCA1 and BRCA2 patents were invalid as they represented discoveries and not inventions. An appeal was lodged to the US Federal Court by Myriad in 2010. The Federal Court ruled that the patents on the processes used to isolate the BRCA1 and BRCA2</w:t>
            </w:r>
            <w:r>
              <w:t xml:space="preserve"> genes</w:t>
            </w:r>
            <w:r w:rsidRPr="00C26DC7">
              <w:t xml:space="preserve"> w</w:t>
            </w:r>
            <w:r>
              <w:t>ere</w:t>
            </w:r>
            <w:r w:rsidRPr="00C26DC7">
              <w:t xml:space="preserve"> valid but the method claims to analysing</w:t>
            </w:r>
            <w:r w:rsidR="00F70397">
              <w:t xml:space="preserve"> or comparing</w:t>
            </w:r>
            <w:r w:rsidRPr="00C26DC7">
              <w:t xml:space="preserve"> the </w:t>
            </w:r>
            <w:r w:rsidR="00F70397">
              <w:t>genes</w:t>
            </w:r>
            <w:r w:rsidRPr="00C26DC7">
              <w:t xml:space="preserve"> w</w:t>
            </w:r>
            <w:r>
              <w:t>ere</w:t>
            </w:r>
            <w:r w:rsidRPr="00C26DC7">
              <w:t xml:space="preserve"> invalid (due to obviousness). In 2011, the ACLU appealed to the US Supreme Court, wh</w:t>
            </w:r>
            <w:r>
              <w:t>ich</w:t>
            </w:r>
            <w:r w:rsidRPr="00C26DC7">
              <w:t xml:space="preserve"> sent the case back to the Federal Court for review</w:t>
            </w:r>
            <w:r>
              <w:t xml:space="preserve"> because of the Supreme Court’s recent </w:t>
            </w:r>
            <w:r w:rsidRPr="00D23D67">
              <w:t>ruling in a related case (</w:t>
            </w:r>
            <w:r w:rsidRPr="002577FD">
              <w:rPr>
                <w:i/>
              </w:rPr>
              <w:t>Mayo Collaborative Services v Prometheus Laboratories Inc</w:t>
            </w:r>
            <w:r w:rsidR="0021492D" w:rsidRPr="002577FD">
              <w:rPr>
                <w:i/>
              </w:rPr>
              <w:t>.</w:t>
            </w:r>
            <w:r w:rsidRPr="00D23D67">
              <w:t>).</w:t>
            </w:r>
            <w:r w:rsidR="00C22167">
              <w:t xml:space="preserve"> </w:t>
            </w:r>
            <w:r w:rsidR="008C57A2">
              <w:t>Following this hearing</w:t>
            </w:r>
            <w:r w:rsidR="00C22167">
              <w:t xml:space="preserve"> the Federal Court reaffirmed the validity of Myriad</w:t>
            </w:r>
            <w:r w:rsidR="00FD5758">
              <w:t>’</w:t>
            </w:r>
            <w:r w:rsidR="00C22167">
              <w:t>s patents</w:t>
            </w:r>
            <w:r w:rsidR="008E78D9">
              <w:t xml:space="preserve"> on the BRCA genes themselves. However, it invalidated a method patent based on comparing DNA sequences</w:t>
            </w:r>
            <w:r w:rsidR="00C22167" w:rsidRPr="001316C0">
              <w:t>.</w:t>
            </w:r>
          </w:p>
          <w:p w:rsidR="00E41B96" w:rsidRPr="001316C0" w:rsidRDefault="00E41B96" w:rsidP="001316C0">
            <w:pPr>
              <w:pStyle w:val="Box"/>
            </w:pPr>
            <w:r w:rsidRPr="00C26DC7">
              <w:t>In Australia, Cancer Voices Australia and Yvonne D’Arcy launched legal action against four biotech companies (including Myriad</w:t>
            </w:r>
            <w:r>
              <w:t xml:space="preserve"> and GTL</w:t>
            </w:r>
            <w:r w:rsidRPr="00C26DC7">
              <w:t xml:space="preserve">) over the legality of the BRCA1 patent in 2010. </w:t>
            </w:r>
            <w:r>
              <w:t xml:space="preserve">The lawyers for </w:t>
            </w:r>
            <w:r w:rsidRPr="00C26DC7">
              <w:t>Cancer Voices Australia and Yvonne D’Arcy</w:t>
            </w:r>
            <w:r>
              <w:t xml:space="preserve"> contend that an isolated and purified gene from the human body is a discovery and not an invention and is therefore not patentable (Maurice Blackburn</w:t>
            </w:r>
            <w:r w:rsidRPr="00C26DC7">
              <w:t xml:space="preserve"> </w:t>
            </w:r>
            <w:r>
              <w:t xml:space="preserve">Lawyers 2012). </w:t>
            </w:r>
            <w:r w:rsidR="006B0683" w:rsidRPr="006B0683">
              <w:t>The parties are now waiting for a judgement from the Federal Court.</w:t>
            </w:r>
          </w:p>
        </w:tc>
      </w:tr>
      <w:tr w:rsidR="00E41B96" w:rsidTr="00E41B96">
        <w:trPr>
          <w:cantSplit/>
        </w:trPr>
        <w:tc>
          <w:tcPr>
            <w:tcW w:w="8771" w:type="dxa"/>
            <w:tcBorders>
              <w:top w:val="nil"/>
              <w:left w:val="single" w:sz="6" w:space="0" w:color="auto"/>
              <w:bottom w:val="nil"/>
              <w:right w:val="single" w:sz="6" w:space="0" w:color="auto"/>
            </w:tcBorders>
          </w:tcPr>
          <w:p w:rsidR="00E41B96" w:rsidRDefault="00E41B96" w:rsidP="00E41B96">
            <w:pPr>
              <w:pStyle w:val="BoxSource"/>
            </w:pPr>
            <w:r>
              <w:rPr>
                <w:i/>
              </w:rPr>
              <w:t>Sources</w:t>
            </w:r>
            <w:r w:rsidRPr="00167F06">
              <w:t xml:space="preserve">: </w:t>
            </w:r>
            <w:r>
              <w:t>Cancer Voices Australia (2010); Conley and Vorhaus (2011); SCARC (2010)</w:t>
            </w:r>
            <w:r w:rsidR="008E78D9">
              <w:t xml:space="preserve">; US Court of Appeals for the Federal Circuit (2012). </w:t>
            </w:r>
          </w:p>
        </w:tc>
      </w:tr>
      <w:tr w:rsidR="00E41B96" w:rsidTr="00E41B96">
        <w:trPr>
          <w:cantSplit/>
        </w:trPr>
        <w:tc>
          <w:tcPr>
            <w:tcW w:w="8771" w:type="dxa"/>
            <w:tcBorders>
              <w:top w:val="nil"/>
              <w:left w:val="single" w:sz="6" w:space="0" w:color="auto"/>
              <w:bottom w:val="single" w:sz="6" w:space="0" w:color="auto"/>
              <w:right w:val="single" w:sz="6" w:space="0" w:color="auto"/>
            </w:tcBorders>
          </w:tcPr>
          <w:p w:rsidR="00E41B96" w:rsidRDefault="00E41B96" w:rsidP="00E41B96">
            <w:pPr>
              <w:pStyle w:val="Box"/>
              <w:spacing w:before="0" w:line="120" w:lineRule="exact"/>
            </w:pPr>
          </w:p>
        </w:tc>
      </w:tr>
      <w:tr w:rsidR="00E41B96" w:rsidTr="00E41B96">
        <w:tc>
          <w:tcPr>
            <w:tcW w:w="8771" w:type="dxa"/>
            <w:tcBorders>
              <w:top w:val="nil"/>
              <w:left w:val="nil"/>
              <w:bottom w:val="nil"/>
              <w:right w:val="nil"/>
            </w:tcBorders>
          </w:tcPr>
          <w:p w:rsidR="00E41B96" w:rsidRDefault="00E41B96" w:rsidP="00E41B96">
            <w:pPr>
              <w:pStyle w:val="Box"/>
              <w:keepNext w:val="0"/>
              <w:spacing w:before="60" w:after="60" w:line="80" w:lineRule="exact"/>
              <w:rPr>
                <w:b/>
                <w:color w:val="FF00FF"/>
                <w:sz w:val="14"/>
              </w:rPr>
            </w:pPr>
          </w:p>
        </w:tc>
      </w:tr>
    </w:tbl>
    <w:p w:rsidR="00B43E70" w:rsidRDefault="00B43E70" w:rsidP="00B43E70">
      <w:pPr>
        <w:pStyle w:val="Heading3"/>
      </w:pPr>
      <w:r>
        <w:t>Should human genes be patentable?</w:t>
      </w:r>
    </w:p>
    <w:p w:rsidR="00B43E70" w:rsidRDefault="00B43E70" w:rsidP="00B43E70">
      <w:pPr>
        <w:pStyle w:val="BodyText"/>
      </w:pPr>
      <w:r>
        <w:t>Controversy in the field of b</w:t>
      </w:r>
      <w:r w:rsidRPr="00925BD0">
        <w:t>iotechnology</w:t>
      </w:r>
      <w:r>
        <w:t>, and specifically in genetics,</w:t>
      </w:r>
      <w:r w:rsidRPr="00925BD0">
        <w:t xml:space="preserve"> is </w:t>
      </w:r>
      <w:r>
        <w:t xml:space="preserve">not new. Arguments about genetically modified food, or the cloning of organisms, have been </w:t>
      </w:r>
      <w:r>
        <w:lastRenderedPageBreak/>
        <w:t>prominent. The ownership of intellectual property</w:t>
      </w:r>
      <w:r w:rsidR="002577FD">
        <w:t xml:space="preserve"> (IP)</w:t>
      </w:r>
      <w:r>
        <w:t xml:space="preserve"> in this field has a history of testing</w:t>
      </w:r>
      <w:r w:rsidRPr="00925BD0">
        <w:t xml:space="preserve"> the boundaries of the</w:t>
      </w:r>
      <w:r>
        <w:t xml:space="preserve"> </w:t>
      </w:r>
      <w:r w:rsidR="002577FD">
        <w:t xml:space="preserve">IP </w:t>
      </w:r>
      <w:r w:rsidRPr="00925BD0">
        <w:t xml:space="preserve">rights system. </w:t>
      </w:r>
      <w:r>
        <w:t>In 1972, Ananda Chakrabarty</w:t>
      </w:r>
      <w:r w:rsidRPr="00831AC0">
        <w:t xml:space="preserve"> filed for a </w:t>
      </w:r>
      <w:r>
        <w:t xml:space="preserve">US </w:t>
      </w:r>
      <w:r w:rsidRPr="00831AC0">
        <w:t xml:space="preserve">patent on a single strain of a Pseudomonas bacterium that </w:t>
      </w:r>
      <w:r>
        <w:t xml:space="preserve">was particularly efficient at </w:t>
      </w:r>
      <w:r w:rsidRPr="00831AC0">
        <w:t>break</w:t>
      </w:r>
      <w:r>
        <w:t>ing</w:t>
      </w:r>
      <w:r w:rsidRPr="00831AC0">
        <w:t xml:space="preserve"> down oil slicks</w:t>
      </w:r>
      <w:r>
        <w:t>.</w:t>
      </w:r>
      <w:r w:rsidRPr="00831AC0">
        <w:t xml:space="preserve"> The </w:t>
      </w:r>
      <w:r>
        <w:t>U</w:t>
      </w:r>
      <w:r w:rsidR="00CE0856">
        <w:t xml:space="preserve">nited </w:t>
      </w:r>
      <w:r>
        <w:t>S</w:t>
      </w:r>
      <w:r w:rsidR="00CE0856">
        <w:t>tates</w:t>
      </w:r>
      <w:r>
        <w:t xml:space="preserve"> </w:t>
      </w:r>
      <w:r w:rsidR="00CE0856">
        <w:t>P</w:t>
      </w:r>
      <w:r w:rsidRPr="00831AC0">
        <w:t>at</w:t>
      </w:r>
      <w:r>
        <w:t>ent</w:t>
      </w:r>
      <w:r w:rsidR="00CE0856">
        <w:t xml:space="preserve"> and Trademark</w:t>
      </w:r>
      <w:r>
        <w:t xml:space="preserve"> </w:t>
      </w:r>
      <w:r w:rsidR="00CE0856">
        <w:t>O</w:t>
      </w:r>
      <w:r>
        <w:t>ffice rejected Chakrabarty’</w:t>
      </w:r>
      <w:r w:rsidRPr="00831AC0">
        <w:t xml:space="preserve">s application, </w:t>
      </w:r>
      <w:r>
        <w:t>on the grounds that it was a product</w:t>
      </w:r>
      <w:r w:rsidRPr="00831AC0">
        <w:t xml:space="preserve"> of nature</w:t>
      </w:r>
      <w:r>
        <w:t>,</w:t>
      </w:r>
      <w:r w:rsidRPr="00831AC0">
        <w:t xml:space="preserve"> </w:t>
      </w:r>
      <w:r>
        <w:t xml:space="preserve">and </w:t>
      </w:r>
      <w:r w:rsidRPr="00831AC0">
        <w:t>that live organisms cannot be patented</w:t>
      </w:r>
      <w:r>
        <w:t xml:space="preserve"> (Stix 2006)</w:t>
      </w:r>
      <w:r w:rsidRPr="00831AC0">
        <w:t>.</w:t>
      </w:r>
      <w:r>
        <w:t xml:space="preserve"> However, b</w:t>
      </w:r>
      <w:r w:rsidRPr="00831AC0">
        <w:t>y the time the Supreme Court hear</w:t>
      </w:r>
      <w:r>
        <w:t>d</w:t>
      </w:r>
      <w:r w:rsidRPr="00831AC0">
        <w:t xml:space="preserve"> the appeal of the case in 1980, </w:t>
      </w:r>
      <w:r>
        <w:t xml:space="preserve">research of this nature had become more common place, and the court decided that </w:t>
      </w:r>
      <w:r w:rsidRPr="00925BD0">
        <w:t>inventions involving biological</w:t>
      </w:r>
      <w:r>
        <w:t xml:space="preserve"> </w:t>
      </w:r>
      <w:r w:rsidRPr="00925BD0">
        <w:t xml:space="preserve">materials and some life forms were patentable in the United States </w:t>
      </w:r>
      <w:r>
        <w:t>(OECD 2002)</w:t>
      </w:r>
      <w:r w:rsidRPr="00925BD0">
        <w:t>.</w:t>
      </w:r>
      <w:r w:rsidRPr="00FF3E07">
        <w:t xml:space="preserve"> </w:t>
      </w:r>
      <w:r>
        <w:t>Other nations followed suit.</w:t>
      </w:r>
    </w:p>
    <w:p w:rsidR="00083484" w:rsidRDefault="00B43E70" w:rsidP="00A85DC6">
      <w:pPr>
        <w:pStyle w:val="BodyText"/>
      </w:pPr>
      <w:r>
        <w:t xml:space="preserve">The current controversy over gene patenting is the latest in what is </w:t>
      </w:r>
      <w:r w:rsidRPr="00925BD0">
        <w:t>a</w:t>
      </w:r>
      <w:r w:rsidR="00B26464">
        <w:t xml:space="preserve"> fast</w:t>
      </w:r>
      <w:r w:rsidR="00B26464">
        <w:noBreakHyphen/>
      </w:r>
      <w:r w:rsidRPr="00925BD0">
        <w:t>moving field</w:t>
      </w:r>
      <w:r>
        <w:t>, where</w:t>
      </w:r>
      <w:r w:rsidRPr="00925BD0">
        <w:t xml:space="preserve"> </w:t>
      </w:r>
      <w:r>
        <w:t>n</w:t>
      </w:r>
      <w:r w:rsidRPr="00925BD0">
        <w:t>ew products and services are</w:t>
      </w:r>
      <w:r>
        <w:t xml:space="preserve"> </w:t>
      </w:r>
      <w:r w:rsidRPr="00925BD0">
        <w:t>developed from an increasingly complex and cumulative set of underlying</w:t>
      </w:r>
      <w:r>
        <w:t xml:space="preserve"> </w:t>
      </w:r>
      <w:r w:rsidRPr="00925BD0">
        <w:t>technologies.</w:t>
      </w:r>
      <w:r>
        <w:t xml:space="preserve"> </w:t>
      </w:r>
      <w:r w:rsidR="008C57A2">
        <w:t xml:space="preserve">It has arisen primarily due to the </w:t>
      </w:r>
      <w:r>
        <w:t xml:space="preserve">patenting of </w:t>
      </w:r>
      <w:r w:rsidR="008C57A2">
        <w:t xml:space="preserve">BRCA </w:t>
      </w:r>
      <w:r>
        <w:t>genes</w:t>
      </w:r>
      <w:r w:rsidR="005B551F">
        <w:t>, the conduct of the patent holder and licensee,</w:t>
      </w:r>
      <w:r w:rsidR="008C57A2">
        <w:t xml:space="preserve"> and the resultant court cases</w:t>
      </w:r>
      <w:r>
        <w:t>. The</w:t>
      </w:r>
      <w:r w:rsidR="008C57A2">
        <w:t>se</w:t>
      </w:r>
      <w:r>
        <w:t xml:space="preserve"> case</w:t>
      </w:r>
      <w:r w:rsidR="008C57A2">
        <w:t>s</w:t>
      </w:r>
      <w:r>
        <w:t xml:space="preserve"> ha</w:t>
      </w:r>
      <w:r w:rsidR="008C57A2">
        <w:t>ve</w:t>
      </w:r>
      <w:r>
        <w:t xml:space="preserve"> led various groups to express concerns about the patents</w:t>
      </w:r>
      <w:r w:rsidR="008C57A2">
        <w:t xml:space="preserve"> and t</w:t>
      </w:r>
      <w:r>
        <w:t xml:space="preserve">here have been calls to exclude genetic material from the patent system by adding an exception to the Patents Act. </w:t>
      </w:r>
    </w:p>
    <w:p w:rsidR="00A85DC6" w:rsidRDefault="00FD5758" w:rsidP="00A85DC6">
      <w:pPr>
        <w:pStyle w:val="BodyText"/>
      </w:pPr>
      <w:r>
        <w:t>T</w:t>
      </w:r>
      <w:r w:rsidR="00B43E70">
        <w:t xml:space="preserve">he </w:t>
      </w:r>
      <w:r w:rsidR="005B551F">
        <w:t xml:space="preserve">Patents </w:t>
      </w:r>
      <w:r w:rsidR="00B43E70">
        <w:t>Act currently contains few specific limitations on patentable subject matter (</w:t>
      </w:r>
      <w:r w:rsidR="008E78D9">
        <w:t>appendix B</w:t>
      </w:r>
      <w:r w:rsidR="00B43E70">
        <w:t>)</w:t>
      </w:r>
      <w:r w:rsidR="00A8153F">
        <w:t>.</w:t>
      </w:r>
      <w:r w:rsidR="004B3D9E">
        <w:t xml:space="preserve"> </w:t>
      </w:r>
      <w:r>
        <w:t xml:space="preserve">In </w:t>
      </w:r>
      <w:r w:rsidR="00327650">
        <w:t>November 2010</w:t>
      </w:r>
      <w:r>
        <w:t>,</w:t>
      </w:r>
      <w:r w:rsidR="00A85DC6">
        <w:t xml:space="preserve"> </w:t>
      </w:r>
      <w:r w:rsidR="005B551F">
        <w:t>S</w:t>
      </w:r>
      <w:r w:rsidR="00A85DC6" w:rsidRPr="00033058">
        <w:t xml:space="preserve">enators Coonan, </w:t>
      </w:r>
      <w:r w:rsidR="00A85DC6">
        <w:t xml:space="preserve">Heffernan, Siewert and Xenophon introduced a private members Bill to the </w:t>
      </w:r>
      <w:r w:rsidR="00A85DC6" w:rsidRPr="00033058">
        <w:t>Senate</w:t>
      </w:r>
      <w:r w:rsidR="00A85DC6">
        <w:t xml:space="preserve"> to prevent patenting in certain areas, particularly human genes. However, the Bill </w:t>
      </w:r>
      <w:r w:rsidR="005B551F">
        <w:t xml:space="preserve">failed to </w:t>
      </w:r>
      <w:r w:rsidR="00A85DC6">
        <w:t xml:space="preserve">pass </w:t>
      </w:r>
      <w:r w:rsidR="005B551F">
        <w:t xml:space="preserve">the Senate </w:t>
      </w:r>
      <w:r w:rsidR="00A85DC6">
        <w:t xml:space="preserve">following a review by the Senate </w:t>
      </w:r>
      <w:r w:rsidR="00A85DC6" w:rsidRPr="0080128D">
        <w:t>Legal and Constitutional Affairs</w:t>
      </w:r>
      <w:r w:rsidR="00A85DC6">
        <w:t xml:space="preserve"> </w:t>
      </w:r>
      <w:r w:rsidR="00A85DC6" w:rsidRPr="0080128D">
        <w:t>Legislation Committee</w:t>
      </w:r>
      <w:r w:rsidR="00A85DC6">
        <w:t xml:space="preserve"> (SLCALC). The majority of committee members recommended against passing the Bill because the:</w:t>
      </w:r>
    </w:p>
    <w:p w:rsidR="00A85DC6" w:rsidRDefault="00A85DC6" w:rsidP="00A85DC6">
      <w:pPr>
        <w:pStyle w:val="Quote"/>
      </w:pPr>
      <w:r>
        <w:t>…</w:t>
      </w:r>
      <w:r w:rsidR="00B26464">
        <w:t> </w:t>
      </w:r>
      <w:r>
        <w:t xml:space="preserve">proposed amendments in the Bill, which are focused on addressing a specific issue, could have a large number of unintended consequences across the entire patent system with indeterminate impacts on a range of industries and sectors. (SLCALC 2011, p. 64) </w:t>
      </w:r>
    </w:p>
    <w:p w:rsidR="00B43E70" w:rsidRPr="00C37DE9" w:rsidRDefault="00B43E70" w:rsidP="00B43E70">
      <w:pPr>
        <w:pStyle w:val="BodyText"/>
      </w:pPr>
      <w:r>
        <w:t xml:space="preserve">One of the key motivations for the </w:t>
      </w:r>
      <w:r w:rsidR="00CE0856">
        <w:t xml:space="preserve">proposed </w:t>
      </w:r>
      <w:r>
        <w:t xml:space="preserve">exclusion </w:t>
      </w:r>
      <w:r w:rsidR="00FD5758">
        <w:t>was</w:t>
      </w:r>
      <w:r>
        <w:t xml:space="preserve"> to ensure affordable</w:t>
      </w:r>
      <w:r w:rsidR="000300FB">
        <w:t xml:space="preserve"> and equitable access to health</w:t>
      </w:r>
      <w:r>
        <w:t xml:space="preserve">care, a goal shared by the Australian Government. The </w:t>
      </w:r>
      <w:r w:rsidR="00820AFB">
        <w:t xml:space="preserve">Australian Government subsidises </w:t>
      </w:r>
      <w:r>
        <w:t>medical treatment through the Medicare system and pharmaceuticals through the Pharmaceutical Benefi</w:t>
      </w:r>
      <w:r w:rsidR="00E0339C">
        <w:t>ts Scheme</w:t>
      </w:r>
      <w:r>
        <w:t xml:space="preserve">. </w:t>
      </w:r>
      <w:r w:rsidR="00A8153F">
        <w:t>It</w:t>
      </w:r>
      <w:r w:rsidRPr="00C37DE9">
        <w:t xml:space="preserve"> </w:t>
      </w:r>
      <w:r>
        <w:t xml:space="preserve">reiterated this goal </w:t>
      </w:r>
      <w:r w:rsidRPr="00C37DE9">
        <w:t>when announcing this inquiry:</w:t>
      </w:r>
    </w:p>
    <w:p w:rsidR="00B43E70" w:rsidRPr="00C37DE9" w:rsidRDefault="00B43E70" w:rsidP="00B43E70">
      <w:pPr>
        <w:spacing w:before="120" w:line="280" w:lineRule="exact"/>
        <w:ind w:left="340"/>
        <w:jc w:val="both"/>
        <w:rPr>
          <w:sz w:val="24"/>
          <w:szCs w:val="20"/>
        </w:rPr>
      </w:pPr>
      <w:r w:rsidRPr="00C37DE9">
        <w:rPr>
          <w:sz w:val="24"/>
          <w:szCs w:val="20"/>
        </w:rPr>
        <w:t>Of concern to government is a perception that patents over genetic technologies, or a perceived lack of licences to use these patents in Australia, unreasonably restricts or delays patient access to medical advice based on the latest diagnostic tests. (Bradbury and Dreyfus 2012)</w:t>
      </w:r>
    </w:p>
    <w:p w:rsidR="00E276FF" w:rsidRDefault="00E276FF" w:rsidP="00E276FF">
      <w:pPr>
        <w:pStyle w:val="Heading4"/>
      </w:pPr>
      <w:r>
        <w:lastRenderedPageBreak/>
        <w:t>Past reviews</w:t>
      </w:r>
    </w:p>
    <w:p w:rsidR="00E276FF" w:rsidRDefault="00E276FF" w:rsidP="00E276FF">
      <w:pPr>
        <w:pStyle w:val="BodyText"/>
      </w:pPr>
      <w:r>
        <w:t>The debate over gene patenting has been explored in a number of reviews. These reviews concluded that concerns would be better addressed by means other than changing the scope of patents. These include</w:t>
      </w:r>
      <w:r w:rsidR="00820AFB">
        <w:t xml:space="preserve"> </w:t>
      </w:r>
      <w:r>
        <w:t>compulsory licensing and Crown use provisions.</w:t>
      </w:r>
      <w:r w:rsidR="00327650">
        <w:t xml:space="preserve"> </w:t>
      </w:r>
    </w:p>
    <w:p w:rsidR="00E276FF" w:rsidRPr="003C62EC" w:rsidRDefault="00E276FF" w:rsidP="00E276FF">
      <w:pPr>
        <w:pStyle w:val="BodyText"/>
      </w:pPr>
      <w:r>
        <w:t xml:space="preserve">The first review of gene patents was conducted by the Australian Law Reform Commission (ALRC) in 2004. </w:t>
      </w:r>
      <w:r w:rsidRPr="003C62EC">
        <w:t xml:space="preserve">The </w:t>
      </w:r>
      <w:r>
        <w:t xml:space="preserve">review found </w:t>
      </w:r>
      <w:r w:rsidRPr="003C62EC">
        <w:t xml:space="preserve">that a new approach to the patentability of genetic material was not warranted: </w:t>
      </w:r>
    </w:p>
    <w:p w:rsidR="00E276FF" w:rsidRPr="000B36F0" w:rsidRDefault="00E276FF" w:rsidP="00E276FF">
      <w:pPr>
        <w:pStyle w:val="Quote"/>
      </w:pPr>
      <w:r w:rsidRPr="000B36F0">
        <w:t>It would represent a significant and undesirable departure from accepted international practice with respect to genetic inventions, and may adversely affect investment in the Australian biotechnology industry</w:t>
      </w:r>
      <w:r>
        <w:t>. (ALRC 2004, p. 130)</w:t>
      </w:r>
    </w:p>
    <w:p w:rsidR="00E276FF" w:rsidRDefault="00322451" w:rsidP="00E276FF">
      <w:pPr>
        <w:pStyle w:val="BodyText"/>
      </w:pPr>
      <w:r>
        <w:t xml:space="preserve">The ALRC </w:t>
      </w:r>
      <w:r w:rsidR="00D72485">
        <w:t>(2004, p. 17</w:t>
      </w:r>
      <w:r w:rsidR="00FD5758">
        <w:t>)</w:t>
      </w:r>
      <w:r w:rsidR="00FD5758" w:rsidRPr="00FD5758">
        <w:t xml:space="preserve"> </w:t>
      </w:r>
      <w:r w:rsidR="00FD5758">
        <w:t>w</w:t>
      </w:r>
      <w:r>
        <w:t xml:space="preserve">ent on to recommend that the Patents Act ‘should not be amended to </w:t>
      </w:r>
      <w:r w:rsidR="00D72485">
        <w:t>exclude genetic materials or</w:t>
      </w:r>
      <w:r w:rsidRPr="00CF70A9">
        <w:t xml:space="preserve"> technologies from patentab</w:t>
      </w:r>
      <w:r w:rsidR="00D72485">
        <w:t>ility</w:t>
      </w:r>
      <w:r>
        <w:t xml:space="preserve">’. </w:t>
      </w:r>
      <w:r w:rsidR="00E276FF">
        <w:t>Similarly, the Senate Community Affairs References Committee inquiry into gene patents determined that it:</w:t>
      </w:r>
    </w:p>
    <w:p w:rsidR="00E276FF" w:rsidRDefault="00E276FF" w:rsidP="00E276FF">
      <w:pPr>
        <w:pStyle w:val="Quote"/>
        <w:rPr>
          <w:szCs w:val="26"/>
        </w:rPr>
      </w:pPr>
      <w:r>
        <w:t>…</w:t>
      </w:r>
      <w:r w:rsidR="00B26464">
        <w:t> </w:t>
      </w:r>
      <w:r w:rsidRPr="003E0216">
        <w:t>would not</w:t>
      </w:r>
      <w:r>
        <w:t xml:space="preserve"> </w:t>
      </w:r>
      <w:r w:rsidRPr="003E0216">
        <w:t xml:space="preserve">recommend at this stage that the </w:t>
      </w:r>
      <w:r w:rsidRPr="003E0216">
        <w:rPr>
          <w:i/>
          <w:iCs/>
        </w:rPr>
        <w:t xml:space="preserve">Patents Act 1990 </w:t>
      </w:r>
      <w:r w:rsidRPr="003E0216">
        <w:t>be amended to include an express</w:t>
      </w:r>
      <w:r>
        <w:t xml:space="preserve"> </w:t>
      </w:r>
      <w:r w:rsidRPr="003E0216">
        <w:t>prohibition on h</w:t>
      </w:r>
      <w:r>
        <w:t>u</w:t>
      </w:r>
      <w:r w:rsidR="00B26464">
        <w:t>man genes and genetic products. </w:t>
      </w:r>
      <w:r>
        <w:t>…</w:t>
      </w:r>
      <w:r w:rsidR="00B26464">
        <w:t> </w:t>
      </w:r>
      <w:r>
        <w:rPr>
          <w:szCs w:val="26"/>
        </w:rPr>
        <w:t>there would need to be a very clear case and significant social and political consensus on the need for such a change. (SCARC 2010, p.</w:t>
      </w:r>
      <w:r w:rsidR="0021492D">
        <w:rPr>
          <w:szCs w:val="26"/>
        </w:rPr>
        <w:t xml:space="preserve"> </w:t>
      </w:r>
      <w:r>
        <w:rPr>
          <w:szCs w:val="26"/>
        </w:rPr>
        <w:t>99–100)</w:t>
      </w:r>
    </w:p>
    <w:p w:rsidR="00E276FF" w:rsidRDefault="00E276FF" w:rsidP="00E276FF">
      <w:pPr>
        <w:pStyle w:val="BodyText"/>
      </w:pPr>
      <w:r>
        <w:t xml:space="preserve">A review of patentable </w:t>
      </w:r>
      <w:r w:rsidR="002577FD">
        <w:t>subject matter</w:t>
      </w:r>
      <w:r>
        <w:t xml:space="preserve"> by the Advisory Council on Intellectual Property (ACIP) also did not support an exemption, noting:</w:t>
      </w:r>
    </w:p>
    <w:p w:rsidR="00E276FF" w:rsidRPr="003E0216" w:rsidRDefault="00E276FF" w:rsidP="00E276FF">
      <w:pPr>
        <w:pStyle w:val="Quote"/>
      </w:pPr>
      <w:r w:rsidRPr="00627FB7">
        <w:t>Improving access to beneficial patented technology is better dealt with through mechanisms other than the test for patentable subject matter. These other mechanisms include providing effi</w:t>
      </w:r>
      <w:r w:rsidR="0047632D">
        <w:t>cient compulsory licensing and C</w:t>
      </w:r>
      <w:r w:rsidRPr="00627FB7">
        <w:t>rown use provisions, allowing experimental use of patented inventions, non-legislative mechanisms such as patent pools, and other targeted government programs.</w:t>
      </w:r>
      <w:r>
        <w:t xml:space="preserve"> (ACIP 2010</w:t>
      </w:r>
      <w:r w:rsidR="002A6987">
        <w:t>c</w:t>
      </w:r>
      <w:r>
        <w:t>, p. 7)</w:t>
      </w:r>
    </w:p>
    <w:p w:rsidR="006D5265" w:rsidRDefault="006D5265" w:rsidP="006D5265">
      <w:pPr>
        <w:pStyle w:val="BodyText"/>
      </w:pPr>
      <w:r>
        <w:t>The Australian Government responded that</w:t>
      </w:r>
      <w:r w:rsidR="00207059">
        <w:t>,</w:t>
      </w:r>
      <w:r>
        <w:t xml:space="preserve"> while it agreed ‘in principle’ not to add an exclusion for genetic material to the Patents Act, it </w:t>
      </w:r>
      <w:r w:rsidR="00083484">
        <w:t>was committed</w:t>
      </w:r>
      <w:r>
        <w:t xml:space="preserve"> to legislating a broader </w:t>
      </w:r>
      <w:r w:rsidRPr="00CF70A9">
        <w:t>exclu</w:t>
      </w:r>
      <w:r>
        <w:t xml:space="preserve">sion aimed at ensuring the </w:t>
      </w:r>
      <w:r w:rsidRPr="00CF70A9">
        <w:t>patent system reflect</w:t>
      </w:r>
      <w:r>
        <w:t>s</w:t>
      </w:r>
      <w:r w:rsidRPr="00CF70A9">
        <w:t xml:space="preserve"> community expectations</w:t>
      </w:r>
      <w:r>
        <w:t>. This exclusion</w:t>
      </w:r>
      <w:r w:rsidR="00083484">
        <w:t>,</w:t>
      </w:r>
      <w:r>
        <w:t xml:space="preserve"> </w:t>
      </w:r>
      <w:r w:rsidR="00083484">
        <w:t>as recommended by ACIP</w:t>
      </w:r>
      <w:r w:rsidR="00FD5758">
        <w:t xml:space="preserve"> (2010</w:t>
      </w:r>
      <w:r w:rsidR="002A6987">
        <w:t>c</w:t>
      </w:r>
      <w:r w:rsidR="00FD5758">
        <w:t>, p. 18)</w:t>
      </w:r>
      <w:r w:rsidR="00083484">
        <w:t xml:space="preserve">, </w:t>
      </w:r>
      <w:r>
        <w:t xml:space="preserve">would cover any patents that would be </w:t>
      </w:r>
      <w:r w:rsidR="00083484">
        <w:t>‘</w:t>
      </w:r>
      <w:r w:rsidRPr="00CF70A9">
        <w:t>wholly offensive to the ordinary reasonable and fully informed member of the Australian public</w:t>
      </w:r>
      <w:r w:rsidR="00083484">
        <w:t>’</w:t>
      </w:r>
      <w:r>
        <w:t>.</w:t>
      </w:r>
    </w:p>
    <w:p w:rsidR="00B43E70" w:rsidRDefault="00B43E70" w:rsidP="00E276FF">
      <w:pPr>
        <w:pStyle w:val="Heading4"/>
      </w:pPr>
      <w:r>
        <w:t>Arguments against a gene patent exclusion</w:t>
      </w:r>
    </w:p>
    <w:p w:rsidR="00B43E70" w:rsidRDefault="00B43E70" w:rsidP="00B43E70">
      <w:pPr>
        <w:pStyle w:val="BodyText"/>
      </w:pPr>
      <w:r>
        <w:t>Th</w:t>
      </w:r>
      <w:r w:rsidR="00790D7C">
        <w:t>e</w:t>
      </w:r>
      <w:r>
        <w:t xml:space="preserve"> </w:t>
      </w:r>
      <w:r w:rsidR="00790D7C">
        <w:t>main argument</w:t>
      </w:r>
      <w:r>
        <w:t xml:space="preserve"> against an exemption in the Patents Act</w:t>
      </w:r>
      <w:r w:rsidR="00590232">
        <w:t xml:space="preserve"> </w:t>
      </w:r>
      <w:r w:rsidR="00790D7C">
        <w:t>is</w:t>
      </w:r>
      <w:r w:rsidR="00590232">
        <w:t xml:space="preserve"> that i</w:t>
      </w:r>
      <w:r w:rsidR="00790D7C">
        <w:t>t</w:t>
      </w:r>
      <w:r w:rsidR="00590232">
        <w:t xml:space="preserve"> would be contrary to </w:t>
      </w:r>
      <w:r>
        <w:t xml:space="preserve">the rationale for patents </w:t>
      </w:r>
      <w:r w:rsidR="00590232">
        <w:t>(</w:t>
      </w:r>
      <w:r>
        <w:t xml:space="preserve">discussed in greater detail in chapter 2). </w:t>
      </w:r>
      <w:r w:rsidR="00790D7C">
        <w:t xml:space="preserve">According to this argument, </w:t>
      </w:r>
      <w:r>
        <w:t>without patents, the high costs of bringing</w:t>
      </w:r>
      <w:r w:rsidRPr="00945DD0">
        <w:t xml:space="preserve"> </w:t>
      </w:r>
      <w:r>
        <w:t>a diagnostic</w:t>
      </w:r>
      <w:r w:rsidRPr="00945DD0">
        <w:t xml:space="preserve"> </w:t>
      </w:r>
      <w:r>
        <w:lastRenderedPageBreak/>
        <w:t>(</w:t>
      </w:r>
      <w:r w:rsidRPr="00945DD0">
        <w:t>such as the BRCA</w:t>
      </w:r>
      <w:r>
        <w:t xml:space="preserve"> </w:t>
      </w:r>
      <w:r w:rsidRPr="00945DD0">
        <w:t>test</w:t>
      </w:r>
      <w:r w:rsidR="00207059">
        <w:t>) to market</w:t>
      </w:r>
      <w:r>
        <w:t xml:space="preserve"> would be prohibitive (IPTA</w:t>
      </w:r>
      <w:r w:rsidR="00997B86">
        <w:t>, sub.</w:t>
      </w:r>
      <w:r w:rsidR="0021492D">
        <w:t xml:space="preserve"> </w:t>
      </w:r>
      <w:r w:rsidR="00997B86">
        <w:t>18</w:t>
      </w:r>
      <w:r>
        <w:t>).</w:t>
      </w:r>
      <w:r w:rsidRPr="00EF10E3">
        <w:t xml:space="preserve"> </w:t>
      </w:r>
      <w:r>
        <w:t xml:space="preserve">The system of patents is seen </w:t>
      </w:r>
      <w:r w:rsidR="00590232">
        <w:t xml:space="preserve">by its proponents </w:t>
      </w:r>
      <w:r>
        <w:t>as vital to facilitate</w:t>
      </w:r>
      <w:r w:rsidRPr="00EF10E3">
        <w:t xml:space="preserve"> investment in the costly, lengthy, and</w:t>
      </w:r>
      <w:r>
        <w:t xml:space="preserve"> </w:t>
      </w:r>
      <w:r w:rsidRPr="00EF10E3">
        <w:t>risky developmental processes required to transform the underlying</w:t>
      </w:r>
      <w:r>
        <w:t xml:space="preserve"> </w:t>
      </w:r>
      <w:r w:rsidRPr="00EF10E3">
        <w:t>biological discoveries and invent</w:t>
      </w:r>
      <w:r>
        <w:t>ions into marketable products (Schilling 2011).</w:t>
      </w:r>
      <w:r w:rsidR="00997B86">
        <w:t xml:space="preserve"> </w:t>
      </w:r>
    </w:p>
    <w:p w:rsidR="00B43E70" w:rsidRDefault="00590232" w:rsidP="00B43E70">
      <w:pPr>
        <w:pStyle w:val="BodyText"/>
      </w:pPr>
      <w:r>
        <w:t xml:space="preserve">Opponents of </w:t>
      </w:r>
      <w:r w:rsidR="00B43E70" w:rsidRPr="006D4B94">
        <w:t>an exemption</w:t>
      </w:r>
      <w:r>
        <w:t xml:space="preserve"> also note that the debate is based on a </w:t>
      </w:r>
      <w:r w:rsidR="00B43E70" w:rsidRPr="006D4B94">
        <w:t>misun</w:t>
      </w:r>
      <w:r w:rsidR="00B43E70">
        <w:t>derstand</w:t>
      </w:r>
      <w:r>
        <w:t>ing of</w:t>
      </w:r>
      <w:r w:rsidR="00B43E70">
        <w:t xml:space="preserve"> what is being patented. The argument is made that those who want the exclusion </w:t>
      </w:r>
      <w:r w:rsidR="00966A68">
        <w:t xml:space="preserve">mistakenly </w:t>
      </w:r>
      <w:r w:rsidR="00B43E70">
        <w:t>fear that genes as they exist i</w:t>
      </w:r>
      <w:r w:rsidR="00966A68">
        <w:t>n the human body are patentable.</w:t>
      </w:r>
      <w:r w:rsidR="00B43E70">
        <w:t xml:space="preserve"> </w:t>
      </w:r>
      <w:r w:rsidR="00966A68">
        <w:t xml:space="preserve">However, in fact they are not, since </w:t>
      </w:r>
      <w:r w:rsidR="00B43E70">
        <w:t>s</w:t>
      </w:r>
      <w:r w:rsidR="00083484">
        <w:t>.</w:t>
      </w:r>
      <w:r w:rsidR="00B43E70">
        <w:t xml:space="preserve"> 18(2) of the Patents Act currently precludes the patenting of human beings and biological processes</w:t>
      </w:r>
      <w:r w:rsidR="00D04960">
        <w:t xml:space="preserve"> for their g</w:t>
      </w:r>
      <w:r w:rsidR="00207059">
        <w:t>eneration (IPTA </w:t>
      </w:r>
      <w:r w:rsidR="00D04960">
        <w:t>2010</w:t>
      </w:r>
      <w:r w:rsidR="00872F45">
        <w:t>).</w:t>
      </w:r>
    </w:p>
    <w:p w:rsidR="000A5B5B" w:rsidRDefault="00590232" w:rsidP="000A5B5B">
      <w:pPr>
        <w:pStyle w:val="BodyText"/>
      </w:pPr>
      <w:r>
        <w:t xml:space="preserve">Advocates of the status quo express a </w:t>
      </w:r>
      <w:r w:rsidR="00B43E70">
        <w:t xml:space="preserve">preference </w:t>
      </w:r>
      <w:r>
        <w:t xml:space="preserve">for </w:t>
      </w:r>
      <w:r w:rsidR="00B43E70" w:rsidRPr="00BE0BC5">
        <w:t>the patent</w:t>
      </w:r>
      <w:r w:rsidR="00207059">
        <w:t>s</w:t>
      </w:r>
      <w:r w:rsidR="00B43E70" w:rsidRPr="00BE0BC5">
        <w:t xml:space="preserve"> system </w:t>
      </w:r>
      <w:r>
        <w:t xml:space="preserve">to </w:t>
      </w:r>
      <w:r w:rsidR="00B43E70">
        <w:t>remain</w:t>
      </w:r>
      <w:r w:rsidR="00207059">
        <w:t xml:space="preserve"> ‘technology</w:t>
      </w:r>
      <w:r w:rsidR="00B43E70" w:rsidRPr="00BE0BC5">
        <w:t xml:space="preserve"> neutral’</w:t>
      </w:r>
      <w:r w:rsidR="0019335E">
        <w:t xml:space="preserve">, since </w:t>
      </w:r>
      <w:r w:rsidR="00B43E70" w:rsidRPr="00BE0BC5">
        <w:t xml:space="preserve">the biotechnology field is moving rapidly and that introducing exemptions could have unforeseen consequences, making some lines of future research unattractive. Technology-specific exceptions affect the flexibility of </w:t>
      </w:r>
      <w:r w:rsidR="00B43E70">
        <w:t>the current statutory framework and</w:t>
      </w:r>
      <w:r w:rsidR="00B43E70" w:rsidRPr="00BE0BC5">
        <w:t xml:space="preserve"> Australian courts have expressed a general reluctance to ‘read in’ further exclusions to patentable subject matter on the basis of ethical or policy considerations</w:t>
      </w:r>
      <w:r w:rsidR="00B43E70">
        <w:t xml:space="preserve"> (SCA</w:t>
      </w:r>
      <w:r w:rsidR="00A905FF">
        <w:t>R</w:t>
      </w:r>
      <w:r w:rsidR="00B43E70">
        <w:t>C 2010)</w:t>
      </w:r>
      <w:r w:rsidR="00B43E70" w:rsidRPr="00BE0BC5">
        <w:t xml:space="preserve">. </w:t>
      </w:r>
      <w:r w:rsidR="00C26241">
        <w:t>A</w:t>
      </w:r>
      <w:r w:rsidR="00B43E70" w:rsidRPr="00BE0BC5">
        <w:t xml:space="preserve">t the time the </w:t>
      </w:r>
      <w:r w:rsidR="00CE0856">
        <w:t xml:space="preserve">Patents </w:t>
      </w:r>
      <w:r w:rsidR="00B43E70" w:rsidRPr="00BE0BC5">
        <w:t xml:space="preserve">Act was drafted and presented to </w:t>
      </w:r>
      <w:r w:rsidR="00B43E70">
        <w:t>P</w:t>
      </w:r>
      <w:r w:rsidR="00B43E70" w:rsidRPr="00BE0BC5">
        <w:t>arliament, it was agreed that the Act would not list specific exclusions on patentable subject matter (Moir, cited in SCA</w:t>
      </w:r>
      <w:r w:rsidR="00A905FF">
        <w:t>R</w:t>
      </w:r>
      <w:r w:rsidR="00B43E70" w:rsidRPr="00BE0BC5">
        <w:t>C 2010).</w:t>
      </w:r>
      <w:r w:rsidR="000A5B5B">
        <w:t xml:space="preserve"> </w:t>
      </w:r>
      <w:r w:rsidR="002E7324">
        <w:t>Some s</w:t>
      </w:r>
      <w:r w:rsidR="000A5B5B">
        <w:t>ubmissions support</w:t>
      </w:r>
      <w:r w:rsidR="002E7324">
        <w:t>ed</w:t>
      </w:r>
      <w:r w:rsidR="000A5B5B">
        <w:t xml:space="preserve"> this approach</w:t>
      </w:r>
      <w:r w:rsidR="005925D1">
        <w:t>. For example, t</w:t>
      </w:r>
      <w:r w:rsidR="000A5B5B" w:rsidRPr="000A5B5B">
        <w:t xml:space="preserve">he Walter and Eliza Hall Institute of Medical </w:t>
      </w:r>
      <w:r w:rsidR="000A5B5B">
        <w:t>Research submitted:</w:t>
      </w:r>
    </w:p>
    <w:p w:rsidR="000A5B5B" w:rsidRDefault="000A5B5B" w:rsidP="000A5B5B">
      <w:pPr>
        <w:pStyle w:val="Quote"/>
      </w:pPr>
      <w:r w:rsidRPr="000A5B5B">
        <w:t>The patent and licensing systems have been faced with new technologies for more than two hundred years and will address many more new technologies without the need for specific technology exemptions.</w:t>
      </w:r>
      <w:r>
        <w:t xml:space="preserve"> (sub. 13, p.</w:t>
      </w:r>
      <w:r w:rsidR="0021492D">
        <w:t xml:space="preserve"> </w:t>
      </w:r>
      <w:r w:rsidR="00D62856">
        <w:t>7</w:t>
      </w:r>
      <w:r>
        <w:t>)</w:t>
      </w:r>
    </w:p>
    <w:p w:rsidR="001838BF" w:rsidRDefault="005925D1" w:rsidP="001838BF">
      <w:pPr>
        <w:pStyle w:val="BodyText"/>
      </w:pPr>
      <w:r>
        <w:t xml:space="preserve">Medicines Australia (sub. 10) </w:t>
      </w:r>
      <w:r w:rsidR="003B12F8">
        <w:t>expressed a similar view. O</w:t>
      </w:r>
      <w:r w:rsidR="007814D1">
        <w:t xml:space="preserve">ther </w:t>
      </w:r>
      <w:r w:rsidR="003B12F8">
        <w:t>participants</w:t>
      </w:r>
      <w:r>
        <w:t xml:space="preserve"> (</w:t>
      </w:r>
      <w:r w:rsidR="00961D72">
        <w:t>Jans</w:t>
      </w:r>
      <w:r w:rsidR="006B030F">
        <w:t>s</w:t>
      </w:r>
      <w:r w:rsidR="00961D72">
        <w:t>en Cilag, sub. 28; Pfizer</w:t>
      </w:r>
      <w:r w:rsidR="006B030F">
        <w:t xml:space="preserve"> Australia</w:t>
      </w:r>
      <w:r w:rsidR="00961D72">
        <w:t>, sub. 24; W</w:t>
      </w:r>
      <w:r w:rsidR="008069DE">
        <w:t xml:space="preserve">alter and </w:t>
      </w:r>
      <w:r w:rsidR="00961D72">
        <w:t>E</w:t>
      </w:r>
      <w:r w:rsidR="008069DE">
        <w:t xml:space="preserve">liza </w:t>
      </w:r>
      <w:r w:rsidR="00961D72">
        <w:t>H</w:t>
      </w:r>
      <w:r w:rsidR="008069DE">
        <w:t xml:space="preserve">all </w:t>
      </w:r>
      <w:r w:rsidR="00961D72">
        <w:t>I</w:t>
      </w:r>
      <w:r w:rsidR="008069DE">
        <w:t>nstitute</w:t>
      </w:r>
      <w:r w:rsidR="00961D72">
        <w:t>, sub. 13</w:t>
      </w:r>
      <w:r>
        <w:t xml:space="preserve">) </w:t>
      </w:r>
      <w:r w:rsidR="00961D72">
        <w:t>a</w:t>
      </w:r>
      <w:r w:rsidR="002E7324">
        <w:t>lso</w:t>
      </w:r>
      <w:r w:rsidR="00961D72">
        <w:t xml:space="preserve"> </w:t>
      </w:r>
      <w:r w:rsidR="00755566">
        <w:t xml:space="preserve">reasoned that there was little </w:t>
      </w:r>
      <w:r w:rsidR="002E7324">
        <w:t xml:space="preserve">need to </w:t>
      </w:r>
      <w:r w:rsidR="001838BF">
        <w:t>change based on what they saw as an anomaly (the BRCA case). As stated by Pfizer</w:t>
      </w:r>
      <w:r w:rsidR="006B030F">
        <w:t xml:space="preserve"> Australia</w:t>
      </w:r>
      <w:r w:rsidR="001838BF">
        <w:t>:</w:t>
      </w:r>
    </w:p>
    <w:p w:rsidR="001838BF" w:rsidRPr="001838BF" w:rsidRDefault="001838BF" w:rsidP="001838BF">
      <w:pPr>
        <w:pStyle w:val="Quote"/>
      </w:pPr>
      <w:r w:rsidRPr="001838BF">
        <w:t xml:space="preserve">A business decision by a single patent holder, since reversed, is not evidence that Australia's entire patent </w:t>
      </w:r>
      <w:r w:rsidR="00207059">
        <w:t>system is fundamentally flawed</w:t>
      </w:r>
      <w:r w:rsidR="00872F45">
        <w:t> </w:t>
      </w:r>
      <w:r>
        <w:t>…</w:t>
      </w:r>
      <w:r w:rsidR="00872F45">
        <w:t> </w:t>
      </w:r>
      <w:r w:rsidRPr="001838BF">
        <w:t>the vast majority of patents on genetic material and technology at work in Australia have not limited research or access to healthcare.</w:t>
      </w:r>
      <w:r>
        <w:t xml:space="preserve"> (sub. 24, p.</w:t>
      </w:r>
      <w:r w:rsidR="0021492D">
        <w:t xml:space="preserve"> </w:t>
      </w:r>
      <w:r w:rsidR="00D62856">
        <w:t>3</w:t>
      </w:r>
      <w:r>
        <w:t>)</w:t>
      </w:r>
    </w:p>
    <w:p w:rsidR="00B43E70" w:rsidRDefault="00B43E70" w:rsidP="00B43E70">
      <w:pPr>
        <w:pStyle w:val="Heading4"/>
      </w:pPr>
      <w:r>
        <w:t>Arguments for a gene patent exclusion</w:t>
      </w:r>
    </w:p>
    <w:p w:rsidR="00BD23B6" w:rsidRDefault="00B43E70" w:rsidP="00B43E70">
      <w:pPr>
        <w:pStyle w:val="BodyText"/>
      </w:pPr>
      <w:r>
        <w:t xml:space="preserve">Beyond legal questions concerning the distinction between an invention and a discovery, those that argue for an exclusion for gene patents usually have ethical concerns about the patenting of genes. These concerns tend to be on the basis </w:t>
      </w:r>
      <w:r w:rsidR="00966A68">
        <w:t xml:space="preserve">that </w:t>
      </w:r>
      <w:r w:rsidR="00966A68">
        <w:lastRenderedPageBreak/>
        <w:t xml:space="preserve">they are </w:t>
      </w:r>
      <w:r>
        <w:t xml:space="preserve">natural </w:t>
      </w:r>
      <w:r>
        <w:rPr>
          <w:szCs w:val="26"/>
        </w:rPr>
        <w:t xml:space="preserve">substances and/or parts of the human body </w:t>
      </w:r>
      <w:r w:rsidR="00207059">
        <w:t>(for example, CCA </w:t>
      </w:r>
      <w:r>
        <w:t>2010; Palombi 2010)</w:t>
      </w:r>
      <w:r>
        <w:rPr>
          <w:szCs w:val="26"/>
        </w:rPr>
        <w:t xml:space="preserve">. </w:t>
      </w:r>
      <w:r w:rsidR="00BD23B6">
        <w:rPr>
          <w:szCs w:val="26"/>
        </w:rPr>
        <w:t xml:space="preserve">The notion of </w:t>
      </w:r>
      <w:r w:rsidR="00A7293C">
        <w:rPr>
          <w:szCs w:val="26"/>
        </w:rPr>
        <w:t xml:space="preserve">profiting from the </w:t>
      </w:r>
      <w:r w:rsidR="00BD23B6">
        <w:rPr>
          <w:szCs w:val="26"/>
        </w:rPr>
        <w:t>private ownership of such things strikes</w:t>
      </w:r>
      <w:r w:rsidR="00D452F0">
        <w:rPr>
          <w:szCs w:val="26"/>
        </w:rPr>
        <w:t xml:space="preserve"> some as an affront to human dignity (Gargano 2005)</w:t>
      </w:r>
      <w:r w:rsidR="00A7293C">
        <w:rPr>
          <w:szCs w:val="26"/>
        </w:rPr>
        <w:t xml:space="preserve">. </w:t>
      </w:r>
      <w:r w:rsidR="00DC3B47">
        <w:t xml:space="preserve">Others have questioned the morality of allowing </w:t>
      </w:r>
      <w:r w:rsidR="00083484">
        <w:t xml:space="preserve">the </w:t>
      </w:r>
      <w:r w:rsidR="00DC3B47">
        <w:t xml:space="preserve">researchers who identify genetic mutations related to a disease to own that mutation. They argue that patients suffering from </w:t>
      </w:r>
      <w:r w:rsidR="00590232">
        <w:t xml:space="preserve">such conditions </w:t>
      </w:r>
      <w:r w:rsidR="00DC3B47">
        <w:t>should have control over the property associated with their disease (Greenfield 2006).</w:t>
      </w:r>
    </w:p>
    <w:p w:rsidR="001610E2" w:rsidRDefault="006B0683" w:rsidP="0022088E">
      <w:pPr>
        <w:pStyle w:val="BodyText"/>
      </w:pPr>
      <w:r>
        <w:t xml:space="preserve">Some concerns are also related to problems that may occur in the future. </w:t>
      </w:r>
      <w:r w:rsidR="0022088E">
        <w:t xml:space="preserve">As noted earlier, new and emerging fields in biotechnology often test the boundaries of the </w:t>
      </w:r>
      <w:r w:rsidR="002577FD">
        <w:t xml:space="preserve">IP </w:t>
      </w:r>
      <w:r w:rsidR="00437849">
        <w:t>system. It may well be that</w:t>
      </w:r>
      <w:r w:rsidR="0022088E">
        <w:t xml:space="preserve"> the patent</w:t>
      </w:r>
      <w:r w:rsidR="003B12F8">
        <w:t>s</w:t>
      </w:r>
      <w:r w:rsidR="0022088E">
        <w:t xml:space="preserve"> system is not compatible with future advances in genetics. For example, s</w:t>
      </w:r>
      <w:r w:rsidR="000C41DA">
        <w:t>ubmissions to t</w:t>
      </w:r>
      <w:r w:rsidR="001610E2">
        <w:t>he Senate Community Affairs Refer</w:t>
      </w:r>
      <w:r w:rsidR="00207059">
        <w:t>ences Committee’s inquiry into gene p</w:t>
      </w:r>
      <w:r w:rsidR="001610E2">
        <w:t xml:space="preserve">atents </w:t>
      </w:r>
      <w:r w:rsidR="000C41DA">
        <w:t xml:space="preserve">raised concerns related to </w:t>
      </w:r>
      <w:r w:rsidR="00437849">
        <w:t xml:space="preserve">tests involving </w:t>
      </w:r>
      <w:r w:rsidR="000C41DA">
        <w:t>multiple genes</w:t>
      </w:r>
      <w:r w:rsidR="0022088E">
        <w:t xml:space="preserve"> (SCARC 2010). The inquiry noted ‘a </w:t>
      </w:r>
      <w:r w:rsidR="001610E2" w:rsidRPr="001610E2">
        <w:t>general</w:t>
      </w:r>
      <w:r w:rsidR="001610E2">
        <w:t xml:space="preserve"> consensus that the trend in genetic testing</w:t>
      </w:r>
      <w:r w:rsidR="006A088D">
        <w:t xml:space="preserve"> </w:t>
      </w:r>
      <w:r w:rsidR="001610E2" w:rsidRPr="001610E2">
        <w:t>and treatment would move toward testing multiple genes or whole patient genomes as</w:t>
      </w:r>
      <w:r w:rsidR="006A088D">
        <w:t xml:space="preserve"> testing techniques improve and the cost of te</w:t>
      </w:r>
      <w:r w:rsidR="001610E2" w:rsidRPr="001610E2">
        <w:t>sting decreases</w:t>
      </w:r>
      <w:r w:rsidR="003B12F8">
        <w:t>’ (SCARC</w:t>
      </w:r>
      <w:r w:rsidR="0022088E">
        <w:t xml:space="preserve"> 2010, p. 46)</w:t>
      </w:r>
      <w:r w:rsidR="001610E2" w:rsidRPr="001610E2">
        <w:t xml:space="preserve">. </w:t>
      </w:r>
      <w:r w:rsidR="0022088E">
        <w:t xml:space="preserve">The concern related to this trend is that testing facilities may have to negotiate multiple patents to provide tests. This could be a barrier to more </w:t>
      </w:r>
      <w:r w:rsidR="001610E2" w:rsidRPr="001610E2">
        <w:t>personalise</w:t>
      </w:r>
      <w:r w:rsidR="0022088E">
        <w:t>d and targeted</w:t>
      </w:r>
      <w:r w:rsidR="001610E2" w:rsidRPr="001610E2">
        <w:t xml:space="preserve"> treatment</w:t>
      </w:r>
      <w:r w:rsidR="006A088D">
        <w:t xml:space="preserve">. </w:t>
      </w:r>
    </w:p>
    <w:p w:rsidR="00AE6B34" w:rsidRDefault="00B43E70" w:rsidP="00B43E70">
      <w:pPr>
        <w:pStyle w:val="BodyText"/>
        <w:rPr>
          <w:szCs w:val="26"/>
        </w:rPr>
      </w:pPr>
      <w:r>
        <w:rPr>
          <w:szCs w:val="26"/>
        </w:rPr>
        <w:t xml:space="preserve">In addition, </w:t>
      </w:r>
      <w:r w:rsidR="00DC3B47">
        <w:rPr>
          <w:szCs w:val="26"/>
        </w:rPr>
        <w:t>there are more utilitarian objections to gene patenting. F</w:t>
      </w:r>
      <w:r w:rsidR="00F75A79">
        <w:rPr>
          <w:szCs w:val="26"/>
        </w:rPr>
        <w:t>irst</w:t>
      </w:r>
      <w:r w:rsidR="00DC3B47">
        <w:rPr>
          <w:szCs w:val="26"/>
        </w:rPr>
        <w:t>, t</w:t>
      </w:r>
      <w:r w:rsidR="00FB2BB7">
        <w:rPr>
          <w:szCs w:val="26"/>
        </w:rPr>
        <w:t xml:space="preserve">here is a large literature that argues that gene patents block further research (for example, </w:t>
      </w:r>
      <w:r w:rsidR="00590232">
        <w:rPr>
          <w:szCs w:val="26"/>
        </w:rPr>
        <w:t>Andrews et al</w:t>
      </w:r>
      <w:r w:rsidR="001713E1">
        <w:rPr>
          <w:szCs w:val="26"/>
        </w:rPr>
        <w:t>.</w:t>
      </w:r>
      <w:r w:rsidR="00590232">
        <w:rPr>
          <w:szCs w:val="26"/>
        </w:rPr>
        <w:t xml:space="preserve"> 2006; </w:t>
      </w:r>
      <w:r w:rsidR="00507064">
        <w:rPr>
          <w:szCs w:val="26"/>
        </w:rPr>
        <w:t>Heller and Eisenberg 1998</w:t>
      </w:r>
      <w:r w:rsidR="00DC3B47">
        <w:rPr>
          <w:szCs w:val="26"/>
        </w:rPr>
        <w:t xml:space="preserve">). </w:t>
      </w:r>
      <w:r w:rsidR="00553592">
        <w:rPr>
          <w:szCs w:val="26"/>
        </w:rPr>
        <w:t>However, recent legislation i</w:t>
      </w:r>
      <w:r w:rsidR="0019335E">
        <w:rPr>
          <w:szCs w:val="26"/>
        </w:rPr>
        <w:t>n Australia</w:t>
      </w:r>
      <w:r w:rsidR="00553592">
        <w:rPr>
          <w:szCs w:val="26"/>
        </w:rPr>
        <w:t xml:space="preserve"> should </w:t>
      </w:r>
      <w:r w:rsidR="00083484">
        <w:rPr>
          <w:szCs w:val="26"/>
        </w:rPr>
        <w:t>address many</w:t>
      </w:r>
      <w:r w:rsidR="00553592">
        <w:rPr>
          <w:szCs w:val="26"/>
        </w:rPr>
        <w:t xml:space="preserve"> of these concerns </w:t>
      </w:r>
      <w:r w:rsidR="0019335E">
        <w:rPr>
          <w:szCs w:val="26"/>
        </w:rPr>
        <w:t xml:space="preserve">for </w:t>
      </w:r>
      <w:r w:rsidR="00553592">
        <w:rPr>
          <w:szCs w:val="26"/>
        </w:rPr>
        <w:t>domestic</w:t>
      </w:r>
      <w:r w:rsidR="0019335E">
        <w:rPr>
          <w:szCs w:val="26"/>
        </w:rPr>
        <w:t xml:space="preserve"> researchers</w:t>
      </w:r>
      <w:r w:rsidR="00553592">
        <w:rPr>
          <w:szCs w:val="26"/>
        </w:rPr>
        <w:t>. T</w:t>
      </w:r>
      <w:r w:rsidR="00553592" w:rsidRPr="00553592">
        <w:rPr>
          <w:szCs w:val="26"/>
        </w:rPr>
        <w:t xml:space="preserve">he </w:t>
      </w:r>
      <w:r w:rsidR="00553592">
        <w:rPr>
          <w:szCs w:val="26"/>
        </w:rPr>
        <w:t xml:space="preserve">passing of the </w:t>
      </w:r>
      <w:r w:rsidR="00553592" w:rsidRPr="00553592">
        <w:rPr>
          <w:szCs w:val="26"/>
        </w:rPr>
        <w:t>‘Raising the Bar’ Act amended the Patents Act to allow use of a patented invention for experimental purposes without the authorisation of the patent owner</w:t>
      </w:r>
      <w:r w:rsidR="006B1FD4">
        <w:rPr>
          <w:szCs w:val="26"/>
        </w:rPr>
        <w:t xml:space="preserve"> </w:t>
      </w:r>
      <w:r w:rsidR="00DA42CD">
        <w:rPr>
          <w:szCs w:val="26"/>
        </w:rPr>
        <w:t>(</w:t>
      </w:r>
      <w:r w:rsidR="00966A68">
        <w:rPr>
          <w:szCs w:val="26"/>
        </w:rPr>
        <w:t>c</w:t>
      </w:r>
      <w:r w:rsidR="00553592">
        <w:rPr>
          <w:szCs w:val="26"/>
        </w:rPr>
        <w:t>hapter 8</w:t>
      </w:r>
      <w:r w:rsidR="00DA42CD">
        <w:rPr>
          <w:szCs w:val="26"/>
        </w:rPr>
        <w:t>).</w:t>
      </w:r>
    </w:p>
    <w:p w:rsidR="00B43E70" w:rsidRDefault="00F75A79" w:rsidP="00B43E70">
      <w:pPr>
        <w:pStyle w:val="BodyText"/>
        <w:rPr>
          <w:szCs w:val="26"/>
        </w:rPr>
      </w:pPr>
      <w:r>
        <w:t>Second, there are the previously mentioned c</w:t>
      </w:r>
      <w:r w:rsidR="00B43E70">
        <w:t>oncerns about access</w:t>
      </w:r>
      <w:r w:rsidR="002A0F79">
        <w:t xml:space="preserve"> to</w:t>
      </w:r>
      <w:r w:rsidR="00207059">
        <w:t xml:space="preserve"> health</w:t>
      </w:r>
      <w:r w:rsidR="00B43E70">
        <w:t>care</w:t>
      </w:r>
      <w:r w:rsidR="006B1FD4">
        <w:t xml:space="preserve">. In addition to </w:t>
      </w:r>
      <w:r w:rsidR="00966A68">
        <w:t xml:space="preserve">the </w:t>
      </w:r>
      <w:r w:rsidR="002B507C">
        <w:t>aforementioned BRCA case, there is wider</w:t>
      </w:r>
      <w:r w:rsidR="00AD1A4A">
        <w:t xml:space="preserve"> concern about the effect that p</w:t>
      </w:r>
      <w:r w:rsidR="002B507C">
        <w:t xml:space="preserve">atents have on the affordability of medical treatment. </w:t>
      </w:r>
      <w:r w:rsidR="002A0F79">
        <w:t xml:space="preserve">In the US, a report by the </w:t>
      </w:r>
      <w:r w:rsidR="002A0F79" w:rsidRPr="002A0F79">
        <w:t>Secretary’s Advisory Committee on Genetics, Health, and Society</w:t>
      </w:r>
      <w:r w:rsidR="002A0F79">
        <w:t xml:space="preserve"> on gene patents and their effect on patient access to genetic tests concluded that ‘[w]here </w:t>
      </w:r>
      <w:r w:rsidR="002A0F79" w:rsidRPr="002A0F79">
        <w:t>patents and licensing practices have created a sole provider of a genetic test, patient acc</w:t>
      </w:r>
      <w:r w:rsidR="00207059">
        <w:t>ess to those tests has suffered</w:t>
      </w:r>
      <w:r w:rsidR="002A0F79">
        <w:t>’(S</w:t>
      </w:r>
      <w:r w:rsidR="00507064">
        <w:t>A</w:t>
      </w:r>
      <w:r w:rsidR="002A0F79">
        <w:t>C</w:t>
      </w:r>
      <w:r w:rsidR="00507064">
        <w:t>GHS 2010</w:t>
      </w:r>
      <w:r w:rsidR="002A0F79">
        <w:t xml:space="preserve">, p. 3). </w:t>
      </w:r>
      <w:r w:rsidR="007D62A1">
        <w:rPr>
          <w:szCs w:val="26"/>
        </w:rPr>
        <w:t>The Royal College of Pathologists</w:t>
      </w:r>
      <w:r w:rsidR="00945EF1">
        <w:rPr>
          <w:szCs w:val="26"/>
        </w:rPr>
        <w:t xml:space="preserve"> </w:t>
      </w:r>
      <w:r w:rsidR="006B030F">
        <w:rPr>
          <w:szCs w:val="26"/>
        </w:rPr>
        <w:t xml:space="preserve">of Australasia </w:t>
      </w:r>
      <w:r w:rsidR="00945EF1">
        <w:rPr>
          <w:szCs w:val="26"/>
        </w:rPr>
        <w:t>(sub. 16,</w:t>
      </w:r>
      <w:r w:rsidR="007D62A1">
        <w:rPr>
          <w:szCs w:val="26"/>
        </w:rPr>
        <w:t xml:space="preserve"> attachment 5) cited a number of </w:t>
      </w:r>
      <w:r w:rsidR="002A0F79">
        <w:rPr>
          <w:szCs w:val="26"/>
        </w:rPr>
        <w:t xml:space="preserve">Australian </w:t>
      </w:r>
      <w:r w:rsidR="007D62A1">
        <w:rPr>
          <w:szCs w:val="26"/>
        </w:rPr>
        <w:t>examples</w:t>
      </w:r>
      <w:r>
        <w:rPr>
          <w:szCs w:val="26"/>
        </w:rPr>
        <w:t xml:space="preserve"> in which </w:t>
      </w:r>
      <w:r w:rsidR="007D62A1">
        <w:rPr>
          <w:szCs w:val="26"/>
        </w:rPr>
        <w:t>patent holders charg</w:t>
      </w:r>
      <w:r>
        <w:rPr>
          <w:szCs w:val="26"/>
        </w:rPr>
        <w:t xml:space="preserve">e </w:t>
      </w:r>
      <w:r w:rsidR="007D62A1">
        <w:rPr>
          <w:szCs w:val="26"/>
        </w:rPr>
        <w:t xml:space="preserve">a higher price for genetic tests than </w:t>
      </w:r>
      <w:r>
        <w:rPr>
          <w:szCs w:val="26"/>
        </w:rPr>
        <w:t xml:space="preserve">those tests </w:t>
      </w:r>
      <w:r w:rsidR="007D62A1">
        <w:rPr>
          <w:szCs w:val="26"/>
        </w:rPr>
        <w:t>would cost to conduct in</w:t>
      </w:r>
      <w:r w:rsidR="009B12C4">
        <w:rPr>
          <w:szCs w:val="26"/>
        </w:rPr>
        <w:t xml:space="preserve">-house. For example, tests of the IgH and TCR gene rearrangements for </w:t>
      </w:r>
      <w:r w:rsidR="009B12C4" w:rsidRPr="009B12C4">
        <w:rPr>
          <w:szCs w:val="26"/>
        </w:rPr>
        <w:t>lymphoproliferative disorders or acute myeloid leukaemia</w:t>
      </w:r>
      <w:r w:rsidR="00CF307E">
        <w:rPr>
          <w:szCs w:val="26"/>
        </w:rPr>
        <w:t>, cost $292 using Invivos</w:t>
      </w:r>
      <w:r w:rsidR="009B12C4">
        <w:rPr>
          <w:szCs w:val="26"/>
        </w:rPr>
        <w:t>cribe Technologies’ patented test, but could be tested in-house for $28 per patient (sub. 1</w:t>
      </w:r>
      <w:r w:rsidR="00945EF1">
        <w:rPr>
          <w:szCs w:val="26"/>
        </w:rPr>
        <w:t>6,</w:t>
      </w:r>
      <w:r w:rsidR="009B12C4">
        <w:rPr>
          <w:szCs w:val="26"/>
        </w:rPr>
        <w:t xml:space="preserve"> attachment 5). </w:t>
      </w:r>
      <w:r w:rsidR="0019335E">
        <w:rPr>
          <w:szCs w:val="26"/>
        </w:rPr>
        <w:t xml:space="preserve">The </w:t>
      </w:r>
      <w:r w:rsidR="009B12C4">
        <w:rPr>
          <w:szCs w:val="26"/>
        </w:rPr>
        <w:t xml:space="preserve">higher price </w:t>
      </w:r>
      <w:r>
        <w:rPr>
          <w:szCs w:val="26"/>
        </w:rPr>
        <w:t xml:space="preserve">of </w:t>
      </w:r>
      <w:r w:rsidR="0019335E">
        <w:rPr>
          <w:szCs w:val="26"/>
        </w:rPr>
        <w:t xml:space="preserve">patented </w:t>
      </w:r>
      <w:r>
        <w:rPr>
          <w:szCs w:val="26"/>
        </w:rPr>
        <w:t>test</w:t>
      </w:r>
      <w:r w:rsidR="0019335E">
        <w:rPr>
          <w:szCs w:val="26"/>
        </w:rPr>
        <w:t xml:space="preserve">s </w:t>
      </w:r>
      <w:r w:rsidR="00151265">
        <w:rPr>
          <w:szCs w:val="26"/>
        </w:rPr>
        <w:t xml:space="preserve">may provide the incentive to invest </w:t>
      </w:r>
      <w:r w:rsidR="0019335E">
        <w:rPr>
          <w:szCs w:val="26"/>
        </w:rPr>
        <w:t xml:space="preserve">in </w:t>
      </w:r>
      <w:r w:rsidR="009B12C4">
        <w:rPr>
          <w:szCs w:val="26"/>
        </w:rPr>
        <w:t>research and development</w:t>
      </w:r>
      <w:r>
        <w:rPr>
          <w:szCs w:val="26"/>
        </w:rPr>
        <w:t>,</w:t>
      </w:r>
      <w:r w:rsidR="00CD47CC">
        <w:rPr>
          <w:szCs w:val="26"/>
        </w:rPr>
        <w:t xml:space="preserve"> </w:t>
      </w:r>
      <w:r w:rsidR="00151265">
        <w:rPr>
          <w:szCs w:val="26"/>
        </w:rPr>
        <w:t xml:space="preserve">that may otherwise not </w:t>
      </w:r>
      <w:r w:rsidR="00151265">
        <w:rPr>
          <w:szCs w:val="26"/>
        </w:rPr>
        <w:lastRenderedPageBreak/>
        <w:t xml:space="preserve">eventuate. </w:t>
      </w:r>
      <w:r>
        <w:rPr>
          <w:szCs w:val="26"/>
        </w:rPr>
        <w:t>Nevertheless</w:t>
      </w:r>
      <w:r w:rsidR="00CD47CC">
        <w:rPr>
          <w:szCs w:val="26"/>
        </w:rPr>
        <w:t xml:space="preserve"> it does not alter the fact that</w:t>
      </w:r>
      <w:r w:rsidR="006E7D97">
        <w:rPr>
          <w:szCs w:val="26"/>
        </w:rPr>
        <w:t xml:space="preserve"> the cost of treatment is increased.</w:t>
      </w:r>
    </w:p>
    <w:p w:rsidR="00E41B96" w:rsidRDefault="00E41B96" w:rsidP="00E41B96">
      <w:pPr>
        <w:pStyle w:val="Heading3"/>
      </w:pPr>
      <w:r>
        <w:t>Is there a case for safeguards to ensure healthcare access?</w:t>
      </w:r>
    </w:p>
    <w:p w:rsidR="008A0CE1" w:rsidRDefault="00B34A70" w:rsidP="00B34A70">
      <w:pPr>
        <w:pStyle w:val="BodyText"/>
      </w:pPr>
      <w:r>
        <w:t>T</w:t>
      </w:r>
      <w:r w:rsidRPr="00C37DE9">
        <w:t>he terms of reference</w:t>
      </w:r>
      <w:r>
        <w:t xml:space="preserve"> for this inquiry</w:t>
      </w:r>
      <w:r w:rsidRPr="00C37DE9">
        <w:t xml:space="preserve"> ask the Commission</w:t>
      </w:r>
      <w:r w:rsidR="00377545">
        <w:t xml:space="preserve"> </w:t>
      </w:r>
      <w:r w:rsidRPr="00C37DE9">
        <w:t>to consider concerns that gene patents may hinder access to affordable healthcare.</w:t>
      </w:r>
      <w:r>
        <w:t xml:space="preserve"> </w:t>
      </w:r>
      <w:r w:rsidR="008A0CE1">
        <w:t>The Commission recognises that several thorough reviews have looked at this issue and all have come to the conclusion</w:t>
      </w:r>
      <w:r w:rsidR="00377545">
        <w:t xml:space="preserve"> that specifically excluding genes from the patent system is unwarranted. Instead they advocated the use of other mechanisms in addressing this problem. This includes compulsory licensing, the subject of this inquiry.</w:t>
      </w:r>
    </w:p>
    <w:p w:rsidR="00EA35E8" w:rsidRDefault="00B34A70" w:rsidP="00B34A70">
      <w:pPr>
        <w:pStyle w:val="BodyText"/>
      </w:pPr>
      <w:r>
        <w:t>L</w:t>
      </w:r>
      <w:r w:rsidR="00EA35E8">
        <w:t>ike the</w:t>
      </w:r>
      <w:r w:rsidR="00377545">
        <w:t>se</w:t>
      </w:r>
      <w:r w:rsidR="00EA35E8">
        <w:t xml:space="preserve"> past reviews</w:t>
      </w:r>
      <w:r w:rsidR="00377545">
        <w:t>,</w:t>
      </w:r>
      <w:r w:rsidR="00EA35E8">
        <w:t xml:space="preserve"> the Commission </w:t>
      </w:r>
      <w:r>
        <w:t xml:space="preserve">does not see </w:t>
      </w:r>
      <w:r w:rsidR="00EA35E8">
        <w:t>a case for adding an exemption for gene</w:t>
      </w:r>
      <w:r>
        <w:t>tic material to the Patents Act but recognises</w:t>
      </w:r>
      <w:r w:rsidR="00EA35E8">
        <w:t xml:space="preserve"> </w:t>
      </w:r>
      <w:r>
        <w:t xml:space="preserve">that there is a prima facie case for the Government to </w:t>
      </w:r>
      <w:r w:rsidR="00EA35E8">
        <w:t>ensur</w:t>
      </w:r>
      <w:r>
        <w:t>e</w:t>
      </w:r>
      <w:r w:rsidR="00EA35E8">
        <w:t xml:space="preserve"> equitable healthcare access. </w:t>
      </w:r>
      <w:r w:rsidR="003C6994">
        <w:t xml:space="preserve">While the controversy over the BRCA gene patents may be subsiding, the fast moving nature of medical science and biotechnology </w:t>
      </w:r>
      <w:r w:rsidR="004E2D8B">
        <w:t>could present future challenges for the patent</w:t>
      </w:r>
      <w:r w:rsidR="003970A2">
        <w:t>s</w:t>
      </w:r>
      <w:r w:rsidR="004E2D8B">
        <w:t xml:space="preserve"> system. </w:t>
      </w:r>
      <w:r>
        <w:t>As such</w:t>
      </w:r>
      <w:r w:rsidR="00EA35E8">
        <w:t xml:space="preserve">, the Commission accepts that there is a case for efficient and effective safeguards to address concerns about the patent systems impact on access to healthcare. </w:t>
      </w:r>
      <w:r w:rsidR="00377545">
        <w:t xml:space="preserve">Such </w:t>
      </w:r>
      <w:r w:rsidR="00EA35E8">
        <w:t xml:space="preserve">safeguards </w:t>
      </w:r>
      <w:r>
        <w:t>are examined in</w:t>
      </w:r>
      <w:r w:rsidR="00F75A79">
        <w:t xml:space="preserve"> </w:t>
      </w:r>
      <w:r>
        <w:t xml:space="preserve">later chapters and </w:t>
      </w:r>
      <w:r w:rsidR="00EA35E8">
        <w:t>include</w:t>
      </w:r>
      <w:r>
        <w:t>,</w:t>
      </w:r>
      <w:r w:rsidR="00EA35E8">
        <w:t xml:space="preserve"> compulsory licensing (chapter 6), Crown use (chapter 7) and a range of </w:t>
      </w:r>
      <w:r w:rsidR="00207059">
        <w:t xml:space="preserve">other </w:t>
      </w:r>
      <w:r w:rsidR="00EA35E8">
        <w:t xml:space="preserve">alternative mechanisms (chapter 9) including: </w:t>
      </w:r>
    </w:p>
    <w:p w:rsidR="00EA35E8" w:rsidRPr="00EA35E8" w:rsidRDefault="00EA35E8" w:rsidP="00EA35E8">
      <w:pPr>
        <w:pStyle w:val="ListBullet"/>
      </w:pPr>
      <w:r w:rsidRPr="00EA35E8">
        <w:t>special compulsory licensing</w:t>
      </w:r>
      <w:r w:rsidR="00D230E7">
        <w:t xml:space="preserve"> arrangements for public health</w:t>
      </w:r>
    </w:p>
    <w:p w:rsidR="00EA35E8" w:rsidRPr="00390AB5" w:rsidRDefault="00EA35E8" w:rsidP="00EA35E8">
      <w:pPr>
        <w:pStyle w:val="ListBullet"/>
      </w:pPr>
      <w:r w:rsidRPr="00390AB5">
        <w:t xml:space="preserve">a specific exemption for diagnostic, therapeutic and surgical methods, which some countries have adopted and is allowed by the </w:t>
      </w:r>
      <w:r w:rsidR="007C23EB">
        <w:t xml:space="preserve">Agreement on </w:t>
      </w:r>
      <w:r w:rsidR="007C23EB" w:rsidRPr="007C23EB">
        <w:rPr>
          <w:rStyle w:val="BodyTextChar"/>
          <w:lang w:val="en"/>
        </w:rPr>
        <w:t>Trade Related Aspects of Intellectual Property Rights</w:t>
      </w:r>
      <w:r w:rsidR="007C23EB" w:rsidRPr="007C23EB">
        <w:rPr>
          <w:lang w:val="en"/>
        </w:rPr>
        <w:t xml:space="preserve"> </w:t>
      </w:r>
      <w:r w:rsidR="007C23EB">
        <w:t>(</w:t>
      </w:r>
      <w:r w:rsidR="00B66921">
        <w:t>TRIPS a</w:t>
      </w:r>
      <w:r w:rsidRPr="00390AB5">
        <w:t>greement</w:t>
      </w:r>
      <w:r w:rsidR="007C23EB">
        <w:t>)</w:t>
      </w:r>
    </w:p>
    <w:p w:rsidR="00EA35E8" w:rsidRPr="00390AB5" w:rsidRDefault="00EA35E8" w:rsidP="00EA35E8">
      <w:pPr>
        <w:pStyle w:val="ListBullet"/>
      </w:pPr>
      <w:r w:rsidRPr="00390AB5">
        <w:t>use of government purchasing power in health to push down the cost of patented diagnosti</w:t>
      </w:r>
      <w:r w:rsidR="00D230E7">
        <w:t>c and therapeutic technologies.</w:t>
      </w:r>
    </w:p>
    <w:p w:rsidR="00C25673" w:rsidRDefault="00BE5F8F" w:rsidP="00C25673">
      <w:pPr>
        <w:pStyle w:val="Heading2"/>
      </w:pPr>
      <w:r>
        <w:t>5.</w:t>
      </w:r>
      <w:r>
        <w:rPr>
          <w:noProof/>
        </w:rPr>
        <w:t>2</w:t>
      </w:r>
      <w:r w:rsidR="00C25673">
        <w:tab/>
        <w:t>Standard essential patents</w:t>
      </w:r>
    </w:p>
    <w:p w:rsidR="009F2160" w:rsidRDefault="00471FF9" w:rsidP="00471FF9">
      <w:pPr>
        <w:spacing w:before="240" w:line="320" w:lineRule="atLeast"/>
        <w:jc w:val="both"/>
        <w:rPr>
          <w:szCs w:val="20"/>
        </w:rPr>
      </w:pPr>
      <w:r w:rsidRPr="00471FF9">
        <w:rPr>
          <w:szCs w:val="20"/>
        </w:rPr>
        <w:t xml:space="preserve">A standard essential patent is a patent on an invention that is required to practise </w:t>
      </w:r>
      <w:r w:rsidR="00EA67D1">
        <w:rPr>
          <w:szCs w:val="20"/>
        </w:rPr>
        <w:t>an industry standard</w:t>
      </w:r>
      <w:r w:rsidRPr="00471FF9">
        <w:rPr>
          <w:szCs w:val="20"/>
        </w:rPr>
        <w:t xml:space="preserve">. </w:t>
      </w:r>
      <w:r w:rsidR="0051064E">
        <w:rPr>
          <w:szCs w:val="20"/>
        </w:rPr>
        <w:t xml:space="preserve">Standards can be useful in defining safety </w:t>
      </w:r>
      <w:r w:rsidR="00841F6F">
        <w:rPr>
          <w:szCs w:val="20"/>
        </w:rPr>
        <w:t>and/</w:t>
      </w:r>
      <w:r w:rsidR="0051064E">
        <w:rPr>
          <w:szCs w:val="20"/>
        </w:rPr>
        <w:t>or quality</w:t>
      </w:r>
      <w:r w:rsidR="00841F6F">
        <w:rPr>
          <w:szCs w:val="20"/>
        </w:rPr>
        <w:t xml:space="preserve"> </w:t>
      </w:r>
      <w:r w:rsidR="0051064E">
        <w:rPr>
          <w:szCs w:val="20"/>
        </w:rPr>
        <w:t>parameters</w:t>
      </w:r>
      <w:r w:rsidR="00841F6F">
        <w:rPr>
          <w:szCs w:val="20"/>
        </w:rPr>
        <w:t>,</w:t>
      </w:r>
      <w:r w:rsidR="0051064E">
        <w:rPr>
          <w:szCs w:val="20"/>
        </w:rPr>
        <w:t xml:space="preserve"> </w:t>
      </w:r>
      <w:r w:rsidR="00841F6F">
        <w:rPr>
          <w:szCs w:val="20"/>
        </w:rPr>
        <w:t>or ensuring</w:t>
      </w:r>
      <w:r w:rsidR="0051064E">
        <w:rPr>
          <w:szCs w:val="20"/>
        </w:rPr>
        <w:t xml:space="preserve"> a level of inter-operability </w:t>
      </w:r>
      <w:r w:rsidR="00EA67D1">
        <w:rPr>
          <w:szCs w:val="20"/>
        </w:rPr>
        <w:t>between products (Lindsay</w:t>
      </w:r>
      <w:r w:rsidR="007814D1">
        <w:rPr>
          <w:szCs w:val="20"/>
        </w:rPr>
        <w:t> </w:t>
      </w:r>
      <w:r w:rsidR="00EA67D1">
        <w:rPr>
          <w:szCs w:val="20"/>
        </w:rPr>
        <w:t xml:space="preserve">2012). </w:t>
      </w:r>
      <w:r w:rsidR="00793286">
        <w:rPr>
          <w:szCs w:val="20"/>
        </w:rPr>
        <w:t>I</w:t>
      </w:r>
      <w:r w:rsidR="009F2160">
        <w:rPr>
          <w:szCs w:val="20"/>
        </w:rPr>
        <w:t>nter</w:t>
      </w:r>
      <w:r w:rsidR="001E1986">
        <w:rPr>
          <w:szCs w:val="20"/>
        </w:rPr>
        <w:t>-</w:t>
      </w:r>
      <w:r w:rsidR="009F2160">
        <w:rPr>
          <w:szCs w:val="20"/>
        </w:rPr>
        <w:t xml:space="preserve">operability </w:t>
      </w:r>
      <w:r w:rsidR="007814D1">
        <w:rPr>
          <w:szCs w:val="20"/>
        </w:rPr>
        <w:t xml:space="preserve">is </w:t>
      </w:r>
      <w:r w:rsidR="00841F6F">
        <w:rPr>
          <w:szCs w:val="20"/>
        </w:rPr>
        <w:t>particularly important</w:t>
      </w:r>
      <w:r w:rsidR="009E7639">
        <w:rPr>
          <w:szCs w:val="20"/>
        </w:rPr>
        <w:t xml:space="preserve"> </w:t>
      </w:r>
      <w:r w:rsidR="009F2160" w:rsidRPr="00471FF9">
        <w:t xml:space="preserve">in areas such as telecommunications, </w:t>
      </w:r>
      <w:r w:rsidR="001E1986">
        <w:t>i</w:t>
      </w:r>
      <w:r w:rsidR="009F2160" w:rsidRPr="00471FF9">
        <w:t>nformation</w:t>
      </w:r>
      <w:r w:rsidR="009F2160">
        <w:t xml:space="preserve"> </w:t>
      </w:r>
      <w:r w:rsidR="001E1986">
        <w:t>technology, and consumer e</w:t>
      </w:r>
      <w:r w:rsidR="009F2160" w:rsidRPr="00471FF9">
        <w:t>lectronics</w:t>
      </w:r>
      <w:r w:rsidR="00D230E7">
        <w:t xml:space="preserve"> (Bekkers et </w:t>
      </w:r>
      <w:r w:rsidR="001E1986">
        <w:t>al</w:t>
      </w:r>
      <w:r w:rsidR="009F2160" w:rsidRPr="00471FF9">
        <w:t xml:space="preserve">. </w:t>
      </w:r>
      <w:r w:rsidR="001E1986">
        <w:t xml:space="preserve">2011). Some </w:t>
      </w:r>
      <w:r w:rsidR="001E0E7A">
        <w:t xml:space="preserve">standard essential </w:t>
      </w:r>
      <w:r w:rsidR="009F2160" w:rsidRPr="00471FF9">
        <w:rPr>
          <w:szCs w:val="20"/>
        </w:rPr>
        <w:t>patents, for example those related to 3G wireless technology in telecommunications, can be crucial for entire industries.</w:t>
      </w:r>
    </w:p>
    <w:p w:rsidR="00627E19" w:rsidRDefault="007C1923" w:rsidP="009F2160">
      <w:pPr>
        <w:spacing w:before="240" w:line="320" w:lineRule="atLeast"/>
        <w:jc w:val="both"/>
        <w:rPr>
          <w:szCs w:val="20"/>
        </w:rPr>
      </w:pPr>
      <w:r>
        <w:rPr>
          <w:szCs w:val="20"/>
        </w:rPr>
        <w:lastRenderedPageBreak/>
        <w:t>Although some standards emerge organically</w:t>
      </w:r>
      <w:r w:rsidR="00771CA1">
        <w:rPr>
          <w:szCs w:val="20"/>
        </w:rPr>
        <w:t xml:space="preserve"> and remain unofficial</w:t>
      </w:r>
      <w:r>
        <w:rPr>
          <w:szCs w:val="20"/>
        </w:rPr>
        <w:t xml:space="preserve">, </w:t>
      </w:r>
      <w:r w:rsidR="00771CA1">
        <w:rPr>
          <w:szCs w:val="20"/>
        </w:rPr>
        <w:t xml:space="preserve">many </w:t>
      </w:r>
      <w:r w:rsidR="00EA67D1">
        <w:rPr>
          <w:szCs w:val="20"/>
        </w:rPr>
        <w:t>standards are</w:t>
      </w:r>
      <w:r>
        <w:rPr>
          <w:szCs w:val="20"/>
        </w:rPr>
        <w:t xml:space="preserve"> </w:t>
      </w:r>
      <w:r w:rsidR="00F932C3">
        <w:rPr>
          <w:szCs w:val="20"/>
        </w:rPr>
        <w:t xml:space="preserve">made official and </w:t>
      </w:r>
      <w:r w:rsidR="00EA67D1">
        <w:rPr>
          <w:szCs w:val="20"/>
        </w:rPr>
        <w:t xml:space="preserve">set </w:t>
      </w:r>
      <w:r w:rsidR="00793286">
        <w:rPr>
          <w:szCs w:val="20"/>
        </w:rPr>
        <w:t xml:space="preserve">collectively </w:t>
      </w:r>
      <w:r w:rsidR="00EA67D1">
        <w:rPr>
          <w:szCs w:val="20"/>
        </w:rPr>
        <w:t>by firms</w:t>
      </w:r>
      <w:r>
        <w:rPr>
          <w:szCs w:val="20"/>
        </w:rPr>
        <w:t>,</w:t>
      </w:r>
      <w:r w:rsidR="00EA67D1">
        <w:rPr>
          <w:szCs w:val="20"/>
        </w:rPr>
        <w:t xml:space="preserve"> through a standard</w:t>
      </w:r>
      <w:r w:rsidR="00FF1A0B">
        <w:rPr>
          <w:szCs w:val="20"/>
        </w:rPr>
        <w:t xml:space="preserve">s development </w:t>
      </w:r>
      <w:r w:rsidR="00EA67D1">
        <w:rPr>
          <w:szCs w:val="20"/>
        </w:rPr>
        <w:t xml:space="preserve">organisation </w:t>
      </w:r>
      <w:r w:rsidR="00FF1A0B">
        <w:rPr>
          <w:szCs w:val="20"/>
        </w:rPr>
        <w:t>(SD</w:t>
      </w:r>
      <w:r w:rsidR="0049745F">
        <w:rPr>
          <w:szCs w:val="20"/>
        </w:rPr>
        <w:t xml:space="preserve">O) </w:t>
      </w:r>
      <w:r w:rsidR="00EA67D1">
        <w:rPr>
          <w:szCs w:val="20"/>
        </w:rPr>
        <w:t xml:space="preserve">(box </w:t>
      </w:r>
      <w:r w:rsidR="00BE5F8F">
        <w:t>5.3</w:t>
      </w:r>
      <w:r w:rsidR="00EA67D1">
        <w:rPr>
          <w:szCs w:val="20"/>
        </w:rPr>
        <w:t>)</w:t>
      </w:r>
      <w:r w:rsidR="009F2160">
        <w:rPr>
          <w:szCs w:val="20"/>
        </w:rPr>
        <w:t>.</w:t>
      </w:r>
      <w:r w:rsidR="009F2160" w:rsidRPr="009F2160">
        <w:rPr>
          <w:szCs w:val="20"/>
        </w:rPr>
        <w:t xml:space="preserve"> </w:t>
      </w:r>
      <w:r w:rsidR="00FF1A0B">
        <w:rPr>
          <w:szCs w:val="20"/>
        </w:rPr>
        <w:t>SD</w:t>
      </w:r>
      <w:r w:rsidR="0049745F">
        <w:rPr>
          <w:szCs w:val="20"/>
        </w:rPr>
        <w:t>Os are useful as they can overcome c</w:t>
      </w:r>
      <w:r w:rsidR="00377545">
        <w:rPr>
          <w:szCs w:val="20"/>
        </w:rPr>
        <w:t>o</w:t>
      </w:r>
      <w:r w:rsidR="0049745F">
        <w:rPr>
          <w:szCs w:val="20"/>
        </w:rPr>
        <w:t xml:space="preserve">ordination problems </w:t>
      </w:r>
      <w:r w:rsidR="00627E19">
        <w:rPr>
          <w:szCs w:val="20"/>
        </w:rPr>
        <w:t xml:space="preserve">between different patent owners </w:t>
      </w:r>
      <w:r w:rsidR="0049745F">
        <w:rPr>
          <w:szCs w:val="20"/>
        </w:rPr>
        <w:t xml:space="preserve">and can lessen the costs associated with patent thickets (chapter 4). </w:t>
      </w:r>
      <w:r w:rsidR="00627E19">
        <w:rPr>
          <w:szCs w:val="20"/>
        </w:rPr>
        <w:t>They achieve this by s</w:t>
      </w:r>
      <w:r w:rsidR="00771CA1">
        <w:rPr>
          <w:szCs w:val="20"/>
        </w:rPr>
        <w:t xml:space="preserve">etting a number of conditions for the </w:t>
      </w:r>
      <w:r w:rsidR="00627E19">
        <w:rPr>
          <w:szCs w:val="20"/>
        </w:rPr>
        <w:t>disclosure an</w:t>
      </w:r>
      <w:r w:rsidR="00771CA1">
        <w:rPr>
          <w:szCs w:val="20"/>
        </w:rPr>
        <w:t>d</w:t>
      </w:r>
      <w:r w:rsidR="00627E19">
        <w:rPr>
          <w:szCs w:val="20"/>
        </w:rPr>
        <w:t xml:space="preserve"> licencing</w:t>
      </w:r>
      <w:r w:rsidR="00771CA1">
        <w:rPr>
          <w:szCs w:val="20"/>
        </w:rPr>
        <w:t xml:space="preserve"> of relevant patents</w:t>
      </w:r>
      <w:r w:rsidR="00627E19">
        <w:rPr>
          <w:szCs w:val="20"/>
        </w:rPr>
        <w:t>, in advance. For example, w</w:t>
      </w:r>
      <w:r>
        <w:rPr>
          <w:szCs w:val="20"/>
        </w:rPr>
        <w:t>hen a</w:t>
      </w:r>
      <w:r w:rsidR="00627E19">
        <w:rPr>
          <w:szCs w:val="20"/>
        </w:rPr>
        <w:t>n</w:t>
      </w:r>
      <w:r>
        <w:rPr>
          <w:szCs w:val="20"/>
        </w:rPr>
        <w:t xml:space="preserve"> </w:t>
      </w:r>
      <w:r w:rsidR="00FF1A0B">
        <w:rPr>
          <w:szCs w:val="20"/>
        </w:rPr>
        <w:t>SD</w:t>
      </w:r>
      <w:r w:rsidR="00627E19">
        <w:rPr>
          <w:szCs w:val="20"/>
        </w:rPr>
        <w:t xml:space="preserve">O </w:t>
      </w:r>
      <w:r w:rsidR="009F2160" w:rsidRPr="00471FF9">
        <w:rPr>
          <w:szCs w:val="20"/>
        </w:rPr>
        <w:t xml:space="preserve">approves a technology, it will generally secure a commitment from the owner of </w:t>
      </w:r>
      <w:r w:rsidR="00771CA1">
        <w:rPr>
          <w:szCs w:val="20"/>
        </w:rPr>
        <w:t xml:space="preserve">an </w:t>
      </w:r>
      <w:r w:rsidR="009F2160" w:rsidRPr="00471FF9">
        <w:rPr>
          <w:szCs w:val="20"/>
        </w:rPr>
        <w:t xml:space="preserve">essential patent, or patents, to license its </w:t>
      </w:r>
      <w:r w:rsidR="002577FD">
        <w:rPr>
          <w:szCs w:val="20"/>
        </w:rPr>
        <w:t xml:space="preserve">IP </w:t>
      </w:r>
      <w:r w:rsidR="009F2160" w:rsidRPr="00471FF9">
        <w:rPr>
          <w:szCs w:val="20"/>
        </w:rPr>
        <w:t>to competitors under fair, reasonable and non</w:t>
      </w:r>
      <w:r w:rsidR="00793286">
        <w:rPr>
          <w:szCs w:val="20"/>
        </w:rPr>
        <w:noBreakHyphen/>
      </w:r>
      <w:r w:rsidR="009F2160" w:rsidRPr="00471FF9">
        <w:rPr>
          <w:szCs w:val="20"/>
        </w:rPr>
        <w:t xml:space="preserve">discriminatory (FRAND) terms (Herr 2009). </w:t>
      </w:r>
      <w:r w:rsidR="001D2F38">
        <w:rPr>
          <w:szCs w:val="20"/>
        </w:rPr>
        <w:t xml:space="preserve">The core function of FRAND terms is to prevent </w:t>
      </w:r>
      <w:r w:rsidR="00F932C3">
        <w:rPr>
          <w:szCs w:val="20"/>
        </w:rPr>
        <w:t>‘</w:t>
      </w:r>
      <w:r w:rsidR="001D2F38">
        <w:rPr>
          <w:szCs w:val="20"/>
        </w:rPr>
        <w:t>hold-up</w:t>
      </w:r>
      <w:r w:rsidR="00F932C3">
        <w:rPr>
          <w:szCs w:val="20"/>
        </w:rPr>
        <w:t>’</w:t>
      </w:r>
      <w:r w:rsidR="001D2F38">
        <w:rPr>
          <w:szCs w:val="20"/>
        </w:rPr>
        <w:t xml:space="preserve"> </w:t>
      </w:r>
      <w:r w:rsidR="00F932C3">
        <w:rPr>
          <w:szCs w:val="20"/>
        </w:rPr>
        <w:t xml:space="preserve">and the </w:t>
      </w:r>
      <w:r w:rsidR="001D2F38">
        <w:rPr>
          <w:szCs w:val="20"/>
        </w:rPr>
        <w:t xml:space="preserve">setting </w:t>
      </w:r>
      <w:r w:rsidR="00F932C3">
        <w:rPr>
          <w:szCs w:val="20"/>
        </w:rPr>
        <w:t xml:space="preserve">of </w:t>
      </w:r>
      <w:r w:rsidR="001D2F38">
        <w:rPr>
          <w:szCs w:val="20"/>
        </w:rPr>
        <w:t>excessive licensing fees, once the industry has locked in the standard (Radcliffe and Sproul 2012).</w:t>
      </w:r>
      <w:r w:rsidR="00685CDF">
        <w:rPr>
          <w:szCs w:val="20"/>
        </w:rPr>
        <w:t xml:space="preserve"> </w:t>
      </w:r>
    </w:p>
    <w:p w:rsidR="00EA67D1" w:rsidRDefault="00EA67D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A67D1">
        <w:tc>
          <w:tcPr>
            <w:tcW w:w="8771" w:type="dxa"/>
            <w:tcBorders>
              <w:top w:val="single" w:sz="6" w:space="0" w:color="auto"/>
              <w:bottom w:val="nil"/>
            </w:tcBorders>
          </w:tcPr>
          <w:p w:rsidR="00EA67D1" w:rsidRDefault="00EA67D1">
            <w:pPr>
              <w:pStyle w:val="BoxTitle"/>
            </w:pPr>
            <w:r>
              <w:rPr>
                <w:b w:val="0"/>
              </w:rPr>
              <w:t xml:space="preserve">Box </w:t>
            </w:r>
            <w:bookmarkStart w:id="5" w:name="OLE_LINK3"/>
            <w:r w:rsidR="00BE5F8F">
              <w:rPr>
                <w:b w:val="0"/>
              </w:rPr>
              <w:t>5.</w:t>
            </w:r>
            <w:r w:rsidR="00BE5F8F">
              <w:rPr>
                <w:b w:val="0"/>
                <w:noProof/>
              </w:rPr>
              <w:t>3</w:t>
            </w:r>
            <w:bookmarkEnd w:id="5"/>
            <w:r>
              <w:tab/>
              <w:t>Standards</w:t>
            </w:r>
            <w:r w:rsidR="00FF1A0B">
              <w:t xml:space="preserve"> development</w:t>
            </w:r>
            <w:r>
              <w:t xml:space="preserve"> organisations</w:t>
            </w:r>
          </w:p>
        </w:tc>
      </w:tr>
      <w:tr w:rsidR="00EA67D1">
        <w:trPr>
          <w:cantSplit/>
        </w:trPr>
        <w:tc>
          <w:tcPr>
            <w:tcW w:w="8771" w:type="dxa"/>
            <w:tcBorders>
              <w:top w:val="nil"/>
              <w:left w:val="single" w:sz="6" w:space="0" w:color="auto"/>
              <w:bottom w:val="nil"/>
              <w:right w:val="single" w:sz="6" w:space="0" w:color="auto"/>
            </w:tcBorders>
          </w:tcPr>
          <w:p w:rsidR="00576344" w:rsidRPr="00B66921" w:rsidRDefault="007541FB" w:rsidP="00576344">
            <w:pPr>
              <w:pStyle w:val="Box"/>
            </w:pPr>
            <w:r>
              <w:t xml:space="preserve">Standards development organisations (SDOs) are a diverse group of institutions that can include government departments, industry groups and private bodies. </w:t>
            </w:r>
            <w:r w:rsidR="009A4C3C">
              <w:t xml:space="preserve">SDOs operate at the national, regional and international level. </w:t>
            </w:r>
            <w:r w:rsidR="00576344">
              <w:t>In Australia, t</w:t>
            </w:r>
            <w:r w:rsidR="00576344">
              <w:rPr>
                <w:rFonts w:cs="Arial"/>
                <w:szCs w:val="22"/>
              </w:rPr>
              <w:t xml:space="preserve">he </w:t>
            </w:r>
            <w:r w:rsidR="00576344" w:rsidRPr="00B66921">
              <w:t xml:space="preserve">Accreditation Board for Standards Development Organisations (ABSDO) </w:t>
            </w:r>
            <w:r w:rsidR="00692BB6" w:rsidRPr="00B66921">
              <w:t>regulates</w:t>
            </w:r>
            <w:r w:rsidR="00576344" w:rsidRPr="00B66921">
              <w:t xml:space="preserve"> SDOs and accredits </w:t>
            </w:r>
            <w:r w:rsidR="00FF5A56" w:rsidRPr="00B66921">
              <w:t xml:space="preserve">them </w:t>
            </w:r>
            <w:r w:rsidR="00576344" w:rsidRPr="00B66921">
              <w:t xml:space="preserve">to produce Australian Standards. </w:t>
            </w:r>
            <w:r w:rsidR="005D3AEC" w:rsidRPr="00B66921">
              <w:t>Accredited SDO</w:t>
            </w:r>
            <w:r w:rsidR="007577A2" w:rsidRPr="00B66921">
              <w:t>s include the Pharmacy Guild of Australia, the Rail Industry Safety and Standards Board, Seafood Services Australia, the Communications Alliance and Australian Forestry Standards Ltd.</w:t>
            </w:r>
          </w:p>
          <w:p w:rsidR="007541FB" w:rsidRDefault="00FF5A56" w:rsidP="007541FB">
            <w:pPr>
              <w:pStyle w:val="Box"/>
              <w:rPr>
                <w:rFonts w:cs="Arial"/>
                <w:szCs w:val="22"/>
              </w:rPr>
            </w:pPr>
            <w:r>
              <w:t xml:space="preserve">Australia’s </w:t>
            </w:r>
            <w:r w:rsidR="007541FB">
              <w:t xml:space="preserve">recognised National Standards Body is Standards Australia. </w:t>
            </w:r>
            <w:r w:rsidR="007541FB">
              <w:rPr>
                <w:rFonts w:cs="Arial"/>
                <w:szCs w:val="22"/>
              </w:rPr>
              <w:t xml:space="preserve">It </w:t>
            </w:r>
            <w:r>
              <w:rPr>
                <w:rFonts w:cs="Arial"/>
                <w:szCs w:val="22"/>
              </w:rPr>
              <w:t xml:space="preserve">is the most active SDO in Australia, and plays a key </w:t>
            </w:r>
            <w:r w:rsidR="007541FB">
              <w:rPr>
                <w:rFonts w:cs="Arial"/>
                <w:szCs w:val="22"/>
              </w:rPr>
              <w:t>role in the processes through which many international standards are adapted as Australian Standards</w:t>
            </w:r>
            <w:r>
              <w:rPr>
                <w:rFonts w:cs="Arial"/>
                <w:szCs w:val="22"/>
              </w:rPr>
              <w:t>:</w:t>
            </w:r>
          </w:p>
          <w:p w:rsidR="00BE1A5F" w:rsidRPr="0021492D" w:rsidRDefault="00BE1A5F" w:rsidP="00507064">
            <w:pPr>
              <w:pStyle w:val="BoxQuote"/>
            </w:pPr>
            <w:r w:rsidRPr="00BE1A5F">
              <w:t>The policy of Standards Australia is to base Australian Standards on International Standards to the maximum exten</w:t>
            </w:r>
            <w:r w:rsidR="00B26464">
              <w:t>t feasible </w:t>
            </w:r>
            <w:r w:rsidR="00FF5A56">
              <w:t>…</w:t>
            </w:r>
            <w:r w:rsidR="00B26464">
              <w:t> </w:t>
            </w:r>
            <w:r w:rsidRPr="00BE1A5F">
              <w:t>This policy of the use of International Standards as a first option is also included in the ABSDO Requirements for Accreditation of Standards Development Organisations. Australian Standards should be adoptions of International Standards, unless there are valid reasons to the contrary.</w:t>
            </w:r>
            <w:r w:rsidR="00576344">
              <w:t xml:space="preserve"> (Standards Australia 2011, p.</w:t>
            </w:r>
            <w:r w:rsidR="0021492D">
              <w:t xml:space="preserve"> </w:t>
            </w:r>
            <w:r w:rsidR="00576344">
              <w:t>3)</w:t>
            </w:r>
          </w:p>
          <w:p w:rsidR="00AE15D4" w:rsidRPr="002E166C" w:rsidRDefault="00085105" w:rsidP="002E166C">
            <w:pPr>
              <w:pStyle w:val="Box"/>
            </w:pPr>
            <w:r>
              <w:t xml:space="preserve">Internationally, a number of large and influential SDOs </w:t>
            </w:r>
            <w:r w:rsidR="009A4C3C">
              <w:t xml:space="preserve">operate at a global or regional level. </w:t>
            </w:r>
            <w:r w:rsidR="009627BD">
              <w:t xml:space="preserve">At the global level, these SDOs are often organised along industry lines, for example </w:t>
            </w:r>
            <w:r w:rsidR="00FF5A56">
              <w:t>t</w:t>
            </w:r>
            <w:r w:rsidR="009A4C3C">
              <w:t>he International Telecommunications Union</w:t>
            </w:r>
            <w:r w:rsidR="009627BD">
              <w:t xml:space="preserve"> and </w:t>
            </w:r>
            <w:r w:rsidR="009A4C3C">
              <w:t xml:space="preserve">the International </w:t>
            </w:r>
            <w:r w:rsidR="009A4C3C" w:rsidRPr="00B66921">
              <w:t>Electrotechnical Commission</w:t>
            </w:r>
            <w:r w:rsidR="009627BD" w:rsidRPr="00B66921">
              <w:t xml:space="preserve"> (David and Shurmer 1996)</w:t>
            </w:r>
            <w:r w:rsidR="009A4C3C" w:rsidRPr="00B66921">
              <w:t xml:space="preserve">. Regional examples of </w:t>
            </w:r>
            <w:r w:rsidR="00692BB6" w:rsidRPr="00B66921">
              <w:t>SDO</w:t>
            </w:r>
            <w:r w:rsidR="00AF00F5" w:rsidRPr="00B66921">
              <w:t xml:space="preserve">s include </w:t>
            </w:r>
            <w:r w:rsidR="009627BD" w:rsidRPr="00B66921">
              <w:t xml:space="preserve">the </w:t>
            </w:r>
            <w:r w:rsidR="00AF00F5" w:rsidRPr="00B66921">
              <w:t>European Telecommunica</w:t>
            </w:r>
            <w:r w:rsidR="00FF5A56" w:rsidRPr="00B66921">
              <w:t>tions Standards Institute</w:t>
            </w:r>
            <w:r w:rsidR="00BE1A5F" w:rsidRPr="00B66921">
              <w:t xml:space="preserve"> and the Pacific Area Standards Congress.</w:t>
            </w:r>
            <w:r w:rsidR="009627BD">
              <w:t xml:space="preserve"> </w:t>
            </w:r>
          </w:p>
        </w:tc>
      </w:tr>
      <w:tr w:rsidR="00EA67D1">
        <w:trPr>
          <w:cantSplit/>
        </w:trPr>
        <w:tc>
          <w:tcPr>
            <w:tcW w:w="8771" w:type="dxa"/>
            <w:tcBorders>
              <w:top w:val="nil"/>
              <w:left w:val="single" w:sz="6" w:space="0" w:color="auto"/>
              <w:bottom w:val="single" w:sz="6" w:space="0" w:color="auto"/>
              <w:right w:val="single" w:sz="6" w:space="0" w:color="auto"/>
            </w:tcBorders>
          </w:tcPr>
          <w:p w:rsidR="00EA67D1" w:rsidRDefault="00EA67D1">
            <w:pPr>
              <w:pStyle w:val="Box"/>
              <w:spacing w:before="0" w:line="120" w:lineRule="exact"/>
            </w:pPr>
          </w:p>
        </w:tc>
      </w:tr>
      <w:tr w:rsidR="00EA67D1" w:rsidRPr="000863A5">
        <w:tc>
          <w:tcPr>
            <w:tcW w:w="8771" w:type="dxa"/>
            <w:tcBorders>
              <w:top w:val="nil"/>
              <w:left w:val="nil"/>
              <w:bottom w:val="nil"/>
              <w:right w:val="nil"/>
            </w:tcBorders>
          </w:tcPr>
          <w:p w:rsidR="00EA67D1" w:rsidRPr="000863A5" w:rsidRDefault="00EA67D1" w:rsidP="00EA67D1">
            <w:pPr>
              <w:pStyle w:val="Box"/>
              <w:keepNext w:val="0"/>
              <w:spacing w:before="60" w:after="60" w:line="80" w:lineRule="exact"/>
              <w:rPr>
                <w:b/>
                <w:sz w:val="14"/>
              </w:rPr>
            </w:pPr>
          </w:p>
        </w:tc>
      </w:tr>
    </w:tbl>
    <w:p w:rsidR="001E1986" w:rsidRDefault="00471FF9" w:rsidP="00C50F14">
      <w:pPr>
        <w:spacing w:before="240" w:line="320" w:lineRule="atLeast"/>
        <w:jc w:val="both"/>
        <w:rPr>
          <w:szCs w:val="20"/>
        </w:rPr>
      </w:pPr>
      <w:r w:rsidRPr="00471FF9">
        <w:rPr>
          <w:szCs w:val="20"/>
        </w:rPr>
        <w:t>While companies holding standard essential patents have generally agreed to license them to competitors, at times they have sought to limit the ability of others to access the patent</w:t>
      </w:r>
      <w:r w:rsidR="00CB17B3">
        <w:rPr>
          <w:szCs w:val="20"/>
        </w:rPr>
        <w:t xml:space="preserve"> (box </w:t>
      </w:r>
      <w:r w:rsidR="00BE5F8F">
        <w:t>5.4</w:t>
      </w:r>
      <w:r w:rsidR="00CB17B3">
        <w:rPr>
          <w:szCs w:val="20"/>
        </w:rPr>
        <w:t>)</w:t>
      </w:r>
      <w:r w:rsidRPr="00471FF9">
        <w:rPr>
          <w:szCs w:val="20"/>
        </w:rPr>
        <w:t xml:space="preserve">. </w:t>
      </w:r>
      <w:r w:rsidR="00CB17B3">
        <w:rPr>
          <w:szCs w:val="20"/>
        </w:rPr>
        <w:t>In other instances</w:t>
      </w:r>
      <w:r w:rsidR="007C23EB">
        <w:rPr>
          <w:szCs w:val="20"/>
        </w:rPr>
        <w:t>,</w:t>
      </w:r>
      <w:r w:rsidR="00CB17B3">
        <w:rPr>
          <w:szCs w:val="20"/>
        </w:rPr>
        <w:t xml:space="preserve"> parties have disagreed</w:t>
      </w:r>
      <w:r w:rsidR="00692BB6">
        <w:rPr>
          <w:szCs w:val="20"/>
        </w:rPr>
        <w:t>,</w:t>
      </w:r>
      <w:r w:rsidR="00CB17B3">
        <w:rPr>
          <w:szCs w:val="20"/>
        </w:rPr>
        <w:t xml:space="preserve"> after the standard has been set, about what licensing fee is ‘reasonable’.</w:t>
      </w:r>
      <w:r w:rsidR="00CB17B3" w:rsidRPr="00471FF9">
        <w:rPr>
          <w:szCs w:val="20"/>
        </w:rPr>
        <w:t xml:space="preserve"> The</w:t>
      </w:r>
      <w:r w:rsidRPr="00471FF9">
        <w:rPr>
          <w:szCs w:val="20"/>
        </w:rPr>
        <w:t xml:space="preserve"> recent ‘smart phone wars’ involving patent licences and litigation by major smartphone suppliers and other </w:t>
      </w:r>
      <w:r w:rsidRPr="00471FF9">
        <w:rPr>
          <w:szCs w:val="20"/>
        </w:rPr>
        <w:lastRenderedPageBreak/>
        <w:t xml:space="preserve">technology patenting disputes have caused some to express doubts about the framework for standard essential patents (Seidman 2012). </w:t>
      </w:r>
    </w:p>
    <w:p w:rsidR="007F3450" w:rsidRDefault="007F345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F3450">
        <w:tc>
          <w:tcPr>
            <w:tcW w:w="8771" w:type="dxa"/>
            <w:tcBorders>
              <w:top w:val="single" w:sz="6" w:space="0" w:color="auto"/>
              <w:bottom w:val="nil"/>
            </w:tcBorders>
          </w:tcPr>
          <w:p w:rsidR="007F3450" w:rsidRDefault="007F3450">
            <w:pPr>
              <w:pStyle w:val="BoxTitle"/>
            </w:pPr>
            <w:r>
              <w:rPr>
                <w:b w:val="0"/>
              </w:rPr>
              <w:t xml:space="preserve">Box </w:t>
            </w:r>
            <w:bookmarkStart w:id="6" w:name="OLE_LINK4"/>
            <w:r w:rsidR="00BE5F8F">
              <w:rPr>
                <w:b w:val="0"/>
              </w:rPr>
              <w:t>5.</w:t>
            </w:r>
            <w:r w:rsidR="00BE5F8F">
              <w:rPr>
                <w:b w:val="0"/>
                <w:noProof/>
              </w:rPr>
              <w:t>4</w:t>
            </w:r>
            <w:bookmarkEnd w:id="6"/>
            <w:r>
              <w:tab/>
              <w:t xml:space="preserve">Apple </w:t>
            </w:r>
            <w:r w:rsidR="0021492D">
              <w:t>vs.</w:t>
            </w:r>
            <w:r>
              <w:t xml:space="preserve"> Samsung </w:t>
            </w:r>
          </w:p>
        </w:tc>
      </w:tr>
      <w:tr w:rsidR="007F3450">
        <w:trPr>
          <w:cantSplit/>
        </w:trPr>
        <w:tc>
          <w:tcPr>
            <w:tcW w:w="8771" w:type="dxa"/>
            <w:tcBorders>
              <w:top w:val="nil"/>
              <w:left w:val="single" w:sz="6" w:space="0" w:color="auto"/>
              <w:bottom w:val="nil"/>
              <w:right w:val="single" w:sz="6" w:space="0" w:color="auto"/>
            </w:tcBorders>
          </w:tcPr>
          <w:p w:rsidR="001865C6" w:rsidRDefault="005E2914" w:rsidP="00BA29FD">
            <w:pPr>
              <w:pStyle w:val="Box"/>
            </w:pPr>
            <w:r>
              <w:t>A world</w:t>
            </w:r>
            <w:r w:rsidR="007F3450">
              <w:t>wide intellectual property dispute between Apple and Samsung has raised sev</w:t>
            </w:r>
            <w:r w:rsidR="0061204B">
              <w:t>eral issues related to standard</w:t>
            </w:r>
            <w:r w:rsidR="007F3450">
              <w:t xml:space="preserve"> essential patents and FRAND terms. </w:t>
            </w:r>
            <w:r w:rsidR="001865C6">
              <w:t>Although cases are ongoing in most jurisdictions, an early finding in the Netherlands shows that the issue of which patents are essential to a standard, and what constitutes FRAND compensation are key aspects of the current litigation.</w:t>
            </w:r>
          </w:p>
          <w:p w:rsidR="00AC2AA1" w:rsidRDefault="009114FC" w:rsidP="00692BB6">
            <w:pPr>
              <w:pStyle w:val="Box"/>
            </w:pPr>
            <w:r>
              <w:t>In October 2011</w:t>
            </w:r>
            <w:r w:rsidR="00692BB6">
              <w:t>,</w:t>
            </w:r>
            <w:r>
              <w:t xml:space="preserve"> </w:t>
            </w:r>
            <w:r w:rsidRPr="009114FC">
              <w:t>the</w:t>
            </w:r>
            <w:r>
              <w:t xml:space="preserve"> </w:t>
            </w:r>
            <w:r w:rsidRPr="009114FC">
              <w:t xml:space="preserve">Hague District Court </w:t>
            </w:r>
            <w:r w:rsidR="00DE45AD">
              <w:t xml:space="preserve">in the Netherlands, </w:t>
            </w:r>
            <w:r w:rsidRPr="009114FC">
              <w:t>denied Samsung’s request for an injunction blocking</w:t>
            </w:r>
            <w:r>
              <w:t xml:space="preserve"> </w:t>
            </w:r>
            <w:r w:rsidRPr="009114FC">
              <w:t>Apple from utili</w:t>
            </w:r>
            <w:r w:rsidR="00692BB6">
              <w:t>s</w:t>
            </w:r>
            <w:r w:rsidRPr="009114FC">
              <w:t>ing four patents essential to the 3G/UMTS standard in its iPhones and iPads</w:t>
            </w:r>
            <w:r>
              <w:t xml:space="preserve"> (Carrier 2012)</w:t>
            </w:r>
            <w:r w:rsidRPr="009114FC">
              <w:t>.</w:t>
            </w:r>
            <w:r>
              <w:t xml:space="preserve"> This </w:t>
            </w:r>
            <w:r w:rsidR="00692BB6">
              <w:t>was</w:t>
            </w:r>
            <w:r>
              <w:t xml:space="preserve"> </w:t>
            </w:r>
            <w:r w:rsidRPr="009114FC">
              <w:t>the first example of a court denying an injunction on a</w:t>
            </w:r>
            <w:r w:rsidR="0061204B">
              <w:t xml:space="preserve"> standard</w:t>
            </w:r>
            <w:r>
              <w:t xml:space="preserve"> essential patent, with t</w:t>
            </w:r>
            <w:r w:rsidRPr="009114FC">
              <w:t>h</w:t>
            </w:r>
            <w:r>
              <w:t xml:space="preserve">e court finding that a FRAND declaration </w:t>
            </w:r>
            <w:r w:rsidRPr="009114FC">
              <w:t>obl</w:t>
            </w:r>
            <w:r w:rsidR="0047632D">
              <w:t>iged Samsung to offer a licenc</w:t>
            </w:r>
            <w:r>
              <w:t>e to Apple</w:t>
            </w:r>
            <w:r w:rsidRPr="009114FC">
              <w:t xml:space="preserve"> </w:t>
            </w:r>
            <w:r>
              <w:t xml:space="preserve">prior to </w:t>
            </w:r>
            <w:r w:rsidRPr="009114FC">
              <w:t xml:space="preserve">seeking </w:t>
            </w:r>
            <w:r w:rsidR="00073B03">
              <w:t xml:space="preserve">an </w:t>
            </w:r>
            <w:r w:rsidRPr="009114FC">
              <w:t>injuncti</w:t>
            </w:r>
            <w:r w:rsidR="00073B03">
              <w:t>on</w:t>
            </w:r>
            <w:r w:rsidRPr="009114FC">
              <w:t xml:space="preserve">. </w:t>
            </w:r>
            <w:r w:rsidR="00BA29FD">
              <w:t>In addition, the court found that Samsung had requested an excessively high licensing fee</w:t>
            </w:r>
            <w:r w:rsidR="00073B03">
              <w:t>,</w:t>
            </w:r>
            <w:r w:rsidR="00BA29FD">
              <w:t xml:space="preserve"> ‘very out of line’ with FRAND commitments (Kuipers, Groenevelt and Lamme 2011). </w:t>
            </w:r>
            <w:r w:rsidRPr="009114FC">
              <w:t>The court also found that Samsung had exhausted its rights by</w:t>
            </w:r>
            <w:r>
              <w:t xml:space="preserve"> </w:t>
            </w:r>
            <w:r w:rsidRPr="009114FC">
              <w:t>previously licensing its technology to Qualcomm, which then licensed the rights to Apple</w:t>
            </w:r>
            <w:r w:rsidR="00BA29FD">
              <w:t xml:space="preserve"> (Kuipers, Groenevelt and Lamme 2012)</w:t>
            </w:r>
            <w:r>
              <w:t>.</w:t>
            </w:r>
            <w:r w:rsidR="007F3450">
              <w:t xml:space="preserve"> </w:t>
            </w:r>
          </w:p>
        </w:tc>
      </w:tr>
      <w:tr w:rsidR="007F3450">
        <w:trPr>
          <w:cantSplit/>
        </w:trPr>
        <w:tc>
          <w:tcPr>
            <w:tcW w:w="8771" w:type="dxa"/>
            <w:tcBorders>
              <w:top w:val="nil"/>
              <w:left w:val="single" w:sz="6" w:space="0" w:color="auto"/>
              <w:bottom w:val="single" w:sz="6" w:space="0" w:color="auto"/>
              <w:right w:val="single" w:sz="6" w:space="0" w:color="auto"/>
            </w:tcBorders>
          </w:tcPr>
          <w:p w:rsidR="007F3450" w:rsidRDefault="007F3450">
            <w:pPr>
              <w:pStyle w:val="Box"/>
              <w:spacing w:before="0" w:line="120" w:lineRule="exact"/>
            </w:pPr>
          </w:p>
        </w:tc>
      </w:tr>
      <w:tr w:rsidR="007F3450" w:rsidRPr="000863A5">
        <w:tc>
          <w:tcPr>
            <w:tcW w:w="8771" w:type="dxa"/>
            <w:tcBorders>
              <w:top w:val="nil"/>
              <w:left w:val="nil"/>
              <w:bottom w:val="nil"/>
              <w:right w:val="nil"/>
            </w:tcBorders>
          </w:tcPr>
          <w:p w:rsidR="007F3450" w:rsidRPr="000863A5" w:rsidRDefault="007F3450" w:rsidP="007F3450">
            <w:pPr>
              <w:pStyle w:val="Box"/>
              <w:keepNext w:val="0"/>
              <w:spacing w:before="60" w:after="60" w:line="80" w:lineRule="exact"/>
              <w:rPr>
                <w:b/>
                <w:sz w:val="14"/>
              </w:rPr>
            </w:pPr>
          </w:p>
        </w:tc>
      </w:tr>
    </w:tbl>
    <w:p w:rsidR="00705A2A" w:rsidRDefault="00705A2A" w:rsidP="00705A2A">
      <w:pPr>
        <w:pStyle w:val="BodyText"/>
      </w:pPr>
      <w:r>
        <w:t>Concerns in this case are generally related to abuse of market power by patent holders that have contributed their patents to a standard. Standards effectively rule out substitute technologies and so give the essential patent holders greater scope to exercise market power. This can exacerb</w:t>
      </w:r>
      <w:r w:rsidR="007C23EB">
        <w:t>ate the problems of patent hold-</w:t>
      </w:r>
      <w:r>
        <w:t xml:space="preserve">up and royalty stacking (chapter 4). </w:t>
      </w:r>
    </w:p>
    <w:p w:rsidR="00705A2A" w:rsidRDefault="00705A2A" w:rsidP="00E55CD9">
      <w:pPr>
        <w:pStyle w:val="BodyText"/>
      </w:pPr>
      <w:r>
        <w:t>T</w:t>
      </w:r>
      <w:r w:rsidRPr="006747D1">
        <w:t>he Patents Act does not contain any explic</w:t>
      </w:r>
      <w:r>
        <w:t>it measures related to standard</w:t>
      </w:r>
      <w:r w:rsidRPr="006747D1">
        <w:t xml:space="preserve"> essential patents or FRAND terms. </w:t>
      </w:r>
      <w:r w:rsidR="0099774D" w:rsidRPr="006747D1">
        <w:t xml:space="preserve">FRAND </w:t>
      </w:r>
      <w:r w:rsidR="0099774D">
        <w:t xml:space="preserve">obligations </w:t>
      </w:r>
      <w:r w:rsidR="0099774D" w:rsidRPr="006747D1">
        <w:t xml:space="preserve">could be </w:t>
      </w:r>
      <w:r w:rsidR="0099774D">
        <w:t xml:space="preserve">made </w:t>
      </w:r>
      <w:r w:rsidR="0099774D" w:rsidRPr="006747D1">
        <w:t xml:space="preserve">a defence against </w:t>
      </w:r>
      <w:r w:rsidR="0099774D">
        <w:t xml:space="preserve">patent </w:t>
      </w:r>
      <w:r w:rsidR="0099774D" w:rsidRPr="006747D1">
        <w:t>infringement</w:t>
      </w:r>
      <w:r w:rsidR="0099774D">
        <w:t>,</w:t>
      </w:r>
      <w:r w:rsidR="0099774D" w:rsidRPr="006747D1">
        <w:t xml:space="preserve"> as in Germany (box</w:t>
      </w:r>
      <w:r w:rsidR="0099774D">
        <w:t xml:space="preserve"> </w:t>
      </w:r>
      <w:r w:rsidR="00BE5F8F">
        <w:t>5.5</w:t>
      </w:r>
      <w:r w:rsidR="0099774D" w:rsidRPr="006747D1">
        <w:t>)</w:t>
      </w:r>
      <w:r w:rsidR="0099774D">
        <w:t xml:space="preserve">. Alternatively, </w:t>
      </w:r>
      <w:r w:rsidRPr="006747D1">
        <w:t>Koelman (2006) has suggested that a</w:t>
      </w:r>
      <w:r>
        <w:t xml:space="preserve"> </w:t>
      </w:r>
      <w:r w:rsidRPr="006747D1">
        <w:t>compulsory licensing scheme compelling FR</w:t>
      </w:r>
      <w:r>
        <w:t>AND obligations on all standard</w:t>
      </w:r>
      <w:r w:rsidRPr="006747D1">
        <w:t xml:space="preserve"> essential patent holders could in large part resolve </w:t>
      </w:r>
      <w:r>
        <w:t xml:space="preserve">concerns about </w:t>
      </w:r>
      <w:r w:rsidRPr="006747D1">
        <w:t xml:space="preserve">market power. </w:t>
      </w:r>
      <w:r w:rsidR="002E7324">
        <w:t xml:space="preserve">Using compulsory licences in this manner </w:t>
      </w:r>
      <w:r w:rsidR="005D3AEC">
        <w:t xml:space="preserve">was </w:t>
      </w:r>
      <w:r w:rsidR="002E7324">
        <w:t xml:space="preserve">suggested </w:t>
      </w:r>
      <w:r w:rsidR="005D3AEC">
        <w:t xml:space="preserve">by </w:t>
      </w:r>
      <w:r>
        <w:t xml:space="preserve">the </w:t>
      </w:r>
      <w:r w:rsidRPr="00705A2A">
        <w:t>C</w:t>
      </w:r>
      <w:r w:rsidR="00C26241">
        <w:t>SIRO</w:t>
      </w:r>
      <w:r w:rsidRPr="00705A2A">
        <w:t xml:space="preserve"> </w:t>
      </w:r>
      <w:r>
        <w:t>(sub.</w:t>
      </w:r>
      <w:r w:rsidR="0021492D">
        <w:t xml:space="preserve"> </w:t>
      </w:r>
      <w:r>
        <w:t xml:space="preserve">26) and Telstra (sub. 8). </w:t>
      </w:r>
    </w:p>
    <w:p w:rsidR="00C97560" w:rsidRDefault="00E55CD9" w:rsidP="00C97560">
      <w:pPr>
        <w:pStyle w:val="BodyText"/>
      </w:pPr>
      <w:r>
        <w:t>However, the Commission considers that d</w:t>
      </w:r>
      <w:r w:rsidR="00C97560">
        <w:t xml:space="preserve">espite a lack of explicit measures relating directly to standards or FRAND terms in Australian law, it is doubtful that legislation of this nature is required. Section 46 of the </w:t>
      </w:r>
      <w:r w:rsidR="00C97560" w:rsidRPr="00346E39">
        <w:rPr>
          <w:i/>
        </w:rPr>
        <w:t>Competition and Consumer Act 2010</w:t>
      </w:r>
      <w:r w:rsidR="00C97560">
        <w:t xml:space="preserve"> (Cwlth) provides broad protection for competitors or potential competitors against the misuse of market power. Furthermore, where the </w:t>
      </w:r>
      <w:r w:rsidR="00C97560" w:rsidRPr="00CF0EE7">
        <w:t xml:space="preserve">patentee </w:t>
      </w:r>
      <w:r w:rsidR="00C97560">
        <w:t>is in contravention of P</w:t>
      </w:r>
      <w:r w:rsidR="00C97560" w:rsidRPr="00CF0EE7">
        <w:t>art IV of</w:t>
      </w:r>
      <w:r w:rsidR="00C97560">
        <w:t xml:space="preserve"> </w:t>
      </w:r>
      <w:r w:rsidR="00C97560" w:rsidRPr="00CF0EE7">
        <w:t xml:space="preserve">the </w:t>
      </w:r>
      <w:r w:rsidR="00C97560" w:rsidRPr="00CF0EE7">
        <w:rPr>
          <w:iCs/>
        </w:rPr>
        <w:t>Competition and Consumer Act</w:t>
      </w:r>
      <w:r w:rsidR="00C97560">
        <w:rPr>
          <w:iCs/>
        </w:rPr>
        <w:t>,</w:t>
      </w:r>
      <w:r w:rsidR="00C97560" w:rsidRPr="00CF0EE7">
        <w:rPr>
          <w:i/>
          <w:iCs/>
        </w:rPr>
        <w:t xml:space="preserve"> </w:t>
      </w:r>
      <w:r w:rsidR="00C97560">
        <w:rPr>
          <w:iCs/>
        </w:rPr>
        <w:t xml:space="preserve">a licence can be </w:t>
      </w:r>
      <w:r w:rsidR="00C97560">
        <w:rPr>
          <w:iCs/>
        </w:rPr>
        <w:lastRenderedPageBreak/>
        <w:t xml:space="preserve">sought under </w:t>
      </w:r>
      <w:r w:rsidR="00C97560">
        <w:t xml:space="preserve">the current compulsory licensing provisions in the Patents Act </w:t>
      </w:r>
      <w:r w:rsidR="002F6373">
        <w:t xml:space="preserve">and under the Commission’s proposed reforms </w:t>
      </w:r>
      <w:r w:rsidR="00C97560">
        <w:t xml:space="preserve">(chapter 6). </w:t>
      </w:r>
    </w:p>
    <w:p w:rsidR="0035699F" w:rsidRDefault="0035699F" w:rsidP="0035699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5699F" w:rsidTr="0035699F">
        <w:tc>
          <w:tcPr>
            <w:tcW w:w="8771" w:type="dxa"/>
            <w:tcBorders>
              <w:top w:val="single" w:sz="6" w:space="0" w:color="auto"/>
              <w:bottom w:val="nil"/>
            </w:tcBorders>
          </w:tcPr>
          <w:p w:rsidR="0035699F" w:rsidRDefault="0035699F" w:rsidP="00B3238D">
            <w:pPr>
              <w:pStyle w:val="BoxTitle"/>
            </w:pPr>
            <w:r>
              <w:rPr>
                <w:b w:val="0"/>
              </w:rPr>
              <w:t xml:space="preserve">Box </w:t>
            </w:r>
            <w:bookmarkStart w:id="7" w:name="OLE_LINK5"/>
            <w:r w:rsidR="00BE5F8F">
              <w:rPr>
                <w:b w:val="0"/>
              </w:rPr>
              <w:t>5.</w:t>
            </w:r>
            <w:r w:rsidR="00BE5F8F">
              <w:rPr>
                <w:b w:val="0"/>
                <w:noProof/>
              </w:rPr>
              <w:t>5</w:t>
            </w:r>
            <w:bookmarkEnd w:id="7"/>
            <w:r w:rsidR="00B3238D">
              <w:tab/>
              <w:t>German compulsory licenc</w:t>
            </w:r>
            <w:r>
              <w:t xml:space="preserve">es </w:t>
            </w:r>
            <w:r w:rsidR="00B3238D">
              <w:t>to address</w:t>
            </w:r>
            <w:r>
              <w:t xml:space="preserve"> FRAND </w:t>
            </w:r>
            <w:r w:rsidR="00B3238D">
              <w:t>breaches</w:t>
            </w:r>
          </w:p>
        </w:tc>
      </w:tr>
      <w:tr w:rsidR="0035699F" w:rsidTr="0035699F">
        <w:trPr>
          <w:cantSplit/>
        </w:trPr>
        <w:tc>
          <w:tcPr>
            <w:tcW w:w="8771" w:type="dxa"/>
            <w:tcBorders>
              <w:top w:val="nil"/>
              <w:left w:val="single" w:sz="6" w:space="0" w:color="auto"/>
              <w:bottom w:val="nil"/>
              <w:right w:val="single" w:sz="6" w:space="0" w:color="auto"/>
            </w:tcBorders>
          </w:tcPr>
          <w:p w:rsidR="004307E7" w:rsidRPr="00F879DD" w:rsidRDefault="00F879DD" w:rsidP="004307E7">
            <w:pPr>
              <w:pStyle w:val="Box"/>
            </w:pPr>
            <w:r>
              <w:t xml:space="preserve">Under German law, it is possible in patent infringement </w:t>
            </w:r>
            <w:r w:rsidR="004307E7">
              <w:t xml:space="preserve">law </w:t>
            </w:r>
            <w:r>
              <w:t xml:space="preserve">suits for the user of </w:t>
            </w:r>
            <w:r w:rsidR="00692BB6">
              <w:t>a</w:t>
            </w:r>
            <w:r>
              <w:t xml:space="preserve"> </w:t>
            </w:r>
            <w:r w:rsidR="0061204B">
              <w:t>standard</w:t>
            </w:r>
            <w:r w:rsidR="004307E7">
              <w:t xml:space="preserve"> essential patent </w:t>
            </w:r>
            <w:r>
              <w:t>to plead that antitrust regulations force the patentee to grant a compulsory lic</w:t>
            </w:r>
            <w:r w:rsidR="00692BB6">
              <w:t>enc</w:t>
            </w:r>
            <w:r>
              <w:t xml:space="preserve">e for the subject matter of the patent in dispute. </w:t>
            </w:r>
            <w:r w:rsidR="007C23EB">
              <w:t>The user may consider p</w:t>
            </w:r>
            <w:r w:rsidR="0047632D">
              <w:t>leading the compulsory licenc</w:t>
            </w:r>
            <w:r w:rsidR="004307E7" w:rsidRPr="00F879DD">
              <w:t>e defence</w:t>
            </w:r>
            <w:r w:rsidR="004307E7">
              <w:t xml:space="preserve"> where</w:t>
            </w:r>
            <w:r w:rsidR="004307E7" w:rsidRPr="00F879DD">
              <w:t>:</w:t>
            </w:r>
          </w:p>
          <w:p w:rsidR="004307E7" w:rsidRPr="004307E7" w:rsidRDefault="004307E7" w:rsidP="004307E7">
            <w:pPr>
              <w:pStyle w:val="BoxListBullet"/>
            </w:pPr>
            <w:r w:rsidRPr="004307E7">
              <w:t>the patentee</w:t>
            </w:r>
            <w:r>
              <w:t xml:space="preserve"> </w:t>
            </w:r>
            <w:r w:rsidRPr="004307E7">
              <w:t>refuse</w:t>
            </w:r>
            <w:r>
              <w:t>s</w:t>
            </w:r>
            <w:r w:rsidR="00692BB6">
              <w:t xml:space="preserve"> to grant third parties a licenc</w:t>
            </w:r>
            <w:r w:rsidRPr="004307E7">
              <w:t>e regardless</w:t>
            </w:r>
            <w:r w:rsidR="007C23EB">
              <w:t>,</w:t>
            </w:r>
            <w:r w:rsidRPr="004307E7">
              <w:t xml:space="preserve"> of the terms and conditions</w:t>
            </w:r>
          </w:p>
          <w:p w:rsidR="00F879DD" w:rsidRPr="004307E7" w:rsidRDefault="004307E7" w:rsidP="004307E7">
            <w:pPr>
              <w:pStyle w:val="BoxListBullet"/>
            </w:pPr>
            <w:r w:rsidRPr="004307E7">
              <w:t xml:space="preserve">the patentee </w:t>
            </w:r>
            <w:r>
              <w:t xml:space="preserve">is </w:t>
            </w:r>
            <w:r w:rsidR="00692BB6">
              <w:t>prepared to grant a licenc</w:t>
            </w:r>
            <w:r w:rsidRPr="004307E7">
              <w:t xml:space="preserve">e </w:t>
            </w:r>
            <w:r w:rsidR="00692BB6">
              <w:t>and has granted licenc</w:t>
            </w:r>
            <w:r w:rsidRPr="004307E7">
              <w:t xml:space="preserve">es in the past, but its practices could be discriminatory </w:t>
            </w:r>
            <w:r>
              <w:t>(</w:t>
            </w:r>
            <w:r w:rsidRPr="004307E7">
              <w:t>it gives unequ</w:t>
            </w:r>
            <w:r w:rsidR="00692BB6">
              <w:t>al treatment to potential licens</w:t>
            </w:r>
            <w:r w:rsidR="00692BB6" w:rsidRPr="004307E7">
              <w:t>ees</w:t>
            </w:r>
            <w:r>
              <w:t>)</w:t>
            </w:r>
            <w:r w:rsidRPr="004307E7">
              <w:t xml:space="preserve"> without a justified reason, or demands unreasonable licensing terms.</w:t>
            </w:r>
          </w:p>
          <w:p w:rsidR="0035699F" w:rsidRDefault="00F879DD" w:rsidP="00F879DD">
            <w:pPr>
              <w:pStyle w:val="Box"/>
            </w:pPr>
            <w:r w:rsidRPr="00F879DD">
              <w:t xml:space="preserve">To assert the </w:t>
            </w:r>
            <w:r w:rsidR="004307E7" w:rsidRPr="00F879DD">
              <w:t>defence</w:t>
            </w:r>
            <w:r w:rsidR="00692BB6">
              <w:t xml:space="preserve"> of the compulsory licenc</w:t>
            </w:r>
            <w:r w:rsidRPr="00F879DD">
              <w:t>e,</w:t>
            </w:r>
            <w:r>
              <w:t xml:space="preserve"> </w:t>
            </w:r>
            <w:r w:rsidRPr="00F879DD">
              <w:t xml:space="preserve">the user </w:t>
            </w:r>
            <w:r w:rsidR="004307E7">
              <w:t>is required to have submitted to the patentee</w:t>
            </w:r>
            <w:r w:rsidR="00692BB6">
              <w:t xml:space="preserve"> a written licenc</w:t>
            </w:r>
            <w:r w:rsidRPr="00F879DD">
              <w:t xml:space="preserve">e </w:t>
            </w:r>
            <w:r w:rsidR="004307E7">
              <w:t>that specifies</w:t>
            </w:r>
            <w:r w:rsidRPr="00F879DD">
              <w:t xml:space="preserve"> the </w:t>
            </w:r>
            <w:r w:rsidR="004307E7">
              <w:t xml:space="preserve">licensing fee and </w:t>
            </w:r>
            <w:r w:rsidRPr="00F879DD">
              <w:t>all terms and conditions that are normally stipulated</w:t>
            </w:r>
            <w:r>
              <w:t xml:space="preserve"> </w:t>
            </w:r>
            <w:r w:rsidR="00692BB6">
              <w:t>in a licenc</w:t>
            </w:r>
            <w:r w:rsidRPr="00F879DD">
              <w:t>e contract. This requires</w:t>
            </w:r>
            <w:r>
              <w:t xml:space="preserve"> </w:t>
            </w:r>
            <w:r w:rsidRPr="00F879DD">
              <w:t>the user to seriously consider what is FRAND in the</w:t>
            </w:r>
            <w:r>
              <w:t xml:space="preserve"> </w:t>
            </w:r>
            <w:r w:rsidRPr="00F879DD">
              <w:t xml:space="preserve">particular case. </w:t>
            </w:r>
            <w:r w:rsidR="004307E7">
              <w:t>Only i</w:t>
            </w:r>
            <w:r w:rsidRPr="00F879DD">
              <w:t xml:space="preserve">f the user has requested </w:t>
            </w:r>
            <w:r w:rsidR="004307E7">
              <w:t xml:space="preserve">FRAND terms </w:t>
            </w:r>
            <w:r w:rsidRPr="00F879DD">
              <w:t>from the patentee and the patentee has</w:t>
            </w:r>
            <w:r>
              <w:t xml:space="preserve"> </w:t>
            </w:r>
            <w:r w:rsidRPr="00F879DD">
              <w:t xml:space="preserve">unjustifiably refused the offer, </w:t>
            </w:r>
            <w:r w:rsidR="004307E7">
              <w:t xml:space="preserve">can </w:t>
            </w:r>
            <w:r w:rsidRPr="00F879DD">
              <w:t>the defence of the compulsory</w:t>
            </w:r>
            <w:r>
              <w:t xml:space="preserve"> </w:t>
            </w:r>
            <w:r w:rsidR="00692BB6">
              <w:t>licenc</w:t>
            </w:r>
            <w:r w:rsidRPr="00F879DD">
              <w:t>e be asserted.</w:t>
            </w:r>
          </w:p>
          <w:p w:rsidR="00F879DD" w:rsidRDefault="00692BB6" w:rsidP="00EA1A2B">
            <w:pPr>
              <w:pStyle w:val="Box"/>
            </w:pPr>
            <w:r>
              <w:t>If the compulsory licenc</w:t>
            </w:r>
            <w:r w:rsidR="00F879DD" w:rsidRPr="00F879DD">
              <w:t>e defence is successful, the</w:t>
            </w:r>
            <w:r w:rsidR="004307E7">
              <w:t xml:space="preserve"> </w:t>
            </w:r>
            <w:r w:rsidR="00F879DD" w:rsidRPr="00F879DD">
              <w:t>p</w:t>
            </w:r>
            <w:r w:rsidR="00EA1A2B">
              <w:t>atentee may not enforce a cease</w:t>
            </w:r>
            <w:r w:rsidR="00EA1A2B">
              <w:noBreakHyphen/>
              <w:t>and</w:t>
            </w:r>
            <w:r w:rsidR="00EA1A2B">
              <w:noBreakHyphen/>
            </w:r>
            <w:r w:rsidR="00F879DD" w:rsidRPr="00F879DD">
              <w:t>desist claim</w:t>
            </w:r>
            <w:r w:rsidR="004307E7">
              <w:t xml:space="preserve"> </w:t>
            </w:r>
            <w:r w:rsidR="00F879DD" w:rsidRPr="00F879DD">
              <w:t>directed to future breaches. However, the patentee</w:t>
            </w:r>
            <w:r w:rsidR="004307E7">
              <w:t xml:space="preserve"> </w:t>
            </w:r>
            <w:r w:rsidR="00F879DD" w:rsidRPr="00F879DD">
              <w:t xml:space="preserve">may claim </w:t>
            </w:r>
            <w:r w:rsidR="00EA1A2B">
              <w:t>the FRAND licensing fee</w:t>
            </w:r>
            <w:r w:rsidR="00F879DD" w:rsidRPr="00F879DD">
              <w:t xml:space="preserve"> for the use of the patent</w:t>
            </w:r>
            <w:r w:rsidR="004307E7">
              <w:t xml:space="preserve"> </w:t>
            </w:r>
            <w:r w:rsidR="00F879DD" w:rsidRPr="00F879DD">
              <w:t xml:space="preserve">during the period covered by the litigation. </w:t>
            </w:r>
          </w:p>
          <w:p w:rsidR="001957E7" w:rsidRPr="00F879DD" w:rsidRDefault="005F5A56" w:rsidP="007C23EB">
            <w:pPr>
              <w:pStyle w:val="Box"/>
            </w:pPr>
            <w:r>
              <w:t xml:space="preserve">An example of a case of this type involves </w:t>
            </w:r>
            <w:r w:rsidR="001957E7" w:rsidRPr="001957E7">
              <w:t>the GSM standard for digital</w:t>
            </w:r>
            <w:r w:rsidR="001957E7">
              <w:t xml:space="preserve"> </w:t>
            </w:r>
            <w:r w:rsidR="001957E7" w:rsidRPr="001957E7">
              <w:t>mobile communication networks</w:t>
            </w:r>
            <w:r>
              <w:t>. GSM</w:t>
            </w:r>
            <w:r w:rsidR="005D3AEC">
              <w:t xml:space="preserve"> is</w:t>
            </w:r>
            <w:r>
              <w:t xml:space="preserve"> </w:t>
            </w:r>
            <w:r w:rsidR="001957E7" w:rsidRPr="001957E7">
              <w:t>the most</w:t>
            </w:r>
            <w:r w:rsidR="001957E7">
              <w:t xml:space="preserve"> </w:t>
            </w:r>
            <w:r w:rsidR="001957E7" w:rsidRPr="001957E7">
              <w:t>widely used mobile c</w:t>
            </w:r>
            <w:r w:rsidR="005D3AEC">
              <w:t>ommunication standard worldwide and</w:t>
            </w:r>
            <w:r w:rsidR="001957E7">
              <w:t xml:space="preserve"> </w:t>
            </w:r>
            <w:r>
              <w:t>is covered by around</w:t>
            </w:r>
            <w:r w:rsidR="00887199">
              <w:t xml:space="preserve"> 4 </w:t>
            </w:r>
            <w:r w:rsidR="001957E7" w:rsidRPr="001957E7">
              <w:t xml:space="preserve">700 essential patents. </w:t>
            </w:r>
            <w:r w:rsidR="00D35721">
              <w:t>I</w:t>
            </w:r>
            <w:r w:rsidR="006D020B">
              <w:t xml:space="preserve">n </w:t>
            </w:r>
            <w:r w:rsidR="006D020B" w:rsidRPr="00887199">
              <w:rPr>
                <w:i/>
              </w:rPr>
              <w:t>Siemens vs. Amoi (4a) (2007)</w:t>
            </w:r>
            <w:r w:rsidR="006D020B">
              <w:t xml:space="preserve"> </w:t>
            </w:r>
            <w:r w:rsidR="006D020B" w:rsidRPr="00887199">
              <w:t>O 124/05</w:t>
            </w:r>
            <w:r w:rsidR="00D35721">
              <w:t xml:space="preserve">, Amoi </w:t>
            </w:r>
            <w:r w:rsidR="006D020B" w:rsidRPr="001957E7">
              <w:t>successfully</w:t>
            </w:r>
            <w:r w:rsidR="006D020B">
              <w:t xml:space="preserve"> </w:t>
            </w:r>
            <w:r w:rsidR="00B02F8C">
              <w:t>relied on the compulsory licenc</w:t>
            </w:r>
            <w:r w:rsidR="006D020B" w:rsidRPr="001957E7">
              <w:t>e defence</w:t>
            </w:r>
            <w:r w:rsidR="006D020B">
              <w:t xml:space="preserve"> in </w:t>
            </w:r>
            <w:r w:rsidR="001957E7" w:rsidRPr="001957E7">
              <w:t>Germ</w:t>
            </w:r>
            <w:r w:rsidR="006D020B">
              <w:t>any’s Dusseldorf District Court</w:t>
            </w:r>
            <w:r w:rsidR="001957E7" w:rsidRPr="001957E7">
              <w:t>. The court regarded the</w:t>
            </w:r>
            <w:r w:rsidR="001957E7">
              <w:t xml:space="preserve"> </w:t>
            </w:r>
            <w:r w:rsidR="001957E7" w:rsidRPr="001957E7">
              <w:t>condit</w:t>
            </w:r>
            <w:r>
              <w:t>ions of the licenc</w:t>
            </w:r>
            <w:r w:rsidR="001957E7" w:rsidRPr="001957E7">
              <w:t xml:space="preserve">e agreement offered by </w:t>
            </w:r>
            <w:r w:rsidR="00D35721">
              <w:t xml:space="preserve">Siemens </w:t>
            </w:r>
            <w:r w:rsidR="001957E7" w:rsidRPr="001957E7">
              <w:t xml:space="preserve">as inappropriate. </w:t>
            </w:r>
            <w:r w:rsidR="001E2540">
              <w:t>In particular</w:t>
            </w:r>
            <w:r w:rsidR="00B02F8C">
              <w:t>,</w:t>
            </w:r>
            <w:r w:rsidR="001E2540">
              <w:t xml:space="preserve"> it objected to </w:t>
            </w:r>
            <w:r w:rsidR="001E664A">
              <w:t>Siemens’</w:t>
            </w:r>
            <w:r w:rsidR="00B02F8C">
              <w:t xml:space="preserve"> demand</w:t>
            </w:r>
            <w:r w:rsidR="001957E7" w:rsidRPr="001957E7">
              <w:t xml:space="preserve"> </w:t>
            </w:r>
            <w:r w:rsidR="001E2540">
              <w:t xml:space="preserve">of </w:t>
            </w:r>
            <w:r w:rsidR="001957E7" w:rsidRPr="001957E7">
              <w:t xml:space="preserve">full cross-licensing of all </w:t>
            </w:r>
            <w:r w:rsidR="001E664A">
              <w:t>Amoi</w:t>
            </w:r>
            <w:r w:rsidR="00B02F8C">
              <w:t>’s</w:t>
            </w:r>
            <w:r w:rsidR="001957E7" w:rsidRPr="001957E7">
              <w:t xml:space="preserve"> patents</w:t>
            </w:r>
            <w:r w:rsidR="001957E7">
              <w:t xml:space="preserve"> </w:t>
            </w:r>
            <w:r w:rsidR="001957E7" w:rsidRPr="001957E7">
              <w:t>for all electronic devices and systems produced, sold,</w:t>
            </w:r>
            <w:r w:rsidR="001957E7">
              <w:t xml:space="preserve"> </w:t>
            </w:r>
            <w:r w:rsidR="001957E7" w:rsidRPr="001957E7">
              <w:t xml:space="preserve">and </w:t>
            </w:r>
            <w:r w:rsidR="001E664A">
              <w:t xml:space="preserve">used by Siemens </w:t>
            </w:r>
            <w:r w:rsidR="00B02F8C">
              <w:t>without payment of a licenc</w:t>
            </w:r>
            <w:r w:rsidR="001957E7" w:rsidRPr="001957E7">
              <w:t>e</w:t>
            </w:r>
            <w:r w:rsidR="001957E7">
              <w:t xml:space="preserve"> </w:t>
            </w:r>
            <w:r w:rsidR="001957E7" w:rsidRPr="001957E7">
              <w:t xml:space="preserve">fee. The court also </w:t>
            </w:r>
            <w:r w:rsidR="006D020B">
              <w:t xml:space="preserve">ruled </w:t>
            </w:r>
            <w:r w:rsidR="001957E7" w:rsidRPr="001957E7">
              <w:t xml:space="preserve">that </w:t>
            </w:r>
            <w:r w:rsidR="001E664A">
              <w:t xml:space="preserve">Siemens’ </w:t>
            </w:r>
            <w:r w:rsidR="00B02F8C">
              <w:t>licenc</w:t>
            </w:r>
            <w:r w:rsidR="001957E7" w:rsidRPr="001957E7">
              <w:t xml:space="preserve">e offer was </w:t>
            </w:r>
            <w:r w:rsidR="006D020B">
              <w:t xml:space="preserve">not </w:t>
            </w:r>
            <w:r w:rsidR="001957E7" w:rsidRPr="001957E7">
              <w:t>fair</w:t>
            </w:r>
            <w:r w:rsidR="00B02F8C">
              <w:t>,</w:t>
            </w:r>
            <w:r w:rsidR="001957E7" w:rsidRPr="001957E7">
              <w:t xml:space="preserve"> since it did not contain an upper</w:t>
            </w:r>
            <w:r w:rsidR="001957E7">
              <w:t xml:space="preserve"> </w:t>
            </w:r>
            <w:r w:rsidR="001957E7" w:rsidRPr="001957E7">
              <w:t xml:space="preserve">limit </w:t>
            </w:r>
            <w:r w:rsidR="006D020B">
              <w:t xml:space="preserve">on </w:t>
            </w:r>
            <w:r w:rsidR="00B02F8C">
              <w:t xml:space="preserve">the </w:t>
            </w:r>
            <w:r w:rsidR="001957E7" w:rsidRPr="001957E7">
              <w:t xml:space="preserve">overall </w:t>
            </w:r>
            <w:r w:rsidR="00D35721">
              <w:t xml:space="preserve">costs of </w:t>
            </w:r>
            <w:r>
              <w:t>licenc</w:t>
            </w:r>
            <w:r w:rsidR="001957E7" w:rsidRPr="001957E7">
              <w:t xml:space="preserve">es </w:t>
            </w:r>
            <w:r w:rsidR="00D35721">
              <w:t xml:space="preserve">(including </w:t>
            </w:r>
            <w:r w:rsidR="001E664A">
              <w:t xml:space="preserve">Siemens) </w:t>
            </w:r>
            <w:r w:rsidR="00D35721">
              <w:t>in t</w:t>
            </w:r>
            <w:r w:rsidR="006D020B">
              <w:t>he GSM</w:t>
            </w:r>
            <w:r w:rsidR="001957E7" w:rsidRPr="001957E7">
              <w:t xml:space="preserve"> standard.</w:t>
            </w:r>
            <w:r w:rsidR="001E2540">
              <w:t xml:space="preserve"> </w:t>
            </w:r>
          </w:p>
        </w:tc>
      </w:tr>
      <w:tr w:rsidR="0035699F" w:rsidTr="0035699F">
        <w:trPr>
          <w:cantSplit/>
        </w:trPr>
        <w:tc>
          <w:tcPr>
            <w:tcW w:w="8771" w:type="dxa"/>
            <w:tcBorders>
              <w:top w:val="nil"/>
              <w:left w:val="single" w:sz="6" w:space="0" w:color="auto"/>
              <w:bottom w:val="nil"/>
              <w:right w:val="single" w:sz="6" w:space="0" w:color="auto"/>
            </w:tcBorders>
          </w:tcPr>
          <w:p w:rsidR="0035699F" w:rsidRDefault="0035699F" w:rsidP="00EA1A2B">
            <w:pPr>
              <w:pStyle w:val="BoxSource"/>
            </w:pPr>
            <w:r>
              <w:rPr>
                <w:i/>
              </w:rPr>
              <w:t>Source</w:t>
            </w:r>
            <w:r w:rsidRPr="00167F06">
              <w:t xml:space="preserve">: </w:t>
            </w:r>
            <w:r w:rsidR="00EA1A2B">
              <w:t xml:space="preserve">Herr </w:t>
            </w:r>
            <w:r>
              <w:t>(</w:t>
            </w:r>
            <w:r w:rsidR="00EA1A2B">
              <w:t>2009</w:t>
            </w:r>
            <w:r>
              <w:t>).</w:t>
            </w:r>
          </w:p>
        </w:tc>
      </w:tr>
      <w:tr w:rsidR="0035699F" w:rsidTr="0035699F">
        <w:trPr>
          <w:cantSplit/>
        </w:trPr>
        <w:tc>
          <w:tcPr>
            <w:tcW w:w="8771" w:type="dxa"/>
            <w:tcBorders>
              <w:top w:val="nil"/>
              <w:left w:val="single" w:sz="6" w:space="0" w:color="auto"/>
              <w:bottom w:val="single" w:sz="6" w:space="0" w:color="auto"/>
              <w:right w:val="single" w:sz="6" w:space="0" w:color="auto"/>
            </w:tcBorders>
          </w:tcPr>
          <w:p w:rsidR="0035699F" w:rsidRDefault="0035699F" w:rsidP="0035699F">
            <w:pPr>
              <w:pStyle w:val="Box"/>
              <w:spacing w:before="0" w:line="120" w:lineRule="exact"/>
            </w:pPr>
          </w:p>
        </w:tc>
      </w:tr>
      <w:tr w:rsidR="0035699F" w:rsidRPr="000863A5" w:rsidTr="0035699F">
        <w:tc>
          <w:tcPr>
            <w:tcW w:w="8771" w:type="dxa"/>
            <w:tcBorders>
              <w:top w:val="nil"/>
              <w:left w:val="nil"/>
              <w:bottom w:val="nil"/>
              <w:right w:val="nil"/>
            </w:tcBorders>
          </w:tcPr>
          <w:p w:rsidR="0035699F" w:rsidRPr="000863A5" w:rsidRDefault="0035699F" w:rsidP="0035699F">
            <w:pPr>
              <w:pStyle w:val="Box"/>
              <w:keepNext w:val="0"/>
              <w:spacing w:before="60" w:after="60" w:line="80" w:lineRule="exact"/>
              <w:rPr>
                <w:b/>
                <w:sz w:val="14"/>
              </w:rPr>
            </w:pPr>
          </w:p>
        </w:tc>
      </w:tr>
    </w:tbl>
    <w:p w:rsidR="00207059" w:rsidRDefault="00207059" w:rsidP="00207059">
      <w:pPr>
        <w:pStyle w:val="BodyText"/>
      </w:pPr>
      <w:r>
        <w:t xml:space="preserve">In addition to suggesting that compulsory licencing should be used to compel licensing on FRAND terms for all standards essential patents, Telstra also contended that: </w:t>
      </w:r>
    </w:p>
    <w:p w:rsidR="00207059" w:rsidRPr="006A4F35" w:rsidRDefault="00207059" w:rsidP="00207059">
      <w:pPr>
        <w:pStyle w:val="Quote"/>
      </w:pPr>
      <w:r>
        <w:t>C</w:t>
      </w:r>
      <w:r w:rsidRPr="000D4E3E">
        <w:t>ommunication networks and emergency services are of critical social importance. Patents relating to these fields should be considered ‘standard essential patents’ and therefore potentia</w:t>
      </w:r>
      <w:r>
        <w:t>lly subject to compulsory licenc</w:t>
      </w:r>
      <w:r w:rsidRPr="000D4E3E">
        <w:t>es</w:t>
      </w:r>
      <w:r>
        <w:t>. (sub. 8, p. 3)</w:t>
      </w:r>
    </w:p>
    <w:p w:rsidR="00207059" w:rsidRDefault="00207059" w:rsidP="00207059">
      <w:pPr>
        <w:pStyle w:val="BodyText"/>
      </w:pPr>
      <w:r>
        <w:lastRenderedPageBreak/>
        <w:t xml:space="preserve">The Commission does not agree that specific measures aimed at these industries are necessary. The rationale for considering compulsory licensing of standard essential patents is to address the enhanced market power the standard can confer. The competition ground and the new public interest ground for compulsory licensing proposed by the Commission in chapter 6, would perform that function. In addition, the Patents Act is drafted to be technology neutral and altering the legal status of patents in specific industries may have unintended consequences (SCARC 2010). </w:t>
      </w:r>
    </w:p>
    <w:p w:rsidR="00207059" w:rsidRPr="00A55A9F" w:rsidRDefault="00207059" w:rsidP="00207059">
      <w:pPr>
        <w:pStyle w:val="BodyText"/>
      </w:pPr>
      <w:r w:rsidRPr="007E0797">
        <w:t>It may also be tha</w:t>
      </w:r>
      <w:r>
        <w:t>t the controversy over standard</w:t>
      </w:r>
      <w:r w:rsidRPr="007E0797">
        <w:t xml:space="preserve"> essential patents is overstated. </w:t>
      </w:r>
      <w:r>
        <w:t xml:space="preserve">In </w:t>
      </w:r>
      <w:r w:rsidRPr="00256E58">
        <w:t>October 2012</w:t>
      </w:r>
      <w:r>
        <w:t xml:space="preserve">, </w:t>
      </w:r>
      <w:r w:rsidRPr="007E0797">
        <w:t>the Internationa</w:t>
      </w:r>
      <w:r>
        <w:t xml:space="preserve">l Telecommunications Union </w:t>
      </w:r>
      <w:r w:rsidRPr="007E0797">
        <w:t>held</w:t>
      </w:r>
      <w:r>
        <w:t xml:space="preserve"> a </w:t>
      </w:r>
      <w:r w:rsidRPr="007E0797">
        <w:t xml:space="preserve">roundtable </w:t>
      </w:r>
      <w:r>
        <w:t xml:space="preserve">to </w:t>
      </w:r>
      <w:r w:rsidRPr="002D3575">
        <w:t xml:space="preserve">assess the effectiveness of </w:t>
      </w:r>
      <w:r>
        <w:t>FRAND-</w:t>
      </w:r>
      <w:r w:rsidRPr="002D3575">
        <w:t>based patent policies</w:t>
      </w:r>
      <w:r>
        <w:t xml:space="preserve"> used by SDOs</w:t>
      </w:r>
      <w:r w:rsidRPr="002D3575">
        <w:t>.</w:t>
      </w:r>
      <w:r>
        <w:t xml:space="preserve"> The vast majority of industry participants at the roundtable indicated in submissions that recent litigation was not representative of widespread problems with FRAND. For example:</w:t>
      </w:r>
    </w:p>
    <w:p w:rsidR="00207059" w:rsidRDefault="00207059" w:rsidP="00207059">
      <w:pPr>
        <w:pStyle w:val="Quote"/>
      </w:pPr>
      <w:r>
        <w:t>… the [</w:t>
      </w:r>
      <w:r w:rsidRPr="00A55A9F">
        <w:t>F</w:t>
      </w:r>
      <w:r>
        <w:t>]</w:t>
      </w:r>
      <w:r w:rsidRPr="00A55A9F">
        <w:t>RAND regime has successfully been the basis for hundreds of licensing agreements agreed bilater</w:t>
      </w:r>
      <w:r w:rsidRPr="007E0797">
        <w:t>ally in an amicable way and, accordingly, has clearly enabled market entry by facilitating broad distribution of technology.</w:t>
      </w:r>
      <w:r>
        <w:t> </w:t>
      </w:r>
      <w:r w:rsidRPr="007E0797">
        <w:t>…</w:t>
      </w:r>
      <w:r>
        <w:t> </w:t>
      </w:r>
      <w:r w:rsidRPr="007E0797">
        <w:t>Litigation is an integral part of the IP system, and the use of courts to resolve disputes between competitors is simply a sign of a vibrant and functioning m</w:t>
      </w:r>
      <w:r w:rsidRPr="00152BAB">
        <w:t>arket. (Nokia 2012, pp.</w:t>
      </w:r>
      <w:r w:rsidRPr="001316C0">
        <w:t> </w:t>
      </w:r>
      <w:r>
        <w:t>1–</w:t>
      </w:r>
      <w:r w:rsidRPr="006B0683">
        <w:t>2).</w:t>
      </w:r>
    </w:p>
    <w:p w:rsidR="00207059" w:rsidRDefault="00207059" w:rsidP="00207059">
      <w:pPr>
        <w:pStyle w:val="Quote"/>
      </w:pPr>
      <w:r>
        <w:t>… </w:t>
      </w:r>
      <w:r w:rsidRPr="00A55A9F">
        <w:t xml:space="preserve">existing </w:t>
      </w:r>
      <w:r>
        <w:t>[F]</w:t>
      </w:r>
      <w:r w:rsidRPr="00A55A9F">
        <w:t>RAND-based licensing practices function precisely as intended and have permitted spectacular innovation and growth in the m</w:t>
      </w:r>
      <w:r>
        <w:t>obile communications industry. … </w:t>
      </w:r>
      <w:r w:rsidRPr="00A55A9F">
        <w:t>Calls fo</w:t>
      </w:r>
      <w:r>
        <w:t xml:space="preserve">r change rooted in exaggeration — </w:t>
      </w:r>
      <w:r w:rsidRPr="00A55A9F">
        <w:t>chiefly, the claim that the commercial disputes between a few market parti</w:t>
      </w:r>
      <w:r>
        <w:t>cipants amount to a widespread ‘patent war’</w:t>
      </w:r>
      <w:r w:rsidRPr="00A55A9F">
        <w:t xml:space="preserve"> afflicting the</w:t>
      </w:r>
      <w:r>
        <w:t xml:space="preserve"> mobile communications industry — </w:t>
      </w:r>
      <w:r w:rsidRPr="00A55A9F">
        <w:t xml:space="preserve">should be approached with </w:t>
      </w:r>
      <w:r>
        <w:t>scepticism. (Qualcomm Incorporated 2012, pp. 1–2)</w:t>
      </w:r>
    </w:p>
    <w:p w:rsidR="00207059" w:rsidRDefault="00207059" w:rsidP="00207059">
      <w:pPr>
        <w:pStyle w:val="Quote"/>
        <w:rPr>
          <w:lang w:val="en-US"/>
        </w:rPr>
      </w:pPr>
      <w:r w:rsidRPr="00A55A9F">
        <w:rPr>
          <w:lang w:val="en-US"/>
        </w:rPr>
        <w:t xml:space="preserve">In fact, in the past decades, a large number of such new vendors have emerged around the world and become highly successful, demonstrating that the principles of open access to standards and sharing of </w:t>
      </w:r>
      <w:r>
        <w:rPr>
          <w:lang w:val="en-US"/>
        </w:rPr>
        <w:t>[intellectual property rights]</w:t>
      </w:r>
      <w:r w:rsidRPr="00A55A9F">
        <w:rPr>
          <w:lang w:val="en-US"/>
        </w:rPr>
        <w:t xml:space="preserve"> through FRAND licensing do serve as true market enablers. Indeed, the European telecoms industry has enjoyed remarkable growth in the last two decades, providing affordable communication to billions of people world</w:t>
      </w:r>
      <w:r>
        <w:rPr>
          <w:lang w:val="en-US"/>
        </w:rPr>
        <w:t>-</w:t>
      </w:r>
      <w:r w:rsidRPr="00A55A9F">
        <w:rPr>
          <w:lang w:val="en-US"/>
        </w:rPr>
        <w:t>wide. Prices of devices and network services have fallen. In addition, devices and network equipment are empowered by cont</w:t>
      </w:r>
      <w:r>
        <w:rPr>
          <w:lang w:val="en-US"/>
        </w:rPr>
        <w:t>inuously improved and standardis</w:t>
      </w:r>
      <w:r w:rsidRPr="00A55A9F">
        <w:rPr>
          <w:lang w:val="en-US"/>
        </w:rPr>
        <w:t>ed technologies, generating enhanced performance and superior features for consumers</w:t>
      </w:r>
      <w:r>
        <w:rPr>
          <w:lang w:val="en-US"/>
        </w:rPr>
        <w:t> … (</w:t>
      </w:r>
      <w:r w:rsidRPr="00A55A9F">
        <w:rPr>
          <w:lang w:val="en-US"/>
        </w:rPr>
        <w:t>Erics</w:t>
      </w:r>
      <w:r>
        <w:rPr>
          <w:lang w:val="en-US"/>
        </w:rPr>
        <w:t>s</w:t>
      </w:r>
      <w:r w:rsidRPr="00A55A9F">
        <w:rPr>
          <w:lang w:val="en-US"/>
        </w:rPr>
        <w:t>on</w:t>
      </w:r>
      <w:r>
        <w:rPr>
          <w:lang w:val="en-US"/>
        </w:rPr>
        <w:t>, 2012</w:t>
      </w:r>
      <w:r w:rsidRPr="00A55A9F">
        <w:rPr>
          <w:lang w:val="en-US"/>
        </w:rPr>
        <w:t xml:space="preserve"> p.</w:t>
      </w:r>
      <w:r>
        <w:rPr>
          <w:lang w:val="en-US"/>
        </w:rPr>
        <w:t xml:space="preserve"> </w:t>
      </w:r>
      <w:r w:rsidRPr="00A55A9F">
        <w:rPr>
          <w:lang w:val="en-US"/>
        </w:rPr>
        <w:t>3</w:t>
      </w:r>
      <w:r>
        <w:rPr>
          <w:lang w:val="en-US"/>
        </w:rPr>
        <w:t>)</w:t>
      </w:r>
    </w:p>
    <w:p w:rsidR="00C97560" w:rsidRDefault="00C97560" w:rsidP="00C97560">
      <w:pPr>
        <w:pStyle w:val="BodyText"/>
      </w:pPr>
      <w:r>
        <w:t xml:space="preserve">In any event, existing provisions are unlikely to be called upon often in Australia to address disputes related to standard essential patents. </w:t>
      </w:r>
      <w:r>
        <w:rPr>
          <w:lang w:val="en"/>
        </w:rPr>
        <w:t>Many of the industries associated with standard essential patents are primarily located outside of Australia. A survey of eleven prominent SDOs conducted for the European Union found that 91 per cent of standard essential patents were owned by companies from the United States, Europe or Japan (Blind et al. 2009). This accords with the view of Standards Australia, which sees its role as ensuring that Australia adopts standards already set by the large international and regional SDOs (box 5.3).</w:t>
      </w:r>
    </w:p>
    <w:p w:rsidR="00746A81" w:rsidRDefault="00BE5F8F" w:rsidP="00746A81">
      <w:pPr>
        <w:pStyle w:val="Heading2"/>
      </w:pPr>
      <w:r>
        <w:lastRenderedPageBreak/>
        <w:t>5.</w:t>
      </w:r>
      <w:r>
        <w:rPr>
          <w:noProof/>
        </w:rPr>
        <w:t>3</w:t>
      </w:r>
      <w:r w:rsidR="00746A81">
        <w:tab/>
      </w:r>
      <w:r w:rsidR="00C25673">
        <w:t>Access concerns for developing nations</w:t>
      </w:r>
    </w:p>
    <w:p w:rsidR="001E0E7A" w:rsidRDefault="0024777E" w:rsidP="0024777E">
      <w:pPr>
        <w:pStyle w:val="BodyText"/>
      </w:pPr>
      <w:r>
        <w:t xml:space="preserve">Compulsory licensing has been put forward as a solution to a number of </w:t>
      </w:r>
      <w:r w:rsidR="00841F6F">
        <w:t>problems faced by</w:t>
      </w:r>
      <w:r>
        <w:t xml:space="preserve"> developing nations. In addition to </w:t>
      </w:r>
      <w:r w:rsidR="00841F6F">
        <w:t xml:space="preserve">the problem of </w:t>
      </w:r>
      <w:r>
        <w:t>access to pharmaceuticals</w:t>
      </w:r>
      <w:r w:rsidR="00E41C13">
        <w:t xml:space="preserve"> — </w:t>
      </w:r>
      <w:r w:rsidR="00F77370">
        <w:t xml:space="preserve">in particular </w:t>
      </w:r>
      <w:r w:rsidR="00D92E52">
        <w:t>HIV/AIDS</w:t>
      </w:r>
      <w:r w:rsidR="00F77370">
        <w:t xml:space="preserve"> drugs</w:t>
      </w:r>
      <w:r>
        <w:t xml:space="preserve"> (</w:t>
      </w:r>
      <w:r w:rsidR="00D92E52">
        <w:t xml:space="preserve">chapter </w:t>
      </w:r>
      <w:r w:rsidR="00E41C13">
        <w:t>8</w:t>
      </w:r>
      <w:r>
        <w:t>)</w:t>
      </w:r>
      <w:r w:rsidR="00E41C13">
        <w:t xml:space="preserve"> —</w:t>
      </w:r>
      <w:r w:rsidR="00F77370">
        <w:t xml:space="preserve"> compulsory licensing </w:t>
      </w:r>
      <w:r w:rsidR="005D7DB3">
        <w:t xml:space="preserve">is seen </w:t>
      </w:r>
      <w:r w:rsidR="00F77370">
        <w:t>as a way to s</w:t>
      </w:r>
      <w:r w:rsidR="00841F6F">
        <w:t>timulate technology transfer to</w:t>
      </w:r>
      <w:r w:rsidR="00F77370">
        <w:t xml:space="preserve"> alleviate climate change and ensure food security.</w:t>
      </w:r>
      <w:r w:rsidR="00E41C13">
        <w:t xml:space="preserve"> </w:t>
      </w:r>
      <w:r w:rsidR="005D7DB3">
        <w:t>In theory, this would occur where a domestic firm in the developing nation is able to produce a patented invention at lower cost. The firm would be given a licence to produce the product thereby lowering the cost for end consumers in that nation. Alternatively, the</w:t>
      </w:r>
      <w:r w:rsidR="00E41C13">
        <w:t xml:space="preserve"> compulsory licence forc</w:t>
      </w:r>
      <w:r w:rsidR="005D7DB3">
        <w:t>es</w:t>
      </w:r>
      <w:r w:rsidR="00E41C13">
        <w:t xml:space="preserve"> </w:t>
      </w:r>
      <w:r w:rsidR="005D7DB3">
        <w:t>the patent holder</w:t>
      </w:r>
      <w:r w:rsidR="00E41C13">
        <w:t xml:space="preserve"> to sell </w:t>
      </w:r>
      <w:r w:rsidR="005D7DB3">
        <w:t xml:space="preserve">its </w:t>
      </w:r>
      <w:r w:rsidR="00E41C13">
        <w:t>technolog</w:t>
      </w:r>
      <w:r w:rsidR="005D7DB3">
        <w:t>y</w:t>
      </w:r>
      <w:r w:rsidR="00E41C13">
        <w:t xml:space="preserve"> to </w:t>
      </w:r>
      <w:r w:rsidR="005D7DB3">
        <w:t xml:space="preserve">the </w:t>
      </w:r>
      <w:r w:rsidR="00E41C13">
        <w:t>developing countr</w:t>
      </w:r>
      <w:r w:rsidR="005D7DB3">
        <w:t>y</w:t>
      </w:r>
      <w:r w:rsidR="00E41C13">
        <w:t xml:space="preserve"> at lower prices</w:t>
      </w:r>
      <w:r w:rsidR="005D7DB3">
        <w:t>.</w:t>
      </w:r>
    </w:p>
    <w:p w:rsidR="003D18F6" w:rsidRPr="0024777E" w:rsidRDefault="003D18F6" w:rsidP="0024777E">
      <w:pPr>
        <w:pStyle w:val="BodyText"/>
      </w:pPr>
      <w:r>
        <w:t>T</w:t>
      </w:r>
      <w:r w:rsidRPr="003D18F6">
        <w:t>he</w:t>
      </w:r>
      <w:r w:rsidR="00B0535F">
        <w:t>re appears to be little</w:t>
      </w:r>
      <w:r w:rsidRPr="003D18F6">
        <w:t xml:space="preserve"> </w:t>
      </w:r>
      <w:r>
        <w:t xml:space="preserve">role </w:t>
      </w:r>
      <w:r w:rsidR="00B0535F">
        <w:t>for</w:t>
      </w:r>
      <w:r>
        <w:t xml:space="preserve"> the </w:t>
      </w:r>
      <w:r w:rsidRPr="003D18F6">
        <w:t>Australian compulsory licensing provisions</w:t>
      </w:r>
      <w:r>
        <w:t xml:space="preserve"> </w:t>
      </w:r>
      <w:r w:rsidR="00B0535F">
        <w:t>in this context</w:t>
      </w:r>
      <w:r w:rsidRPr="003D18F6">
        <w:t>.</w:t>
      </w:r>
      <w:r w:rsidR="00C5554C">
        <w:t xml:space="preserve"> </w:t>
      </w:r>
      <w:r w:rsidRPr="003D18F6">
        <w:t xml:space="preserve">At present, with the exception of pharmaceuticals (chapter 8), </w:t>
      </w:r>
      <w:r w:rsidR="00787C91">
        <w:t xml:space="preserve">the Patents Act does not allow </w:t>
      </w:r>
      <w:r w:rsidRPr="003D18F6">
        <w:t xml:space="preserve">compulsory licences </w:t>
      </w:r>
      <w:r w:rsidR="00787C91">
        <w:t xml:space="preserve">to </w:t>
      </w:r>
      <w:r w:rsidRPr="003D18F6">
        <w:t xml:space="preserve">be sought for exports. </w:t>
      </w:r>
      <w:r w:rsidR="00787C91">
        <w:t xml:space="preserve">This accords with Australia’s international obligations. Article 31(f) </w:t>
      </w:r>
      <w:r w:rsidR="00CC5252">
        <w:t xml:space="preserve">of the TRIPS agreement requires that where the law allows for the unauthorised use of patented material, it is </w:t>
      </w:r>
      <w:r w:rsidR="00CC5252" w:rsidRPr="00CC5252">
        <w:t>predominantly for the supply of the domestic market</w:t>
      </w:r>
      <w:r w:rsidR="00CC5252">
        <w:t xml:space="preserve"> (appendix D). </w:t>
      </w:r>
      <w:r w:rsidR="00C5554C">
        <w:t>Accordingly, the use of compulsory licencing to address these concerns is largely a matter for developing nations.</w:t>
      </w:r>
      <w:r w:rsidR="00787C91">
        <w:t xml:space="preserve"> </w:t>
      </w:r>
    </w:p>
    <w:p w:rsidR="00C25673" w:rsidRDefault="00C25673" w:rsidP="009D4392">
      <w:pPr>
        <w:pStyle w:val="Heading3"/>
      </w:pPr>
      <w:r>
        <w:t>Climate change and alternative energy</w:t>
      </w:r>
    </w:p>
    <w:p w:rsidR="00791A65" w:rsidRDefault="00393E9E" w:rsidP="00791A65">
      <w:pPr>
        <w:spacing w:before="240" w:line="320" w:lineRule="atLeast"/>
        <w:jc w:val="both"/>
        <w:rPr>
          <w:szCs w:val="20"/>
        </w:rPr>
      </w:pPr>
      <w:r>
        <w:rPr>
          <w:lang w:val="en"/>
        </w:rPr>
        <w:t>At t</w:t>
      </w:r>
      <w:r w:rsidRPr="003F4C62">
        <w:rPr>
          <w:lang w:val="en"/>
        </w:rPr>
        <w:t xml:space="preserve">he </w:t>
      </w:r>
      <w:r w:rsidR="00C92AAA" w:rsidRPr="00C92AAA">
        <w:rPr>
          <w:bCs/>
        </w:rPr>
        <w:t xml:space="preserve">15th session of the Conference of the Parties to the </w:t>
      </w:r>
      <w:r w:rsidRPr="00382440">
        <w:rPr>
          <w:bCs/>
          <w:lang w:val="en"/>
        </w:rPr>
        <w:t xml:space="preserve">United Nations </w:t>
      </w:r>
      <w:r w:rsidRPr="00AB2DEE">
        <w:t>Framework</w:t>
      </w:r>
      <w:r>
        <w:rPr>
          <w:bCs/>
          <w:lang w:val="en"/>
        </w:rPr>
        <w:t xml:space="preserve"> Convention on </w:t>
      </w:r>
      <w:r w:rsidRPr="00382440">
        <w:rPr>
          <w:bCs/>
          <w:lang w:val="en"/>
        </w:rPr>
        <w:t>Climate Change</w:t>
      </w:r>
      <w:r>
        <w:rPr>
          <w:bCs/>
          <w:lang w:val="en"/>
        </w:rPr>
        <w:t xml:space="preserve"> (UNFCCC)</w:t>
      </w:r>
      <w:r>
        <w:rPr>
          <w:lang w:val="en"/>
        </w:rPr>
        <w:t xml:space="preserve"> </w:t>
      </w:r>
      <w:r w:rsidR="00C92AAA">
        <w:rPr>
          <w:lang w:val="en"/>
        </w:rPr>
        <w:t xml:space="preserve">in </w:t>
      </w:r>
      <w:r w:rsidR="00C92AAA" w:rsidRPr="00382440">
        <w:rPr>
          <w:bCs/>
          <w:lang w:val="en"/>
        </w:rPr>
        <w:t xml:space="preserve">2009 </w:t>
      </w:r>
      <w:r>
        <w:rPr>
          <w:lang w:val="en"/>
        </w:rPr>
        <w:t>—</w:t>
      </w:r>
      <w:r w:rsidRPr="00382440">
        <w:rPr>
          <w:lang w:val="en"/>
        </w:rPr>
        <w:t xml:space="preserve"> commonly known as the </w:t>
      </w:r>
      <w:r w:rsidRPr="00382440">
        <w:rPr>
          <w:bCs/>
          <w:lang w:val="en"/>
        </w:rPr>
        <w:t>Copenhagen Summit</w:t>
      </w:r>
      <w:r>
        <w:rPr>
          <w:bCs/>
          <w:lang w:val="en"/>
        </w:rPr>
        <w:t xml:space="preserve"> —</w:t>
      </w:r>
      <w:r w:rsidRPr="003F4C62">
        <w:rPr>
          <w:lang w:val="en"/>
        </w:rPr>
        <w:t xml:space="preserve"> </w:t>
      </w:r>
      <w:r w:rsidR="003B5460">
        <w:rPr>
          <w:lang w:val="en"/>
        </w:rPr>
        <w:t xml:space="preserve">the </w:t>
      </w:r>
      <w:r w:rsidR="003B5460" w:rsidRPr="003B5460">
        <w:t>G77 (an</w:t>
      </w:r>
      <w:r w:rsidR="003B5460">
        <w:t xml:space="preserve"> </w:t>
      </w:r>
      <w:r w:rsidR="003B5460" w:rsidRPr="003B5460">
        <w:t>intergovernmental organisation of 77</w:t>
      </w:r>
      <w:r w:rsidR="003B5460">
        <w:t xml:space="preserve"> developing nations</w:t>
      </w:r>
      <w:r w:rsidR="003B5460" w:rsidRPr="003B5460">
        <w:t>)</w:t>
      </w:r>
      <w:r w:rsidR="003B5460">
        <w:t xml:space="preserve"> </w:t>
      </w:r>
      <w:r>
        <w:t xml:space="preserve">and </w:t>
      </w:r>
      <w:r w:rsidR="003B5460">
        <w:t>China</w:t>
      </w:r>
      <w:r>
        <w:t xml:space="preserve"> proposed a range of measures aimed at encouraging the spread of alternative energy and other mitigation technologies to developing countries</w:t>
      </w:r>
      <w:r w:rsidR="00B0535F">
        <w:t xml:space="preserve"> (TERI 2009).</w:t>
      </w:r>
      <w:r w:rsidR="00E41C13">
        <w:rPr>
          <w:rStyle w:val="FootnoteReference"/>
        </w:rPr>
        <w:footnoteReference w:id="2"/>
      </w:r>
      <w:r>
        <w:t xml:space="preserve"> Among other things, this included making </w:t>
      </w:r>
      <w:r w:rsidRPr="003F4C62">
        <w:t>th</w:t>
      </w:r>
      <w:r>
        <w:t>e</w:t>
      </w:r>
      <w:r w:rsidRPr="003F4C62">
        <w:t xml:space="preserve"> technologies subject to compulsory licensing. </w:t>
      </w:r>
      <w:r>
        <w:t xml:space="preserve">They also called </w:t>
      </w:r>
      <w:r w:rsidRPr="003F4C62">
        <w:t xml:space="preserve">for </w:t>
      </w:r>
      <w:r>
        <w:t>UNFCCC agreements</w:t>
      </w:r>
      <w:r w:rsidRPr="003F4C62" w:rsidDel="00C2312E">
        <w:t xml:space="preserve"> </w:t>
      </w:r>
      <w:r>
        <w:t xml:space="preserve">to include </w:t>
      </w:r>
      <w:r w:rsidRPr="003F4C62">
        <w:t xml:space="preserve">criteria on compulsory licensing for patented </w:t>
      </w:r>
      <w:r>
        <w:t>mitigation technologies</w:t>
      </w:r>
      <w:r w:rsidR="001D5D25">
        <w:t xml:space="preserve"> (G77 and </w:t>
      </w:r>
      <w:r w:rsidR="00B0535F">
        <w:t xml:space="preserve">the Government of the People’s Republic of </w:t>
      </w:r>
      <w:r w:rsidR="001D5D25">
        <w:t>China nd)</w:t>
      </w:r>
      <w:r>
        <w:t>.</w:t>
      </w:r>
      <w:r w:rsidR="00791A65" w:rsidRPr="00791A65">
        <w:rPr>
          <w:szCs w:val="20"/>
        </w:rPr>
        <w:t xml:space="preserve"> </w:t>
      </w:r>
    </w:p>
    <w:p w:rsidR="00470586" w:rsidRDefault="00470586" w:rsidP="00470586">
      <w:pPr>
        <w:spacing w:before="240" w:line="320" w:lineRule="atLeast"/>
        <w:jc w:val="both"/>
        <w:rPr>
          <w:lang w:val="en"/>
        </w:rPr>
      </w:pPr>
      <w:r w:rsidRPr="00791A65">
        <w:rPr>
          <w:szCs w:val="20"/>
        </w:rPr>
        <w:t>Advocates of compulsory licensing for alternative energy and other mitigation technologies have argued that the</w:t>
      </w:r>
      <w:r>
        <w:rPr>
          <w:szCs w:val="20"/>
        </w:rPr>
        <w:t xml:space="preserve"> negotiation of </w:t>
      </w:r>
      <w:r w:rsidRPr="00791A65">
        <w:rPr>
          <w:szCs w:val="20"/>
        </w:rPr>
        <w:t xml:space="preserve">compulsory licensing of pharmaceuticals under </w:t>
      </w:r>
      <w:r>
        <w:rPr>
          <w:szCs w:val="20"/>
        </w:rPr>
        <w:t xml:space="preserve">the </w:t>
      </w:r>
      <w:r w:rsidRPr="00791A65">
        <w:rPr>
          <w:szCs w:val="20"/>
        </w:rPr>
        <w:t xml:space="preserve">TRIPS </w:t>
      </w:r>
      <w:r>
        <w:rPr>
          <w:szCs w:val="20"/>
        </w:rPr>
        <w:t xml:space="preserve">agreement </w:t>
      </w:r>
      <w:r w:rsidRPr="00791A65">
        <w:rPr>
          <w:szCs w:val="20"/>
        </w:rPr>
        <w:t>is a precedent</w:t>
      </w:r>
      <w:r>
        <w:rPr>
          <w:szCs w:val="20"/>
        </w:rPr>
        <w:t xml:space="preserve"> (appendix D)</w:t>
      </w:r>
      <w:r w:rsidRPr="00791A65">
        <w:rPr>
          <w:szCs w:val="20"/>
        </w:rPr>
        <w:t xml:space="preserve">. </w:t>
      </w:r>
    </w:p>
    <w:p w:rsidR="00470586" w:rsidRDefault="00470586" w:rsidP="00470586">
      <w:pPr>
        <w:pStyle w:val="BodyText"/>
        <w:rPr>
          <w:lang w:val="en"/>
        </w:rPr>
      </w:pPr>
      <w:r>
        <w:lastRenderedPageBreak/>
        <w:t>A</w:t>
      </w:r>
      <w:r w:rsidRPr="001D5D25">
        <w:t xml:space="preserve"> new</w:t>
      </w:r>
      <w:r>
        <w:t xml:space="preserve"> </w:t>
      </w:r>
      <w:r w:rsidRPr="001D5D25">
        <w:t>paragraph highlighting compulsory licensing</w:t>
      </w:r>
      <w:r>
        <w:t xml:space="preserve"> </w:t>
      </w:r>
      <w:r w:rsidRPr="001D5D25">
        <w:t xml:space="preserve">was </w:t>
      </w:r>
      <w:r>
        <w:t xml:space="preserve">drafted as part </w:t>
      </w:r>
      <w:r w:rsidRPr="001D5D25">
        <w:t>of the pre</w:t>
      </w:r>
      <w:r>
        <w:noBreakHyphen/>
      </w:r>
      <w:r w:rsidRPr="001D5D25">
        <w:t xml:space="preserve">Copenhagen negotiations </w:t>
      </w:r>
      <w:r>
        <w:t xml:space="preserve">(specifically the </w:t>
      </w:r>
      <w:r>
        <w:rPr>
          <w:lang w:val="en"/>
        </w:rPr>
        <w:t>report of the Ad hoc Working Group on Long-term Co-operative Action):</w:t>
      </w:r>
    </w:p>
    <w:p w:rsidR="00470586" w:rsidRDefault="00470586" w:rsidP="00470586">
      <w:pPr>
        <w:pStyle w:val="Quote"/>
      </w:pPr>
      <w:r w:rsidRPr="0067608A">
        <w:t>Developing countries have the right to make use of the full flexibilities</w:t>
      </w:r>
      <w:r>
        <w:t xml:space="preserve"> </w:t>
      </w:r>
      <w:r w:rsidRPr="0067608A">
        <w:t xml:space="preserve">contained in the </w:t>
      </w:r>
      <w:r w:rsidR="007C23EB">
        <w:t xml:space="preserve">[TRIPS] </w:t>
      </w:r>
      <w:r w:rsidRPr="0067608A">
        <w:t>agreement, including</w:t>
      </w:r>
      <w:r>
        <w:t xml:space="preserve"> </w:t>
      </w:r>
      <w:r w:rsidRPr="0067608A">
        <w:t>compulsory licensing</w:t>
      </w:r>
      <w:r>
        <w:t>. (UN 2010, p.</w:t>
      </w:r>
      <w:r w:rsidR="0021492D">
        <w:t xml:space="preserve"> </w:t>
      </w:r>
      <w:r>
        <w:t>28)</w:t>
      </w:r>
    </w:p>
    <w:p w:rsidR="00470586" w:rsidRDefault="00470586" w:rsidP="00470586">
      <w:pPr>
        <w:pStyle w:val="BodyText"/>
      </w:pPr>
      <w:r>
        <w:t xml:space="preserve">However, the Copenhagen Accord itself makes no mention of compulsory licensing or any </w:t>
      </w:r>
      <w:r w:rsidR="002577FD">
        <w:t xml:space="preserve">IP </w:t>
      </w:r>
      <w:r>
        <w:t>right issues (TERI 2009).</w:t>
      </w:r>
    </w:p>
    <w:p w:rsidR="00E41C13" w:rsidRDefault="00E41C13" w:rsidP="00E41C13">
      <w:pPr>
        <w:spacing w:before="240" w:line="320" w:lineRule="atLeast"/>
        <w:jc w:val="both"/>
        <w:rPr>
          <w:szCs w:val="20"/>
        </w:rPr>
      </w:pPr>
      <w:r w:rsidRPr="00791A65">
        <w:rPr>
          <w:szCs w:val="20"/>
        </w:rPr>
        <w:t xml:space="preserve">The argument for the inclusion of compulsory licensing in the UNFCCC process is that patents awarded to mitigation technologies increase the price of technologies beyond the means of developing countries. </w:t>
      </w:r>
      <w:r w:rsidR="00A748C5">
        <w:rPr>
          <w:szCs w:val="20"/>
        </w:rPr>
        <w:t>Hence, it is asserted that d</w:t>
      </w:r>
      <w:r w:rsidRPr="00791A65">
        <w:rPr>
          <w:szCs w:val="20"/>
        </w:rPr>
        <w:t xml:space="preserve">eveloping countries </w:t>
      </w:r>
      <w:r w:rsidR="00A748C5">
        <w:rPr>
          <w:szCs w:val="20"/>
        </w:rPr>
        <w:t xml:space="preserve">do not have the financial means </w:t>
      </w:r>
      <w:r w:rsidRPr="00791A65">
        <w:rPr>
          <w:szCs w:val="20"/>
        </w:rPr>
        <w:t>to access technologies that would reduce their emissions.</w:t>
      </w:r>
      <w:r w:rsidR="00A748C5">
        <w:rPr>
          <w:szCs w:val="20"/>
        </w:rPr>
        <w:t xml:space="preserve"> However, the literature related </w:t>
      </w:r>
      <w:r w:rsidR="00470586">
        <w:rPr>
          <w:szCs w:val="20"/>
        </w:rPr>
        <w:t xml:space="preserve">to </w:t>
      </w:r>
      <w:r w:rsidR="00A748C5">
        <w:rPr>
          <w:szCs w:val="20"/>
        </w:rPr>
        <w:t xml:space="preserve">the developing world’s ability to access climate change technologies does not point to a major problem with patents (box </w:t>
      </w:r>
      <w:r w:rsidR="00BE5F8F">
        <w:t>5.6</w:t>
      </w:r>
      <w:r w:rsidR="00A748C5">
        <w:rPr>
          <w:szCs w:val="20"/>
        </w:rPr>
        <w:t>)</w:t>
      </w:r>
      <w:r w:rsidR="00E86450">
        <w:rPr>
          <w:szCs w:val="20"/>
        </w:rPr>
        <w:t>.</w:t>
      </w:r>
      <w:r w:rsidR="00480123">
        <w:rPr>
          <w:szCs w:val="20"/>
        </w:rPr>
        <w:t xml:space="preserve"> </w:t>
      </w:r>
    </w:p>
    <w:p w:rsidR="00D36D4D" w:rsidRDefault="00D36D4D" w:rsidP="00E41C13">
      <w:pPr>
        <w:spacing w:before="240" w:line="320" w:lineRule="atLeast"/>
        <w:jc w:val="both"/>
        <w:rPr>
          <w:szCs w:val="20"/>
        </w:rPr>
      </w:pPr>
      <w:r>
        <w:rPr>
          <w:szCs w:val="20"/>
        </w:rPr>
        <w:t xml:space="preserve">In addition, simply allowing the licensing of a technology may not be sufficient to induce the transfer of green technologies to developing nations. As pointed out by the </w:t>
      </w:r>
      <w:r w:rsidRPr="00D36D4D">
        <w:rPr>
          <w:szCs w:val="20"/>
        </w:rPr>
        <w:t>Alliance for Clean Technology Innovation</w:t>
      </w:r>
      <w:r>
        <w:rPr>
          <w:szCs w:val="20"/>
        </w:rPr>
        <w:t>:</w:t>
      </w:r>
    </w:p>
    <w:p w:rsidR="00D36D4D" w:rsidRDefault="00D36D4D" w:rsidP="00CE3ECA">
      <w:pPr>
        <w:pStyle w:val="Quote"/>
      </w:pPr>
      <w:r w:rsidRPr="00376D70">
        <w:t>Most of today’s technologies are complex, multifaceted, and rely on numerous patents and</w:t>
      </w:r>
      <w:r>
        <w:t xml:space="preserve"> </w:t>
      </w:r>
      <w:r w:rsidRPr="00376D70">
        <w:t>other forms of technical knowhow and ability. Often, just to install a technology, or to operate it, will require complex technical ability and knowledge</w:t>
      </w:r>
      <w:r>
        <w:t> …</w:t>
      </w:r>
      <w:r w:rsidR="00B26464">
        <w:t> </w:t>
      </w:r>
      <w:r w:rsidR="0047632D">
        <w:t>A compulsory licenc</w:t>
      </w:r>
      <w:r w:rsidRPr="00D36D4D">
        <w:t>e in general, even if it gives access to a particular patent, may not provide</w:t>
      </w:r>
      <w:r>
        <w:t xml:space="preserve"> </w:t>
      </w:r>
      <w:r w:rsidRPr="00D36D4D">
        <w:t>access to the technology as a whole, let alone the ability to install it, operate it, derive its full</w:t>
      </w:r>
      <w:r>
        <w:t xml:space="preserve"> </w:t>
      </w:r>
      <w:r w:rsidRPr="00D36D4D">
        <w:t xml:space="preserve">benefits, and do so in a reliable and sustainable way. </w:t>
      </w:r>
      <w:r>
        <w:t>(</w:t>
      </w:r>
      <w:r w:rsidR="00B26464">
        <w:t>sub. 9, pp. 4</w:t>
      </w:r>
      <w:r w:rsidR="00B26464">
        <w:softHyphen/>
      </w:r>
      <w:r>
        <w:t>5)</w:t>
      </w:r>
    </w:p>
    <w:p w:rsidR="00E5372E" w:rsidRDefault="00CA4D72" w:rsidP="00CA4D72">
      <w:pPr>
        <w:pStyle w:val="BodyText"/>
      </w:pPr>
      <w:r>
        <w:t xml:space="preserve">Given the limited impact </w:t>
      </w:r>
      <w:r w:rsidR="007323D6">
        <w:t xml:space="preserve">that </w:t>
      </w:r>
      <w:r>
        <w:t xml:space="preserve">compulsory licensing is likely to have on the transfer of green technologies to developing countries, it </w:t>
      </w:r>
      <w:r w:rsidR="007323D6">
        <w:t xml:space="preserve">appears </w:t>
      </w:r>
      <w:r w:rsidR="00C943A3">
        <w:t xml:space="preserve">that other </w:t>
      </w:r>
      <w:r w:rsidR="007323D6">
        <w:t xml:space="preserve">policy mechanisms will be more effective in </w:t>
      </w:r>
      <w:r w:rsidR="00C943A3">
        <w:t>reducing global emissions</w:t>
      </w:r>
      <w:r w:rsidR="007323D6">
        <w:t xml:space="preserve"> and</w:t>
      </w:r>
      <w:r w:rsidR="00C943A3">
        <w:t xml:space="preserve"> helping developing nations </w:t>
      </w:r>
      <w:r w:rsidR="007323D6">
        <w:t xml:space="preserve">to </w:t>
      </w:r>
      <w:r w:rsidR="00C943A3">
        <w:t>adapt to climate change. In</w:t>
      </w:r>
      <w:r w:rsidR="007323D6">
        <w:t xml:space="preserve"> the case of </w:t>
      </w:r>
      <w:r w:rsidR="00C943A3">
        <w:t>Australia</w:t>
      </w:r>
      <w:r w:rsidR="007323D6">
        <w:t>, the Australian</w:t>
      </w:r>
      <w:r w:rsidR="00C943A3">
        <w:t xml:space="preserve"> Government</w:t>
      </w:r>
      <w:r w:rsidR="002D3575">
        <w:t xml:space="preserve"> has committed to </w:t>
      </w:r>
      <w:r w:rsidR="00E5372E">
        <w:t xml:space="preserve">domestic climate change </w:t>
      </w:r>
      <w:r w:rsidR="002D3575">
        <w:t xml:space="preserve">mitigation </w:t>
      </w:r>
      <w:r w:rsidR="00E5372E">
        <w:t xml:space="preserve">policies, </w:t>
      </w:r>
      <w:r w:rsidR="002D3575">
        <w:t xml:space="preserve">and </w:t>
      </w:r>
      <w:r w:rsidR="00E5372E">
        <w:t xml:space="preserve">has several </w:t>
      </w:r>
      <w:r w:rsidR="007323D6">
        <w:t>initiatives</w:t>
      </w:r>
      <w:r w:rsidR="00E5372E">
        <w:t xml:space="preserve"> related to global action on climate change. These include: </w:t>
      </w:r>
    </w:p>
    <w:p w:rsidR="00CA4D72" w:rsidRDefault="00E5372E" w:rsidP="00B12BA1">
      <w:pPr>
        <w:pStyle w:val="ListBullet"/>
        <w:rPr>
          <w:lang w:val="en"/>
        </w:rPr>
      </w:pPr>
      <w:r>
        <w:t xml:space="preserve">participation in </w:t>
      </w:r>
      <w:r w:rsidR="00B12BA1" w:rsidRPr="00B12BA1">
        <w:t>negotiations under th</w:t>
      </w:r>
      <w:r w:rsidR="00B12BA1">
        <w:t>e UNFCCC and the Kyoto Protocol</w:t>
      </w:r>
    </w:p>
    <w:p w:rsidR="00E5372E" w:rsidRDefault="00E5372E" w:rsidP="00B12BA1">
      <w:pPr>
        <w:pStyle w:val="ListBullet"/>
        <w:rPr>
          <w:lang w:val="en"/>
        </w:rPr>
      </w:pPr>
      <w:r>
        <w:rPr>
          <w:lang w:val="en"/>
        </w:rPr>
        <w:t>the Bilateral Climate Change Program, which aims to leverage key bilateral and regional relationships to promote climate change action</w:t>
      </w:r>
    </w:p>
    <w:p w:rsidR="00E5372E" w:rsidRPr="00CA4D72" w:rsidRDefault="00E5372E" w:rsidP="00B12BA1">
      <w:pPr>
        <w:pStyle w:val="ListBullet"/>
      </w:pPr>
      <w:r>
        <w:t>the International</w:t>
      </w:r>
      <w:r w:rsidR="00B12BA1">
        <w:t xml:space="preserve"> Climate C</w:t>
      </w:r>
      <w:r>
        <w:t>hange Adaptation Initiative</w:t>
      </w:r>
      <w:r w:rsidR="00D230E7">
        <w:t>,</w:t>
      </w:r>
      <w:r>
        <w:t xml:space="preserve"> which</w:t>
      </w:r>
      <w:r w:rsidR="00B12BA1" w:rsidRPr="00B12BA1">
        <w:rPr>
          <w:szCs w:val="24"/>
          <w:lang w:val="en"/>
        </w:rPr>
        <w:t xml:space="preserve"> </w:t>
      </w:r>
      <w:r w:rsidR="00B12BA1">
        <w:rPr>
          <w:lang w:val="en"/>
        </w:rPr>
        <w:t>assists</w:t>
      </w:r>
      <w:r w:rsidR="00D230E7">
        <w:rPr>
          <w:lang w:val="en"/>
        </w:rPr>
        <w:t xml:space="preserve"> Pacific I</w:t>
      </w:r>
      <w:r w:rsidR="00B12BA1" w:rsidRPr="00B12BA1">
        <w:rPr>
          <w:lang w:val="en"/>
        </w:rPr>
        <w:t xml:space="preserve">sland </w:t>
      </w:r>
      <w:r w:rsidR="00B12BA1">
        <w:rPr>
          <w:lang w:val="en"/>
        </w:rPr>
        <w:t>nations</w:t>
      </w:r>
      <w:r w:rsidR="00B12BA1" w:rsidRPr="00B12BA1">
        <w:rPr>
          <w:lang w:val="en"/>
        </w:rPr>
        <w:t xml:space="preserve"> </w:t>
      </w:r>
      <w:r w:rsidR="00B12BA1">
        <w:rPr>
          <w:lang w:val="en"/>
        </w:rPr>
        <w:t>to</w:t>
      </w:r>
      <w:r w:rsidR="00B12BA1" w:rsidRPr="00B12BA1">
        <w:rPr>
          <w:lang w:val="en"/>
        </w:rPr>
        <w:t xml:space="preserve"> enhance understanding of climate change and develop adaptation responses</w:t>
      </w:r>
      <w:r w:rsidR="00B12BA1">
        <w:rPr>
          <w:lang w:val="en"/>
        </w:rPr>
        <w:t>.</w:t>
      </w:r>
    </w:p>
    <w:p w:rsidR="00A748C5" w:rsidRDefault="00A748C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748C5">
        <w:tc>
          <w:tcPr>
            <w:tcW w:w="8771" w:type="dxa"/>
            <w:tcBorders>
              <w:top w:val="single" w:sz="6" w:space="0" w:color="auto"/>
              <w:bottom w:val="nil"/>
            </w:tcBorders>
          </w:tcPr>
          <w:p w:rsidR="00A748C5" w:rsidRDefault="00A748C5" w:rsidP="00A748C5">
            <w:pPr>
              <w:pStyle w:val="BoxTitle"/>
            </w:pPr>
            <w:r>
              <w:rPr>
                <w:b w:val="0"/>
              </w:rPr>
              <w:t xml:space="preserve">Box </w:t>
            </w:r>
            <w:bookmarkStart w:id="8" w:name="OLE_LINK6"/>
            <w:r w:rsidR="00BE5F8F">
              <w:rPr>
                <w:b w:val="0"/>
              </w:rPr>
              <w:t>5.</w:t>
            </w:r>
            <w:r w:rsidR="00BE5F8F">
              <w:rPr>
                <w:b w:val="0"/>
                <w:noProof/>
              </w:rPr>
              <w:t>6</w:t>
            </w:r>
            <w:bookmarkEnd w:id="8"/>
            <w:r>
              <w:tab/>
            </w:r>
            <w:r w:rsidRPr="00B87FC2">
              <w:t>Patents and technology transfer</w:t>
            </w:r>
          </w:p>
        </w:tc>
      </w:tr>
      <w:tr w:rsidR="00A748C5">
        <w:trPr>
          <w:cantSplit/>
        </w:trPr>
        <w:tc>
          <w:tcPr>
            <w:tcW w:w="8771" w:type="dxa"/>
            <w:tcBorders>
              <w:top w:val="nil"/>
              <w:left w:val="single" w:sz="6" w:space="0" w:color="auto"/>
              <w:bottom w:val="nil"/>
              <w:right w:val="single" w:sz="6" w:space="0" w:color="auto"/>
            </w:tcBorders>
          </w:tcPr>
          <w:p w:rsidR="003F03E6" w:rsidRPr="003F03E6" w:rsidRDefault="00CC4C66" w:rsidP="003F03E6">
            <w:pPr>
              <w:pStyle w:val="Box"/>
            </w:pPr>
            <w:r>
              <w:t xml:space="preserve">There is little doubt that polices that allow developing countries to access patented products at cheaper prices will increase their uptake of those products at the margin. </w:t>
            </w:r>
            <w:r w:rsidR="006D17BD">
              <w:t xml:space="preserve">However, where countries do not protect the rights of patent holders, it can dampen the incentives of patent holders to license or invest in those countries (UN 2007). </w:t>
            </w:r>
            <w:r w:rsidR="003F03E6" w:rsidRPr="003F03E6">
              <w:t>In the case of climate change technologies, t</w:t>
            </w:r>
            <w:r w:rsidR="006D17BD" w:rsidRPr="003F03E6">
              <w:t xml:space="preserve">he net result of these competing effects is unclear as </w:t>
            </w:r>
            <w:r w:rsidR="00A748C5" w:rsidRPr="003F03E6">
              <w:t xml:space="preserve">no comprehensive study has been conducted on the potential impact of IP rights </w:t>
            </w:r>
            <w:r w:rsidR="003F03E6" w:rsidRPr="003F03E6">
              <w:t xml:space="preserve">on </w:t>
            </w:r>
            <w:r w:rsidR="00A748C5" w:rsidRPr="003F03E6">
              <w:t>climate</w:t>
            </w:r>
            <w:r w:rsidR="00A748C5" w:rsidRPr="003F03E6">
              <w:noBreakHyphen/>
              <w:t>related technologies</w:t>
            </w:r>
            <w:r w:rsidR="003F03E6" w:rsidRPr="003F03E6">
              <w:t xml:space="preserve"> (ICTSD 2009).</w:t>
            </w:r>
            <w:r w:rsidR="00A748C5" w:rsidRPr="003F03E6">
              <w:t xml:space="preserve"> </w:t>
            </w:r>
          </w:p>
          <w:p w:rsidR="003F03E6" w:rsidRPr="00CB5224" w:rsidRDefault="00A748C5" w:rsidP="00CB5224">
            <w:pPr>
              <w:pStyle w:val="Box"/>
            </w:pPr>
            <w:r w:rsidRPr="003F03E6">
              <w:t xml:space="preserve">However, </w:t>
            </w:r>
            <w:r w:rsidR="00A93062">
              <w:t xml:space="preserve">research by </w:t>
            </w:r>
            <w:r w:rsidRPr="003F03E6">
              <w:t xml:space="preserve">Barton (2007) </w:t>
            </w:r>
            <w:r w:rsidR="00797DA1">
              <w:t xml:space="preserve">on </w:t>
            </w:r>
            <w:r w:rsidR="00797DA1" w:rsidRPr="003F03E6">
              <w:t xml:space="preserve">solar, wind and biofuel technologies </w:t>
            </w:r>
            <w:r w:rsidRPr="003F03E6">
              <w:t xml:space="preserve">found that the impact of patents </w:t>
            </w:r>
            <w:r w:rsidR="00797DA1">
              <w:t xml:space="preserve">on </w:t>
            </w:r>
            <w:r w:rsidRPr="003F03E6">
              <w:t>developing countries</w:t>
            </w:r>
            <w:r w:rsidR="00470586">
              <w:t>’</w:t>
            </w:r>
            <w:r w:rsidRPr="003F03E6">
              <w:t xml:space="preserve"> </w:t>
            </w:r>
            <w:r w:rsidR="00797DA1">
              <w:t xml:space="preserve">access to these technologies </w:t>
            </w:r>
            <w:r w:rsidR="00470586">
              <w:t xml:space="preserve">is </w:t>
            </w:r>
            <w:r w:rsidR="0021492D">
              <w:t>unlikely</w:t>
            </w:r>
            <w:r w:rsidR="00470586">
              <w:t xml:space="preserve"> to be </w:t>
            </w:r>
            <w:r w:rsidRPr="003F03E6">
              <w:t xml:space="preserve">significant. </w:t>
            </w:r>
            <w:r w:rsidR="00CB5224">
              <w:rPr>
                <w:rFonts w:eastAsia="Celeste-Regular"/>
              </w:rPr>
              <w:t>This is because l</w:t>
            </w:r>
            <w:r w:rsidR="00CB5224" w:rsidRPr="00CB5224">
              <w:t>icensing costs are small compared with other</w:t>
            </w:r>
            <w:r w:rsidR="00CB5224">
              <w:t xml:space="preserve"> </w:t>
            </w:r>
            <w:r w:rsidR="00CB5224" w:rsidRPr="00CB5224">
              <w:t>deployment costs in</w:t>
            </w:r>
            <w:r w:rsidR="00CB5224">
              <w:t xml:space="preserve">volved in </w:t>
            </w:r>
            <w:r w:rsidR="00CB5224" w:rsidRPr="00CB5224">
              <w:t>technological adoption</w:t>
            </w:r>
            <w:r w:rsidR="00CB5224">
              <w:t xml:space="preserve"> </w:t>
            </w:r>
            <w:r w:rsidR="00CB5224" w:rsidRPr="00CB5224">
              <w:t xml:space="preserve">and transfer. </w:t>
            </w:r>
            <w:r w:rsidR="000570F8">
              <w:t xml:space="preserve">Relaxing access to patents would not do much to change total costs in most cases. </w:t>
            </w:r>
            <w:r w:rsidR="00CB5224">
              <w:t xml:space="preserve">Furthermore, the prevalence of substitution energy sources means that patents do not necessarily </w:t>
            </w:r>
            <w:r w:rsidR="000570F8">
              <w:t xml:space="preserve">allow the patent holder to charge </w:t>
            </w:r>
            <w:r w:rsidR="00CB5224">
              <w:t xml:space="preserve">prices </w:t>
            </w:r>
            <w:r w:rsidR="000570F8">
              <w:t xml:space="preserve">higher </w:t>
            </w:r>
            <w:r w:rsidR="00CB5224">
              <w:t xml:space="preserve">than </w:t>
            </w:r>
            <w:r w:rsidR="000570F8">
              <w:t xml:space="preserve">that which </w:t>
            </w:r>
            <w:r w:rsidR="00CB5224">
              <w:t>would be apparent under competitive conditions</w:t>
            </w:r>
            <w:r w:rsidR="00CB5224" w:rsidRPr="00CB5224">
              <w:t>.</w:t>
            </w:r>
            <w:r w:rsidR="00CB5224">
              <w:t xml:space="preserve"> </w:t>
            </w:r>
            <w:r w:rsidR="00797DA1">
              <w:t xml:space="preserve">Instead </w:t>
            </w:r>
            <w:r w:rsidR="00802069">
              <w:t xml:space="preserve">Barton </w:t>
            </w:r>
            <w:r w:rsidR="00470586">
              <w:t>(2007, p.</w:t>
            </w:r>
            <w:r w:rsidR="0021492D">
              <w:t xml:space="preserve"> </w:t>
            </w:r>
            <w:r w:rsidR="00470586">
              <w:t>20</w:t>
            </w:r>
            <w:r w:rsidR="00470586" w:rsidRPr="00CB5224">
              <w:t>)</w:t>
            </w:r>
            <w:r w:rsidR="00470586">
              <w:t xml:space="preserve"> </w:t>
            </w:r>
            <w:r w:rsidR="00802069">
              <w:t>nomi</w:t>
            </w:r>
            <w:r w:rsidR="00CF0F20">
              <w:t>nate</w:t>
            </w:r>
            <w:r w:rsidR="00470586">
              <w:t>d</w:t>
            </w:r>
            <w:r w:rsidR="00802069">
              <w:t xml:space="preserve"> barriers to trade as ‘almost certainly the most important’ barrier to technology transfer</w:t>
            </w:r>
            <w:r w:rsidR="00802069" w:rsidRPr="00CB5224">
              <w:t>.</w:t>
            </w:r>
            <w:r w:rsidR="00CB5224" w:rsidRPr="00CB5224">
              <w:rPr>
                <w:rFonts w:eastAsia="Celeste-Regular"/>
              </w:rPr>
              <w:t xml:space="preserve"> </w:t>
            </w:r>
            <w:r w:rsidR="008E607C">
              <w:rPr>
                <w:rFonts w:eastAsia="Celeste-Regular"/>
              </w:rPr>
              <w:t>O</w:t>
            </w:r>
            <w:r w:rsidR="008E607C">
              <w:t xml:space="preserve">ther scholars </w:t>
            </w:r>
            <w:r w:rsidR="00470586">
              <w:t>have supported this conclusion</w:t>
            </w:r>
            <w:r w:rsidR="008E607C">
              <w:t xml:space="preserve"> (Graleigh 2011; Levi et al. 2010).</w:t>
            </w:r>
          </w:p>
          <w:p w:rsidR="004132CA" w:rsidRDefault="00802069" w:rsidP="00CB7A6C">
            <w:pPr>
              <w:pStyle w:val="Box"/>
            </w:pPr>
            <w:r>
              <w:t>Similarly</w:t>
            </w:r>
            <w:r w:rsidR="00DC4D7C">
              <w:t>,</w:t>
            </w:r>
            <w:r>
              <w:t xml:space="preserve"> the </w:t>
            </w:r>
            <w:r w:rsidR="00A748C5" w:rsidRPr="003F03E6">
              <w:t>I</w:t>
            </w:r>
            <w:r w:rsidR="00CA2A29">
              <w:t xml:space="preserve">ntergovernmental </w:t>
            </w:r>
            <w:r w:rsidR="00A748C5" w:rsidRPr="003F03E6">
              <w:t>P</w:t>
            </w:r>
            <w:r w:rsidR="00CA2A29">
              <w:t xml:space="preserve">anel on </w:t>
            </w:r>
            <w:r w:rsidR="00A748C5" w:rsidRPr="003F03E6">
              <w:t>C</w:t>
            </w:r>
            <w:r w:rsidR="00CA2A29">
              <w:t xml:space="preserve">limate </w:t>
            </w:r>
            <w:r w:rsidR="00A748C5" w:rsidRPr="003F03E6">
              <w:t>C</w:t>
            </w:r>
            <w:r w:rsidR="00CA2A29">
              <w:t>hange</w:t>
            </w:r>
            <w:r w:rsidR="00A748C5" w:rsidRPr="003F03E6">
              <w:t xml:space="preserve"> (2000) listed various barriers to technology transfer</w:t>
            </w:r>
            <w:r w:rsidR="00995162" w:rsidRPr="003F03E6">
              <w:t xml:space="preserve"> </w:t>
            </w:r>
            <w:r w:rsidR="00DC4D7C">
              <w:t xml:space="preserve">including: a </w:t>
            </w:r>
            <w:r w:rsidR="00DC4D7C" w:rsidRPr="00DC4D7C">
              <w:t>lack of information;</w:t>
            </w:r>
            <w:r w:rsidR="00DC4D7C">
              <w:t xml:space="preserve"> </w:t>
            </w:r>
            <w:r w:rsidR="00DC4D7C" w:rsidRPr="00DC4D7C">
              <w:t>insufficient human capabilities; political and economic barriers</w:t>
            </w:r>
            <w:r w:rsidR="00DC4D7C">
              <w:t xml:space="preserve"> </w:t>
            </w:r>
            <w:r w:rsidR="00DC4D7C" w:rsidRPr="00DC4D7C">
              <w:t xml:space="preserve">such as lack of capital, high </w:t>
            </w:r>
            <w:r w:rsidR="00470586">
              <w:t>transaction costs, lack of full-</w:t>
            </w:r>
            <w:r w:rsidR="00DC4D7C" w:rsidRPr="00DC4D7C">
              <w:t>cost</w:t>
            </w:r>
            <w:r w:rsidR="00DC4D7C">
              <w:t xml:space="preserve"> </w:t>
            </w:r>
            <w:r w:rsidR="00DC4D7C" w:rsidRPr="00DC4D7C">
              <w:t>pricing, and trade and policy barriers; lack of understanding of local</w:t>
            </w:r>
            <w:r w:rsidR="00DC4D7C">
              <w:t xml:space="preserve"> </w:t>
            </w:r>
            <w:r w:rsidR="00DC4D7C" w:rsidRPr="00DC4D7C">
              <w:t>needs; business limitations, such as risk aversion in financial</w:t>
            </w:r>
            <w:r w:rsidR="00DC4D7C">
              <w:t xml:space="preserve"> </w:t>
            </w:r>
            <w:r w:rsidR="00DC4D7C" w:rsidRPr="00DC4D7C">
              <w:t>institutions; and institutional limitations</w:t>
            </w:r>
            <w:r w:rsidR="00470586">
              <w:t>,</w:t>
            </w:r>
            <w:r w:rsidR="00DC4D7C" w:rsidRPr="00DC4D7C">
              <w:t xml:space="preserve"> such as insufficient legal</w:t>
            </w:r>
            <w:r w:rsidR="00DC4D7C">
              <w:t xml:space="preserve"> </w:t>
            </w:r>
            <w:r w:rsidR="00DC4D7C" w:rsidRPr="00DC4D7C">
              <w:t>protection, and inadequate environmental codes and standards</w:t>
            </w:r>
            <w:r w:rsidR="00DC4D7C">
              <w:t xml:space="preserve">. Most of these have </w:t>
            </w:r>
            <w:r w:rsidR="00995162" w:rsidRPr="003F03E6">
              <w:t>nothing to do with intellectual property.</w:t>
            </w:r>
            <w:r w:rsidR="00C67614">
              <w:t xml:space="preserve"> </w:t>
            </w:r>
          </w:p>
        </w:tc>
      </w:tr>
      <w:tr w:rsidR="00A748C5">
        <w:trPr>
          <w:cantSplit/>
        </w:trPr>
        <w:tc>
          <w:tcPr>
            <w:tcW w:w="8771" w:type="dxa"/>
            <w:tcBorders>
              <w:top w:val="nil"/>
              <w:left w:val="single" w:sz="6" w:space="0" w:color="auto"/>
              <w:bottom w:val="single" w:sz="6" w:space="0" w:color="auto"/>
              <w:right w:val="single" w:sz="6" w:space="0" w:color="auto"/>
            </w:tcBorders>
          </w:tcPr>
          <w:p w:rsidR="00A748C5" w:rsidRDefault="00A748C5">
            <w:pPr>
              <w:pStyle w:val="Box"/>
              <w:spacing w:before="0" w:line="120" w:lineRule="exact"/>
            </w:pPr>
          </w:p>
        </w:tc>
      </w:tr>
      <w:tr w:rsidR="00A748C5" w:rsidRPr="000863A5">
        <w:tc>
          <w:tcPr>
            <w:tcW w:w="8771" w:type="dxa"/>
            <w:tcBorders>
              <w:top w:val="nil"/>
              <w:left w:val="nil"/>
              <w:bottom w:val="nil"/>
              <w:right w:val="nil"/>
            </w:tcBorders>
          </w:tcPr>
          <w:p w:rsidR="00A748C5" w:rsidRPr="000863A5" w:rsidRDefault="00A748C5" w:rsidP="00A748C5">
            <w:pPr>
              <w:pStyle w:val="Box"/>
              <w:keepNext w:val="0"/>
              <w:spacing w:before="60" w:after="60" w:line="80" w:lineRule="exact"/>
              <w:rPr>
                <w:b/>
                <w:sz w:val="14"/>
              </w:rPr>
            </w:pPr>
          </w:p>
        </w:tc>
      </w:tr>
    </w:tbl>
    <w:p w:rsidR="00C25673" w:rsidRDefault="00C25673" w:rsidP="009D4392">
      <w:pPr>
        <w:pStyle w:val="Heading3"/>
      </w:pPr>
      <w:r>
        <w:t>Food security</w:t>
      </w:r>
    </w:p>
    <w:p w:rsidR="008072C6" w:rsidRDefault="006755B9" w:rsidP="00AC7891">
      <w:pPr>
        <w:spacing w:before="240" w:line="320" w:lineRule="atLeast"/>
        <w:jc w:val="both"/>
        <w:rPr>
          <w:szCs w:val="20"/>
        </w:rPr>
      </w:pPr>
      <w:r>
        <w:rPr>
          <w:szCs w:val="20"/>
        </w:rPr>
        <w:t>The main thrust of a</w:t>
      </w:r>
      <w:r w:rsidR="00627FB7" w:rsidRPr="00627FB7">
        <w:rPr>
          <w:szCs w:val="20"/>
        </w:rPr>
        <w:t xml:space="preserve">rguments made in relation to food security also relate to the </w:t>
      </w:r>
      <w:r w:rsidR="00995162">
        <w:rPr>
          <w:szCs w:val="20"/>
        </w:rPr>
        <w:t>concerns that</w:t>
      </w:r>
      <w:r w:rsidR="00627FB7" w:rsidRPr="00627FB7">
        <w:rPr>
          <w:szCs w:val="20"/>
        </w:rPr>
        <w:t xml:space="preserve"> developing countries </w:t>
      </w:r>
      <w:r w:rsidR="00995162">
        <w:rPr>
          <w:szCs w:val="20"/>
        </w:rPr>
        <w:t xml:space="preserve">do not have the financial means </w:t>
      </w:r>
      <w:r w:rsidR="00627FB7" w:rsidRPr="00627FB7">
        <w:rPr>
          <w:szCs w:val="20"/>
        </w:rPr>
        <w:t>to access new and potentially beneficial technologies</w:t>
      </w:r>
      <w:r w:rsidR="003E04C5">
        <w:rPr>
          <w:szCs w:val="20"/>
        </w:rPr>
        <w:t>, such as new plant varieties</w:t>
      </w:r>
      <w:r w:rsidR="004E3C25">
        <w:rPr>
          <w:szCs w:val="20"/>
        </w:rPr>
        <w:t>.</w:t>
      </w:r>
      <w:r w:rsidR="004E3C25" w:rsidRPr="004E3C25">
        <w:rPr>
          <w:szCs w:val="20"/>
        </w:rPr>
        <w:t xml:space="preserve"> </w:t>
      </w:r>
      <w:r w:rsidR="003E04C5">
        <w:rPr>
          <w:szCs w:val="20"/>
        </w:rPr>
        <w:t xml:space="preserve">The development of new high yielding plant varieties was a major driver of the </w:t>
      </w:r>
      <w:r w:rsidR="00F21EAB">
        <w:rPr>
          <w:szCs w:val="20"/>
        </w:rPr>
        <w:t>‘</w:t>
      </w:r>
      <w:r w:rsidR="003E04C5">
        <w:rPr>
          <w:szCs w:val="20"/>
        </w:rPr>
        <w:t>green revolution</w:t>
      </w:r>
      <w:r w:rsidR="00F21EAB">
        <w:rPr>
          <w:szCs w:val="20"/>
        </w:rPr>
        <w:t>’</w:t>
      </w:r>
      <w:r w:rsidR="003E04C5">
        <w:rPr>
          <w:szCs w:val="20"/>
        </w:rPr>
        <w:t xml:space="preserve">, which helped </w:t>
      </w:r>
      <w:r w:rsidR="003E04C5" w:rsidRPr="00627FB7">
        <w:rPr>
          <w:szCs w:val="20"/>
        </w:rPr>
        <w:t xml:space="preserve">alleviate malnutrition, hunger and related health problems in </w:t>
      </w:r>
      <w:r w:rsidR="003E04C5">
        <w:rPr>
          <w:szCs w:val="20"/>
        </w:rPr>
        <w:t xml:space="preserve">millions of people in </w:t>
      </w:r>
      <w:r w:rsidR="003E04C5" w:rsidRPr="00627FB7">
        <w:rPr>
          <w:szCs w:val="20"/>
        </w:rPr>
        <w:t>developing countries</w:t>
      </w:r>
      <w:r w:rsidR="003E04C5">
        <w:rPr>
          <w:szCs w:val="20"/>
        </w:rPr>
        <w:t xml:space="preserve"> (IFPRI 2002). T</w:t>
      </w:r>
      <w:r w:rsidR="00627FB7" w:rsidRPr="00627FB7">
        <w:rPr>
          <w:szCs w:val="20"/>
        </w:rPr>
        <w:t>he W</w:t>
      </w:r>
      <w:r w:rsidR="00CA2A29">
        <w:rPr>
          <w:szCs w:val="20"/>
        </w:rPr>
        <w:t xml:space="preserve">orld </w:t>
      </w:r>
      <w:r w:rsidR="00627FB7" w:rsidRPr="00627FB7">
        <w:rPr>
          <w:szCs w:val="20"/>
        </w:rPr>
        <w:t>H</w:t>
      </w:r>
      <w:r w:rsidR="00CA2A29">
        <w:rPr>
          <w:szCs w:val="20"/>
        </w:rPr>
        <w:t xml:space="preserve">ealth </w:t>
      </w:r>
      <w:r w:rsidR="00627FB7" w:rsidRPr="00627FB7">
        <w:rPr>
          <w:szCs w:val="20"/>
        </w:rPr>
        <w:t>O</w:t>
      </w:r>
      <w:r w:rsidR="00CA2A29">
        <w:rPr>
          <w:szCs w:val="20"/>
        </w:rPr>
        <w:t>rgani</w:t>
      </w:r>
      <w:r w:rsidR="001C16EB">
        <w:rPr>
          <w:szCs w:val="20"/>
        </w:rPr>
        <w:t>s</w:t>
      </w:r>
      <w:r w:rsidR="00CA2A29">
        <w:rPr>
          <w:szCs w:val="20"/>
        </w:rPr>
        <w:t>ation</w:t>
      </w:r>
      <w:r w:rsidR="00627FB7" w:rsidRPr="00627FB7">
        <w:rPr>
          <w:szCs w:val="20"/>
        </w:rPr>
        <w:t xml:space="preserve"> and W</w:t>
      </w:r>
      <w:r w:rsidR="00CA2A29">
        <w:rPr>
          <w:szCs w:val="20"/>
        </w:rPr>
        <w:t xml:space="preserve">orld </w:t>
      </w:r>
      <w:r w:rsidR="00627FB7" w:rsidRPr="00627FB7">
        <w:rPr>
          <w:szCs w:val="20"/>
        </w:rPr>
        <w:t>T</w:t>
      </w:r>
      <w:r w:rsidR="00CA2A29">
        <w:rPr>
          <w:szCs w:val="20"/>
        </w:rPr>
        <w:t xml:space="preserve">rade </w:t>
      </w:r>
      <w:r w:rsidR="00CA2A29" w:rsidRPr="00627FB7">
        <w:rPr>
          <w:szCs w:val="20"/>
        </w:rPr>
        <w:t>O</w:t>
      </w:r>
      <w:r w:rsidR="00CA2A29">
        <w:rPr>
          <w:szCs w:val="20"/>
        </w:rPr>
        <w:t>rgani</w:t>
      </w:r>
      <w:r w:rsidR="001C16EB">
        <w:rPr>
          <w:szCs w:val="20"/>
        </w:rPr>
        <w:t>s</w:t>
      </w:r>
      <w:r w:rsidR="00CA2A29">
        <w:rPr>
          <w:szCs w:val="20"/>
        </w:rPr>
        <w:t>ation</w:t>
      </w:r>
      <w:r w:rsidR="00627FB7" w:rsidRPr="00627FB7">
        <w:rPr>
          <w:szCs w:val="20"/>
        </w:rPr>
        <w:t xml:space="preserve"> Secretariat (2002) noted that concerns </w:t>
      </w:r>
      <w:r w:rsidR="003E04C5">
        <w:rPr>
          <w:szCs w:val="20"/>
        </w:rPr>
        <w:t xml:space="preserve">about access to technology, </w:t>
      </w:r>
      <w:r w:rsidR="00627FB7" w:rsidRPr="00627FB7">
        <w:rPr>
          <w:szCs w:val="20"/>
        </w:rPr>
        <w:t xml:space="preserve">surround the patents of </w:t>
      </w:r>
      <w:r w:rsidR="00E86450">
        <w:rPr>
          <w:szCs w:val="20"/>
        </w:rPr>
        <w:t xml:space="preserve">food </w:t>
      </w:r>
      <w:r w:rsidR="00627FB7" w:rsidRPr="00627FB7">
        <w:rPr>
          <w:szCs w:val="20"/>
        </w:rPr>
        <w:t>biotechnology products. In addition to improving food security, it noted that some products of this nature have additional health benefits. It cited the example, of ‘Golden Rice’, a genetically modified r</w:t>
      </w:r>
      <w:r w:rsidR="00F21EAB">
        <w:rPr>
          <w:szCs w:val="20"/>
        </w:rPr>
        <w:t>ice that may help to alleviate V</w:t>
      </w:r>
      <w:r w:rsidR="00627FB7" w:rsidRPr="00627FB7">
        <w:rPr>
          <w:szCs w:val="20"/>
        </w:rPr>
        <w:t xml:space="preserve">itamin A deficiency, a major cause of blindness in developing countries. </w:t>
      </w:r>
    </w:p>
    <w:p w:rsidR="00E333C4" w:rsidRPr="00332009" w:rsidRDefault="002F181D" w:rsidP="00CB7A6C">
      <w:pPr>
        <w:spacing w:before="240" w:line="320" w:lineRule="atLeast"/>
        <w:jc w:val="both"/>
      </w:pPr>
      <w:r>
        <w:rPr>
          <w:szCs w:val="20"/>
        </w:rPr>
        <w:lastRenderedPageBreak/>
        <w:t>In addition</w:t>
      </w:r>
      <w:r w:rsidR="00397785">
        <w:rPr>
          <w:szCs w:val="20"/>
        </w:rPr>
        <w:t>,</w:t>
      </w:r>
      <w:r>
        <w:rPr>
          <w:szCs w:val="20"/>
        </w:rPr>
        <w:t xml:space="preserve"> some </w:t>
      </w:r>
      <w:r w:rsidR="00644BC8" w:rsidRPr="00644BC8">
        <w:rPr>
          <w:szCs w:val="20"/>
        </w:rPr>
        <w:t>non-government organisation</w:t>
      </w:r>
      <w:r>
        <w:rPr>
          <w:szCs w:val="20"/>
        </w:rPr>
        <w:t>s</w:t>
      </w:r>
      <w:r w:rsidR="00FF1F0E">
        <w:rPr>
          <w:szCs w:val="20"/>
        </w:rPr>
        <w:t xml:space="preserve"> (NGOs)</w:t>
      </w:r>
      <w:r w:rsidR="00470586">
        <w:rPr>
          <w:szCs w:val="20"/>
        </w:rPr>
        <w:t>,</w:t>
      </w:r>
      <w:r>
        <w:rPr>
          <w:szCs w:val="20"/>
        </w:rPr>
        <w:t xml:space="preserve"> such as </w:t>
      </w:r>
      <w:r w:rsidR="008072C6">
        <w:rPr>
          <w:szCs w:val="20"/>
        </w:rPr>
        <w:t xml:space="preserve">the </w:t>
      </w:r>
      <w:r w:rsidR="008072C6" w:rsidRPr="008072C6">
        <w:rPr>
          <w:rStyle w:val="BodyTextChar"/>
          <w:lang w:val="en"/>
        </w:rPr>
        <w:t>Action Group on Erosion, Technology and Concentration</w:t>
      </w:r>
      <w:r w:rsidR="008072C6">
        <w:rPr>
          <w:rStyle w:val="BodyTextChar"/>
          <w:lang w:val="en"/>
        </w:rPr>
        <w:t xml:space="preserve"> (</w:t>
      </w:r>
      <w:r w:rsidRPr="00644BC8">
        <w:rPr>
          <w:szCs w:val="20"/>
        </w:rPr>
        <w:t xml:space="preserve">ETC </w:t>
      </w:r>
      <w:r w:rsidR="008072C6">
        <w:rPr>
          <w:szCs w:val="20"/>
        </w:rPr>
        <w:t>G</w:t>
      </w:r>
      <w:r>
        <w:rPr>
          <w:szCs w:val="20"/>
        </w:rPr>
        <w:t>roup</w:t>
      </w:r>
      <w:r w:rsidR="008072C6">
        <w:rPr>
          <w:szCs w:val="20"/>
        </w:rPr>
        <w:t>)</w:t>
      </w:r>
      <w:r>
        <w:rPr>
          <w:szCs w:val="20"/>
        </w:rPr>
        <w:t xml:space="preserve"> and the Food Ethics Council</w:t>
      </w:r>
      <w:r w:rsidR="00470586">
        <w:rPr>
          <w:szCs w:val="20"/>
        </w:rPr>
        <w:t>,</w:t>
      </w:r>
      <w:r>
        <w:rPr>
          <w:szCs w:val="20"/>
        </w:rPr>
        <w:t xml:space="preserve"> have expressed concern</w:t>
      </w:r>
      <w:r w:rsidR="00470586">
        <w:rPr>
          <w:szCs w:val="20"/>
        </w:rPr>
        <w:t>s</w:t>
      </w:r>
      <w:r>
        <w:rPr>
          <w:szCs w:val="20"/>
        </w:rPr>
        <w:t xml:space="preserve"> </w:t>
      </w:r>
      <w:r w:rsidR="00470586">
        <w:rPr>
          <w:szCs w:val="20"/>
        </w:rPr>
        <w:t>about</w:t>
      </w:r>
      <w:r>
        <w:rPr>
          <w:szCs w:val="20"/>
        </w:rPr>
        <w:t xml:space="preserve"> the holding of gene patents by large agr</w:t>
      </w:r>
      <w:r w:rsidR="00AC7891">
        <w:rPr>
          <w:szCs w:val="20"/>
        </w:rPr>
        <w:t>o</w:t>
      </w:r>
      <w:r w:rsidR="000E147D">
        <w:rPr>
          <w:szCs w:val="20"/>
        </w:rPr>
        <w:noBreakHyphen/>
      </w:r>
      <w:r w:rsidR="00AC7891">
        <w:rPr>
          <w:szCs w:val="20"/>
        </w:rPr>
        <w:t xml:space="preserve">biotechnology </w:t>
      </w:r>
      <w:r>
        <w:rPr>
          <w:szCs w:val="20"/>
        </w:rPr>
        <w:t>businesses</w:t>
      </w:r>
      <w:r w:rsidR="00AC7891">
        <w:rPr>
          <w:szCs w:val="20"/>
        </w:rPr>
        <w:t xml:space="preserve"> (ETC </w:t>
      </w:r>
      <w:r w:rsidR="007E73C3">
        <w:rPr>
          <w:szCs w:val="20"/>
        </w:rPr>
        <w:t xml:space="preserve">Group </w:t>
      </w:r>
      <w:r w:rsidR="00AC7891">
        <w:rPr>
          <w:szCs w:val="20"/>
        </w:rPr>
        <w:t>2010; FEC 2002)</w:t>
      </w:r>
      <w:r w:rsidR="00644BC8" w:rsidRPr="00644BC8">
        <w:rPr>
          <w:szCs w:val="20"/>
        </w:rPr>
        <w:t xml:space="preserve">. </w:t>
      </w:r>
      <w:r w:rsidR="004E3C25">
        <w:rPr>
          <w:szCs w:val="20"/>
        </w:rPr>
        <w:t xml:space="preserve">These </w:t>
      </w:r>
      <w:r w:rsidR="00FF1F0E">
        <w:rPr>
          <w:szCs w:val="20"/>
        </w:rPr>
        <w:t xml:space="preserve">NGOs </w:t>
      </w:r>
      <w:r w:rsidR="004E3C25">
        <w:rPr>
          <w:szCs w:val="20"/>
        </w:rPr>
        <w:t>are opposed to the owne</w:t>
      </w:r>
      <w:r w:rsidR="008072C6">
        <w:rPr>
          <w:szCs w:val="20"/>
        </w:rPr>
        <w:t>rship of genetic material</w:t>
      </w:r>
      <w:r w:rsidR="004E3C25">
        <w:rPr>
          <w:szCs w:val="20"/>
        </w:rPr>
        <w:t>, and are concerned that a single large corporation will be able to block future use of the material and hinder innovation.</w:t>
      </w:r>
      <w:r w:rsidR="00332009">
        <w:rPr>
          <w:szCs w:val="20"/>
        </w:rPr>
        <w:t xml:space="preserve"> </w:t>
      </w:r>
      <w:r w:rsidR="004836C0" w:rsidRPr="00627FB7">
        <w:t xml:space="preserve">Compulsory licensing </w:t>
      </w:r>
      <w:r w:rsidR="00A07C03">
        <w:t xml:space="preserve">has been suggested </w:t>
      </w:r>
      <w:r w:rsidR="004836C0" w:rsidRPr="00627FB7">
        <w:t>as a way to allow access to this type of patented material</w:t>
      </w:r>
      <w:r w:rsidR="009D32B5">
        <w:t xml:space="preserve"> at a cost that is affordable for developing </w:t>
      </w:r>
      <w:r w:rsidR="009D32B5" w:rsidRPr="00332009">
        <w:t>countries</w:t>
      </w:r>
      <w:r w:rsidR="00332009">
        <w:t xml:space="preserve"> (Correa 2012)</w:t>
      </w:r>
      <w:r w:rsidR="009D32B5" w:rsidRPr="00332009">
        <w:t>.</w:t>
      </w:r>
      <w:r w:rsidR="00E333C4" w:rsidRPr="00332009">
        <w:t xml:space="preserve"> </w:t>
      </w:r>
      <w:r w:rsidR="00A07C03">
        <w:t>In addition, t</w:t>
      </w:r>
      <w:r w:rsidR="00332009">
        <w:t xml:space="preserve">he United Nation’s </w:t>
      </w:r>
      <w:r w:rsidR="00332009" w:rsidRPr="00332009">
        <w:t>report of</w:t>
      </w:r>
      <w:r w:rsidR="00F21EAB">
        <w:t xml:space="preserve"> the Special Rapporteur on the Right to F</w:t>
      </w:r>
      <w:r w:rsidR="00332009" w:rsidRPr="00332009">
        <w:t>ood</w:t>
      </w:r>
      <w:r w:rsidR="00A07C03">
        <w:t xml:space="preserve"> has also recommended compulsory licensing for this purpose:</w:t>
      </w:r>
    </w:p>
    <w:p w:rsidR="000E147D" w:rsidRDefault="00E333C4" w:rsidP="00A07C03">
      <w:pPr>
        <w:pStyle w:val="Quote"/>
      </w:pPr>
      <w:r w:rsidRPr="00E333C4">
        <w:t>States may wish to</w:t>
      </w:r>
      <w:r>
        <w:t xml:space="preserve"> </w:t>
      </w:r>
      <w:r w:rsidRPr="00E333C4">
        <w:t>resort to compulsory licensing or the use of eminent domain doctrines</w:t>
      </w:r>
      <w:r>
        <w:t xml:space="preserve"> </w:t>
      </w:r>
      <w:r w:rsidRPr="00E333C4">
        <w:t>where patents create obstacles to the development of varieties that can</w:t>
      </w:r>
      <w:r>
        <w:t xml:space="preserve"> </w:t>
      </w:r>
      <w:r w:rsidRPr="00E333C4">
        <w:t>contribute to food security</w:t>
      </w:r>
      <w:r w:rsidR="00A07C03">
        <w:t>. (UN 2009, p. 21)</w:t>
      </w:r>
    </w:p>
    <w:p w:rsidR="000E147D" w:rsidRDefault="000E147D" w:rsidP="005018AC">
      <w:pPr>
        <w:spacing w:before="240" w:line="320" w:lineRule="atLeast"/>
        <w:jc w:val="both"/>
      </w:pPr>
      <w:r>
        <w:rPr>
          <w:szCs w:val="20"/>
        </w:rPr>
        <w:t xml:space="preserve">The goal of ensuring </w:t>
      </w:r>
      <w:r>
        <w:t xml:space="preserve">global </w:t>
      </w:r>
      <w:r>
        <w:rPr>
          <w:szCs w:val="20"/>
        </w:rPr>
        <w:t xml:space="preserve">food security </w:t>
      </w:r>
      <w:r>
        <w:t>is a worthy one, and one that the Australian Government has stated its commitment to</w:t>
      </w:r>
      <w:r w:rsidR="0025158A">
        <w:t xml:space="preserve">: </w:t>
      </w:r>
    </w:p>
    <w:p w:rsidR="000E147D" w:rsidRDefault="000E147D" w:rsidP="000E147D">
      <w:pPr>
        <w:pStyle w:val="Quote"/>
      </w:pPr>
      <w:r w:rsidRPr="006755B9">
        <w:t>As world citizens, we are committed to</w:t>
      </w:r>
      <w:r>
        <w:t xml:space="preserve"> </w:t>
      </w:r>
      <w:r w:rsidRPr="006755B9">
        <w:t>providing Australians and our overseas trading partners with a safe, healthy, plentiful</w:t>
      </w:r>
      <w:r>
        <w:t xml:space="preserve"> </w:t>
      </w:r>
      <w:r w:rsidRPr="006755B9">
        <w:t>and affordable food supply. Global food security is at the heart of social and political</w:t>
      </w:r>
      <w:r>
        <w:t xml:space="preserve"> </w:t>
      </w:r>
      <w:r w:rsidRPr="006755B9">
        <w:t>stability—and it is in our interests as a nation.</w:t>
      </w:r>
      <w:r>
        <w:t xml:space="preserve"> (</w:t>
      </w:r>
      <w:r w:rsidR="00FF1F0E" w:rsidRPr="00FF1F0E">
        <w:t xml:space="preserve">Australian Government </w:t>
      </w:r>
      <w:r>
        <w:t>2012, p. iii)</w:t>
      </w:r>
    </w:p>
    <w:p w:rsidR="00E86450" w:rsidRDefault="000E147D" w:rsidP="00E86450">
      <w:pPr>
        <w:pStyle w:val="BodyText"/>
      </w:pPr>
      <w:r>
        <w:t xml:space="preserve">However, compulsory licensing is </w:t>
      </w:r>
      <w:r w:rsidR="00FF1F0E">
        <w:t xml:space="preserve">unlikely to be an effective means to </w:t>
      </w:r>
      <w:r w:rsidR="0021492D">
        <w:t>address</w:t>
      </w:r>
      <w:r w:rsidR="00FF1F0E">
        <w:t xml:space="preserve"> concerns about </w:t>
      </w:r>
      <w:r>
        <w:t>global food security. First, i</w:t>
      </w:r>
      <w:r w:rsidR="00E86450" w:rsidRPr="00610668">
        <w:t xml:space="preserve">t is unclear that using the </w:t>
      </w:r>
      <w:r w:rsidR="00E86450">
        <w:t xml:space="preserve">compulsory licensing </w:t>
      </w:r>
      <w:r w:rsidR="00E86450" w:rsidRPr="00610668">
        <w:t xml:space="preserve">provisions </w:t>
      </w:r>
      <w:r w:rsidR="00E86450">
        <w:t xml:space="preserve">to address global food insecurity </w:t>
      </w:r>
      <w:r w:rsidR="00E86450" w:rsidRPr="00610668">
        <w:t xml:space="preserve">would improve food output in the long run. The very purpose of the patent system is to stimulate innovation that will result in higher output in the long run (chapter 2). </w:t>
      </w:r>
      <w:r w:rsidR="0025158A">
        <w:t>Second</w:t>
      </w:r>
      <w:r w:rsidR="00E86450" w:rsidRPr="00610668">
        <w:t xml:space="preserve">, even </w:t>
      </w:r>
      <w:r w:rsidR="00090787">
        <w:t xml:space="preserve">in cases where </w:t>
      </w:r>
      <w:r w:rsidR="00E86450" w:rsidRPr="00610668">
        <w:t>compulsory licensing</w:t>
      </w:r>
      <w:r w:rsidR="00090787">
        <w:t xml:space="preserve"> could provide some short-term benefit by allowing access to patented material</w:t>
      </w:r>
      <w:r w:rsidR="00E86450" w:rsidRPr="00610668">
        <w:t xml:space="preserve">, it is unlikely the </w:t>
      </w:r>
      <w:r w:rsidR="00F82A5E">
        <w:t>most effective</w:t>
      </w:r>
      <w:r w:rsidR="00E86450" w:rsidRPr="00610668">
        <w:t xml:space="preserve"> way to</w:t>
      </w:r>
      <w:r w:rsidR="00E86450">
        <w:t xml:space="preserve"> </w:t>
      </w:r>
      <w:r w:rsidR="00CC56EA">
        <w:t xml:space="preserve">increase </w:t>
      </w:r>
      <w:r w:rsidR="00E86450" w:rsidRPr="00610668">
        <w:t>food output</w:t>
      </w:r>
      <w:r w:rsidR="00090787">
        <w:t xml:space="preserve"> in aggregate</w:t>
      </w:r>
      <w:r w:rsidR="00E86450" w:rsidRPr="00610668">
        <w:t xml:space="preserve">. </w:t>
      </w:r>
      <w:r w:rsidR="00E86450">
        <w:t xml:space="preserve">There are a number of root causes of food insecurity including poverty, conflict, poor infrastructure and poor yields due to water, soil and climate conditions. In many developing nations, </w:t>
      </w:r>
      <w:r w:rsidR="00E86450" w:rsidRPr="00610668">
        <w:t>deficient or non-existent</w:t>
      </w:r>
      <w:r w:rsidR="00E86450">
        <w:t xml:space="preserve"> supply chains</w:t>
      </w:r>
      <w:r w:rsidR="00E86450" w:rsidRPr="00610668">
        <w:t xml:space="preserve"> </w:t>
      </w:r>
      <w:r w:rsidR="00E86450">
        <w:t xml:space="preserve">may impede </w:t>
      </w:r>
      <w:r w:rsidR="00E86450" w:rsidRPr="00610668">
        <w:t>farmers</w:t>
      </w:r>
      <w:r w:rsidR="00E86450">
        <w:t>’</w:t>
      </w:r>
      <w:r w:rsidR="00E86450" w:rsidRPr="00610668">
        <w:t xml:space="preserve"> </w:t>
      </w:r>
      <w:r w:rsidR="00E86450">
        <w:t>ability to reliably sell their produce.</w:t>
      </w:r>
      <w:r w:rsidR="00E86450" w:rsidRPr="00610668">
        <w:t xml:space="preserve"> </w:t>
      </w:r>
      <w:r w:rsidR="00E86450">
        <w:t xml:space="preserve">Where this problem exists, </w:t>
      </w:r>
      <w:r w:rsidR="00E86450" w:rsidRPr="00610668">
        <w:t>the incentive to increase output is severely weakened</w:t>
      </w:r>
      <w:r w:rsidR="00E86450">
        <w:t xml:space="preserve"> (PC 2011)</w:t>
      </w:r>
      <w:r w:rsidR="00E86450" w:rsidRPr="00610668">
        <w:t xml:space="preserve">. </w:t>
      </w:r>
      <w:r w:rsidR="00090787">
        <w:t xml:space="preserve">Policies that address these issues </w:t>
      </w:r>
      <w:r w:rsidR="00CC56EA">
        <w:t xml:space="preserve">are likely to </w:t>
      </w:r>
      <w:r w:rsidR="00090787">
        <w:t>be more effective in increasing total</w:t>
      </w:r>
      <w:r w:rsidR="00CC56EA">
        <w:t xml:space="preserve"> food production.</w:t>
      </w:r>
    </w:p>
    <w:p w:rsidR="00E86450" w:rsidRDefault="00E86450" w:rsidP="00E86450">
      <w:pPr>
        <w:pStyle w:val="BodyText"/>
      </w:pPr>
      <w:r>
        <w:t>I</w:t>
      </w:r>
      <w:r w:rsidRPr="00610668">
        <w:t xml:space="preserve">nsofar as Australia has an obligation to help feed people in other countries, </w:t>
      </w:r>
      <w:r w:rsidR="002577FD">
        <w:t xml:space="preserve">IP </w:t>
      </w:r>
      <w:r w:rsidRPr="00610668">
        <w:t xml:space="preserve">policy </w:t>
      </w:r>
      <w:r>
        <w:t>is not a critical concern</w:t>
      </w:r>
      <w:r w:rsidRPr="00610668">
        <w:t xml:space="preserve">. Rather, and as is currently the case, it </w:t>
      </w:r>
      <w:r>
        <w:t xml:space="preserve">should </w:t>
      </w:r>
      <w:r w:rsidRPr="00610668">
        <w:t xml:space="preserve">form part of the international aid program administered by </w:t>
      </w:r>
      <w:r w:rsidR="00A036A7">
        <w:rPr>
          <w:lang w:val="en"/>
        </w:rPr>
        <w:t>t</w:t>
      </w:r>
      <w:r w:rsidR="006D020B" w:rsidRPr="006D020B">
        <w:rPr>
          <w:lang w:val="en"/>
        </w:rPr>
        <w:t xml:space="preserve">he Australian Agency for International Development </w:t>
      </w:r>
      <w:r w:rsidR="006D020B">
        <w:rPr>
          <w:lang w:val="en"/>
        </w:rPr>
        <w:t>(</w:t>
      </w:r>
      <w:r w:rsidR="006D020B">
        <w:t>AusAID)</w:t>
      </w:r>
      <w:r w:rsidRPr="00610668">
        <w:t xml:space="preserve">. In addition, working to reduce agricultural subsidies and trade barriers would increase opportunities for developing countries to increase their food production, and thereby improve their incomes and ability to buy </w:t>
      </w:r>
      <w:r w:rsidRPr="00610668">
        <w:lastRenderedPageBreak/>
        <w:t xml:space="preserve">food. </w:t>
      </w:r>
      <w:r>
        <w:t>These measures are likely a</w:t>
      </w:r>
      <w:r w:rsidRPr="00610668">
        <w:t xml:space="preserve"> more appropriate — and probably more effective — approach to addressing food </w:t>
      </w:r>
      <w:r>
        <w:t>in</w:t>
      </w:r>
      <w:r w:rsidRPr="00610668">
        <w:t xml:space="preserve">security </w:t>
      </w:r>
      <w:r>
        <w:t>in developing countries.</w:t>
      </w:r>
    </w:p>
    <w:p w:rsidR="00DE45AD" w:rsidRDefault="005C71D9" w:rsidP="00DE45AD">
      <w:pPr>
        <w:pStyle w:val="Heading4"/>
      </w:pPr>
      <w:r>
        <w:t>Domestic</w:t>
      </w:r>
      <w:r w:rsidR="002D2A69">
        <w:t xml:space="preserve"> food security</w:t>
      </w:r>
    </w:p>
    <w:p w:rsidR="00D2521C" w:rsidRDefault="00C25000" w:rsidP="00D2521C">
      <w:pPr>
        <w:pStyle w:val="BodyText"/>
      </w:pPr>
      <w:r>
        <w:t xml:space="preserve">Domestically, </w:t>
      </w:r>
      <w:r w:rsidR="004836C0">
        <w:t xml:space="preserve">the goal of </w:t>
      </w:r>
      <w:r>
        <w:t xml:space="preserve">food security </w:t>
      </w:r>
      <w:r w:rsidR="009D32B5">
        <w:t>is a less pressing concern</w:t>
      </w:r>
      <w:r>
        <w:t xml:space="preserve">. </w:t>
      </w:r>
      <w:r w:rsidRPr="006755B9">
        <w:t>Most Australians can access a</w:t>
      </w:r>
      <w:r>
        <w:t xml:space="preserve"> </w:t>
      </w:r>
      <w:r w:rsidRPr="006755B9">
        <w:t>diverse, safe and plentiful supply of food.</w:t>
      </w:r>
      <w:r>
        <w:t xml:space="preserve"> </w:t>
      </w:r>
      <w:r w:rsidRPr="003E7D19">
        <w:t>Over 90 per cent</w:t>
      </w:r>
      <w:r>
        <w:t xml:space="preserve"> </w:t>
      </w:r>
      <w:r w:rsidRPr="003E7D19">
        <w:t>of fresh fruit and vegetables, meat, milk and eggs sold in Australia is domestically</w:t>
      </w:r>
      <w:r>
        <w:t xml:space="preserve"> </w:t>
      </w:r>
      <w:r w:rsidRPr="003E7D19">
        <w:t>produced</w:t>
      </w:r>
      <w:r>
        <w:t xml:space="preserve"> and </w:t>
      </w:r>
      <w:r w:rsidRPr="003E7D19">
        <w:t xml:space="preserve">Australia exports </w:t>
      </w:r>
      <w:r>
        <w:t xml:space="preserve">over </w:t>
      </w:r>
      <w:r w:rsidRPr="003E7D19">
        <w:t>half of its agricultural produce</w:t>
      </w:r>
      <w:r>
        <w:t xml:space="preserve"> (Australian Government</w:t>
      </w:r>
      <w:r w:rsidR="00406641">
        <w:t> </w:t>
      </w:r>
      <w:r>
        <w:t>2012)</w:t>
      </w:r>
      <w:r w:rsidRPr="003E7D19">
        <w:t>.</w:t>
      </w:r>
      <w:r>
        <w:t xml:space="preserve"> </w:t>
      </w:r>
      <w:r>
        <w:rPr>
          <w:color w:val="000000"/>
          <w:szCs w:val="26"/>
        </w:rPr>
        <w:t xml:space="preserve">Moreover, Australia’s income level (and hence buying power) and the somewhat lower costs of selling produce domestically, suggest that Australia </w:t>
      </w:r>
      <w:r w:rsidR="00E55CD9">
        <w:rPr>
          <w:color w:val="000000"/>
          <w:szCs w:val="26"/>
        </w:rPr>
        <w:t xml:space="preserve">will continue </w:t>
      </w:r>
      <w:r>
        <w:rPr>
          <w:color w:val="000000"/>
          <w:szCs w:val="26"/>
        </w:rPr>
        <w:t xml:space="preserve">to be in a very strong position to satisfy its food requirements (PC 2011). </w:t>
      </w:r>
      <w:r w:rsidR="00D2521C">
        <w:t xml:space="preserve">Hence, the </w:t>
      </w:r>
      <w:r w:rsidR="00D2521C" w:rsidRPr="00610668">
        <w:t xml:space="preserve">compulsory licensing </w:t>
      </w:r>
      <w:r w:rsidR="00D2521C">
        <w:t xml:space="preserve">provisions of the Patents Act do not appear to have an important role in </w:t>
      </w:r>
      <w:r w:rsidR="00D2521C" w:rsidRPr="00610668">
        <w:t xml:space="preserve">addressing food security </w:t>
      </w:r>
      <w:r w:rsidR="00D2521C">
        <w:t xml:space="preserve">concerns within Australia. Moreover, where concerns arise about accessing patented plant varieties, there is a separate compulsory licensing regime under the </w:t>
      </w:r>
      <w:r w:rsidR="00D2521C" w:rsidRPr="009B1E06">
        <w:rPr>
          <w:i/>
        </w:rPr>
        <w:t>Plant Breeder’s Rights Act 1994</w:t>
      </w:r>
      <w:r w:rsidR="00D2521C">
        <w:t xml:space="preserve"> (Cwlth) (box 5.7). </w:t>
      </w:r>
      <w:bookmarkStart w:id="9" w:name="begin"/>
      <w:bookmarkEnd w:id="9"/>
    </w:p>
    <w:p w:rsidR="00D2521C" w:rsidRDefault="00D2521C" w:rsidP="00D2521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2521C" w:rsidTr="0078528A">
        <w:tc>
          <w:tcPr>
            <w:tcW w:w="8771" w:type="dxa"/>
            <w:tcBorders>
              <w:top w:val="single" w:sz="6" w:space="0" w:color="auto"/>
              <w:bottom w:val="nil"/>
            </w:tcBorders>
          </w:tcPr>
          <w:p w:rsidR="00D2521C" w:rsidRDefault="00D2521C" w:rsidP="0078528A">
            <w:pPr>
              <w:pStyle w:val="BoxTitle"/>
            </w:pPr>
            <w:r>
              <w:rPr>
                <w:b w:val="0"/>
              </w:rPr>
              <w:t xml:space="preserve">Box </w:t>
            </w:r>
            <w:bookmarkStart w:id="10" w:name="OLE_LINK7"/>
            <w:r>
              <w:rPr>
                <w:b w:val="0"/>
              </w:rPr>
              <w:t>5.</w:t>
            </w:r>
            <w:r>
              <w:rPr>
                <w:b w:val="0"/>
                <w:noProof/>
              </w:rPr>
              <w:t>7</w:t>
            </w:r>
            <w:bookmarkEnd w:id="10"/>
            <w:r>
              <w:tab/>
              <w:t>Compulsory Licensing in the Plant Breeder’s Rights Act</w:t>
            </w:r>
          </w:p>
        </w:tc>
      </w:tr>
      <w:tr w:rsidR="00D2521C" w:rsidTr="0078528A">
        <w:trPr>
          <w:cantSplit/>
        </w:trPr>
        <w:tc>
          <w:tcPr>
            <w:tcW w:w="8771" w:type="dxa"/>
            <w:tcBorders>
              <w:top w:val="nil"/>
              <w:left w:val="single" w:sz="6" w:space="0" w:color="auto"/>
              <w:bottom w:val="nil"/>
              <w:right w:val="single" w:sz="6" w:space="0" w:color="auto"/>
            </w:tcBorders>
          </w:tcPr>
          <w:p w:rsidR="00D2521C" w:rsidRPr="00DC4D7C" w:rsidRDefault="00D2521C" w:rsidP="0078528A">
            <w:pPr>
              <w:pStyle w:val="Box"/>
            </w:pPr>
            <w:r w:rsidRPr="00094984">
              <w:t xml:space="preserve">The </w:t>
            </w:r>
            <w:r w:rsidRPr="00094984">
              <w:rPr>
                <w:i/>
              </w:rPr>
              <w:t>Plant Breeder’s Rights Act 1994</w:t>
            </w:r>
            <w:r w:rsidRPr="00094984">
              <w:t xml:space="preserve"> (Cwlth) </w:t>
            </w:r>
            <w:r>
              <w:t>was</w:t>
            </w:r>
            <w:r w:rsidRPr="00094984">
              <w:t xml:space="preserve"> initially developed to provide intellectual property protection for plant varieties</w:t>
            </w:r>
            <w:r>
              <w:t xml:space="preserve"> (chapter 2)</w:t>
            </w:r>
            <w:r w:rsidRPr="00094984">
              <w:t xml:space="preserve">. Similar to the </w:t>
            </w:r>
            <w:r w:rsidRPr="00094984">
              <w:rPr>
                <w:i/>
              </w:rPr>
              <w:t>Patents Act 1990</w:t>
            </w:r>
            <w:r w:rsidRPr="00094984">
              <w:t xml:space="preserve"> (Cwlth), compulsory licensing provisions are included as a safeguard measure to ensure access to protected material. Section 19 of the</w:t>
            </w:r>
            <w:r w:rsidRPr="00CB7A6C">
              <w:t xml:space="preserve"> </w:t>
            </w:r>
            <w:r>
              <w:t xml:space="preserve">Plant Breeders Rights </w:t>
            </w:r>
            <w:r w:rsidRPr="00094984">
              <w:t xml:space="preserve">Act guarantees reasonable public access to reasonable quantities of plant varieties at </w:t>
            </w:r>
            <w:r>
              <w:t>reasonable prices</w:t>
            </w:r>
            <w:r w:rsidRPr="00DC4D7C">
              <w:t>:</w:t>
            </w:r>
          </w:p>
          <w:p w:rsidR="00D2521C" w:rsidRPr="000D27E7" w:rsidRDefault="00D2521C" w:rsidP="0078528A">
            <w:pPr>
              <w:pStyle w:val="BoxQuote"/>
              <w:ind w:left="545" w:hanging="261"/>
            </w:pPr>
            <w:r>
              <w:t>(1) </w:t>
            </w:r>
            <w:r w:rsidRPr="000D27E7">
              <w:t>…</w:t>
            </w:r>
            <w:r>
              <w:t> </w:t>
            </w:r>
            <w:r w:rsidRPr="000D27E7">
              <w:t>the grantee of PBR [plant breeders rights] in a plant variety must take all reasonable</w:t>
            </w:r>
            <w:r>
              <w:t xml:space="preserve"> </w:t>
            </w:r>
            <w:r w:rsidRPr="000D27E7">
              <w:t>steps to ensure reasonable publi</w:t>
            </w:r>
            <w:r>
              <w:t>c access to that plant variety.</w:t>
            </w:r>
          </w:p>
          <w:p w:rsidR="00D2521C" w:rsidRPr="00980796" w:rsidRDefault="00D2521C" w:rsidP="0078528A">
            <w:pPr>
              <w:pStyle w:val="BoxQuote"/>
              <w:ind w:left="545" w:hanging="262"/>
            </w:pPr>
            <w:r>
              <w:t>(2) </w:t>
            </w:r>
            <w:r w:rsidRPr="00B6577A">
              <w:t>Reasonable public access to a plant variety covered by PBR is taken to be satisfied if propagating material of reasonable quality is available to the public at reasonable prices, or as gifts to the public, in sufficient quantities to meet demand.</w:t>
            </w:r>
            <w:r w:rsidRPr="000D27E7">
              <w:t xml:space="preserve"> </w:t>
            </w:r>
          </w:p>
          <w:p w:rsidR="00D2521C" w:rsidRPr="00980796" w:rsidRDefault="00D2521C" w:rsidP="0078528A">
            <w:pPr>
              <w:pStyle w:val="BoxQuote"/>
              <w:ind w:left="545" w:hanging="261"/>
            </w:pPr>
            <w:r>
              <w:t>(3) </w:t>
            </w:r>
            <w:r w:rsidRPr="000D27E7">
              <w:t xml:space="preserve">For the purpose of ensuring reasonable public access to a plant variety covered by PBR, the Secretary [of the Department of Innovation, Industry, Science and Research] may, on behalf of the grantee, in accordance with subsections (4) to (10), license a person whom the Secretary considers appropriate: </w:t>
            </w:r>
          </w:p>
          <w:p w:rsidR="00D2521C" w:rsidRPr="00980796" w:rsidRDefault="00D2521C" w:rsidP="0078528A">
            <w:pPr>
              <w:pStyle w:val="BoxQuoteBullet"/>
              <w:numPr>
                <w:ilvl w:val="0"/>
                <w:numId w:val="0"/>
              </w:numPr>
              <w:ind w:left="829" w:firstLine="23"/>
            </w:pPr>
            <w:r w:rsidRPr="000D27E7">
              <w:t xml:space="preserve">(a) to sell propagating material of plants of that variety; or </w:t>
            </w:r>
          </w:p>
          <w:p w:rsidR="00D2521C" w:rsidRPr="00980796" w:rsidRDefault="00D2521C" w:rsidP="0078528A">
            <w:pPr>
              <w:pStyle w:val="BoxQuoteBullet"/>
              <w:numPr>
                <w:ilvl w:val="0"/>
                <w:numId w:val="0"/>
              </w:numPr>
              <w:ind w:left="829" w:firstLine="23"/>
            </w:pPr>
            <w:r w:rsidRPr="000D27E7">
              <w:t xml:space="preserve">(b) to produce propagating material of plants of that variety for sale; </w:t>
            </w:r>
          </w:p>
          <w:p w:rsidR="00D2521C" w:rsidRPr="00BE5F8F" w:rsidRDefault="00D2521C" w:rsidP="0078528A">
            <w:pPr>
              <w:pStyle w:val="BoxQuote"/>
              <w:ind w:left="545" w:hanging="261"/>
            </w:pPr>
            <w:r>
              <w:tab/>
            </w:r>
            <w:r w:rsidRPr="000B27CD">
              <w:t>during such period as the Secretary considers appropriate and on such terms and conditions (including the provision of reasonable remuneration to the grantee) as the Secretary considers would be granted by the grantee in the normal course of business.</w:t>
            </w:r>
          </w:p>
        </w:tc>
      </w:tr>
      <w:tr w:rsidR="00D2521C" w:rsidTr="0078528A">
        <w:trPr>
          <w:cantSplit/>
        </w:trPr>
        <w:tc>
          <w:tcPr>
            <w:tcW w:w="8771" w:type="dxa"/>
            <w:tcBorders>
              <w:top w:val="nil"/>
              <w:left w:val="single" w:sz="6" w:space="0" w:color="auto"/>
              <w:bottom w:val="single" w:sz="6" w:space="0" w:color="auto"/>
              <w:right w:val="single" w:sz="6" w:space="0" w:color="auto"/>
            </w:tcBorders>
          </w:tcPr>
          <w:p w:rsidR="00D2521C" w:rsidRDefault="00D2521C" w:rsidP="0078528A">
            <w:pPr>
              <w:pStyle w:val="Box"/>
              <w:spacing w:before="0" w:line="120" w:lineRule="exact"/>
            </w:pPr>
          </w:p>
        </w:tc>
      </w:tr>
      <w:tr w:rsidR="00D2521C" w:rsidTr="0078528A">
        <w:tc>
          <w:tcPr>
            <w:tcW w:w="8771" w:type="dxa"/>
            <w:tcBorders>
              <w:top w:val="nil"/>
              <w:left w:val="nil"/>
              <w:bottom w:val="nil"/>
              <w:right w:val="nil"/>
            </w:tcBorders>
          </w:tcPr>
          <w:p w:rsidR="00D2521C" w:rsidRDefault="00D2521C" w:rsidP="0078528A">
            <w:pPr>
              <w:pStyle w:val="Box"/>
              <w:keepNext w:val="0"/>
              <w:spacing w:before="60" w:after="60" w:line="80" w:lineRule="exact"/>
              <w:rPr>
                <w:b/>
                <w:color w:val="FF00FF"/>
                <w:sz w:val="14"/>
              </w:rPr>
            </w:pPr>
          </w:p>
        </w:tc>
      </w:tr>
    </w:tbl>
    <w:p w:rsidR="00F056FC" w:rsidRPr="0052311A" w:rsidRDefault="00F056FC" w:rsidP="00D2521C">
      <w:pPr>
        <w:pStyle w:val="BodyText"/>
      </w:pPr>
    </w:p>
    <w:sectPr w:rsidR="00F056FC" w:rsidRPr="0052311A" w:rsidSect="004B5216">
      <w:headerReference w:type="even" r:id="rId9"/>
      <w:headerReference w:type="default" r:id="rId10"/>
      <w:footerReference w:type="even" r:id="rId11"/>
      <w:footerReference w:type="default" r:id="rId12"/>
      <w:headerReference w:type="first" r:id="rId13"/>
      <w:footerReference w:type="first" r:id="rId14"/>
      <w:pgSz w:w="11907" w:h="16840" w:code="9"/>
      <w:pgMar w:top="1985" w:right="1304" w:bottom="1418" w:left="1814" w:header="1701" w:footer="567" w:gutter="0"/>
      <w:pgNumType w:start="9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535F" w:rsidRDefault="00B0535F">
      <w:r>
        <w:separator/>
      </w:r>
    </w:p>
  </w:endnote>
  <w:endnote w:type="continuationSeparator" w:id="0">
    <w:p w:rsidR="00B0535F" w:rsidRDefault="00B05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leste-Regula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B0535F">
      <w:trPr>
        <w:trHeight w:hRule="exact" w:val="740"/>
      </w:trPr>
      <w:tc>
        <w:tcPr>
          <w:tcW w:w="510" w:type="dxa"/>
          <w:tcBorders>
            <w:top w:val="single" w:sz="6" w:space="0" w:color="auto"/>
          </w:tcBorders>
        </w:tcPr>
        <w:p w:rsidR="00B0535F" w:rsidRDefault="00B0535F"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8D6D7E">
            <w:rPr>
              <w:rStyle w:val="PageNumber"/>
              <w:noProof/>
            </w:rPr>
            <w:t>108</w:t>
          </w:r>
          <w:r>
            <w:rPr>
              <w:rStyle w:val="PageNumber"/>
            </w:rPr>
            <w:fldChar w:fldCharType="end"/>
          </w:r>
        </w:p>
      </w:tc>
      <w:tc>
        <w:tcPr>
          <w:tcW w:w="1644" w:type="dxa"/>
          <w:tcBorders>
            <w:top w:val="single" w:sz="6" w:space="0" w:color="auto"/>
          </w:tcBorders>
        </w:tcPr>
        <w:p w:rsidR="00B0535F" w:rsidRDefault="00D2521C" w:rsidP="0019293B">
          <w:pPr>
            <w:pStyle w:val="Footer"/>
          </w:pPr>
          <w:fldSimple w:instr=" SUBJECT  \* MERGEFORMAT ">
            <w:r w:rsidR="008D6D7E">
              <w:t>Compulsory licensing of patents</w:t>
            </w:r>
          </w:fldSimple>
        </w:p>
      </w:tc>
      <w:tc>
        <w:tcPr>
          <w:tcW w:w="6634" w:type="dxa"/>
        </w:tcPr>
        <w:p w:rsidR="00B0535F" w:rsidRDefault="00B0535F" w:rsidP="0019293B">
          <w:pPr>
            <w:pStyle w:val="Footer"/>
          </w:pPr>
        </w:p>
      </w:tc>
    </w:tr>
  </w:tbl>
  <w:p w:rsidR="00B0535F" w:rsidRDefault="00B0535F"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B0535F">
      <w:trPr>
        <w:trHeight w:hRule="exact" w:val="740"/>
      </w:trPr>
      <w:tc>
        <w:tcPr>
          <w:tcW w:w="6634" w:type="dxa"/>
        </w:tcPr>
        <w:p w:rsidR="00B0535F" w:rsidRDefault="00B0535F">
          <w:pPr>
            <w:pStyle w:val="Footer"/>
            <w:ind w:right="360" w:firstLine="360"/>
          </w:pPr>
        </w:p>
      </w:tc>
      <w:tc>
        <w:tcPr>
          <w:tcW w:w="1644" w:type="dxa"/>
          <w:tcBorders>
            <w:top w:val="single" w:sz="6" w:space="0" w:color="auto"/>
          </w:tcBorders>
        </w:tcPr>
        <w:p w:rsidR="00B0535F" w:rsidRDefault="00D2521C">
          <w:pPr>
            <w:pStyle w:val="Footer"/>
          </w:pPr>
          <w:fldSimple w:instr=" TITLE  \* MERGEFORMAT ">
            <w:r w:rsidR="008D6D7E">
              <w:t>Specific concerns about patent access</w:t>
            </w:r>
          </w:fldSimple>
        </w:p>
      </w:tc>
      <w:tc>
        <w:tcPr>
          <w:tcW w:w="510" w:type="dxa"/>
          <w:tcBorders>
            <w:top w:val="single" w:sz="6" w:space="0" w:color="auto"/>
          </w:tcBorders>
        </w:tcPr>
        <w:p w:rsidR="00B0535F" w:rsidRDefault="00B0535F">
          <w:pPr>
            <w:pStyle w:val="Footer"/>
            <w:jc w:val="right"/>
          </w:pPr>
          <w:r>
            <w:rPr>
              <w:rStyle w:val="PageNumber"/>
            </w:rPr>
            <w:fldChar w:fldCharType="begin"/>
          </w:r>
          <w:r>
            <w:rPr>
              <w:rStyle w:val="PageNumber"/>
            </w:rPr>
            <w:instrText xml:space="preserve">PAGE  </w:instrText>
          </w:r>
          <w:r>
            <w:rPr>
              <w:rStyle w:val="PageNumber"/>
            </w:rPr>
            <w:fldChar w:fldCharType="separate"/>
          </w:r>
          <w:r w:rsidR="008D6D7E">
            <w:rPr>
              <w:rStyle w:val="PageNumber"/>
              <w:noProof/>
            </w:rPr>
            <w:t>109</w:t>
          </w:r>
          <w:r>
            <w:rPr>
              <w:rStyle w:val="PageNumber"/>
            </w:rPr>
            <w:fldChar w:fldCharType="end"/>
          </w:r>
        </w:p>
      </w:tc>
    </w:tr>
  </w:tbl>
  <w:p w:rsidR="00B0535F" w:rsidRDefault="00B0535F">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35F" w:rsidRDefault="00B053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535F" w:rsidRDefault="00B0535F">
      <w:r>
        <w:separator/>
      </w:r>
    </w:p>
  </w:footnote>
  <w:footnote w:type="continuationSeparator" w:id="0">
    <w:p w:rsidR="00B0535F" w:rsidRDefault="00B0535F">
      <w:r>
        <w:continuationSeparator/>
      </w:r>
    </w:p>
  </w:footnote>
  <w:footnote w:id="1">
    <w:p w:rsidR="00B0535F" w:rsidRDefault="00B0535F">
      <w:pPr>
        <w:pStyle w:val="FootnoteText"/>
      </w:pPr>
      <w:r>
        <w:rPr>
          <w:rStyle w:val="FootnoteReference"/>
        </w:rPr>
        <w:footnoteRef/>
      </w:r>
      <w:r>
        <w:t xml:space="preserve"> This figure includes patents over human and animal genes.</w:t>
      </w:r>
    </w:p>
  </w:footnote>
  <w:footnote w:id="2">
    <w:p w:rsidR="00B0535F" w:rsidRDefault="00B0535F">
      <w:pPr>
        <w:pStyle w:val="FootnoteText"/>
      </w:pPr>
      <w:r>
        <w:rPr>
          <w:rStyle w:val="FootnoteReference"/>
        </w:rPr>
        <w:footnoteRef/>
      </w:r>
      <w:r>
        <w:t xml:space="preserve"> </w:t>
      </w:r>
      <w:r>
        <w:tab/>
        <w:t xml:space="preserve">Article 4 of the United Nations Framework Convention on Climate Change (UNFCCC) contains specific commitments for parties to facilitate the transfer of mitigation technologies. This commitment is reaffirmed in article 10 of the Kyoto Protocol.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0535F">
      <w:tc>
        <w:tcPr>
          <w:tcW w:w="2155" w:type="dxa"/>
          <w:tcBorders>
            <w:top w:val="single" w:sz="24" w:space="0" w:color="auto"/>
          </w:tcBorders>
        </w:tcPr>
        <w:p w:rsidR="00B0535F" w:rsidRDefault="00B0535F" w:rsidP="0019293B">
          <w:pPr>
            <w:pStyle w:val="HeaderEven"/>
          </w:pPr>
        </w:p>
      </w:tc>
      <w:tc>
        <w:tcPr>
          <w:tcW w:w="6634" w:type="dxa"/>
          <w:tcBorders>
            <w:top w:val="single" w:sz="6" w:space="0" w:color="auto"/>
          </w:tcBorders>
        </w:tcPr>
        <w:p w:rsidR="00B0535F" w:rsidRDefault="00B0535F" w:rsidP="0019293B">
          <w:pPr>
            <w:pStyle w:val="HeaderEven"/>
          </w:pPr>
        </w:p>
      </w:tc>
    </w:tr>
  </w:tbl>
  <w:p w:rsidR="00B0535F" w:rsidRDefault="00B0535F"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0535F">
      <w:tc>
        <w:tcPr>
          <w:tcW w:w="6634" w:type="dxa"/>
          <w:tcBorders>
            <w:top w:val="single" w:sz="6" w:space="0" w:color="auto"/>
          </w:tcBorders>
        </w:tcPr>
        <w:p w:rsidR="00B0535F" w:rsidRDefault="00B0535F" w:rsidP="00E669E2">
          <w:pPr>
            <w:pStyle w:val="HeaderOdd"/>
          </w:pPr>
        </w:p>
      </w:tc>
      <w:tc>
        <w:tcPr>
          <w:tcW w:w="2155" w:type="dxa"/>
          <w:tcBorders>
            <w:top w:val="single" w:sz="24" w:space="0" w:color="auto"/>
          </w:tcBorders>
        </w:tcPr>
        <w:p w:rsidR="00B0535F" w:rsidRDefault="00B0535F" w:rsidP="00E669E2">
          <w:pPr>
            <w:pStyle w:val="HeaderOdd"/>
          </w:pPr>
        </w:p>
      </w:tc>
    </w:tr>
  </w:tbl>
  <w:p w:rsidR="00B0535F" w:rsidRDefault="00B0535F"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35F" w:rsidRDefault="00B053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082A0F6"/>
    <w:multiLevelType w:val="hybridMultilevel"/>
    <w:tmpl w:val="F3E492E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7E"/>
    <w:multiLevelType w:val="singleLevel"/>
    <w:tmpl w:val="ED98921A"/>
    <w:lvl w:ilvl="0">
      <w:start w:val="1"/>
      <w:numFmt w:val="decimal"/>
      <w:lvlText w:val="%1."/>
      <w:lvlJc w:val="left"/>
      <w:pPr>
        <w:tabs>
          <w:tab w:val="num" w:pos="926"/>
        </w:tabs>
        <w:ind w:left="926" w:hanging="360"/>
      </w:pPr>
    </w:lvl>
  </w:abstractNum>
  <w:abstractNum w:abstractNumId="2">
    <w:nsid w:val="FFFFFF7F"/>
    <w:multiLevelType w:val="singleLevel"/>
    <w:tmpl w:val="69042E6A"/>
    <w:lvl w:ilvl="0">
      <w:start w:val="1"/>
      <w:numFmt w:val="decimal"/>
      <w:lvlText w:val="%1."/>
      <w:lvlJc w:val="left"/>
      <w:pPr>
        <w:tabs>
          <w:tab w:val="num" w:pos="643"/>
        </w:tabs>
        <w:ind w:left="643" w:hanging="360"/>
      </w:pPr>
    </w:lvl>
  </w:abstractNum>
  <w:abstractNum w:abstractNumId="3">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5">
    <w:nsid w:val="FFFFFF88"/>
    <w:multiLevelType w:val="singleLevel"/>
    <w:tmpl w:val="93104AE2"/>
    <w:lvl w:ilvl="0">
      <w:start w:val="1"/>
      <w:numFmt w:val="decimal"/>
      <w:lvlText w:val="%1."/>
      <w:lvlJc w:val="left"/>
      <w:pPr>
        <w:tabs>
          <w:tab w:val="num" w:pos="360"/>
        </w:tabs>
        <w:ind w:left="360" w:hanging="360"/>
      </w:pPr>
    </w:lvl>
  </w:abstractNum>
  <w:abstractNum w:abstractNumId="6">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7">
    <w:nsid w:val="FFFFFFFE"/>
    <w:multiLevelType w:val="singleLevel"/>
    <w:tmpl w:val="FFFFFFFF"/>
    <w:lvl w:ilvl="0">
      <w:numFmt w:val="decimal"/>
      <w:lvlText w:val="*"/>
      <w:lvlJc w:val="left"/>
    </w:lvl>
  </w:abstractNum>
  <w:abstractNum w:abstractNumId="8">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1">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2">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3">
    <w:nsid w:val="07057F34"/>
    <w:multiLevelType w:val="singleLevel"/>
    <w:tmpl w:val="ED98921A"/>
    <w:lvl w:ilvl="0">
      <w:start w:val="1"/>
      <w:numFmt w:val="decimal"/>
      <w:lvlText w:val="%1."/>
      <w:legacy w:legacy="1" w:legacySpace="0" w:legacyIndent="340"/>
      <w:lvlJc w:val="left"/>
      <w:pPr>
        <w:ind w:left="340" w:hanging="340"/>
      </w:pPr>
    </w:lvl>
  </w:abstractNum>
  <w:abstractNum w:abstractNumId="14">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8">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9">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2">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5">
    <w:nsid w:val="51F74561"/>
    <w:multiLevelType w:val="singleLevel"/>
    <w:tmpl w:val="ED98921A"/>
    <w:lvl w:ilvl="0">
      <w:start w:val="1"/>
      <w:numFmt w:val="decimal"/>
      <w:lvlText w:val="%1."/>
      <w:legacy w:legacy="1" w:legacySpace="0" w:legacyIndent="340"/>
      <w:lvlJc w:val="left"/>
      <w:pPr>
        <w:ind w:left="340" w:hanging="340"/>
      </w:pPr>
    </w:lvl>
  </w:abstractNum>
  <w:abstractNum w:abstractNumId="2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8">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0">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57A16E"/>
    <w:multiLevelType w:val="hybridMultilevel"/>
    <w:tmpl w:val="34671E0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9">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3">
    <w:nsid w:val="758E0A53"/>
    <w:multiLevelType w:val="hybridMultilevel"/>
    <w:tmpl w:val="D4067196"/>
    <w:lvl w:ilvl="0" w:tplc="E36075FA">
      <w:start w:val="1"/>
      <w:numFmt w:val="bullet"/>
      <w:pStyle w:val="ListBullet20"/>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6">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1"/>
  </w:num>
  <w:num w:numId="2">
    <w:abstractNumId w:val="11"/>
  </w:num>
  <w:num w:numId="3">
    <w:abstractNumId w:val="44"/>
  </w:num>
  <w:num w:numId="4">
    <w:abstractNumId w:val="8"/>
  </w:num>
  <w:num w:numId="5">
    <w:abstractNumId w:val="6"/>
  </w:num>
  <w:num w:numId="6">
    <w:abstractNumId w:val="26"/>
  </w:num>
  <w:num w:numId="7">
    <w:abstractNumId w:val="4"/>
  </w:num>
  <w:num w:numId="8">
    <w:abstractNumId w:val="10"/>
  </w:num>
  <w:num w:numId="9">
    <w:abstractNumId w:val="3"/>
  </w:num>
  <w:num w:numId="10">
    <w:abstractNumId w:val="38"/>
  </w:num>
  <w:num w:numId="11">
    <w:abstractNumId w:val="5"/>
  </w:num>
  <w:num w:numId="12">
    <w:abstractNumId w:val="2"/>
  </w:num>
  <w:num w:numId="13">
    <w:abstractNumId w:val="1"/>
  </w:num>
  <w:num w:numId="14">
    <w:abstractNumId w:val="29"/>
  </w:num>
  <w:num w:numId="15">
    <w:abstractNumId w:val="45"/>
  </w:num>
  <w:num w:numId="16">
    <w:abstractNumId w:val="18"/>
  </w:num>
  <w:num w:numId="17">
    <w:abstractNumId w:val="17"/>
  </w:num>
  <w:num w:numId="18">
    <w:abstractNumId w:val="27"/>
  </w:num>
  <w:num w:numId="19">
    <w:abstractNumId w:val="13"/>
  </w:num>
  <w:num w:numId="20">
    <w:abstractNumId w:val="34"/>
  </w:num>
  <w:num w:numId="21">
    <w:abstractNumId w:val="37"/>
  </w:num>
  <w:num w:numId="22">
    <w:abstractNumId w:val="25"/>
  </w:num>
  <w:num w:numId="23">
    <w:abstractNumId w:val="28"/>
  </w:num>
  <w:num w:numId="24">
    <w:abstractNumId w:val="30"/>
  </w:num>
  <w:num w:numId="25">
    <w:abstractNumId w:val="42"/>
  </w:num>
  <w:num w:numId="26">
    <w:abstractNumId w:val="33"/>
  </w:num>
  <w:num w:numId="27">
    <w:abstractNumId w:val="39"/>
  </w:num>
  <w:num w:numId="28">
    <w:abstractNumId w:val="40"/>
  </w:num>
  <w:num w:numId="29">
    <w:abstractNumId w:val="31"/>
  </w:num>
  <w:num w:numId="30">
    <w:abstractNumId w:val="22"/>
  </w:num>
  <w:num w:numId="31">
    <w:abstractNumId w:val="46"/>
  </w:num>
  <w:num w:numId="32">
    <w:abstractNumId w:val="16"/>
  </w:num>
  <w:num w:numId="33">
    <w:abstractNumId w:val="9"/>
  </w:num>
  <w:num w:numId="34">
    <w:abstractNumId w:val="19"/>
  </w:num>
  <w:num w:numId="35">
    <w:abstractNumId w:val="41"/>
  </w:num>
  <w:num w:numId="36">
    <w:abstractNumId w:val="32"/>
  </w:num>
  <w:num w:numId="37">
    <w:abstractNumId w:val="14"/>
  </w:num>
  <w:num w:numId="38">
    <w:abstractNumId w:val="35"/>
  </w:num>
  <w:num w:numId="39">
    <w:abstractNumId w:val="15"/>
  </w:num>
  <w:num w:numId="40">
    <w:abstractNumId w:val="18"/>
  </w:num>
  <w:num w:numId="41">
    <w:abstractNumId w:val="10"/>
  </w:num>
  <w:num w:numId="42">
    <w:abstractNumId w:val="24"/>
  </w:num>
  <w:num w:numId="43">
    <w:abstractNumId w:val="7"/>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2"/>
  </w:num>
  <w:num w:numId="45">
    <w:abstractNumId w:val="20"/>
  </w:num>
  <w:num w:numId="46">
    <w:abstractNumId w:val="23"/>
  </w:num>
  <w:num w:numId="47">
    <w:abstractNumId w:val="36"/>
  </w:num>
  <w:num w:numId="48">
    <w:abstractNumId w:val="0"/>
  </w:num>
  <w:num w:numId="49">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822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Specific concerns about patent access"/>
    <w:docVar w:name="ShortReportTitle" w:val="Compulsory licensing of patents"/>
  </w:docVars>
  <w:rsids>
    <w:rsidRoot w:val="005A7EFE"/>
    <w:rsid w:val="000006A5"/>
    <w:rsid w:val="00005A6B"/>
    <w:rsid w:val="000202BB"/>
    <w:rsid w:val="000202BF"/>
    <w:rsid w:val="000245AA"/>
    <w:rsid w:val="00024A71"/>
    <w:rsid w:val="000300FB"/>
    <w:rsid w:val="00034356"/>
    <w:rsid w:val="00036158"/>
    <w:rsid w:val="0003664B"/>
    <w:rsid w:val="0004111F"/>
    <w:rsid w:val="00052B4E"/>
    <w:rsid w:val="000565B3"/>
    <w:rsid w:val="000570F8"/>
    <w:rsid w:val="000573E0"/>
    <w:rsid w:val="00060CE7"/>
    <w:rsid w:val="0006556F"/>
    <w:rsid w:val="0007150B"/>
    <w:rsid w:val="00071DD9"/>
    <w:rsid w:val="00073B03"/>
    <w:rsid w:val="000740AC"/>
    <w:rsid w:val="00083484"/>
    <w:rsid w:val="00085105"/>
    <w:rsid w:val="00085CF1"/>
    <w:rsid w:val="00090787"/>
    <w:rsid w:val="000932F4"/>
    <w:rsid w:val="000938F5"/>
    <w:rsid w:val="00094984"/>
    <w:rsid w:val="000963F7"/>
    <w:rsid w:val="00097829"/>
    <w:rsid w:val="000A4A9A"/>
    <w:rsid w:val="000A5B5B"/>
    <w:rsid w:val="000B0B1F"/>
    <w:rsid w:val="000B27CD"/>
    <w:rsid w:val="000B36F0"/>
    <w:rsid w:val="000B509F"/>
    <w:rsid w:val="000B601B"/>
    <w:rsid w:val="000B6439"/>
    <w:rsid w:val="000C207E"/>
    <w:rsid w:val="000C41DA"/>
    <w:rsid w:val="000D27E7"/>
    <w:rsid w:val="000D4E3E"/>
    <w:rsid w:val="000D53DC"/>
    <w:rsid w:val="000E147D"/>
    <w:rsid w:val="000F3CE8"/>
    <w:rsid w:val="000F420B"/>
    <w:rsid w:val="000F44BE"/>
    <w:rsid w:val="000F6874"/>
    <w:rsid w:val="001035E4"/>
    <w:rsid w:val="00106F03"/>
    <w:rsid w:val="00110116"/>
    <w:rsid w:val="00110F1C"/>
    <w:rsid w:val="0011676B"/>
    <w:rsid w:val="00120072"/>
    <w:rsid w:val="00121C79"/>
    <w:rsid w:val="0012343D"/>
    <w:rsid w:val="00126B0C"/>
    <w:rsid w:val="00126EB8"/>
    <w:rsid w:val="001274D4"/>
    <w:rsid w:val="001316C0"/>
    <w:rsid w:val="001363AA"/>
    <w:rsid w:val="00144539"/>
    <w:rsid w:val="0014674A"/>
    <w:rsid w:val="00146926"/>
    <w:rsid w:val="00151265"/>
    <w:rsid w:val="00152BAB"/>
    <w:rsid w:val="0016065C"/>
    <w:rsid w:val="001609BF"/>
    <w:rsid w:val="001610E2"/>
    <w:rsid w:val="00161CC8"/>
    <w:rsid w:val="001713E1"/>
    <w:rsid w:val="001732A1"/>
    <w:rsid w:val="001774A6"/>
    <w:rsid w:val="0018030F"/>
    <w:rsid w:val="001838BF"/>
    <w:rsid w:val="00183E82"/>
    <w:rsid w:val="00184C17"/>
    <w:rsid w:val="00185A78"/>
    <w:rsid w:val="001865C6"/>
    <w:rsid w:val="001878BB"/>
    <w:rsid w:val="001901F3"/>
    <w:rsid w:val="00191AE0"/>
    <w:rsid w:val="0019293B"/>
    <w:rsid w:val="0019335E"/>
    <w:rsid w:val="001957E7"/>
    <w:rsid w:val="00195DEE"/>
    <w:rsid w:val="001A1940"/>
    <w:rsid w:val="001A2617"/>
    <w:rsid w:val="001A62E5"/>
    <w:rsid w:val="001B0551"/>
    <w:rsid w:val="001B6EF3"/>
    <w:rsid w:val="001B6F86"/>
    <w:rsid w:val="001C0865"/>
    <w:rsid w:val="001C0B32"/>
    <w:rsid w:val="001C16EB"/>
    <w:rsid w:val="001C3ABA"/>
    <w:rsid w:val="001C4FED"/>
    <w:rsid w:val="001C5B51"/>
    <w:rsid w:val="001D2F38"/>
    <w:rsid w:val="001D5D25"/>
    <w:rsid w:val="001E0E7A"/>
    <w:rsid w:val="001E1986"/>
    <w:rsid w:val="001E2540"/>
    <w:rsid w:val="001E4567"/>
    <w:rsid w:val="001E49D1"/>
    <w:rsid w:val="001E664A"/>
    <w:rsid w:val="001E7BE8"/>
    <w:rsid w:val="001F0248"/>
    <w:rsid w:val="001F3EB3"/>
    <w:rsid w:val="00202C2C"/>
    <w:rsid w:val="002047C5"/>
    <w:rsid w:val="00207059"/>
    <w:rsid w:val="00213E5B"/>
    <w:rsid w:val="0021471A"/>
    <w:rsid w:val="0021492D"/>
    <w:rsid w:val="00215F32"/>
    <w:rsid w:val="0022088E"/>
    <w:rsid w:val="00220AB7"/>
    <w:rsid w:val="00232512"/>
    <w:rsid w:val="00234B29"/>
    <w:rsid w:val="00242142"/>
    <w:rsid w:val="00242279"/>
    <w:rsid w:val="00245C82"/>
    <w:rsid w:val="0024777E"/>
    <w:rsid w:val="0025090C"/>
    <w:rsid w:val="0025158A"/>
    <w:rsid w:val="002536E6"/>
    <w:rsid w:val="0025522D"/>
    <w:rsid w:val="002558BA"/>
    <w:rsid w:val="00255DB5"/>
    <w:rsid w:val="00256E58"/>
    <w:rsid w:val="002577FD"/>
    <w:rsid w:val="00270986"/>
    <w:rsid w:val="00272A1C"/>
    <w:rsid w:val="00277942"/>
    <w:rsid w:val="002810E9"/>
    <w:rsid w:val="00290B6B"/>
    <w:rsid w:val="00291B40"/>
    <w:rsid w:val="00291D04"/>
    <w:rsid w:val="002942C4"/>
    <w:rsid w:val="0029516C"/>
    <w:rsid w:val="0029566E"/>
    <w:rsid w:val="002960C0"/>
    <w:rsid w:val="002A0F79"/>
    <w:rsid w:val="002A5F88"/>
    <w:rsid w:val="002A6987"/>
    <w:rsid w:val="002B4008"/>
    <w:rsid w:val="002B4E62"/>
    <w:rsid w:val="002B507C"/>
    <w:rsid w:val="002B54AC"/>
    <w:rsid w:val="002C13AA"/>
    <w:rsid w:val="002C4783"/>
    <w:rsid w:val="002C5E4D"/>
    <w:rsid w:val="002D0E8E"/>
    <w:rsid w:val="002D2A69"/>
    <w:rsid w:val="002D3575"/>
    <w:rsid w:val="002D684F"/>
    <w:rsid w:val="002E166C"/>
    <w:rsid w:val="002E4EE3"/>
    <w:rsid w:val="002E6362"/>
    <w:rsid w:val="002E7324"/>
    <w:rsid w:val="002E7ACC"/>
    <w:rsid w:val="002E7E33"/>
    <w:rsid w:val="002F181D"/>
    <w:rsid w:val="002F6373"/>
    <w:rsid w:val="002F6AB3"/>
    <w:rsid w:val="00301189"/>
    <w:rsid w:val="0030390D"/>
    <w:rsid w:val="00312C73"/>
    <w:rsid w:val="00312F3E"/>
    <w:rsid w:val="00322451"/>
    <w:rsid w:val="00323696"/>
    <w:rsid w:val="00323E09"/>
    <w:rsid w:val="00324BAB"/>
    <w:rsid w:val="00327650"/>
    <w:rsid w:val="003276B1"/>
    <w:rsid w:val="00332009"/>
    <w:rsid w:val="00333611"/>
    <w:rsid w:val="00333932"/>
    <w:rsid w:val="0034372C"/>
    <w:rsid w:val="00346E39"/>
    <w:rsid w:val="00351691"/>
    <w:rsid w:val="003518AA"/>
    <w:rsid w:val="00352165"/>
    <w:rsid w:val="00353182"/>
    <w:rsid w:val="003565D9"/>
    <w:rsid w:val="0035699F"/>
    <w:rsid w:val="003602E1"/>
    <w:rsid w:val="00363D98"/>
    <w:rsid w:val="003665C7"/>
    <w:rsid w:val="0037026F"/>
    <w:rsid w:val="00371240"/>
    <w:rsid w:val="00371A39"/>
    <w:rsid w:val="00372C68"/>
    <w:rsid w:val="00374731"/>
    <w:rsid w:val="00377545"/>
    <w:rsid w:val="00377F03"/>
    <w:rsid w:val="00382895"/>
    <w:rsid w:val="003836FC"/>
    <w:rsid w:val="00384898"/>
    <w:rsid w:val="003919F9"/>
    <w:rsid w:val="003919FD"/>
    <w:rsid w:val="00393E9E"/>
    <w:rsid w:val="003970A2"/>
    <w:rsid w:val="00397785"/>
    <w:rsid w:val="0039780C"/>
    <w:rsid w:val="003A2248"/>
    <w:rsid w:val="003B12F8"/>
    <w:rsid w:val="003B5460"/>
    <w:rsid w:val="003B7CD2"/>
    <w:rsid w:val="003C0299"/>
    <w:rsid w:val="003C1185"/>
    <w:rsid w:val="003C38B5"/>
    <w:rsid w:val="003C52E0"/>
    <w:rsid w:val="003C5D99"/>
    <w:rsid w:val="003C62EC"/>
    <w:rsid w:val="003C6332"/>
    <w:rsid w:val="003C6994"/>
    <w:rsid w:val="003D18F6"/>
    <w:rsid w:val="003D5446"/>
    <w:rsid w:val="003E0216"/>
    <w:rsid w:val="003E04C5"/>
    <w:rsid w:val="003E2F59"/>
    <w:rsid w:val="003E4277"/>
    <w:rsid w:val="003E662C"/>
    <w:rsid w:val="003E7D19"/>
    <w:rsid w:val="003F03E6"/>
    <w:rsid w:val="003F0789"/>
    <w:rsid w:val="00401882"/>
    <w:rsid w:val="00401D2B"/>
    <w:rsid w:val="00401FA6"/>
    <w:rsid w:val="00403648"/>
    <w:rsid w:val="00406641"/>
    <w:rsid w:val="00407B5B"/>
    <w:rsid w:val="004100C8"/>
    <w:rsid w:val="00411DBD"/>
    <w:rsid w:val="00412ACE"/>
    <w:rsid w:val="004132CA"/>
    <w:rsid w:val="004132E4"/>
    <w:rsid w:val="0041468F"/>
    <w:rsid w:val="00414CBE"/>
    <w:rsid w:val="00415DB8"/>
    <w:rsid w:val="004307E7"/>
    <w:rsid w:val="00431249"/>
    <w:rsid w:val="00432948"/>
    <w:rsid w:val="00434C19"/>
    <w:rsid w:val="00435358"/>
    <w:rsid w:val="00437849"/>
    <w:rsid w:val="00442EE3"/>
    <w:rsid w:val="00446002"/>
    <w:rsid w:val="00446600"/>
    <w:rsid w:val="00450810"/>
    <w:rsid w:val="00463477"/>
    <w:rsid w:val="00467DBC"/>
    <w:rsid w:val="00470586"/>
    <w:rsid w:val="00471FF9"/>
    <w:rsid w:val="0047632D"/>
    <w:rsid w:val="00477144"/>
    <w:rsid w:val="00480123"/>
    <w:rsid w:val="0048153B"/>
    <w:rsid w:val="004836C0"/>
    <w:rsid w:val="00483FA1"/>
    <w:rsid w:val="00485B31"/>
    <w:rsid w:val="0049026D"/>
    <w:rsid w:val="00492A86"/>
    <w:rsid w:val="0049459F"/>
    <w:rsid w:val="00494CAC"/>
    <w:rsid w:val="0049745F"/>
    <w:rsid w:val="00497FAB"/>
    <w:rsid w:val="004A38DD"/>
    <w:rsid w:val="004A6F54"/>
    <w:rsid w:val="004B3D9E"/>
    <w:rsid w:val="004B4261"/>
    <w:rsid w:val="004B43AE"/>
    <w:rsid w:val="004B5216"/>
    <w:rsid w:val="004C30ED"/>
    <w:rsid w:val="004C36D3"/>
    <w:rsid w:val="004D2919"/>
    <w:rsid w:val="004D5675"/>
    <w:rsid w:val="004E0C54"/>
    <w:rsid w:val="004E10F9"/>
    <w:rsid w:val="004E146C"/>
    <w:rsid w:val="004E2D8B"/>
    <w:rsid w:val="004E3C25"/>
    <w:rsid w:val="004F010E"/>
    <w:rsid w:val="004F79EA"/>
    <w:rsid w:val="005009EC"/>
    <w:rsid w:val="0050149C"/>
    <w:rsid w:val="005018AC"/>
    <w:rsid w:val="005055FD"/>
    <w:rsid w:val="00507064"/>
    <w:rsid w:val="00507A64"/>
    <w:rsid w:val="0051064E"/>
    <w:rsid w:val="00516190"/>
    <w:rsid w:val="0052311A"/>
    <w:rsid w:val="00523639"/>
    <w:rsid w:val="005262AE"/>
    <w:rsid w:val="00531FE5"/>
    <w:rsid w:val="00532BAC"/>
    <w:rsid w:val="0053570E"/>
    <w:rsid w:val="00536498"/>
    <w:rsid w:val="00537DD7"/>
    <w:rsid w:val="00545C2D"/>
    <w:rsid w:val="00553592"/>
    <w:rsid w:val="00562662"/>
    <w:rsid w:val="00565077"/>
    <w:rsid w:val="00567E6C"/>
    <w:rsid w:val="00574433"/>
    <w:rsid w:val="00576344"/>
    <w:rsid w:val="00576AD1"/>
    <w:rsid w:val="005802E0"/>
    <w:rsid w:val="005819A2"/>
    <w:rsid w:val="00583C39"/>
    <w:rsid w:val="00590232"/>
    <w:rsid w:val="005909CF"/>
    <w:rsid w:val="00591E71"/>
    <w:rsid w:val="005925D1"/>
    <w:rsid w:val="005A0D41"/>
    <w:rsid w:val="005A73B4"/>
    <w:rsid w:val="005A7EFE"/>
    <w:rsid w:val="005B551F"/>
    <w:rsid w:val="005B5D25"/>
    <w:rsid w:val="005B75BF"/>
    <w:rsid w:val="005C03A7"/>
    <w:rsid w:val="005C1A1F"/>
    <w:rsid w:val="005C2088"/>
    <w:rsid w:val="005C71D9"/>
    <w:rsid w:val="005D021D"/>
    <w:rsid w:val="005D3AEC"/>
    <w:rsid w:val="005D7DB3"/>
    <w:rsid w:val="005E0883"/>
    <w:rsid w:val="005E2438"/>
    <w:rsid w:val="005E2914"/>
    <w:rsid w:val="005E6ABD"/>
    <w:rsid w:val="005E6E3D"/>
    <w:rsid w:val="005E77DE"/>
    <w:rsid w:val="005F258F"/>
    <w:rsid w:val="005F26A1"/>
    <w:rsid w:val="005F5A56"/>
    <w:rsid w:val="00600514"/>
    <w:rsid w:val="00605C81"/>
    <w:rsid w:val="0060652C"/>
    <w:rsid w:val="00607BF1"/>
    <w:rsid w:val="00610668"/>
    <w:rsid w:val="0061204B"/>
    <w:rsid w:val="00613854"/>
    <w:rsid w:val="00613C68"/>
    <w:rsid w:val="00627E19"/>
    <w:rsid w:val="00627FB7"/>
    <w:rsid w:val="00630D4D"/>
    <w:rsid w:val="00632A74"/>
    <w:rsid w:val="00644BC8"/>
    <w:rsid w:val="006524FE"/>
    <w:rsid w:val="00656E42"/>
    <w:rsid w:val="006572CA"/>
    <w:rsid w:val="006657E0"/>
    <w:rsid w:val="0066749A"/>
    <w:rsid w:val="0067039C"/>
    <w:rsid w:val="0067296F"/>
    <w:rsid w:val="006747D1"/>
    <w:rsid w:val="00674C79"/>
    <w:rsid w:val="006755B9"/>
    <w:rsid w:val="0067608A"/>
    <w:rsid w:val="00677E67"/>
    <w:rsid w:val="006808F6"/>
    <w:rsid w:val="0068369A"/>
    <w:rsid w:val="00683AD9"/>
    <w:rsid w:val="00685CDF"/>
    <w:rsid w:val="006929A4"/>
    <w:rsid w:val="00692BB6"/>
    <w:rsid w:val="00696753"/>
    <w:rsid w:val="00697B58"/>
    <w:rsid w:val="006A088D"/>
    <w:rsid w:val="006A4655"/>
    <w:rsid w:val="006A4F35"/>
    <w:rsid w:val="006A6051"/>
    <w:rsid w:val="006B030F"/>
    <w:rsid w:val="006B0683"/>
    <w:rsid w:val="006B1FD4"/>
    <w:rsid w:val="006B2B3C"/>
    <w:rsid w:val="006B32EC"/>
    <w:rsid w:val="006B6E76"/>
    <w:rsid w:val="006C1D81"/>
    <w:rsid w:val="006C6540"/>
    <w:rsid w:val="006C7038"/>
    <w:rsid w:val="006C703D"/>
    <w:rsid w:val="006C7F30"/>
    <w:rsid w:val="006D020B"/>
    <w:rsid w:val="006D17BD"/>
    <w:rsid w:val="006D4B94"/>
    <w:rsid w:val="006D5265"/>
    <w:rsid w:val="006E73EF"/>
    <w:rsid w:val="006E7D97"/>
    <w:rsid w:val="006F60F3"/>
    <w:rsid w:val="006F6580"/>
    <w:rsid w:val="006F6B2E"/>
    <w:rsid w:val="006F6C20"/>
    <w:rsid w:val="00702E0F"/>
    <w:rsid w:val="00705A2A"/>
    <w:rsid w:val="00714D4D"/>
    <w:rsid w:val="007323D6"/>
    <w:rsid w:val="00734E1E"/>
    <w:rsid w:val="00734E8E"/>
    <w:rsid w:val="00735784"/>
    <w:rsid w:val="00741A5E"/>
    <w:rsid w:val="00742D16"/>
    <w:rsid w:val="00745488"/>
    <w:rsid w:val="00745F97"/>
    <w:rsid w:val="00746A81"/>
    <w:rsid w:val="007541FB"/>
    <w:rsid w:val="00755566"/>
    <w:rsid w:val="0075696E"/>
    <w:rsid w:val="007577A2"/>
    <w:rsid w:val="007604BB"/>
    <w:rsid w:val="00771CA1"/>
    <w:rsid w:val="007727BE"/>
    <w:rsid w:val="007814D1"/>
    <w:rsid w:val="00785232"/>
    <w:rsid w:val="00787C91"/>
    <w:rsid w:val="00790D7C"/>
    <w:rsid w:val="00791A65"/>
    <w:rsid w:val="00792A64"/>
    <w:rsid w:val="00793286"/>
    <w:rsid w:val="007973BD"/>
    <w:rsid w:val="00797DA1"/>
    <w:rsid w:val="007A2088"/>
    <w:rsid w:val="007A21EB"/>
    <w:rsid w:val="007A277F"/>
    <w:rsid w:val="007B1A93"/>
    <w:rsid w:val="007C1923"/>
    <w:rsid w:val="007C1BBC"/>
    <w:rsid w:val="007C23EB"/>
    <w:rsid w:val="007C36C9"/>
    <w:rsid w:val="007D62A1"/>
    <w:rsid w:val="007D6401"/>
    <w:rsid w:val="007D7FBE"/>
    <w:rsid w:val="007E01E4"/>
    <w:rsid w:val="007E0797"/>
    <w:rsid w:val="007E368A"/>
    <w:rsid w:val="007E72FC"/>
    <w:rsid w:val="007E73C3"/>
    <w:rsid w:val="007F011C"/>
    <w:rsid w:val="007F3450"/>
    <w:rsid w:val="007F7107"/>
    <w:rsid w:val="00802069"/>
    <w:rsid w:val="008058FB"/>
    <w:rsid w:val="008069DE"/>
    <w:rsid w:val="008072C6"/>
    <w:rsid w:val="0081030F"/>
    <w:rsid w:val="008126A8"/>
    <w:rsid w:val="008165E9"/>
    <w:rsid w:val="0082087D"/>
    <w:rsid w:val="00820AFB"/>
    <w:rsid w:val="00823972"/>
    <w:rsid w:val="00826F9F"/>
    <w:rsid w:val="00827606"/>
    <w:rsid w:val="00830EF2"/>
    <w:rsid w:val="00831AC0"/>
    <w:rsid w:val="00832A67"/>
    <w:rsid w:val="00841F6F"/>
    <w:rsid w:val="00842933"/>
    <w:rsid w:val="00845C98"/>
    <w:rsid w:val="00847532"/>
    <w:rsid w:val="008534AA"/>
    <w:rsid w:val="0086082C"/>
    <w:rsid w:val="0086245D"/>
    <w:rsid w:val="00864ADC"/>
    <w:rsid w:val="00872F45"/>
    <w:rsid w:val="00880153"/>
    <w:rsid w:val="00880F97"/>
    <w:rsid w:val="0088133A"/>
    <w:rsid w:val="00884580"/>
    <w:rsid w:val="008857B6"/>
    <w:rsid w:val="00886D34"/>
    <w:rsid w:val="00887199"/>
    <w:rsid w:val="0089285E"/>
    <w:rsid w:val="0089436C"/>
    <w:rsid w:val="008A0CE1"/>
    <w:rsid w:val="008A57B7"/>
    <w:rsid w:val="008C0720"/>
    <w:rsid w:val="008C57A2"/>
    <w:rsid w:val="008D1F9C"/>
    <w:rsid w:val="008D365C"/>
    <w:rsid w:val="008D4BA6"/>
    <w:rsid w:val="008D6D7E"/>
    <w:rsid w:val="008E607C"/>
    <w:rsid w:val="008E64C1"/>
    <w:rsid w:val="008E66F3"/>
    <w:rsid w:val="008E6BCA"/>
    <w:rsid w:val="008E7107"/>
    <w:rsid w:val="008E78D9"/>
    <w:rsid w:val="008F017E"/>
    <w:rsid w:val="008F6002"/>
    <w:rsid w:val="00902300"/>
    <w:rsid w:val="00902F34"/>
    <w:rsid w:val="009030BF"/>
    <w:rsid w:val="00903FE2"/>
    <w:rsid w:val="0091032F"/>
    <w:rsid w:val="009114FC"/>
    <w:rsid w:val="009121A4"/>
    <w:rsid w:val="00914368"/>
    <w:rsid w:val="0091441E"/>
    <w:rsid w:val="00915A53"/>
    <w:rsid w:val="009169F6"/>
    <w:rsid w:val="009205A9"/>
    <w:rsid w:val="0092090F"/>
    <w:rsid w:val="00925BD0"/>
    <w:rsid w:val="00925FFE"/>
    <w:rsid w:val="00926A94"/>
    <w:rsid w:val="00931076"/>
    <w:rsid w:val="009345D9"/>
    <w:rsid w:val="00934B15"/>
    <w:rsid w:val="009428B8"/>
    <w:rsid w:val="00942B62"/>
    <w:rsid w:val="0094515C"/>
    <w:rsid w:val="009455C4"/>
    <w:rsid w:val="00945EF1"/>
    <w:rsid w:val="00951333"/>
    <w:rsid w:val="00956A0C"/>
    <w:rsid w:val="00956BD9"/>
    <w:rsid w:val="009609E2"/>
    <w:rsid w:val="00961D72"/>
    <w:rsid w:val="00962489"/>
    <w:rsid w:val="009627BD"/>
    <w:rsid w:val="00966A68"/>
    <w:rsid w:val="00967A7A"/>
    <w:rsid w:val="00973477"/>
    <w:rsid w:val="00980796"/>
    <w:rsid w:val="009807F4"/>
    <w:rsid w:val="00983792"/>
    <w:rsid w:val="00984AC7"/>
    <w:rsid w:val="00990C2C"/>
    <w:rsid w:val="00994A47"/>
    <w:rsid w:val="00995162"/>
    <w:rsid w:val="0099774D"/>
    <w:rsid w:val="00997B86"/>
    <w:rsid w:val="009A4B3B"/>
    <w:rsid w:val="009A4C3C"/>
    <w:rsid w:val="009A5679"/>
    <w:rsid w:val="009B11C8"/>
    <w:rsid w:val="009B12C4"/>
    <w:rsid w:val="009B1E06"/>
    <w:rsid w:val="009B3D3C"/>
    <w:rsid w:val="009B68B8"/>
    <w:rsid w:val="009D0389"/>
    <w:rsid w:val="009D2511"/>
    <w:rsid w:val="009D32B5"/>
    <w:rsid w:val="009D3940"/>
    <w:rsid w:val="009D4392"/>
    <w:rsid w:val="009E2F3B"/>
    <w:rsid w:val="009E554B"/>
    <w:rsid w:val="009E7639"/>
    <w:rsid w:val="009F0F3D"/>
    <w:rsid w:val="009F1958"/>
    <w:rsid w:val="009F2160"/>
    <w:rsid w:val="009F696D"/>
    <w:rsid w:val="009F6BC6"/>
    <w:rsid w:val="00A036A7"/>
    <w:rsid w:val="00A07C03"/>
    <w:rsid w:val="00A17328"/>
    <w:rsid w:val="00A21846"/>
    <w:rsid w:val="00A23A20"/>
    <w:rsid w:val="00A268B9"/>
    <w:rsid w:val="00A2703A"/>
    <w:rsid w:val="00A3236A"/>
    <w:rsid w:val="00A33DFF"/>
    <w:rsid w:val="00A35115"/>
    <w:rsid w:val="00A36AC6"/>
    <w:rsid w:val="00A36D9A"/>
    <w:rsid w:val="00A52D8B"/>
    <w:rsid w:val="00A554AB"/>
    <w:rsid w:val="00A5573F"/>
    <w:rsid w:val="00A55A9F"/>
    <w:rsid w:val="00A7293C"/>
    <w:rsid w:val="00A748C5"/>
    <w:rsid w:val="00A8153F"/>
    <w:rsid w:val="00A85DC6"/>
    <w:rsid w:val="00A86C4E"/>
    <w:rsid w:val="00A905FF"/>
    <w:rsid w:val="00A914B1"/>
    <w:rsid w:val="00A92B53"/>
    <w:rsid w:val="00A92BFA"/>
    <w:rsid w:val="00A9300B"/>
    <w:rsid w:val="00A93062"/>
    <w:rsid w:val="00A94FA6"/>
    <w:rsid w:val="00AA49A0"/>
    <w:rsid w:val="00AA6710"/>
    <w:rsid w:val="00AB0681"/>
    <w:rsid w:val="00AC0B91"/>
    <w:rsid w:val="00AC2AA1"/>
    <w:rsid w:val="00AC49BA"/>
    <w:rsid w:val="00AC7891"/>
    <w:rsid w:val="00AD1A4A"/>
    <w:rsid w:val="00AD520B"/>
    <w:rsid w:val="00AE0382"/>
    <w:rsid w:val="00AE15D4"/>
    <w:rsid w:val="00AE1BA6"/>
    <w:rsid w:val="00AE56D6"/>
    <w:rsid w:val="00AE6B34"/>
    <w:rsid w:val="00AE707D"/>
    <w:rsid w:val="00AF00F5"/>
    <w:rsid w:val="00AF2ABD"/>
    <w:rsid w:val="00AF52CB"/>
    <w:rsid w:val="00AF6270"/>
    <w:rsid w:val="00B01DFF"/>
    <w:rsid w:val="00B02F8C"/>
    <w:rsid w:val="00B0535F"/>
    <w:rsid w:val="00B1006B"/>
    <w:rsid w:val="00B10B8B"/>
    <w:rsid w:val="00B11070"/>
    <w:rsid w:val="00B12BA1"/>
    <w:rsid w:val="00B22108"/>
    <w:rsid w:val="00B241D2"/>
    <w:rsid w:val="00B262F8"/>
    <w:rsid w:val="00B26464"/>
    <w:rsid w:val="00B2695F"/>
    <w:rsid w:val="00B3238D"/>
    <w:rsid w:val="00B34A70"/>
    <w:rsid w:val="00B37AC6"/>
    <w:rsid w:val="00B41045"/>
    <w:rsid w:val="00B421DE"/>
    <w:rsid w:val="00B43C51"/>
    <w:rsid w:val="00B43E70"/>
    <w:rsid w:val="00B440AD"/>
    <w:rsid w:val="00B46C97"/>
    <w:rsid w:val="00B524BB"/>
    <w:rsid w:val="00B53E7E"/>
    <w:rsid w:val="00B6342E"/>
    <w:rsid w:val="00B6577A"/>
    <w:rsid w:val="00B66921"/>
    <w:rsid w:val="00B67A2E"/>
    <w:rsid w:val="00B7113F"/>
    <w:rsid w:val="00B7312A"/>
    <w:rsid w:val="00B73D9C"/>
    <w:rsid w:val="00B74D8B"/>
    <w:rsid w:val="00B87FC2"/>
    <w:rsid w:val="00B940BB"/>
    <w:rsid w:val="00B96D39"/>
    <w:rsid w:val="00BA29FD"/>
    <w:rsid w:val="00BA4C19"/>
    <w:rsid w:val="00BA73B6"/>
    <w:rsid w:val="00BA7D80"/>
    <w:rsid w:val="00BA7E27"/>
    <w:rsid w:val="00BB2603"/>
    <w:rsid w:val="00BB2C91"/>
    <w:rsid w:val="00BB4FCD"/>
    <w:rsid w:val="00BC3E46"/>
    <w:rsid w:val="00BC3F3A"/>
    <w:rsid w:val="00BC45BE"/>
    <w:rsid w:val="00BC4835"/>
    <w:rsid w:val="00BD02BC"/>
    <w:rsid w:val="00BD13EA"/>
    <w:rsid w:val="00BD23B6"/>
    <w:rsid w:val="00BD7B93"/>
    <w:rsid w:val="00BE0BC5"/>
    <w:rsid w:val="00BE1A5F"/>
    <w:rsid w:val="00BE3808"/>
    <w:rsid w:val="00BE5F8F"/>
    <w:rsid w:val="00BF0E05"/>
    <w:rsid w:val="00C003FC"/>
    <w:rsid w:val="00C026D8"/>
    <w:rsid w:val="00C062E9"/>
    <w:rsid w:val="00C07B64"/>
    <w:rsid w:val="00C108FF"/>
    <w:rsid w:val="00C13721"/>
    <w:rsid w:val="00C22167"/>
    <w:rsid w:val="00C23EE3"/>
    <w:rsid w:val="00C25000"/>
    <w:rsid w:val="00C250D9"/>
    <w:rsid w:val="00C25673"/>
    <w:rsid w:val="00C259BD"/>
    <w:rsid w:val="00C26241"/>
    <w:rsid w:val="00C3066D"/>
    <w:rsid w:val="00C37DE9"/>
    <w:rsid w:val="00C43856"/>
    <w:rsid w:val="00C50F14"/>
    <w:rsid w:val="00C543F4"/>
    <w:rsid w:val="00C5554C"/>
    <w:rsid w:val="00C6291C"/>
    <w:rsid w:val="00C633CB"/>
    <w:rsid w:val="00C63715"/>
    <w:rsid w:val="00C67614"/>
    <w:rsid w:val="00C67F80"/>
    <w:rsid w:val="00C72C03"/>
    <w:rsid w:val="00C74F75"/>
    <w:rsid w:val="00C75374"/>
    <w:rsid w:val="00C75D4A"/>
    <w:rsid w:val="00C81D4A"/>
    <w:rsid w:val="00C8762C"/>
    <w:rsid w:val="00C90FEE"/>
    <w:rsid w:val="00C92AAA"/>
    <w:rsid w:val="00C943A3"/>
    <w:rsid w:val="00C965F3"/>
    <w:rsid w:val="00C97560"/>
    <w:rsid w:val="00CA00F9"/>
    <w:rsid w:val="00CA1E26"/>
    <w:rsid w:val="00CA226D"/>
    <w:rsid w:val="00CA2961"/>
    <w:rsid w:val="00CA2A29"/>
    <w:rsid w:val="00CA3DF0"/>
    <w:rsid w:val="00CA4D72"/>
    <w:rsid w:val="00CB17B3"/>
    <w:rsid w:val="00CB50D7"/>
    <w:rsid w:val="00CB5224"/>
    <w:rsid w:val="00CB7177"/>
    <w:rsid w:val="00CB7A6C"/>
    <w:rsid w:val="00CC1998"/>
    <w:rsid w:val="00CC4946"/>
    <w:rsid w:val="00CC4C66"/>
    <w:rsid w:val="00CC5252"/>
    <w:rsid w:val="00CC56EA"/>
    <w:rsid w:val="00CC71CD"/>
    <w:rsid w:val="00CC7FBC"/>
    <w:rsid w:val="00CD1D08"/>
    <w:rsid w:val="00CD2047"/>
    <w:rsid w:val="00CD47CC"/>
    <w:rsid w:val="00CD66F5"/>
    <w:rsid w:val="00CD6891"/>
    <w:rsid w:val="00CE0856"/>
    <w:rsid w:val="00CE3ECA"/>
    <w:rsid w:val="00CF0EE7"/>
    <w:rsid w:val="00CF0F20"/>
    <w:rsid w:val="00CF255B"/>
    <w:rsid w:val="00CF307E"/>
    <w:rsid w:val="00CF3B4A"/>
    <w:rsid w:val="00CF409F"/>
    <w:rsid w:val="00CF618D"/>
    <w:rsid w:val="00D011D7"/>
    <w:rsid w:val="00D04960"/>
    <w:rsid w:val="00D14DED"/>
    <w:rsid w:val="00D227FC"/>
    <w:rsid w:val="00D230E7"/>
    <w:rsid w:val="00D2521C"/>
    <w:rsid w:val="00D270A4"/>
    <w:rsid w:val="00D27CA8"/>
    <w:rsid w:val="00D31FE9"/>
    <w:rsid w:val="00D34E1B"/>
    <w:rsid w:val="00D35721"/>
    <w:rsid w:val="00D35E0F"/>
    <w:rsid w:val="00D36D4D"/>
    <w:rsid w:val="00D376BA"/>
    <w:rsid w:val="00D37982"/>
    <w:rsid w:val="00D452F0"/>
    <w:rsid w:val="00D5568A"/>
    <w:rsid w:val="00D62856"/>
    <w:rsid w:val="00D62F2B"/>
    <w:rsid w:val="00D63D73"/>
    <w:rsid w:val="00D64452"/>
    <w:rsid w:val="00D66E1E"/>
    <w:rsid w:val="00D67434"/>
    <w:rsid w:val="00D72485"/>
    <w:rsid w:val="00D75722"/>
    <w:rsid w:val="00D80CF5"/>
    <w:rsid w:val="00D83AB5"/>
    <w:rsid w:val="00D8737A"/>
    <w:rsid w:val="00D92E52"/>
    <w:rsid w:val="00D9488A"/>
    <w:rsid w:val="00DA42CD"/>
    <w:rsid w:val="00DA51CE"/>
    <w:rsid w:val="00DA5BBA"/>
    <w:rsid w:val="00DB44BB"/>
    <w:rsid w:val="00DB631D"/>
    <w:rsid w:val="00DB67C9"/>
    <w:rsid w:val="00DC0C95"/>
    <w:rsid w:val="00DC3B47"/>
    <w:rsid w:val="00DC4D7C"/>
    <w:rsid w:val="00DD6580"/>
    <w:rsid w:val="00DE45AD"/>
    <w:rsid w:val="00E01025"/>
    <w:rsid w:val="00E0339C"/>
    <w:rsid w:val="00E0476F"/>
    <w:rsid w:val="00E05304"/>
    <w:rsid w:val="00E11A57"/>
    <w:rsid w:val="00E165EC"/>
    <w:rsid w:val="00E17C72"/>
    <w:rsid w:val="00E2037E"/>
    <w:rsid w:val="00E21FC6"/>
    <w:rsid w:val="00E25124"/>
    <w:rsid w:val="00E25520"/>
    <w:rsid w:val="00E25A8C"/>
    <w:rsid w:val="00E276FF"/>
    <w:rsid w:val="00E333C4"/>
    <w:rsid w:val="00E33A74"/>
    <w:rsid w:val="00E41B96"/>
    <w:rsid w:val="00E41C13"/>
    <w:rsid w:val="00E431A9"/>
    <w:rsid w:val="00E5228B"/>
    <w:rsid w:val="00E5372E"/>
    <w:rsid w:val="00E54806"/>
    <w:rsid w:val="00E55CD9"/>
    <w:rsid w:val="00E56670"/>
    <w:rsid w:val="00E57D22"/>
    <w:rsid w:val="00E60B8F"/>
    <w:rsid w:val="00E669E2"/>
    <w:rsid w:val="00E7144F"/>
    <w:rsid w:val="00E75A8D"/>
    <w:rsid w:val="00E76135"/>
    <w:rsid w:val="00E80A60"/>
    <w:rsid w:val="00E82F4F"/>
    <w:rsid w:val="00E86450"/>
    <w:rsid w:val="00E946AF"/>
    <w:rsid w:val="00EA19AD"/>
    <w:rsid w:val="00EA1A2B"/>
    <w:rsid w:val="00EA2DA5"/>
    <w:rsid w:val="00EA35E8"/>
    <w:rsid w:val="00EA67D1"/>
    <w:rsid w:val="00EA7723"/>
    <w:rsid w:val="00EB482A"/>
    <w:rsid w:val="00EC095F"/>
    <w:rsid w:val="00EC2844"/>
    <w:rsid w:val="00ED0CAE"/>
    <w:rsid w:val="00ED10E5"/>
    <w:rsid w:val="00ED434F"/>
    <w:rsid w:val="00ED71E0"/>
    <w:rsid w:val="00EE3D29"/>
    <w:rsid w:val="00EE5E5A"/>
    <w:rsid w:val="00EF10E3"/>
    <w:rsid w:val="00EF173C"/>
    <w:rsid w:val="00EF6750"/>
    <w:rsid w:val="00EF6C6C"/>
    <w:rsid w:val="00F053DC"/>
    <w:rsid w:val="00F056FC"/>
    <w:rsid w:val="00F057CA"/>
    <w:rsid w:val="00F064C4"/>
    <w:rsid w:val="00F077D6"/>
    <w:rsid w:val="00F10476"/>
    <w:rsid w:val="00F135D8"/>
    <w:rsid w:val="00F14206"/>
    <w:rsid w:val="00F167EA"/>
    <w:rsid w:val="00F21EAB"/>
    <w:rsid w:val="00F310A5"/>
    <w:rsid w:val="00F31299"/>
    <w:rsid w:val="00F3534A"/>
    <w:rsid w:val="00F45ED0"/>
    <w:rsid w:val="00F50859"/>
    <w:rsid w:val="00F56831"/>
    <w:rsid w:val="00F61F54"/>
    <w:rsid w:val="00F672CF"/>
    <w:rsid w:val="00F70397"/>
    <w:rsid w:val="00F717FB"/>
    <w:rsid w:val="00F75A79"/>
    <w:rsid w:val="00F77370"/>
    <w:rsid w:val="00F827FD"/>
    <w:rsid w:val="00F82A5E"/>
    <w:rsid w:val="00F85325"/>
    <w:rsid w:val="00F879DD"/>
    <w:rsid w:val="00F932C3"/>
    <w:rsid w:val="00F947F1"/>
    <w:rsid w:val="00F95662"/>
    <w:rsid w:val="00FB2BB7"/>
    <w:rsid w:val="00FB6651"/>
    <w:rsid w:val="00FC1938"/>
    <w:rsid w:val="00FC3ADA"/>
    <w:rsid w:val="00FC6772"/>
    <w:rsid w:val="00FD22B1"/>
    <w:rsid w:val="00FD2386"/>
    <w:rsid w:val="00FD5758"/>
    <w:rsid w:val="00FD578D"/>
    <w:rsid w:val="00FE4F6E"/>
    <w:rsid w:val="00FE59FE"/>
    <w:rsid w:val="00FF14FD"/>
    <w:rsid w:val="00FF1A0B"/>
    <w:rsid w:val="00FF1F0E"/>
    <w:rsid w:val="00FF3E07"/>
    <w:rsid w:val="00FF5A5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81D4A"/>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Default">
    <w:name w:val="Default"/>
    <w:rsid w:val="005C2088"/>
    <w:pPr>
      <w:autoSpaceDE w:val="0"/>
      <w:autoSpaceDN w:val="0"/>
      <w:adjustRightInd w:val="0"/>
    </w:pPr>
    <w:rPr>
      <w:color w:val="000000"/>
      <w:sz w:val="24"/>
      <w:szCs w:val="24"/>
    </w:rPr>
  </w:style>
  <w:style w:type="paragraph" w:customStyle="1" w:styleId="subsection">
    <w:name w:val="subsection"/>
    <w:basedOn w:val="Normal"/>
    <w:rsid w:val="0025090C"/>
    <w:pPr>
      <w:spacing w:before="100" w:beforeAutospacing="1" w:after="100" w:afterAutospacing="1"/>
    </w:pPr>
    <w:rPr>
      <w:sz w:val="24"/>
    </w:rPr>
  </w:style>
  <w:style w:type="character" w:styleId="Hyperlink">
    <w:name w:val="Hyperlink"/>
    <w:basedOn w:val="DefaultParagraphFont"/>
    <w:uiPriority w:val="99"/>
    <w:unhideWhenUsed/>
    <w:rsid w:val="0025090C"/>
    <w:rPr>
      <w:color w:val="0000FF"/>
      <w:u w:val="single"/>
    </w:rPr>
  </w:style>
  <w:style w:type="paragraph" w:customStyle="1" w:styleId="paragraph">
    <w:name w:val="paragraph"/>
    <w:basedOn w:val="Normal"/>
    <w:rsid w:val="0025090C"/>
    <w:pPr>
      <w:spacing w:before="100" w:beforeAutospacing="1" w:after="100" w:afterAutospacing="1"/>
    </w:pPr>
    <w:rPr>
      <w:sz w:val="24"/>
    </w:rPr>
  </w:style>
  <w:style w:type="paragraph" w:customStyle="1" w:styleId="subsection2">
    <w:name w:val="subsection2"/>
    <w:basedOn w:val="Normal"/>
    <w:rsid w:val="0025090C"/>
    <w:pPr>
      <w:spacing w:before="100" w:beforeAutospacing="1" w:after="100" w:afterAutospacing="1"/>
    </w:pPr>
    <w:rPr>
      <w:sz w:val="24"/>
    </w:rPr>
  </w:style>
  <w:style w:type="character" w:customStyle="1" w:styleId="BodyTextChar">
    <w:name w:val="Body Text Char"/>
    <w:basedOn w:val="DefaultParagraphFont"/>
    <w:link w:val="BodyText"/>
    <w:rsid w:val="0094515C"/>
    <w:rPr>
      <w:sz w:val="26"/>
    </w:rPr>
  </w:style>
  <w:style w:type="character" w:customStyle="1" w:styleId="QuoteChar">
    <w:name w:val="Quote Char"/>
    <w:basedOn w:val="DefaultParagraphFont"/>
    <w:link w:val="Quote"/>
    <w:rsid w:val="0094515C"/>
    <w:rPr>
      <w:sz w:val="24"/>
    </w:rPr>
  </w:style>
  <w:style w:type="paragraph" w:customStyle="1" w:styleId="CM67">
    <w:name w:val="CM67"/>
    <w:basedOn w:val="Default"/>
    <w:next w:val="Default"/>
    <w:uiPriority w:val="99"/>
    <w:rsid w:val="004E0C54"/>
    <w:rPr>
      <w:color w:val="auto"/>
    </w:rPr>
  </w:style>
  <w:style w:type="paragraph" w:customStyle="1" w:styleId="CM71">
    <w:name w:val="CM71"/>
    <w:basedOn w:val="Default"/>
    <w:next w:val="Default"/>
    <w:uiPriority w:val="99"/>
    <w:rsid w:val="004E0C54"/>
    <w:rPr>
      <w:color w:val="auto"/>
    </w:rPr>
  </w:style>
  <w:style w:type="paragraph" w:customStyle="1" w:styleId="CM66">
    <w:name w:val="CM66"/>
    <w:basedOn w:val="Default"/>
    <w:next w:val="Default"/>
    <w:uiPriority w:val="99"/>
    <w:rsid w:val="004E0C54"/>
    <w:rPr>
      <w:color w:val="auto"/>
    </w:rPr>
  </w:style>
  <w:style w:type="paragraph" w:styleId="EndnoteText">
    <w:name w:val="endnote text"/>
    <w:basedOn w:val="Normal"/>
    <w:link w:val="EndnoteTextChar"/>
    <w:rsid w:val="00841F6F"/>
    <w:rPr>
      <w:sz w:val="20"/>
      <w:szCs w:val="20"/>
    </w:rPr>
  </w:style>
  <w:style w:type="character" w:customStyle="1" w:styleId="EndnoteTextChar">
    <w:name w:val="Endnote Text Char"/>
    <w:basedOn w:val="DefaultParagraphFont"/>
    <w:link w:val="EndnoteText"/>
    <w:rsid w:val="00841F6F"/>
  </w:style>
  <w:style w:type="character" w:styleId="EndnoteReference">
    <w:name w:val="endnote reference"/>
    <w:basedOn w:val="DefaultParagraphFont"/>
    <w:rsid w:val="00841F6F"/>
    <w:rPr>
      <w:vertAlign w:val="superscript"/>
    </w:rPr>
  </w:style>
  <w:style w:type="character" w:customStyle="1" w:styleId="ReferenceChar">
    <w:name w:val="Reference Char"/>
    <w:basedOn w:val="DefaultParagraphFont"/>
    <w:link w:val="Reference"/>
    <w:rsid w:val="00EF6750"/>
    <w:rPr>
      <w:sz w:val="26"/>
    </w:rPr>
  </w:style>
  <w:style w:type="paragraph" w:styleId="NormalWeb">
    <w:name w:val="Normal (Web)"/>
    <w:basedOn w:val="Normal"/>
    <w:rsid w:val="007A2088"/>
    <w:rPr>
      <w:sz w:val="24"/>
    </w:rPr>
  </w:style>
  <w:style w:type="paragraph" w:customStyle="1" w:styleId="ListBullet20">
    <w:name w:val="List Bullet2"/>
    <w:basedOn w:val="ListBullet"/>
    <w:rsid w:val="00CF307E"/>
    <w:pPr>
      <w:numPr>
        <w:numId w:val="49"/>
      </w:numPr>
      <w:spacing w:line="320" w:lineRule="exact"/>
    </w:pPr>
  </w:style>
  <w:style w:type="paragraph" w:styleId="CommentSubject">
    <w:name w:val="annotation subject"/>
    <w:basedOn w:val="CommentText"/>
    <w:next w:val="CommentText"/>
    <w:link w:val="CommentSubjectChar"/>
    <w:rsid w:val="0091441E"/>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91441E"/>
    <w:rPr>
      <w:szCs w:val="24"/>
    </w:rPr>
  </w:style>
  <w:style w:type="character" w:customStyle="1" w:styleId="CommentSubjectChar">
    <w:name w:val="Comment Subject Char"/>
    <w:basedOn w:val="CommentTextChar"/>
    <w:link w:val="CommentSubject"/>
    <w:rsid w:val="0091441E"/>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81D4A"/>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customStyle="1" w:styleId="Default">
    <w:name w:val="Default"/>
    <w:rsid w:val="005C2088"/>
    <w:pPr>
      <w:autoSpaceDE w:val="0"/>
      <w:autoSpaceDN w:val="0"/>
      <w:adjustRightInd w:val="0"/>
    </w:pPr>
    <w:rPr>
      <w:color w:val="000000"/>
      <w:sz w:val="24"/>
      <w:szCs w:val="24"/>
    </w:rPr>
  </w:style>
  <w:style w:type="paragraph" w:customStyle="1" w:styleId="subsection">
    <w:name w:val="subsection"/>
    <w:basedOn w:val="Normal"/>
    <w:rsid w:val="0025090C"/>
    <w:pPr>
      <w:spacing w:before="100" w:beforeAutospacing="1" w:after="100" w:afterAutospacing="1"/>
    </w:pPr>
    <w:rPr>
      <w:sz w:val="24"/>
    </w:rPr>
  </w:style>
  <w:style w:type="character" w:styleId="Hyperlink">
    <w:name w:val="Hyperlink"/>
    <w:basedOn w:val="DefaultParagraphFont"/>
    <w:uiPriority w:val="99"/>
    <w:unhideWhenUsed/>
    <w:rsid w:val="0025090C"/>
    <w:rPr>
      <w:color w:val="0000FF"/>
      <w:u w:val="single"/>
    </w:rPr>
  </w:style>
  <w:style w:type="paragraph" w:customStyle="1" w:styleId="paragraph">
    <w:name w:val="paragraph"/>
    <w:basedOn w:val="Normal"/>
    <w:rsid w:val="0025090C"/>
    <w:pPr>
      <w:spacing w:before="100" w:beforeAutospacing="1" w:after="100" w:afterAutospacing="1"/>
    </w:pPr>
    <w:rPr>
      <w:sz w:val="24"/>
    </w:rPr>
  </w:style>
  <w:style w:type="paragraph" w:customStyle="1" w:styleId="subsection2">
    <w:name w:val="subsection2"/>
    <w:basedOn w:val="Normal"/>
    <w:rsid w:val="0025090C"/>
    <w:pPr>
      <w:spacing w:before="100" w:beforeAutospacing="1" w:after="100" w:afterAutospacing="1"/>
    </w:pPr>
    <w:rPr>
      <w:sz w:val="24"/>
    </w:rPr>
  </w:style>
  <w:style w:type="character" w:customStyle="1" w:styleId="BodyTextChar">
    <w:name w:val="Body Text Char"/>
    <w:basedOn w:val="DefaultParagraphFont"/>
    <w:link w:val="BodyText"/>
    <w:rsid w:val="0094515C"/>
    <w:rPr>
      <w:sz w:val="26"/>
    </w:rPr>
  </w:style>
  <w:style w:type="character" w:customStyle="1" w:styleId="QuoteChar">
    <w:name w:val="Quote Char"/>
    <w:basedOn w:val="DefaultParagraphFont"/>
    <w:link w:val="Quote"/>
    <w:rsid w:val="0094515C"/>
    <w:rPr>
      <w:sz w:val="24"/>
    </w:rPr>
  </w:style>
  <w:style w:type="paragraph" w:customStyle="1" w:styleId="CM67">
    <w:name w:val="CM67"/>
    <w:basedOn w:val="Default"/>
    <w:next w:val="Default"/>
    <w:uiPriority w:val="99"/>
    <w:rsid w:val="004E0C54"/>
    <w:rPr>
      <w:color w:val="auto"/>
    </w:rPr>
  </w:style>
  <w:style w:type="paragraph" w:customStyle="1" w:styleId="CM71">
    <w:name w:val="CM71"/>
    <w:basedOn w:val="Default"/>
    <w:next w:val="Default"/>
    <w:uiPriority w:val="99"/>
    <w:rsid w:val="004E0C54"/>
    <w:rPr>
      <w:color w:val="auto"/>
    </w:rPr>
  </w:style>
  <w:style w:type="paragraph" w:customStyle="1" w:styleId="CM66">
    <w:name w:val="CM66"/>
    <w:basedOn w:val="Default"/>
    <w:next w:val="Default"/>
    <w:uiPriority w:val="99"/>
    <w:rsid w:val="004E0C54"/>
    <w:rPr>
      <w:color w:val="auto"/>
    </w:rPr>
  </w:style>
  <w:style w:type="paragraph" w:styleId="EndnoteText">
    <w:name w:val="endnote text"/>
    <w:basedOn w:val="Normal"/>
    <w:link w:val="EndnoteTextChar"/>
    <w:rsid w:val="00841F6F"/>
    <w:rPr>
      <w:sz w:val="20"/>
      <w:szCs w:val="20"/>
    </w:rPr>
  </w:style>
  <w:style w:type="character" w:customStyle="1" w:styleId="EndnoteTextChar">
    <w:name w:val="Endnote Text Char"/>
    <w:basedOn w:val="DefaultParagraphFont"/>
    <w:link w:val="EndnoteText"/>
    <w:rsid w:val="00841F6F"/>
  </w:style>
  <w:style w:type="character" w:styleId="EndnoteReference">
    <w:name w:val="endnote reference"/>
    <w:basedOn w:val="DefaultParagraphFont"/>
    <w:rsid w:val="00841F6F"/>
    <w:rPr>
      <w:vertAlign w:val="superscript"/>
    </w:rPr>
  </w:style>
  <w:style w:type="character" w:customStyle="1" w:styleId="ReferenceChar">
    <w:name w:val="Reference Char"/>
    <w:basedOn w:val="DefaultParagraphFont"/>
    <w:link w:val="Reference"/>
    <w:rsid w:val="00EF6750"/>
    <w:rPr>
      <w:sz w:val="26"/>
    </w:rPr>
  </w:style>
  <w:style w:type="paragraph" w:styleId="NormalWeb">
    <w:name w:val="Normal (Web)"/>
    <w:basedOn w:val="Normal"/>
    <w:rsid w:val="007A2088"/>
    <w:rPr>
      <w:sz w:val="24"/>
    </w:rPr>
  </w:style>
  <w:style w:type="paragraph" w:customStyle="1" w:styleId="ListBullet20">
    <w:name w:val="List Bullet2"/>
    <w:basedOn w:val="ListBullet"/>
    <w:rsid w:val="00CF307E"/>
    <w:pPr>
      <w:numPr>
        <w:numId w:val="49"/>
      </w:numPr>
      <w:spacing w:line="320" w:lineRule="exact"/>
    </w:pPr>
  </w:style>
  <w:style w:type="paragraph" w:styleId="CommentSubject">
    <w:name w:val="annotation subject"/>
    <w:basedOn w:val="CommentText"/>
    <w:next w:val="CommentText"/>
    <w:link w:val="CommentSubjectChar"/>
    <w:rsid w:val="0091441E"/>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91441E"/>
    <w:rPr>
      <w:szCs w:val="24"/>
    </w:rPr>
  </w:style>
  <w:style w:type="character" w:customStyle="1" w:styleId="CommentSubjectChar">
    <w:name w:val="Comment Subject Char"/>
    <w:basedOn w:val="CommentTextChar"/>
    <w:link w:val="CommentSubject"/>
    <w:rsid w:val="0091441E"/>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96957">
      <w:bodyDiv w:val="1"/>
      <w:marLeft w:val="0"/>
      <w:marRight w:val="0"/>
      <w:marTop w:val="0"/>
      <w:marBottom w:val="0"/>
      <w:divBdr>
        <w:top w:val="none" w:sz="0" w:space="0" w:color="auto"/>
        <w:left w:val="none" w:sz="0" w:space="0" w:color="auto"/>
        <w:bottom w:val="none" w:sz="0" w:space="0" w:color="auto"/>
        <w:right w:val="none" w:sz="0" w:space="0" w:color="auto"/>
      </w:divBdr>
    </w:div>
    <w:div w:id="516234967">
      <w:bodyDiv w:val="1"/>
      <w:marLeft w:val="0"/>
      <w:marRight w:val="0"/>
      <w:marTop w:val="0"/>
      <w:marBottom w:val="0"/>
      <w:divBdr>
        <w:top w:val="none" w:sz="0" w:space="0" w:color="auto"/>
        <w:left w:val="none" w:sz="0" w:space="0" w:color="auto"/>
        <w:bottom w:val="none" w:sz="0" w:space="0" w:color="auto"/>
        <w:right w:val="none" w:sz="0" w:space="0" w:color="auto"/>
      </w:divBdr>
    </w:div>
    <w:div w:id="551894016">
      <w:bodyDiv w:val="1"/>
      <w:marLeft w:val="0"/>
      <w:marRight w:val="0"/>
      <w:marTop w:val="0"/>
      <w:marBottom w:val="0"/>
      <w:divBdr>
        <w:top w:val="none" w:sz="0" w:space="0" w:color="auto"/>
        <w:left w:val="none" w:sz="0" w:space="0" w:color="auto"/>
        <w:bottom w:val="none" w:sz="0" w:space="0" w:color="auto"/>
        <w:right w:val="none" w:sz="0" w:space="0" w:color="auto"/>
      </w:divBdr>
      <w:divsChild>
        <w:div w:id="887491759">
          <w:marLeft w:val="0"/>
          <w:marRight w:val="0"/>
          <w:marTop w:val="0"/>
          <w:marBottom w:val="0"/>
          <w:divBdr>
            <w:top w:val="none" w:sz="0" w:space="0" w:color="auto"/>
            <w:left w:val="none" w:sz="0" w:space="0" w:color="auto"/>
            <w:bottom w:val="none" w:sz="0" w:space="0" w:color="auto"/>
            <w:right w:val="none" w:sz="0" w:space="0" w:color="auto"/>
          </w:divBdr>
          <w:divsChild>
            <w:div w:id="174256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530599">
      <w:bodyDiv w:val="1"/>
      <w:marLeft w:val="0"/>
      <w:marRight w:val="0"/>
      <w:marTop w:val="0"/>
      <w:marBottom w:val="0"/>
      <w:divBdr>
        <w:top w:val="none" w:sz="0" w:space="0" w:color="auto"/>
        <w:left w:val="none" w:sz="0" w:space="0" w:color="auto"/>
        <w:bottom w:val="none" w:sz="0" w:space="0" w:color="auto"/>
        <w:right w:val="none" w:sz="0" w:space="0" w:color="auto"/>
      </w:divBdr>
      <w:divsChild>
        <w:div w:id="2080011363">
          <w:marLeft w:val="0"/>
          <w:marRight w:val="0"/>
          <w:marTop w:val="0"/>
          <w:marBottom w:val="0"/>
          <w:divBdr>
            <w:top w:val="none" w:sz="0" w:space="0" w:color="auto"/>
            <w:left w:val="none" w:sz="0" w:space="0" w:color="auto"/>
            <w:bottom w:val="none" w:sz="0" w:space="0" w:color="auto"/>
            <w:right w:val="none" w:sz="0" w:space="0" w:color="auto"/>
          </w:divBdr>
          <w:divsChild>
            <w:div w:id="211570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430921">
      <w:bodyDiv w:val="1"/>
      <w:marLeft w:val="0"/>
      <w:marRight w:val="0"/>
      <w:marTop w:val="0"/>
      <w:marBottom w:val="0"/>
      <w:divBdr>
        <w:top w:val="none" w:sz="0" w:space="0" w:color="auto"/>
        <w:left w:val="none" w:sz="0" w:space="0" w:color="auto"/>
        <w:bottom w:val="none" w:sz="0" w:space="0" w:color="auto"/>
        <w:right w:val="none" w:sz="0" w:space="0" w:color="auto"/>
      </w:divBdr>
      <w:divsChild>
        <w:div w:id="1664578853">
          <w:marLeft w:val="0"/>
          <w:marRight w:val="0"/>
          <w:marTop w:val="0"/>
          <w:marBottom w:val="0"/>
          <w:divBdr>
            <w:top w:val="none" w:sz="0" w:space="0" w:color="auto"/>
            <w:left w:val="none" w:sz="0" w:space="0" w:color="auto"/>
            <w:bottom w:val="none" w:sz="0" w:space="0" w:color="auto"/>
            <w:right w:val="none" w:sz="0" w:space="0" w:color="auto"/>
          </w:divBdr>
          <w:divsChild>
            <w:div w:id="1509709916">
              <w:marLeft w:val="0"/>
              <w:marRight w:val="0"/>
              <w:marTop w:val="0"/>
              <w:marBottom w:val="0"/>
              <w:divBdr>
                <w:top w:val="none" w:sz="0" w:space="0" w:color="auto"/>
                <w:left w:val="none" w:sz="0" w:space="0" w:color="auto"/>
                <w:bottom w:val="none" w:sz="0" w:space="0" w:color="auto"/>
                <w:right w:val="none" w:sz="0" w:space="0" w:color="auto"/>
              </w:divBdr>
              <w:divsChild>
                <w:div w:id="1623877331">
                  <w:marLeft w:val="0"/>
                  <w:marRight w:val="0"/>
                  <w:marTop w:val="0"/>
                  <w:marBottom w:val="0"/>
                  <w:divBdr>
                    <w:top w:val="single" w:sz="6" w:space="0" w:color="BFCCD5"/>
                    <w:left w:val="none" w:sz="0" w:space="0" w:color="auto"/>
                    <w:bottom w:val="none" w:sz="0" w:space="0" w:color="auto"/>
                    <w:right w:val="none" w:sz="0" w:space="0" w:color="auto"/>
                  </w:divBdr>
                  <w:divsChild>
                    <w:div w:id="1509061199">
                      <w:marLeft w:val="300"/>
                      <w:marRight w:val="300"/>
                      <w:marTop w:val="0"/>
                      <w:marBottom w:val="0"/>
                      <w:divBdr>
                        <w:top w:val="none" w:sz="0" w:space="0" w:color="auto"/>
                        <w:left w:val="none" w:sz="0" w:space="0" w:color="auto"/>
                        <w:bottom w:val="none" w:sz="0" w:space="0" w:color="auto"/>
                        <w:right w:val="none" w:sz="0" w:space="0" w:color="auto"/>
                      </w:divBdr>
                      <w:divsChild>
                        <w:div w:id="1294017697">
                          <w:marLeft w:val="120"/>
                          <w:marRight w:val="0"/>
                          <w:marTop w:val="0"/>
                          <w:marBottom w:val="0"/>
                          <w:divBdr>
                            <w:top w:val="none" w:sz="0" w:space="0" w:color="auto"/>
                            <w:left w:val="none" w:sz="0" w:space="0" w:color="auto"/>
                            <w:bottom w:val="none" w:sz="0" w:space="0" w:color="auto"/>
                            <w:right w:val="none" w:sz="0" w:space="0" w:color="auto"/>
                          </w:divBdr>
                          <w:divsChild>
                            <w:div w:id="1332247739">
                              <w:marLeft w:val="0"/>
                              <w:marRight w:val="0"/>
                              <w:marTop w:val="0"/>
                              <w:marBottom w:val="0"/>
                              <w:divBdr>
                                <w:top w:val="none" w:sz="0" w:space="0" w:color="auto"/>
                                <w:left w:val="none" w:sz="0" w:space="0" w:color="auto"/>
                                <w:bottom w:val="none" w:sz="0" w:space="0" w:color="auto"/>
                                <w:right w:val="none" w:sz="0" w:space="0" w:color="auto"/>
                              </w:divBdr>
                              <w:divsChild>
                                <w:div w:id="1176770677">
                                  <w:marLeft w:val="0"/>
                                  <w:marRight w:val="0"/>
                                  <w:marTop w:val="0"/>
                                  <w:marBottom w:val="0"/>
                                  <w:divBdr>
                                    <w:top w:val="none" w:sz="0" w:space="0" w:color="auto"/>
                                    <w:left w:val="none" w:sz="0" w:space="0" w:color="auto"/>
                                    <w:bottom w:val="none" w:sz="0" w:space="0" w:color="auto"/>
                                    <w:right w:val="none" w:sz="0" w:space="0" w:color="auto"/>
                                  </w:divBdr>
                                  <w:divsChild>
                                    <w:div w:id="1190338807">
                                      <w:marLeft w:val="-225"/>
                                      <w:marRight w:val="-195"/>
                                      <w:marTop w:val="0"/>
                                      <w:marBottom w:val="75"/>
                                      <w:divBdr>
                                        <w:top w:val="none" w:sz="0" w:space="0" w:color="auto"/>
                                        <w:left w:val="none" w:sz="0" w:space="0" w:color="auto"/>
                                        <w:bottom w:val="none" w:sz="0" w:space="0" w:color="auto"/>
                                        <w:right w:val="none" w:sz="0" w:space="0" w:color="auto"/>
                                      </w:divBdr>
                                      <w:divsChild>
                                        <w:div w:id="156167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2831318">
      <w:bodyDiv w:val="1"/>
      <w:marLeft w:val="0"/>
      <w:marRight w:val="0"/>
      <w:marTop w:val="0"/>
      <w:marBottom w:val="0"/>
      <w:divBdr>
        <w:top w:val="none" w:sz="0" w:space="0" w:color="auto"/>
        <w:left w:val="none" w:sz="0" w:space="0" w:color="auto"/>
        <w:bottom w:val="none" w:sz="0" w:space="0" w:color="auto"/>
        <w:right w:val="none" w:sz="0" w:space="0" w:color="auto"/>
      </w:divBdr>
    </w:div>
    <w:div w:id="1042940397">
      <w:bodyDiv w:val="1"/>
      <w:marLeft w:val="0"/>
      <w:marRight w:val="0"/>
      <w:marTop w:val="0"/>
      <w:marBottom w:val="0"/>
      <w:divBdr>
        <w:top w:val="none" w:sz="0" w:space="0" w:color="auto"/>
        <w:left w:val="none" w:sz="0" w:space="0" w:color="auto"/>
        <w:bottom w:val="none" w:sz="0" w:space="0" w:color="auto"/>
        <w:right w:val="none" w:sz="0" w:space="0" w:color="auto"/>
      </w:divBdr>
    </w:div>
    <w:div w:id="1291353776">
      <w:bodyDiv w:val="1"/>
      <w:marLeft w:val="0"/>
      <w:marRight w:val="0"/>
      <w:marTop w:val="0"/>
      <w:marBottom w:val="0"/>
      <w:divBdr>
        <w:top w:val="none" w:sz="0" w:space="0" w:color="auto"/>
        <w:left w:val="none" w:sz="0" w:space="0" w:color="auto"/>
        <w:bottom w:val="none" w:sz="0" w:space="0" w:color="auto"/>
        <w:right w:val="none" w:sz="0" w:space="0" w:color="auto"/>
      </w:divBdr>
    </w:div>
    <w:div w:id="1591430572">
      <w:bodyDiv w:val="1"/>
      <w:marLeft w:val="0"/>
      <w:marRight w:val="0"/>
      <w:marTop w:val="0"/>
      <w:marBottom w:val="0"/>
      <w:divBdr>
        <w:top w:val="none" w:sz="0" w:space="0" w:color="auto"/>
        <w:left w:val="none" w:sz="0" w:space="0" w:color="auto"/>
        <w:bottom w:val="none" w:sz="0" w:space="0" w:color="auto"/>
        <w:right w:val="none" w:sz="0" w:space="0" w:color="auto"/>
      </w:divBdr>
    </w:div>
    <w:div w:id="1674527308">
      <w:bodyDiv w:val="1"/>
      <w:marLeft w:val="0"/>
      <w:marRight w:val="0"/>
      <w:marTop w:val="0"/>
      <w:marBottom w:val="0"/>
      <w:divBdr>
        <w:top w:val="none" w:sz="0" w:space="0" w:color="auto"/>
        <w:left w:val="none" w:sz="0" w:space="0" w:color="auto"/>
        <w:bottom w:val="none" w:sz="0" w:space="0" w:color="auto"/>
        <w:right w:val="none" w:sz="0" w:space="0" w:color="auto"/>
      </w:divBdr>
      <w:divsChild>
        <w:div w:id="250234844">
          <w:marLeft w:val="0"/>
          <w:marRight w:val="0"/>
          <w:marTop w:val="0"/>
          <w:marBottom w:val="0"/>
          <w:divBdr>
            <w:top w:val="none" w:sz="0" w:space="0" w:color="auto"/>
            <w:left w:val="none" w:sz="0" w:space="0" w:color="auto"/>
            <w:bottom w:val="none" w:sz="0" w:space="0" w:color="auto"/>
            <w:right w:val="none" w:sz="0" w:space="0" w:color="auto"/>
          </w:divBdr>
          <w:divsChild>
            <w:div w:id="586697647">
              <w:marLeft w:val="0"/>
              <w:marRight w:val="0"/>
              <w:marTop w:val="0"/>
              <w:marBottom w:val="0"/>
              <w:divBdr>
                <w:top w:val="none" w:sz="0" w:space="0" w:color="auto"/>
                <w:left w:val="none" w:sz="0" w:space="0" w:color="auto"/>
                <w:bottom w:val="none" w:sz="0" w:space="0" w:color="auto"/>
                <w:right w:val="none" w:sz="0" w:space="0" w:color="auto"/>
              </w:divBdr>
              <w:divsChild>
                <w:div w:id="1858349350">
                  <w:marLeft w:val="0"/>
                  <w:marRight w:val="0"/>
                  <w:marTop w:val="0"/>
                  <w:marBottom w:val="0"/>
                  <w:divBdr>
                    <w:top w:val="none" w:sz="0" w:space="0" w:color="auto"/>
                    <w:left w:val="none" w:sz="0" w:space="0" w:color="auto"/>
                    <w:bottom w:val="none" w:sz="0" w:space="0" w:color="auto"/>
                    <w:right w:val="none" w:sz="0" w:space="0" w:color="auto"/>
                  </w:divBdr>
                  <w:divsChild>
                    <w:div w:id="1324695769">
                      <w:marLeft w:val="0"/>
                      <w:marRight w:val="0"/>
                      <w:marTop w:val="0"/>
                      <w:marBottom w:val="0"/>
                      <w:divBdr>
                        <w:top w:val="none" w:sz="0" w:space="0" w:color="auto"/>
                        <w:left w:val="none" w:sz="0" w:space="0" w:color="auto"/>
                        <w:bottom w:val="none" w:sz="0" w:space="0" w:color="auto"/>
                        <w:right w:val="none" w:sz="0" w:space="0" w:color="auto"/>
                      </w:divBdr>
                      <w:divsChild>
                        <w:div w:id="2090610799">
                          <w:marLeft w:val="0"/>
                          <w:marRight w:val="0"/>
                          <w:marTop w:val="0"/>
                          <w:marBottom w:val="0"/>
                          <w:divBdr>
                            <w:top w:val="none" w:sz="0" w:space="0" w:color="auto"/>
                            <w:left w:val="none" w:sz="0" w:space="0" w:color="auto"/>
                            <w:bottom w:val="none" w:sz="0" w:space="0" w:color="auto"/>
                            <w:right w:val="none" w:sz="0" w:space="0" w:color="auto"/>
                          </w:divBdr>
                          <w:divsChild>
                            <w:div w:id="2091272650">
                              <w:marLeft w:val="0"/>
                              <w:marRight w:val="0"/>
                              <w:marTop w:val="0"/>
                              <w:marBottom w:val="0"/>
                              <w:divBdr>
                                <w:top w:val="none" w:sz="0" w:space="0" w:color="auto"/>
                                <w:left w:val="none" w:sz="0" w:space="0" w:color="auto"/>
                                <w:bottom w:val="none" w:sz="0" w:space="0" w:color="auto"/>
                                <w:right w:val="none" w:sz="0" w:space="0" w:color="auto"/>
                              </w:divBdr>
                              <w:divsChild>
                                <w:div w:id="11417325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8462995">
      <w:bodyDiv w:val="1"/>
      <w:marLeft w:val="0"/>
      <w:marRight w:val="0"/>
      <w:marTop w:val="0"/>
      <w:marBottom w:val="0"/>
      <w:divBdr>
        <w:top w:val="none" w:sz="0" w:space="0" w:color="auto"/>
        <w:left w:val="none" w:sz="0" w:space="0" w:color="auto"/>
        <w:bottom w:val="none" w:sz="0" w:space="0" w:color="auto"/>
        <w:right w:val="none" w:sz="0" w:space="0" w:color="auto"/>
      </w:divBdr>
      <w:divsChild>
        <w:div w:id="863329336">
          <w:marLeft w:val="0"/>
          <w:marRight w:val="0"/>
          <w:marTop w:val="0"/>
          <w:marBottom w:val="0"/>
          <w:divBdr>
            <w:top w:val="none" w:sz="0" w:space="0" w:color="auto"/>
            <w:left w:val="single" w:sz="12" w:space="0" w:color="003399"/>
            <w:bottom w:val="none" w:sz="0" w:space="0" w:color="auto"/>
            <w:right w:val="single" w:sz="12" w:space="0" w:color="003399"/>
          </w:divBdr>
          <w:divsChild>
            <w:div w:id="1543664442">
              <w:marLeft w:val="0"/>
              <w:marRight w:val="0"/>
              <w:marTop w:val="45"/>
              <w:marBottom w:val="0"/>
              <w:divBdr>
                <w:top w:val="none" w:sz="0" w:space="0" w:color="auto"/>
                <w:left w:val="none" w:sz="0" w:space="0" w:color="auto"/>
                <w:bottom w:val="none" w:sz="0" w:space="0" w:color="auto"/>
                <w:right w:val="none" w:sz="0" w:space="0" w:color="auto"/>
              </w:divBdr>
              <w:divsChild>
                <w:div w:id="1960333900">
                  <w:marLeft w:val="0"/>
                  <w:marRight w:val="0"/>
                  <w:marTop w:val="0"/>
                  <w:marBottom w:val="0"/>
                  <w:divBdr>
                    <w:top w:val="none" w:sz="0" w:space="0" w:color="auto"/>
                    <w:left w:val="none" w:sz="0" w:space="0" w:color="auto"/>
                    <w:bottom w:val="none" w:sz="0" w:space="0" w:color="auto"/>
                    <w:right w:val="none" w:sz="0" w:space="0" w:color="auto"/>
                  </w:divBdr>
                  <w:divsChild>
                    <w:div w:id="1598322649">
                      <w:marLeft w:val="0"/>
                      <w:marRight w:val="0"/>
                      <w:marTop w:val="0"/>
                      <w:marBottom w:val="0"/>
                      <w:divBdr>
                        <w:top w:val="none" w:sz="0" w:space="0" w:color="auto"/>
                        <w:left w:val="none" w:sz="0" w:space="0" w:color="auto"/>
                        <w:bottom w:val="none" w:sz="0" w:space="0" w:color="auto"/>
                        <w:right w:val="none" w:sz="0" w:space="0" w:color="auto"/>
                      </w:divBdr>
                      <w:divsChild>
                        <w:div w:id="1643192778">
                          <w:marLeft w:val="120"/>
                          <w:marRight w:val="120"/>
                          <w:marTop w:val="0"/>
                          <w:marBottom w:val="120"/>
                          <w:divBdr>
                            <w:top w:val="none" w:sz="0" w:space="0" w:color="auto"/>
                            <w:left w:val="none" w:sz="0" w:space="0" w:color="auto"/>
                            <w:bottom w:val="none" w:sz="0" w:space="0" w:color="auto"/>
                            <w:right w:val="none" w:sz="0" w:space="0" w:color="auto"/>
                          </w:divBdr>
                          <w:divsChild>
                            <w:div w:id="1122532203">
                              <w:marLeft w:val="300"/>
                              <w:marRight w:val="300"/>
                              <w:marTop w:val="0"/>
                              <w:marBottom w:val="0"/>
                              <w:divBdr>
                                <w:top w:val="none" w:sz="0" w:space="0" w:color="auto"/>
                                <w:left w:val="none" w:sz="0" w:space="0" w:color="auto"/>
                                <w:bottom w:val="none" w:sz="0" w:space="0" w:color="auto"/>
                                <w:right w:val="none" w:sz="0" w:space="0" w:color="auto"/>
                              </w:divBdr>
                              <w:divsChild>
                                <w:div w:id="1372613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14313109">
      <w:bodyDiv w:val="1"/>
      <w:marLeft w:val="0"/>
      <w:marRight w:val="0"/>
      <w:marTop w:val="0"/>
      <w:marBottom w:val="0"/>
      <w:divBdr>
        <w:top w:val="none" w:sz="0" w:space="0" w:color="auto"/>
        <w:left w:val="none" w:sz="0" w:space="0" w:color="auto"/>
        <w:bottom w:val="none" w:sz="0" w:space="0" w:color="auto"/>
        <w:right w:val="none" w:sz="0" w:space="0" w:color="auto"/>
      </w:divBdr>
      <w:divsChild>
        <w:div w:id="135343383">
          <w:marLeft w:val="2925"/>
          <w:marRight w:val="0"/>
          <w:marTop w:val="0"/>
          <w:marBottom w:val="0"/>
          <w:divBdr>
            <w:top w:val="none" w:sz="0" w:space="0" w:color="auto"/>
            <w:left w:val="none" w:sz="0" w:space="0" w:color="auto"/>
            <w:bottom w:val="none" w:sz="0" w:space="0" w:color="auto"/>
            <w:right w:val="none" w:sz="0" w:space="0" w:color="auto"/>
          </w:divBdr>
          <w:divsChild>
            <w:div w:id="2112893382">
              <w:marLeft w:val="0"/>
              <w:marRight w:val="0"/>
              <w:marTop w:val="0"/>
              <w:marBottom w:val="0"/>
              <w:divBdr>
                <w:top w:val="none" w:sz="0" w:space="0" w:color="auto"/>
                <w:left w:val="none" w:sz="0" w:space="0" w:color="auto"/>
                <w:bottom w:val="none" w:sz="0" w:space="0" w:color="auto"/>
                <w:right w:val="none" w:sz="0" w:space="0" w:color="auto"/>
              </w:divBdr>
              <w:divsChild>
                <w:div w:id="2025351902">
                  <w:marLeft w:val="0"/>
                  <w:marRight w:val="0"/>
                  <w:marTop w:val="0"/>
                  <w:marBottom w:val="0"/>
                  <w:divBdr>
                    <w:top w:val="none" w:sz="0" w:space="0" w:color="auto"/>
                    <w:left w:val="none" w:sz="0" w:space="0" w:color="auto"/>
                    <w:bottom w:val="none" w:sz="0" w:space="0" w:color="auto"/>
                    <w:right w:val="none" w:sz="0" w:space="0" w:color="auto"/>
                  </w:divBdr>
                  <w:divsChild>
                    <w:div w:id="1789348338">
                      <w:marLeft w:val="0"/>
                      <w:marRight w:val="0"/>
                      <w:marTop w:val="0"/>
                      <w:marBottom w:val="150"/>
                      <w:divBdr>
                        <w:top w:val="single" w:sz="12" w:space="15" w:color="EFFAE2"/>
                        <w:left w:val="single" w:sz="12" w:space="15" w:color="EFFAE2"/>
                        <w:bottom w:val="single" w:sz="12" w:space="15" w:color="EFFAE2"/>
                        <w:right w:val="single" w:sz="12" w:space="15" w:color="EFFAE2"/>
                      </w:divBdr>
                    </w:div>
                  </w:divsChild>
                </w:div>
              </w:divsChild>
            </w:div>
          </w:divsChild>
        </w:div>
      </w:divsChild>
    </w:div>
    <w:div w:id="2036538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D48A87-48D4-4C7F-8269-F787EA4E9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3</TotalTime>
  <Pages>19</Pages>
  <Words>8014</Words>
  <Characters>44204</Characters>
  <Application>Microsoft Office Word</Application>
  <DocSecurity>0</DocSecurity>
  <Lines>368</Lines>
  <Paragraphs>104</Paragraphs>
  <ScaleCrop>false</ScaleCrop>
  <HeadingPairs>
    <vt:vector size="2" baseType="variant">
      <vt:variant>
        <vt:lpstr>Title</vt:lpstr>
      </vt:variant>
      <vt:variant>
        <vt:i4>1</vt:i4>
      </vt:variant>
    </vt:vector>
  </HeadingPairs>
  <TitlesOfParts>
    <vt:vector size="1" baseType="lpstr">
      <vt:lpstr>Specific concerns about patent access</vt:lpstr>
    </vt:vector>
  </TitlesOfParts>
  <Company>Productivity Commission</Company>
  <LinksUpToDate>false</LinksUpToDate>
  <CharactersWithSpaces>52114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Specific concerns about patent access</dc:title>
  <dc:subject>Compulsory licensing of patents</dc:subject>
  <dc:creator>Productivity Commission</dc:creator>
  <dc:description>5.</dc:description>
  <cp:lastModifiedBy>Goss, Yvette</cp:lastModifiedBy>
  <cp:revision>5</cp:revision>
  <cp:lastPrinted>2012-12-05T05:31:00Z</cp:lastPrinted>
  <dcterms:created xsi:type="dcterms:W3CDTF">2012-12-05T01:15:00Z</dcterms:created>
  <dcterms:modified xsi:type="dcterms:W3CDTF">2012-12-05T05:31:00Z</dcterms:modified>
</cp:coreProperties>
</file>