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8B0A92" w14:textId="6F3F2C86" w:rsidR="00B71B19" w:rsidRDefault="007517D0" w:rsidP="007517D0">
      <w:pPr>
        <w:pStyle w:val="Heading1"/>
        <w:spacing w:before="0"/>
      </w:pPr>
      <w:bookmarkStart w:id="0" w:name="ChapterNumber"/>
      <w:bookmarkStart w:id="1" w:name="_GoBack"/>
      <w:bookmarkEnd w:id="1"/>
      <w:r>
        <w:t>7</w:t>
      </w:r>
      <w:bookmarkEnd w:id="0"/>
      <w:r>
        <w:tab/>
      </w:r>
      <w:bookmarkStart w:id="2" w:name="ChapterTitle"/>
      <w:r>
        <w:t>Crown use and acquisition</w:t>
      </w:r>
      <w:bookmarkEnd w:id="2"/>
    </w:p>
    <w:p w14:paraId="562149FF" w14:textId="2EFAC919" w:rsidR="00B71B19" w:rsidRDefault="00B71B19" w:rsidP="00B71B19">
      <w:pPr>
        <w:pStyle w:val="BoxSpace"/>
        <w:ind w:left="907" w:hanging="907"/>
      </w:pPr>
    </w:p>
    <w:tbl>
      <w:tblPr>
        <w:tblW w:w="8767"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67"/>
      </w:tblGrid>
      <w:tr w:rsidR="00B71B19" w14:paraId="3B275A16" w14:textId="77777777" w:rsidTr="00432E41">
        <w:tc>
          <w:tcPr>
            <w:tcW w:w="8767" w:type="dxa"/>
            <w:tcBorders>
              <w:top w:val="single" w:sz="6" w:space="0" w:color="auto"/>
              <w:bottom w:val="nil"/>
            </w:tcBorders>
          </w:tcPr>
          <w:p w14:paraId="56209600" w14:textId="77777777" w:rsidR="00B71B19" w:rsidRDefault="00B71B19" w:rsidP="00F60AB5">
            <w:pPr>
              <w:pStyle w:val="BoxTitle"/>
            </w:pPr>
            <w:r>
              <w:t>Key points</w:t>
            </w:r>
          </w:p>
        </w:tc>
      </w:tr>
      <w:tr w:rsidR="00B71B19" w14:paraId="5DA0E5CC" w14:textId="77777777" w:rsidTr="00432E41">
        <w:tc>
          <w:tcPr>
            <w:tcW w:w="8767" w:type="dxa"/>
          </w:tcPr>
          <w:p w14:paraId="6FB7E0E5" w14:textId="3A7C741C" w:rsidR="00B71B19" w:rsidRDefault="00B71B19" w:rsidP="00F60AB5">
            <w:pPr>
              <w:pStyle w:val="BoxListBullet"/>
            </w:pPr>
            <w:r>
              <w:t>Crown use and acquisition provisions allow governments to access patents without the owner’s authorisation. Crown use has rarely been invoked and Crown acquisition powers have never been used</w:t>
            </w:r>
            <w:r w:rsidR="00A73F85">
              <w:t xml:space="preserve"> to the Commission’s knowledge</w:t>
            </w:r>
            <w:r>
              <w:t>.</w:t>
            </w:r>
          </w:p>
          <w:p w14:paraId="7C3BA866" w14:textId="4EBBBA12" w:rsidR="00B71B19" w:rsidRDefault="00B71B19" w:rsidP="00F60AB5">
            <w:pPr>
              <w:pStyle w:val="BoxListBullet"/>
            </w:pPr>
            <w:r>
              <w:t>Governments will generally find Crown use to be a less costly and time-consuming option than compulsory licensing. For example, governments do not have to apply to the Federal Court.</w:t>
            </w:r>
          </w:p>
          <w:p w14:paraId="17B850F6" w14:textId="132D4F34" w:rsidR="00B71B19" w:rsidRDefault="00B71B19" w:rsidP="00F60AB5">
            <w:pPr>
              <w:pStyle w:val="BoxListBullet"/>
            </w:pPr>
            <w:r>
              <w:t>Crown use can be applied to healthcare-related patents, given governments</w:t>
            </w:r>
            <w:r w:rsidR="00A73F85">
              <w:t xml:space="preserve">’ </w:t>
            </w:r>
            <w:r>
              <w:t>major r</w:t>
            </w:r>
            <w:r w:rsidR="00155A9A">
              <w:t xml:space="preserve">esponsibility for </w:t>
            </w:r>
            <w:r>
              <w:t>healthcare</w:t>
            </w:r>
            <w:r w:rsidR="00155A9A">
              <w:t xml:space="preserve"> provision</w:t>
            </w:r>
            <w:r>
              <w:t>. However, inquiry participants were uncertain about</w:t>
            </w:r>
            <w:r w:rsidR="00982030">
              <w:t xml:space="preserve"> whether</w:t>
            </w:r>
            <w:r w:rsidR="00A73F85">
              <w:t>:</w:t>
            </w:r>
          </w:p>
          <w:p w14:paraId="1506A33E" w14:textId="4AF524F2" w:rsidR="00B71B19" w:rsidRDefault="00B71B19" w:rsidP="00F60AB5">
            <w:pPr>
              <w:pStyle w:val="BoxListBullet2"/>
            </w:pPr>
            <w:r>
              <w:t xml:space="preserve">Crown use </w:t>
            </w:r>
            <w:r w:rsidR="00A73F85">
              <w:t>can be utilised by non-government healthcare providers</w:t>
            </w:r>
            <w:r w:rsidR="00725F1F">
              <w:t>,</w:t>
            </w:r>
            <w:r w:rsidR="00A73F85">
              <w:t xml:space="preserve"> given that it </w:t>
            </w:r>
            <w:r>
              <w:t>can only be used ‘for the services of’ a government</w:t>
            </w:r>
          </w:p>
          <w:p w14:paraId="6000D2F6" w14:textId="311DF6C5" w:rsidR="00982030" w:rsidRDefault="00A73F85" w:rsidP="00F60AB5">
            <w:pPr>
              <w:pStyle w:val="BoxListBullet2"/>
            </w:pPr>
            <w:r>
              <w:t xml:space="preserve">Crown use can be utilised </w:t>
            </w:r>
            <w:r w:rsidR="00982030">
              <w:t xml:space="preserve">by State Governments </w:t>
            </w:r>
            <w:r w:rsidR="00A00146">
              <w:t>for services outside the state</w:t>
            </w:r>
          </w:p>
          <w:p w14:paraId="3AB14C01" w14:textId="02EE3803" w:rsidR="00B71B19" w:rsidRDefault="00982030" w:rsidP="00982030">
            <w:pPr>
              <w:pStyle w:val="BoxListBullet2"/>
            </w:pPr>
            <w:r>
              <w:t>S</w:t>
            </w:r>
            <w:r w:rsidR="00B71B19">
              <w:t xml:space="preserve">tate </w:t>
            </w:r>
            <w:r>
              <w:t xml:space="preserve">Governments </w:t>
            </w:r>
            <w:r w:rsidR="00B71B19">
              <w:t xml:space="preserve">have to invoke Crown use individually, rather than coordinate their actions. </w:t>
            </w:r>
          </w:p>
          <w:p w14:paraId="08892650" w14:textId="40D58491" w:rsidR="00B71B19" w:rsidRDefault="00B71B19" w:rsidP="00725F1F">
            <w:pPr>
              <w:pStyle w:val="BoxListBullet"/>
            </w:pPr>
            <w:r>
              <w:t xml:space="preserve">To reduce such uncertainty, the </w:t>
            </w:r>
            <w:r w:rsidRPr="000E4D92">
              <w:rPr>
                <w:i/>
              </w:rPr>
              <w:t xml:space="preserve">Patents Act </w:t>
            </w:r>
            <w:r w:rsidR="000E4D92" w:rsidRPr="000E4D92">
              <w:rPr>
                <w:i/>
              </w:rPr>
              <w:t>1990</w:t>
            </w:r>
            <w:r w:rsidR="000E4D92">
              <w:t xml:space="preserve"> (Cwlth) </w:t>
            </w:r>
            <w:r>
              <w:t>should be amended so that it is clear that Crown use can be invoked for the provision of a service that t</w:t>
            </w:r>
            <w:r w:rsidRPr="00A3561D">
              <w:t xml:space="preserve">he </w:t>
            </w:r>
            <w:r>
              <w:t xml:space="preserve">Australian, State or Territory Governments have </w:t>
            </w:r>
            <w:r w:rsidR="000D0586">
              <w:t>primary</w:t>
            </w:r>
            <w:r>
              <w:t xml:space="preserve"> </w:t>
            </w:r>
            <w:r w:rsidR="000D0586">
              <w:t>responsibility</w:t>
            </w:r>
            <w:r>
              <w:t xml:space="preserve"> </w:t>
            </w:r>
            <w:r w:rsidR="000D0586">
              <w:t xml:space="preserve">for </w:t>
            </w:r>
            <w:r>
              <w:t>provi</w:t>
            </w:r>
            <w:r w:rsidR="00155A9A">
              <w:t>ding</w:t>
            </w:r>
            <w:r w:rsidR="000D0586">
              <w:t xml:space="preserve"> </w:t>
            </w:r>
            <w:r>
              <w:t>or funding.</w:t>
            </w:r>
          </w:p>
          <w:p w14:paraId="108F72DA" w14:textId="00A1ACCF" w:rsidR="00B71B19" w:rsidRDefault="00B71B19" w:rsidP="00F60AB5">
            <w:pPr>
              <w:pStyle w:val="BoxListBullet"/>
            </w:pPr>
            <w:r>
              <w:t>The transparency and accountability of Crown use should be strengthened by requiring (except where it would delay the response to an emergency):</w:t>
            </w:r>
          </w:p>
          <w:p w14:paraId="6A35D9FA" w14:textId="7E55CD1D" w:rsidR="00B71B19" w:rsidRDefault="00B71B19" w:rsidP="00F60AB5">
            <w:pPr>
              <w:pStyle w:val="BoxListBullet2"/>
            </w:pPr>
            <w:r>
              <w:t>governments to first attempt to negotiate use of a patented invention</w:t>
            </w:r>
          </w:p>
          <w:p w14:paraId="2EF84249" w14:textId="1CD3A461" w:rsidR="00B71B19" w:rsidRDefault="00B71B19" w:rsidP="00F60AB5">
            <w:pPr>
              <w:pStyle w:val="BoxListBullet2"/>
            </w:pPr>
            <w:r>
              <w:t>a Minister to approve instances of Crown use, and that the patentee be given a statement of reasons no less than 14 days before such use occurs</w:t>
            </w:r>
          </w:p>
          <w:p w14:paraId="0513A4AB" w14:textId="2FA91812" w:rsidR="00B71B19" w:rsidRDefault="00B71B19" w:rsidP="0032581E">
            <w:pPr>
              <w:pStyle w:val="BoxListBullet2"/>
            </w:pPr>
            <w:r w:rsidRPr="005C303C">
              <w:t>just and reasonable</w:t>
            </w:r>
            <w:r>
              <w:t xml:space="preserve"> compensation to be paid to the patentee, </w:t>
            </w:r>
            <w:r w:rsidR="0032581E">
              <w:t>on the same basis as for compulsory licences</w:t>
            </w:r>
            <w:r>
              <w:t>.</w:t>
            </w:r>
          </w:p>
        </w:tc>
      </w:tr>
      <w:tr w:rsidR="00B71B19" w14:paraId="15B36BA1" w14:textId="77777777" w:rsidTr="00432E41">
        <w:trPr>
          <w:cantSplit/>
        </w:trPr>
        <w:tc>
          <w:tcPr>
            <w:tcW w:w="8767" w:type="dxa"/>
            <w:tcBorders>
              <w:top w:val="nil"/>
              <w:left w:val="single" w:sz="6" w:space="0" w:color="auto"/>
              <w:bottom w:val="single" w:sz="6" w:space="0" w:color="auto"/>
              <w:right w:val="single" w:sz="6" w:space="0" w:color="auto"/>
            </w:tcBorders>
          </w:tcPr>
          <w:p w14:paraId="009CAD5D" w14:textId="77777777" w:rsidR="00B71B19" w:rsidRDefault="00B71B19" w:rsidP="00F60AB5">
            <w:pPr>
              <w:pStyle w:val="Box"/>
              <w:spacing w:before="0" w:line="120" w:lineRule="exact"/>
            </w:pPr>
          </w:p>
        </w:tc>
      </w:tr>
      <w:tr w:rsidR="00B71B19" w:rsidRPr="000863A5" w14:paraId="466BCC41" w14:textId="77777777" w:rsidTr="00432E41">
        <w:tc>
          <w:tcPr>
            <w:tcW w:w="8767" w:type="dxa"/>
            <w:tcBorders>
              <w:top w:val="nil"/>
              <w:left w:val="nil"/>
              <w:bottom w:val="nil"/>
              <w:right w:val="nil"/>
            </w:tcBorders>
          </w:tcPr>
          <w:p w14:paraId="1F34C4BA" w14:textId="66019C58" w:rsidR="00B71B19" w:rsidRPr="000863A5" w:rsidRDefault="00B71B19" w:rsidP="00F60AB5">
            <w:pPr>
              <w:pStyle w:val="Box"/>
              <w:keepNext w:val="0"/>
              <w:spacing w:before="60" w:after="60" w:line="80" w:lineRule="exact"/>
              <w:rPr>
                <w:b/>
                <w:sz w:val="14"/>
              </w:rPr>
            </w:pPr>
          </w:p>
        </w:tc>
      </w:tr>
    </w:tbl>
    <w:p w14:paraId="3087B00B" w14:textId="36FCEE07" w:rsidR="00B71B19" w:rsidRPr="00891648" w:rsidRDefault="00B71B19" w:rsidP="00B71B19">
      <w:pPr>
        <w:pStyle w:val="BodyText"/>
      </w:pPr>
      <w:r>
        <w:t>The terms of reference for this inquiry ask the Commission to consider recommending alternative mechanisms to compulsory licensing. The Crown u</w:t>
      </w:r>
      <w:r w:rsidR="001633B6">
        <w:t>se and acquisition provisions — </w:t>
      </w:r>
      <w:r>
        <w:t xml:space="preserve">set out in ss. 161–170 of the </w:t>
      </w:r>
      <w:r w:rsidRPr="00247126">
        <w:rPr>
          <w:i/>
        </w:rPr>
        <w:t>Patents Act 1990</w:t>
      </w:r>
      <w:r w:rsidR="001633B6">
        <w:t xml:space="preserve"> (Cwlth)</w:t>
      </w:r>
      <w:r w:rsidR="00432E41">
        <w:t xml:space="preserve"> (Patents Act)</w:t>
      </w:r>
      <w:r w:rsidR="001633B6">
        <w:t> — </w:t>
      </w:r>
      <w:r>
        <w:t xml:space="preserve">can be considered to be such alternatives. This chapter examines the functioning of the provisions, and their interaction and potential overlap with compulsory licensing. Reforms are proposed to clarify when Crown use can be utilised, and to strengthen the requirements for transparency and accountability . </w:t>
      </w:r>
    </w:p>
    <w:p w14:paraId="607970BC" w14:textId="3D5B733F" w:rsidR="00B71B19" w:rsidRDefault="007517D0" w:rsidP="00B71B19">
      <w:pPr>
        <w:pStyle w:val="Heading2"/>
      </w:pPr>
      <w:r>
        <w:lastRenderedPageBreak/>
        <w:t>7.</w:t>
      </w:r>
      <w:r>
        <w:rPr>
          <w:noProof/>
        </w:rPr>
        <w:t>1</w:t>
      </w:r>
      <w:r w:rsidR="00B71B19">
        <w:tab/>
        <w:t>Current arrangements</w:t>
      </w:r>
    </w:p>
    <w:p w14:paraId="2DE6B4DD" w14:textId="77777777" w:rsidR="00B71B19" w:rsidRPr="00493939" w:rsidRDefault="00B71B19" w:rsidP="00B71B19">
      <w:pPr>
        <w:pStyle w:val="BodyText"/>
      </w:pPr>
      <w:r w:rsidRPr="00E4684D">
        <w:t xml:space="preserve">The Crown use </w:t>
      </w:r>
      <w:r>
        <w:t xml:space="preserve">and acquisition provisions </w:t>
      </w:r>
      <w:r w:rsidRPr="00E4684D">
        <w:t xml:space="preserve">provide for the Commonwealth or a State Government, or a person or organisation authorised by the Commonwealth or a State, to use a patent with protection from legal action for patent infringement. </w:t>
      </w:r>
      <w:r>
        <w:t xml:space="preserve">The </w:t>
      </w:r>
      <w:r w:rsidRPr="0019007E">
        <w:t xml:space="preserve">legislation </w:t>
      </w:r>
      <w:r>
        <w:t xml:space="preserve">allows for these parties to </w:t>
      </w:r>
      <w:r w:rsidRPr="0019007E">
        <w:t xml:space="preserve">compulsorily acquire </w:t>
      </w:r>
      <w:r>
        <w:t>a patent (s. </w:t>
      </w:r>
      <w:r w:rsidRPr="0019007E">
        <w:t>171)</w:t>
      </w:r>
      <w:r>
        <w:t>,</w:t>
      </w:r>
      <w:r w:rsidRPr="0019007E">
        <w:t xml:space="preserve"> </w:t>
      </w:r>
      <w:r>
        <w:t xml:space="preserve">have one </w:t>
      </w:r>
      <w:r w:rsidRPr="0019007E">
        <w:t>assign</w:t>
      </w:r>
      <w:r>
        <w:t>ed to them (s. </w:t>
      </w:r>
      <w:r w:rsidRPr="0019007E">
        <w:t>172)</w:t>
      </w:r>
      <w:r>
        <w:t>,</w:t>
      </w:r>
      <w:r w:rsidRPr="0019007E">
        <w:t xml:space="preserve"> or </w:t>
      </w:r>
      <w:r>
        <w:t>to use the p</w:t>
      </w:r>
      <w:r w:rsidRPr="0019007E">
        <w:t xml:space="preserve">atent </w:t>
      </w:r>
      <w:r>
        <w:t xml:space="preserve">under </w:t>
      </w:r>
      <w:r w:rsidRPr="0019007E">
        <w:t xml:space="preserve">what is effectively a compulsory licence </w:t>
      </w:r>
      <w:r>
        <w:t>(s. </w:t>
      </w:r>
      <w:r w:rsidRPr="0019007E">
        <w:t>163).</w:t>
      </w:r>
      <w:r>
        <w:t xml:space="preserve"> </w:t>
      </w:r>
    </w:p>
    <w:p w14:paraId="06B55097" w14:textId="77777777" w:rsidR="00B71B19" w:rsidRDefault="00B71B19" w:rsidP="00B71B19">
      <w:pPr>
        <w:pStyle w:val="Heading3"/>
      </w:pPr>
      <w:r>
        <w:t>Crown use</w:t>
      </w:r>
    </w:p>
    <w:p w14:paraId="74E15D36" w14:textId="2FCC9A3C" w:rsidR="00B71B19" w:rsidRPr="0019007E" w:rsidRDefault="00B71B19" w:rsidP="00B71B19">
      <w:pPr>
        <w:pStyle w:val="BodyText"/>
      </w:pPr>
      <w:r>
        <w:t xml:space="preserve">Crown use provisions were introduced in Australia with the enactment of the </w:t>
      </w:r>
      <w:r w:rsidRPr="007830AF">
        <w:rPr>
          <w:i/>
        </w:rPr>
        <w:t>Patents Act 1903</w:t>
      </w:r>
      <w:r>
        <w:t xml:space="preserve"> (Cwlth). </w:t>
      </w:r>
      <w:r w:rsidRPr="000A647B">
        <w:t xml:space="preserve">The origin </w:t>
      </w:r>
      <w:r>
        <w:t xml:space="preserve">of </w:t>
      </w:r>
      <w:r w:rsidRPr="000A647B">
        <w:t>these</w:t>
      </w:r>
      <w:r>
        <w:t xml:space="preserve"> </w:t>
      </w:r>
      <w:r w:rsidRPr="000A647B">
        <w:t xml:space="preserve">provisions </w:t>
      </w:r>
      <w:r>
        <w:t xml:space="preserve">was </w:t>
      </w:r>
      <w:r w:rsidR="00A9293D">
        <w:t>English</w:t>
      </w:r>
      <w:r>
        <w:t xml:space="preserve"> patent law</w:t>
      </w:r>
      <w:r w:rsidR="00A9293D">
        <w:t xml:space="preserve">, </w:t>
      </w:r>
      <w:r>
        <w:t xml:space="preserve">which </w:t>
      </w:r>
      <w:r w:rsidRPr="000A647B">
        <w:t>provided the</w:t>
      </w:r>
      <w:r>
        <w:t xml:space="preserve"> </w:t>
      </w:r>
      <w:r w:rsidRPr="000A647B">
        <w:t>template for</w:t>
      </w:r>
      <w:r>
        <w:t xml:space="preserve"> Australian laws (SLCLAC 2011)</w:t>
      </w:r>
      <w:r w:rsidRPr="000A647B">
        <w:t>.</w:t>
      </w:r>
      <w:r>
        <w:t xml:space="preserve"> England had a history of Crown use of patents, but formal provisions were not adopted there until 1883 (ALRC 2004). </w:t>
      </w:r>
      <w:r w:rsidRPr="0019007E">
        <w:t xml:space="preserve">Historically, the justifications for </w:t>
      </w:r>
      <w:r>
        <w:t>Crown u</w:t>
      </w:r>
      <w:r w:rsidRPr="0019007E">
        <w:t xml:space="preserve">se </w:t>
      </w:r>
      <w:r>
        <w:t>were</w:t>
      </w:r>
      <w:r w:rsidRPr="0019007E">
        <w:t xml:space="preserve">: </w:t>
      </w:r>
    </w:p>
    <w:p w14:paraId="04C1CED7" w14:textId="77777777" w:rsidR="00B71B19" w:rsidRPr="0019007E" w:rsidRDefault="00B71B19" w:rsidP="00B71B19">
      <w:pPr>
        <w:pStyle w:val="QuoteBullet"/>
      </w:pPr>
      <w:r w:rsidRPr="0019007E">
        <w:t xml:space="preserve">the Crown should not be impeded by patents (which are, in effect, Crown grants) from acting in the public interest, particularly in relation to matters of national defence </w:t>
      </w:r>
    </w:p>
    <w:p w14:paraId="1A28C914" w14:textId="0EB95974" w:rsidR="00B71B19" w:rsidRDefault="00B71B19" w:rsidP="00B71B19">
      <w:pPr>
        <w:pStyle w:val="QuoteBullet"/>
      </w:pPr>
      <w:r w:rsidRPr="0019007E">
        <w:t>unlike private traders, the Crown, through its departments and authorities is ordinarily engaged in public services, rather than commercial activities, and therefore should be in a special position in regards to use of patented inventions.</w:t>
      </w:r>
      <w:r>
        <w:t xml:space="preserve"> (ACIP 2005</w:t>
      </w:r>
      <w:r w:rsidR="00B51406">
        <w:t>a</w:t>
      </w:r>
      <w:r>
        <w:t>, p. 9)</w:t>
      </w:r>
    </w:p>
    <w:p w14:paraId="29B6B5DF" w14:textId="797D1B5D" w:rsidR="00B71B19" w:rsidRDefault="00B71B19" w:rsidP="00B71B19">
      <w:pPr>
        <w:pStyle w:val="BodyText"/>
      </w:pPr>
      <w:r>
        <w:t xml:space="preserve">Under ss. 163–170 of the Patents Act, commonly referred to as the Crown use provisions, a patented invention </w:t>
      </w:r>
      <w:r w:rsidRPr="0019007E">
        <w:t xml:space="preserve">can </w:t>
      </w:r>
      <w:r>
        <w:t xml:space="preserve">be used </w:t>
      </w:r>
      <w:r w:rsidRPr="0019007E">
        <w:t>without first seek</w:t>
      </w:r>
      <w:r>
        <w:t>ing the owner’s permission.</w:t>
      </w:r>
      <w:r w:rsidRPr="0019007E">
        <w:t xml:space="preserve"> </w:t>
      </w:r>
      <w:r>
        <w:t>However, a</w:t>
      </w:r>
      <w:r w:rsidRPr="00AF34DF">
        <w:t>s soon as practicable after an invention has been exploited</w:t>
      </w:r>
      <w:r>
        <w:t>,</w:t>
      </w:r>
      <w:r w:rsidRPr="00AF34DF">
        <w:t xml:space="preserve"> the relevant authority must inform the </w:t>
      </w:r>
      <w:r>
        <w:t>patentee</w:t>
      </w:r>
      <w:r w:rsidRPr="00AF34DF">
        <w:t xml:space="preserve"> of the exploitation and</w:t>
      </w:r>
      <w:r>
        <w:t xml:space="preserve"> provide </w:t>
      </w:r>
      <w:r w:rsidRPr="00AF34DF">
        <w:t xml:space="preserve">any information about the exploitation that </w:t>
      </w:r>
      <w:r>
        <w:t xml:space="preserve">is </w:t>
      </w:r>
      <w:r w:rsidRPr="00AF34DF">
        <w:t xml:space="preserve">reasonably </w:t>
      </w:r>
      <w:r>
        <w:t>required (u</w:t>
      </w:r>
      <w:r w:rsidRPr="00AF34DF">
        <w:t>nless it would be contrary to the public interest to</w:t>
      </w:r>
      <w:r>
        <w:t xml:space="preserve"> </w:t>
      </w:r>
      <w:r w:rsidRPr="00AF34DF">
        <w:t>do so</w:t>
      </w:r>
      <w:r>
        <w:t>)</w:t>
      </w:r>
      <w:r w:rsidRPr="00AF34DF">
        <w:t>.</w:t>
      </w:r>
      <w:r>
        <w:t xml:space="preserve"> Crown use can only be invoked </w:t>
      </w:r>
      <w:r w:rsidRPr="00775469">
        <w:t xml:space="preserve">for </w:t>
      </w:r>
      <w:r>
        <w:t xml:space="preserve">the </w:t>
      </w:r>
      <w:r w:rsidRPr="00775469">
        <w:t>services of the Commonwealth or of a</w:t>
      </w:r>
      <w:r>
        <w:t xml:space="preserve"> </w:t>
      </w:r>
      <w:r w:rsidRPr="00775469">
        <w:t>State</w:t>
      </w:r>
      <w:r>
        <w:t xml:space="preserve"> (s. 163(1)). Where the provisions are </w:t>
      </w:r>
      <w:r w:rsidRPr="00E4684D">
        <w:t>invoked, the patent holder is entitled to remuneration under s.</w:t>
      </w:r>
      <w:r>
        <w:t> </w:t>
      </w:r>
      <w:r w:rsidRPr="00E4684D">
        <w:t>165 of the Act. In the absence of an agreement between the relevant government authorit</w:t>
      </w:r>
      <w:r>
        <w:t>y and the patent holder</w:t>
      </w:r>
      <w:r w:rsidRPr="00E4684D">
        <w:t xml:space="preserve">, either party can apply to </w:t>
      </w:r>
      <w:r>
        <w:t>a prescribed court</w:t>
      </w:r>
      <w:r>
        <w:rPr>
          <w:rStyle w:val="FootnoteReference"/>
        </w:rPr>
        <w:footnoteReference w:id="2"/>
      </w:r>
      <w:r>
        <w:t xml:space="preserve"> </w:t>
      </w:r>
      <w:r w:rsidRPr="00E4684D">
        <w:t>to determine the terms.</w:t>
      </w:r>
      <w:r>
        <w:t xml:space="preserve"> </w:t>
      </w:r>
    </w:p>
    <w:p w14:paraId="616BE8ED" w14:textId="77777777" w:rsidR="00B71B19" w:rsidRDefault="00B71B19" w:rsidP="00B71B19">
      <w:pPr>
        <w:pStyle w:val="Heading3"/>
      </w:pPr>
      <w:r>
        <w:lastRenderedPageBreak/>
        <w:t>Crown acquisition</w:t>
      </w:r>
    </w:p>
    <w:p w14:paraId="03D3BFCA" w14:textId="213DFFA0" w:rsidR="00B71B19" w:rsidRDefault="00B71B19" w:rsidP="00B71B19">
      <w:pPr>
        <w:pStyle w:val="BodyText"/>
      </w:pPr>
      <w:r>
        <w:t>U</w:t>
      </w:r>
      <w:r w:rsidRPr="00493939">
        <w:t>nder s. 71 of the Patents Act</w:t>
      </w:r>
      <w:r>
        <w:t>,</w:t>
      </w:r>
      <w:r w:rsidRPr="00493939">
        <w:t xml:space="preserve"> </w:t>
      </w:r>
      <w:r>
        <w:t xml:space="preserve">the Crown can acquire a patent. As in the case of Crown use, the legislation allows for court determination of remuneration (s. 171(4)) and requires the Crown to inform the patentee of its actions. The Crown must also </w:t>
      </w:r>
      <w:r w:rsidRPr="00C16E16">
        <w:t>publish</w:t>
      </w:r>
      <w:r>
        <w:t xml:space="preserve"> notice of the acquisition</w:t>
      </w:r>
      <w:r w:rsidRPr="00C16E16">
        <w:t xml:space="preserve"> </w:t>
      </w:r>
      <w:r>
        <w:t>‘</w:t>
      </w:r>
      <w:r w:rsidRPr="00C16E16">
        <w:t xml:space="preserve">in the </w:t>
      </w:r>
      <w:r w:rsidRPr="00C16E16">
        <w:rPr>
          <w:i/>
          <w:iCs/>
        </w:rPr>
        <w:t xml:space="preserve">Official Journal </w:t>
      </w:r>
      <w:r w:rsidRPr="00C16E16">
        <w:t xml:space="preserve">and the </w:t>
      </w:r>
      <w:r w:rsidRPr="00C16E16">
        <w:rPr>
          <w:i/>
          <w:iCs/>
        </w:rPr>
        <w:t xml:space="preserve">Gazette </w:t>
      </w:r>
      <w:r w:rsidRPr="00C16E16">
        <w:t>unless, in</w:t>
      </w:r>
      <w:r>
        <w:t xml:space="preserve"> </w:t>
      </w:r>
      <w:r w:rsidRPr="00C16E16">
        <w:t>the case of the acquisition of an invention that is the subject</w:t>
      </w:r>
      <w:r>
        <w:t xml:space="preserve"> </w:t>
      </w:r>
      <w:r w:rsidRPr="00C16E16">
        <w:t>of an application for a patent, a prohibition order, or an order</w:t>
      </w:r>
      <w:r>
        <w:t xml:space="preserve"> </w:t>
      </w:r>
      <w:r w:rsidRPr="00C16E16">
        <w:t>under s</w:t>
      </w:r>
      <w:r>
        <w:t>.</w:t>
      </w:r>
      <w:r w:rsidRPr="00C16E16">
        <w:t xml:space="preserve"> 152, is in forc</w:t>
      </w:r>
      <w:r>
        <w:t>e in respect of the application’(s. 171(3)(b)).</w:t>
      </w:r>
      <w:r>
        <w:rPr>
          <w:rStyle w:val="FootnoteReference"/>
        </w:rPr>
        <w:footnoteReference w:id="3"/>
      </w:r>
      <w:r>
        <w:t xml:space="preserve"> </w:t>
      </w:r>
      <w:r w:rsidR="00846B96">
        <w:t xml:space="preserve">There are no publicly recorded instances of </w:t>
      </w:r>
      <w:r w:rsidRPr="00493939">
        <w:t>Crown acquisition (LESANZ 2011).</w:t>
      </w:r>
    </w:p>
    <w:p w14:paraId="6D716D3D" w14:textId="3A06EE9E" w:rsidR="00B71B19" w:rsidRPr="00493939" w:rsidRDefault="00B71B19" w:rsidP="00B71B19">
      <w:pPr>
        <w:pStyle w:val="BodyText"/>
      </w:pPr>
      <w:r>
        <w:t>Crown a</w:t>
      </w:r>
      <w:r w:rsidRPr="00493939">
        <w:t>cquisition</w:t>
      </w:r>
      <w:r>
        <w:t>s</w:t>
      </w:r>
      <w:r w:rsidRPr="00493939">
        <w:t xml:space="preserve"> </w:t>
      </w:r>
      <w:r w:rsidR="00432E41">
        <w:t xml:space="preserve">of intellectual property </w:t>
      </w:r>
      <w:r w:rsidRPr="00493939">
        <w:t xml:space="preserve">can be considered an </w:t>
      </w:r>
      <w:r>
        <w:t xml:space="preserve">application </w:t>
      </w:r>
      <w:r w:rsidRPr="00493939">
        <w:t>of the broader powers of acquisition held by t</w:t>
      </w:r>
      <w:r w:rsidRPr="00A00BFE">
        <w:t>he Australian Gove</w:t>
      </w:r>
      <w:r>
        <w:t>rnment. For example, s. 51</w:t>
      </w:r>
      <w:r w:rsidRPr="00A00BFE">
        <w:t xml:space="preserve">(vi) and </w:t>
      </w:r>
      <w:r>
        <w:t>s. 51</w:t>
      </w:r>
      <w:r w:rsidRPr="00A00BFE">
        <w:t>(xxxix) of the Consti</w:t>
      </w:r>
      <w:r w:rsidRPr="00493939">
        <w:t>tution provide executive and legislative powers to the Australian Government in situations of national emergency or military operations. Moreover, the Australian Government has the power to enact laws with respect to the acquisition of property</w:t>
      </w:r>
      <w:r>
        <w:t xml:space="preserve"> on just terms under s. 51</w:t>
      </w:r>
      <w:r w:rsidRPr="00493939">
        <w:t>(xxxi).</w:t>
      </w:r>
    </w:p>
    <w:p w14:paraId="3378BA97" w14:textId="6CC98BAF" w:rsidR="00B71B19" w:rsidRDefault="00B71B19" w:rsidP="00B71B19">
      <w:pPr>
        <w:pStyle w:val="BodyText"/>
      </w:pPr>
      <w:r>
        <w:t xml:space="preserve">Crown acquisition appears to be </w:t>
      </w:r>
      <w:r w:rsidR="00D25E94">
        <w:t>an option that would only be invoked when a government wants to exclude others from using an invention</w:t>
      </w:r>
      <w:r>
        <w:t xml:space="preserve">. </w:t>
      </w:r>
      <w:r w:rsidR="00D25E94">
        <w:t>I</w:t>
      </w:r>
      <w:r w:rsidR="00CE1563">
        <w:t>t is not necessary to acquire the proper</w:t>
      </w:r>
      <w:r w:rsidR="00D25E94">
        <w:t xml:space="preserve">ty right in its entirety </w:t>
      </w:r>
      <w:r w:rsidR="00CE1563">
        <w:t xml:space="preserve">for </w:t>
      </w:r>
      <w:r w:rsidR="00725F1F">
        <w:t xml:space="preserve">a </w:t>
      </w:r>
      <w:r w:rsidR="00D25E94">
        <w:t xml:space="preserve">government </w:t>
      </w:r>
      <w:r w:rsidR="00CE1563" w:rsidRPr="00CE1563">
        <w:t>to exploit an invention</w:t>
      </w:r>
      <w:r w:rsidR="00D25E94">
        <w:t>,</w:t>
      </w:r>
      <w:r w:rsidR="00CE1563">
        <w:t xml:space="preserve"> </w:t>
      </w:r>
      <w:r w:rsidR="00D25E94">
        <w:t>given the existence of</w:t>
      </w:r>
      <w:r w:rsidR="00CE1563">
        <w:t xml:space="preserve"> Crown use. Crown use is also </w:t>
      </w:r>
      <w:r w:rsidR="00CE1563" w:rsidRPr="00CE1563">
        <w:t>less costly, since the patent</w:t>
      </w:r>
      <w:r w:rsidR="00CE1563">
        <w:t>ee</w:t>
      </w:r>
      <w:r w:rsidR="00CE1563" w:rsidRPr="00CE1563">
        <w:t xml:space="preserve"> </w:t>
      </w:r>
      <w:r w:rsidR="00CE1563">
        <w:t>retains ownership of the patent and is able to continue</w:t>
      </w:r>
      <w:r w:rsidR="009A12B8">
        <w:t xml:space="preserve"> to use the invention in question. As such, </w:t>
      </w:r>
      <w:r w:rsidR="00725F1F">
        <w:t xml:space="preserve">the patentee </w:t>
      </w:r>
      <w:r w:rsidR="00CE1563">
        <w:t xml:space="preserve">does not have to </w:t>
      </w:r>
      <w:r w:rsidR="00725F1F">
        <w:t xml:space="preserve">be </w:t>
      </w:r>
      <w:r w:rsidR="00CE1563">
        <w:t>compensate</w:t>
      </w:r>
      <w:r w:rsidR="00725F1F">
        <w:t>d</w:t>
      </w:r>
      <w:r w:rsidR="00CE1563">
        <w:t xml:space="preserve"> for the loss of this use or for </w:t>
      </w:r>
      <w:r w:rsidR="00CE1563" w:rsidRPr="00CE1563">
        <w:t xml:space="preserve">the loss of licence fees from third parties. </w:t>
      </w:r>
      <w:r>
        <w:t xml:space="preserve">The Commission has hereafter focused its analysis on Crown use. </w:t>
      </w:r>
    </w:p>
    <w:p w14:paraId="399B0F3E" w14:textId="77777777" w:rsidR="00B71B19" w:rsidRDefault="00B71B19" w:rsidP="00B71B19">
      <w:pPr>
        <w:pStyle w:val="Heading3"/>
      </w:pPr>
      <w:r>
        <w:t>Instances of Crown use in Australia</w:t>
      </w:r>
    </w:p>
    <w:p w14:paraId="0CA495F1" w14:textId="7EE57C6F" w:rsidR="00B71B19" w:rsidRDefault="00B71B19" w:rsidP="00B71B19">
      <w:pPr>
        <w:pStyle w:val="BodyText"/>
      </w:pPr>
      <w:r>
        <w:t xml:space="preserve">Crown use has been rarely used. In a 1997 report to the TRIPS Council, the Australian Government stated that it expected Crown use </w:t>
      </w:r>
      <w:r w:rsidR="00846B96">
        <w:t>to have</w:t>
      </w:r>
      <w:r>
        <w:t xml:space="preserve"> been minimal (ALRC 2004)</w:t>
      </w:r>
      <w:r w:rsidRPr="00E742C0">
        <w:t>.</w:t>
      </w:r>
      <w:r>
        <w:t xml:space="preserve"> The primary difficulty in establishing patterns of use is in uncovering cases of uncontested use. However, there are </w:t>
      </w:r>
      <w:r w:rsidRPr="00E742C0">
        <w:t>two</w:t>
      </w:r>
      <w:r>
        <w:t xml:space="preserve"> </w:t>
      </w:r>
      <w:r w:rsidRPr="00E742C0">
        <w:t>reported cases in which Crown use has been</w:t>
      </w:r>
      <w:r>
        <w:t xml:space="preserve"> </w:t>
      </w:r>
      <w:r w:rsidRPr="00E742C0">
        <w:t>contested</w:t>
      </w:r>
      <w:r>
        <w:t xml:space="preserve"> in court (box 7.1)</w:t>
      </w:r>
      <w:r w:rsidRPr="00E742C0">
        <w:t>.</w:t>
      </w:r>
      <w:r>
        <w:t xml:space="preserve"> </w:t>
      </w:r>
    </w:p>
    <w:p w14:paraId="2118FEEB" w14:textId="01FE1779" w:rsidR="00B71B19" w:rsidRDefault="00B71B19" w:rsidP="00B71B1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71B19" w14:paraId="0AA1E491" w14:textId="77777777" w:rsidTr="00F60AB5">
        <w:tc>
          <w:tcPr>
            <w:tcW w:w="8771" w:type="dxa"/>
            <w:tcBorders>
              <w:top w:val="single" w:sz="6" w:space="0" w:color="auto"/>
              <w:bottom w:val="nil"/>
            </w:tcBorders>
          </w:tcPr>
          <w:p w14:paraId="56F831F8" w14:textId="7B44929D" w:rsidR="00B71B19" w:rsidRPr="00CB6335" w:rsidRDefault="00B71B19" w:rsidP="00F60AB5">
            <w:pPr>
              <w:pStyle w:val="BoxTitle"/>
            </w:pPr>
            <w:r>
              <w:rPr>
                <w:b w:val="0"/>
              </w:rPr>
              <w:t xml:space="preserve">Box </w:t>
            </w:r>
            <w:r w:rsidR="007517D0">
              <w:rPr>
                <w:b w:val="0"/>
              </w:rPr>
              <w:t>7.</w:t>
            </w:r>
            <w:r w:rsidR="007517D0">
              <w:rPr>
                <w:b w:val="0"/>
                <w:noProof/>
              </w:rPr>
              <w:t>1</w:t>
            </w:r>
            <w:r>
              <w:tab/>
              <w:t>Contested cases of Crown use</w:t>
            </w:r>
          </w:p>
        </w:tc>
      </w:tr>
      <w:tr w:rsidR="00B71B19" w14:paraId="42FAC9A5" w14:textId="77777777" w:rsidTr="00F60AB5">
        <w:trPr>
          <w:cantSplit/>
        </w:trPr>
        <w:tc>
          <w:tcPr>
            <w:tcW w:w="8771" w:type="dxa"/>
            <w:tcBorders>
              <w:top w:val="nil"/>
              <w:left w:val="single" w:sz="6" w:space="0" w:color="auto"/>
              <w:bottom w:val="nil"/>
              <w:right w:val="single" w:sz="6" w:space="0" w:color="auto"/>
            </w:tcBorders>
          </w:tcPr>
          <w:p w14:paraId="7FCA509C" w14:textId="77777777" w:rsidR="00B71B19" w:rsidRPr="00A91EDB" w:rsidRDefault="00B71B19" w:rsidP="00F60AB5">
            <w:pPr>
              <w:pStyle w:val="BoxHeading1"/>
            </w:pPr>
            <w:r w:rsidRPr="00A91EDB">
              <w:t>General Steel Industries Inc v Commissioner for Railways (NSW) (1964) 112 CLR 125</w:t>
            </w:r>
          </w:p>
          <w:p w14:paraId="0F836AE2" w14:textId="77777777" w:rsidR="00B71B19" w:rsidRPr="00CB6335" w:rsidRDefault="00B71B19" w:rsidP="00F60AB5">
            <w:pPr>
              <w:pStyle w:val="Box"/>
            </w:pPr>
            <w:r>
              <w:t xml:space="preserve">The NSW </w:t>
            </w:r>
            <w:r w:rsidRPr="00CB6335">
              <w:t>State Commissioner for Railways</w:t>
            </w:r>
            <w:r>
              <w:t>’</w:t>
            </w:r>
            <w:r w:rsidRPr="00CB6335">
              <w:t xml:space="preserve"> use of an invention for central bearing structures for railway carriage construction</w:t>
            </w:r>
            <w:r>
              <w:t xml:space="preserve"> was held to be allowed under </w:t>
            </w:r>
            <w:r w:rsidRPr="00D45A0B">
              <w:rPr>
                <w:i/>
              </w:rPr>
              <w:t>s. 125 of the Patents Act 1952 (Cwlth)</w:t>
            </w:r>
            <w:r>
              <w:t xml:space="preserve"> (</w:t>
            </w:r>
            <w:r w:rsidRPr="00CB6335">
              <w:t>the predecessor to s</w:t>
            </w:r>
            <w:r>
              <w:t>.</w:t>
            </w:r>
            <w:r w:rsidRPr="00CB6335">
              <w:t xml:space="preserve"> 163 of the </w:t>
            </w:r>
            <w:r>
              <w:t xml:space="preserve">current </w:t>
            </w:r>
            <w:r w:rsidRPr="00CB6335">
              <w:t>Patents Act</w:t>
            </w:r>
            <w:r>
              <w:t>)</w:t>
            </w:r>
            <w:r w:rsidRPr="00CB6335">
              <w:t xml:space="preserve">. </w:t>
            </w:r>
            <w:r>
              <w:t>It was considered that the use was</w:t>
            </w:r>
            <w:r w:rsidRPr="00CB6335">
              <w:t xml:space="preserve"> ‘for the services of</w:t>
            </w:r>
            <w:r>
              <w:t xml:space="preserve"> </w:t>
            </w:r>
            <w:r w:rsidRPr="00CB6335">
              <w:t xml:space="preserve">the State’, </w:t>
            </w:r>
            <w:r>
              <w:t xml:space="preserve">and had </w:t>
            </w:r>
            <w:r w:rsidRPr="00CB6335">
              <w:t xml:space="preserve">regard to the UK decisions in </w:t>
            </w:r>
            <w:r w:rsidRPr="00CB6335">
              <w:rPr>
                <w:i/>
                <w:iCs/>
              </w:rPr>
              <w:t>Pyrene Company Limited v</w:t>
            </w:r>
            <w:r>
              <w:rPr>
                <w:i/>
                <w:iCs/>
              </w:rPr>
              <w:t xml:space="preserve"> </w:t>
            </w:r>
            <w:r w:rsidRPr="00CB6335">
              <w:rPr>
                <w:i/>
                <w:iCs/>
              </w:rPr>
              <w:t xml:space="preserve">Webb Lamp Company Ltd </w:t>
            </w:r>
            <w:r w:rsidRPr="00CB6335">
              <w:t xml:space="preserve">(1920) </w:t>
            </w:r>
            <w:r w:rsidRPr="005B05EC">
              <w:t>37 RPC 57</w:t>
            </w:r>
            <w:r>
              <w:t xml:space="preserve"> </w:t>
            </w:r>
            <w:r w:rsidRPr="00CB6335">
              <w:t xml:space="preserve">and </w:t>
            </w:r>
            <w:r w:rsidRPr="00CB6335">
              <w:rPr>
                <w:i/>
                <w:iCs/>
              </w:rPr>
              <w:t>Aktiengesellschaft Fur</w:t>
            </w:r>
            <w:r>
              <w:rPr>
                <w:i/>
                <w:iCs/>
              </w:rPr>
              <w:t xml:space="preserve"> </w:t>
            </w:r>
            <w:r w:rsidRPr="00CB6335">
              <w:rPr>
                <w:i/>
                <w:iCs/>
              </w:rPr>
              <w:t xml:space="preserve">Autogene Aluminium Schweissung v London Aluminium Co. Ltd </w:t>
            </w:r>
            <w:r>
              <w:rPr>
                <w:i/>
                <w:iCs/>
              </w:rPr>
              <w:t xml:space="preserve">(No. 2) </w:t>
            </w:r>
            <w:r>
              <w:t xml:space="preserve">(1923) </w:t>
            </w:r>
            <w:r w:rsidRPr="005B05EC">
              <w:t>40</w:t>
            </w:r>
            <w:r>
              <w:t xml:space="preserve"> </w:t>
            </w:r>
            <w:r w:rsidRPr="005B05EC">
              <w:t>RPC 107</w:t>
            </w:r>
            <w:r>
              <w:t>.</w:t>
            </w:r>
          </w:p>
          <w:p w14:paraId="3FA81D78" w14:textId="77777777" w:rsidR="00B71B19" w:rsidRDefault="00B71B19" w:rsidP="00F60AB5">
            <w:pPr>
              <w:pStyle w:val="BoxHeading1"/>
            </w:pPr>
            <w:r w:rsidRPr="00CB6335">
              <w:t>Stack v Brisbane City Council (1994)</w:t>
            </w:r>
            <w:r>
              <w:t xml:space="preserve"> </w:t>
            </w:r>
            <w:r w:rsidRPr="00F439B2">
              <w:t>131 ALR 333</w:t>
            </w:r>
          </w:p>
          <w:p w14:paraId="2F7F555E" w14:textId="108960BD" w:rsidR="00B71B19" w:rsidRDefault="00B71B19" w:rsidP="00F60AB5">
            <w:pPr>
              <w:pStyle w:val="Box"/>
            </w:pPr>
            <w:r>
              <w:t>Brisbane City Council’</w:t>
            </w:r>
            <w:r w:rsidRPr="003F4470">
              <w:t>s use of a patented invention for water meter assemblies was</w:t>
            </w:r>
            <w:r>
              <w:t xml:space="preserve"> </w:t>
            </w:r>
            <w:r w:rsidRPr="003F4470">
              <w:t xml:space="preserve">held to be within the scope of Crown use. </w:t>
            </w:r>
            <w:r>
              <w:t xml:space="preserve">It was </w:t>
            </w:r>
            <w:r w:rsidRPr="003F4470">
              <w:t>considered</w:t>
            </w:r>
            <w:r>
              <w:t xml:space="preserve"> that </w:t>
            </w:r>
            <w:r w:rsidRPr="003F4470">
              <w:t>Brisbane City Council was an authority of a State for the purpose of s</w:t>
            </w:r>
            <w:r>
              <w:t>.</w:t>
            </w:r>
            <w:r w:rsidR="00432E41">
              <w:t> </w:t>
            </w:r>
            <w:r w:rsidRPr="003F4470">
              <w:t>163. The focus</w:t>
            </w:r>
            <w:r>
              <w:t xml:space="preserve"> of the case was </w:t>
            </w:r>
            <w:r w:rsidRPr="003F4470">
              <w:t>on whether the functions of</w:t>
            </w:r>
            <w:r>
              <w:t xml:space="preserve"> Brisbane City Council</w:t>
            </w:r>
            <w:r w:rsidRPr="003F4470">
              <w:t xml:space="preserve"> </w:t>
            </w:r>
            <w:r>
              <w:t>have the ‘stamp</w:t>
            </w:r>
            <w:r w:rsidRPr="003F4470">
              <w:t xml:space="preserve"> of government</w:t>
            </w:r>
            <w:r>
              <w:t>’</w:t>
            </w:r>
            <w:r w:rsidRPr="003F4470">
              <w:t xml:space="preserve"> and whether </w:t>
            </w:r>
            <w:r>
              <w:t xml:space="preserve">they have </w:t>
            </w:r>
            <w:r w:rsidRPr="003F4470">
              <w:t>been given</w:t>
            </w:r>
            <w:r>
              <w:t xml:space="preserve"> </w:t>
            </w:r>
            <w:r w:rsidRPr="003F4470">
              <w:t>the power to direct or control the affairs of others on behalf of the State.</w:t>
            </w:r>
          </w:p>
        </w:tc>
      </w:tr>
      <w:tr w:rsidR="00B71B19" w14:paraId="3FDBE33C" w14:textId="77777777" w:rsidTr="00F60AB5">
        <w:trPr>
          <w:cantSplit/>
        </w:trPr>
        <w:tc>
          <w:tcPr>
            <w:tcW w:w="8771" w:type="dxa"/>
            <w:tcBorders>
              <w:top w:val="nil"/>
              <w:left w:val="single" w:sz="6" w:space="0" w:color="auto"/>
              <w:bottom w:val="nil"/>
              <w:right w:val="single" w:sz="6" w:space="0" w:color="auto"/>
            </w:tcBorders>
          </w:tcPr>
          <w:p w14:paraId="2A169842" w14:textId="77777777" w:rsidR="00B71B19" w:rsidRDefault="00B71B19" w:rsidP="00F60AB5">
            <w:pPr>
              <w:pStyle w:val="BoxSource"/>
            </w:pPr>
            <w:r>
              <w:rPr>
                <w:i/>
              </w:rPr>
              <w:t>Source</w:t>
            </w:r>
            <w:r w:rsidRPr="00167F06">
              <w:t xml:space="preserve">: </w:t>
            </w:r>
            <w:r>
              <w:t>LESANZ (2011).</w:t>
            </w:r>
          </w:p>
        </w:tc>
      </w:tr>
      <w:tr w:rsidR="00B71B19" w14:paraId="05BC4617" w14:textId="77777777" w:rsidTr="00F60AB5">
        <w:trPr>
          <w:cantSplit/>
        </w:trPr>
        <w:tc>
          <w:tcPr>
            <w:tcW w:w="8771" w:type="dxa"/>
            <w:tcBorders>
              <w:top w:val="nil"/>
              <w:left w:val="single" w:sz="6" w:space="0" w:color="auto"/>
              <w:bottom w:val="single" w:sz="6" w:space="0" w:color="auto"/>
              <w:right w:val="single" w:sz="6" w:space="0" w:color="auto"/>
            </w:tcBorders>
          </w:tcPr>
          <w:p w14:paraId="71A944AB" w14:textId="77777777" w:rsidR="00B71B19" w:rsidRDefault="00B71B19" w:rsidP="00F60AB5">
            <w:pPr>
              <w:pStyle w:val="Box"/>
              <w:spacing w:before="0" w:line="120" w:lineRule="exact"/>
            </w:pPr>
          </w:p>
        </w:tc>
      </w:tr>
      <w:tr w:rsidR="00B71B19" w:rsidRPr="000863A5" w14:paraId="11A151B1" w14:textId="77777777" w:rsidTr="00F60AB5">
        <w:tc>
          <w:tcPr>
            <w:tcW w:w="8771" w:type="dxa"/>
            <w:tcBorders>
              <w:top w:val="nil"/>
              <w:left w:val="nil"/>
              <w:bottom w:val="nil"/>
              <w:right w:val="nil"/>
            </w:tcBorders>
          </w:tcPr>
          <w:p w14:paraId="22D99E79" w14:textId="0BD71CF4" w:rsidR="00B71B19" w:rsidRPr="000863A5" w:rsidRDefault="00B71B19" w:rsidP="00F60AB5">
            <w:pPr>
              <w:pStyle w:val="Box"/>
              <w:keepNext w:val="0"/>
              <w:spacing w:before="60" w:after="60" w:line="80" w:lineRule="exact"/>
              <w:rPr>
                <w:b/>
                <w:sz w:val="14"/>
              </w:rPr>
            </w:pPr>
          </w:p>
        </w:tc>
      </w:tr>
    </w:tbl>
    <w:p w14:paraId="74C79C95" w14:textId="52769AC0" w:rsidR="00B71B19" w:rsidRPr="00A26DA2" w:rsidRDefault="00B71B19" w:rsidP="00B71B19">
      <w:pPr>
        <w:pStyle w:val="BodyText"/>
      </w:pPr>
      <w:r>
        <w:t xml:space="preserve">While the provisions appear to be rarely invoked, submissions to a review of Crown use by the Advisory Council of Intellectual Property (ACIP), claimed that </w:t>
      </w:r>
      <w:r w:rsidRPr="00BA3CDB">
        <w:t>the threat of using the provisions in negotiations was far more prevalent</w:t>
      </w:r>
      <w:r>
        <w:t xml:space="preserve"> (ACIP 2005</w:t>
      </w:r>
      <w:r w:rsidR="00B51406">
        <w:t>a</w:t>
      </w:r>
      <w:r>
        <w:t>)</w:t>
      </w:r>
      <w:r w:rsidRPr="00BA3CDB">
        <w:t>.</w:t>
      </w:r>
      <w:r>
        <w:t xml:space="preserve"> These submissions reportedly </w:t>
      </w:r>
      <w:r w:rsidRPr="00BA3CDB">
        <w:t xml:space="preserve">claimed that some IP right owners had </w:t>
      </w:r>
      <w:r>
        <w:t>‘</w:t>
      </w:r>
      <w:r w:rsidRPr="00BA3CDB">
        <w:t>been put under considerable pressure by organisations threatening to invoke the provisions in situations where it was not clear whether these organisations had the requisite authority or the legal requirements to qualify as a Crown entity</w:t>
      </w:r>
      <w:r>
        <w:t>’(ACIP 2005</w:t>
      </w:r>
      <w:r w:rsidR="00B51406">
        <w:t>a</w:t>
      </w:r>
      <w:r>
        <w:t>, p. 8).</w:t>
      </w:r>
    </w:p>
    <w:p w14:paraId="28CF038E" w14:textId="77777777" w:rsidR="00B71B19" w:rsidRDefault="00B71B19" w:rsidP="00B71B19">
      <w:pPr>
        <w:pStyle w:val="Heading3"/>
      </w:pPr>
      <w:r>
        <w:t>Why are the Crown use provisions seldom used?</w:t>
      </w:r>
    </w:p>
    <w:p w14:paraId="28C828FE" w14:textId="5042B6C2" w:rsidR="00B71B19" w:rsidRDefault="00B71B19" w:rsidP="00B71B19">
      <w:pPr>
        <w:pStyle w:val="BodyText"/>
      </w:pPr>
      <w:r>
        <w:t xml:space="preserve">Similar to the case of compulsory licences (chapter 6), the limited history of litigation over the Crown use provisions could suggest a variety of things. First, it is likely the provisions are intended to be a safeguard for rare instances in which the patents system is hindering government action to address an urgent issue (for example, providing treatment in an epidemic). It may be that such cases are rare because </w:t>
      </w:r>
      <w:r w:rsidR="00B717BC">
        <w:t>patent holders are usually willing to license reasonably and widely</w:t>
      </w:r>
      <w:r>
        <w:t xml:space="preserve"> and/or few instances arise where urgent access is required. </w:t>
      </w:r>
    </w:p>
    <w:p w14:paraId="21D959EA" w14:textId="56B831B2" w:rsidR="00B71B19" w:rsidRDefault="00B71B19" w:rsidP="00B71B19">
      <w:pPr>
        <w:pStyle w:val="BodyText"/>
      </w:pPr>
      <w:r>
        <w:lastRenderedPageBreak/>
        <w:t xml:space="preserve">Second, governments may be reluctant to use the provisions, </w:t>
      </w:r>
      <w:r>
        <w:rPr>
          <w:lang w:val="en"/>
        </w:rPr>
        <w:t xml:space="preserve">as they </w:t>
      </w:r>
      <w:r w:rsidRPr="00605359">
        <w:rPr>
          <w:lang w:val="en"/>
        </w:rPr>
        <w:t xml:space="preserve">involve significant interference with the rights </w:t>
      </w:r>
      <w:r>
        <w:rPr>
          <w:lang w:val="en"/>
        </w:rPr>
        <w:t xml:space="preserve">of </w:t>
      </w:r>
      <w:r w:rsidRPr="00605359">
        <w:rPr>
          <w:lang w:val="en"/>
        </w:rPr>
        <w:t xml:space="preserve">patent holders. </w:t>
      </w:r>
      <w:r>
        <w:rPr>
          <w:lang w:val="en"/>
        </w:rPr>
        <w:t xml:space="preserve">If the </w:t>
      </w:r>
      <w:r w:rsidRPr="00605359">
        <w:rPr>
          <w:lang w:val="en"/>
        </w:rPr>
        <w:t xml:space="preserve">provisions </w:t>
      </w:r>
      <w:r>
        <w:rPr>
          <w:lang w:val="en"/>
        </w:rPr>
        <w:t xml:space="preserve">were </w:t>
      </w:r>
      <w:r w:rsidRPr="00605359">
        <w:rPr>
          <w:lang w:val="en"/>
        </w:rPr>
        <w:t>relied upon too readily</w:t>
      </w:r>
      <w:r>
        <w:rPr>
          <w:lang w:val="en"/>
        </w:rPr>
        <w:t>,</w:t>
      </w:r>
      <w:r w:rsidRPr="00605359">
        <w:rPr>
          <w:lang w:val="en"/>
        </w:rPr>
        <w:t xml:space="preserve"> confidence in the </w:t>
      </w:r>
      <w:r w:rsidR="0024701D">
        <w:rPr>
          <w:lang w:val="en"/>
        </w:rPr>
        <w:t>patents system</w:t>
      </w:r>
      <w:r w:rsidRPr="00605359">
        <w:rPr>
          <w:lang w:val="en"/>
        </w:rPr>
        <w:t xml:space="preserve"> </w:t>
      </w:r>
      <w:r>
        <w:rPr>
          <w:lang w:val="en"/>
        </w:rPr>
        <w:t>could be damaged</w:t>
      </w:r>
      <w:r w:rsidRPr="00605359">
        <w:rPr>
          <w:lang w:val="en"/>
        </w:rPr>
        <w:t>.</w:t>
      </w:r>
    </w:p>
    <w:p w14:paraId="2A5B1DFB" w14:textId="0150FD98" w:rsidR="00B71B19" w:rsidRDefault="00B71B19" w:rsidP="00B71B19">
      <w:pPr>
        <w:pStyle w:val="BodyText"/>
      </w:pPr>
      <w:r>
        <w:t xml:space="preserve">Third, it could be the case that there are rarely any problems for governments in securing access to patents. This could be because governments usually offer just terms. Alternatively, it could be that the cost of litigation to challenge Crown use, or the terms offered under Crown use, can </w:t>
      </w:r>
      <w:r w:rsidRPr="00934854">
        <w:t>force an unwilling licensor to the</w:t>
      </w:r>
      <w:r>
        <w:t xml:space="preserve"> </w:t>
      </w:r>
      <w:r w:rsidRPr="00934854">
        <w:t>negotiating</w:t>
      </w:r>
      <w:r>
        <w:t xml:space="preserve"> table and </w:t>
      </w:r>
      <w:r w:rsidRPr="00934854">
        <w:t>ensur</w:t>
      </w:r>
      <w:r>
        <w:t>e</w:t>
      </w:r>
      <w:r w:rsidRPr="00934854">
        <w:t xml:space="preserve"> an acceptable result</w:t>
      </w:r>
      <w:r>
        <w:t xml:space="preserve"> for the government. </w:t>
      </w:r>
    </w:p>
    <w:p w14:paraId="0499F3F7" w14:textId="77777777" w:rsidR="00B71B19" w:rsidRPr="007C3FAE" w:rsidRDefault="00B71B19" w:rsidP="00B71B19">
      <w:pPr>
        <w:pStyle w:val="BodyText"/>
      </w:pPr>
      <w:r>
        <w:t>Fourth</w:t>
      </w:r>
      <w:r w:rsidRPr="00A86A92">
        <w:t>, it may be that there is a la</w:t>
      </w:r>
      <w:r w:rsidRPr="007C3FAE">
        <w:t xml:space="preserve">ck of knowledge about the provisions and the appropriate arms of government are unclear on how and when it is appropriate to invoke the provisions. </w:t>
      </w:r>
    </w:p>
    <w:p w14:paraId="2130ECAD" w14:textId="77777777" w:rsidR="00B71B19" w:rsidRPr="007C3FAE" w:rsidRDefault="00B71B19" w:rsidP="00B71B19">
      <w:pPr>
        <w:pStyle w:val="BodyText"/>
      </w:pPr>
      <w:r w:rsidRPr="007C3FAE">
        <w:t>Finally, it may be that there are a number of problems with the provisions that discourage governments from utilising them.</w:t>
      </w:r>
    </w:p>
    <w:p w14:paraId="6CF46730" w14:textId="0A10CFAA" w:rsidR="00B71B19" w:rsidRDefault="007517D0" w:rsidP="00B71B19">
      <w:pPr>
        <w:pStyle w:val="Heading2"/>
      </w:pPr>
      <w:r>
        <w:t>7.</w:t>
      </w:r>
      <w:r>
        <w:rPr>
          <w:noProof/>
        </w:rPr>
        <w:t>2</w:t>
      </w:r>
      <w:r w:rsidR="00B71B19">
        <w:tab/>
        <w:t>Assessment of the Crown use provisions</w:t>
      </w:r>
    </w:p>
    <w:p w14:paraId="77277B12" w14:textId="256EEFA1" w:rsidR="00B71B19" w:rsidRPr="004E25DA" w:rsidRDefault="0048671E" w:rsidP="00B71B19">
      <w:pPr>
        <w:pStyle w:val="BodyText"/>
      </w:pPr>
      <w:r>
        <w:t>Participants and p</w:t>
      </w:r>
      <w:r w:rsidR="00B71B19">
        <w:t>ast reviews have revealed some concern</w:t>
      </w:r>
      <w:r w:rsidR="00025169">
        <w:t>s</w:t>
      </w:r>
      <w:r w:rsidR="00B71B19">
        <w:t xml:space="preserve"> about aspects of the provisions. This section </w:t>
      </w:r>
      <w:r w:rsidR="00846B96">
        <w:t xml:space="preserve">considers </w:t>
      </w:r>
      <w:r w:rsidR="00B71B19">
        <w:t>some of these issues in detail.</w:t>
      </w:r>
    </w:p>
    <w:p w14:paraId="31E86DC8" w14:textId="77777777" w:rsidR="000A0017" w:rsidRDefault="000A0017" w:rsidP="000A0017">
      <w:pPr>
        <w:pStyle w:val="Heading3"/>
      </w:pPr>
      <w:r>
        <w:t>Participants’ views</w:t>
      </w:r>
    </w:p>
    <w:p w14:paraId="32BD37CB" w14:textId="77777777" w:rsidR="00846B96" w:rsidRDefault="000A0017" w:rsidP="00B83790">
      <w:pPr>
        <w:pStyle w:val="BodyText"/>
      </w:pPr>
      <w:r>
        <w:t xml:space="preserve">Inquiry participants </w:t>
      </w:r>
      <w:r w:rsidR="0048671E">
        <w:t xml:space="preserve">were </w:t>
      </w:r>
      <w:r>
        <w:t xml:space="preserve">generally </w:t>
      </w:r>
      <w:r w:rsidR="0048671E">
        <w:t xml:space="preserve">supportive of the role that </w:t>
      </w:r>
      <w:r>
        <w:t>Crown use</w:t>
      </w:r>
      <w:r w:rsidR="0048671E">
        <w:t xml:space="preserve"> plays, particularly in the case of </w:t>
      </w:r>
      <w:r w:rsidR="00A41F16">
        <w:t>healthcare</w:t>
      </w:r>
      <w:r>
        <w:t>:</w:t>
      </w:r>
    </w:p>
    <w:p w14:paraId="4AC74B0C" w14:textId="219D717D" w:rsidR="000A0017" w:rsidRDefault="000A0017" w:rsidP="000A0017">
      <w:pPr>
        <w:pStyle w:val="Quote"/>
      </w:pPr>
      <w:r>
        <w:t>[Crown use provisions] h</w:t>
      </w:r>
      <w:r w:rsidRPr="0035598D">
        <w:t>ave a legitimate role to play with regard to domestic issues relating to access to healthcare.</w:t>
      </w:r>
      <w:r>
        <w:t xml:space="preserve"> (Centre for Law and Genetics</w:t>
      </w:r>
      <w:r w:rsidR="000E4D92">
        <w:t>,</w:t>
      </w:r>
      <w:r>
        <w:t xml:space="preserve"> sub. 3, p. 10)</w:t>
      </w:r>
    </w:p>
    <w:p w14:paraId="5A96E100" w14:textId="301779CB" w:rsidR="000A0017" w:rsidRPr="005C3801" w:rsidRDefault="000A0017" w:rsidP="000A0017">
      <w:pPr>
        <w:pStyle w:val="Quote"/>
      </w:pPr>
      <w:r w:rsidRPr="005C3801">
        <w:t>The Department recognises the potential value of the Crown Use provisions in protecting national public health interests.</w:t>
      </w:r>
      <w:r>
        <w:t xml:space="preserve"> (Department of Health and Ageing</w:t>
      </w:r>
      <w:r w:rsidR="000E4D92">
        <w:t>,</w:t>
      </w:r>
      <w:r>
        <w:t xml:space="preserve"> sub. 22, p. 5)</w:t>
      </w:r>
    </w:p>
    <w:p w14:paraId="6942AE70" w14:textId="629B26B3" w:rsidR="000A0017" w:rsidRDefault="000A0017" w:rsidP="000A0017">
      <w:pPr>
        <w:pStyle w:val="BodyText"/>
      </w:pPr>
      <w:r>
        <w:t xml:space="preserve">That said, utilising the provisions involves significant interference with the rights of patent holders. As a result, some inquiry participants cautioned that </w:t>
      </w:r>
      <w:r w:rsidR="00A41F16">
        <w:t xml:space="preserve">routine use of the provisions could undermine confidence in the patents system, and as such, </w:t>
      </w:r>
      <w:r>
        <w:t>the provisions should only be invoked in exceptional circumstances:</w:t>
      </w:r>
    </w:p>
    <w:p w14:paraId="3E2AFF0A" w14:textId="27BC5B3D" w:rsidR="000A0017" w:rsidRDefault="000A0017" w:rsidP="000A0017">
      <w:pPr>
        <w:pStyle w:val="Quote"/>
      </w:pPr>
      <w:r>
        <w:t>[The Institute of Patent and Trademark Attorneys and the</w:t>
      </w:r>
      <w:r w:rsidRPr="00A47679">
        <w:t xml:space="preserve"> Australian Federation of Intellectual Property Attorneys</w:t>
      </w:r>
      <w:r>
        <w:t>]</w:t>
      </w:r>
      <w:r w:rsidRPr="00A47679">
        <w:t xml:space="preserve"> </w:t>
      </w:r>
      <w:r w:rsidRPr="00E07678">
        <w:t>would caution the Crown against use of the Crown use provisions except in cases of extreme urgency in order to preserve the integrity of the patent system so far as patentees and investors are concerned.</w:t>
      </w:r>
      <w:r>
        <w:t xml:space="preserve"> (</w:t>
      </w:r>
      <w:r w:rsidRPr="00BB53B4">
        <w:t>Institute of Patent and Trademark Attorneys</w:t>
      </w:r>
      <w:r>
        <w:t>,</w:t>
      </w:r>
      <w:r w:rsidRPr="00BB53B4">
        <w:t xml:space="preserve"> </w:t>
      </w:r>
      <w:r>
        <w:t>sub. 18, p. 7)</w:t>
      </w:r>
    </w:p>
    <w:p w14:paraId="1287023F" w14:textId="77777777" w:rsidR="000A0017" w:rsidRDefault="000A0017" w:rsidP="000A0017">
      <w:pPr>
        <w:pStyle w:val="Quote"/>
      </w:pPr>
      <w:r w:rsidRPr="00E07678">
        <w:lastRenderedPageBreak/>
        <w:t>Crown Use provisions provide a safeguard to any adverse impact of patent protection on public interest. These provisions should be used cautiously and for exceptional circumstances only since undertaking research and development in biomedicine is risky and expensive.</w:t>
      </w:r>
      <w:r>
        <w:t xml:space="preserve"> (Walter and Eliza Hall Institute of Medical Research, sub. 13, p. 8)</w:t>
      </w:r>
    </w:p>
    <w:p w14:paraId="606DD5AB" w14:textId="16E0E1F8" w:rsidR="000A0017" w:rsidRDefault="000A0017" w:rsidP="000A0017">
      <w:pPr>
        <w:pStyle w:val="BodyText"/>
      </w:pPr>
      <w:r>
        <w:t xml:space="preserve">This would include public health emergencies. A practical example is the US and Canadian Governments’ consideration, in 2001, to invoke their powers to access a treatment for anthrax without the patent owner’s authorisation (box </w:t>
      </w:r>
      <w:r w:rsidR="007517D0">
        <w:t>7.2</w:t>
      </w:r>
      <w:r>
        <w:t xml:space="preserve">). </w:t>
      </w:r>
    </w:p>
    <w:p w14:paraId="70AAF675" w14:textId="431EBBF7" w:rsidR="000A0017" w:rsidRDefault="000A0017" w:rsidP="000A0017">
      <w:pPr>
        <w:pStyle w:val="BodyText"/>
      </w:pPr>
      <w:r w:rsidRPr="00901EEB">
        <w:t xml:space="preserve">Emergency use </w:t>
      </w:r>
      <w:r w:rsidR="00432E41">
        <w:t>of this nature</w:t>
      </w:r>
      <w:r w:rsidR="002E1C26">
        <w:t xml:space="preserve"> </w:t>
      </w:r>
      <w:r w:rsidRPr="00901EEB">
        <w:t xml:space="preserve">is </w:t>
      </w:r>
      <w:r w:rsidR="002E1C26">
        <w:t xml:space="preserve">relatively </w:t>
      </w:r>
      <w:r w:rsidRPr="00901EEB">
        <w:t>less contentious in the context of international trade. For example, the U</w:t>
      </w:r>
      <w:r w:rsidR="00025169">
        <w:t xml:space="preserve">nited </w:t>
      </w:r>
      <w:r w:rsidRPr="00901EEB">
        <w:t>S</w:t>
      </w:r>
      <w:r w:rsidR="00025169">
        <w:t>tates</w:t>
      </w:r>
      <w:r w:rsidRPr="00901EEB">
        <w:t xml:space="preserve"> has been a critic of the use of non</w:t>
      </w:r>
      <w:r w:rsidR="002E1C26">
        <w:noBreakHyphen/>
      </w:r>
      <w:r w:rsidRPr="00901EEB">
        <w:t>voluntary licensing provisions (SLCAL</w:t>
      </w:r>
      <w:r w:rsidR="0037714D">
        <w:t>C</w:t>
      </w:r>
      <w:r w:rsidRPr="00901EEB">
        <w:t xml:space="preserve"> 2011). In contrast, emergency use is widely acc</w:t>
      </w:r>
      <w:r w:rsidR="0037714D">
        <w:t xml:space="preserve">epted as legitimate. </w:t>
      </w:r>
      <w:r w:rsidR="0037714D" w:rsidRPr="0037714D">
        <w:t xml:space="preserve">The </w:t>
      </w:r>
      <w:r w:rsidR="0037714D" w:rsidRPr="0037714D">
        <w:rPr>
          <w:lang w:val="en"/>
        </w:rPr>
        <w:t xml:space="preserve">Agreement on Trade Related Aspects of Intellectual Property Rights </w:t>
      </w:r>
      <w:r w:rsidR="0037714D">
        <w:t>(TRIPS a</w:t>
      </w:r>
      <w:r w:rsidRPr="00901EEB">
        <w:t>greement</w:t>
      </w:r>
      <w:r w:rsidR="0037714D">
        <w:t>)</w:t>
      </w:r>
      <w:r w:rsidRPr="00901EEB">
        <w:t xml:space="preserve"> explicitly provides for the emergency use of </w:t>
      </w:r>
      <w:r w:rsidR="00C10CB6" w:rsidRPr="00C10CB6">
        <w:t xml:space="preserve">a patented invention (by the government or a third party authorised by the government) without the authorisation of the patent holder </w:t>
      </w:r>
      <w:r w:rsidRPr="00901EEB">
        <w:t xml:space="preserve">(appendix D). </w:t>
      </w:r>
    </w:p>
    <w:p w14:paraId="44063918" w14:textId="4ED91272" w:rsidR="000A0017" w:rsidRDefault="000A0017" w:rsidP="000A001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A0017" w14:paraId="67981AC9" w14:textId="77777777" w:rsidTr="000A0017">
        <w:tc>
          <w:tcPr>
            <w:tcW w:w="8771" w:type="dxa"/>
            <w:tcBorders>
              <w:top w:val="single" w:sz="6" w:space="0" w:color="auto"/>
              <w:bottom w:val="nil"/>
            </w:tcBorders>
          </w:tcPr>
          <w:p w14:paraId="3DC91E31" w14:textId="5BD0633E" w:rsidR="000A0017" w:rsidRDefault="000A0017" w:rsidP="000A0017">
            <w:pPr>
              <w:pStyle w:val="BoxTitle"/>
            </w:pPr>
            <w:r>
              <w:rPr>
                <w:b w:val="0"/>
              </w:rPr>
              <w:t xml:space="preserve">Box </w:t>
            </w:r>
            <w:bookmarkStart w:id="3" w:name="OLE_LINK3"/>
            <w:r w:rsidR="007517D0">
              <w:rPr>
                <w:b w:val="0"/>
              </w:rPr>
              <w:t>7.</w:t>
            </w:r>
            <w:r w:rsidR="007517D0">
              <w:rPr>
                <w:b w:val="0"/>
                <w:noProof/>
              </w:rPr>
              <w:t>2</w:t>
            </w:r>
            <w:bookmarkEnd w:id="3"/>
            <w:r>
              <w:tab/>
              <w:t>Emergency use of Bayer’s patent for ciprofloxacin</w:t>
            </w:r>
          </w:p>
        </w:tc>
      </w:tr>
      <w:tr w:rsidR="000A0017" w14:paraId="21E5ED17" w14:textId="77777777" w:rsidTr="000A0017">
        <w:trPr>
          <w:cantSplit/>
        </w:trPr>
        <w:tc>
          <w:tcPr>
            <w:tcW w:w="8771" w:type="dxa"/>
            <w:tcBorders>
              <w:top w:val="nil"/>
              <w:left w:val="single" w:sz="6" w:space="0" w:color="auto"/>
              <w:bottom w:val="nil"/>
              <w:right w:val="single" w:sz="6" w:space="0" w:color="auto"/>
            </w:tcBorders>
          </w:tcPr>
          <w:p w14:paraId="51487AD1" w14:textId="0F4D115F" w:rsidR="000A0017" w:rsidRDefault="000A0017" w:rsidP="000A0017">
            <w:pPr>
              <w:pStyle w:val="Box"/>
            </w:pPr>
            <w:r>
              <w:t>I</w:t>
            </w:r>
            <w:r w:rsidRPr="00663B18">
              <w:t xml:space="preserve">n </w:t>
            </w:r>
            <w:r>
              <w:t xml:space="preserve">September </w:t>
            </w:r>
            <w:r w:rsidRPr="00663B18">
              <w:t>of 2001</w:t>
            </w:r>
            <w:r>
              <w:t>,</w:t>
            </w:r>
            <w:r w:rsidRPr="00663B18">
              <w:t xml:space="preserve"> </w:t>
            </w:r>
            <w:r>
              <w:t xml:space="preserve">a series of </w:t>
            </w:r>
            <w:r w:rsidRPr="00663B18">
              <w:t>bioterrorism attack</w:t>
            </w:r>
            <w:r>
              <w:t>s</w:t>
            </w:r>
            <w:r w:rsidRPr="00663B18">
              <w:t xml:space="preserve"> </w:t>
            </w:r>
            <w:r>
              <w:t xml:space="preserve">occurred </w:t>
            </w:r>
            <w:r w:rsidRPr="00663B18">
              <w:t>in the United States</w:t>
            </w:r>
            <w:r>
              <w:t xml:space="preserve"> with the </w:t>
            </w:r>
            <w:r w:rsidRPr="00663B18">
              <w:t>spread</w:t>
            </w:r>
            <w:r>
              <w:t xml:space="preserve">ing of </w:t>
            </w:r>
            <w:r w:rsidRPr="00663B18">
              <w:t>anthrax</w:t>
            </w:r>
            <w:r>
              <w:t xml:space="preserve"> </w:t>
            </w:r>
            <w:r w:rsidRPr="00663B18">
              <w:rPr>
                <w:i/>
                <w:iCs/>
              </w:rPr>
              <w:t xml:space="preserve">(Bacillus anthracis) </w:t>
            </w:r>
            <w:r w:rsidRPr="00663B18">
              <w:t>spores through the mail.</w:t>
            </w:r>
            <w:r>
              <w:t xml:space="preserve"> The attacks led to the death</w:t>
            </w:r>
            <w:r w:rsidR="0037714D">
              <w:t>s</w:t>
            </w:r>
            <w:r>
              <w:t xml:space="preserve"> of five people, the infection of 17 others, and many</w:t>
            </w:r>
            <w:r w:rsidRPr="00663B18">
              <w:t xml:space="preserve"> more tested positive</w:t>
            </w:r>
            <w:r w:rsidRPr="00824A55">
              <w:rPr>
                <w:rFonts w:ascii="RealpageGAR11" w:hAnsi="RealpageGAR11" w:cs="RealpageGAR11"/>
                <w:sz w:val="21"/>
                <w:szCs w:val="21"/>
              </w:rPr>
              <w:t xml:space="preserve"> </w:t>
            </w:r>
            <w:r w:rsidRPr="00824A55">
              <w:t>for anthrax exposure</w:t>
            </w:r>
            <w:r>
              <w:t xml:space="preserve">. </w:t>
            </w:r>
          </w:p>
          <w:p w14:paraId="649C900C" w14:textId="3F0035A5" w:rsidR="000A0017" w:rsidRDefault="000A0017" w:rsidP="000A0017">
            <w:pPr>
              <w:pStyle w:val="Box"/>
            </w:pPr>
            <w:r>
              <w:t xml:space="preserve">Public fear about the attack led </w:t>
            </w:r>
            <w:r w:rsidRPr="00824A55">
              <w:t xml:space="preserve">thousands </w:t>
            </w:r>
            <w:r>
              <w:t xml:space="preserve">of Americans and Canadians to </w:t>
            </w:r>
            <w:r w:rsidRPr="00824A55">
              <w:t>tak</w:t>
            </w:r>
            <w:r>
              <w:t>e</w:t>
            </w:r>
            <w:r w:rsidRPr="00824A55">
              <w:t xml:space="preserve"> antibiotics as a prophylactic measure. A broad</w:t>
            </w:r>
            <w:r>
              <w:t xml:space="preserve"> </w:t>
            </w:r>
            <w:r w:rsidRPr="00824A55">
              <w:t>s</w:t>
            </w:r>
            <w:r>
              <w:t>pectrum antibiotic made by Bayer </w:t>
            </w:r>
            <w:r w:rsidRPr="00824A55">
              <w:t>A.G.</w:t>
            </w:r>
            <w:r>
              <w:t xml:space="preserve"> (Bayer)</w:t>
            </w:r>
            <w:r w:rsidRPr="00824A55">
              <w:t>, cipro</w:t>
            </w:r>
            <w:r>
              <w:t>flo</w:t>
            </w:r>
            <w:r w:rsidRPr="00824A55">
              <w:t>xacin (Cipro), became the drug of</w:t>
            </w:r>
            <w:r>
              <w:t xml:space="preserve"> </w:t>
            </w:r>
            <w:r w:rsidRPr="00824A55">
              <w:t>choice</w:t>
            </w:r>
            <w:r>
              <w:t xml:space="preserve"> for many</w:t>
            </w:r>
            <w:r w:rsidRPr="00824A55">
              <w:t xml:space="preserve">. </w:t>
            </w:r>
            <w:r>
              <w:t xml:space="preserve">It was believed that </w:t>
            </w:r>
            <w:r w:rsidRPr="00925ECF">
              <w:t xml:space="preserve">Cipro would be effective at treating infections from anthrax </w:t>
            </w:r>
            <w:r>
              <w:t xml:space="preserve">since it was chosen by </w:t>
            </w:r>
            <w:r w:rsidRPr="00925ECF">
              <w:t xml:space="preserve">the U.S. Army </w:t>
            </w:r>
            <w:r>
              <w:t xml:space="preserve">for </w:t>
            </w:r>
            <w:r w:rsidRPr="00925ECF">
              <w:t>use against a potential biological weapons attack from Iraq</w:t>
            </w:r>
            <w:r>
              <w:t>,</w:t>
            </w:r>
            <w:r w:rsidRPr="00925ECF">
              <w:t xml:space="preserve"> </w:t>
            </w:r>
            <w:r>
              <w:t>d</w:t>
            </w:r>
            <w:r w:rsidRPr="00925ECF">
              <w:t>uring the Gulf War.</w:t>
            </w:r>
            <w:r>
              <w:t xml:space="preserve"> </w:t>
            </w:r>
            <w:r w:rsidRPr="00824A55">
              <w:t xml:space="preserve">In the </w:t>
            </w:r>
            <w:r>
              <w:t xml:space="preserve">following </w:t>
            </w:r>
            <w:r w:rsidRPr="00824A55">
              <w:t>days, thousands of people</w:t>
            </w:r>
            <w:r>
              <w:t xml:space="preserve"> </w:t>
            </w:r>
            <w:r w:rsidRPr="00824A55">
              <w:t xml:space="preserve">sought to obtain the drug </w:t>
            </w:r>
            <w:r>
              <w:t xml:space="preserve">and </w:t>
            </w:r>
            <w:r w:rsidRPr="00824A55">
              <w:t>the fear of Cipro</w:t>
            </w:r>
            <w:r>
              <w:t xml:space="preserve"> </w:t>
            </w:r>
            <w:r w:rsidRPr="00824A55">
              <w:t xml:space="preserve">shortages became acute. </w:t>
            </w:r>
          </w:p>
          <w:p w14:paraId="654EFA51" w14:textId="18DF5A73" w:rsidR="000A0017" w:rsidRPr="00663B18" w:rsidRDefault="000A0017" w:rsidP="000A0017">
            <w:pPr>
              <w:pStyle w:val="Box"/>
            </w:pPr>
            <w:r w:rsidRPr="00824A55">
              <w:t xml:space="preserve">In order to increase production of Cipro, </w:t>
            </w:r>
            <w:r>
              <w:t>the United States and Canadian Governments</w:t>
            </w:r>
            <w:r w:rsidRPr="00824A55">
              <w:t xml:space="preserve"> considered overriding</w:t>
            </w:r>
            <w:r>
              <w:t xml:space="preserve"> </w:t>
            </w:r>
            <w:r w:rsidRPr="00824A55">
              <w:t>Bayer’s patent. Canada, in fact, overrode Bayer’s patent for a</w:t>
            </w:r>
            <w:r>
              <w:t xml:space="preserve"> </w:t>
            </w:r>
            <w:r w:rsidRPr="00824A55">
              <w:t>few days until Bayer reached a deal with the Canadian</w:t>
            </w:r>
            <w:r>
              <w:t xml:space="preserve"> </w:t>
            </w:r>
            <w:r w:rsidRPr="00824A55">
              <w:t xml:space="preserve">government. </w:t>
            </w:r>
            <w:r>
              <w:t xml:space="preserve">In the US some politicians </w:t>
            </w:r>
            <w:r w:rsidRPr="00824A55">
              <w:t xml:space="preserve">urged </w:t>
            </w:r>
            <w:r>
              <w:t xml:space="preserve">the </w:t>
            </w:r>
            <w:r w:rsidRPr="00824A55">
              <w:t>enlist</w:t>
            </w:r>
            <w:r>
              <w:t>ment of</w:t>
            </w:r>
            <w:r w:rsidRPr="00824A55">
              <w:t xml:space="preserve"> generic drug companies to</w:t>
            </w:r>
            <w:r>
              <w:t xml:space="preserve"> </w:t>
            </w:r>
            <w:r w:rsidRPr="00824A55">
              <w:t>manufacture Cipro in order to</w:t>
            </w:r>
            <w:r>
              <w:t xml:space="preserve"> </w:t>
            </w:r>
            <w:r w:rsidRPr="00824A55">
              <w:t xml:space="preserve">avoid a shortage. </w:t>
            </w:r>
            <w:r>
              <w:t>However, s</w:t>
            </w:r>
            <w:r w:rsidRPr="00824A55">
              <w:t xml:space="preserve">uch intervention was </w:t>
            </w:r>
            <w:r>
              <w:t xml:space="preserve">ultimately </w:t>
            </w:r>
            <w:r w:rsidRPr="00824A55">
              <w:t>not necessary, as by</w:t>
            </w:r>
            <w:r>
              <w:t xml:space="preserve"> </w:t>
            </w:r>
            <w:r w:rsidRPr="00824A55">
              <w:t xml:space="preserve">25 October the </w:t>
            </w:r>
            <w:r>
              <w:t>United States</w:t>
            </w:r>
            <w:r w:rsidRPr="00824A55">
              <w:t xml:space="preserve"> </w:t>
            </w:r>
            <w:r>
              <w:t>G</w:t>
            </w:r>
            <w:r w:rsidRPr="00824A55">
              <w:t xml:space="preserve">overnment </w:t>
            </w:r>
            <w:r>
              <w:t xml:space="preserve">had also </w:t>
            </w:r>
            <w:r w:rsidRPr="00824A55">
              <w:t>reached a deal</w:t>
            </w:r>
            <w:r>
              <w:t xml:space="preserve"> </w:t>
            </w:r>
            <w:r w:rsidRPr="00824A55">
              <w:t>with Bayer.</w:t>
            </w:r>
            <w:r>
              <w:t xml:space="preserve"> </w:t>
            </w:r>
            <w:r w:rsidRPr="00824A55">
              <w:t xml:space="preserve">Bayer </w:t>
            </w:r>
            <w:r>
              <w:t xml:space="preserve">agreed to </w:t>
            </w:r>
            <w:r w:rsidRPr="00824A55">
              <w:t>accelerate its production</w:t>
            </w:r>
            <w:r>
              <w:t xml:space="preserve"> </w:t>
            </w:r>
            <w:r w:rsidRPr="00824A55">
              <w:t>of Cipro to meet the increased demand, and</w:t>
            </w:r>
            <w:r>
              <w:t xml:space="preserve"> to drop its price</w:t>
            </w:r>
            <w:r w:rsidRPr="00824A55">
              <w:t>. Before October 2001</w:t>
            </w:r>
            <w:r>
              <w:t xml:space="preserve"> </w:t>
            </w:r>
            <w:r w:rsidRPr="00824A55">
              <w:t>the average price of Cipro was $</w:t>
            </w:r>
            <w:r>
              <w:t>US</w:t>
            </w:r>
            <w:r w:rsidRPr="00824A55">
              <w:t>4.25 per tablet, but</w:t>
            </w:r>
            <w:r>
              <w:t xml:space="preserve"> </w:t>
            </w:r>
            <w:r w:rsidRPr="00824A55">
              <w:t xml:space="preserve">Bayer cut its prices </w:t>
            </w:r>
            <w:r>
              <w:t xml:space="preserve">by </w:t>
            </w:r>
            <w:r w:rsidRPr="00824A55">
              <w:t>more than 70</w:t>
            </w:r>
            <w:r>
              <w:t xml:space="preserve"> per cent</w:t>
            </w:r>
            <w:r w:rsidRPr="00824A55">
              <w:t xml:space="preserve"> as a result</w:t>
            </w:r>
            <w:r>
              <w:t xml:space="preserve"> </w:t>
            </w:r>
            <w:r w:rsidRPr="00824A55">
              <w:t>of its agreements with the United States and Canada.</w:t>
            </w:r>
            <w:r>
              <w:t xml:space="preserve"> </w:t>
            </w:r>
          </w:p>
        </w:tc>
      </w:tr>
      <w:tr w:rsidR="000A0017" w14:paraId="067E1DC1" w14:textId="77777777" w:rsidTr="000A0017">
        <w:trPr>
          <w:cantSplit/>
        </w:trPr>
        <w:tc>
          <w:tcPr>
            <w:tcW w:w="8771" w:type="dxa"/>
            <w:tcBorders>
              <w:top w:val="nil"/>
              <w:left w:val="single" w:sz="6" w:space="0" w:color="auto"/>
              <w:bottom w:val="nil"/>
              <w:right w:val="single" w:sz="6" w:space="0" w:color="auto"/>
            </w:tcBorders>
          </w:tcPr>
          <w:p w14:paraId="0CC541E8" w14:textId="77777777" w:rsidR="000A0017" w:rsidRDefault="000A0017" w:rsidP="000A0017">
            <w:pPr>
              <w:pStyle w:val="BoxSource"/>
            </w:pPr>
            <w:r>
              <w:rPr>
                <w:i/>
              </w:rPr>
              <w:t>Source</w:t>
            </w:r>
            <w:r w:rsidRPr="00167F06">
              <w:t xml:space="preserve">: </w:t>
            </w:r>
            <w:r>
              <w:t>Resnick and De Ville (2002).</w:t>
            </w:r>
          </w:p>
        </w:tc>
      </w:tr>
      <w:tr w:rsidR="000A0017" w14:paraId="7BE5B612" w14:textId="77777777" w:rsidTr="000A0017">
        <w:trPr>
          <w:cantSplit/>
        </w:trPr>
        <w:tc>
          <w:tcPr>
            <w:tcW w:w="8771" w:type="dxa"/>
            <w:tcBorders>
              <w:top w:val="nil"/>
              <w:left w:val="single" w:sz="6" w:space="0" w:color="auto"/>
              <w:bottom w:val="single" w:sz="6" w:space="0" w:color="auto"/>
              <w:right w:val="single" w:sz="6" w:space="0" w:color="auto"/>
            </w:tcBorders>
          </w:tcPr>
          <w:p w14:paraId="2F4818A1" w14:textId="77777777" w:rsidR="000A0017" w:rsidRDefault="000A0017" w:rsidP="000A0017">
            <w:pPr>
              <w:pStyle w:val="Box"/>
              <w:spacing w:before="0" w:line="120" w:lineRule="exact"/>
            </w:pPr>
          </w:p>
        </w:tc>
      </w:tr>
      <w:tr w:rsidR="000A0017" w:rsidRPr="000863A5" w14:paraId="6C42435C" w14:textId="77777777" w:rsidTr="000A0017">
        <w:tc>
          <w:tcPr>
            <w:tcW w:w="8771" w:type="dxa"/>
            <w:tcBorders>
              <w:top w:val="nil"/>
              <w:left w:val="nil"/>
              <w:bottom w:val="nil"/>
              <w:right w:val="nil"/>
            </w:tcBorders>
          </w:tcPr>
          <w:p w14:paraId="3686CBB9" w14:textId="78A58D55" w:rsidR="000A0017" w:rsidRPr="000863A5" w:rsidRDefault="000A0017" w:rsidP="000A0017">
            <w:pPr>
              <w:pStyle w:val="Box"/>
              <w:keepNext w:val="0"/>
              <w:spacing w:before="60" w:after="60" w:line="80" w:lineRule="exact"/>
              <w:rPr>
                <w:b/>
                <w:sz w:val="14"/>
              </w:rPr>
            </w:pPr>
          </w:p>
        </w:tc>
      </w:tr>
    </w:tbl>
    <w:p w14:paraId="7DB3CB67" w14:textId="0A6B3442" w:rsidR="00053B28" w:rsidRDefault="00053B28" w:rsidP="00053B28">
      <w:pPr>
        <w:pStyle w:val="BodyText"/>
      </w:pPr>
      <w:r>
        <w:lastRenderedPageBreak/>
        <w:t>While the Commission agrees that Crown use provisions should not be routinely used, and that they are particularly useful in emergencies, the provisions have a wider application. Like compulsory licensing among private parties, Crown use should continue to be an option, irrespective of whether there is an emergency, if a patented invention is not available to the Australian community on reasonable terms and conditions. That said, in order to avoid undermining the efficiency goal of the patents system,</w:t>
      </w:r>
      <w:r w:rsidRPr="003E4853">
        <w:t xml:space="preserve"> </w:t>
      </w:r>
      <w:r>
        <w:t>governments</w:t>
      </w:r>
      <w:r w:rsidR="0037714D">
        <w:t xml:space="preserve"> using the Crown use provisions</w:t>
      </w:r>
      <w:r>
        <w:t xml:space="preserve"> should ensure that the benefits of use outweigh the costs.</w:t>
      </w:r>
    </w:p>
    <w:p w14:paraId="758F31D7" w14:textId="77777777" w:rsidR="00053B28" w:rsidRDefault="00053B28" w:rsidP="00053B28">
      <w:pPr>
        <w:pStyle w:val="Heading3"/>
      </w:pPr>
      <w:r>
        <w:t>Past reviews of Crown use</w:t>
      </w:r>
    </w:p>
    <w:p w14:paraId="1177F5E0" w14:textId="77777777" w:rsidR="00053B28" w:rsidRPr="007957F9" w:rsidRDefault="00053B28" w:rsidP="00053B28">
      <w:pPr>
        <w:pStyle w:val="BodyText"/>
      </w:pPr>
      <w:r>
        <w:t xml:space="preserve">The most comprehensive review of the Crown use provisions was conducted by ACIP in 2005. The review encompassed the Crown use provisions in the Patents Act and the </w:t>
      </w:r>
      <w:r w:rsidRPr="00C47CDA">
        <w:rPr>
          <w:i/>
        </w:rPr>
        <w:t>Designs Act 2003</w:t>
      </w:r>
      <w:r>
        <w:t xml:space="preserve"> (Cwlth). It </w:t>
      </w:r>
      <w:r w:rsidRPr="00E4684D">
        <w:t>called for various changes to place greater discipline on use of the provisions and reduce uncertainty about the compensation received by patent holders</w:t>
      </w:r>
      <w:r>
        <w:t xml:space="preserve"> (box 7.3)</w:t>
      </w:r>
      <w:r w:rsidRPr="00E4684D">
        <w:t>. The Australian Government did not issue a response to the recommendations on the grounds that there was no substantial evidence that the provisions were being misused (ACIP 2010</w:t>
      </w:r>
      <w:r>
        <w:t>b</w:t>
      </w:r>
      <w:r w:rsidRPr="00E4684D">
        <w:t>). Instead, it wrote to Commonwealth Ministers, and to State and Territory innovation and local government Ministers, outlining governments’ obligations when exercising their rights to Crown use.</w:t>
      </w:r>
    </w:p>
    <w:p w14:paraId="771CF94D" w14:textId="7235CDA2" w:rsidR="007B7F7D" w:rsidRPr="007B7F7D" w:rsidRDefault="007B7F7D" w:rsidP="007B7F7D">
      <w:pPr>
        <w:pStyle w:val="BodyText"/>
      </w:pPr>
      <w:r w:rsidRPr="007B7F7D">
        <w:t>The Australian Law Reform Commission (ALRC 2004) also examined Crown use as part of a review of gene patents. It made recommendations aimed at making the Crown use provisions more ‘fit for purpose’ in ensuring access to healthcare. This included amendments that specifically raise healthcare as a rationale for invoking the provisions, and amendments to clarify the remuneration responsibilities of governments in these instances.</w:t>
      </w:r>
    </w:p>
    <w:p w14:paraId="2D94E972" w14:textId="77777777" w:rsidR="007B7F7D" w:rsidRPr="007B7F7D" w:rsidRDefault="007B7F7D" w:rsidP="007B7F7D">
      <w:pPr>
        <w:pStyle w:val="BodyText"/>
      </w:pPr>
      <w:r w:rsidRPr="007B7F7D">
        <w:t>The recommendations of the ALRC were endorsed by the Senate Community Affairs References Committee in its review of gene patents (SCARC 2010). It also recommended:</w:t>
      </w:r>
    </w:p>
    <w:p w14:paraId="15D3277E" w14:textId="6EEB40FD" w:rsidR="007B7F7D" w:rsidRDefault="001633B6" w:rsidP="00B83790">
      <w:pPr>
        <w:pStyle w:val="Quote"/>
      </w:pPr>
      <w:r>
        <w:t>… </w:t>
      </w:r>
      <w:r w:rsidR="007B7F7D" w:rsidRPr="007B7F7D">
        <w:t>the Patents Act 1990 be amended to clarify the circumstances in which the Crown use provisions may be employed; and that the Government develop clear policies for the use of the Crown use provisions. (SCARC 2010, p. xvii</w:t>
      </w:r>
      <w:r w:rsidR="00AF4F66">
        <w:t>i</w:t>
      </w:r>
      <w:r w:rsidR="007B7F7D" w:rsidRPr="007B7F7D">
        <w:t>)</w:t>
      </w:r>
    </w:p>
    <w:p w14:paraId="103C59BA" w14:textId="022BE1A1" w:rsidR="00B71B19" w:rsidRDefault="00B71B19" w:rsidP="00B71B1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71B19" w14:paraId="36807A52" w14:textId="77777777" w:rsidTr="00F60AB5">
        <w:tc>
          <w:tcPr>
            <w:tcW w:w="8771" w:type="dxa"/>
            <w:tcBorders>
              <w:top w:val="single" w:sz="6" w:space="0" w:color="auto"/>
              <w:bottom w:val="nil"/>
            </w:tcBorders>
          </w:tcPr>
          <w:p w14:paraId="764B015E" w14:textId="36EC5556" w:rsidR="00B71B19" w:rsidRDefault="00B71B19" w:rsidP="00F60AB5">
            <w:pPr>
              <w:pStyle w:val="BoxTitle"/>
            </w:pPr>
            <w:r>
              <w:rPr>
                <w:b w:val="0"/>
              </w:rPr>
              <w:t xml:space="preserve">Box </w:t>
            </w:r>
            <w:bookmarkStart w:id="4" w:name="OLE_LINK1"/>
            <w:r w:rsidR="007517D0">
              <w:rPr>
                <w:b w:val="0"/>
              </w:rPr>
              <w:t>7.</w:t>
            </w:r>
            <w:r w:rsidR="007517D0">
              <w:rPr>
                <w:b w:val="0"/>
                <w:noProof/>
              </w:rPr>
              <w:t>3</w:t>
            </w:r>
            <w:bookmarkEnd w:id="4"/>
            <w:r>
              <w:tab/>
              <w:t>Recommendations from the ACIP review of Crown use</w:t>
            </w:r>
          </w:p>
        </w:tc>
      </w:tr>
      <w:tr w:rsidR="00B71B19" w14:paraId="188B5FD6" w14:textId="77777777" w:rsidTr="00F60AB5">
        <w:trPr>
          <w:cantSplit/>
        </w:trPr>
        <w:tc>
          <w:tcPr>
            <w:tcW w:w="8771" w:type="dxa"/>
            <w:tcBorders>
              <w:top w:val="nil"/>
              <w:left w:val="single" w:sz="6" w:space="0" w:color="auto"/>
              <w:bottom w:val="nil"/>
              <w:right w:val="single" w:sz="6" w:space="0" w:color="auto"/>
            </w:tcBorders>
          </w:tcPr>
          <w:p w14:paraId="79E16956" w14:textId="77777777" w:rsidR="00B71B19" w:rsidRDefault="00B71B19" w:rsidP="00F60AB5">
            <w:pPr>
              <w:pStyle w:val="Box"/>
            </w:pPr>
            <w:r>
              <w:t>In 2005, the Advisory Council on Intellectual Property made the following recommendations to the Australian Government about crown use:</w:t>
            </w:r>
          </w:p>
          <w:p w14:paraId="5793085E" w14:textId="77777777" w:rsidR="00B71B19" w:rsidRPr="000C1DA1" w:rsidRDefault="00B71B19" w:rsidP="00F60AB5">
            <w:pPr>
              <w:pStyle w:val="BoxHeading1"/>
            </w:pPr>
            <w:r w:rsidRPr="000C1DA1">
              <w:t xml:space="preserve">The Need for Prior Consent </w:t>
            </w:r>
          </w:p>
          <w:p w14:paraId="3EB4EF37" w14:textId="77777777" w:rsidR="00B71B19" w:rsidRPr="000C1DA1" w:rsidRDefault="00B71B19" w:rsidP="00F60AB5">
            <w:pPr>
              <w:pStyle w:val="Box"/>
            </w:pPr>
            <w:r>
              <w:t>The P</w:t>
            </w:r>
            <w:r w:rsidRPr="000C1DA1">
              <w:t xml:space="preserve">atents </w:t>
            </w:r>
            <w:r>
              <w:t>Act</w:t>
            </w:r>
            <w:r w:rsidRPr="000C1DA1">
              <w:t xml:space="preserve"> </w:t>
            </w:r>
            <w:r>
              <w:t xml:space="preserve">should </w:t>
            </w:r>
            <w:r w:rsidRPr="000C1DA1">
              <w:t>be amended to</w:t>
            </w:r>
            <w:r>
              <w:t xml:space="preserve"> ensure</w:t>
            </w:r>
            <w:r w:rsidRPr="000C1DA1">
              <w:t xml:space="preserve"> that</w:t>
            </w:r>
            <w:r>
              <w:t>,</w:t>
            </w:r>
            <w:r w:rsidRPr="000C1DA1">
              <w:t xml:space="preserve"> prior to any use of a patent </w:t>
            </w:r>
            <w:r>
              <w:t xml:space="preserve">by </w:t>
            </w:r>
            <w:r w:rsidRPr="000C1DA1">
              <w:t>the Crown</w:t>
            </w:r>
            <w:r>
              <w:t xml:space="preserve">, there are </w:t>
            </w:r>
            <w:r w:rsidRPr="000C1DA1">
              <w:t>genuine efforts to obtain authorisation from the right</w:t>
            </w:r>
            <w:r>
              <w:t>s</w:t>
            </w:r>
            <w:r w:rsidRPr="000C1DA1">
              <w:t xml:space="preserve"> holder</w:t>
            </w:r>
            <w:r>
              <w:t xml:space="preserve">. Furthermore, the Crown should be required to offer </w:t>
            </w:r>
            <w:r w:rsidRPr="000C1DA1">
              <w:t xml:space="preserve">reasonable commercial terms </w:t>
            </w:r>
            <w:r>
              <w:t xml:space="preserve">and attempt to reach agreement </w:t>
            </w:r>
            <w:r w:rsidRPr="000C1DA1">
              <w:t xml:space="preserve">within a reasonable period of time. </w:t>
            </w:r>
          </w:p>
          <w:p w14:paraId="3E49EE7E" w14:textId="77777777" w:rsidR="00B71B19" w:rsidRDefault="00B71B19" w:rsidP="00F60AB5">
            <w:pPr>
              <w:pStyle w:val="Box"/>
              <w:rPr>
                <w:rFonts w:ascii="Times New Roman" w:hAnsi="Times New Roman"/>
              </w:rPr>
            </w:pPr>
            <w:r w:rsidRPr="000C1DA1">
              <w:t>These requirements may be temporarily waived in cases of national emergency or other circumstances of extreme urgency or in cases of public non-commercial use</w:t>
            </w:r>
            <w:r>
              <w:t xml:space="preserve"> by </w:t>
            </w:r>
            <w:r w:rsidRPr="000C1DA1">
              <w:t>entities operating solely in the public interest</w:t>
            </w:r>
            <w:r>
              <w:t>. This would not extend to</w:t>
            </w:r>
            <w:r w:rsidRPr="000C1DA1">
              <w:t xml:space="preserve"> public/private organisations that predominantly operate for profit</w:t>
            </w:r>
            <w:r w:rsidRPr="000C1DA1">
              <w:rPr>
                <w:rFonts w:ascii="Times New Roman" w:hAnsi="Times New Roman"/>
              </w:rPr>
              <w:t>.</w:t>
            </w:r>
          </w:p>
          <w:p w14:paraId="354F25A0" w14:textId="77777777" w:rsidR="00B71B19" w:rsidRDefault="00B71B19" w:rsidP="00F60AB5">
            <w:pPr>
              <w:pStyle w:val="Box"/>
              <w:rPr>
                <w:b/>
                <w:bCs/>
              </w:rPr>
            </w:pPr>
            <w:r w:rsidRPr="008C4859">
              <w:rPr>
                <w:b/>
                <w:bCs/>
              </w:rPr>
              <w:t>Definition of the Crown and Ministerial Approval</w:t>
            </w:r>
          </w:p>
          <w:p w14:paraId="38633A66" w14:textId="77777777" w:rsidR="00B71B19" w:rsidRDefault="00B71B19" w:rsidP="00F60AB5">
            <w:pPr>
              <w:pStyle w:val="Box"/>
            </w:pPr>
            <w:r>
              <w:t xml:space="preserve">The Patents Act should require </w:t>
            </w:r>
            <w:r w:rsidRPr="008C4859">
              <w:t>organisation</w:t>
            </w:r>
            <w:r>
              <w:t>s</w:t>
            </w:r>
            <w:r w:rsidRPr="008C4859">
              <w:t xml:space="preserve"> </w:t>
            </w:r>
            <w:r>
              <w:t>using</w:t>
            </w:r>
            <w:r w:rsidRPr="008C4859">
              <w:t xml:space="preserve"> </w:t>
            </w:r>
            <w:r>
              <w:t xml:space="preserve">the Crown use provisions to seek </w:t>
            </w:r>
            <w:r w:rsidRPr="008C4859">
              <w:t xml:space="preserve">Ministerial approval prior to any such use. </w:t>
            </w:r>
            <w:r>
              <w:t xml:space="preserve">At the </w:t>
            </w:r>
            <w:r w:rsidRPr="008C4859">
              <w:t xml:space="preserve">State </w:t>
            </w:r>
            <w:r>
              <w:t xml:space="preserve">level, </w:t>
            </w:r>
            <w:r w:rsidRPr="008C4859">
              <w:t>organisations will require the prior approval of the relevant State Attorney General</w:t>
            </w:r>
            <w:r>
              <w:t xml:space="preserve">, and at the federal level, </w:t>
            </w:r>
            <w:r w:rsidRPr="008C4859">
              <w:t>require the prior approval of the Federal Minister with portfolio responsibility for the patent</w:t>
            </w:r>
            <w:r>
              <w:t>s</w:t>
            </w:r>
            <w:r w:rsidRPr="008C4859">
              <w:t xml:space="preserve"> legislation. </w:t>
            </w:r>
            <w:r>
              <w:t>The requirement to obtain Ministerial approval may be temporarily waived for emergency or public non-commercial use.</w:t>
            </w:r>
          </w:p>
          <w:p w14:paraId="51C43BA3" w14:textId="77777777" w:rsidR="00B71B19" w:rsidRDefault="00B71B19" w:rsidP="00F60AB5">
            <w:pPr>
              <w:pStyle w:val="BoxHeading1"/>
            </w:pPr>
            <w:r w:rsidRPr="008C4859">
              <w:t xml:space="preserve">Remuneration and Processes </w:t>
            </w:r>
          </w:p>
          <w:p w14:paraId="7030BB39" w14:textId="77777777" w:rsidR="00B71B19" w:rsidRPr="00D3098A" w:rsidRDefault="00B71B19" w:rsidP="00F60AB5">
            <w:pPr>
              <w:pStyle w:val="Box"/>
            </w:pPr>
            <w:r>
              <w:t>The Patents Act</w:t>
            </w:r>
            <w:r w:rsidRPr="008C4859">
              <w:t xml:space="preserve"> should </w:t>
            </w:r>
            <w:r>
              <w:t xml:space="preserve">state that patent owners </w:t>
            </w:r>
            <w:r w:rsidRPr="008C4859">
              <w:t>affec</w:t>
            </w:r>
            <w:r>
              <w:t xml:space="preserve">ted by the Crown use provisions are entitled to compensation that is </w:t>
            </w:r>
            <w:r w:rsidRPr="0044623B">
              <w:t>‘just and reasonable taking into consideration the circumstances o</w:t>
            </w:r>
            <w:r>
              <w:t xml:space="preserve">f the case’. </w:t>
            </w:r>
            <w:r w:rsidRPr="008C4859">
              <w:t>To facilitate agreement between the parties there should be a prescribed statutory remuneration pro</w:t>
            </w:r>
            <w:r>
              <w:t>cess in the patents legislation.</w:t>
            </w:r>
          </w:p>
        </w:tc>
      </w:tr>
      <w:tr w:rsidR="00B71B19" w14:paraId="2E7A37BD" w14:textId="77777777" w:rsidTr="00F60AB5">
        <w:trPr>
          <w:cantSplit/>
        </w:trPr>
        <w:tc>
          <w:tcPr>
            <w:tcW w:w="8771" w:type="dxa"/>
            <w:tcBorders>
              <w:top w:val="nil"/>
              <w:left w:val="single" w:sz="6" w:space="0" w:color="auto"/>
              <w:bottom w:val="nil"/>
              <w:right w:val="single" w:sz="6" w:space="0" w:color="auto"/>
            </w:tcBorders>
          </w:tcPr>
          <w:p w14:paraId="35E85E66" w14:textId="5B42C450" w:rsidR="00B71B19" w:rsidRDefault="00B71B19" w:rsidP="00F60AB5">
            <w:pPr>
              <w:pStyle w:val="BoxSource"/>
            </w:pPr>
            <w:r>
              <w:rPr>
                <w:i/>
              </w:rPr>
              <w:t>Source</w:t>
            </w:r>
            <w:r w:rsidRPr="00167F06">
              <w:t xml:space="preserve">: </w:t>
            </w:r>
            <w:r>
              <w:t>ACIP (2005</w:t>
            </w:r>
            <w:r w:rsidR="00B51406">
              <w:t>a</w:t>
            </w:r>
            <w:r>
              <w:t>).</w:t>
            </w:r>
          </w:p>
        </w:tc>
      </w:tr>
      <w:tr w:rsidR="00B71B19" w14:paraId="528720B6" w14:textId="77777777" w:rsidTr="00F60AB5">
        <w:trPr>
          <w:cantSplit/>
        </w:trPr>
        <w:tc>
          <w:tcPr>
            <w:tcW w:w="8771" w:type="dxa"/>
            <w:tcBorders>
              <w:top w:val="nil"/>
              <w:left w:val="single" w:sz="6" w:space="0" w:color="auto"/>
              <w:bottom w:val="single" w:sz="6" w:space="0" w:color="auto"/>
              <w:right w:val="single" w:sz="6" w:space="0" w:color="auto"/>
            </w:tcBorders>
          </w:tcPr>
          <w:p w14:paraId="21B9087B" w14:textId="77777777" w:rsidR="00B71B19" w:rsidRDefault="00B71B19" w:rsidP="00F60AB5">
            <w:pPr>
              <w:pStyle w:val="Box"/>
              <w:spacing w:before="0" w:line="120" w:lineRule="exact"/>
            </w:pPr>
          </w:p>
        </w:tc>
      </w:tr>
      <w:tr w:rsidR="00B71B19" w:rsidRPr="000863A5" w14:paraId="5EBD4D27" w14:textId="77777777" w:rsidTr="00F60AB5">
        <w:tc>
          <w:tcPr>
            <w:tcW w:w="8771" w:type="dxa"/>
            <w:tcBorders>
              <w:top w:val="nil"/>
              <w:left w:val="nil"/>
              <w:bottom w:val="nil"/>
              <w:right w:val="nil"/>
            </w:tcBorders>
          </w:tcPr>
          <w:p w14:paraId="24FED1A4" w14:textId="687B989B" w:rsidR="00B71B19" w:rsidRPr="000863A5" w:rsidRDefault="00B71B19" w:rsidP="00F60AB5">
            <w:pPr>
              <w:pStyle w:val="Box"/>
              <w:keepNext w:val="0"/>
              <w:spacing w:before="60" w:after="60" w:line="80" w:lineRule="exact"/>
              <w:rPr>
                <w:b/>
                <w:sz w:val="14"/>
              </w:rPr>
            </w:pPr>
          </w:p>
        </w:tc>
      </w:tr>
    </w:tbl>
    <w:p w14:paraId="1DF744BE" w14:textId="77777777" w:rsidR="00B71B19" w:rsidRDefault="00B71B19" w:rsidP="00B71B19">
      <w:pPr>
        <w:pStyle w:val="Heading3"/>
      </w:pPr>
      <w:r>
        <w:t>Definition of the Crown</w:t>
      </w:r>
    </w:p>
    <w:p w14:paraId="3214FBA0" w14:textId="2B72097B" w:rsidR="00B71B19" w:rsidRDefault="00B71B19" w:rsidP="00B71B19">
      <w:pPr>
        <w:pStyle w:val="BodyText"/>
      </w:pPr>
      <w:r>
        <w:t xml:space="preserve">The ACIP review contended that </w:t>
      </w:r>
      <w:r w:rsidRPr="004003AF">
        <w:t xml:space="preserve">there </w:t>
      </w:r>
      <w:r>
        <w:t xml:space="preserve">was a </w:t>
      </w:r>
      <w:r w:rsidRPr="004003AF">
        <w:t>need for clarity in demarcating the scope of</w:t>
      </w:r>
      <w:r>
        <w:t xml:space="preserve"> the Crown</w:t>
      </w:r>
      <w:r w:rsidRPr="004003AF">
        <w:t xml:space="preserve">. </w:t>
      </w:r>
      <w:r>
        <w:t xml:space="preserve">Uncertainty surrounds </w:t>
      </w:r>
      <w:r w:rsidRPr="004003AF">
        <w:t>a number of entities that could potentially</w:t>
      </w:r>
      <w:r>
        <w:t xml:space="preserve"> qualify as the Crown, including, </w:t>
      </w:r>
      <w:r w:rsidRPr="004003AF">
        <w:t>em</w:t>
      </w:r>
      <w:r>
        <w:t xml:space="preserve">ployees, </w:t>
      </w:r>
      <w:r w:rsidRPr="004003AF">
        <w:t>commissions</w:t>
      </w:r>
      <w:r>
        <w:t xml:space="preserve">, </w:t>
      </w:r>
      <w:r w:rsidRPr="004003AF">
        <w:t>statutory authorities</w:t>
      </w:r>
      <w:r>
        <w:t xml:space="preserve">, </w:t>
      </w:r>
      <w:r w:rsidRPr="004003AF">
        <w:t>statutory corporations</w:t>
      </w:r>
      <w:r>
        <w:t xml:space="preserve">, </w:t>
      </w:r>
      <w:r w:rsidRPr="004003AF">
        <w:t>gov</w:t>
      </w:r>
      <w:r>
        <w:t xml:space="preserve">ernment business entities, </w:t>
      </w:r>
      <w:r w:rsidRPr="004003AF">
        <w:t>gove</w:t>
      </w:r>
      <w:r>
        <w:t xml:space="preserve">rnment owned corporations and </w:t>
      </w:r>
      <w:r w:rsidRPr="004003AF">
        <w:t>private corporations under contract to the government</w:t>
      </w:r>
      <w:r>
        <w:t xml:space="preserve"> (ACIP 2005</w:t>
      </w:r>
      <w:r w:rsidR="00B51406">
        <w:t>a</w:t>
      </w:r>
      <w:r>
        <w:t>)</w:t>
      </w:r>
      <w:r w:rsidRPr="004003AF">
        <w:t xml:space="preserve">. </w:t>
      </w:r>
      <w:r>
        <w:t xml:space="preserve">Similarly, the ALRC (2004) </w:t>
      </w:r>
      <w:r w:rsidRPr="001D3565">
        <w:t xml:space="preserve">raised concerns of ambiguity on the issue of whether some research institutes have sufficient government involvement to be </w:t>
      </w:r>
      <w:r>
        <w:t>considered the Crown</w:t>
      </w:r>
      <w:r w:rsidRPr="001D3565">
        <w:t xml:space="preserve">. </w:t>
      </w:r>
      <w:r>
        <w:t xml:space="preserve">It pointed out that such institutions </w:t>
      </w:r>
      <w:r w:rsidRPr="00D272B1">
        <w:t>may be established by state</w:t>
      </w:r>
      <w:r>
        <w:t xml:space="preserve"> </w:t>
      </w:r>
      <w:r w:rsidRPr="00D272B1">
        <w:t>legislation and be affiliated with public s</w:t>
      </w:r>
      <w:r>
        <w:t xml:space="preserve">ector universities or hospitals, but be </w:t>
      </w:r>
      <w:r w:rsidRPr="00D272B1">
        <w:t xml:space="preserve">self-governing, </w:t>
      </w:r>
      <w:r>
        <w:t xml:space="preserve">with their own </w:t>
      </w:r>
      <w:r w:rsidRPr="00D272B1">
        <w:t xml:space="preserve">set </w:t>
      </w:r>
      <w:r>
        <w:t xml:space="preserve">of </w:t>
      </w:r>
      <w:r w:rsidRPr="00D272B1">
        <w:t>research priorities</w:t>
      </w:r>
      <w:r>
        <w:t xml:space="preserve"> and sources of f</w:t>
      </w:r>
      <w:r w:rsidRPr="00D272B1">
        <w:t>unding</w:t>
      </w:r>
      <w:r>
        <w:t xml:space="preserve">. </w:t>
      </w:r>
    </w:p>
    <w:p w14:paraId="6A05F15B" w14:textId="151EA1DC" w:rsidR="00B71B19" w:rsidRDefault="000A263C" w:rsidP="00B71B19">
      <w:pPr>
        <w:pStyle w:val="BodyText"/>
      </w:pPr>
      <w:r>
        <w:lastRenderedPageBreak/>
        <w:t>C</w:t>
      </w:r>
      <w:r w:rsidR="00B71B19">
        <w:t xml:space="preserve">ase law has shown that the definition of the Crown can be broad. </w:t>
      </w:r>
      <w:r w:rsidR="00B71B19" w:rsidRPr="003A6805">
        <w:rPr>
          <w:i/>
          <w:iCs/>
        </w:rPr>
        <w:t>Stack v Brisbane City Council (1994)</w:t>
      </w:r>
      <w:r w:rsidR="00B71B19" w:rsidRPr="004003AF">
        <w:t xml:space="preserve"> </w:t>
      </w:r>
      <w:r w:rsidR="00B71B19" w:rsidRPr="00BF087D">
        <w:t>131 ALR 333</w:t>
      </w:r>
      <w:r w:rsidR="00B71B19">
        <w:t xml:space="preserve"> interpreted </w:t>
      </w:r>
      <w:r w:rsidR="00B71B19" w:rsidRPr="00B95923">
        <w:t xml:space="preserve">the scope of </w:t>
      </w:r>
      <w:r w:rsidR="00B71B19">
        <w:t>Crown use</w:t>
      </w:r>
      <w:r w:rsidR="00B71B19" w:rsidRPr="00B95923">
        <w:t xml:space="preserve"> to </w:t>
      </w:r>
      <w:r w:rsidR="00B71B19">
        <w:t xml:space="preserve">include </w:t>
      </w:r>
      <w:r w:rsidR="00B71B19" w:rsidRPr="00B95923">
        <w:t>municipal councils and statutory authorities throughout Australia</w:t>
      </w:r>
      <w:r w:rsidR="00B71B19">
        <w:t xml:space="preserve"> (ACIP 2005</w:t>
      </w:r>
      <w:r w:rsidR="00B51406">
        <w:t>a</w:t>
      </w:r>
      <w:r w:rsidR="00B71B19">
        <w:t>)</w:t>
      </w:r>
      <w:r w:rsidR="00B71B19" w:rsidRPr="00B95923">
        <w:t xml:space="preserve">. </w:t>
      </w:r>
    </w:p>
    <w:p w14:paraId="01090DCC" w14:textId="4CA5EE43" w:rsidR="00B71B19" w:rsidRPr="009B71A4" w:rsidRDefault="00B71B19" w:rsidP="00B71B19">
      <w:pPr>
        <w:pStyle w:val="BodyText"/>
      </w:pPr>
      <w:r>
        <w:t>The ambiguous definition of the Crown could result in several issues related to the misuse and misunderstand</w:t>
      </w:r>
      <w:r w:rsidR="00053B28">
        <w:t>ing of the Crown use provisions.</w:t>
      </w:r>
    </w:p>
    <w:p w14:paraId="53630780" w14:textId="77777777" w:rsidR="00B71B19" w:rsidRDefault="00B71B19" w:rsidP="00B71B19">
      <w:pPr>
        <w:pStyle w:val="ListBullet"/>
      </w:pPr>
      <w:r>
        <w:t>S</w:t>
      </w:r>
      <w:r w:rsidRPr="001D3565">
        <w:t xml:space="preserve">ome organisations can be mistaken about whether or not they qualify as the Crown for the purposes of the Crown use provisions. </w:t>
      </w:r>
      <w:r>
        <w:t xml:space="preserve">These </w:t>
      </w:r>
      <w:r w:rsidRPr="001D3565">
        <w:t>organisation</w:t>
      </w:r>
      <w:r>
        <w:t>s</w:t>
      </w:r>
      <w:r w:rsidRPr="001D3565">
        <w:t xml:space="preserve"> </w:t>
      </w:r>
      <w:r>
        <w:t xml:space="preserve">may </w:t>
      </w:r>
      <w:r w:rsidRPr="001D3565">
        <w:t xml:space="preserve">believe they have immunity from patent infringement actions, when in fact they do not. </w:t>
      </w:r>
    </w:p>
    <w:p w14:paraId="1923A2C7" w14:textId="5CB3DC0F" w:rsidR="00B71B19" w:rsidRDefault="00B71B19" w:rsidP="00B71B19">
      <w:pPr>
        <w:pStyle w:val="ListBullet"/>
      </w:pPr>
      <w:r>
        <w:t>There</w:t>
      </w:r>
      <w:r w:rsidRPr="001D3565">
        <w:t xml:space="preserve"> may </w:t>
      </w:r>
      <w:r>
        <w:t xml:space="preserve">be instances where the </w:t>
      </w:r>
      <w:r w:rsidRPr="001D3565">
        <w:t xml:space="preserve">provisions </w:t>
      </w:r>
      <w:r>
        <w:t>are misused, compromising</w:t>
      </w:r>
      <w:r w:rsidRPr="001D3565">
        <w:t xml:space="preserve"> the principles of competitive neutrality. </w:t>
      </w:r>
      <w:r>
        <w:t>This could occur where bodies gain an</w:t>
      </w:r>
      <w:r w:rsidRPr="004003AF">
        <w:t xml:space="preserve"> unfair competitiv</w:t>
      </w:r>
      <w:r>
        <w:t xml:space="preserve">e advantage in the marketplace, by invoking the provisions, despite the fact that they </w:t>
      </w:r>
      <w:r w:rsidRPr="004003AF">
        <w:t xml:space="preserve">may not have been intended to have access to the provisions. </w:t>
      </w:r>
    </w:p>
    <w:p w14:paraId="0728731B" w14:textId="6F43C0AB" w:rsidR="00B71B19" w:rsidRDefault="00B71B19" w:rsidP="00B71B19">
      <w:pPr>
        <w:pStyle w:val="ListBullet"/>
      </w:pPr>
      <w:r>
        <w:t>Some patent holders may feel obliga</w:t>
      </w:r>
      <w:r w:rsidR="0037714D">
        <w:t>ted to license their inventions</w:t>
      </w:r>
      <w:r>
        <w:t xml:space="preserve"> when the person seeking a licence does not in fact have Crown status.</w:t>
      </w:r>
    </w:p>
    <w:p w14:paraId="35D478E0" w14:textId="77777777" w:rsidR="00B71B19" w:rsidRDefault="00B71B19" w:rsidP="00B71B19">
      <w:pPr>
        <w:pStyle w:val="ListBullet"/>
      </w:pPr>
      <w:r>
        <w:t>Some patent holders may not seek infringement remedies that they are in fact entitled to.</w:t>
      </w:r>
    </w:p>
    <w:p w14:paraId="332DE758" w14:textId="77777777" w:rsidR="00B71B19" w:rsidRDefault="00B71B19" w:rsidP="00B71B19">
      <w:pPr>
        <w:pStyle w:val="Heading4"/>
      </w:pPr>
      <w:r>
        <w:t>Should there be Ministerial oversight?</w:t>
      </w:r>
    </w:p>
    <w:p w14:paraId="0310D6C4" w14:textId="1A8ACB53" w:rsidR="00B71B19" w:rsidRDefault="00B71B19" w:rsidP="00B71B19">
      <w:pPr>
        <w:pStyle w:val="BodyText"/>
      </w:pPr>
      <w:r>
        <w:t>One way to address the uncertainty surrounding the definition of the Crown is to charge an authority with the responsibility for determining when a use of patented material had been ‘</w:t>
      </w:r>
      <w:r w:rsidRPr="008A3498">
        <w:t>impressed with the stamp of government</w:t>
      </w:r>
      <w:r>
        <w:t xml:space="preserve">’. </w:t>
      </w:r>
      <w:r w:rsidRPr="0080734C">
        <w:t>ACIP</w:t>
      </w:r>
      <w:r>
        <w:t xml:space="preserve"> (2005</w:t>
      </w:r>
      <w:r w:rsidR="00B51406">
        <w:t>a</w:t>
      </w:r>
      <w:r>
        <w:t>)</w:t>
      </w:r>
      <w:r w:rsidRPr="0080734C">
        <w:t xml:space="preserve"> </w:t>
      </w:r>
      <w:r>
        <w:t xml:space="preserve">proposed </w:t>
      </w:r>
      <w:r w:rsidRPr="0080734C">
        <w:t xml:space="preserve">that the Ministers charged with </w:t>
      </w:r>
      <w:r>
        <w:t>this power at the s</w:t>
      </w:r>
      <w:r w:rsidRPr="0080734C">
        <w:t>tate level should be the re</w:t>
      </w:r>
      <w:r>
        <w:t>levant</w:t>
      </w:r>
      <w:r w:rsidRPr="0080734C">
        <w:t xml:space="preserve"> </w:t>
      </w:r>
      <w:r>
        <w:t>Attorney-General,</w:t>
      </w:r>
      <w:r w:rsidRPr="0080734C">
        <w:t xml:space="preserve"> </w:t>
      </w:r>
      <w:r>
        <w:t xml:space="preserve">and that </w:t>
      </w:r>
      <w:r w:rsidRPr="0080734C">
        <w:t>the</w:t>
      </w:r>
      <w:r>
        <w:t xml:space="preserve"> </w:t>
      </w:r>
      <w:r w:rsidRPr="0080734C">
        <w:t xml:space="preserve">Minister responsible for the </w:t>
      </w:r>
      <w:r w:rsidRPr="000A32E4">
        <w:rPr>
          <w:iCs/>
        </w:rPr>
        <w:t>Patents Act</w:t>
      </w:r>
      <w:r w:rsidRPr="0080734C">
        <w:rPr>
          <w:i/>
          <w:iCs/>
        </w:rPr>
        <w:t xml:space="preserve"> </w:t>
      </w:r>
      <w:r w:rsidRPr="0080734C">
        <w:t xml:space="preserve">should have </w:t>
      </w:r>
      <w:r>
        <w:t xml:space="preserve">this </w:t>
      </w:r>
      <w:r w:rsidRPr="0080734C">
        <w:t>power at the federal level.</w:t>
      </w:r>
    </w:p>
    <w:p w14:paraId="380BCEBB" w14:textId="59A6F642" w:rsidR="00B71B19" w:rsidRDefault="00B71B19" w:rsidP="00B71B19">
      <w:pPr>
        <w:pStyle w:val="BodyText"/>
      </w:pPr>
      <w:r>
        <w:t>There are some problems with Ministerial oversight. Critics of the approach cite a danger of politicising access to Crown use, and creating unnecessary bureaucracy (ACIP 2005</w:t>
      </w:r>
      <w:r w:rsidR="00B51406">
        <w:t>a</w:t>
      </w:r>
      <w:r>
        <w:t xml:space="preserve">). The introduction of Ministerial oversight might also increase uncertainty and inconsistency, as Ministerial decisions may not be based on the system of case law and precedent. </w:t>
      </w:r>
    </w:p>
    <w:p w14:paraId="3806B840" w14:textId="065CB9A4" w:rsidR="00B71B19" w:rsidRDefault="00B71B19" w:rsidP="00B71B19">
      <w:pPr>
        <w:pStyle w:val="BodyText"/>
      </w:pPr>
      <w:r>
        <w:t>However, ACIP (2005</w:t>
      </w:r>
      <w:r w:rsidR="00B51406">
        <w:t>a</w:t>
      </w:r>
      <w:r>
        <w:t>) reported that a significant majority of the stakeholders it consulted supported the concept of using Ministerial approval for this purpose. These s</w:t>
      </w:r>
      <w:r w:rsidRPr="008A3498">
        <w:t xml:space="preserve">takeholders indicated that this would </w:t>
      </w:r>
      <w:r>
        <w:t xml:space="preserve">help </w:t>
      </w:r>
      <w:r w:rsidRPr="008A3498">
        <w:t xml:space="preserve">maintain competitive neutrality in the market and </w:t>
      </w:r>
      <w:r>
        <w:t xml:space="preserve">provide </w:t>
      </w:r>
      <w:r w:rsidRPr="008A3498">
        <w:t>certainty, accountability and transparency</w:t>
      </w:r>
      <w:r>
        <w:t xml:space="preserve"> (ACIP 2005</w:t>
      </w:r>
      <w:r w:rsidR="00B51406">
        <w:t>a</w:t>
      </w:r>
      <w:r>
        <w:t>)</w:t>
      </w:r>
      <w:r w:rsidRPr="008A3498">
        <w:t>.</w:t>
      </w:r>
      <w:r>
        <w:t xml:space="preserve"> Additional certainty and transparency would improve the efficiency of the patents </w:t>
      </w:r>
      <w:r>
        <w:lastRenderedPageBreak/>
        <w:t xml:space="preserve">system by better defining the property right associated with a patent. The addition of oversight also better aligns the Crown use provisions with the compulsory licensing provisions, which have judicial oversight. </w:t>
      </w:r>
    </w:p>
    <w:p w14:paraId="74D73155" w14:textId="77777777" w:rsidR="00B71B19" w:rsidRDefault="00B71B19" w:rsidP="00B71B19">
      <w:pPr>
        <w:pStyle w:val="Heading3"/>
      </w:pPr>
      <w:r>
        <w:t>Consent of the patentee</w:t>
      </w:r>
    </w:p>
    <w:p w14:paraId="7E8C9205" w14:textId="15435217" w:rsidR="00B71B19" w:rsidRDefault="00B71B19" w:rsidP="00B71B19">
      <w:pPr>
        <w:pStyle w:val="BodyText"/>
      </w:pPr>
      <w:r>
        <w:t>The current provisions do not require</w:t>
      </w:r>
      <w:r w:rsidRPr="00194F8A">
        <w:t xml:space="preserve"> the Crown to obtain consent from</w:t>
      </w:r>
      <w:r>
        <w:t>,</w:t>
      </w:r>
      <w:r w:rsidRPr="00194F8A">
        <w:t xml:space="preserve"> or inform</w:t>
      </w:r>
      <w:r>
        <w:t>,</w:t>
      </w:r>
      <w:r w:rsidRPr="00194F8A">
        <w:t xml:space="preserve"> the patentee of its intentions </w:t>
      </w:r>
      <w:r w:rsidRPr="00194F8A">
        <w:rPr>
          <w:i/>
          <w:iCs/>
        </w:rPr>
        <w:t xml:space="preserve">before </w:t>
      </w:r>
      <w:r w:rsidRPr="00194F8A">
        <w:t xml:space="preserve">it has exploited a patent. </w:t>
      </w:r>
      <w:r>
        <w:t xml:space="preserve">The Crown can voluntarily seek consent before, during or after it has exploited the patent. However, under s. </w:t>
      </w:r>
      <w:r w:rsidRPr="00194F8A">
        <w:t>169</w:t>
      </w:r>
      <w:r>
        <w:t>,</w:t>
      </w:r>
      <w:r w:rsidRPr="00194F8A">
        <w:t xml:space="preserve"> </w:t>
      </w:r>
      <w:r>
        <w:t xml:space="preserve">if </w:t>
      </w:r>
      <w:r w:rsidRPr="00194F8A">
        <w:t xml:space="preserve">the patentee </w:t>
      </w:r>
      <w:r>
        <w:t xml:space="preserve">believes that </w:t>
      </w:r>
      <w:r w:rsidR="0037714D">
        <w:t xml:space="preserve">the </w:t>
      </w:r>
      <w:r w:rsidRPr="00194F8A">
        <w:t xml:space="preserve">Crown is </w:t>
      </w:r>
      <w:r>
        <w:t xml:space="preserve">exploiting, </w:t>
      </w:r>
      <w:r w:rsidRPr="00194F8A">
        <w:t>or has exploited</w:t>
      </w:r>
      <w:r>
        <w:t>,</w:t>
      </w:r>
      <w:r w:rsidRPr="00194F8A">
        <w:t xml:space="preserve"> </w:t>
      </w:r>
      <w:r>
        <w:t xml:space="preserve">its </w:t>
      </w:r>
      <w:r w:rsidRPr="00194F8A">
        <w:t>patent</w:t>
      </w:r>
      <w:r>
        <w:t>, it</w:t>
      </w:r>
      <w:r w:rsidRPr="00194F8A" w:rsidDel="00864737">
        <w:t xml:space="preserve"> </w:t>
      </w:r>
      <w:r w:rsidRPr="00194F8A">
        <w:t xml:space="preserve">can apply for a declaration from a prescribed court that </w:t>
      </w:r>
      <w:r>
        <w:t xml:space="preserve">this is </w:t>
      </w:r>
      <w:r w:rsidRPr="00194F8A">
        <w:t>the</w:t>
      </w:r>
      <w:r>
        <w:t xml:space="preserve"> case</w:t>
      </w:r>
      <w:r w:rsidRPr="00194F8A">
        <w:t xml:space="preserve">. </w:t>
      </w:r>
      <w:r>
        <w:t xml:space="preserve">The </w:t>
      </w:r>
      <w:r w:rsidRPr="00194F8A">
        <w:t xml:space="preserve">same section expressly provides that the Crown can respond </w:t>
      </w:r>
      <w:r>
        <w:t xml:space="preserve">with a </w:t>
      </w:r>
      <w:r w:rsidR="001633B6">
        <w:t>counter</w:t>
      </w:r>
      <w:r w:rsidR="001633B6">
        <w:noBreakHyphen/>
      </w:r>
      <w:r w:rsidRPr="00194F8A">
        <w:t>claim for revocation of the patent.</w:t>
      </w:r>
    </w:p>
    <w:p w14:paraId="71CACBAA" w14:textId="300C1FF2" w:rsidR="00B71B19" w:rsidRDefault="00B71B19" w:rsidP="00B71B19">
      <w:pPr>
        <w:pStyle w:val="BodyText"/>
      </w:pPr>
      <w:r w:rsidRPr="006946F3">
        <w:t xml:space="preserve">This contrasts with the compulsory licensing provisions, which require those seeking a compulsory licence to have </w:t>
      </w:r>
      <w:r>
        <w:t>‘</w:t>
      </w:r>
      <w:r w:rsidRPr="006946F3">
        <w:t>tried for a reasonable period, but</w:t>
      </w:r>
      <w:r>
        <w:t xml:space="preserve"> </w:t>
      </w:r>
      <w:r w:rsidRPr="006946F3">
        <w:t>without success, to obtain from the patentee an</w:t>
      </w:r>
      <w:r>
        <w:t xml:space="preserve"> </w:t>
      </w:r>
      <w:r w:rsidRPr="006946F3">
        <w:t>authorisation to work the invention on reasonable terms</w:t>
      </w:r>
      <w:r>
        <w:t xml:space="preserve"> </w:t>
      </w:r>
      <w:r w:rsidRPr="006946F3">
        <w:t>and conditions</w:t>
      </w:r>
      <w:r>
        <w:t xml:space="preserve">’ (s. 133(2)(a)(i)). Instituting a requirement to seek consent prior to relying on Crown use would impose on the Crown similar requirements as apply to commercial entities seeking a compulsory licence. As noted in chapter 6, voluntarily negotiated licences will generally generate superior outcomes, and the need </w:t>
      </w:r>
      <w:r w:rsidR="00FC7AF3">
        <w:t xml:space="preserve">to seek </w:t>
      </w:r>
      <w:r>
        <w:t xml:space="preserve">prior consent provides an </w:t>
      </w:r>
      <w:r w:rsidRPr="008D236C">
        <w:t xml:space="preserve">important </w:t>
      </w:r>
      <w:r>
        <w:t xml:space="preserve">impetus for achieving this outcome. </w:t>
      </w:r>
    </w:p>
    <w:p w14:paraId="0BF430B9" w14:textId="1BC985EA" w:rsidR="00B71B19" w:rsidRPr="00194F8A" w:rsidRDefault="00B71B19" w:rsidP="00B71B19">
      <w:pPr>
        <w:pStyle w:val="BodyText"/>
      </w:pPr>
      <w:r>
        <w:t>It could also be argued that the lack of a requirement to first attempt to reach a negotiated outcome means that the Crown use provisions a</w:t>
      </w:r>
      <w:r w:rsidR="0037714D">
        <w:t>re inconsistent with the TRIPS a</w:t>
      </w:r>
      <w:r>
        <w:t>greement (ACIP 2005</w:t>
      </w:r>
      <w:r w:rsidR="00B51406">
        <w:t>a</w:t>
      </w:r>
      <w:r>
        <w:t>).</w:t>
      </w:r>
      <w:r w:rsidRPr="00194F8A">
        <w:t xml:space="preserve"> </w:t>
      </w:r>
      <w:r>
        <w:t>In particular, A</w:t>
      </w:r>
      <w:r w:rsidRPr="00194F8A">
        <w:t>rticle 31</w:t>
      </w:r>
      <w:r>
        <w:t>(b)</w:t>
      </w:r>
      <w:r w:rsidRPr="00194F8A">
        <w:t xml:space="preserve"> </w:t>
      </w:r>
      <w:r>
        <w:t xml:space="preserve">of the </w:t>
      </w:r>
      <w:r w:rsidRPr="00194F8A">
        <w:t>TRIPS</w:t>
      </w:r>
      <w:r w:rsidR="0037714D">
        <w:t xml:space="preserve"> a</w:t>
      </w:r>
      <w:r>
        <w:t>greement</w:t>
      </w:r>
      <w:r w:rsidRPr="00194F8A">
        <w:t xml:space="preserve"> </w:t>
      </w:r>
      <w:r>
        <w:t>only waives this requirement in cases of ‘national emergency or other circumstances of extreme urgency or in cases of public non-commercial use’</w:t>
      </w:r>
      <w:r w:rsidRPr="00194F8A">
        <w:t xml:space="preserve"> </w:t>
      </w:r>
      <w:r>
        <w:t>(appendix D)</w:t>
      </w:r>
      <w:r w:rsidRPr="00194F8A">
        <w:t xml:space="preserve">. </w:t>
      </w:r>
    </w:p>
    <w:p w14:paraId="31FDD557" w14:textId="1F2C2274" w:rsidR="00B71B19" w:rsidRDefault="00B71B19" w:rsidP="00B71B19">
      <w:pPr>
        <w:pStyle w:val="BodyText"/>
      </w:pPr>
      <w:r>
        <w:t xml:space="preserve">The Australian Government (1997) noted that it considered </w:t>
      </w:r>
      <w:r w:rsidRPr="00194F8A">
        <w:t xml:space="preserve">all Crown use to be ‘public non-commercial use’. </w:t>
      </w:r>
      <w:r>
        <w:t>In contrast, ACIP (2005</w:t>
      </w:r>
      <w:r w:rsidR="00B51406">
        <w:t>a</w:t>
      </w:r>
      <w:r>
        <w:t xml:space="preserve">) observed that the </w:t>
      </w:r>
      <w:r w:rsidRPr="002A5EFA">
        <w:t xml:space="preserve">private </w:t>
      </w:r>
      <w:r>
        <w:t xml:space="preserve">provision </w:t>
      </w:r>
      <w:r w:rsidRPr="002A5EFA">
        <w:t xml:space="preserve">of previously traditional government services, </w:t>
      </w:r>
      <w:r>
        <w:t>and the quasi-government status of many bodies, may lead to Crown use t</w:t>
      </w:r>
      <w:r w:rsidR="001633B6">
        <w:t>hat is not strictly ‘public non</w:t>
      </w:r>
      <w:r w:rsidR="001633B6">
        <w:noBreakHyphen/>
      </w:r>
      <w:r>
        <w:t>commercial’</w:t>
      </w:r>
      <w:r w:rsidRPr="002A5EFA">
        <w:t xml:space="preserve">. </w:t>
      </w:r>
      <w:r>
        <w:t>It was specifically concerned that:</w:t>
      </w:r>
    </w:p>
    <w:p w14:paraId="71EE43EB" w14:textId="4D3752C3" w:rsidR="00B71B19" w:rsidRDefault="00B71B19" w:rsidP="00B71B19">
      <w:pPr>
        <w:pStyle w:val="ListBullet"/>
      </w:pPr>
      <w:r>
        <w:t xml:space="preserve">exploiting the provisions for commercial use </w:t>
      </w:r>
      <w:r w:rsidRPr="002A5EFA">
        <w:t xml:space="preserve">has the potential to undermine confidence in the </w:t>
      </w:r>
      <w:r>
        <w:t xml:space="preserve">patents </w:t>
      </w:r>
      <w:r w:rsidRPr="002A5EFA">
        <w:t>system</w:t>
      </w:r>
    </w:p>
    <w:p w14:paraId="5CB07BFD" w14:textId="77777777" w:rsidR="00B71B19" w:rsidRPr="002A5EFA" w:rsidRDefault="00B71B19" w:rsidP="00B71B19">
      <w:pPr>
        <w:pStyle w:val="ListBullet"/>
      </w:pPr>
      <w:r w:rsidRPr="002A5EFA">
        <w:t xml:space="preserve">unauthorised use has the potential to financially </w:t>
      </w:r>
      <w:r>
        <w:t xml:space="preserve">damage patent </w:t>
      </w:r>
      <w:r w:rsidRPr="002A5EFA">
        <w:t>holders</w:t>
      </w:r>
      <w:r>
        <w:t xml:space="preserve"> </w:t>
      </w:r>
    </w:p>
    <w:p w14:paraId="79918F38" w14:textId="0AEB3E2F" w:rsidR="00B71B19" w:rsidRDefault="00B71B19" w:rsidP="00B71B19">
      <w:pPr>
        <w:pStyle w:val="ListBullet"/>
      </w:pPr>
      <w:r w:rsidRPr="002A5EFA">
        <w:t xml:space="preserve">the </w:t>
      </w:r>
      <w:r>
        <w:t xml:space="preserve">lack of obligations on governments increases uncertainty for </w:t>
      </w:r>
      <w:r w:rsidRPr="002A5EFA">
        <w:t>business</w:t>
      </w:r>
      <w:r>
        <w:t>es.</w:t>
      </w:r>
    </w:p>
    <w:p w14:paraId="60305047" w14:textId="5CA6E36F" w:rsidR="00B71B19" w:rsidRDefault="00B71B19" w:rsidP="00B71B19">
      <w:pPr>
        <w:pStyle w:val="ListBullet"/>
        <w:numPr>
          <w:ilvl w:val="0"/>
          <w:numId w:val="0"/>
        </w:numPr>
        <w:ind w:left="340" w:hanging="340"/>
      </w:pPr>
      <w:r>
        <w:lastRenderedPageBreak/>
        <w:t>ACIP (2005</w:t>
      </w:r>
      <w:r w:rsidR="00B51406">
        <w:t>a</w:t>
      </w:r>
      <w:r>
        <w:t>) further argued that:</w:t>
      </w:r>
    </w:p>
    <w:p w14:paraId="38849414" w14:textId="77777777" w:rsidR="00B71B19" w:rsidRPr="002A5EFA" w:rsidRDefault="00B71B19" w:rsidP="00B71B19">
      <w:pPr>
        <w:pStyle w:val="ListBullet"/>
      </w:pPr>
      <w:r w:rsidRPr="002A5EFA">
        <w:t>a patent holder need</w:t>
      </w:r>
      <w:r>
        <w:t xml:space="preserve">s </w:t>
      </w:r>
      <w:r w:rsidRPr="002A5EFA">
        <w:t>information concerning the exploitation as soon as possible in order to minimise any commercial losses arising from the exploitation</w:t>
      </w:r>
      <w:r>
        <w:t>,</w:t>
      </w:r>
      <w:r w:rsidRPr="002A5EFA">
        <w:t xml:space="preserve"> and to ensure other related business decisions can be made with certainty</w:t>
      </w:r>
    </w:p>
    <w:p w14:paraId="51318667" w14:textId="77777777" w:rsidR="00B71B19" w:rsidRDefault="00B71B19" w:rsidP="00B71B19">
      <w:pPr>
        <w:pStyle w:val="ListBullet"/>
      </w:pPr>
      <w:r w:rsidRPr="002A5EFA">
        <w:t>Crown entities should be f</w:t>
      </w:r>
      <w:r>
        <w:t>orthright, open and transparent</w:t>
      </w:r>
    </w:p>
    <w:p w14:paraId="73FDEDAA" w14:textId="7DBD3D6E" w:rsidR="00B71B19" w:rsidRDefault="00B71B19" w:rsidP="00B71B19">
      <w:pPr>
        <w:pStyle w:val="ListBullet"/>
      </w:pPr>
      <w:r w:rsidRPr="002A5EFA">
        <w:t>patent holders should not be burdened with the expense of costly court proceedings simply to obtain information about whether the Crown is or has been exploiting their patent</w:t>
      </w:r>
      <w:r>
        <w:t>s</w:t>
      </w:r>
      <w:r w:rsidRPr="002A5EFA">
        <w:t xml:space="preserve">. </w:t>
      </w:r>
    </w:p>
    <w:p w14:paraId="6F938133" w14:textId="77777777" w:rsidR="00B71B19" w:rsidRDefault="00B71B19" w:rsidP="00B71B19">
      <w:pPr>
        <w:pStyle w:val="Heading3"/>
      </w:pPr>
      <w:r>
        <w:t>Remuneration</w:t>
      </w:r>
    </w:p>
    <w:p w14:paraId="08D077B1" w14:textId="7DD9DDDA" w:rsidR="00B71B19" w:rsidRDefault="00B71B19" w:rsidP="00B71B19">
      <w:pPr>
        <w:pStyle w:val="BodyText"/>
      </w:pPr>
      <w:r w:rsidRPr="002A5EFA">
        <w:t>The existing Crown use provisions do not contain any reference to a standard of remuneration</w:t>
      </w:r>
      <w:r>
        <w:t>. In other words, the</w:t>
      </w:r>
      <w:r w:rsidR="007719C8">
        <w:t xml:space="preserve"> provisions do not contain an</w:t>
      </w:r>
      <w:r>
        <w:t xml:space="preserve"> </w:t>
      </w:r>
      <w:r w:rsidR="00055C59">
        <w:t>express</w:t>
      </w:r>
      <w:r w:rsidRPr="002A5EFA">
        <w:t xml:space="preserve"> right to ‘adequate’ </w:t>
      </w:r>
      <w:r>
        <w:t xml:space="preserve">or ‘reasonable’ </w:t>
      </w:r>
      <w:r w:rsidRPr="002A5EFA">
        <w:t xml:space="preserve">remuneration </w:t>
      </w:r>
      <w:r>
        <w:t>c</w:t>
      </w:r>
      <w:r w:rsidRPr="002A5EFA">
        <w:t>onsidering the ‘economic value’</w:t>
      </w:r>
      <w:r w:rsidR="007719C8">
        <w:t xml:space="preserve"> of use</w:t>
      </w:r>
      <w:r w:rsidRPr="002A5EFA">
        <w:t>.</w:t>
      </w:r>
      <w:r>
        <w:t xml:space="preserve"> However, s. </w:t>
      </w:r>
      <w:r w:rsidRPr="002A5EFA">
        <w:t xml:space="preserve">165(2) </w:t>
      </w:r>
      <w:r>
        <w:t xml:space="preserve">states that, when </w:t>
      </w:r>
      <w:r w:rsidRPr="002A5EFA">
        <w:t xml:space="preserve">parties </w:t>
      </w:r>
      <w:r>
        <w:t>f</w:t>
      </w:r>
      <w:r w:rsidRPr="002A5EFA">
        <w:t>ail to come to an agreement</w:t>
      </w:r>
      <w:r>
        <w:t>,</w:t>
      </w:r>
      <w:r w:rsidRPr="002A5EFA">
        <w:t xml:space="preserve"> either party can apply to a prescribed court for a determination on any terms of the exploitation</w:t>
      </w:r>
      <w:r w:rsidR="007719C8">
        <w:t>,</w:t>
      </w:r>
      <w:r w:rsidRPr="002A5EFA">
        <w:t xml:space="preserve"> including remuneration. </w:t>
      </w:r>
      <w:r>
        <w:t>ACIP (2005</w:t>
      </w:r>
      <w:r w:rsidR="00B51406">
        <w:t>a</w:t>
      </w:r>
      <w:r>
        <w:t xml:space="preserve">) contended that the lack of a remuneration standard can leave patentees disadvantaged and that the lack of </w:t>
      </w:r>
      <w:r w:rsidRPr="002A5EFA">
        <w:t xml:space="preserve">an applied standard or criterion to refer to in any negotiations </w:t>
      </w:r>
      <w:r>
        <w:t xml:space="preserve">could </w:t>
      </w:r>
      <w:r w:rsidRPr="002A5EFA">
        <w:t>weaken their bargaining position in seeking to obtain fair and equitable agreement.</w:t>
      </w:r>
      <w:r w:rsidRPr="00216630">
        <w:t xml:space="preserve"> </w:t>
      </w:r>
      <w:r>
        <w:t>ACIP (2005</w:t>
      </w:r>
      <w:r w:rsidR="00B51406">
        <w:t>a</w:t>
      </w:r>
      <w:r>
        <w:t xml:space="preserve">, p. 4) went on to suggest a standard of remuneration that ensures remuneration is paid promptly and is ‘just and reasonable </w:t>
      </w:r>
      <w:r w:rsidRPr="000A32E4">
        <w:t>taking into consideration the circumstances of the case</w:t>
      </w:r>
      <w:r>
        <w:t>’. This is consistent with recommendations made by t</w:t>
      </w:r>
      <w:r w:rsidRPr="002A5EFA">
        <w:t xml:space="preserve">he ALRC </w:t>
      </w:r>
      <w:r>
        <w:t>(2004).</w:t>
      </w:r>
    </w:p>
    <w:p w14:paraId="408C8603" w14:textId="17901DFB" w:rsidR="00B71B19" w:rsidRPr="002A5EFA" w:rsidRDefault="00B71B19" w:rsidP="00B71B19">
      <w:pPr>
        <w:pStyle w:val="BodyText"/>
      </w:pPr>
      <w:r>
        <w:t xml:space="preserve">The compulsory licensing provisions already have conditions of a similar nature. Section </w:t>
      </w:r>
      <w:r w:rsidRPr="004210BC">
        <w:t xml:space="preserve">133(5)(b) requires that </w:t>
      </w:r>
      <w:r w:rsidR="007719C8">
        <w:t>a</w:t>
      </w:r>
      <w:r w:rsidRPr="004210BC">
        <w:t xml:space="preserve"> patentee </w:t>
      </w:r>
      <w:r w:rsidR="007719C8">
        <w:t xml:space="preserve">who is </w:t>
      </w:r>
      <w:r>
        <w:t xml:space="preserve">subject to a compulsory licence receive remuneration that is </w:t>
      </w:r>
      <w:r w:rsidRPr="004210BC">
        <w:t>‘just and reasonable having regard to the economic value of the licence</w:t>
      </w:r>
      <w:r>
        <w:t>’. As is the case with prior consent, adding text to the Crown use provisions to this effect would impose upon the Crown the same conditions as those that face commercial entities in accessing a patent non-voluntarily. It would also help develop jurisprudence over remuneration conditions and harmonise the Patents Act with internationa</w:t>
      </w:r>
      <w:r w:rsidR="0037714D">
        <w:t>l agreements such as the TRIPS a</w:t>
      </w:r>
      <w:r>
        <w:t>greement and the Australia</w:t>
      </w:r>
      <w:r>
        <w:noBreakHyphen/>
        <w:t>United States Free Trade Agreement (AUSFTA). Article 31</w:t>
      </w:r>
      <w:r w:rsidR="0037714D">
        <w:t>(h) of the TRIPS a</w:t>
      </w:r>
      <w:r w:rsidRPr="002A5EFA">
        <w:t xml:space="preserve">greement </w:t>
      </w:r>
      <w:r>
        <w:t>and a</w:t>
      </w:r>
      <w:r w:rsidRPr="002A5EFA">
        <w:t>rticle 17.9.7(</w:t>
      </w:r>
      <w:r>
        <w:t>b)(</w:t>
      </w:r>
      <w:r w:rsidRPr="002A5EFA">
        <w:t>ii)</w:t>
      </w:r>
      <w:r>
        <w:t xml:space="preserve"> of</w:t>
      </w:r>
      <w:r w:rsidRPr="002A5EFA">
        <w:t xml:space="preserve"> AUSFTA </w:t>
      </w:r>
      <w:r>
        <w:t xml:space="preserve">both use </w:t>
      </w:r>
      <w:r w:rsidRPr="002A5EFA">
        <w:t>language indicative of a standard of remuneration</w:t>
      </w:r>
      <w:r w:rsidR="007719C8">
        <w:t xml:space="preserve"> (a</w:t>
      </w:r>
      <w:r>
        <w:t>ppendix D)</w:t>
      </w:r>
      <w:r w:rsidRPr="002A5EFA">
        <w:t>.</w:t>
      </w:r>
    </w:p>
    <w:p w14:paraId="69FDEA38" w14:textId="0DEFFF83" w:rsidR="00B71B19" w:rsidRDefault="00B71B19" w:rsidP="00B71B19">
      <w:pPr>
        <w:pStyle w:val="BodyText"/>
      </w:pPr>
      <w:r>
        <w:t>In addition to a remuneration standard, ACIP (2005</w:t>
      </w:r>
      <w:r w:rsidR="00B51406">
        <w:t>a</w:t>
      </w:r>
      <w:r>
        <w:t xml:space="preserve">, p. 30) contended that </w:t>
      </w:r>
      <w:r w:rsidRPr="002A5EFA">
        <w:t xml:space="preserve">there </w:t>
      </w:r>
      <w:r>
        <w:t>was ‘</w:t>
      </w:r>
      <w:r w:rsidRPr="002A5EFA">
        <w:t>no clear reason why there is no formal process of remuneration, at least in non-emergency type situations</w:t>
      </w:r>
      <w:r>
        <w:t>’</w:t>
      </w:r>
      <w:r w:rsidRPr="002A5EFA">
        <w:t xml:space="preserve">. </w:t>
      </w:r>
      <w:r>
        <w:t xml:space="preserve">It argued that a </w:t>
      </w:r>
      <w:r w:rsidRPr="002A5EFA">
        <w:t xml:space="preserve">structured remuneration process </w:t>
      </w:r>
      <w:r>
        <w:lastRenderedPageBreak/>
        <w:t xml:space="preserve">would </w:t>
      </w:r>
      <w:r w:rsidRPr="002A5EFA">
        <w:t xml:space="preserve">provide more certainty </w:t>
      </w:r>
      <w:r>
        <w:t>about</w:t>
      </w:r>
      <w:r w:rsidRPr="002A5EFA">
        <w:t xml:space="preserve"> respective obligations in negotiations</w:t>
      </w:r>
      <w:r>
        <w:t>,</w:t>
      </w:r>
      <w:r w:rsidRPr="002A5EFA">
        <w:t xml:space="preserve"> in addition to addressing the inherent inequality of bargaining power between the patentee and the Crown. </w:t>
      </w:r>
      <w:r>
        <w:t>This was seen as a particular problem for small to medium enterprises, as they lacked the</w:t>
      </w:r>
      <w:r w:rsidRPr="002A5EFA">
        <w:t xml:space="preserve"> resources and bargaining power </w:t>
      </w:r>
      <w:r>
        <w:t xml:space="preserve">of </w:t>
      </w:r>
      <w:r w:rsidRPr="002A5EFA">
        <w:t>multinational corporations</w:t>
      </w:r>
      <w:r>
        <w:t>,</w:t>
      </w:r>
      <w:r w:rsidRPr="002A5EFA">
        <w:t xml:space="preserve"> </w:t>
      </w:r>
      <w:r>
        <w:t>for example</w:t>
      </w:r>
      <w:r w:rsidRPr="002A5EFA">
        <w:t>.</w:t>
      </w:r>
    </w:p>
    <w:p w14:paraId="4D0F4AF9" w14:textId="4B29EA34" w:rsidR="00B71B19" w:rsidRDefault="00B71B19" w:rsidP="00B71B19">
      <w:pPr>
        <w:pStyle w:val="BodyText"/>
      </w:pPr>
      <w:r>
        <w:t>ACIP (2005</w:t>
      </w:r>
      <w:r w:rsidR="00B51406">
        <w:t>a</w:t>
      </w:r>
      <w:r>
        <w:t>) suggested a number of reforms of the remuneration process including:</w:t>
      </w:r>
    </w:p>
    <w:p w14:paraId="5EBC0A1F" w14:textId="77777777" w:rsidR="00B71B19" w:rsidRPr="001D13A8" w:rsidRDefault="00B71B19" w:rsidP="00B71B19">
      <w:pPr>
        <w:pStyle w:val="ListBullet"/>
      </w:pPr>
      <w:r w:rsidRPr="001D13A8">
        <w:t>if parties fail to agree on the terms of exploitation</w:t>
      </w:r>
      <w:r>
        <w:t>,</w:t>
      </w:r>
      <w:r w:rsidRPr="001D13A8">
        <w:t xml:space="preserve"> then there should be recourse to alternative dispute resolution </w:t>
      </w:r>
    </w:p>
    <w:p w14:paraId="6EDD3507" w14:textId="77777777" w:rsidR="00B71B19" w:rsidRPr="001D13A8" w:rsidRDefault="00B71B19" w:rsidP="00B71B19">
      <w:pPr>
        <w:pStyle w:val="ListBullet"/>
      </w:pPr>
      <w:r w:rsidRPr="001D13A8">
        <w:t>a structured procedure be implemented into the Crown use provisions to guide the parties to reach an amicable outcome</w:t>
      </w:r>
      <w:r>
        <w:t xml:space="preserve"> </w:t>
      </w:r>
    </w:p>
    <w:p w14:paraId="374851B8" w14:textId="77777777" w:rsidR="00B71B19" w:rsidRDefault="00B71B19" w:rsidP="00B71B19">
      <w:pPr>
        <w:pStyle w:val="ListBullet"/>
      </w:pPr>
      <w:r>
        <w:t xml:space="preserve">if the patent holder believes an </w:t>
      </w:r>
      <w:r w:rsidRPr="001D13A8">
        <w:t xml:space="preserve">authority is using a patent without </w:t>
      </w:r>
      <w:r>
        <w:t xml:space="preserve">either seeking </w:t>
      </w:r>
      <w:r w:rsidRPr="001D13A8">
        <w:t>a commercial licence or notif</w:t>
      </w:r>
      <w:r>
        <w:t xml:space="preserve">ying the patent </w:t>
      </w:r>
      <w:r w:rsidRPr="001D13A8">
        <w:t>holder of such use</w:t>
      </w:r>
      <w:r>
        <w:t>, the patent</w:t>
      </w:r>
      <w:r w:rsidRPr="001D13A8">
        <w:t xml:space="preserve"> holder </w:t>
      </w:r>
      <w:r>
        <w:t xml:space="preserve">can </w:t>
      </w:r>
      <w:r w:rsidRPr="001D13A8">
        <w:t>seek the assistance of the S</w:t>
      </w:r>
      <w:r>
        <w:t>tate or Commonwealth Ombudsman.</w:t>
      </w:r>
    </w:p>
    <w:p w14:paraId="6C73C334" w14:textId="77777777" w:rsidR="00B71B19" w:rsidRDefault="00B71B19" w:rsidP="00B71B19">
      <w:pPr>
        <w:pStyle w:val="BodyText"/>
      </w:pPr>
      <w:r>
        <w:t>The sum of these recommendations is to introduce alternative dispute mechanisms for Crown use. Such mechanisms are discussed in chapter 6 in the context of compulsory licensing. The Commission notes there that the case for adding additional arrangements is weak, and would extend that reasoning to the case of Crown use.</w:t>
      </w:r>
    </w:p>
    <w:p w14:paraId="63449F91" w14:textId="7E9ED741" w:rsidR="00B71B19" w:rsidRDefault="007517D0" w:rsidP="00B71B19">
      <w:pPr>
        <w:pStyle w:val="Heading2"/>
      </w:pPr>
      <w:r>
        <w:t>7.</w:t>
      </w:r>
      <w:r>
        <w:rPr>
          <w:noProof/>
        </w:rPr>
        <w:t>3</w:t>
      </w:r>
      <w:r w:rsidR="00B71B19">
        <w:tab/>
        <w:t>Reforming the Crown use provisions</w:t>
      </w:r>
    </w:p>
    <w:p w14:paraId="5AAA6C1E" w14:textId="5F313D78" w:rsidR="00B71B19" w:rsidRDefault="00B71B19" w:rsidP="00B71B19">
      <w:pPr>
        <w:pStyle w:val="BodyText"/>
      </w:pPr>
      <w:bookmarkStart w:id="5" w:name="Heading410"/>
      <w:bookmarkEnd w:id="5"/>
      <w:r>
        <w:t>The Commission considers that reforms are warranted to clarify when Crown use can be utilised — particularly for healthcare — and to strengthen transparency and accountability.</w:t>
      </w:r>
    </w:p>
    <w:p w14:paraId="5702B10F" w14:textId="77777777" w:rsidR="00B71B19" w:rsidRPr="00CA794D" w:rsidRDefault="00B71B19" w:rsidP="00CA794D">
      <w:pPr>
        <w:pStyle w:val="Heading3"/>
      </w:pPr>
      <w:r w:rsidRPr="00CA794D">
        <w:t>Clarifying the scope of Crown use</w:t>
      </w:r>
    </w:p>
    <w:p w14:paraId="0CA638F1" w14:textId="53343EE0" w:rsidR="00B71B19" w:rsidRDefault="00FA5DE9" w:rsidP="006852C6">
      <w:pPr>
        <w:pStyle w:val="BodyText"/>
      </w:pPr>
      <w:r w:rsidRPr="00FA5DE9">
        <w:t xml:space="preserve">Inquiry participants raised </w:t>
      </w:r>
      <w:r>
        <w:t xml:space="preserve">several </w:t>
      </w:r>
      <w:r w:rsidRPr="00FA5DE9">
        <w:t xml:space="preserve">concerns about the </w:t>
      </w:r>
      <w:r>
        <w:t xml:space="preserve">scope of </w:t>
      </w:r>
      <w:r w:rsidRPr="00FA5DE9">
        <w:t>Crown use</w:t>
      </w:r>
      <w:r>
        <w:t>,</w:t>
      </w:r>
      <w:r w:rsidRPr="00FA5DE9">
        <w:t xml:space="preserve"> </w:t>
      </w:r>
      <w:r>
        <w:t xml:space="preserve">particularly in the context of </w:t>
      </w:r>
      <w:r w:rsidRPr="00FA5DE9">
        <w:t>healthcare.</w:t>
      </w:r>
      <w:r w:rsidRPr="00FA5DE9" w:rsidDel="00CA794D">
        <w:t xml:space="preserve"> </w:t>
      </w:r>
      <w:r w:rsidR="00B71B19" w:rsidRPr="0047630E">
        <w:t>Given</w:t>
      </w:r>
      <w:r>
        <w:t xml:space="preserve"> that </w:t>
      </w:r>
      <w:r w:rsidRPr="00FA5DE9">
        <w:t xml:space="preserve">Crown use is less costly and more timely to access for </w:t>
      </w:r>
      <w:r w:rsidR="00846B96">
        <w:t xml:space="preserve">a government </w:t>
      </w:r>
      <w:r w:rsidRPr="00FA5DE9">
        <w:t>applicant than a compulsory licence</w:t>
      </w:r>
      <w:r>
        <w:t>,</w:t>
      </w:r>
      <w:r w:rsidRPr="00FA5DE9">
        <w:t xml:space="preserve"> </w:t>
      </w:r>
      <w:r>
        <w:t xml:space="preserve">it </w:t>
      </w:r>
      <w:r w:rsidR="00B71B19" w:rsidRPr="0047630E">
        <w:t xml:space="preserve">will typically be the most </w:t>
      </w:r>
      <w:r>
        <w:t>cost-</w:t>
      </w:r>
      <w:r w:rsidR="00B71B19" w:rsidRPr="0047630E">
        <w:t xml:space="preserve">effective option </w:t>
      </w:r>
      <w:r>
        <w:t xml:space="preserve">for governments </w:t>
      </w:r>
      <w:r w:rsidR="006852C6">
        <w:t xml:space="preserve">to access </w:t>
      </w:r>
      <w:r w:rsidR="00B71B19" w:rsidRPr="0047630E">
        <w:t xml:space="preserve">patents </w:t>
      </w:r>
      <w:r w:rsidR="006852C6">
        <w:t xml:space="preserve">for </w:t>
      </w:r>
      <w:r w:rsidR="00B71B19" w:rsidRPr="0047630E">
        <w:t>healthcare</w:t>
      </w:r>
      <w:r w:rsidR="006852C6">
        <w:t xml:space="preserve"> purposes</w:t>
      </w:r>
      <w:r w:rsidR="00B71B19" w:rsidRPr="0047630E">
        <w:t xml:space="preserve">. </w:t>
      </w:r>
      <w:r w:rsidR="00B71B19">
        <w:t xml:space="preserve">However, inquiry participants were uncertain about </w:t>
      </w:r>
      <w:r w:rsidR="006852C6">
        <w:t xml:space="preserve">whether </w:t>
      </w:r>
      <w:r w:rsidR="00B71B19">
        <w:t xml:space="preserve">this </w:t>
      </w:r>
      <w:r w:rsidR="006852C6">
        <w:t xml:space="preserve">could occur in practice </w:t>
      </w:r>
      <w:r w:rsidR="00B71B19">
        <w:t>for several reasons.</w:t>
      </w:r>
    </w:p>
    <w:p w14:paraId="443278EF" w14:textId="77777777" w:rsidR="00950A62" w:rsidRPr="00AC57C8" w:rsidRDefault="00950A62" w:rsidP="00950A62">
      <w:pPr>
        <w:pStyle w:val="BodyText"/>
      </w:pPr>
      <w:r>
        <w:t xml:space="preserve">The Law Council of Australia (sub. 32) noted that the scope of Crown use is constrained by s. 165A of the Patents Act. Under this provision, </w:t>
      </w:r>
      <w:r w:rsidRPr="00AC57C8">
        <w:t xml:space="preserve">a </w:t>
      </w:r>
      <w:r>
        <w:t xml:space="preserve">government can </w:t>
      </w:r>
      <w:r>
        <w:lastRenderedPageBreak/>
        <w:t xml:space="preserve">be ordered to cease an instance of Crown use by a court if it </w:t>
      </w:r>
      <w:r w:rsidRPr="00AC57C8">
        <w:t xml:space="preserve">‘is not, or is no longer, necessary for the proper provision of services of the Commonwealth or State’. </w:t>
      </w:r>
      <w:r>
        <w:t xml:space="preserve">The Law Council of Australia </w:t>
      </w:r>
      <w:r w:rsidRPr="00AC57C8">
        <w:t>concluded that it is:</w:t>
      </w:r>
    </w:p>
    <w:p w14:paraId="5F564A87" w14:textId="3314AB11" w:rsidR="00950A62" w:rsidRDefault="001633B6" w:rsidP="00950A62">
      <w:pPr>
        <w:pStyle w:val="Quote"/>
      </w:pPr>
      <w:r>
        <w:t>… </w:t>
      </w:r>
      <w:r w:rsidR="00950A62" w:rsidRPr="00AC57C8">
        <w:t>unlikely that the Crown use exception could be applied in a situation where price negotiations for a voluntary licence are on foot or where the patented product is in fact available, albeit at a higher price. (Law Council of Australia, sub. 32, p. 11)</w:t>
      </w:r>
    </w:p>
    <w:p w14:paraId="0C7617DB" w14:textId="79FA13D5" w:rsidR="00950A62" w:rsidRPr="00CE479C" w:rsidRDefault="00950A62" w:rsidP="00950A62">
      <w:pPr>
        <w:pStyle w:val="BodyText"/>
      </w:pPr>
      <w:r>
        <w:t>As discussed below, such limitations may be desirable to make governments accountable for when Crown use is invoked and what compensation is paid</w:t>
      </w:r>
      <w:r w:rsidRPr="00CE479C">
        <w:t xml:space="preserve">. </w:t>
      </w:r>
    </w:p>
    <w:p w14:paraId="5FE337F0" w14:textId="29FB3955" w:rsidR="00B71B19" w:rsidRDefault="00B71B19" w:rsidP="00B71B19">
      <w:pPr>
        <w:pStyle w:val="BodyText"/>
      </w:pPr>
      <w:r>
        <w:t xml:space="preserve">Some participants were concerned that the courts could interpret the Crown use provisions narrowly to exclude </w:t>
      </w:r>
      <w:r w:rsidR="00846B96">
        <w:t xml:space="preserve">many instances of </w:t>
      </w:r>
      <w:r>
        <w:t xml:space="preserve">healthcare. This uncertainty arises because it is open to interpretation what is meant by s. 163(1) of the Patents Act, which limits Crown use to cases where an invention is used ‘for the services of’ a government. It seems unlikely that this would preclude healthcare services provided by governments, given that Crown use has previously been allowed for government-owned railways and domestic water supply (box 7.1). </w:t>
      </w:r>
    </w:p>
    <w:p w14:paraId="2AE5C97B" w14:textId="6B5FFE35" w:rsidR="00B71B19" w:rsidRPr="00B12BBE" w:rsidRDefault="00B71B19" w:rsidP="00B71B19">
      <w:pPr>
        <w:pStyle w:val="BodyText"/>
      </w:pPr>
      <w:r>
        <w:t xml:space="preserve">However, some participants were concerned that the term ‘for the services of’ a government may not extend to </w:t>
      </w:r>
      <w:r w:rsidR="004F485A">
        <w:t xml:space="preserve">the </w:t>
      </w:r>
      <w:r>
        <w:t xml:space="preserve">non-government </w:t>
      </w:r>
      <w:r w:rsidR="004F485A">
        <w:t xml:space="preserve">portion of the </w:t>
      </w:r>
      <w:r>
        <w:t>healthcare</w:t>
      </w:r>
      <w:r w:rsidR="004F485A">
        <w:t xml:space="preserve"> sector</w:t>
      </w:r>
      <w:r>
        <w:t xml:space="preserve">. For example, the Australian Government Department of Health and Ageing (DOHA) expressed the view that: </w:t>
      </w:r>
    </w:p>
    <w:p w14:paraId="4C6F3E9D" w14:textId="77777777" w:rsidR="00B71B19" w:rsidRDefault="00B71B19" w:rsidP="00B71B19">
      <w:pPr>
        <w:pStyle w:val="Quote"/>
      </w:pPr>
      <w:r w:rsidRPr="00B12BBE">
        <w:t>There is some lack of clarity as to how far ‘the services of’ the government extend, but it is unlikely it would extend to use of the patent by non-government service providers (such as privately owned medical testing laboratories). (sub. 22, p. 5)</w:t>
      </w:r>
    </w:p>
    <w:p w14:paraId="62C1D916" w14:textId="67C036F5" w:rsidR="00B71B19" w:rsidRDefault="00B71B19" w:rsidP="00B71B19">
      <w:pPr>
        <w:pStyle w:val="BodyText"/>
      </w:pPr>
      <w:r>
        <w:t xml:space="preserve">This is important because the Australian health system involves different tiers of government and the </w:t>
      </w:r>
      <w:r w:rsidR="00155A9A">
        <w:t>non-government</w:t>
      </w:r>
      <w:r>
        <w:t xml:space="preserve"> sector</w:t>
      </w:r>
      <w:r w:rsidR="00155A9A">
        <w:t>s</w:t>
      </w:r>
      <w:r>
        <w:t xml:space="preserve"> (box </w:t>
      </w:r>
      <w:r w:rsidR="00976501">
        <w:t>7.4</w:t>
      </w:r>
      <w:r>
        <w:t>).</w:t>
      </w:r>
    </w:p>
    <w:p w14:paraId="41B208D8" w14:textId="77777777" w:rsidR="00B71B19" w:rsidRDefault="00B71B19" w:rsidP="00B71B19">
      <w:pPr>
        <w:pStyle w:val="BodyText"/>
      </w:pPr>
      <w:r>
        <w:t>DOHA suggested that its concern could be addressed by:</w:t>
      </w:r>
    </w:p>
    <w:p w14:paraId="660A16DD" w14:textId="6FE127C4" w:rsidR="00B71B19" w:rsidRDefault="001633B6" w:rsidP="00B71B19">
      <w:pPr>
        <w:pStyle w:val="Quote"/>
      </w:pPr>
      <w:r>
        <w:t>… </w:t>
      </w:r>
      <w:r w:rsidR="00B71B19" w:rsidRPr="00074979">
        <w:t xml:space="preserve">broadening the </w:t>
      </w:r>
      <w:r w:rsidR="00B71B19">
        <w:t xml:space="preserve">[Crown use </w:t>
      </w:r>
      <w:r w:rsidR="00B71B19" w:rsidRPr="00074979">
        <w:t>provision</w:t>
      </w:r>
      <w:r w:rsidR="00B71B19">
        <w:t>s]</w:t>
      </w:r>
      <w:r w:rsidR="00B71B19" w:rsidRPr="00074979">
        <w:t xml:space="preserve"> to allow the Crown to license its access to the patent to a non-government entity, where it would be in the public health interest to extend services beyond those provided directly or indirectly by the Crown.</w:t>
      </w:r>
      <w:r w:rsidR="00B71B19" w:rsidRPr="00F15CF4">
        <w:rPr>
          <w:sz w:val="26"/>
          <w:szCs w:val="24"/>
        </w:rPr>
        <w:t xml:space="preserve"> </w:t>
      </w:r>
      <w:r w:rsidR="00B71B19">
        <w:t>(</w:t>
      </w:r>
      <w:r w:rsidR="00B71B19" w:rsidRPr="00BB53B4">
        <w:t>D</w:t>
      </w:r>
      <w:r w:rsidR="00B71B19">
        <w:t>OHA</w:t>
      </w:r>
      <w:r w:rsidR="00B71B19" w:rsidRPr="00F15CF4">
        <w:t>, sub. 22, p. 5)</w:t>
      </w:r>
    </w:p>
    <w:p w14:paraId="438C1ED3" w14:textId="52292D2F" w:rsidR="00C93881" w:rsidRDefault="00B71B19" w:rsidP="004F485A">
      <w:pPr>
        <w:pStyle w:val="BodyText"/>
      </w:pPr>
      <w:r>
        <w:t xml:space="preserve">However, this seems unnecessary because s. 163(1) of the </w:t>
      </w:r>
      <w:r w:rsidRPr="00CB15D2">
        <w:t>Pa</w:t>
      </w:r>
      <w:r>
        <w:t>tents Act already allows any ‘</w:t>
      </w:r>
      <w:r w:rsidRPr="00DA1B35">
        <w:rPr>
          <w:bCs/>
        </w:rPr>
        <w:t>person authorised in writing by the Commonwealth or a State</w:t>
      </w:r>
      <w:r>
        <w:t xml:space="preserve">’ to exploit the patented invention, at any time, so long as it is ‘for the services of the </w:t>
      </w:r>
      <w:r w:rsidRPr="00DA1B35">
        <w:t>Commonwealth or the State</w:t>
      </w:r>
      <w:r>
        <w:t xml:space="preserve">’. There is no limit </w:t>
      </w:r>
      <w:r w:rsidR="001D49D8">
        <w:t xml:space="preserve">to </w:t>
      </w:r>
      <w:r>
        <w:t>the number of people that can be authorised, or any requirement that the person be a government employee.</w:t>
      </w:r>
    </w:p>
    <w:p w14:paraId="1D39CE85" w14:textId="689A5836" w:rsidR="004F485A" w:rsidRDefault="004F485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F485A" w14:paraId="1F02BCD1" w14:textId="77777777">
        <w:tc>
          <w:tcPr>
            <w:tcW w:w="8771" w:type="dxa"/>
            <w:tcBorders>
              <w:top w:val="single" w:sz="6" w:space="0" w:color="auto"/>
              <w:bottom w:val="nil"/>
            </w:tcBorders>
          </w:tcPr>
          <w:p w14:paraId="4DB4753E" w14:textId="6A1F2630" w:rsidR="004F485A" w:rsidRDefault="004F485A" w:rsidP="004F485A">
            <w:pPr>
              <w:pStyle w:val="BoxTitle"/>
            </w:pPr>
            <w:r>
              <w:rPr>
                <w:b w:val="0"/>
              </w:rPr>
              <w:t xml:space="preserve">Box </w:t>
            </w:r>
            <w:bookmarkStart w:id="6" w:name="OLE_LINK2"/>
            <w:r w:rsidR="007517D0">
              <w:rPr>
                <w:b w:val="0"/>
              </w:rPr>
              <w:t>7.</w:t>
            </w:r>
            <w:r w:rsidR="007517D0">
              <w:rPr>
                <w:b w:val="0"/>
                <w:noProof/>
              </w:rPr>
              <w:t>4</w:t>
            </w:r>
            <w:bookmarkEnd w:id="6"/>
            <w:r>
              <w:tab/>
              <w:t>Levels of responsibility in Australian healthcare</w:t>
            </w:r>
          </w:p>
        </w:tc>
      </w:tr>
      <w:tr w:rsidR="004F485A" w14:paraId="287883AC" w14:textId="77777777">
        <w:trPr>
          <w:cantSplit/>
        </w:trPr>
        <w:tc>
          <w:tcPr>
            <w:tcW w:w="8771" w:type="dxa"/>
            <w:tcBorders>
              <w:top w:val="nil"/>
              <w:left w:val="single" w:sz="6" w:space="0" w:color="auto"/>
              <w:bottom w:val="nil"/>
              <w:right w:val="single" w:sz="6" w:space="0" w:color="auto"/>
            </w:tcBorders>
          </w:tcPr>
          <w:p w14:paraId="7D8F9F6D" w14:textId="0839AA2A" w:rsidR="004F485A" w:rsidRPr="004F485A" w:rsidRDefault="004F485A" w:rsidP="004F485A">
            <w:pPr>
              <w:pStyle w:val="Box"/>
            </w:pPr>
            <w:r w:rsidRPr="004F485A">
              <w:rPr>
                <w:lang w:val="en"/>
              </w:rPr>
              <w:t xml:space="preserve">The healthcare system in Australia is complex, involving many funders and healthcare providers. Responsibility for funding and provision is split between different levels of government, and between the public and </w:t>
            </w:r>
            <w:r w:rsidR="00025169">
              <w:rPr>
                <w:lang w:val="en"/>
              </w:rPr>
              <w:t xml:space="preserve">non-government </w:t>
            </w:r>
            <w:r w:rsidRPr="004F485A">
              <w:rPr>
                <w:lang w:val="en"/>
              </w:rPr>
              <w:t xml:space="preserve">sectors. </w:t>
            </w:r>
          </w:p>
          <w:p w14:paraId="09E40266" w14:textId="2D3AB684" w:rsidR="004F485A" w:rsidRPr="004F485A" w:rsidRDefault="004F485A" w:rsidP="004F485A">
            <w:pPr>
              <w:pStyle w:val="Box"/>
            </w:pPr>
            <w:r w:rsidRPr="004F485A">
              <w:t>In terms of funding, in 2010-11 the Australian Government provided 43 per cen</w:t>
            </w:r>
            <w:r w:rsidR="00725F1F">
              <w:t>t of the total health funding, State and Territory and Local G</w:t>
            </w:r>
            <w:r w:rsidRPr="004F485A">
              <w:t>overnments funded 26 per cent, while non-government sources contributed 31 per cent (AIHW 2012).</w:t>
            </w:r>
          </w:p>
          <w:p w14:paraId="471269FA" w14:textId="711DFA8A" w:rsidR="004F485A" w:rsidRDefault="004F485A" w:rsidP="00025169">
            <w:pPr>
              <w:pStyle w:val="Box"/>
            </w:pPr>
            <w:r w:rsidRPr="004F485A">
              <w:rPr>
                <w:lang w:val="en"/>
              </w:rPr>
              <w:t>The Australian Government operates the Medicare and the Pharmaceutical Benefits Scheme. It also jointly funds a number of aspects of the healthcare system, such as public hospitals and mental</w:t>
            </w:r>
            <w:r w:rsidR="007719C8">
              <w:rPr>
                <w:lang w:val="en"/>
              </w:rPr>
              <w:t xml:space="preserve"> health services with the State</w:t>
            </w:r>
            <w:r w:rsidRPr="004F485A">
              <w:rPr>
                <w:lang w:val="en"/>
              </w:rPr>
              <w:t xml:space="preserve"> and Territory Governments, through the National Health Care Agreeme</w:t>
            </w:r>
            <w:r w:rsidR="00725F1F">
              <w:rPr>
                <w:lang w:val="en"/>
              </w:rPr>
              <w:t>nt. Under this agreement, State</w:t>
            </w:r>
            <w:r w:rsidRPr="004F485A">
              <w:rPr>
                <w:lang w:val="en"/>
              </w:rPr>
              <w:t xml:space="preserve"> and Territory Governments are also responsible for the delivery of a number of other services, including community health, ambulance services and disability services. The </w:t>
            </w:r>
            <w:r w:rsidR="00025169">
              <w:rPr>
                <w:lang w:val="en"/>
              </w:rPr>
              <w:t xml:space="preserve">non-government </w:t>
            </w:r>
            <w:r w:rsidRPr="004F485A">
              <w:rPr>
                <w:lang w:val="en"/>
              </w:rPr>
              <w:t xml:space="preserve">sector’s provision of healthcare includes a wide range of services including, private medical practitioners, </w:t>
            </w:r>
            <w:r w:rsidR="00025169">
              <w:rPr>
                <w:lang w:val="en"/>
              </w:rPr>
              <w:t xml:space="preserve">community and </w:t>
            </w:r>
            <w:r w:rsidRPr="004F485A">
              <w:rPr>
                <w:lang w:val="en"/>
              </w:rPr>
              <w:t>private hospitals, pathology services and pharmacies</w:t>
            </w:r>
          </w:p>
        </w:tc>
      </w:tr>
      <w:tr w:rsidR="004F485A" w14:paraId="5B20AEAC" w14:textId="77777777">
        <w:trPr>
          <w:cantSplit/>
        </w:trPr>
        <w:tc>
          <w:tcPr>
            <w:tcW w:w="8771" w:type="dxa"/>
            <w:tcBorders>
              <w:top w:val="nil"/>
              <w:left w:val="single" w:sz="6" w:space="0" w:color="auto"/>
              <w:bottom w:val="single" w:sz="6" w:space="0" w:color="auto"/>
              <w:right w:val="single" w:sz="6" w:space="0" w:color="auto"/>
            </w:tcBorders>
          </w:tcPr>
          <w:p w14:paraId="0B7D25D2" w14:textId="77777777" w:rsidR="004F485A" w:rsidRDefault="004F485A">
            <w:pPr>
              <w:pStyle w:val="Box"/>
              <w:spacing w:before="0" w:line="120" w:lineRule="exact"/>
            </w:pPr>
          </w:p>
        </w:tc>
      </w:tr>
      <w:tr w:rsidR="004F485A" w:rsidRPr="000863A5" w14:paraId="342532A2" w14:textId="77777777">
        <w:tc>
          <w:tcPr>
            <w:tcW w:w="8771" w:type="dxa"/>
            <w:tcBorders>
              <w:top w:val="nil"/>
              <w:left w:val="nil"/>
              <w:bottom w:val="nil"/>
              <w:right w:val="nil"/>
            </w:tcBorders>
          </w:tcPr>
          <w:p w14:paraId="0FD9DDF8" w14:textId="043701A9" w:rsidR="004F485A" w:rsidRPr="00626D32" w:rsidRDefault="004F485A" w:rsidP="004F485A">
            <w:pPr>
              <w:pStyle w:val="BoxSpaceBelow"/>
            </w:pPr>
          </w:p>
        </w:tc>
      </w:tr>
    </w:tbl>
    <w:p w14:paraId="09FC8C0E" w14:textId="77777777" w:rsidR="00B71B19" w:rsidRPr="00796E61" w:rsidRDefault="00B71B19" w:rsidP="00B71B19">
      <w:pPr>
        <w:pStyle w:val="BodyText"/>
      </w:pPr>
      <w:r>
        <w:t>Another concern raised by participants was that the Crown use provisions are not well suited to cases where coordination is needed across state boundaries.</w:t>
      </w:r>
    </w:p>
    <w:p w14:paraId="3895A27E" w14:textId="1CBA3B06" w:rsidR="00B71B19" w:rsidRDefault="00B71B19" w:rsidP="00B71B19">
      <w:pPr>
        <w:pStyle w:val="Quote"/>
      </w:pPr>
      <w:r w:rsidRPr="003B6CD3">
        <w:t>Under current laws, each state/territory</w:t>
      </w:r>
      <w:r>
        <w:t xml:space="preserve"> </w:t>
      </w:r>
      <w:r w:rsidR="001633B6">
        <w:t>would … </w:t>
      </w:r>
      <w:r w:rsidRPr="003B6CD3">
        <w:t>need to negotiate recompense to the patent holder individually (or if agreed as joint</w:t>
      </w:r>
      <w:r>
        <w:t xml:space="preserve"> </w:t>
      </w:r>
      <w:r w:rsidRPr="003B6CD3">
        <w:t>parties), rather than the Commonwealth negotiating on behalf of all state/territory governments.</w:t>
      </w:r>
      <w:r>
        <w:t xml:space="preserve"> (DOHA, sub. 22, p. 6)</w:t>
      </w:r>
    </w:p>
    <w:p w14:paraId="5F879875" w14:textId="69E8B5CC" w:rsidR="00B71B19" w:rsidRDefault="00B71B19" w:rsidP="00B71B19">
      <w:pPr>
        <w:pStyle w:val="Quote"/>
      </w:pPr>
      <w:r w:rsidRPr="00CB20F8">
        <w:t>If a particular State</w:t>
      </w:r>
      <w:r>
        <w:t xml:space="preserve"> </w:t>
      </w:r>
      <w:r w:rsidRPr="00CB20F8">
        <w:t>Government invokes Crown use of a gene patent to provide a particular medical genetic test for</w:t>
      </w:r>
      <w:r>
        <w:t xml:space="preserve"> </w:t>
      </w:r>
      <w:r w:rsidRPr="00CB20F8">
        <w:t>its citizens, would the provision for Crown use extend to the testing of samples that had been</w:t>
      </w:r>
      <w:r>
        <w:t xml:space="preserve"> </w:t>
      </w:r>
      <w:r w:rsidRPr="00CB20F8">
        <w:t>sent from another State for analysis? If not, each State would need to invoke Crown use of that</w:t>
      </w:r>
      <w:r>
        <w:t xml:space="preserve"> </w:t>
      </w:r>
      <w:r w:rsidRPr="00CB20F8">
        <w:t>gene patent and develop its own test to meet the needs of the patients in its own jurisdiction.</w:t>
      </w:r>
      <w:r>
        <w:t xml:space="preserve"> (</w:t>
      </w:r>
      <w:r w:rsidRPr="0022139E">
        <w:t>Royal College of Pathologist</w:t>
      </w:r>
      <w:r>
        <w:t>s</w:t>
      </w:r>
      <w:r w:rsidR="009D7AD7">
        <w:t xml:space="preserve"> of Australasia</w:t>
      </w:r>
      <w:r>
        <w:t>, sub. 16, p. 2)</w:t>
      </w:r>
    </w:p>
    <w:p w14:paraId="6FF0B4CA" w14:textId="2BBF8F5A" w:rsidR="00B71B19" w:rsidRDefault="001633B6" w:rsidP="00B71B19">
      <w:pPr>
        <w:pStyle w:val="Quote"/>
      </w:pPr>
      <w:r>
        <w:t>… </w:t>
      </w:r>
      <w:r w:rsidR="00B71B19" w:rsidRPr="003E478B">
        <w:t xml:space="preserve">questions exist over </w:t>
      </w:r>
      <w:r w:rsidR="00B71B19" w:rsidRPr="003E478B">
        <w:rPr>
          <w:i/>
          <w:iCs/>
        </w:rPr>
        <w:t xml:space="preserve">which </w:t>
      </w:r>
      <w:r w:rsidR="00B71B19" w:rsidRPr="003E478B">
        <w:t xml:space="preserve">Crown must authorise the use. For example, the NSW ‘Crown’ may have to authorise Sydney University to exploit a patented invention, and the Queensland Government authorise exploitation by </w:t>
      </w:r>
      <w:r w:rsidR="00B71B19">
        <w:t>[</w:t>
      </w:r>
      <w:r w:rsidR="00B71B19" w:rsidRPr="003E478B">
        <w:t>U</w:t>
      </w:r>
      <w:r w:rsidR="00B71B19">
        <w:t xml:space="preserve">niversity of </w:t>
      </w:r>
      <w:r w:rsidR="00B71B19" w:rsidRPr="003E478B">
        <w:t>Q</w:t>
      </w:r>
      <w:r w:rsidR="00B71B19">
        <w:t>ueensland]</w:t>
      </w:r>
      <w:r w:rsidR="00B71B19" w:rsidRPr="003E478B">
        <w:t>.</w:t>
      </w:r>
      <w:r w:rsidR="00B71B19">
        <w:t xml:space="preserve"> (</w:t>
      </w:r>
      <w:r w:rsidR="00B71B19" w:rsidRPr="0022139E">
        <w:t>Civil Liberties Australia</w:t>
      </w:r>
      <w:r w:rsidR="00B71B19">
        <w:t>, sub. 12, p. 6)</w:t>
      </w:r>
    </w:p>
    <w:p w14:paraId="0054A5FE" w14:textId="31130A5A" w:rsidR="00B71B19" w:rsidRDefault="00B71B19" w:rsidP="00B71B19">
      <w:pPr>
        <w:pStyle w:val="BodyText"/>
      </w:pPr>
      <w:r>
        <w:t>Conversely, it could be argued that there are no significant barriers to coordinating Crown use because the provisions do not limit its geographic coverage. In particular, s. 163(1) of the Patents Act places</w:t>
      </w:r>
      <w:r w:rsidRPr="00CB7DD5">
        <w:t xml:space="preserve"> no restriction on where </w:t>
      </w:r>
      <w:r>
        <w:t xml:space="preserve">a </w:t>
      </w:r>
      <w:r w:rsidRPr="00CB7DD5">
        <w:t>person must reside</w:t>
      </w:r>
      <w:r>
        <w:t xml:space="preserve"> if they undertake Crown use on a government’s behalf</w:t>
      </w:r>
      <w:r w:rsidRPr="00CB7DD5">
        <w:t xml:space="preserve">. </w:t>
      </w:r>
      <w:r>
        <w:t>This should enable a government to authorise Crown use by a healthcare provider in another jurisdiction. Moreover, the Patents Act does not preclude the states and territories from coordinating their actions, including possibly with the Australian Government.</w:t>
      </w:r>
    </w:p>
    <w:p w14:paraId="1AEB2A14" w14:textId="6959B74B" w:rsidR="00B71B19" w:rsidRDefault="00B71B19" w:rsidP="00B71B19">
      <w:pPr>
        <w:pStyle w:val="BodyText"/>
      </w:pPr>
      <w:r>
        <w:lastRenderedPageBreak/>
        <w:t xml:space="preserve">While it is debatable whether the abovementioned issues are indeed barriers to applying Crown use to healthcare, it is evident that there is uncertainty among stakeholders. This could itself be </w:t>
      </w:r>
      <w:r w:rsidRPr="00294B2C">
        <w:t>an impediment to the effective utilisation of Crown use</w:t>
      </w:r>
      <w:r>
        <w:t>. For example, DOHA noted that legal advice it had received led it to the conclusion that</w:t>
      </w:r>
      <w:r w:rsidRPr="001E5B0F">
        <w:t xml:space="preserve"> </w:t>
      </w:r>
      <w:r>
        <w:t xml:space="preserve">it was not viable to apply </w:t>
      </w:r>
      <w:r w:rsidRPr="00C67DF0">
        <w:t xml:space="preserve">Crown use </w:t>
      </w:r>
      <w:r>
        <w:t>to healthcare because:</w:t>
      </w:r>
    </w:p>
    <w:p w14:paraId="4AB9F1D2" w14:textId="77777777" w:rsidR="00B71B19" w:rsidRPr="00C67DF0" w:rsidRDefault="00B71B19" w:rsidP="002E0B29">
      <w:pPr>
        <w:pStyle w:val="ListBullet"/>
      </w:pPr>
      <w:r w:rsidRPr="00C67DF0">
        <w:t>the scope of the provisions is unclear</w:t>
      </w:r>
    </w:p>
    <w:p w14:paraId="5A7ED3BD" w14:textId="64660B16" w:rsidR="00B71B19" w:rsidRPr="00C67DF0" w:rsidRDefault="00B71B19" w:rsidP="002E0B29">
      <w:pPr>
        <w:pStyle w:val="ListBullet"/>
      </w:pPr>
      <w:r w:rsidRPr="00C67DF0">
        <w:t xml:space="preserve">the ability of the </w:t>
      </w:r>
      <w:r w:rsidR="007719C8">
        <w:t>Australian Government</w:t>
      </w:r>
      <w:r w:rsidRPr="00C67DF0">
        <w:t xml:space="preserve"> to authorise use of </w:t>
      </w:r>
      <w:r>
        <w:t>a</w:t>
      </w:r>
      <w:r w:rsidRPr="00C67DF0">
        <w:t xml:space="preserve"> patent by third pa</w:t>
      </w:r>
      <w:r w:rsidR="00053B28">
        <w:t>rties was doubtful and untested</w:t>
      </w:r>
    </w:p>
    <w:p w14:paraId="4E8DDA51" w14:textId="159E0E4E" w:rsidR="00B71B19" w:rsidRDefault="00B71B19" w:rsidP="00B71B19">
      <w:pPr>
        <w:pStyle w:val="ListBullet"/>
      </w:pPr>
      <w:r w:rsidRPr="00C67DF0">
        <w:t>the required amount of compensation to the patent holder is unclear. (</w:t>
      </w:r>
      <w:r>
        <w:t xml:space="preserve">DOHA, Canberra, </w:t>
      </w:r>
      <w:r w:rsidRPr="00C67DF0">
        <w:t>per</w:t>
      </w:r>
      <w:r>
        <w:t>s.</w:t>
      </w:r>
      <w:r w:rsidRPr="00C67DF0">
        <w:t xml:space="preserve"> comm</w:t>
      </w:r>
      <w:r>
        <w:t>.</w:t>
      </w:r>
      <w:r w:rsidR="002D07AD">
        <w:t>,</w:t>
      </w:r>
      <w:r>
        <w:t xml:space="preserve"> 30 October 2012</w:t>
      </w:r>
      <w:r w:rsidRPr="00C67DF0">
        <w:t>)</w:t>
      </w:r>
    </w:p>
    <w:p w14:paraId="32FD3B68" w14:textId="5D2345BD" w:rsidR="00B71B19" w:rsidRDefault="00B71B19" w:rsidP="00B71B19">
      <w:pPr>
        <w:pStyle w:val="BodyText"/>
      </w:pPr>
      <w:r>
        <w:t xml:space="preserve">Some inquiry participants proposed </w:t>
      </w:r>
      <w:r w:rsidRPr="009E0621">
        <w:t xml:space="preserve">that </w:t>
      </w:r>
      <w:r>
        <w:t xml:space="preserve">such uncertainty be addressed by explicitly stating in the Patents Act that Crown use is applicable to healthcare </w:t>
      </w:r>
      <w:r w:rsidRPr="009E0621">
        <w:t>(for example</w:t>
      </w:r>
      <w:r>
        <w:t>,</w:t>
      </w:r>
      <w:r w:rsidRPr="009E0621">
        <w:t xml:space="preserve"> Centre for Law and G</w:t>
      </w:r>
      <w:r>
        <w:t xml:space="preserve">enetics, sub. </w:t>
      </w:r>
      <w:r w:rsidR="002E0B29">
        <w:t>3</w:t>
      </w:r>
      <w:r>
        <w:t>; Civil Liberties Australia, sub 12; DOHA</w:t>
      </w:r>
      <w:r w:rsidR="001633B6">
        <w:t>, sub. </w:t>
      </w:r>
      <w:r w:rsidRPr="009E0621">
        <w:t>22; Matthew Rimmer, sub. 11).</w:t>
      </w:r>
      <w:r w:rsidRPr="00F56F5B">
        <w:t xml:space="preserve"> </w:t>
      </w:r>
      <w:r>
        <w:t>The ALRC called for a similar amendment in its review of gene patents.</w:t>
      </w:r>
    </w:p>
    <w:p w14:paraId="37DCC06D" w14:textId="77777777" w:rsidR="00B71B19" w:rsidRDefault="00B71B19" w:rsidP="00B71B19">
      <w:pPr>
        <w:pStyle w:val="Quote"/>
      </w:pPr>
      <w:r w:rsidRPr="00AB26CD">
        <w:t xml:space="preserve">The Commonwealth should amend the </w:t>
      </w:r>
      <w:r w:rsidRPr="002E0B29">
        <w:t>Patents Act</w:t>
      </w:r>
      <w:r w:rsidRPr="00AB26CD">
        <w:rPr>
          <w:i/>
          <w:iCs/>
        </w:rPr>
        <w:t xml:space="preserve"> </w:t>
      </w:r>
      <w:r w:rsidRPr="00AB26CD">
        <w:t>to clarify that, for the</w:t>
      </w:r>
      <w:r>
        <w:t xml:space="preserve"> </w:t>
      </w:r>
      <w:r w:rsidRPr="00AB26CD">
        <w:t>purposes of the Crown use provisions, an invention is exploited ‘for the services</w:t>
      </w:r>
      <w:r>
        <w:t xml:space="preserve"> </w:t>
      </w:r>
      <w:r w:rsidRPr="00AB26CD">
        <w:t>of the Commonwealth or of a State’ if the exploitation of the invention by a</w:t>
      </w:r>
      <w:r>
        <w:t xml:space="preserve"> </w:t>
      </w:r>
      <w:r w:rsidRPr="00AB26CD">
        <w:t>Commonwealth or State authority (or by an authorised person) is for the</w:t>
      </w:r>
      <w:r>
        <w:t xml:space="preserve"> </w:t>
      </w:r>
      <w:r w:rsidRPr="00AB26CD">
        <w:t>provision of healthcare services or products to members of the public.</w:t>
      </w:r>
      <w:r>
        <w:t xml:space="preserve"> (ALRC 2004, p. 33)</w:t>
      </w:r>
    </w:p>
    <w:p w14:paraId="2ACEDF8E" w14:textId="594893C4" w:rsidR="00B71B19" w:rsidRDefault="00B71B19" w:rsidP="00B71B19">
      <w:pPr>
        <w:pStyle w:val="BodyText"/>
      </w:pPr>
      <w:r>
        <w:t xml:space="preserve">This was endorsed by the </w:t>
      </w:r>
      <w:r w:rsidRPr="00390AE1">
        <w:t xml:space="preserve">Senate </w:t>
      </w:r>
      <w:r>
        <w:t>review of gene patents (SCARC 2010). However, the Australian Government rejected this proposal on the grounds that:</w:t>
      </w:r>
    </w:p>
    <w:p w14:paraId="5D6308C6" w14:textId="5F64D198" w:rsidR="00B71B19" w:rsidRPr="00A66172" w:rsidRDefault="00B71B19" w:rsidP="00B71B19">
      <w:pPr>
        <w:pStyle w:val="Quote"/>
      </w:pPr>
      <w:r w:rsidRPr="00A66172">
        <w:t>The Government does not see a need at present to develop a health-specific policy on the circumstances in which Crown use provisions should be exploited as the provisions are available for all Commonwealth, State and Territory services. The Government agrees that the circumstances in which a patented invention should be exploited pursuant to the Crown use provisions should be considered on a case-by-case basis.</w:t>
      </w:r>
      <w:r>
        <w:t xml:space="preserve"> (Australian Government 2011</w:t>
      </w:r>
      <w:r w:rsidR="00AF4F66">
        <w:t>a</w:t>
      </w:r>
      <w:r>
        <w:t>, p. 11)</w:t>
      </w:r>
    </w:p>
    <w:p w14:paraId="11A3F094" w14:textId="49DC2866" w:rsidR="007C78C8" w:rsidRDefault="00B71B19" w:rsidP="000711C3">
      <w:pPr>
        <w:pStyle w:val="BodyText"/>
      </w:pPr>
      <w:r>
        <w:t xml:space="preserve">Identifying healthcare as a special case in the Patents Act would also be contrary to the general approach of having a technology-neutral patents system. Technology neutrality is desirable because </w:t>
      </w:r>
      <w:r w:rsidR="007C78C8">
        <w:t xml:space="preserve">it </w:t>
      </w:r>
      <w:r w:rsidR="000711C3" w:rsidRPr="000711C3">
        <w:t>reduce</w:t>
      </w:r>
      <w:r w:rsidR="007C78C8">
        <w:t>s</w:t>
      </w:r>
      <w:r w:rsidR="000711C3" w:rsidRPr="000711C3">
        <w:t xml:space="preserve"> complexity and</w:t>
      </w:r>
      <w:r w:rsidR="007C78C8">
        <w:t xml:space="preserve"> </w:t>
      </w:r>
      <w:r w:rsidR="00482B5C">
        <w:t xml:space="preserve">therefore </w:t>
      </w:r>
      <w:r w:rsidR="007C78C8">
        <w:t xml:space="preserve">the overall </w:t>
      </w:r>
      <w:r w:rsidR="000711C3" w:rsidRPr="000711C3">
        <w:t>cost</w:t>
      </w:r>
      <w:r w:rsidR="007C78C8">
        <w:t>s</w:t>
      </w:r>
      <w:r w:rsidR="000711C3" w:rsidRPr="000711C3">
        <w:t xml:space="preserve"> of </w:t>
      </w:r>
      <w:r w:rsidR="007C78C8">
        <w:t xml:space="preserve">the </w:t>
      </w:r>
      <w:r w:rsidR="000711C3" w:rsidRPr="000711C3">
        <w:t>patent</w:t>
      </w:r>
      <w:r w:rsidR="0024701D">
        <w:t>s</w:t>
      </w:r>
      <w:r w:rsidR="000711C3" w:rsidRPr="000711C3">
        <w:t xml:space="preserve"> system</w:t>
      </w:r>
      <w:r w:rsidR="007C78C8">
        <w:t>. Furthermore, a neutral system</w:t>
      </w:r>
      <w:r w:rsidR="000711C3" w:rsidRPr="000711C3">
        <w:t xml:space="preserve"> has </w:t>
      </w:r>
      <w:r w:rsidR="007C78C8">
        <w:t xml:space="preserve">the </w:t>
      </w:r>
      <w:r w:rsidR="000711C3" w:rsidRPr="000711C3">
        <w:t>flexibility to</w:t>
      </w:r>
      <w:r w:rsidR="007C78C8">
        <w:t xml:space="preserve"> </w:t>
      </w:r>
      <w:r w:rsidR="000711C3" w:rsidRPr="000711C3">
        <w:t>accommodate patenting of new and emerging areas of technology</w:t>
      </w:r>
      <w:r w:rsidR="00482B5C">
        <w:t xml:space="preserve">. In contrast, </w:t>
      </w:r>
      <w:r w:rsidR="009E775B">
        <w:t xml:space="preserve">a patents system that differentiates between </w:t>
      </w:r>
      <w:r w:rsidR="00900970">
        <w:t xml:space="preserve">specific </w:t>
      </w:r>
      <w:r w:rsidR="009E775B">
        <w:t>technologies is likely to quickly become</w:t>
      </w:r>
      <w:r w:rsidR="00900970">
        <w:t xml:space="preserve"> </w:t>
      </w:r>
      <w:r w:rsidR="00725F1F">
        <w:t>out-dated</w:t>
      </w:r>
      <w:r w:rsidR="009E775B">
        <w:t>, and so would constantly need updating.</w:t>
      </w:r>
      <w:r w:rsidR="00900970">
        <w:t xml:space="preserve"> A</w:t>
      </w:r>
      <w:r w:rsidR="007C78C8" w:rsidRPr="007C78C8">
        <w:t xml:space="preserve">ltering the legal status of patents </w:t>
      </w:r>
      <w:r w:rsidR="007C78C8">
        <w:t>in specific industries</w:t>
      </w:r>
      <w:r w:rsidR="007C78C8" w:rsidRPr="007C78C8">
        <w:t xml:space="preserve"> could </w:t>
      </w:r>
      <w:r w:rsidR="00900970">
        <w:t xml:space="preserve">also </w:t>
      </w:r>
      <w:r w:rsidR="007C78C8" w:rsidRPr="007C78C8">
        <w:t xml:space="preserve">have unforeseen consequences, </w:t>
      </w:r>
      <w:r w:rsidR="00900970">
        <w:t xml:space="preserve">possibly </w:t>
      </w:r>
      <w:r w:rsidR="007C78C8" w:rsidRPr="007C78C8">
        <w:t>making some lines of future research unattractive</w:t>
      </w:r>
      <w:r w:rsidR="007C78C8">
        <w:t xml:space="preserve"> (SCARC 2010)</w:t>
      </w:r>
      <w:r w:rsidR="00C31E03">
        <w:t>.</w:t>
      </w:r>
    </w:p>
    <w:p w14:paraId="3564FDCD" w14:textId="5FC391F0" w:rsidR="00B71B19" w:rsidRDefault="00B71B19" w:rsidP="00B71B19">
      <w:pPr>
        <w:pStyle w:val="BodyText"/>
      </w:pPr>
      <w:r>
        <w:lastRenderedPageBreak/>
        <w:t xml:space="preserve">Nevertheless, the Commission recognises that stakeholders are likely to remain uncertain about the scope of Crown use, given the lack of jurisprudence, and that this can limit the effectiveness of the provisions. It therefore proposes that </w:t>
      </w:r>
      <w:r w:rsidR="00725F1F">
        <w:t>the phrase ‘for the services</w:t>
      </w:r>
      <w:r>
        <w:t xml:space="preserve"> of</w:t>
      </w:r>
      <w:r w:rsidR="00725F1F">
        <w:t>’</w:t>
      </w:r>
      <w:r>
        <w:t xml:space="preserve"> a government be clarified in the Patents Act, while maintaining technology neutrality.</w:t>
      </w:r>
    </w:p>
    <w:p w14:paraId="7E697EE8" w14:textId="7556A261" w:rsidR="00B71B19" w:rsidRDefault="00B71B19" w:rsidP="00B71B19">
      <w:pPr>
        <w:pStyle w:val="RecTitle"/>
      </w:pPr>
      <w:r>
        <w:t xml:space="preserve">draft Recommendation </w:t>
      </w:r>
      <w:r w:rsidR="007517D0">
        <w:t>7.</w:t>
      </w:r>
      <w:r w:rsidR="007517D0">
        <w:rPr>
          <w:noProof/>
        </w:rPr>
        <w:t>1</w:t>
      </w:r>
    </w:p>
    <w:p w14:paraId="30367787" w14:textId="4FAE9925" w:rsidR="00B71B19" w:rsidRDefault="00B71B19" w:rsidP="00B71B19">
      <w:pPr>
        <w:pStyle w:val="Rec"/>
      </w:pPr>
      <w:r>
        <w:t xml:space="preserve">The Australian Government should </w:t>
      </w:r>
      <w:r w:rsidR="002D06DA">
        <w:t xml:space="preserve">seek to </w:t>
      </w:r>
      <w:r>
        <w:t>amend s. 163 of the Patents Act 1990 (Cwlth) to make it clear that Crown use can be invoked for the provision of a service that t</w:t>
      </w:r>
      <w:r w:rsidRPr="00A3561D">
        <w:t xml:space="preserve">he </w:t>
      </w:r>
      <w:r>
        <w:t xml:space="preserve">Australian, State </w:t>
      </w:r>
      <w:r w:rsidR="0091512B">
        <w:t>and/</w:t>
      </w:r>
      <w:r>
        <w:t xml:space="preserve">or Territory Governments have </w:t>
      </w:r>
      <w:r w:rsidR="004B0743">
        <w:t xml:space="preserve">the </w:t>
      </w:r>
      <w:r w:rsidR="00C95CEA">
        <w:t>primary</w:t>
      </w:r>
      <w:r>
        <w:t xml:space="preserve"> </w:t>
      </w:r>
      <w:r w:rsidR="000D0586">
        <w:t>responsibility for</w:t>
      </w:r>
      <w:r>
        <w:t xml:space="preserve"> provi</w:t>
      </w:r>
      <w:r w:rsidR="00D57495">
        <w:t>ding</w:t>
      </w:r>
      <w:r>
        <w:t xml:space="preserve"> or funding.</w:t>
      </w:r>
    </w:p>
    <w:p w14:paraId="34944970" w14:textId="77777777" w:rsidR="00B71B19" w:rsidRDefault="00B71B19" w:rsidP="00B71B19">
      <w:pPr>
        <w:pStyle w:val="Heading3"/>
      </w:pPr>
      <w:r>
        <w:t>Measures to improve transparency and accountability</w:t>
      </w:r>
    </w:p>
    <w:p w14:paraId="262CC6B9" w14:textId="701DA045" w:rsidR="005B73F7" w:rsidRDefault="005B73F7" w:rsidP="00B71B19">
      <w:pPr>
        <w:pStyle w:val="BodyText"/>
      </w:pPr>
      <w:r>
        <w:t>T</w:t>
      </w:r>
      <w:r w:rsidRPr="005B73F7">
        <w:t>his chapter has already explored a number of ways</w:t>
      </w:r>
      <w:r>
        <w:t xml:space="preserve"> to enhance the transparency and accountability of the Crown use provisions</w:t>
      </w:r>
      <w:r w:rsidRPr="005B73F7">
        <w:t xml:space="preserve">. These included requiring Ministerial approval for the Crown use provisions to be utilised, consent of the patentee </w:t>
      </w:r>
      <w:r w:rsidR="00FC7AF3">
        <w:t xml:space="preserve">to be sought </w:t>
      </w:r>
      <w:r w:rsidRPr="005B73F7">
        <w:t xml:space="preserve">prior to use, and that </w:t>
      </w:r>
      <w:r w:rsidR="002E005D">
        <w:t>compensation</w:t>
      </w:r>
      <w:r w:rsidRPr="005B73F7">
        <w:t xml:space="preserve"> be just and reasonable</w:t>
      </w:r>
      <w:r w:rsidR="00022AE8">
        <w:t>,</w:t>
      </w:r>
      <w:r w:rsidR="00022AE8" w:rsidRPr="00022AE8">
        <w:rPr>
          <w:szCs w:val="24"/>
        </w:rPr>
        <w:t xml:space="preserve"> </w:t>
      </w:r>
      <w:r w:rsidR="00022AE8" w:rsidRPr="00022AE8">
        <w:t>having regard to the economic value of the use</w:t>
      </w:r>
      <w:r w:rsidRPr="005B73F7">
        <w:t>. These improvement</w:t>
      </w:r>
      <w:r w:rsidR="00070F50">
        <w:t>s</w:t>
      </w:r>
      <w:r w:rsidRPr="005B73F7">
        <w:t xml:space="preserve"> follow those recommended by ACIP in its 2005 review</w:t>
      </w:r>
      <w:r w:rsidR="00370B67">
        <w:t xml:space="preserve"> (box 7.3)</w:t>
      </w:r>
      <w:r w:rsidRPr="005B73F7">
        <w:t xml:space="preserve">. </w:t>
      </w:r>
    </w:p>
    <w:p w14:paraId="37D22DE5" w14:textId="61607F0B" w:rsidR="00B71B19" w:rsidRPr="003B0CA5" w:rsidRDefault="00B43D79" w:rsidP="00B71B19">
      <w:pPr>
        <w:pStyle w:val="BodyText"/>
      </w:pPr>
      <w:r>
        <w:t>As noted, t</w:t>
      </w:r>
      <w:r w:rsidR="00B71B19" w:rsidRPr="00FF5D3F">
        <w:t xml:space="preserve">he </w:t>
      </w:r>
      <w:r w:rsidR="00B71B19" w:rsidRPr="00C31E03">
        <w:t xml:space="preserve">Australian Government </w:t>
      </w:r>
      <w:r w:rsidR="00B71B19" w:rsidRPr="00FF5D3F">
        <w:t>chose not</w:t>
      </w:r>
      <w:r w:rsidR="00B71B19" w:rsidRPr="00C31E03">
        <w:t xml:space="preserve"> to implement these </w:t>
      </w:r>
      <w:r w:rsidR="00B71B19" w:rsidRPr="00FF5D3F">
        <w:t>req</w:t>
      </w:r>
      <w:r w:rsidR="00B71B19" w:rsidRPr="00943433">
        <w:t>uirements because</w:t>
      </w:r>
      <w:r w:rsidR="00B71B19" w:rsidRPr="00C31E03">
        <w:t xml:space="preserve"> t</w:t>
      </w:r>
      <w:r w:rsidR="00B71B19" w:rsidRPr="00943433">
        <w:t>he</w:t>
      </w:r>
      <w:r w:rsidR="00B71B19" w:rsidRPr="00790D3B">
        <w:t xml:space="preserve">re was no evidence </w:t>
      </w:r>
      <w:r w:rsidRPr="00B43D79">
        <w:t xml:space="preserve">that the provisions were being misused </w:t>
      </w:r>
      <w:r w:rsidR="00725F1F">
        <w:t>(ACIP </w:t>
      </w:r>
      <w:r w:rsidR="00B71B19" w:rsidRPr="00790D3B">
        <w:t>2010</w:t>
      </w:r>
      <w:r w:rsidR="00B51406">
        <w:t>b</w:t>
      </w:r>
      <w:r w:rsidR="00B71B19" w:rsidRPr="00790D3B">
        <w:t>).</w:t>
      </w:r>
      <w:r w:rsidR="00B71B19" w:rsidRPr="00FF5D3F">
        <w:t xml:space="preserve"> </w:t>
      </w:r>
      <w:r w:rsidRPr="00B43D79">
        <w:t>The Commission is sympathetic to the Government’s reasoning. The costs of initiating reforms solely for the Crown use provisions, given the dearth of evidence that there is a problem, argue for retaining the status quo. In addition, the infrequent utilisation of Crown us</w:t>
      </w:r>
      <w:r w:rsidR="007719C8">
        <w:t>e suggests that the benefits from</w:t>
      </w:r>
      <w:r w:rsidRPr="00B43D79">
        <w:t xml:space="preserve"> reform are likely to be small. However, in light of recommendations requiring changes to the Patents Act made in chapter 6, the Commission considers that several beneficial concurrent changes to the Crown use provisions could be made at relatively low cost.</w:t>
      </w:r>
    </w:p>
    <w:p w14:paraId="0F1E6994" w14:textId="446BB54E" w:rsidR="00B71B19" w:rsidRDefault="00B71B19" w:rsidP="00B71B19">
      <w:pPr>
        <w:pStyle w:val="BodyText"/>
      </w:pPr>
      <w:r>
        <w:t xml:space="preserve">In addition to the sort of measures proposed by ACIP, the Commission considers that, where a Minister has approved an instance of Crown use, a statement of reasons should be provided to the patentee 14 days before exploitation of the invention. This is similar to requirements in existing administrative review legislation. Applicants for reviews under the </w:t>
      </w:r>
      <w:r w:rsidRPr="00DE019D">
        <w:rPr>
          <w:i/>
        </w:rPr>
        <w:t>Administrative Decisions (Judicial Review) Act 1977</w:t>
      </w:r>
      <w:r w:rsidRPr="00DE019D">
        <w:t xml:space="preserve"> </w:t>
      </w:r>
      <w:r w:rsidRPr="00C31E03">
        <w:t>(Cwlth)</w:t>
      </w:r>
      <w:r w:rsidRPr="00DE019D">
        <w:t xml:space="preserve"> and the </w:t>
      </w:r>
      <w:r w:rsidRPr="00DE019D">
        <w:rPr>
          <w:i/>
        </w:rPr>
        <w:t>Administrative Ap</w:t>
      </w:r>
      <w:r>
        <w:rPr>
          <w:i/>
        </w:rPr>
        <w:t xml:space="preserve">peals Tribunal Act 1975 </w:t>
      </w:r>
      <w:r w:rsidRPr="00C31E03">
        <w:t>(Cwlth)</w:t>
      </w:r>
      <w:r>
        <w:t xml:space="preserve"> can request reasons for decisions that are reviewable. Under this legislation the statement of reasons must be provided as soon as is practical, but within 28 days of the request. </w:t>
      </w:r>
    </w:p>
    <w:p w14:paraId="50956747" w14:textId="2B107D69" w:rsidR="00B71B19" w:rsidRPr="00790D3B" w:rsidRDefault="00B71B19" w:rsidP="00B71B19">
      <w:pPr>
        <w:pStyle w:val="BodyText"/>
      </w:pPr>
      <w:r w:rsidRPr="00983EA8">
        <w:lastRenderedPageBreak/>
        <w:t>A statement of reason</w:t>
      </w:r>
      <w:r>
        <w:t>s</w:t>
      </w:r>
      <w:r w:rsidRPr="00983EA8">
        <w:t xml:space="preserve"> would provide the patentee with an opportunity to have the decision to use their invention properly explained. </w:t>
      </w:r>
      <w:r>
        <w:t>T</w:t>
      </w:r>
      <w:r w:rsidRPr="00983EA8">
        <w:t>he patentee c</w:t>
      </w:r>
      <w:r>
        <w:t>ould</w:t>
      </w:r>
      <w:r w:rsidRPr="00983EA8">
        <w:t xml:space="preserve"> </w:t>
      </w:r>
      <w:r>
        <w:t xml:space="preserve">then </w:t>
      </w:r>
      <w:r w:rsidRPr="00983EA8">
        <w:t xml:space="preserve">decide whether to exercise their </w:t>
      </w:r>
      <w:r>
        <w:t xml:space="preserve">right to appeal. The </w:t>
      </w:r>
      <w:r w:rsidRPr="00983EA8">
        <w:t>notice</w:t>
      </w:r>
      <w:r>
        <w:t xml:space="preserve"> of 14 days</w:t>
      </w:r>
      <w:r w:rsidRPr="00983EA8">
        <w:t xml:space="preserve"> </w:t>
      </w:r>
      <w:r>
        <w:t xml:space="preserve">would provide the patentee time to consider the statement before exploitation occurs. Disclosure of reasons would encourage the Minister to reflect more carefully on the decision and be more diligent in authorising instances of Crown use. The reasons could also guide future decisions, help create principles and standards of operation, and over time decrease disputes. </w:t>
      </w:r>
    </w:p>
    <w:p w14:paraId="267014B7" w14:textId="09E5E7FA" w:rsidR="002E005D" w:rsidRDefault="00B71B19" w:rsidP="002E005D">
      <w:pPr>
        <w:pStyle w:val="BodyText"/>
      </w:pPr>
      <w:r>
        <w:t xml:space="preserve">The net effect of these measures is to ensure that governments and their </w:t>
      </w:r>
      <w:r w:rsidRPr="00A41759">
        <w:t xml:space="preserve">authorised </w:t>
      </w:r>
      <w:r>
        <w:t>entities</w:t>
      </w:r>
      <w:r w:rsidRPr="00A41759">
        <w:t xml:space="preserve"> meet certain requirements, obligations and responsib</w:t>
      </w:r>
      <w:r>
        <w:t xml:space="preserve">ilities when seeking to use </w:t>
      </w:r>
      <w:r w:rsidRPr="00A41759">
        <w:t>patents.</w:t>
      </w:r>
      <w:r>
        <w:t xml:space="preserve"> The measures aim to make the </w:t>
      </w:r>
      <w:r w:rsidRPr="005F71B9">
        <w:t>process for their utilisation</w:t>
      </w:r>
      <w:r>
        <w:t xml:space="preserve"> </w:t>
      </w:r>
      <w:r w:rsidRPr="005F71B9">
        <w:t xml:space="preserve">transparent and accountable </w:t>
      </w:r>
      <w:r>
        <w:t xml:space="preserve">to protect against the possibility of misuse. </w:t>
      </w:r>
      <w:r w:rsidR="008560D1">
        <w:t xml:space="preserve">In addition, </w:t>
      </w:r>
      <w:r w:rsidR="008560D1" w:rsidRPr="008560D1">
        <w:t xml:space="preserve">they have the advantage of </w:t>
      </w:r>
      <w:r w:rsidR="002E005D">
        <w:t xml:space="preserve">harmonising aspects of </w:t>
      </w:r>
      <w:r w:rsidR="008560D1" w:rsidRPr="008560D1">
        <w:t>com</w:t>
      </w:r>
      <w:r w:rsidR="008560D1">
        <w:t>pulsory licensing and Crown use</w:t>
      </w:r>
      <w:r w:rsidR="008560D1" w:rsidRPr="008560D1">
        <w:t xml:space="preserve">. </w:t>
      </w:r>
      <w:r w:rsidR="008560D1">
        <w:t xml:space="preserve">For example, </w:t>
      </w:r>
      <w:r w:rsidR="002E005D">
        <w:t xml:space="preserve">requiring </w:t>
      </w:r>
      <w:r w:rsidR="002E005D" w:rsidRPr="005B73F7">
        <w:t>just and reasonable</w:t>
      </w:r>
      <w:r w:rsidR="002E005D">
        <w:t xml:space="preserve"> compensation, </w:t>
      </w:r>
      <w:r w:rsidR="002E005D" w:rsidRPr="00022AE8">
        <w:t>having regard to the economic value of the use</w:t>
      </w:r>
      <w:r w:rsidR="002E005D">
        <w:t xml:space="preserve">, mirrors the </w:t>
      </w:r>
      <w:r w:rsidR="00AD4688">
        <w:t xml:space="preserve">pricing principles </w:t>
      </w:r>
      <w:r w:rsidR="002E005D">
        <w:t xml:space="preserve">that the Commission recommended in chapter 6 </w:t>
      </w:r>
      <w:r w:rsidR="00AD4688">
        <w:t>for compu</w:t>
      </w:r>
      <w:r w:rsidR="00725F1F">
        <w:t>lsory licensing</w:t>
      </w:r>
      <w:r w:rsidR="00AD4688">
        <w:t>.</w:t>
      </w:r>
    </w:p>
    <w:p w14:paraId="3A9F06B9" w14:textId="650D7A4C" w:rsidR="00AD4688" w:rsidRDefault="00E246D5" w:rsidP="00B71B19">
      <w:pPr>
        <w:pStyle w:val="BodyText"/>
      </w:pPr>
      <w:r w:rsidRPr="001B4CF0">
        <w:t xml:space="preserve">While </w:t>
      </w:r>
      <w:r>
        <w:t xml:space="preserve">the abovementioned </w:t>
      </w:r>
      <w:r w:rsidRPr="001B4CF0">
        <w:t xml:space="preserve">reforms would reduce (but not eliminate) the cost and time advantage of Crown use compared to compulsory licensing, </w:t>
      </w:r>
      <w:r w:rsidRPr="00702E98">
        <w:t xml:space="preserve">the Commission has </w:t>
      </w:r>
      <w:r w:rsidRPr="00790D3B">
        <w:t xml:space="preserve">concluded that </w:t>
      </w:r>
      <w:r>
        <w:t xml:space="preserve">they are warranted because </w:t>
      </w:r>
      <w:r w:rsidRPr="00790D3B">
        <w:t xml:space="preserve">governments should be held to higher standards of </w:t>
      </w:r>
      <w:r w:rsidRPr="00FF5D3F">
        <w:t>transparency and accountability</w:t>
      </w:r>
      <w:r w:rsidRPr="00790D3B">
        <w:t xml:space="preserve"> than currently </w:t>
      </w:r>
      <w:r>
        <w:t>exist.</w:t>
      </w:r>
      <w:r w:rsidRPr="00E246D5">
        <w:t xml:space="preserve"> </w:t>
      </w:r>
      <w:r>
        <w:t>Concerns about timeliness could be addressed by allowing the recommended requirements (except for compensation) to be waived in emergencies.</w:t>
      </w:r>
    </w:p>
    <w:p w14:paraId="5A7D618F" w14:textId="71E0AAF3" w:rsidR="00B71B19" w:rsidRDefault="00B71B19" w:rsidP="00B71B19">
      <w:pPr>
        <w:pStyle w:val="RecTitle"/>
      </w:pPr>
      <w:r>
        <w:t xml:space="preserve">Draft Recommendation </w:t>
      </w:r>
      <w:r w:rsidR="007517D0">
        <w:t>7.</w:t>
      </w:r>
      <w:r w:rsidR="007517D0">
        <w:rPr>
          <w:noProof/>
        </w:rPr>
        <w:t>2</w:t>
      </w:r>
    </w:p>
    <w:p w14:paraId="17147EF2" w14:textId="41AF2C41" w:rsidR="00B71B19" w:rsidRDefault="00B71B19" w:rsidP="00B71B19">
      <w:pPr>
        <w:pStyle w:val="Rec"/>
      </w:pPr>
      <w:r>
        <w:t xml:space="preserve">The Australian Government should </w:t>
      </w:r>
      <w:r w:rsidR="002D06DA">
        <w:t xml:space="preserve">seek to </w:t>
      </w:r>
      <w:r>
        <w:t>amend the Patents Act 1990 (Cwlth) to:</w:t>
      </w:r>
    </w:p>
    <w:p w14:paraId="0856D525" w14:textId="639C33C2" w:rsidR="00B71B19" w:rsidRDefault="00B71B19" w:rsidP="00B71B19">
      <w:pPr>
        <w:pStyle w:val="RecBullet"/>
      </w:pPr>
      <w:r>
        <w:t>require the Crown to attempt to negotiate</w:t>
      </w:r>
      <w:r w:rsidRPr="00DB05C3">
        <w:t xml:space="preserve"> </w:t>
      </w:r>
      <w:r>
        <w:t>use of the patented invention prior to invoking Crown use</w:t>
      </w:r>
    </w:p>
    <w:p w14:paraId="063BAE02" w14:textId="33E9611E" w:rsidR="00B71B19" w:rsidRDefault="00B71B19" w:rsidP="00B71B19">
      <w:pPr>
        <w:pStyle w:val="RecBullet"/>
      </w:pPr>
      <w:r>
        <w:t>require instances of Crown use to be approved by a Minister</w:t>
      </w:r>
      <w:r w:rsidR="00AD4688">
        <w:t xml:space="preserve"> (the </w:t>
      </w:r>
      <w:r w:rsidR="00E246D5">
        <w:t xml:space="preserve">relevant Federal Minister or </w:t>
      </w:r>
      <w:r w:rsidR="00AD4688">
        <w:t>State Attorneys General)</w:t>
      </w:r>
      <w:r>
        <w:t>, and that the patentee be provided a statement of reasons no less than 14 days before such use occurs</w:t>
      </w:r>
    </w:p>
    <w:p w14:paraId="3A8F33BB" w14:textId="5F3921B4" w:rsidR="00B71B19" w:rsidRDefault="00B71B19" w:rsidP="00B71B19">
      <w:pPr>
        <w:pStyle w:val="RecBullet"/>
      </w:pPr>
      <w:r>
        <w:t>specify that in instances of Crown use, the patentee is entitled to remuneration</w:t>
      </w:r>
      <w:r w:rsidR="004B0743" w:rsidRPr="004B0743">
        <w:t xml:space="preserve"> </w:t>
      </w:r>
      <w:r w:rsidR="004B0743">
        <w:t>determined on the same basis as that for a compulsory licence</w:t>
      </w:r>
      <w:r>
        <w:t>.</w:t>
      </w:r>
    </w:p>
    <w:p w14:paraId="22C05ED5" w14:textId="0B083D1B" w:rsidR="00B71B19" w:rsidRPr="005B73F7" w:rsidRDefault="00B71B19" w:rsidP="00B71B19">
      <w:pPr>
        <w:pStyle w:val="Rec"/>
      </w:pPr>
      <w:r>
        <w:t>These first two requirements should be able to be waived in emergencies</w:t>
      </w:r>
      <w:r w:rsidR="00846B96">
        <w:t>. However</w:t>
      </w:r>
      <w:r w:rsidR="00002C9C">
        <w:t>, in all cases</w:t>
      </w:r>
      <w:r w:rsidR="00846B96">
        <w:t xml:space="preserve"> </w:t>
      </w:r>
      <w:r w:rsidR="00A00146">
        <w:t xml:space="preserve">patentees should be provided with immediate notice </w:t>
      </w:r>
      <w:r w:rsidR="00002C9C">
        <w:t xml:space="preserve">that </w:t>
      </w:r>
      <w:r w:rsidR="00A00146">
        <w:t>their patents have been used</w:t>
      </w:r>
      <w:r w:rsidR="00002C9C">
        <w:t>,</w:t>
      </w:r>
      <w:r w:rsidR="00A00146">
        <w:t xml:space="preserve"> and a statement of reason</w:t>
      </w:r>
      <w:r w:rsidR="00002C9C">
        <w:t xml:space="preserve">s as soon as </w:t>
      </w:r>
      <w:r w:rsidR="00976501">
        <w:t>practical</w:t>
      </w:r>
      <w:r w:rsidR="00A00146">
        <w:t xml:space="preserve"> thereafter.</w:t>
      </w:r>
    </w:p>
    <w:sectPr w:rsidR="00B71B19" w:rsidRPr="005B73F7" w:rsidSect="008A613B">
      <w:headerReference w:type="even" r:id="rId10"/>
      <w:headerReference w:type="default" r:id="rId11"/>
      <w:footerReference w:type="even" r:id="rId12"/>
      <w:footerReference w:type="default" r:id="rId13"/>
      <w:pgSz w:w="11907" w:h="16840" w:code="9"/>
      <w:pgMar w:top="1985" w:right="1304" w:bottom="1418" w:left="1814" w:header="1701" w:footer="567" w:gutter="0"/>
      <w:pgNumType w:start="15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85D919" w14:textId="77777777" w:rsidR="001D7A5D" w:rsidRDefault="001D7A5D">
      <w:r>
        <w:separator/>
      </w:r>
    </w:p>
  </w:endnote>
  <w:endnote w:type="continuationSeparator" w:id="0">
    <w:p w14:paraId="460463FE" w14:textId="77777777" w:rsidR="001D7A5D" w:rsidRDefault="001D7A5D">
      <w:r>
        <w:continuationSeparator/>
      </w:r>
    </w:p>
  </w:endnote>
  <w:endnote w:type="continuationNotice" w:id="1">
    <w:p w14:paraId="6546B34A" w14:textId="77777777" w:rsidR="001D7A5D" w:rsidRDefault="001D7A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ealpageGAR11">
    <w:altName w:val="Cambri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D7A5D" w14:paraId="66551FAB" w14:textId="77777777">
      <w:trPr>
        <w:trHeight w:hRule="exact" w:val="740"/>
      </w:trPr>
      <w:tc>
        <w:tcPr>
          <w:tcW w:w="510" w:type="dxa"/>
          <w:tcBorders>
            <w:top w:val="single" w:sz="6" w:space="0" w:color="auto"/>
          </w:tcBorders>
        </w:tcPr>
        <w:p w14:paraId="699E8438" w14:textId="77777777" w:rsidR="001D7A5D" w:rsidRDefault="001D7A5D"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AC12F7">
            <w:rPr>
              <w:rStyle w:val="PageNumber"/>
              <w:noProof/>
            </w:rPr>
            <w:t>172</w:t>
          </w:r>
          <w:r>
            <w:rPr>
              <w:rStyle w:val="PageNumber"/>
            </w:rPr>
            <w:fldChar w:fldCharType="end"/>
          </w:r>
        </w:p>
      </w:tc>
      <w:tc>
        <w:tcPr>
          <w:tcW w:w="1644" w:type="dxa"/>
          <w:tcBorders>
            <w:top w:val="single" w:sz="6" w:space="0" w:color="auto"/>
          </w:tcBorders>
        </w:tcPr>
        <w:p w14:paraId="014357F3" w14:textId="42E4041B" w:rsidR="001D7A5D" w:rsidRDefault="00241758" w:rsidP="007517D0">
          <w:pPr>
            <w:pStyle w:val="Footer"/>
          </w:pPr>
          <w:fldSimple w:instr=" SUBJECT  \* MERGEFORMAT ">
            <w:r w:rsidR="00AC12F7">
              <w:t>Compulsory Licensing of Patents</w:t>
            </w:r>
          </w:fldSimple>
        </w:p>
      </w:tc>
      <w:tc>
        <w:tcPr>
          <w:tcW w:w="6634" w:type="dxa"/>
        </w:tcPr>
        <w:p w14:paraId="0F91C592" w14:textId="77777777" w:rsidR="001D7A5D" w:rsidRDefault="001D7A5D" w:rsidP="0019293B">
          <w:pPr>
            <w:pStyle w:val="Footer"/>
          </w:pPr>
        </w:p>
      </w:tc>
    </w:tr>
  </w:tbl>
  <w:p w14:paraId="6AACE036" w14:textId="77777777" w:rsidR="001D7A5D" w:rsidRDefault="001D7A5D"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1D7A5D" w14:paraId="7281EFE9" w14:textId="77777777">
      <w:trPr>
        <w:trHeight w:hRule="exact" w:val="740"/>
      </w:trPr>
      <w:tc>
        <w:tcPr>
          <w:tcW w:w="6634" w:type="dxa"/>
        </w:tcPr>
        <w:p w14:paraId="14EB9584" w14:textId="77777777" w:rsidR="001D7A5D" w:rsidRDefault="001D7A5D">
          <w:pPr>
            <w:pStyle w:val="Footer"/>
            <w:ind w:right="360" w:firstLine="360"/>
          </w:pPr>
        </w:p>
      </w:tc>
      <w:tc>
        <w:tcPr>
          <w:tcW w:w="1644" w:type="dxa"/>
          <w:tcBorders>
            <w:top w:val="single" w:sz="6" w:space="0" w:color="auto"/>
          </w:tcBorders>
        </w:tcPr>
        <w:p w14:paraId="2CD3B8C1" w14:textId="77777777" w:rsidR="001D7A5D" w:rsidRDefault="00241758">
          <w:pPr>
            <w:pStyle w:val="Footer"/>
          </w:pPr>
          <w:fldSimple w:instr=" TITLE  \* MERGEFORMAT ">
            <w:r w:rsidR="00AC12F7">
              <w:t>Crown use and acquisition</w:t>
            </w:r>
          </w:fldSimple>
        </w:p>
      </w:tc>
      <w:tc>
        <w:tcPr>
          <w:tcW w:w="510" w:type="dxa"/>
          <w:tcBorders>
            <w:top w:val="single" w:sz="6" w:space="0" w:color="auto"/>
          </w:tcBorders>
        </w:tcPr>
        <w:p w14:paraId="516388BF" w14:textId="77777777" w:rsidR="001D7A5D" w:rsidRDefault="001D7A5D">
          <w:pPr>
            <w:pStyle w:val="Footer"/>
            <w:jc w:val="right"/>
          </w:pPr>
          <w:r>
            <w:rPr>
              <w:rStyle w:val="PageNumber"/>
            </w:rPr>
            <w:fldChar w:fldCharType="begin"/>
          </w:r>
          <w:r>
            <w:rPr>
              <w:rStyle w:val="PageNumber"/>
            </w:rPr>
            <w:instrText xml:space="preserve">PAGE  </w:instrText>
          </w:r>
          <w:r>
            <w:rPr>
              <w:rStyle w:val="PageNumber"/>
            </w:rPr>
            <w:fldChar w:fldCharType="separate"/>
          </w:r>
          <w:r w:rsidR="00AC12F7">
            <w:rPr>
              <w:rStyle w:val="PageNumber"/>
              <w:noProof/>
            </w:rPr>
            <w:t>173</w:t>
          </w:r>
          <w:r>
            <w:rPr>
              <w:rStyle w:val="PageNumber"/>
            </w:rPr>
            <w:fldChar w:fldCharType="end"/>
          </w:r>
        </w:p>
      </w:tc>
    </w:tr>
  </w:tbl>
  <w:p w14:paraId="7DDDA664" w14:textId="77777777" w:rsidR="001D7A5D" w:rsidRDefault="001D7A5D">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8FB567" w14:textId="77777777" w:rsidR="001D7A5D" w:rsidRDefault="001D7A5D">
      <w:r>
        <w:separator/>
      </w:r>
    </w:p>
  </w:footnote>
  <w:footnote w:type="continuationSeparator" w:id="0">
    <w:p w14:paraId="6BAF99EB" w14:textId="77777777" w:rsidR="001D7A5D" w:rsidRDefault="001D7A5D">
      <w:r>
        <w:continuationSeparator/>
      </w:r>
    </w:p>
  </w:footnote>
  <w:footnote w:type="continuationNotice" w:id="1">
    <w:p w14:paraId="063E2020" w14:textId="77777777" w:rsidR="001D7A5D" w:rsidRDefault="001D7A5D"/>
  </w:footnote>
  <w:footnote w:id="2">
    <w:p w14:paraId="32047409" w14:textId="77777777" w:rsidR="001D7A5D" w:rsidRPr="007408DC" w:rsidRDefault="001D7A5D" w:rsidP="00B71B19">
      <w:pPr>
        <w:pStyle w:val="FootnoteText"/>
      </w:pPr>
      <w:r w:rsidRPr="00725F1F">
        <w:rPr>
          <w:rStyle w:val="FootnoteReference"/>
        </w:rPr>
        <w:footnoteRef/>
      </w:r>
      <w:r w:rsidRPr="00E87782">
        <w:t xml:space="preserve"> </w:t>
      </w:r>
      <w:r>
        <w:tab/>
      </w:r>
      <w:r w:rsidRPr="007408DC">
        <w:t>A prescribed court is either the Federal Court, the Supreme Court of a State, the Supreme Court of the Australian Capital Territory, the Supreme Court of the Northern Territory</w:t>
      </w:r>
      <w:r>
        <w:t>,</w:t>
      </w:r>
      <w:r w:rsidRPr="007408DC">
        <w:t xml:space="preserve"> or the Supreme Court of Norfolk Island.</w:t>
      </w:r>
    </w:p>
  </w:footnote>
  <w:footnote w:id="3">
    <w:p w14:paraId="6FE43E28" w14:textId="111D8F23" w:rsidR="001D7A5D" w:rsidRDefault="001D7A5D" w:rsidP="00B71B19">
      <w:pPr>
        <w:pStyle w:val="FootnoteText"/>
      </w:pPr>
      <w:r>
        <w:rPr>
          <w:rStyle w:val="FootnoteReference"/>
        </w:rPr>
        <w:footnoteRef/>
      </w:r>
      <w:r>
        <w:t xml:space="preserve"> </w:t>
      </w:r>
      <w:r>
        <w:tab/>
        <w:t xml:space="preserve">A </w:t>
      </w:r>
      <w:r w:rsidRPr="007C11C1">
        <w:t xml:space="preserve">prohibition order </w:t>
      </w:r>
      <w:r>
        <w:t>under s. 173 or an order under s. </w:t>
      </w:r>
      <w:r w:rsidRPr="007C11C1">
        <w:t>152</w:t>
      </w:r>
      <w:r>
        <w:t xml:space="preserve"> of the Patents Act allows the Minister or the Commissioner respectively to prohibit/</w:t>
      </w:r>
      <w:r w:rsidRPr="00F56FC0">
        <w:t>restrict the publication of information about the</w:t>
      </w:r>
      <w:r>
        <w:t xml:space="preserve"> </w:t>
      </w:r>
      <w:r w:rsidRPr="00F56FC0">
        <w:t>subject</w:t>
      </w:r>
      <w:r>
        <w:t xml:space="preserve"> </w:t>
      </w:r>
      <w:r w:rsidRPr="00F56FC0">
        <w:t>matter of an application for a patent</w:t>
      </w:r>
      <w:r>
        <w:t>. Section 173 also allows the Minister to prohibit/restrict access to a micro</w:t>
      </w:r>
      <w:r w:rsidRPr="00F56FC0">
        <w:t>organism deposited for</w:t>
      </w:r>
      <w:r>
        <w:t xml:space="preserve"> the purposes of s.</w:t>
      </w:r>
      <w:r w:rsidRPr="00F56FC0">
        <w:t xml:space="preserve"> 41</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D7A5D" w14:paraId="3B835B7F" w14:textId="77777777">
      <w:tc>
        <w:tcPr>
          <w:tcW w:w="2155" w:type="dxa"/>
          <w:tcBorders>
            <w:top w:val="single" w:sz="24" w:space="0" w:color="auto"/>
          </w:tcBorders>
        </w:tcPr>
        <w:p w14:paraId="223169E9" w14:textId="77777777" w:rsidR="001D7A5D" w:rsidRDefault="001D7A5D" w:rsidP="0019293B">
          <w:pPr>
            <w:pStyle w:val="HeaderEven"/>
          </w:pPr>
        </w:p>
      </w:tc>
      <w:tc>
        <w:tcPr>
          <w:tcW w:w="6634" w:type="dxa"/>
          <w:tcBorders>
            <w:top w:val="single" w:sz="6" w:space="0" w:color="auto"/>
          </w:tcBorders>
        </w:tcPr>
        <w:p w14:paraId="5CB8E057" w14:textId="48FAA1C4" w:rsidR="001D7A5D" w:rsidRDefault="001D7A5D" w:rsidP="0019293B">
          <w:pPr>
            <w:pStyle w:val="HeaderEven"/>
          </w:pPr>
        </w:p>
      </w:tc>
    </w:tr>
  </w:tbl>
  <w:p w14:paraId="3959F493" w14:textId="77777777" w:rsidR="001D7A5D" w:rsidRDefault="001D7A5D"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D7A5D" w14:paraId="6D1F0282" w14:textId="77777777">
      <w:tc>
        <w:tcPr>
          <w:tcW w:w="6634" w:type="dxa"/>
          <w:tcBorders>
            <w:top w:val="single" w:sz="6" w:space="0" w:color="auto"/>
          </w:tcBorders>
        </w:tcPr>
        <w:p w14:paraId="1E152DEB" w14:textId="7ACDEC99" w:rsidR="001D7A5D" w:rsidRDefault="001D7A5D" w:rsidP="00E669E2">
          <w:pPr>
            <w:pStyle w:val="HeaderOdd"/>
          </w:pPr>
        </w:p>
      </w:tc>
      <w:tc>
        <w:tcPr>
          <w:tcW w:w="2155" w:type="dxa"/>
          <w:tcBorders>
            <w:top w:val="single" w:sz="24" w:space="0" w:color="auto"/>
          </w:tcBorders>
        </w:tcPr>
        <w:p w14:paraId="2D8F4A38" w14:textId="77777777" w:rsidR="001D7A5D" w:rsidRDefault="001D7A5D" w:rsidP="00E669E2">
          <w:pPr>
            <w:pStyle w:val="HeaderOdd"/>
          </w:pPr>
        </w:p>
      </w:tc>
    </w:tr>
  </w:tbl>
  <w:p w14:paraId="59B02FF5" w14:textId="77777777" w:rsidR="001D7A5D" w:rsidRDefault="001D7A5D"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1D2C70"/>
    <w:multiLevelType w:val="hybridMultilevel"/>
    <w:tmpl w:val="87ECF14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9">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2D9730B4"/>
    <w:multiLevelType w:val="multilevel"/>
    <w:tmpl w:val="4BA2F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3">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6">
    <w:nsid w:val="51F74561"/>
    <w:multiLevelType w:val="singleLevel"/>
    <w:tmpl w:val="ED98921A"/>
    <w:lvl w:ilvl="0">
      <w:start w:val="1"/>
      <w:numFmt w:val="decimal"/>
      <w:lvlText w:val="%1."/>
      <w:legacy w:legacy="1" w:legacySpace="0" w:legacyIndent="340"/>
      <w:lvlJc w:val="left"/>
      <w:pPr>
        <w:ind w:left="340" w:hanging="340"/>
      </w:pPr>
    </w:lvl>
  </w:abstractNum>
  <w:abstractNum w:abstractNumId="2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9">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1">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2"/>
  </w:num>
  <w:num w:numId="2">
    <w:abstractNumId w:val="10"/>
  </w:num>
  <w:num w:numId="3">
    <w:abstractNumId w:val="43"/>
  </w:num>
  <w:num w:numId="4">
    <w:abstractNumId w:val="7"/>
  </w:num>
  <w:num w:numId="5">
    <w:abstractNumId w:val="5"/>
  </w:num>
  <w:num w:numId="6">
    <w:abstractNumId w:val="27"/>
  </w:num>
  <w:num w:numId="7">
    <w:abstractNumId w:val="3"/>
  </w:num>
  <w:num w:numId="8">
    <w:abstractNumId w:val="9"/>
  </w:num>
  <w:num w:numId="9">
    <w:abstractNumId w:val="2"/>
  </w:num>
  <w:num w:numId="10">
    <w:abstractNumId w:val="38"/>
  </w:num>
  <w:num w:numId="11">
    <w:abstractNumId w:val="4"/>
  </w:num>
  <w:num w:numId="12">
    <w:abstractNumId w:val="1"/>
  </w:num>
  <w:num w:numId="13">
    <w:abstractNumId w:val="0"/>
  </w:num>
  <w:num w:numId="14">
    <w:abstractNumId w:val="30"/>
  </w:num>
  <w:num w:numId="15">
    <w:abstractNumId w:val="44"/>
  </w:num>
  <w:num w:numId="16">
    <w:abstractNumId w:val="17"/>
  </w:num>
  <w:num w:numId="17">
    <w:abstractNumId w:val="16"/>
  </w:num>
  <w:num w:numId="18">
    <w:abstractNumId w:val="28"/>
  </w:num>
  <w:num w:numId="19">
    <w:abstractNumId w:val="12"/>
  </w:num>
  <w:num w:numId="20">
    <w:abstractNumId w:val="35"/>
  </w:num>
  <w:num w:numId="21">
    <w:abstractNumId w:val="37"/>
  </w:num>
  <w:num w:numId="22">
    <w:abstractNumId w:val="26"/>
  </w:num>
  <w:num w:numId="23">
    <w:abstractNumId w:val="29"/>
  </w:num>
  <w:num w:numId="24">
    <w:abstractNumId w:val="31"/>
  </w:num>
  <w:num w:numId="25">
    <w:abstractNumId w:val="42"/>
  </w:num>
  <w:num w:numId="26">
    <w:abstractNumId w:val="34"/>
  </w:num>
  <w:num w:numId="27">
    <w:abstractNumId w:val="39"/>
  </w:num>
  <w:num w:numId="28">
    <w:abstractNumId w:val="40"/>
  </w:num>
  <w:num w:numId="29">
    <w:abstractNumId w:val="32"/>
  </w:num>
  <w:num w:numId="30">
    <w:abstractNumId w:val="23"/>
  </w:num>
  <w:num w:numId="31">
    <w:abstractNumId w:val="45"/>
  </w:num>
  <w:num w:numId="32">
    <w:abstractNumId w:val="15"/>
  </w:num>
  <w:num w:numId="33">
    <w:abstractNumId w:val="8"/>
  </w:num>
  <w:num w:numId="34">
    <w:abstractNumId w:val="19"/>
  </w:num>
  <w:num w:numId="35">
    <w:abstractNumId w:val="41"/>
  </w:num>
  <w:num w:numId="36">
    <w:abstractNumId w:val="33"/>
  </w:num>
  <w:num w:numId="37">
    <w:abstractNumId w:val="13"/>
  </w:num>
  <w:num w:numId="38">
    <w:abstractNumId w:val="36"/>
  </w:num>
  <w:num w:numId="39">
    <w:abstractNumId w:val="14"/>
  </w:num>
  <w:num w:numId="40">
    <w:abstractNumId w:val="17"/>
  </w:num>
  <w:num w:numId="41">
    <w:abstractNumId w:val="9"/>
  </w:num>
  <w:num w:numId="42">
    <w:abstractNumId w:val="25"/>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20"/>
  </w:num>
  <w:num w:numId="46">
    <w:abstractNumId w:val="24"/>
  </w:num>
  <w:num w:numId="47">
    <w:abstractNumId w:val="21"/>
  </w:num>
  <w:num w:numId="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65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rown use and acquisition"/>
    <w:docVar w:name="ShortReportTitle" w:val="Compulsory Licensing of Patents"/>
  </w:docVars>
  <w:rsids>
    <w:rsidRoot w:val="007D2CB9"/>
    <w:rsid w:val="00002C9C"/>
    <w:rsid w:val="00003E4F"/>
    <w:rsid w:val="0000666A"/>
    <w:rsid w:val="000067B9"/>
    <w:rsid w:val="000108B5"/>
    <w:rsid w:val="000123CC"/>
    <w:rsid w:val="000150F5"/>
    <w:rsid w:val="00016F1B"/>
    <w:rsid w:val="000212F7"/>
    <w:rsid w:val="000225FD"/>
    <w:rsid w:val="00022702"/>
    <w:rsid w:val="00022AE8"/>
    <w:rsid w:val="000245AA"/>
    <w:rsid w:val="00025169"/>
    <w:rsid w:val="000303CE"/>
    <w:rsid w:val="0003664B"/>
    <w:rsid w:val="000400FD"/>
    <w:rsid w:val="0004111F"/>
    <w:rsid w:val="0004364F"/>
    <w:rsid w:val="00045B8A"/>
    <w:rsid w:val="0005016D"/>
    <w:rsid w:val="00051CED"/>
    <w:rsid w:val="00053B28"/>
    <w:rsid w:val="00055C59"/>
    <w:rsid w:val="000565B3"/>
    <w:rsid w:val="0005762F"/>
    <w:rsid w:val="00062EDF"/>
    <w:rsid w:val="00070A6E"/>
    <w:rsid w:val="00070F50"/>
    <w:rsid w:val="000711C3"/>
    <w:rsid w:val="0007150B"/>
    <w:rsid w:val="000717F0"/>
    <w:rsid w:val="0007419A"/>
    <w:rsid w:val="00074810"/>
    <w:rsid w:val="00074979"/>
    <w:rsid w:val="00077352"/>
    <w:rsid w:val="00086A33"/>
    <w:rsid w:val="000900E1"/>
    <w:rsid w:val="0009187C"/>
    <w:rsid w:val="000938F5"/>
    <w:rsid w:val="000951B1"/>
    <w:rsid w:val="00095731"/>
    <w:rsid w:val="00096FA0"/>
    <w:rsid w:val="000A0017"/>
    <w:rsid w:val="000A1E80"/>
    <w:rsid w:val="000A263C"/>
    <w:rsid w:val="000A32E4"/>
    <w:rsid w:val="000A402D"/>
    <w:rsid w:val="000A419B"/>
    <w:rsid w:val="000A456D"/>
    <w:rsid w:val="000A56F7"/>
    <w:rsid w:val="000A647B"/>
    <w:rsid w:val="000B601B"/>
    <w:rsid w:val="000C0DC5"/>
    <w:rsid w:val="000C1840"/>
    <w:rsid w:val="000C1DA1"/>
    <w:rsid w:val="000C207E"/>
    <w:rsid w:val="000C4CD7"/>
    <w:rsid w:val="000C500B"/>
    <w:rsid w:val="000C5A68"/>
    <w:rsid w:val="000D0586"/>
    <w:rsid w:val="000D3085"/>
    <w:rsid w:val="000E0085"/>
    <w:rsid w:val="000E4D92"/>
    <w:rsid w:val="000F35A7"/>
    <w:rsid w:val="000F420B"/>
    <w:rsid w:val="000F471C"/>
    <w:rsid w:val="0010197D"/>
    <w:rsid w:val="0010264C"/>
    <w:rsid w:val="001048C0"/>
    <w:rsid w:val="0010620A"/>
    <w:rsid w:val="00110116"/>
    <w:rsid w:val="001125AF"/>
    <w:rsid w:val="00114583"/>
    <w:rsid w:val="00114B5F"/>
    <w:rsid w:val="00116741"/>
    <w:rsid w:val="00120072"/>
    <w:rsid w:val="0012051B"/>
    <w:rsid w:val="00122CF9"/>
    <w:rsid w:val="0012332C"/>
    <w:rsid w:val="00126EB8"/>
    <w:rsid w:val="001274D4"/>
    <w:rsid w:val="00133756"/>
    <w:rsid w:val="001363AA"/>
    <w:rsid w:val="001446E4"/>
    <w:rsid w:val="0014518D"/>
    <w:rsid w:val="00145B86"/>
    <w:rsid w:val="00145E84"/>
    <w:rsid w:val="0014752B"/>
    <w:rsid w:val="00147BB2"/>
    <w:rsid w:val="00147E40"/>
    <w:rsid w:val="00150BB6"/>
    <w:rsid w:val="00151E2F"/>
    <w:rsid w:val="00153B93"/>
    <w:rsid w:val="00155A9A"/>
    <w:rsid w:val="00157ED1"/>
    <w:rsid w:val="001633B6"/>
    <w:rsid w:val="00167B64"/>
    <w:rsid w:val="00182588"/>
    <w:rsid w:val="00183E82"/>
    <w:rsid w:val="001848D0"/>
    <w:rsid w:val="00184AE5"/>
    <w:rsid w:val="00185C4C"/>
    <w:rsid w:val="00185E7F"/>
    <w:rsid w:val="001878BB"/>
    <w:rsid w:val="0019007E"/>
    <w:rsid w:val="00191AE0"/>
    <w:rsid w:val="0019293B"/>
    <w:rsid w:val="00193009"/>
    <w:rsid w:val="00194F8A"/>
    <w:rsid w:val="00196AF1"/>
    <w:rsid w:val="001A5593"/>
    <w:rsid w:val="001A5843"/>
    <w:rsid w:val="001A6934"/>
    <w:rsid w:val="001A6CAA"/>
    <w:rsid w:val="001A716D"/>
    <w:rsid w:val="001B4391"/>
    <w:rsid w:val="001B781A"/>
    <w:rsid w:val="001C0865"/>
    <w:rsid w:val="001C3ABA"/>
    <w:rsid w:val="001C4FCC"/>
    <w:rsid w:val="001C73F2"/>
    <w:rsid w:val="001D13A8"/>
    <w:rsid w:val="001D258A"/>
    <w:rsid w:val="001D3565"/>
    <w:rsid w:val="001D49D8"/>
    <w:rsid w:val="001D74B8"/>
    <w:rsid w:val="001D754D"/>
    <w:rsid w:val="001D7A5D"/>
    <w:rsid w:val="001E7BE8"/>
    <w:rsid w:val="001F0248"/>
    <w:rsid w:val="001F02A9"/>
    <w:rsid w:val="001F2673"/>
    <w:rsid w:val="001F3EB3"/>
    <w:rsid w:val="001F7262"/>
    <w:rsid w:val="002006EA"/>
    <w:rsid w:val="00201B6D"/>
    <w:rsid w:val="00202C2C"/>
    <w:rsid w:val="00206B12"/>
    <w:rsid w:val="00207B06"/>
    <w:rsid w:val="00207EBF"/>
    <w:rsid w:val="00216630"/>
    <w:rsid w:val="0022139E"/>
    <w:rsid w:val="00222421"/>
    <w:rsid w:val="00222FAE"/>
    <w:rsid w:val="00225B69"/>
    <w:rsid w:val="00236103"/>
    <w:rsid w:val="00240D69"/>
    <w:rsid w:val="00241758"/>
    <w:rsid w:val="00242279"/>
    <w:rsid w:val="002434BD"/>
    <w:rsid w:val="00245BA2"/>
    <w:rsid w:val="00245C82"/>
    <w:rsid w:val="0024701D"/>
    <w:rsid w:val="00247126"/>
    <w:rsid w:val="00247916"/>
    <w:rsid w:val="002479BD"/>
    <w:rsid w:val="00253A0F"/>
    <w:rsid w:val="002540F0"/>
    <w:rsid w:val="00254D31"/>
    <w:rsid w:val="00263E40"/>
    <w:rsid w:val="00280C18"/>
    <w:rsid w:val="0028574D"/>
    <w:rsid w:val="00291B40"/>
    <w:rsid w:val="002934C5"/>
    <w:rsid w:val="00293F6E"/>
    <w:rsid w:val="00294B2C"/>
    <w:rsid w:val="00294E8D"/>
    <w:rsid w:val="002956A4"/>
    <w:rsid w:val="002A5718"/>
    <w:rsid w:val="002A5A41"/>
    <w:rsid w:val="002A5EFA"/>
    <w:rsid w:val="002B4008"/>
    <w:rsid w:val="002B619D"/>
    <w:rsid w:val="002C0D60"/>
    <w:rsid w:val="002C423D"/>
    <w:rsid w:val="002C5BE3"/>
    <w:rsid w:val="002D06DA"/>
    <w:rsid w:val="002D07AD"/>
    <w:rsid w:val="002D0E8E"/>
    <w:rsid w:val="002D23AF"/>
    <w:rsid w:val="002D4A27"/>
    <w:rsid w:val="002D50AF"/>
    <w:rsid w:val="002D529F"/>
    <w:rsid w:val="002D6985"/>
    <w:rsid w:val="002D7933"/>
    <w:rsid w:val="002E005D"/>
    <w:rsid w:val="002E0B29"/>
    <w:rsid w:val="002E143D"/>
    <w:rsid w:val="002E1C26"/>
    <w:rsid w:val="002E7619"/>
    <w:rsid w:val="002F0DA4"/>
    <w:rsid w:val="003009CF"/>
    <w:rsid w:val="00301189"/>
    <w:rsid w:val="00302437"/>
    <w:rsid w:val="00302559"/>
    <w:rsid w:val="0031254C"/>
    <w:rsid w:val="0032037E"/>
    <w:rsid w:val="003208DA"/>
    <w:rsid w:val="00320A15"/>
    <w:rsid w:val="00320CAD"/>
    <w:rsid w:val="00323E09"/>
    <w:rsid w:val="0032581E"/>
    <w:rsid w:val="00327261"/>
    <w:rsid w:val="00333932"/>
    <w:rsid w:val="0033537F"/>
    <w:rsid w:val="00337560"/>
    <w:rsid w:val="0034797C"/>
    <w:rsid w:val="00347B75"/>
    <w:rsid w:val="00350C26"/>
    <w:rsid w:val="00351498"/>
    <w:rsid w:val="003518AA"/>
    <w:rsid w:val="00352165"/>
    <w:rsid w:val="00353182"/>
    <w:rsid w:val="0035598D"/>
    <w:rsid w:val="003565D9"/>
    <w:rsid w:val="003602E1"/>
    <w:rsid w:val="00364FA7"/>
    <w:rsid w:val="00365164"/>
    <w:rsid w:val="0036718C"/>
    <w:rsid w:val="0036757D"/>
    <w:rsid w:val="0037026F"/>
    <w:rsid w:val="00370B67"/>
    <w:rsid w:val="00371240"/>
    <w:rsid w:val="0037343A"/>
    <w:rsid w:val="00374731"/>
    <w:rsid w:val="0037494C"/>
    <w:rsid w:val="0037598F"/>
    <w:rsid w:val="00375F2A"/>
    <w:rsid w:val="0037714D"/>
    <w:rsid w:val="003807D7"/>
    <w:rsid w:val="00383563"/>
    <w:rsid w:val="00384FA5"/>
    <w:rsid w:val="00386260"/>
    <w:rsid w:val="00387318"/>
    <w:rsid w:val="00387AFA"/>
    <w:rsid w:val="00387D46"/>
    <w:rsid w:val="00390AE1"/>
    <w:rsid w:val="00390C72"/>
    <w:rsid w:val="003919F9"/>
    <w:rsid w:val="00392068"/>
    <w:rsid w:val="00394F36"/>
    <w:rsid w:val="003A17EF"/>
    <w:rsid w:val="003A3A46"/>
    <w:rsid w:val="003A6805"/>
    <w:rsid w:val="003B4F35"/>
    <w:rsid w:val="003B6CD3"/>
    <w:rsid w:val="003C38B5"/>
    <w:rsid w:val="003C5D99"/>
    <w:rsid w:val="003D168E"/>
    <w:rsid w:val="003D434C"/>
    <w:rsid w:val="003E0023"/>
    <w:rsid w:val="003E2F59"/>
    <w:rsid w:val="003E30F6"/>
    <w:rsid w:val="003E478B"/>
    <w:rsid w:val="003E4853"/>
    <w:rsid w:val="003E54D1"/>
    <w:rsid w:val="003E58F7"/>
    <w:rsid w:val="003F0789"/>
    <w:rsid w:val="003F4470"/>
    <w:rsid w:val="003F600B"/>
    <w:rsid w:val="004000AF"/>
    <w:rsid w:val="004003AF"/>
    <w:rsid w:val="00401882"/>
    <w:rsid w:val="00403214"/>
    <w:rsid w:val="004066C9"/>
    <w:rsid w:val="004100C8"/>
    <w:rsid w:val="00411DBD"/>
    <w:rsid w:val="00412ACE"/>
    <w:rsid w:val="004155BA"/>
    <w:rsid w:val="00417ED7"/>
    <w:rsid w:val="00431249"/>
    <w:rsid w:val="00432E41"/>
    <w:rsid w:val="0043465B"/>
    <w:rsid w:val="00434C19"/>
    <w:rsid w:val="004421E1"/>
    <w:rsid w:val="0044339F"/>
    <w:rsid w:val="0044623B"/>
    <w:rsid w:val="00446D4A"/>
    <w:rsid w:val="00447CC7"/>
    <w:rsid w:val="00447D56"/>
    <w:rsid w:val="00450810"/>
    <w:rsid w:val="00454837"/>
    <w:rsid w:val="00455742"/>
    <w:rsid w:val="00457B94"/>
    <w:rsid w:val="004633B6"/>
    <w:rsid w:val="00463431"/>
    <w:rsid w:val="00463470"/>
    <w:rsid w:val="00466A90"/>
    <w:rsid w:val="00470B1F"/>
    <w:rsid w:val="00472E54"/>
    <w:rsid w:val="004737FC"/>
    <w:rsid w:val="00474F49"/>
    <w:rsid w:val="00477144"/>
    <w:rsid w:val="00481AD9"/>
    <w:rsid w:val="00482B5C"/>
    <w:rsid w:val="0048671E"/>
    <w:rsid w:val="004903E3"/>
    <w:rsid w:val="00491D9D"/>
    <w:rsid w:val="00493939"/>
    <w:rsid w:val="0049459F"/>
    <w:rsid w:val="00496533"/>
    <w:rsid w:val="00496922"/>
    <w:rsid w:val="004A181F"/>
    <w:rsid w:val="004A38DD"/>
    <w:rsid w:val="004A53D8"/>
    <w:rsid w:val="004B0743"/>
    <w:rsid w:val="004B1F69"/>
    <w:rsid w:val="004B43AE"/>
    <w:rsid w:val="004C0082"/>
    <w:rsid w:val="004C0B81"/>
    <w:rsid w:val="004C102C"/>
    <w:rsid w:val="004C30ED"/>
    <w:rsid w:val="004C338C"/>
    <w:rsid w:val="004C47DD"/>
    <w:rsid w:val="004D4BBB"/>
    <w:rsid w:val="004D5675"/>
    <w:rsid w:val="004E25DA"/>
    <w:rsid w:val="004E31E1"/>
    <w:rsid w:val="004E405F"/>
    <w:rsid w:val="004E6F4B"/>
    <w:rsid w:val="004F1328"/>
    <w:rsid w:val="004F1490"/>
    <w:rsid w:val="004F1500"/>
    <w:rsid w:val="004F3FAE"/>
    <w:rsid w:val="004F485A"/>
    <w:rsid w:val="00503E12"/>
    <w:rsid w:val="00507983"/>
    <w:rsid w:val="00513915"/>
    <w:rsid w:val="005143E8"/>
    <w:rsid w:val="00523639"/>
    <w:rsid w:val="00523EA2"/>
    <w:rsid w:val="00531FE5"/>
    <w:rsid w:val="00553A87"/>
    <w:rsid w:val="00554FCF"/>
    <w:rsid w:val="00555496"/>
    <w:rsid w:val="005569A3"/>
    <w:rsid w:val="005575F9"/>
    <w:rsid w:val="00562E6B"/>
    <w:rsid w:val="00565131"/>
    <w:rsid w:val="005657B9"/>
    <w:rsid w:val="005663CF"/>
    <w:rsid w:val="00575289"/>
    <w:rsid w:val="0057535B"/>
    <w:rsid w:val="005764DA"/>
    <w:rsid w:val="00576AF2"/>
    <w:rsid w:val="00583C39"/>
    <w:rsid w:val="005909CF"/>
    <w:rsid w:val="00590A68"/>
    <w:rsid w:val="00591E71"/>
    <w:rsid w:val="00592C8C"/>
    <w:rsid w:val="00593DBC"/>
    <w:rsid w:val="005A0D41"/>
    <w:rsid w:val="005A6844"/>
    <w:rsid w:val="005B05EC"/>
    <w:rsid w:val="005B0719"/>
    <w:rsid w:val="005B3AD7"/>
    <w:rsid w:val="005B5486"/>
    <w:rsid w:val="005B552E"/>
    <w:rsid w:val="005B73F7"/>
    <w:rsid w:val="005C2B91"/>
    <w:rsid w:val="005C303C"/>
    <w:rsid w:val="005C3801"/>
    <w:rsid w:val="005C7652"/>
    <w:rsid w:val="005C7D84"/>
    <w:rsid w:val="005D110D"/>
    <w:rsid w:val="005E1DAD"/>
    <w:rsid w:val="005F2C0D"/>
    <w:rsid w:val="005F420E"/>
    <w:rsid w:val="005F6C69"/>
    <w:rsid w:val="005F71B9"/>
    <w:rsid w:val="005F77CD"/>
    <w:rsid w:val="005F7C78"/>
    <w:rsid w:val="00600005"/>
    <w:rsid w:val="006001BE"/>
    <w:rsid w:val="0060484E"/>
    <w:rsid w:val="00604A9C"/>
    <w:rsid w:val="00605359"/>
    <w:rsid w:val="0060630D"/>
    <w:rsid w:val="00606787"/>
    <w:rsid w:val="00606F23"/>
    <w:rsid w:val="006072FA"/>
    <w:rsid w:val="00607BF1"/>
    <w:rsid w:val="00611A40"/>
    <w:rsid w:val="00612E74"/>
    <w:rsid w:val="00613472"/>
    <w:rsid w:val="006144F7"/>
    <w:rsid w:val="00614A68"/>
    <w:rsid w:val="006210B8"/>
    <w:rsid w:val="00623AAA"/>
    <w:rsid w:val="006301D6"/>
    <w:rsid w:val="00630D4D"/>
    <w:rsid w:val="00632A74"/>
    <w:rsid w:val="00643647"/>
    <w:rsid w:val="00644857"/>
    <w:rsid w:val="006477E9"/>
    <w:rsid w:val="0065647F"/>
    <w:rsid w:val="00656884"/>
    <w:rsid w:val="00660AD7"/>
    <w:rsid w:val="006628BA"/>
    <w:rsid w:val="00663B18"/>
    <w:rsid w:val="00683642"/>
    <w:rsid w:val="00684076"/>
    <w:rsid w:val="006852C6"/>
    <w:rsid w:val="0069159B"/>
    <w:rsid w:val="006946F3"/>
    <w:rsid w:val="0069512F"/>
    <w:rsid w:val="00695391"/>
    <w:rsid w:val="00697F51"/>
    <w:rsid w:val="006A0F3D"/>
    <w:rsid w:val="006A4655"/>
    <w:rsid w:val="006A6F2D"/>
    <w:rsid w:val="006B2B3C"/>
    <w:rsid w:val="006B5F02"/>
    <w:rsid w:val="006B71AB"/>
    <w:rsid w:val="006C00F4"/>
    <w:rsid w:val="006C1D81"/>
    <w:rsid w:val="006C37D6"/>
    <w:rsid w:val="006C68D9"/>
    <w:rsid w:val="006C7038"/>
    <w:rsid w:val="006D1B36"/>
    <w:rsid w:val="006D2765"/>
    <w:rsid w:val="006D3F2F"/>
    <w:rsid w:val="006D53B9"/>
    <w:rsid w:val="006E4DBD"/>
    <w:rsid w:val="006E73EF"/>
    <w:rsid w:val="006F51E7"/>
    <w:rsid w:val="006F6864"/>
    <w:rsid w:val="00710E3B"/>
    <w:rsid w:val="00712C8A"/>
    <w:rsid w:val="00712F76"/>
    <w:rsid w:val="00714AAC"/>
    <w:rsid w:val="00714D4D"/>
    <w:rsid w:val="0071540C"/>
    <w:rsid w:val="00715A07"/>
    <w:rsid w:val="007163CA"/>
    <w:rsid w:val="00720A74"/>
    <w:rsid w:val="00720BB4"/>
    <w:rsid w:val="00722A7A"/>
    <w:rsid w:val="00725F1F"/>
    <w:rsid w:val="00733005"/>
    <w:rsid w:val="007408DC"/>
    <w:rsid w:val="00741654"/>
    <w:rsid w:val="00743B76"/>
    <w:rsid w:val="00744CA8"/>
    <w:rsid w:val="00744F60"/>
    <w:rsid w:val="007517D0"/>
    <w:rsid w:val="007524C2"/>
    <w:rsid w:val="0075435A"/>
    <w:rsid w:val="00755FD0"/>
    <w:rsid w:val="007604BB"/>
    <w:rsid w:val="007619D1"/>
    <w:rsid w:val="0076421A"/>
    <w:rsid w:val="00767C77"/>
    <w:rsid w:val="007714DC"/>
    <w:rsid w:val="007719C8"/>
    <w:rsid w:val="00772B33"/>
    <w:rsid w:val="007741D2"/>
    <w:rsid w:val="00775469"/>
    <w:rsid w:val="0078121B"/>
    <w:rsid w:val="007830AF"/>
    <w:rsid w:val="00785232"/>
    <w:rsid w:val="00785F05"/>
    <w:rsid w:val="00793631"/>
    <w:rsid w:val="00794E24"/>
    <w:rsid w:val="007950E3"/>
    <w:rsid w:val="007965B9"/>
    <w:rsid w:val="00796C6D"/>
    <w:rsid w:val="00796E61"/>
    <w:rsid w:val="007A0BC6"/>
    <w:rsid w:val="007A21EB"/>
    <w:rsid w:val="007A32A6"/>
    <w:rsid w:val="007A6DDD"/>
    <w:rsid w:val="007B1A93"/>
    <w:rsid w:val="007B2EED"/>
    <w:rsid w:val="007B474E"/>
    <w:rsid w:val="007B7F7D"/>
    <w:rsid w:val="007C0DD6"/>
    <w:rsid w:val="007C11C1"/>
    <w:rsid w:val="007C36C9"/>
    <w:rsid w:val="007C3FAE"/>
    <w:rsid w:val="007C586A"/>
    <w:rsid w:val="007C6DA8"/>
    <w:rsid w:val="007C78C8"/>
    <w:rsid w:val="007D2CB9"/>
    <w:rsid w:val="007D2ECE"/>
    <w:rsid w:val="007D6401"/>
    <w:rsid w:val="007D6B73"/>
    <w:rsid w:val="007E01E4"/>
    <w:rsid w:val="007E0BC2"/>
    <w:rsid w:val="007E598E"/>
    <w:rsid w:val="007E6245"/>
    <w:rsid w:val="007F172B"/>
    <w:rsid w:val="007F3304"/>
    <w:rsid w:val="007F4089"/>
    <w:rsid w:val="007F4C63"/>
    <w:rsid w:val="007F7107"/>
    <w:rsid w:val="008000B7"/>
    <w:rsid w:val="0080288D"/>
    <w:rsid w:val="0080456B"/>
    <w:rsid w:val="00805CEC"/>
    <w:rsid w:val="0080663E"/>
    <w:rsid w:val="0080734C"/>
    <w:rsid w:val="0081030F"/>
    <w:rsid w:val="0081061A"/>
    <w:rsid w:val="00810A38"/>
    <w:rsid w:val="00817994"/>
    <w:rsid w:val="0082087D"/>
    <w:rsid w:val="00824A55"/>
    <w:rsid w:val="00826DD6"/>
    <w:rsid w:val="008405FE"/>
    <w:rsid w:val="00842933"/>
    <w:rsid w:val="00846B96"/>
    <w:rsid w:val="00851829"/>
    <w:rsid w:val="0085193F"/>
    <w:rsid w:val="00855004"/>
    <w:rsid w:val="008560D1"/>
    <w:rsid w:val="0086082C"/>
    <w:rsid w:val="008627BE"/>
    <w:rsid w:val="00864737"/>
    <w:rsid w:val="00864ADC"/>
    <w:rsid w:val="00864E5A"/>
    <w:rsid w:val="00872432"/>
    <w:rsid w:val="008746BC"/>
    <w:rsid w:val="00875858"/>
    <w:rsid w:val="00880153"/>
    <w:rsid w:val="00880F97"/>
    <w:rsid w:val="0088133A"/>
    <w:rsid w:val="00882936"/>
    <w:rsid w:val="00882DA6"/>
    <w:rsid w:val="00883A2A"/>
    <w:rsid w:val="00891648"/>
    <w:rsid w:val="0089285E"/>
    <w:rsid w:val="0089436C"/>
    <w:rsid w:val="008A22EE"/>
    <w:rsid w:val="008A3498"/>
    <w:rsid w:val="008A4388"/>
    <w:rsid w:val="008A613B"/>
    <w:rsid w:val="008B1E54"/>
    <w:rsid w:val="008B3580"/>
    <w:rsid w:val="008B54F9"/>
    <w:rsid w:val="008C0AED"/>
    <w:rsid w:val="008C4859"/>
    <w:rsid w:val="008D0842"/>
    <w:rsid w:val="008D0C7B"/>
    <w:rsid w:val="008D236C"/>
    <w:rsid w:val="008D365C"/>
    <w:rsid w:val="008D4D40"/>
    <w:rsid w:val="008D5E4E"/>
    <w:rsid w:val="008D7FC9"/>
    <w:rsid w:val="008E00C2"/>
    <w:rsid w:val="008E20CC"/>
    <w:rsid w:val="008E586D"/>
    <w:rsid w:val="008F30D5"/>
    <w:rsid w:val="008F7488"/>
    <w:rsid w:val="00900970"/>
    <w:rsid w:val="00901EEB"/>
    <w:rsid w:val="009030BF"/>
    <w:rsid w:val="0090576A"/>
    <w:rsid w:val="0091032F"/>
    <w:rsid w:val="00914237"/>
    <w:rsid w:val="00914368"/>
    <w:rsid w:val="0091512B"/>
    <w:rsid w:val="009209A8"/>
    <w:rsid w:val="00920B52"/>
    <w:rsid w:val="00921312"/>
    <w:rsid w:val="00922F9A"/>
    <w:rsid w:val="00923715"/>
    <w:rsid w:val="00923A99"/>
    <w:rsid w:val="00925ECF"/>
    <w:rsid w:val="00931076"/>
    <w:rsid w:val="00934415"/>
    <w:rsid w:val="009345D9"/>
    <w:rsid w:val="00934854"/>
    <w:rsid w:val="00934B15"/>
    <w:rsid w:val="00936FC3"/>
    <w:rsid w:val="00942B62"/>
    <w:rsid w:val="0094396E"/>
    <w:rsid w:val="00944DDB"/>
    <w:rsid w:val="00947AA1"/>
    <w:rsid w:val="00950A62"/>
    <w:rsid w:val="0095416B"/>
    <w:rsid w:val="00956A0C"/>
    <w:rsid w:val="00956BD9"/>
    <w:rsid w:val="00962489"/>
    <w:rsid w:val="009628D8"/>
    <w:rsid w:val="00964DA1"/>
    <w:rsid w:val="0097129D"/>
    <w:rsid w:val="00971E8F"/>
    <w:rsid w:val="00974452"/>
    <w:rsid w:val="00976501"/>
    <w:rsid w:val="0097707C"/>
    <w:rsid w:val="00980094"/>
    <w:rsid w:val="00982030"/>
    <w:rsid w:val="00983225"/>
    <w:rsid w:val="00983EA8"/>
    <w:rsid w:val="009900E8"/>
    <w:rsid w:val="00990A17"/>
    <w:rsid w:val="00990C2C"/>
    <w:rsid w:val="009943A1"/>
    <w:rsid w:val="009A12B8"/>
    <w:rsid w:val="009A3260"/>
    <w:rsid w:val="009A5435"/>
    <w:rsid w:val="009B0830"/>
    <w:rsid w:val="009B62C7"/>
    <w:rsid w:val="009B71A4"/>
    <w:rsid w:val="009C00C5"/>
    <w:rsid w:val="009C1C4F"/>
    <w:rsid w:val="009C3690"/>
    <w:rsid w:val="009D2295"/>
    <w:rsid w:val="009D4629"/>
    <w:rsid w:val="009D4CEB"/>
    <w:rsid w:val="009D5534"/>
    <w:rsid w:val="009D7AD7"/>
    <w:rsid w:val="009E0621"/>
    <w:rsid w:val="009E0CA3"/>
    <w:rsid w:val="009E2FCF"/>
    <w:rsid w:val="009E4B7C"/>
    <w:rsid w:val="009E5AD7"/>
    <w:rsid w:val="009E775B"/>
    <w:rsid w:val="009F09D7"/>
    <w:rsid w:val="009F153A"/>
    <w:rsid w:val="009F300E"/>
    <w:rsid w:val="009F579E"/>
    <w:rsid w:val="009F696D"/>
    <w:rsid w:val="009F6BC6"/>
    <w:rsid w:val="00A00146"/>
    <w:rsid w:val="00A00BFE"/>
    <w:rsid w:val="00A065F0"/>
    <w:rsid w:val="00A10138"/>
    <w:rsid w:val="00A17328"/>
    <w:rsid w:val="00A203F4"/>
    <w:rsid w:val="00A22BBB"/>
    <w:rsid w:val="00A23A20"/>
    <w:rsid w:val="00A24131"/>
    <w:rsid w:val="00A25DC4"/>
    <w:rsid w:val="00A268B9"/>
    <w:rsid w:val="00A26C38"/>
    <w:rsid w:val="00A26DA2"/>
    <w:rsid w:val="00A2703A"/>
    <w:rsid w:val="00A33DFF"/>
    <w:rsid w:val="00A35115"/>
    <w:rsid w:val="00A3561D"/>
    <w:rsid w:val="00A35AB4"/>
    <w:rsid w:val="00A35D8A"/>
    <w:rsid w:val="00A36051"/>
    <w:rsid w:val="00A36D9A"/>
    <w:rsid w:val="00A40431"/>
    <w:rsid w:val="00A4062C"/>
    <w:rsid w:val="00A41759"/>
    <w:rsid w:val="00A41F16"/>
    <w:rsid w:val="00A42490"/>
    <w:rsid w:val="00A44098"/>
    <w:rsid w:val="00A47679"/>
    <w:rsid w:val="00A52DBB"/>
    <w:rsid w:val="00A554AB"/>
    <w:rsid w:val="00A6077A"/>
    <w:rsid w:val="00A6365C"/>
    <w:rsid w:val="00A63694"/>
    <w:rsid w:val="00A6573D"/>
    <w:rsid w:val="00A66172"/>
    <w:rsid w:val="00A668A9"/>
    <w:rsid w:val="00A67303"/>
    <w:rsid w:val="00A72D50"/>
    <w:rsid w:val="00A72FC1"/>
    <w:rsid w:val="00A73F85"/>
    <w:rsid w:val="00A759E4"/>
    <w:rsid w:val="00A77106"/>
    <w:rsid w:val="00A86399"/>
    <w:rsid w:val="00A86A92"/>
    <w:rsid w:val="00A91952"/>
    <w:rsid w:val="00A91EDB"/>
    <w:rsid w:val="00A9293D"/>
    <w:rsid w:val="00A92B53"/>
    <w:rsid w:val="00A94F2F"/>
    <w:rsid w:val="00A94FA6"/>
    <w:rsid w:val="00A951E6"/>
    <w:rsid w:val="00A952B1"/>
    <w:rsid w:val="00A9722C"/>
    <w:rsid w:val="00AA0870"/>
    <w:rsid w:val="00AA1514"/>
    <w:rsid w:val="00AA2E7B"/>
    <w:rsid w:val="00AA3C29"/>
    <w:rsid w:val="00AA49A0"/>
    <w:rsid w:val="00AA50EC"/>
    <w:rsid w:val="00AA6710"/>
    <w:rsid w:val="00AB0681"/>
    <w:rsid w:val="00AB073A"/>
    <w:rsid w:val="00AB1639"/>
    <w:rsid w:val="00AB26CD"/>
    <w:rsid w:val="00AB561A"/>
    <w:rsid w:val="00AC12F7"/>
    <w:rsid w:val="00AC63CE"/>
    <w:rsid w:val="00AC7896"/>
    <w:rsid w:val="00AD01AC"/>
    <w:rsid w:val="00AD3F8A"/>
    <w:rsid w:val="00AD4688"/>
    <w:rsid w:val="00AD515A"/>
    <w:rsid w:val="00AD520B"/>
    <w:rsid w:val="00AD5D96"/>
    <w:rsid w:val="00AD72A6"/>
    <w:rsid w:val="00AD79CD"/>
    <w:rsid w:val="00AE025D"/>
    <w:rsid w:val="00AE18C9"/>
    <w:rsid w:val="00AE1965"/>
    <w:rsid w:val="00AE24CC"/>
    <w:rsid w:val="00AE41F5"/>
    <w:rsid w:val="00AF34AD"/>
    <w:rsid w:val="00AF34DF"/>
    <w:rsid w:val="00AF3662"/>
    <w:rsid w:val="00AF4390"/>
    <w:rsid w:val="00AF4F66"/>
    <w:rsid w:val="00AF619F"/>
    <w:rsid w:val="00B003E5"/>
    <w:rsid w:val="00B00668"/>
    <w:rsid w:val="00B109A8"/>
    <w:rsid w:val="00B120BA"/>
    <w:rsid w:val="00B12BBE"/>
    <w:rsid w:val="00B17221"/>
    <w:rsid w:val="00B2374E"/>
    <w:rsid w:val="00B237A3"/>
    <w:rsid w:val="00B2748A"/>
    <w:rsid w:val="00B27DDB"/>
    <w:rsid w:val="00B36F4F"/>
    <w:rsid w:val="00B40357"/>
    <w:rsid w:val="00B4205E"/>
    <w:rsid w:val="00B43D79"/>
    <w:rsid w:val="00B440AD"/>
    <w:rsid w:val="00B44547"/>
    <w:rsid w:val="00B471AC"/>
    <w:rsid w:val="00B51406"/>
    <w:rsid w:val="00B5225C"/>
    <w:rsid w:val="00B52C55"/>
    <w:rsid w:val="00B533B0"/>
    <w:rsid w:val="00B53E7E"/>
    <w:rsid w:val="00B562FA"/>
    <w:rsid w:val="00B57782"/>
    <w:rsid w:val="00B62FE5"/>
    <w:rsid w:val="00B6342E"/>
    <w:rsid w:val="00B70757"/>
    <w:rsid w:val="00B7113F"/>
    <w:rsid w:val="00B717BC"/>
    <w:rsid w:val="00B71B19"/>
    <w:rsid w:val="00B83790"/>
    <w:rsid w:val="00B8694E"/>
    <w:rsid w:val="00B94A71"/>
    <w:rsid w:val="00B95923"/>
    <w:rsid w:val="00B95FDD"/>
    <w:rsid w:val="00B9674F"/>
    <w:rsid w:val="00BA3CDB"/>
    <w:rsid w:val="00BA3FCA"/>
    <w:rsid w:val="00BA5187"/>
    <w:rsid w:val="00BA57C2"/>
    <w:rsid w:val="00BA73B6"/>
    <w:rsid w:val="00BA7E27"/>
    <w:rsid w:val="00BB1A1B"/>
    <w:rsid w:val="00BB2603"/>
    <w:rsid w:val="00BB380A"/>
    <w:rsid w:val="00BB4FCD"/>
    <w:rsid w:val="00BB53B4"/>
    <w:rsid w:val="00BB6545"/>
    <w:rsid w:val="00BC21D1"/>
    <w:rsid w:val="00BC3FD2"/>
    <w:rsid w:val="00BC4314"/>
    <w:rsid w:val="00BD01A9"/>
    <w:rsid w:val="00BD1058"/>
    <w:rsid w:val="00BD13EA"/>
    <w:rsid w:val="00BD49B1"/>
    <w:rsid w:val="00BE2CA6"/>
    <w:rsid w:val="00BE3808"/>
    <w:rsid w:val="00BE5142"/>
    <w:rsid w:val="00BF05F9"/>
    <w:rsid w:val="00BF087D"/>
    <w:rsid w:val="00BF1010"/>
    <w:rsid w:val="00BF32E7"/>
    <w:rsid w:val="00C01F2A"/>
    <w:rsid w:val="00C0218F"/>
    <w:rsid w:val="00C048DF"/>
    <w:rsid w:val="00C062E9"/>
    <w:rsid w:val="00C07B64"/>
    <w:rsid w:val="00C10CB6"/>
    <w:rsid w:val="00C10D1B"/>
    <w:rsid w:val="00C12121"/>
    <w:rsid w:val="00C130C8"/>
    <w:rsid w:val="00C13721"/>
    <w:rsid w:val="00C16E16"/>
    <w:rsid w:val="00C17888"/>
    <w:rsid w:val="00C21452"/>
    <w:rsid w:val="00C229BD"/>
    <w:rsid w:val="00C3066D"/>
    <w:rsid w:val="00C30998"/>
    <w:rsid w:val="00C31E03"/>
    <w:rsid w:val="00C32C9D"/>
    <w:rsid w:val="00C3570E"/>
    <w:rsid w:val="00C37B0C"/>
    <w:rsid w:val="00C40700"/>
    <w:rsid w:val="00C43DB4"/>
    <w:rsid w:val="00C44C5B"/>
    <w:rsid w:val="00C46194"/>
    <w:rsid w:val="00C464D5"/>
    <w:rsid w:val="00C47CDA"/>
    <w:rsid w:val="00C511C9"/>
    <w:rsid w:val="00C543F4"/>
    <w:rsid w:val="00C61691"/>
    <w:rsid w:val="00C6291C"/>
    <w:rsid w:val="00C633CB"/>
    <w:rsid w:val="00C66B1A"/>
    <w:rsid w:val="00C67DF0"/>
    <w:rsid w:val="00C719F9"/>
    <w:rsid w:val="00C71A76"/>
    <w:rsid w:val="00C7206B"/>
    <w:rsid w:val="00C77134"/>
    <w:rsid w:val="00C8136E"/>
    <w:rsid w:val="00C81D4A"/>
    <w:rsid w:val="00C839D4"/>
    <w:rsid w:val="00C86032"/>
    <w:rsid w:val="00C8762C"/>
    <w:rsid w:val="00C912CC"/>
    <w:rsid w:val="00C92A1A"/>
    <w:rsid w:val="00C934D9"/>
    <w:rsid w:val="00C93881"/>
    <w:rsid w:val="00C95CEA"/>
    <w:rsid w:val="00C96606"/>
    <w:rsid w:val="00CA00F9"/>
    <w:rsid w:val="00CA0505"/>
    <w:rsid w:val="00CA17F3"/>
    <w:rsid w:val="00CA2961"/>
    <w:rsid w:val="00CA391E"/>
    <w:rsid w:val="00CA5E93"/>
    <w:rsid w:val="00CA746E"/>
    <w:rsid w:val="00CA794D"/>
    <w:rsid w:val="00CB15D2"/>
    <w:rsid w:val="00CB1F85"/>
    <w:rsid w:val="00CB20F8"/>
    <w:rsid w:val="00CB2D83"/>
    <w:rsid w:val="00CB43D3"/>
    <w:rsid w:val="00CB50D7"/>
    <w:rsid w:val="00CB6335"/>
    <w:rsid w:val="00CB7177"/>
    <w:rsid w:val="00CB7DD5"/>
    <w:rsid w:val="00CC1998"/>
    <w:rsid w:val="00CC2A5D"/>
    <w:rsid w:val="00CC33BC"/>
    <w:rsid w:val="00CC387C"/>
    <w:rsid w:val="00CC4946"/>
    <w:rsid w:val="00CC4C68"/>
    <w:rsid w:val="00CC51E7"/>
    <w:rsid w:val="00CC7E78"/>
    <w:rsid w:val="00CE1563"/>
    <w:rsid w:val="00CE479C"/>
    <w:rsid w:val="00CE486C"/>
    <w:rsid w:val="00CE4ACC"/>
    <w:rsid w:val="00CE7167"/>
    <w:rsid w:val="00CF0A0D"/>
    <w:rsid w:val="00CF2CFE"/>
    <w:rsid w:val="00CF5521"/>
    <w:rsid w:val="00CF5D5E"/>
    <w:rsid w:val="00CF6A92"/>
    <w:rsid w:val="00CF7692"/>
    <w:rsid w:val="00D03247"/>
    <w:rsid w:val="00D07684"/>
    <w:rsid w:val="00D10503"/>
    <w:rsid w:val="00D1236B"/>
    <w:rsid w:val="00D14B66"/>
    <w:rsid w:val="00D16F29"/>
    <w:rsid w:val="00D25144"/>
    <w:rsid w:val="00D25E94"/>
    <w:rsid w:val="00D270A4"/>
    <w:rsid w:val="00D272B1"/>
    <w:rsid w:val="00D3098A"/>
    <w:rsid w:val="00D31FE9"/>
    <w:rsid w:val="00D33391"/>
    <w:rsid w:val="00D34E1B"/>
    <w:rsid w:val="00D376BA"/>
    <w:rsid w:val="00D42418"/>
    <w:rsid w:val="00D42D57"/>
    <w:rsid w:val="00D441C0"/>
    <w:rsid w:val="00D45A0B"/>
    <w:rsid w:val="00D471C4"/>
    <w:rsid w:val="00D536F6"/>
    <w:rsid w:val="00D5568A"/>
    <w:rsid w:val="00D57495"/>
    <w:rsid w:val="00D63D73"/>
    <w:rsid w:val="00D64452"/>
    <w:rsid w:val="00D66188"/>
    <w:rsid w:val="00D66E1E"/>
    <w:rsid w:val="00D70993"/>
    <w:rsid w:val="00D70E9C"/>
    <w:rsid w:val="00D72145"/>
    <w:rsid w:val="00D72B79"/>
    <w:rsid w:val="00D75722"/>
    <w:rsid w:val="00D766F7"/>
    <w:rsid w:val="00D76953"/>
    <w:rsid w:val="00D80CF5"/>
    <w:rsid w:val="00D83627"/>
    <w:rsid w:val="00D83FA0"/>
    <w:rsid w:val="00D927D9"/>
    <w:rsid w:val="00DA02B6"/>
    <w:rsid w:val="00DA1B35"/>
    <w:rsid w:val="00DA2258"/>
    <w:rsid w:val="00DA264D"/>
    <w:rsid w:val="00DA5BBA"/>
    <w:rsid w:val="00DA5EA9"/>
    <w:rsid w:val="00DA60D1"/>
    <w:rsid w:val="00DB1D50"/>
    <w:rsid w:val="00DB67C9"/>
    <w:rsid w:val="00DC0C95"/>
    <w:rsid w:val="00DC2A44"/>
    <w:rsid w:val="00DC45BF"/>
    <w:rsid w:val="00DC729A"/>
    <w:rsid w:val="00DC7300"/>
    <w:rsid w:val="00DD6580"/>
    <w:rsid w:val="00DE019D"/>
    <w:rsid w:val="00DE0356"/>
    <w:rsid w:val="00DE4344"/>
    <w:rsid w:val="00DF02C2"/>
    <w:rsid w:val="00DF29EA"/>
    <w:rsid w:val="00DF3A77"/>
    <w:rsid w:val="00DF5A34"/>
    <w:rsid w:val="00E00BD5"/>
    <w:rsid w:val="00E0167E"/>
    <w:rsid w:val="00E01A2A"/>
    <w:rsid w:val="00E01D89"/>
    <w:rsid w:val="00E05052"/>
    <w:rsid w:val="00E0602D"/>
    <w:rsid w:val="00E07678"/>
    <w:rsid w:val="00E11F2F"/>
    <w:rsid w:val="00E13458"/>
    <w:rsid w:val="00E13F86"/>
    <w:rsid w:val="00E17C72"/>
    <w:rsid w:val="00E20971"/>
    <w:rsid w:val="00E21F82"/>
    <w:rsid w:val="00E21FC6"/>
    <w:rsid w:val="00E246D5"/>
    <w:rsid w:val="00E25385"/>
    <w:rsid w:val="00E37564"/>
    <w:rsid w:val="00E4213C"/>
    <w:rsid w:val="00E431A9"/>
    <w:rsid w:val="00E4341B"/>
    <w:rsid w:val="00E4684D"/>
    <w:rsid w:val="00E4700E"/>
    <w:rsid w:val="00E47D0E"/>
    <w:rsid w:val="00E503DD"/>
    <w:rsid w:val="00E51215"/>
    <w:rsid w:val="00E53802"/>
    <w:rsid w:val="00E545BE"/>
    <w:rsid w:val="00E554F5"/>
    <w:rsid w:val="00E55C32"/>
    <w:rsid w:val="00E56E67"/>
    <w:rsid w:val="00E62746"/>
    <w:rsid w:val="00E660AA"/>
    <w:rsid w:val="00E663EE"/>
    <w:rsid w:val="00E669E2"/>
    <w:rsid w:val="00E67AE6"/>
    <w:rsid w:val="00E70016"/>
    <w:rsid w:val="00E708BE"/>
    <w:rsid w:val="00E7186F"/>
    <w:rsid w:val="00E71D02"/>
    <w:rsid w:val="00E72E19"/>
    <w:rsid w:val="00E742C0"/>
    <w:rsid w:val="00E76135"/>
    <w:rsid w:val="00E775AC"/>
    <w:rsid w:val="00E77FBF"/>
    <w:rsid w:val="00E820A4"/>
    <w:rsid w:val="00E82F4F"/>
    <w:rsid w:val="00E845C2"/>
    <w:rsid w:val="00E87782"/>
    <w:rsid w:val="00E903BC"/>
    <w:rsid w:val="00E946FA"/>
    <w:rsid w:val="00E96CAF"/>
    <w:rsid w:val="00EA2E6E"/>
    <w:rsid w:val="00EA3D0F"/>
    <w:rsid w:val="00EA3FEC"/>
    <w:rsid w:val="00EA73BE"/>
    <w:rsid w:val="00EB6653"/>
    <w:rsid w:val="00EC2844"/>
    <w:rsid w:val="00ED147E"/>
    <w:rsid w:val="00ED46DF"/>
    <w:rsid w:val="00ED5294"/>
    <w:rsid w:val="00ED6873"/>
    <w:rsid w:val="00EE2B56"/>
    <w:rsid w:val="00EF5879"/>
    <w:rsid w:val="00EF6C6C"/>
    <w:rsid w:val="00EF7ABF"/>
    <w:rsid w:val="00F04AB9"/>
    <w:rsid w:val="00F056FC"/>
    <w:rsid w:val="00F061B7"/>
    <w:rsid w:val="00F10476"/>
    <w:rsid w:val="00F135D8"/>
    <w:rsid w:val="00F14A0C"/>
    <w:rsid w:val="00F1564E"/>
    <w:rsid w:val="00F15CF4"/>
    <w:rsid w:val="00F1610D"/>
    <w:rsid w:val="00F2384C"/>
    <w:rsid w:val="00F250C8"/>
    <w:rsid w:val="00F31299"/>
    <w:rsid w:val="00F3534A"/>
    <w:rsid w:val="00F37ECB"/>
    <w:rsid w:val="00F40A07"/>
    <w:rsid w:val="00F439B2"/>
    <w:rsid w:val="00F46AE3"/>
    <w:rsid w:val="00F47C8D"/>
    <w:rsid w:val="00F51DFF"/>
    <w:rsid w:val="00F564B7"/>
    <w:rsid w:val="00F56F5B"/>
    <w:rsid w:val="00F56FC0"/>
    <w:rsid w:val="00F57E53"/>
    <w:rsid w:val="00F60AB5"/>
    <w:rsid w:val="00F70713"/>
    <w:rsid w:val="00F85325"/>
    <w:rsid w:val="00F86BF9"/>
    <w:rsid w:val="00F86F1A"/>
    <w:rsid w:val="00F91D9D"/>
    <w:rsid w:val="00F96FD6"/>
    <w:rsid w:val="00F978E2"/>
    <w:rsid w:val="00FA3B19"/>
    <w:rsid w:val="00FA541C"/>
    <w:rsid w:val="00FA5DE9"/>
    <w:rsid w:val="00FA5F7F"/>
    <w:rsid w:val="00FB01D6"/>
    <w:rsid w:val="00FB0A8F"/>
    <w:rsid w:val="00FB6151"/>
    <w:rsid w:val="00FB6834"/>
    <w:rsid w:val="00FB71CB"/>
    <w:rsid w:val="00FC183C"/>
    <w:rsid w:val="00FC7AF3"/>
    <w:rsid w:val="00FC7FC0"/>
    <w:rsid w:val="00FD0688"/>
    <w:rsid w:val="00FD22B1"/>
    <w:rsid w:val="00FD2D94"/>
    <w:rsid w:val="00FD66AD"/>
    <w:rsid w:val="00FE133D"/>
    <w:rsid w:val="00FE16C8"/>
    <w:rsid w:val="00FF321B"/>
    <w:rsid w:val="00FF68CE"/>
    <w:rsid w:val="00FF7A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71B19"/>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BodyTextChar">
    <w:name w:val="Body Text Char"/>
    <w:basedOn w:val="DefaultParagraphFont"/>
    <w:link w:val="BodyText"/>
    <w:rsid w:val="007D2CB9"/>
    <w:rPr>
      <w:sz w:val="26"/>
    </w:rPr>
  </w:style>
  <w:style w:type="character" w:customStyle="1" w:styleId="Heading4Char">
    <w:name w:val="Heading 4 Char"/>
    <w:basedOn w:val="DefaultParagraphFont"/>
    <w:link w:val="Heading4"/>
    <w:rsid w:val="007D2CB9"/>
    <w:rPr>
      <w:rFonts w:ascii="Arial" w:hAnsi="Arial"/>
      <w:i/>
      <w:sz w:val="24"/>
    </w:rPr>
  </w:style>
  <w:style w:type="paragraph" w:customStyle="1" w:styleId="Question">
    <w:name w:val="Question"/>
    <w:basedOn w:val="BodyText"/>
    <w:next w:val="BodyText"/>
    <w:rsid w:val="007D2CB9"/>
    <w:pPr>
      <w:spacing w:before="180"/>
    </w:pPr>
    <w:rPr>
      <w:i/>
    </w:rPr>
  </w:style>
  <w:style w:type="character" w:styleId="Hyperlink">
    <w:name w:val="Hyperlink"/>
    <w:basedOn w:val="DefaultParagraphFont"/>
    <w:rsid w:val="00920B52"/>
    <w:rPr>
      <w:color w:val="0000FF" w:themeColor="hyperlink"/>
      <w:u w:val="single"/>
    </w:rPr>
  </w:style>
  <w:style w:type="character" w:customStyle="1" w:styleId="QuoteChar">
    <w:name w:val="Quote Char"/>
    <w:basedOn w:val="DefaultParagraphFont"/>
    <w:link w:val="Quote"/>
    <w:rsid w:val="00390C72"/>
    <w:rPr>
      <w:sz w:val="24"/>
    </w:rPr>
  </w:style>
  <w:style w:type="paragraph" w:customStyle="1" w:styleId="Default">
    <w:name w:val="Default"/>
    <w:rsid w:val="004003AF"/>
    <w:pPr>
      <w:autoSpaceDE w:val="0"/>
      <w:autoSpaceDN w:val="0"/>
      <w:adjustRightInd w:val="0"/>
    </w:pPr>
    <w:rPr>
      <w:color w:val="000000"/>
      <w:sz w:val="24"/>
      <w:szCs w:val="24"/>
    </w:rPr>
  </w:style>
  <w:style w:type="character" w:customStyle="1" w:styleId="ReferenceChar">
    <w:name w:val="Reference Char"/>
    <w:basedOn w:val="DefaultParagraphFont"/>
    <w:link w:val="Reference"/>
    <w:rsid w:val="006D1B36"/>
    <w:rPr>
      <w:sz w:val="26"/>
    </w:rPr>
  </w:style>
  <w:style w:type="paragraph" w:styleId="NormalWeb">
    <w:name w:val="Normal (Web)"/>
    <w:basedOn w:val="Normal"/>
    <w:rsid w:val="00A40431"/>
    <w:rPr>
      <w:sz w:val="24"/>
    </w:rPr>
  </w:style>
  <w:style w:type="paragraph" w:styleId="CommentSubject">
    <w:name w:val="annotation subject"/>
    <w:basedOn w:val="CommentText"/>
    <w:next w:val="CommentText"/>
    <w:link w:val="CommentSubjectChar"/>
    <w:rsid w:val="004F1328"/>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F1328"/>
    <w:rPr>
      <w:szCs w:val="24"/>
    </w:rPr>
  </w:style>
  <w:style w:type="character" w:customStyle="1" w:styleId="CommentSubjectChar">
    <w:name w:val="Comment Subject Char"/>
    <w:basedOn w:val="CommentTextChar"/>
    <w:link w:val="CommentSubject"/>
    <w:rsid w:val="004F1328"/>
    <w:rPr>
      <w:b/>
      <w:bCs/>
      <w:szCs w:val="24"/>
    </w:rPr>
  </w:style>
  <w:style w:type="character" w:customStyle="1" w:styleId="BoxListBulletChar">
    <w:name w:val="Box List Bullet Char"/>
    <w:link w:val="BoxListBullet"/>
    <w:locked/>
    <w:rsid w:val="00B71B19"/>
    <w:rPr>
      <w:rFonts w:ascii="Arial" w:hAnsi="Arial"/>
      <w:sz w:val="22"/>
    </w:rPr>
  </w:style>
  <w:style w:type="paragraph" w:styleId="Revision">
    <w:name w:val="Revision"/>
    <w:hidden/>
    <w:uiPriority w:val="99"/>
    <w:semiHidden/>
    <w:rsid w:val="00A77106"/>
    <w:rPr>
      <w:sz w:val="26"/>
      <w:szCs w:val="24"/>
    </w:rPr>
  </w:style>
  <w:style w:type="paragraph" w:customStyle="1" w:styleId="BoxSpaceAbove">
    <w:name w:val="Box Space Above"/>
    <w:basedOn w:val="BodyText"/>
    <w:rsid w:val="004F485A"/>
    <w:pPr>
      <w:keepNext/>
      <w:spacing w:before="360" w:line="80" w:lineRule="exact"/>
      <w:jc w:val="left"/>
    </w:pPr>
  </w:style>
  <w:style w:type="paragraph" w:customStyle="1" w:styleId="BoxSpaceBelow">
    <w:name w:val="Box Space Below"/>
    <w:basedOn w:val="Box"/>
    <w:rsid w:val="004F485A"/>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B71B19"/>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BodyTextChar">
    <w:name w:val="Body Text Char"/>
    <w:basedOn w:val="DefaultParagraphFont"/>
    <w:link w:val="BodyText"/>
    <w:rsid w:val="007D2CB9"/>
    <w:rPr>
      <w:sz w:val="26"/>
    </w:rPr>
  </w:style>
  <w:style w:type="character" w:customStyle="1" w:styleId="Heading4Char">
    <w:name w:val="Heading 4 Char"/>
    <w:basedOn w:val="DefaultParagraphFont"/>
    <w:link w:val="Heading4"/>
    <w:rsid w:val="007D2CB9"/>
    <w:rPr>
      <w:rFonts w:ascii="Arial" w:hAnsi="Arial"/>
      <w:i/>
      <w:sz w:val="24"/>
    </w:rPr>
  </w:style>
  <w:style w:type="paragraph" w:customStyle="1" w:styleId="Question">
    <w:name w:val="Question"/>
    <w:basedOn w:val="BodyText"/>
    <w:next w:val="BodyText"/>
    <w:rsid w:val="007D2CB9"/>
    <w:pPr>
      <w:spacing w:before="180"/>
    </w:pPr>
    <w:rPr>
      <w:i/>
    </w:rPr>
  </w:style>
  <w:style w:type="character" w:styleId="Hyperlink">
    <w:name w:val="Hyperlink"/>
    <w:basedOn w:val="DefaultParagraphFont"/>
    <w:rsid w:val="00920B52"/>
    <w:rPr>
      <w:color w:val="0000FF" w:themeColor="hyperlink"/>
      <w:u w:val="single"/>
    </w:rPr>
  </w:style>
  <w:style w:type="character" w:customStyle="1" w:styleId="QuoteChar">
    <w:name w:val="Quote Char"/>
    <w:basedOn w:val="DefaultParagraphFont"/>
    <w:link w:val="Quote"/>
    <w:rsid w:val="00390C72"/>
    <w:rPr>
      <w:sz w:val="24"/>
    </w:rPr>
  </w:style>
  <w:style w:type="paragraph" w:customStyle="1" w:styleId="Default">
    <w:name w:val="Default"/>
    <w:rsid w:val="004003AF"/>
    <w:pPr>
      <w:autoSpaceDE w:val="0"/>
      <w:autoSpaceDN w:val="0"/>
      <w:adjustRightInd w:val="0"/>
    </w:pPr>
    <w:rPr>
      <w:color w:val="000000"/>
      <w:sz w:val="24"/>
      <w:szCs w:val="24"/>
    </w:rPr>
  </w:style>
  <w:style w:type="character" w:customStyle="1" w:styleId="ReferenceChar">
    <w:name w:val="Reference Char"/>
    <w:basedOn w:val="DefaultParagraphFont"/>
    <w:link w:val="Reference"/>
    <w:rsid w:val="006D1B36"/>
    <w:rPr>
      <w:sz w:val="26"/>
    </w:rPr>
  </w:style>
  <w:style w:type="paragraph" w:styleId="NormalWeb">
    <w:name w:val="Normal (Web)"/>
    <w:basedOn w:val="Normal"/>
    <w:rsid w:val="00A40431"/>
    <w:rPr>
      <w:sz w:val="24"/>
    </w:rPr>
  </w:style>
  <w:style w:type="paragraph" w:styleId="CommentSubject">
    <w:name w:val="annotation subject"/>
    <w:basedOn w:val="CommentText"/>
    <w:next w:val="CommentText"/>
    <w:link w:val="CommentSubjectChar"/>
    <w:rsid w:val="004F1328"/>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F1328"/>
    <w:rPr>
      <w:szCs w:val="24"/>
    </w:rPr>
  </w:style>
  <w:style w:type="character" w:customStyle="1" w:styleId="CommentSubjectChar">
    <w:name w:val="Comment Subject Char"/>
    <w:basedOn w:val="CommentTextChar"/>
    <w:link w:val="CommentSubject"/>
    <w:rsid w:val="004F1328"/>
    <w:rPr>
      <w:b/>
      <w:bCs/>
      <w:szCs w:val="24"/>
    </w:rPr>
  </w:style>
  <w:style w:type="character" w:customStyle="1" w:styleId="BoxListBulletChar">
    <w:name w:val="Box List Bullet Char"/>
    <w:link w:val="BoxListBullet"/>
    <w:locked/>
    <w:rsid w:val="00B71B19"/>
    <w:rPr>
      <w:rFonts w:ascii="Arial" w:hAnsi="Arial"/>
      <w:sz w:val="22"/>
    </w:rPr>
  </w:style>
  <w:style w:type="paragraph" w:styleId="Revision">
    <w:name w:val="Revision"/>
    <w:hidden/>
    <w:uiPriority w:val="99"/>
    <w:semiHidden/>
    <w:rsid w:val="00A77106"/>
    <w:rPr>
      <w:sz w:val="26"/>
      <w:szCs w:val="24"/>
    </w:rPr>
  </w:style>
  <w:style w:type="paragraph" w:customStyle="1" w:styleId="BoxSpaceAbove">
    <w:name w:val="Box Space Above"/>
    <w:basedOn w:val="BodyText"/>
    <w:rsid w:val="004F485A"/>
    <w:pPr>
      <w:keepNext/>
      <w:spacing w:before="360" w:line="80" w:lineRule="exact"/>
      <w:jc w:val="left"/>
    </w:pPr>
  </w:style>
  <w:style w:type="paragraph" w:customStyle="1" w:styleId="BoxSpaceBelow">
    <w:name w:val="Box Space Below"/>
    <w:basedOn w:val="Box"/>
    <w:rsid w:val="004F485A"/>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98739">
      <w:bodyDiv w:val="1"/>
      <w:marLeft w:val="0"/>
      <w:marRight w:val="0"/>
      <w:marTop w:val="0"/>
      <w:marBottom w:val="0"/>
      <w:divBdr>
        <w:top w:val="none" w:sz="0" w:space="0" w:color="auto"/>
        <w:left w:val="none" w:sz="0" w:space="0" w:color="auto"/>
        <w:bottom w:val="none" w:sz="0" w:space="0" w:color="auto"/>
        <w:right w:val="none" w:sz="0" w:space="0" w:color="auto"/>
      </w:divBdr>
      <w:divsChild>
        <w:div w:id="187715559">
          <w:marLeft w:val="2925"/>
          <w:marRight w:val="0"/>
          <w:marTop w:val="0"/>
          <w:marBottom w:val="0"/>
          <w:divBdr>
            <w:top w:val="none" w:sz="0" w:space="0" w:color="auto"/>
            <w:left w:val="none" w:sz="0" w:space="0" w:color="auto"/>
            <w:bottom w:val="none" w:sz="0" w:space="0" w:color="auto"/>
            <w:right w:val="none" w:sz="0" w:space="0" w:color="auto"/>
          </w:divBdr>
          <w:divsChild>
            <w:div w:id="631910454">
              <w:marLeft w:val="0"/>
              <w:marRight w:val="0"/>
              <w:marTop w:val="0"/>
              <w:marBottom w:val="0"/>
              <w:divBdr>
                <w:top w:val="none" w:sz="0" w:space="0" w:color="auto"/>
                <w:left w:val="none" w:sz="0" w:space="0" w:color="auto"/>
                <w:bottom w:val="none" w:sz="0" w:space="0" w:color="auto"/>
                <w:right w:val="none" w:sz="0" w:space="0" w:color="auto"/>
              </w:divBdr>
              <w:divsChild>
                <w:div w:id="954287640">
                  <w:marLeft w:val="0"/>
                  <w:marRight w:val="0"/>
                  <w:marTop w:val="0"/>
                  <w:marBottom w:val="0"/>
                  <w:divBdr>
                    <w:top w:val="none" w:sz="0" w:space="0" w:color="auto"/>
                    <w:left w:val="none" w:sz="0" w:space="0" w:color="auto"/>
                    <w:bottom w:val="none" w:sz="0" w:space="0" w:color="auto"/>
                    <w:right w:val="none" w:sz="0" w:space="0" w:color="auto"/>
                  </w:divBdr>
                  <w:divsChild>
                    <w:div w:id="85839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62555">
      <w:bodyDiv w:val="1"/>
      <w:marLeft w:val="0"/>
      <w:marRight w:val="0"/>
      <w:marTop w:val="0"/>
      <w:marBottom w:val="0"/>
      <w:divBdr>
        <w:top w:val="none" w:sz="0" w:space="0" w:color="auto"/>
        <w:left w:val="none" w:sz="0" w:space="0" w:color="auto"/>
        <w:bottom w:val="none" w:sz="0" w:space="0" w:color="auto"/>
        <w:right w:val="none" w:sz="0" w:space="0" w:color="auto"/>
      </w:divBdr>
    </w:div>
    <w:div w:id="321929713">
      <w:bodyDiv w:val="1"/>
      <w:marLeft w:val="0"/>
      <w:marRight w:val="0"/>
      <w:marTop w:val="0"/>
      <w:marBottom w:val="0"/>
      <w:divBdr>
        <w:top w:val="none" w:sz="0" w:space="0" w:color="auto"/>
        <w:left w:val="none" w:sz="0" w:space="0" w:color="auto"/>
        <w:bottom w:val="none" w:sz="0" w:space="0" w:color="auto"/>
        <w:right w:val="none" w:sz="0" w:space="0" w:color="auto"/>
      </w:divBdr>
    </w:div>
    <w:div w:id="449058350">
      <w:bodyDiv w:val="1"/>
      <w:marLeft w:val="0"/>
      <w:marRight w:val="0"/>
      <w:marTop w:val="0"/>
      <w:marBottom w:val="0"/>
      <w:divBdr>
        <w:top w:val="none" w:sz="0" w:space="0" w:color="auto"/>
        <w:left w:val="none" w:sz="0" w:space="0" w:color="auto"/>
        <w:bottom w:val="none" w:sz="0" w:space="0" w:color="auto"/>
        <w:right w:val="none" w:sz="0" w:space="0" w:color="auto"/>
      </w:divBdr>
    </w:div>
    <w:div w:id="770007169">
      <w:bodyDiv w:val="1"/>
      <w:marLeft w:val="0"/>
      <w:marRight w:val="0"/>
      <w:marTop w:val="0"/>
      <w:marBottom w:val="0"/>
      <w:divBdr>
        <w:top w:val="none" w:sz="0" w:space="0" w:color="auto"/>
        <w:left w:val="none" w:sz="0" w:space="0" w:color="auto"/>
        <w:bottom w:val="none" w:sz="0" w:space="0" w:color="auto"/>
        <w:right w:val="none" w:sz="0" w:space="0" w:color="auto"/>
      </w:divBdr>
    </w:div>
    <w:div w:id="966936081">
      <w:bodyDiv w:val="1"/>
      <w:marLeft w:val="0"/>
      <w:marRight w:val="0"/>
      <w:marTop w:val="0"/>
      <w:marBottom w:val="0"/>
      <w:divBdr>
        <w:top w:val="none" w:sz="0" w:space="0" w:color="auto"/>
        <w:left w:val="none" w:sz="0" w:space="0" w:color="auto"/>
        <w:bottom w:val="none" w:sz="0" w:space="0" w:color="auto"/>
        <w:right w:val="none" w:sz="0" w:space="0" w:color="auto"/>
      </w:divBdr>
    </w:div>
    <w:div w:id="1145438567">
      <w:bodyDiv w:val="1"/>
      <w:marLeft w:val="0"/>
      <w:marRight w:val="0"/>
      <w:marTop w:val="0"/>
      <w:marBottom w:val="0"/>
      <w:divBdr>
        <w:top w:val="none" w:sz="0" w:space="0" w:color="auto"/>
        <w:left w:val="none" w:sz="0" w:space="0" w:color="auto"/>
        <w:bottom w:val="none" w:sz="0" w:space="0" w:color="auto"/>
        <w:right w:val="none" w:sz="0" w:space="0" w:color="auto"/>
      </w:divBdr>
    </w:div>
    <w:div w:id="1688213243">
      <w:bodyDiv w:val="1"/>
      <w:marLeft w:val="0"/>
      <w:marRight w:val="0"/>
      <w:marTop w:val="0"/>
      <w:marBottom w:val="0"/>
      <w:divBdr>
        <w:top w:val="none" w:sz="0" w:space="0" w:color="auto"/>
        <w:left w:val="none" w:sz="0" w:space="0" w:color="auto"/>
        <w:bottom w:val="none" w:sz="0" w:space="0" w:color="auto"/>
        <w:right w:val="none" w:sz="0" w:space="0" w:color="auto"/>
      </w:divBdr>
    </w:div>
    <w:div w:id="1755930232">
      <w:bodyDiv w:val="1"/>
      <w:marLeft w:val="0"/>
      <w:marRight w:val="0"/>
      <w:marTop w:val="0"/>
      <w:marBottom w:val="0"/>
      <w:divBdr>
        <w:top w:val="none" w:sz="0" w:space="0" w:color="auto"/>
        <w:left w:val="none" w:sz="0" w:space="0" w:color="auto"/>
        <w:bottom w:val="none" w:sz="0" w:space="0" w:color="auto"/>
        <w:right w:val="none" w:sz="0" w:space="0" w:color="auto"/>
      </w:divBdr>
      <w:divsChild>
        <w:div w:id="1634167201">
          <w:marLeft w:val="0"/>
          <w:marRight w:val="0"/>
          <w:marTop w:val="0"/>
          <w:marBottom w:val="0"/>
          <w:divBdr>
            <w:top w:val="none" w:sz="0" w:space="0" w:color="auto"/>
            <w:left w:val="none" w:sz="0" w:space="0" w:color="auto"/>
            <w:bottom w:val="none" w:sz="0" w:space="0" w:color="auto"/>
            <w:right w:val="none" w:sz="0" w:space="0" w:color="auto"/>
          </w:divBdr>
          <w:divsChild>
            <w:div w:id="889850496">
              <w:marLeft w:val="0"/>
              <w:marRight w:val="0"/>
              <w:marTop w:val="0"/>
              <w:marBottom w:val="0"/>
              <w:divBdr>
                <w:top w:val="none" w:sz="0" w:space="0" w:color="auto"/>
                <w:left w:val="none" w:sz="0" w:space="0" w:color="auto"/>
                <w:bottom w:val="none" w:sz="0" w:space="0" w:color="auto"/>
                <w:right w:val="none" w:sz="0" w:space="0" w:color="auto"/>
              </w:divBdr>
              <w:divsChild>
                <w:div w:id="1817531299">
                  <w:marLeft w:val="0"/>
                  <w:marRight w:val="0"/>
                  <w:marTop w:val="0"/>
                  <w:marBottom w:val="0"/>
                  <w:divBdr>
                    <w:top w:val="none" w:sz="0" w:space="0" w:color="auto"/>
                    <w:left w:val="none" w:sz="0" w:space="0" w:color="auto"/>
                    <w:bottom w:val="none" w:sz="0" w:space="0" w:color="auto"/>
                    <w:right w:val="none" w:sz="0" w:space="0" w:color="auto"/>
                  </w:divBdr>
                  <w:divsChild>
                    <w:div w:id="841242890">
                      <w:marLeft w:val="0"/>
                      <w:marRight w:val="0"/>
                      <w:marTop w:val="0"/>
                      <w:marBottom w:val="0"/>
                      <w:divBdr>
                        <w:top w:val="none" w:sz="0" w:space="0" w:color="auto"/>
                        <w:left w:val="none" w:sz="0" w:space="0" w:color="auto"/>
                        <w:bottom w:val="none" w:sz="0" w:space="0" w:color="auto"/>
                        <w:right w:val="none" w:sz="0" w:space="0" w:color="auto"/>
                      </w:divBdr>
                      <w:divsChild>
                        <w:div w:id="544366783">
                          <w:marLeft w:val="0"/>
                          <w:marRight w:val="0"/>
                          <w:marTop w:val="0"/>
                          <w:marBottom w:val="0"/>
                          <w:divBdr>
                            <w:top w:val="none" w:sz="0" w:space="0" w:color="auto"/>
                            <w:left w:val="none" w:sz="0" w:space="0" w:color="auto"/>
                            <w:bottom w:val="none" w:sz="0" w:space="0" w:color="auto"/>
                            <w:right w:val="none" w:sz="0" w:space="0" w:color="auto"/>
                          </w:divBdr>
                          <w:divsChild>
                            <w:div w:id="1737166903">
                              <w:marLeft w:val="0"/>
                              <w:marRight w:val="0"/>
                              <w:marTop w:val="0"/>
                              <w:marBottom w:val="0"/>
                              <w:divBdr>
                                <w:top w:val="none" w:sz="0" w:space="0" w:color="auto"/>
                                <w:left w:val="none" w:sz="0" w:space="0" w:color="auto"/>
                                <w:bottom w:val="none" w:sz="0" w:space="0" w:color="auto"/>
                                <w:right w:val="none" w:sz="0" w:space="0" w:color="auto"/>
                              </w:divBdr>
                              <w:divsChild>
                                <w:div w:id="182681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87529437">
      <w:bodyDiv w:val="1"/>
      <w:marLeft w:val="360"/>
      <w:marRight w:val="360"/>
      <w:marTop w:val="360"/>
      <w:marBottom w:val="36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628ED-6357-4694-B47E-D53219252E05}">
  <ds:schemaRefs>
    <ds:schemaRef ds:uri="http://schemas.openxmlformats.org/officeDocument/2006/bibliography"/>
  </ds:schemaRefs>
</ds:datastoreItem>
</file>

<file path=customXml/itemProps2.xml><?xml version="1.0" encoding="utf-8"?>
<ds:datastoreItem xmlns:ds="http://schemas.openxmlformats.org/officeDocument/2006/customXml" ds:itemID="{6DBCB57B-1FB1-4272-A448-964214396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57</TotalTime>
  <Pages>17</Pages>
  <Words>6504</Words>
  <Characters>35039</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Crown use and acquisition</vt:lpstr>
    </vt:vector>
  </TitlesOfParts>
  <Company>Productivity Commission</Company>
  <LinksUpToDate>false</LinksUpToDate>
  <CharactersWithSpaces>41461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Crown use and acquisition</dc:title>
  <dc:subject>Compulsory Licensing of Patents</dc:subject>
  <dc:creator>Productivity Commission</dc:creator>
  <dc:description>7.</dc:description>
  <cp:lastModifiedBy>Goss, Yvette</cp:lastModifiedBy>
  <cp:revision>11</cp:revision>
  <cp:lastPrinted>2012-12-05T05:31:00Z</cp:lastPrinted>
  <dcterms:created xsi:type="dcterms:W3CDTF">2012-12-03T05:45:00Z</dcterms:created>
  <dcterms:modified xsi:type="dcterms:W3CDTF">2012-12-05T05:31:00Z</dcterms:modified>
</cp:coreProperties>
</file>