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225A4B" w:rsidP="00225A4B">
      <w:pPr>
        <w:pStyle w:val="Heading1"/>
        <w:spacing w:before="0"/>
      </w:pPr>
      <w:bookmarkStart w:id="0" w:name="_References"/>
      <w:bookmarkStart w:id="1" w:name="ChapterTitle"/>
      <w:bookmarkEnd w:id="0"/>
      <w:r>
        <w:t>References</w:t>
      </w:r>
      <w:bookmarkEnd w:id="1"/>
    </w:p>
    <w:p w:rsidR="007640A2" w:rsidRDefault="007640A2" w:rsidP="007640A2">
      <w:pPr>
        <w:pStyle w:val="Reference"/>
      </w:pPr>
      <w:bookmarkStart w:id="2" w:name="begin"/>
      <w:bookmarkEnd w:id="2"/>
      <w:r>
        <w:t xml:space="preserve">ABS (Australian Bureau of Statistics) 2012, </w:t>
      </w:r>
      <w:r w:rsidRPr="00E36247">
        <w:rPr>
          <w:i/>
        </w:rPr>
        <w:t xml:space="preserve">Australian National Accounts: National Income, Expenditure and Product, </w:t>
      </w:r>
      <w:r>
        <w:t xml:space="preserve">Cat. no. 5206.0, Canberra. </w:t>
      </w:r>
    </w:p>
    <w:p w:rsidR="00844EF9" w:rsidRDefault="003F4E4D" w:rsidP="003F4E4D">
      <w:pPr>
        <w:pStyle w:val="Reference"/>
      </w:pPr>
      <w:proofErr w:type="spellStart"/>
      <w:r>
        <w:t>ACCC</w:t>
      </w:r>
      <w:proofErr w:type="spellEnd"/>
      <w:r>
        <w:t xml:space="preserve"> </w:t>
      </w:r>
      <w:proofErr w:type="spellStart"/>
      <w:r w:rsidR="00844EF9">
        <w:t>1997a</w:t>
      </w:r>
      <w:proofErr w:type="spellEnd"/>
      <w:r w:rsidR="00844EF9">
        <w:t xml:space="preserve">, </w:t>
      </w:r>
      <w:r w:rsidR="00844EF9" w:rsidRPr="00DE157D">
        <w:rPr>
          <w:i/>
        </w:rPr>
        <w:t xml:space="preserve">Telephone </w:t>
      </w:r>
      <w:r w:rsidR="00844EF9">
        <w:rPr>
          <w:i/>
        </w:rPr>
        <w:t>D</w:t>
      </w:r>
      <w:r w:rsidR="00844EF9" w:rsidRPr="00DE157D">
        <w:rPr>
          <w:i/>
        </w:rPr>
        <w:t xml:space="preserve">irectory </w:t>
      </w:r>
      <w:r w:rsidR="00844EF9">
        <w:rPr>
          <w:i/>
        </w:rPr>
        <w:t>D</w:t>
      </w:r>
      <w:r w:rsidR="00844EF9" w:rsidRPr="00DE157D">
        <w:rPr>
          <w:i/>
        </w:rPr>
        <w:t xml:space="preserve">ata </w:t>
      </w:r>
      <w:r w:rsidR="00844EF9">
        <w:rPr>
          <w:i/>
        </w:rPr>
        <w:t>N</w:t>
      </w:r>
      <w:r w:rsidR="00844EF9" w:rsidRPr="00DE157D">
        <w:rPr>
          <w:i/>
        </w:rPr>
        <w:t xml:space="preserve">ow </w:t>
      </w:r>
      <w:r w:rsidR="00844EF9">
        <w:rPr>
          <w:i/>
        </w:rPr>
        <w:t>A</w:t>
      </w:r>
      <w:r w:rsidR="00844EF9" w:rsidRPr="00DE157D">
        <w:rPr>
          <w:i/>
        </w:rPr>
        <w:t xml:space="preserve">ccessible to </w:t>
      </w:r>
      <w:r w:rsidR="00844EF9">
        <w:rPr>
          <w:i/>
        </w:rPr>
        <w:t>A</w:t>
      </w:r>
      <w:r w:rsidR="00844EF9" w:rsidRPr="00DE157D">
        <w:rPr>
          <w:i/>
        </w:rPr>
        <w:t>ll</w:t>
      </w:r>
      <w:r w:rsidR="00844EF9">
        <w:t xml:space="preserve">, </w:t>
      </w:r>
      <w:r w:rsidR="00844EF9" w:rsidRPr="00464F74">
        <w:t>http://www.accc.gov.au/content/index.phtml/itemId/87148/fromItemId/378004</w:t>
      </w:r>
      <w:r w:rsidR="00844EF9">
        <w:t xml:space="preserve"> (accessed 27 November 2012).</w:t>
      </w:r>
    </w:p>
    <w:p w:rsidR="00ED3852" w:rsidRDefault="00844EF9" w:rsidP="003F4E4D">
      <w:pPr>
        <w:pStyle w:val="Reference"/>
      </w:pPr>
      <w:r>
        <w:t>—— </w:t>
      </w:r>
      <w:proofErr w:type="spellStart"/>
      <w:r>
        <w:t>1997b</w:t>
      </w:r>
      <w:proofErr w:type="spellEnd"/>
      <w:r>
        <w:t xml:space="preserve">, </w:t>
      </w:r>
      <w:r>
        <w:rPr>
          <w:i/>
        </w:rPr>
        <w:t>Weather Court Case Settled</w:t>
      </w:r>
      <w:r>
        <w:t xml:space="preserve">, </w:t>
      </w:r>
      <w:r w:rsidRPr="00464F74">
        <w:t>http://</w:t>
      </w:r>
      <w:proofErr w:type="spellStart"/>
      <w:r w:rsidRPr="00464F74">
        <w:t>www.accc.gov.au</w:t>
      </w:r>
      <w:proofErr w:type="spellEnd"/>
      <w:r w:rsidRPr="00464F74">
        <w:t>/content/</w:t>
      </w:r>
      <w:r>
        <w:t xml:space="preserve"> </w:t>
      </w:r>
      <w:proofErr w:type="spellStart"/>
      <w:r w:rsidRPr="00464F74">
        <w:t>index.phtml</w:t>
      </w:r>
      <w:proofErr w:type="spellEnd"/>
      <w:r w:rsidRPr="00464F74">
        <w:t>/</w:t>
      </w:r>
      <w:proofErr w:type="spellStart"/>
      <w:r w:rsidRPr="00464F74">
        <w:t>itemId</w:t>
      </w:r>
      <w:proofErr w:type="spellEnd"/>
      <w:r w:rsidRPr="00464F74">
        <w:t>/87108/</w:t>
      </w:r>
      <w:proofErr w:type="spellStart"/>
      <w:r w:rsidRPr="00464F74">
        <w:t>fromItemId</w:t>
      </w:r>
      <w:proofErr w:type="spellEnd"/>
      <w:r w:rsidRPr="00464F74">
        <w:t>/378004</w:t>
      </w:r>
      <w:r>
        <w:t xml:space="preserve"> (accessed 27 November 2012).</w:t>
      </w:r>
    </w:p>
    <w:p w:rsidR="003F4E4D" w:rsidRDefault="00844EF9" w:rsidP="003F4E4D">
      <w:pPr>
        <w:pStyle w:val="Reference"/>
      </w:pPr>
      <w:r>
        <w:t>—— </w:t>
      </w:r>
      <w:r w:rsidR="003F4E4D">
        <w:t xml:space="preserve">2004, </w:t>
      </w:r>
      <w:r w:rsidR="003F4E4D">
        <w:rPr>
          <w:i/>
        </w:rPr>
        <w:t>Annual Report 2003-04</w:t>
      </w:r>
      <w:r w:rsidR="003F4E4D">
        <w:t xml:space="preserve">, </w:t>
      </w:r>
      <w:r w:rsidR="003F4E4D" w:rsidRPr="00E051DA">
        <w:t>http://</w:t>
      </w:r>
      <w:proofErr w:type="spellStart"/>
      <w:r w:rsidR="003F4E4D" w:rsidRPr="00E051DA">
        <w:t>www.accc.gov.au</w:t>
      </w:r>
      <w:proofErr w:type="spellEnd"/>
      <w:r w:rsidR="003F4E4D" w:rsidRPr="00E051DA">
        <w:t>/content/</w:t>
      </w:r>
      <w:proofErr w:type="spellStart"/>
      <w:r w:rsidR="003F4E4D" w:rsidRPr="00E051DA">
        <w:t>index.phtml</w:t>
      </w:r>
      <w:proofErr w:type="spellEnd"/>
      <w:r w:rsidR="003F4E4D" w:rsidRPr="00E051DA">
        <w:t>/</w:t>
      </w:r>
      <w:r w:rsidR="003F4E4D">
        <w:t xml:space="preserve"> </w:t>
      </w:r>
      <w:proofErr w:type="spellStart"/>
      <w:r w:rsidR="003F4E4D" w:rsidRPr="00E051DA">
        <w:t>itemId</w:t>
      </w:r>
      <w:proofErr w:type="spellEnd"/>
      <w:r w:rsidR="003F4E4D" w:rsidRPr="00E051DA">
        <w:t>/607851</w:t>
      </w:r>
      <w:r w:rsidR="003F4E4D">
        <w:t xml:space="preserve"> (accessed 27 November 2012).</w:t>
      </w:r>
    </w:p>
    <w:p w:rsidR="003F4E4D" w:rsidRDefault="00844EF9" w:rsidP="003F4E4D">
      <w:pPr>
        <w:pStyle w:val="Reference"/>
      </w:pPr>
      <w:r>
        <w:t xml:space="preserve">—— 2012, </w:t>
      </w:r>
      <w:proofErr w:type="spellStart"/>
      <w:r w:rsidRPr="00DE157D">
        <w:rPr>
          <w:i/>
        </w:rPr>
        <w:t>ACCC</w:t>
      </w:r>
      <w:proofErr w:type="spellEnd"/>
      <w:r w:rsidRPr="00DE157D">
        <w:rPr>
          <w:i/>
        </w:rPr>
        <w:t xml:space="preserve"> submission to the </w:t>
      </w:r>
      <w:proofErr w:type="spellStart"/>
      <w:r w:rsidRPr="00DE157D">
        <w:rPr>
          <w:i/>
        </w:rPr>
        <w:t>ALRC</w:t>
      </w:r>
      <w:proofErr w:type="spellEnd"/>
      <w:r w:rsidRPr="00DE157D">
        <w:rPr>
          <w:i/>
        </w:rPr>
        <w:t xml:space="preserve"> Copyright and the Digital Economy Issues Paper</w:t>
      </w:r>
      <w:r>
        <w:t xml:space="preserve">, </w:t>
      </w:r>
      <w:r w:rsidRPr="00E051DA">
        <w:t>http://www.alrc.gov.au/sites/default/files/subs/165._org_accc.pdf</w:t>
      </w:r>
      <w:r>
        <w:t xml:space="preserve"> (accessed 27 November 2012).</w:t>
      </w:r>
    </w:p>
    <w:p w:rsidR="008F3EE9" w:rsidRDefault="00931C76" w:rsidP="00931C76">
      <w:pPr>
        <w:pStyle w:val="Reference"/>
      </w:pPr>
      <w:proofErr w:type="spellStart"/>
      <w:r w:rsidRPr="005F2C0D">
        <w:t>ACIP</w:t>
      </w:r>
      <w:proofErr w:type="spellEnd"/>
      <w:r w:rsidRPr="005F2C0D">
        <w:t xml:space="preserve"> (Advisory Council on Intellectual Property) </w:t>
      </w:r>
      <w:r w:rsidR="008F3EE9">
        <w:t xml:space="preserve">2003, </w:t>
      </w:r>
      <w:r w:rsidR="008F3EE9" w:rsidRPr="00D14179">
        <w:rPr>
          <w:i/>
        </w:rPr>
        <w:t>Should the jurisdiction of the Federal Magistrates Service be extended to include patent, trade mark and design matters?</w:t>
      </w:r>
      <w:r w:rsidR="008F3EE9">
        <w:t>, Australian Government, Canberra.</w:t>
      </w:r>
    </w:p>
    <w:p w:rsidR="00931C76" w:rsidRDefault="008F3EE9" w:rsidP="00931C76">
      <w:pPr>
        <w:pStyle w:val="Reference"/>
      </w:pPr>
      <w:r>
        <w:t>—— </w:t>
      </w:r>
      <w:proofErr w:type="spellStart"/>
      <w:r w:rsidR="00931C76" w:rsidRPr="005F2C0D">
        <w:t>2005</w:t>
      </w:r>
      <w:r w:rsidR="0090141B">
        <w:t>a</w:t>
      </w:r>
      <w:proofErr w:type="spellEnd"/>
      <w:r w:rsidR="00931C76" w:rsidRPr="005F2C0D">
        <w:t xml:space="preserve">, </w:t>
      </w:r>
      <w:r w:rsidR="00931C76" w:rsidRPr="005F2C0D">
        <w:rPr>
          <w:i/>
        </w:rPr>
        <w:t>Review of Crown Use Provisions for Patents and Designs,</w:t>
      </w:r>
      <w:r w:rsidR="00931C76" w:rsidRPr="005F2C0D">
        <w:t xml:space="preserve"> Australian Government, Canberra.</w:t>
      </w:r>
    </w:p>
    <w:p w:rsidR="0090141B" w:rsidRPr="005F2C0D" w:rsidRDefault="0090141B" w:rsidP="00931C76">
      <w:pPr>
        <w:pStyle w:val="Reference"/>
      </w:pPr>
      <w:r>
        <w:t>—— </w:t>
      </w:r>
      <w:proofErr w:type="spellStart"/>
      <w:r>
        <w:t>2005b</w:t>
      </w:r>
      <w:proofErr w:type="spellEnd"/>
      <w:r>
        <w:t xml:space="preserve">, </w:t>
      </w:r>
      <w:r w:rsidRPr="00840659">
        <w:rPr>
          <w:i/>
        </w:rPr>
        <w:t xml:space="preserve">Review of </w:t>
      </w:r>
      <w:r>
        <w:rPr>
          <w:i/>
        </w:rPr>
        <w:t>Patents and Experimental Use</w:t>
      </w:r>
      <w:r w:rsidRPr="00811A48">
        <w:rPr>
          <w:i/>
        </w:rPr>
        <w:t>,</w:t>
      </w:r>
      <w:r>
        <w:t xml:space="preserve"> Australian Government, Canberra.</w:t>
      </w:r>
    </w:p>
    <w:p w:rsidR="007443BC" w:rsidRDefault="00931C76" w:rsidP="00716324">
      <w:pPr>
        <w:pStyle w:val="Reference"/>
      </w:pPr>
      <w:r>
        <w:t>—— </w:t>
      </w:r>
      <w:proofErr w:type="spellStart"/>
      <w:r w:rsidR="007443BC">
        <w:t>2010a</w:t>
      </w:r>
      <w:proofErr w:type="spellEnd"/>
      <w:r w:rsidR="007443BC">
        <w:t xml:space="preserve">, </w:t>
      </w:r>
      <w:r w:rsidR="007443BC" w:rsidRPr="004C1471">
        <w:rPr>
          <w:i/>
        </w:rPr>
        <w:t>A review of enforcement of Plant Breeder’s Rights</w:t>
      </w:r>
      <w:r w:rsidR="007443BC">
        <w:t>, final report, January, Canberra.</w:t>
      </w:r>
    </w:p>
    <w:p w:rsidR="00931C76" w:rsidRDefault="007443BC" w:rsidP="00716324">
      <w:pPr>
        <w:pStyle w:val="Reference"/>
      </w:pPr>
      <w:r>
        <w:t>—— </w:t>
      </w:r>
      <w:proofErr w:type="spellStart"/>
      <w:r w:rsidR="00716324">
        <w:t>2010</w:t>
      </w:r>
      <w:r>
        <w:t>b</w:t>
      </w:r>
      <w:proofErr w:type="spellEnd"/>
      <w:r w:rsidR="00716324" w:rsidRPr="00001E1B">
        <w:t xml:space="preserve">, </w:t>
      </w:r>
      <w:r w:rsidR="00931C76" w:rsidRPr="005F2C0D">
        <w:rPr>
          <w:i/>
        </w:rPr>
        <w:t>Completed Reviews: Consideration of Crown Use Provisions for Patents and Designs</w:t>
      </w:r>
      <w:r w:rsidR="00931C76" w:rsidRPr="005F2C0D">
        <w:t>, http://</w:t>
      </w:r>
      <w:proofErr w:type="spellStart"/>
      <w:r w:rsidR="00931C76" w:rsidRPr="005F2C0D">
        <w:t>www.acip.gov.au</w:t>
      </w:r>
      <w:proofErr w:type="spellEnd"/>
      <w:r w:rsidR="00931C76" w:rsidRPr="005F2C0D">
        <w:t>/</w:t>
      </w:r>
      <w:proofErr w:type="spellStart"/>
      <w:r w:rsidR="00931C76" w:rsidRPr="005F2C0D">
        <w:t>reviews_completed.html#crown</w:t>
      </w:r>
      <w:proofErr w:type="spellEnd"/>
      <w:r w:rsidR="00931C76" w:rsidRPr="005F2C0D">
        <w:t xml:space="preserve"> (accessed 27 July 2012).</w:t>
      </w:r>
    </w:p>
    <w:p w:rsidR="00716324" w:rsidRDefault="00931C76" w:rsidP="00716324">
      <w:pPr>
        <w:pStyle w:val="Reference"/>
      </w:pPr>
      <w:r>
        <w:t>—— </w:t>
      </w:r>
      <w:proofErr w:type="spellStart"/>
      <w:r>
        <w:t>2010c</w:t>
      </w:r>
      <w:proofErr w:type="spellEnd"/>
      <w:r>
        <w:t xml:space="preserve">, </w:t>
      </w:r>
      <w:r w:rsidR="00716324">
        <w:rPr>
          <w:i/>
        </w:rPr>
        <w:t>Patentable Subject Matter</w:t>
      </w:r>
      <w:r w:rsidR="00716324">
        <w:t>, Australian Government, Canberra.</w:t>
      </w:r>
    </w:p>
    <w:p w:rsidR="00716324" w:rsidRDefault="007664CD" w:rsidP="00716324">
      <w:pPr>
        <w:pStyle w:val="Reference"/>
      </w:pPr>
      <w:r>
        <w:t>—— </w:t>
      </w:r>
      <w:r w:rsidR="00716324">
        <w:t xml:space="preserve">2011, </w:t>
      </w:r>
      <w:r w:rsidR="00716324">
        <w:rPr>
          <w:i/>
        </w:rPr>
        <w:t>Review of the Innovation Patent System</w:t>
      </w:r>
      <w:r w:rsidR="00716324">
        <w:t xml:space="preserve">, Issues Paper, </w:t>
      </w:r>
      <w:r w:rsidR="003E3F8F">
        <w:t xml:space="preserve">Australian Government, </w:t>
      </w:r>
      <w:r w:rsidR="00716324">
        <w:t>Canberra.</w:t>
      </w:r>
    </w:p>
    <w:p w:rsidR="00DA0935" w:rsidRDefault="000334B2" w:rsidP="00716324">
      <w:pPr>
        <w:pStyle w:val="Reference"/>
      </w:pPr>
      <w:r>
        <w:t>Attorney-General's Department</w:t>
      </w:r>
      <w:r w:rsidR="00DA0935" w:rsidRPr="00DE157D">
        <w:t xml:space="preserve"> </w:t>
      </w:r>
      <w:proofErr w:type="spellStart"/>
      <w:r w:rsidR="00DA0935" w:rsidRPr="00DE157D">
        <w:t>nd</w:t>
      </w:r>
      <w:proofErr w:type="spellEnd"/>
      <w:r w:rsidR="00DA0935" w:rsidRPr="00DE157D">
        <w:t xml:space="preserve">, </w:t>
      </w:r>
      <w:r w:rsidR="00DA0935" w:rsidRPr="00DE157D">
        <w:rPr>
          <w:i/>
        </w:rPr>
        <w:t>Government Response to Intellectual Property and Competition Review Recommendations</w:t>
      </w:r>
      <w:r w:rsidR="00DA0935">
        <w:t xml:space="preserve">, </w:t>
      </w:r>
      <w:proofErr w:type="spellStart"/>
      <w:r w:rsidR="00DA0935" w:rsidRPr="00DE157D">
        <w:rPr>
          <w:rStyle w:val="ReferenceChar"/>
        </w:rPr>
        <w:t>www.ag.gov.au</w:t>
      </w:r>
      <w:proofErr w:type="spellEnd"/>
      <w:r w:rsidR="00DA0935" w:rsidRPr="00DE157D">
        <w:rPr>
          <w:rStyle w:val="ReferenceChar"/>
        </w:rPr>
        <w:t>/Documents</w:t>
      </w:r>
      <w:r>
        <w:rPr>
          <w:rStyle w:val="ReferenceChar"/>
        </w:rPr>
        <w:t xml:space="preserve"> </w:t>
      </w:r>
      <w:r w:rsidR="00DA0935" w:rsidRPr="00DE157D">
        <w:rPr>
          <w:rStyle w:val="ReferenceChar"/>
        </w:rPr>
        <w:t>/</w:t>
      </w:r>
      <w:proofErr w:type="spellStart"/>
      <w:r w:rsidR="00DA0935" w:rsidRPr="00DE157D">
        <w:rPr>
          <w:rStyle w:val="ReferenceChar"/>
        </w:rPr>
        <w:t>GovtResponse%20IPCR.doc</w:t>
      </w:r>
      <w:proofErr w:type="spellEnd"/>
      <w:r w:rsidR="003E3F8F">
        <w:rPr>
          <w:rStyle w:val="ReferenceChar"/>
        </w:rPr>
        <w:t xml:space="preserve"> (accessed </w:t>
      </w:r>
      <w:r w:rsidR="00DA0935">
        <w:rPr>
          <w:rStyle w:val="ReferenceChar"/>
        </w:rPr>
        <w:t>26 November 2012).</w:t>
      </w:r>
    </w:p>
    <w:p w:rsidR="00E46A78" w:rsidRPr="00F60D8E" w:rsidRDefault="00E46A78" w:rsidP="00E46A78">
      <w:pPr>
        <w:pStyle w:val="Reference"/>
        <w:rPr>
          <w:szCs w:val="26"/>
        </w:rPr>
      </w:pPr>
      <w:proofErr w:type="spellStart"/>
      <w:r>
        <w:rPr>
          <w:szCs w:val="26"/>
        </w:rPr>
        <w:lastRenderedPageBreak/>
        <w:t>AGCM</w:t>
      </w:r>
      <w:proofErr w:type="spellEnd"/>
      <w:r>
        <w:rPr>
          <w:szCs w:val="26"/>
        </w:rPr>
        <w:t xml:space="preserve"> (Italian Competition Authority) 2006, </w:t>
      </w:r>
      <w:proofErr w:type="spellStart"/>
      <w:r w:rsidRPr="006316E2">
        <w:rPr>
          <w:i/>
          <w:szCs w:val="26"/>
        </w:rPr>
        <w:t>A363</w:t>
      </w:r>
      <w:proofErr w:type="spellEnd"/>
      <w:r w:rsidRPr="006316E2">
        <w:rPr>
          <w:i/>
          <w:szCs w:val="26"/>
        </w:rPr>
        <w:t xml:space="preserve"> — </w:t>
      </w:r>
      <w:proofErr w:type="spellStart"/>
      <w:r w:rsidRPr="006316E2">
        <w:rPr>
          <w:i/>
          <w:szCs w:val="26"/>
        </w:rPr>
        <w:t>Glaxo</w:t>
      </w:r>
      <w:proofErr w:type="spellEnd"/>
      <w:r w:rsidRPr="006316E2">
        <w:rPr>
          <w:i/>
          <w:szCs w:val="26"/>
        </w:rPr>
        <w:t xml:space="preserve"> Active</w:t>
      </w:r>
      <w:r>
        <w:rPr>
          <w:szCs w:val="26"/>
        </w:rPr>
        <w:t xml:space="preserve">, case </w:t>
      </w:r>
      <w:proofErr w:type="spellStart"/>
      <w:r>
        <w:rPr>
          <w:szCs w:val="26"/>
        </w:rPr>
        <w:t>A363</w:t>
      </w:r>
      <w:proofErr w:type="spellEnd"/>
      <w:r>
        <w:rPr>
          <w:szCs w:val="26"/>
        </w:rPr>
        <w:t>, Rome.</w:t>
      </w:r>
    </w:p>
    <w:p w:rsidR="00E46A78" w:rsidRDefault="00E46A78" w:rsidP="00E46A78">
      <w:pPr>
        <w:pStyle w:val="Reference"/>
      </w:pPr>
      <w:proofErr w:type="spellStart"/>
      <w:r>
        <w:t>AIHW</w:t>
      </w:r>
      <w:proofErr w:type="spellEnd"/>
      <w:r>
        <w:t xml:space="preserve"> (Australian Institute of Health and Welfare) 2012, </w:t>
      </w:r>
      <w:r w:rsidRPr="00463470">
        <w:rPr>
          <w:i/>
        </w:rPr>
        <w:t>Health Expenditure Australia 2010-11</w:t>
      </w:r>
      <w:r>
        <w:t>, Health and welfare expenditure series, no. 47, Canberra.</w:t>
      </w:r>
    </w:p>
    <w:p w:rsidR="00E46A78" w:rsidRDefault="00E46A78" w:rsidP="00E46A78">
      <w:pPr>
        <w:pStyle w:val="Reference"/>
      </w:pPr>
      <w:proofErr w:type="spellStart"/>
      <w:r>
        <w:t>ALRC</w:t>
      </w:r>
      <w:proofErr w:type="spellEnd"/>
      <w:r>
        <w:t xml:space="preserve"> (Australian Law Reform Commission) 2004, </w:t>
      </w:r>
      <w:r>
        <w:rPr>
          <w:i/>
        </w:rPr>
        <w:t>Genes and Ingenuity: Gene Patenting and Human Health</w:t>
      </w:r>
      <w:r>
        <w:t>, Report no. 99, Sydney.</w:t>
      </w:r>
    </w:p>
    <w:p w:rsidR="009D1354" w:rsidRDefault="009D1354" w:rsidP="00E46A78">
      <w:pPr>
        <w:pStyle w:val="Reference"/>
      </w:pPr>
      <w:proofErr w:type="spellStart"/>
      <w:r>
        <w:t>Anderman</w:t>
      </w:r>
      <w:proofErr w:type="spellEnd"/>
      <w:r>
        <w:t xml:space="preserve">, S. and Schmidt, H. 2007, </w:t>
      </w:r>
      <w:r w:rsidR="003E3F8F">
        <w:t>‘</w:t>
      </w:r>
      <w:r w:rsidR="007423E0">
        <w:t>EC competition p</w:t>
      </w:r>
      <w:r w:rsidRPr="003E3F8F">
        <w:t xml:space="preserve">olicy and </w:t>
      </w:r>
      <w:proofErr w:type="spellStart"/>
      <w:r w:rsidRPr="003E3F8F">
        <w:t>IPRs</w:t>
      </w:r>
      <w:proofErr w:type="spellEnd"/>
      <w:r w:rsidR="003E3F8F" w:rsidRPr="003E3F8F">
        <w:t>’</w:t>
      </w:r>
      <w:r>
        <w:t xml:space="preserve">, in </w:t>
      </w:r>
      <w:proofErr w:type="spellStart"/>
      <w:r>
        <w:t>Anderman</w:t>
      </w:r>
      <w:proofErr w:type="spellEnd"/>
      <w:r>
        <w:t>, S. (</w:t>
      </w:r>
      <w:proofErr w:type="spellStart"/>
      <w:r>
        <w:t>ed</w:t>
      </w:r>
      <w:proofErr w:type="spellEnd"/>
      <w:r>
        <w:t xml:space="preserve">), </w:t>
      </w:r>
      <w:r>
        <w:rPr>
          <w:i/>
        </w:rPr>
        <w:t>The Interface between Intellectual Property Rights and Competition Policy</w:t>
      </w:r>
      <w:r>
        <w:t>, Cambridge University Press, Cambridge.</w:t>
      </w:r>
    </w:p>
    <w:p w:rsidR="00AE1D82" w:rsidRDefault="00AE1D82" w:rsidP="00716324">
      <w:pPr>
        <w:pStyle w:val="Reference"/>
      </w:pPr>
      <w:r>
        <w:t xml:space="preserve">Andrews, L., Paradise, J., Holbrook, T. and </w:t>
      </w:r>
      <w:proofErr w:type="spellStart"/>
      <w:r>
        <w:t>Bochneak</w:t>
      </w:r>
      <w:proofErr w:type="spellEnd"/>
      <w:r>
        <w:t xml:space="preserve">, D. 2006, ‘When patents threaten science’, </w:t>
      </w:r>
      <w:r w:rsidRPr="00AE707D">
        <w:rPr>
          <w:i/>
        </w:rPr>
        <w:t>Science</w:t>
      </w:r>
      <w:r>
        <w:t>, vol. 314, no. 5804, pp. 13</w:t>
      </w:r>
      <w:r w:rsidR="003E3F8F">
        <w:t>95–</w:t>
      </w:r>
      <w:r>
        <w:t>1396.</w:t>
      </w:r>
    </w:p>
    <w:p w:rsidR="00716324" w:rsidRDefault="00716324" w:rsidP="00716324">
      <w:pPr>
        <w:pStyle w:val="Reference"/>
      </w:pPr>
      <w:r>
        <w:t xml:space="preserve">Aoki, R. and Small, J. 2004, ‘Compulsory licensing of technology and the essential facilities doctrine’, </w:t>
      </w:r>
      <w:r w:rsidRPr="004F1773">
        <w:rPr>
          <w:i/>
        </w:rPr>
        <w:t>Information Economics and Policy</w:t>
      </w:r>
      <w:r>
        <w:t>, vol. 16, pp. 13–29.</w:t>
      </w:r>
    </w:p>
    <w:p w:rsidR="00BE7A34" w:rsidRDefault="00BE7A34" w:rsidP="00716324">
      <w:pPr>
        <w:pStyle w:val="Reference"/>
      </w:pPr>
      <w:r>
        <w:t xml:space="preserve">—— and Schiff, A. 2008, ‘Promoting access to intellectual property: patent pools, copyright collectives, and clearinghouses’, </w:t>
      </w:r>
      <w:r w:rsidRPr="00236A1B">
        <w:rPr>
          <w:i/>
        </w:rPr>
        <w:t>R&amp;D Management</w:t>
      </w:r>
      <w:r>
        <w:t>, vol. 38, no. 2, pp. 189–204.</w:t>
      </w:r>
    </w:p>
    <w:p w:rsidR="00BE7A34" w:rsidRDefault="00BE7A34" w:rsidP="00716324">
      <w:pPr>
        <w:pStyle w:val="Reference"/>
      </w:pPr>
      <w:proofErr w:type="spellStart"/>
      <w:r>
        <w:t>Arora</w:t>
      </w:r>
      <w:proofErr w:type="spellEnd"/>
      <w:r>
        <w:t xml:space="preserve">, A. and </w:t>
      </w:r>
      <w:proofErr w:type="spellStart"/>
      <w:r>
        <w:t>Fosfuri</w:t>
      </w:r>
      <w:proofErr w:type="spellEnd"/>
      <w:r>
        <w:t xml:space="preserve">, A. 2003, ‘Licensing the market for technology’, </w:t>
      </w:r>
      <w:r w:rsidRPr="00963605">
        <w:rPr>
          <w:i/>
        </w:rPr>
        <w:t>Journal of Economic Behaviour and Organisation</w:t>
      </w:r>
      <w:r>
        <w:t>, vol. 52, no. 2, pp. 277–295.</w:t>
      </w:r>
    </w:p>
    <w:p w:rsidR="00716324" w:rsidRPr="00526D62" w:rsidRDefault="003E3F8F" w:rsidP="00716324">
      <w:pPr>
        <w:pStyle w:val="Reference"/>
      </w:pPr>
      <w:r>
        <w:t>Arrow, K.</w:t>
      </w:r>
      <w:r w:rsidR="00716324">
        <w:t xml:space="preserve"> 1962, ‘Economic Welfare and the Allocation of Resources for Invention’, in </w:t>
      </w:r>
      <w:r w:rsidR="00716324" w:rsidRPr="005404C0">
        <w:rPr>
          <w:i/>
        </w:rPr>
        <w:t>The Rate and Direction of Inventive Activity</w:t>
      </w:r>
      <w:r w:rsidR="00716324">
        <w:rPr>
          <w:i/>
        </w:rPr>
        <w:t>: Economic and Social Factors</w:t>
      </w:r>
      <w:r w:rsidR="00716324">
        <w:t xml:space="preserve">, pp. 609–626, Princeton University Press, Princeton. </w:t>
      </w:r>
    </w:p>
    <w:p w:rsidR="00150F05" w:rsidRDefault="00716324" w:rsidP="0054004A">
      <w:pPr>
        <w:pStyle w:val="Reference"/>
      </w:pPr>
      <w:r>
        <w:t xml:space="preserve">Australian Government </w:t>
      </w:r>
      <w:r w:rsidR="00150F05">
        <w:t xml:space="preserve">1997, </w:t>
      </w:r>
      <w:r w:rsidR="00150F05" w:rsidRPr="000067B9">
        <w:rPr>
          <w:i/>
        </w:rPr>
        <w:t>Review of Legislation in the Fields of Patents, Layout-Designs (Topographies) of Integrated Circuits, Protection of Undisclosed Information and Control of Anti-competitive Practices in Contractual Licences</w:t>
      </w:r>
      <w:r w:rsidR="00150F05">
        <w:t xml:space="preserve">, Response to the </w:t>
      </w:r>
      <w:r w:rsidR="00150F05" w:rsidRPr="000067B9">
        <w:t>Council for Trade-Related Aspects</w:t>
      </w:r>
      <w:r w:rsidR="00150F05">
        <w:t xml:space="preserve"> </w:t>
      </w:r>
      <w:r w:rsidR="00150F05" w:rsidRPr="000067B9">
        <w:t>of Intellectual Property Rights</w:t>
      </w:r>
      <w:r w:rsidR="00150F05">
        <w:t>, World Trade Organisation, Geneva.</w:t>
      </w:r>
    </w:p>
    <w:p w:rsidR="0054004A" w:rsidRPr="0054004A" w:rsidRDefault="00150F05" w:rsidP="0054004A">
      <w:pPr>
        <w:pStyle w:val="Reference"/>
      </w:pPr>
      <w:r>
        <w:t>—— </w:t>
      </w:r>
      <w:r w:rsidR="0054004A" w:rsidRPr="0054004A">
        <w:t xml:space="preserve">2009, </w:t>
      </w:r>
      <w:r w:rsidR="0054004A" w:rsidRPr="0054004A">
        <w:rPr>
          <w:i/>
        </w:rPr>
        <w:t>A Strategic Framework for Access to Justice in the Federal Civil Justice System</w:t>
      </w:r>
      <w:r w:rsidR="0054004A" w:rsidRPr="0054004A">
        <w:t>, Report by the Access to Justice Taskforce,</w:t>
      </w:r>
      <w:r w:rsidR="0054004A" w:rsidRPr="0054004A">
        <w:rPr>
          <w:i/>
        </w:rPr>
        <w:t xml:space="preserve"> </w:t>
      </w:r>
      <w:r w:rsidR="0054004A" w:rsidRPr="0054004A">
        <w:t>Attorney-General’s Department, Canberra.</w:t>
      </w:r>
    </w:p>
    <w:p w:rsidR="00716324" w:rsidRDefault="0054004A" w:rsidP="00716324">
      <w:pPr>
        <w:pStyle w:val="Reference"/>
      </w:pPr>
      <w:r>
        <w:t>—— </w:t>
      </w:r>
      <w:proofErr w:type="spellStart"/>
      <w:r w:rsidR="00716324">
        <w:t>2011</w:t>
      </w:r>
      <w:r w:rsidR="00BC1D01">
        <w:t>a</w:t>
      </w:r>
      <w:proofErr w:type="spellEnd"/>
      <w:r w:rsidR="00716324">
        <w:t xml:space="preserve">, </w:t>
      </w:r>
      <w:r w:rsidR="00716324" w:rsidRPr="00F27E8F">
        <w:rPr>
          <w:i/>
        </w:rPr>
        <w:t>Australian Government Response to Senate Community Affairs References Committee Gene Patents Report</w:t>
      </w:r>
      <w:r w:rsidR="00716324">
        <w:t>, Canberra.</w:t>
      </w:r>
    </w:p>
    <w:p w:rsidR="00BC1D01" w:rsidRDefault="00BC1D01" w:rsidP="00716324">
      <w:pPr>
        <w:pStyle w:val="Reference"/>
      </w:pPr>
      <w:r>
        <w:t>—— </w:t>
      </w:r>
      <w:proofErr w:type="spellStart"/>
      <w:r w:rsidR="00095CFC">
        <w:t>2011b</w:t>
      </w:r>
      <w:proofErr w:type="spellEnd"/>
      <w:r w:rsidR="00095CFC">
        <w:t xml:space="preserve">, </w:t>
      </w:r>
      <w:r w:rsidR="00095CFC" w:rsidRPr="00EC1539">
        <w:rPr>
          <w:i/>
        </w:rPr>
        <w:t>Intellectual Property Laws Amendment (Raising the Bar) Bill 2011, Explanatory Memorandum</w:t>
      </w:r>
      <w:r w:rsidR="00095CFC" w:rsidRPr="00C756DA">
        <w:t>, The Parliament of the Commonwealth of Australia, Canberra.</w:t>
      </w:r>
    </w:p>
    <w:p w:rsidR="00B809C4" w:rsidRDefault="00B809C4" w:rsidP="00B809C4">
      <w:pPr>
        <w:pStyle w:val="Reference"/>
      </w:pPr>
      <w:r>
        <w:t>—— </w:t>
      </w:r>
      <w:r w:rsidRPr="0052311A">
        <w:t xml:space="preserve">2012, </w:t>
      </w:r>
      <w:r w:rsidRPr="0052311A">
        <w:rPr>
          <w:i/>
        </w:rPr>
        <w:t>National Food Plan: Green Paper</w:t>
      </w:r>
      <w:r w:rsidRPr="0052311A">
        <w:t>, Canberra.</w:t>
      </w:r>
    </w:p>
    <w:p w:rsidR="00BD1F46" w:rsidRPr="0052311A" w:rsidRDefault="00BD1F46" w:rsidP="00B809C4">
      <w:pPr>
        <w:pStyle w:val="Reference"/>
      </w:pPr>
      <w:r>
        <w:t xml:space="preserve">Australian Institute of Company Directors 2012, </w:t>
      </w:r>
      <w:r>
        <w:rPr>
          <w:i/>
        </w:rPr>
        <w:t>Annual Review 2011/12</w:t>
      </w:r>
      <w:r>
        <w:t>, Sydney.</w:t>
      </w:r>
    </w:p>
    <w:p w:rsidR="0056740D" w:rsidRDefault="0056740D" w:rsidP="0056740D">
      <w:pPr>
        <w:pStyle w:val="Reference"/>
        <w:rPr>
          <w:szCs w:val="26"/>
        </w:rPr>
      </w:pPr>
      <w:r w:rsidRPr="0056740D">
        <w:rPr>
          <w:szCs w:val="26"/>
        </w:rPr>
        <w:lastRenderedPageBreak/>
        <w:t xml:space="preserve">Australian and New Zealand Productivity Commissions 2012, </w:t>
      </w:r>
      <w:r w:rsidRPr="0056740D">
        <w:rPr>
          <w:i/>
          <w:szCs w:val="26"/>
        </w:rPr>
        <w:t>Strengthening Trans</w:t>
      </w:r>
      <w:r w:rsidR="000D667F">
        <w:rPr>
          <w:i/>
          <w:szCs w:val="26"/>
        </w:rPr>
        <w:t>—</w:t>
      </w:r>
      <w:r w:rsidRPr="0056740D">
        <w:rPr>
          <w:i/>
          <w:szCs w:val="26"/>
        </w:rPr>
        <w:t>Tasman Economic Relations</w:t>
      </w:r>
      <w:r w:rsidR="002F0421">
        <w:rPr>
          <w:szCs w:val="26"/>
        </w:rPr>
        <w:t>, Discussion Draft, September.</w:t>
      </w:r>
    </w:p>
    <w:p w:rsidR="002F0421" w:rsidRPr="002F0421" w:rsidRDefault="002F0421" w:rsidP="0056740D">
      <w:pPr>
        <w:pStyle w:val="Reference"/>
      </w:pPr>
      <w:r>
        <w:t xml:space="preserve">Baldwin, B. 2006 (Minister for Industry Tourism and Resources), </w:t>
      </w:r>
      <w:r w:rsidRPr="00DE157D">
        <w:rPr>
          <w:i/>
        </w:rPr>
        <w:t>Intellectual Property Laws Amendment Bill 2006</w:t>
      </w:r>
      <w:r>
        <w:t>,</w:t>
      </w:r>
      <w:r w:rsidRPr="00DE157D">
        <w:rPr>
          <w:i/>
        </w:rPr>
        <w:t xml:space="preserve"> </w:t>
      </w:r>
      <w:r w:rsidRPr="00DE157D">
        <w:t>Further Explanatory Memorandum</w:t>
      </w:r>
      <w:r>
        <w:t xml:space="preserve">, </w:t>
      </w:r>
      <w:r w:rsidRPr="00464F74">
        <w:t>http://www.austlii.edu.au/au/legis/cth/bill_em/iplab2006409/memo_1.html</w:t>
      </w:r>
      <w:r>
        <w:t xml:space="preserve"> (accessed 27 November 2012). </w:t>
      </w:r>
    </w:p>
    <w:p w:rsidR="008C7728" w:rsidRDefault="008C7728" w:rsidP="0056740D">
      <w:pPr>
        <w:pStyle w:val="Reference"/>
        <w:rPr>
          <w:szCs w:val="26"/>
        </w:rPr>
      </w:pPr>
      <w:r w:rsidRPr="008C7728">
        <w:rPr>
          <w:szCs w:val="26"/>
        </w:rPr>
        <w:t xml:space="preserve">Barbosa, D. and </w:t>
      </w:r>
      <w:proofErr w:type="spellStart"/>
      <w:r w:rsidRPr="008C7728">
        <w:rPr>
          <w:szCs w:val="26"/>
        </w:rPr>
        <w:t>Grau</w:t>
      </w:r>
      <w:proofErr w:type="spellEnd"/>
      <w:r w:rsidRPr="008C7728">
        <w:rPr>
          <w:szCs w:val="26"/>
        </w:rPr>
        <w:t xml:space="preserve">-Kuntz, K. 2010, </w:t>
      </w:r>
      <w:r w:rsidRPr="008C7728">
        <w:rPr>
          <w:i/>
          <w:szCs w:val="26"/>
        </w:rPr>
        <w:t>Annex III, Exclusions from patentable subject matter and exceptions and limitations to the rights: biotechnology</w:t>
      </w:r>
      <w:r w:rsidRPr="008C7728">
        <w:rPr>
          <w:szCs w:val="26"/>
        </w:rPr>
        <w:t>, World Intellectual Property Organization.</w:t>
      </w:r>
    </w:p>
    <w:p w:rsidR="00A249E5" w:rsidRPr="00A249E5" w:rsidRDefault="00A249E5" w:rsidP="0056740D">
      <w:pPr>
        <w:pStyle w:val="Reference"/>
      </w:pPr>
      <w:r>
        <w:t xml:space="preserve">Barton, J. 2007, </w:t>
      </w:r>
      <w:r w:rsidRPr="00377F03">
        <w:rPr>
          <w:i/>
        </w:rPr>
        <w:t>Intellectual Property and Access to Clean Energy Technologies in Developing Countries: An Analysis of Solar Photovoltaic, Biofuel and Wind Technologies</w:t>
      </w:r>
      <w:r>
        <w:t>, Issues paper no. 2, International Centre for Trade and Sustainable Development, Geneva.</w:t>
      </w:r>
    </w:p>
    <w:p w:rsidR="009302D5" w:rsidRPr="009302D5" w:rsidRDefault="009302D5" w:rsidP="0056740D">
      <w:pPr>
        <w:pStyle w:val="Reference"/>
      </w:pPr>
      <w:proofErr w:type="spellStart"/>
      <w:r>
        <w:t>Basheer</w:t>
      </w:r>
      <w:proofErr w:type="spellEnd"/>
      <w:r>
        <w:t xml:space="preserve">, S., </w:t>
      </w:r>
      <w:proofErr w:type="spellStart"/>
      <w:r>
        <w:t>Purohit</w:t>
      </w:r>
      <w:proofErr w:type="spellEnd"/>
      <w:r>
        <w:t xml:space="preserve">, S. and Reddy, P 2010, </w:t>
      </w:r>
      <w:r w:rsidRPr="00D461D6">
        <w:rPr>
          <w:i/>
        </w:rPr>
        <w:t>Patent exclusions that promote public health objectives</w:t>
      </w:r>
      <w:r>
        <w:t xml:space="preserve">, </w:t>
      </w:r>
      <w:proofErr w:type="spellStart"/>
      <w:r>
        <w:t>WIPO</w:t>
      </w:r>
      <w:proofErr w:type="spellEnd"/>
      <w:r>
        <w:t xml:space="preserve"> (World Intellectual Property Organisation) Standing Committee on the Law of Patents, </w:t>
      </w:r>
      <w:r w:rsidRPr="00732021">
        <w:rPr>
          <w:rStyle w:val="Hyperlink"/>
          <w:b w:val="0"/>
          <w:iCs/>
        </w:rPr>
        <w:t>www.wipo.int/edocs/mdocs/scp/en/scp_15/scp_15_3-annex4.doc</w:t>
      </w:r>
      <w:r w:rsidRPr="00732021">
        <w:rPr>
          <w:b/>
        </w:rPr>
        <w:t xml:space="preserve"> </w:t>
      </w:r>
      <w:r>
        <w:t>(accessed 20 October 2012).</w:t>
      </w:r>
    </w:p>
    <w:p w:rsidR="009B76B2" w:rsidRPr="009B76B2" w:rsidRDefault="00D50089" w:rsidP="0056740D">
      <w:pPr>
        <w:pStyle w:val="Reference"/>
      </w:pPr>
      <w:r>
        <w:t>Bee</w:t>
      </w:r>
      <w:r w:rsidR="009B76B2">
        <w:t xml:space="preserve">croft, G., 2007, ‘Generic drug policy in Australia: a community pharmacy perspective’, </w:t>
      </w:r>
      <w:r w:rsidR="009B76B2" w:rsidRPr="00EC1539">
        <w:rPr>
          <w:i/>
        </w:rPr>
        <w:t>Australia and New Zealand Health Policy</w:t>
      </w:r>
      <w:r w:rsidR="009B76B2">
        <w:t xml:space="preserve">, </w:t>
      </w:r>
      <w:r>
        <w:t>vol. 4, no. </w:t>
      </w:r>
      <w:r w:rsidR="009B76B2">
        <w:t xml:space="preserve">7, </w:t>
      </w:r>
      <w:r w:rsidR="009B76B2" w:rsidRPr="00EC1539">
        <w:t>http://</w:t>
      </w:r>
      <w:proofErr w:type="spellStart"/>
      <w:r w:rsidR="009B76B2" w:rsidRPr="00EC1539">
        <w:t>www.anzhealthpolicy.com</w:t>
      </w:r>
      <w:proofErr w:type="spellEnd"/>
      <w:r w:rsidR="009B76B2" w:rsidRPr="00EC1539">
        <w:t>/content/4/1/7</w:t>
      </w:r>
      <w:r w:rsidR="009B76B2">
        <w:t xml:space="preserve"> (accessed on 23 August 2012).</w:t>
      </w:r>
    </w:p>
    <w:p w:rsidR="009B76B2" w:rsidRPr="009B76B2" w:rsidRDefault="009B76B2" w:rsidP="0056740D">
      <w:pPr>
        <w:pStyle w:val="Reference"/>
      </w:pPr>
      <w:proofErr w:type="spellStart"/>
      <w:r w:rsidRPr="0052311A">
        <w:t>Bekkers</w:t>
      </w:r>
      <w:proofErr w:type="spellEnd"/>
      <w:r w:rsidRPr="0052311A">
        <w:t xml:space="preserve">, R., </w:t>
      </w:r>
      <w:proofErr w:type="spellStart"/>
      <w:r w:rsidRPr="0052311A">
        <w:t>Catalini</w:t>
      </w:r>
      <w:proofErr w:type="spellEnd"/>
      <w:r w:rsidRPr="0052311A">
        <w:t xml:space="preserve">, C., </w:t>
      </w:r>
      <w:proofErr w:type="spellStart"/>
      <w:r w:rsidRPr="0052311A">
        <w:t>Martinelli</w:t>
      </w:r>
      <w:proofErr w:type="spellEnd"/>
      <w:r w:rsidRPr="0052311A">
        <w:t xml:space="preserve">, A. and Simcoe, T. 2011, </w:t>
      </w:r>
      <w:r w:rsidRPr="0052311A">
        <w:rPr>
          <w:i/>
        </w:rPr>
        <w:t>Standardizing Intellectual Property Disclosure Data</w:t>
      </w:r>
      <w:r w:rsidRPr="0052311A">
        <w:t xml:space="preserve">, </w:t>
      </w:r>
      <w:r w:rsidRPr="0052311A">
        <w:rPr>
          <w:iCs/>
        </w:rPr>
        <w:t xml:space="preserve">Short paper prepared for the </w:t>
      </w:r>
      <w:proofErr w:type="spellStart"/>
      <w:r w:rsidRPr="0052311A">
        <w:rPr>
          <w:iCs/>
        </w:rPr>
        <w:t>NBER</w:t>
      </w:r>
      <w:proofErr w:type="spellEnd"/>
      <w:r w:rsidRPr="0052311A">
        <w:rPr>
          <w:iCs/>
        </w:rPr>
        <w:t xml:space="preserve"> preconference on Standards, Patents &amp; Innovation, May 7, Cambridge, Massachusetts.</w:t>
      </w:r>
    </w:p>
    <w:p w:rsidR="008C7728" w:rsidRDefault="008C7728" w:rsidP="00DE4D04">
      <w:pPr>
        <w:pStyle w:val="Reference"/>
      </w:pPr>
      <w:proofErr w:type="spellStart"/>
      <w:r>
        <w:t>Besen</w:t>
      </w:r>
      <w:proofErr w:type="spellEnd"/>
      <w:r>
        <w:t>, S.</w:t>
      </w:r>
      <w:r w:rsidR="00D8711C">
        <w:t xml:space="preserve"> and </w:t>
      </w:r>
      <w:proofErr w:type="spellStart"/>
      <w:r w:rsidR="00D8711C">
        <w:t>Raskind</w:t>
      </w:r>
      <w:proofErr w:type="spellEnd"/>
      <w:r w:rsidR="00D8711C">
        <w:t>, L.</w:t>
      </w:r>
      <w:r w:rsidR="007423E0">
        <w:t xml:space="preserve"> 1991, ‘An introduction to the law and economics of intellectual p</w:t>
      </w:r>
      <w:r>
        <w:t xml:space="preserve">roperty’, </w:t>
      </w:r>
      <w:r w:rsidRPr="007D71E3">
        <w:rPr>
          <w:i/>
        </w:rPr>
        <w:t>The Journal of Economic Perspectives</w:t>
      </w:r>
      <w:r w:rsidR="001750C5">
        <w:t>, vol. 5, no. 1, pp. 3–27.</w:t>
      </w:r>
    </w:p>
    <w:p w:rsidR="001750C5" w:rsidRDefault="001750C5" w:rsidP="00DE4D04">
      <w:pPr>
        <w:pStyle w:val="Reference"/>
      </w:pPr>
      <w:r>
        <w:t xml:space="preserve">Blind, K., </w:t>
      </w:r>
      <w:proofErr w:type="spellStart"/>
      <w:r>
        <w:t>Bekkers</w:t>
      </w:r>
      <w:proofErr w:type="spellEnd"/>
      <w:r>
        <w:t xml:space="preserve">, R., Dietrich, Y., </w:t>
      </w:r>
      <w:proofErr w:type="spellStart"/>
      <w:r>
        <w:t>Iversen</w:t>
      </w:r>
      <w:proofErr w:type="spellEnd"/>
      <w:r>
        <w:t xml:space="preserve">, E., Muller, B., </w:t>
      </w:r>
      <w:proofErr w:type="spellStart"/>
      <w:r>
        <w:t>Pohlmann</w:t>
      </w:r>
      <w:proofErr w:type="spellEnd"/>
      <w:r>
        <w:t xml:space="preserve">, T., </w:t>
      </w:r>
      <w:proofErr w:type="spellStart"/>
      <w:r>
        <w:t>Smeets</w:t>
      </w:r>
      <w:proofErr w:type="spellEnd"/>
      <w:r>
        <w:t xml:space="preserve">, S., and </w:t>
      </w:r>
      <w:proofErr w:type="spellStart"/>
      <w:r>
        <w:t>Verweijen</w:t>
      </w:r>
      <w:proofErr w:type="spellEnd"/>
      <w:r>
        <w:t xml:space="preserve">, J. 2009, </w:t>
      </w:r>
      <w:r w:rsidRPr="009169F6">
        <w:rPr>
          <w:i/>
        </w:rPr>
        <w:t>Study on the Interplay between Standards and Intellectual Property Rights (</w:t>
      </w:r>
      <w:proofErr w:type="spellStart"/>
      <w:r w:rsidRPr="009169F6">
        <w:rPr>
          <w:i/>
        </w:rPr>
        <w:t>IPRs</w:t>
      </w:r>
      <w:proofErr w:type="spellEnd"/>
      <w:r w:rsidRPr="009169F6">
        <w:rPr>
          <w:i/>
        </w:rPr>
        <w:t>)</w:t>
      </w:r>
      <w:r>
        <w:t xml:space="preserve">, Final Report, </w:t>
      </w:r>
      <w:proofErr w:type="spellStart"/>
      <w:r>
        <w:t>Fraunhofer</w:t>
      </w:r>
      <w:proofErr w:type="spellEnd"/>
      <w:r>
        <w:t xml:space="preserve"> </w:t>
      </w:r>
      <w:proofErr w:type="spellStart"/>
      <w:r>
        <w:t>Fokus</w:t>
      </w:r>
      <w:proofErr w:type="spellEnd"/>
      <w:r>
        <w:t xml:space="preserve"> and Dialogic, </w:t>
      </w:r>
      <w:r w:rsidRPr="001750C5">
        <w:rPr>
          <w:bCs/>
        </w:rPr>
        <w:t>http://ec.europa.eu/mwg-inte</w:t>
      </w:r>
      <w:r w:rsidR="00621DA7">
        <w:rPr>
          <w:bCs/>
        </w:rPr>
        <w:t>rnal/de5fs23hu73ds/progress?id=</w:t>
      </w:r>
      <w:r w:rsidRPr="001750C5">
        <w:rPr>
          <w:bCs/>
        </w:rPr>
        <w:t>YIXs2v</w:t>
      </w:r>
      <w:r w:rsidR="00621DA7">
        <w:rPr>
          <w:bCs/>
        </w:rPr>
        <w:t xml:space="preserve"> </w:t>
      </w:r>
      <w:proofErr w:type="spellStart"/>
      <w:r w:rsidRPr="001750C5">
        <w:rPr>
          <w:bCs/>
        </w:rPr>
        <w:t>UIDe</w:t>
      </w:r>
      <w:proofErr w:type="spellEnd"/>
      <w:r>
        <w:t xml:space="preserve"> </w:t>
      </w:r>
      <w:r w:rsidRPr="0052311A">
        <w:t>(Accessed 2 August 2012)</w:t>
      </w:r>
      <w:r>
        <w:t>.</w:t>
      </w:r>
    </w:p>
    <w:p w:rsidR="008C7728" w:rsidRDefault="008C7728" w:rsidP="008C7728">
      <w:pPr>
        <w:pStyle w:val="Reference"/>
      </w:pPr>
      <w:proofErr w:type="spellStart"/>
      <w:r>
        <w:t>Boldrin</w:t>
      </w:r>
      <w:proofErr w:type="spellEnd"/>
      <w:r>
        <w:t>,</w:t>
      </w:r>
      <w:r w:rsidR="007423E0">
        <w:t xml:space="preserve"> M., and Levine, D. 2002, ‘The case against intellectual p</w:t>
      </w:r>
      <w:r>
        <w:t xml:space="preserve">roperty’, </w:t>
      </w:r>
      <w:r w:rsidRPr="008551A8">
        <w:rPr>
          <w:i/>
        </w:rPr>
        <w:t>The American Economic Review: Papers and Proceedings</w:t>
      </w:r>
      <w:r>
        <w:t>, vol. 92, no. 2, pp. 209–212</w:t>
      </w:r>
      <w:r w:rsidR="006023F3">
        <w:t>.</w:t>
      </w:r>
    </w:p>
    <w:p w:rsidR="008C7728" w:rsidRDefault="008C7728" w:rsidP="00DE4D04">
      <w:pPr>
        <w:pStyle w:val="Reference"/>
      </w:pPr>
      <w:r>
        <w:t>—— </w:t>
      </w:r>
      <w:r w:rsidR="005F328F">
        <w:t>and ——</w:t>
      </w:r>
      <w:r>
        <w:t xml:space="preserve">2012, </w:t>
      </w:r>
      <w:r w:rsidRPr="00AD52FA">
        <w:rPr>
          <w:i/>
        </w:rPr>
        <w:t>The Case Against Patents</w:t>
      </w:r>
      <w:r>
        <w:t>, Federal Reserve Bank of St. Louis Working Paper 2012-</w:t>
      </w:r>
      <w:proofErr w:type="spellStart"/>
      <w:r>
        <w:t>035A</w:t>
      </w:r>
      <w:proofErr w:type="spellEnd"/>
      <w:r>
        <w:t>, St. Louis.</w:t>
      </w:r>
    </w:p>
    <w:p w:rsidR="00DE4D04" w:rsidRPr="007207B6" w:rsidRDefault="00DE4D04" w:rsidP="00DE4D04">
      <w:pPr>
        <w:pStyle w:val="Reference"/>
      </w:pPr>
      <w:r>
        <w:lastRenderedPageBreak/>
        <w:t xml:space="preserve">Bond, E. and </w:t>
      </w:r>
      <w:proofErr w:type="spellStart"/>
      <w:r>
        <w:t>Saggi</w:t>
      </w:r>
      <w:proofErr w:type="spellEnd"/>
      <w:r>
        <w:t xml:space="preserve">, K. 2012, </w:t>
      </w:r>
      <w:r>
        <w:rPr>
          <w:i/>
        </w:rPr>
        <w:t>Compulsory Licensing, Price Controls, and Access to Patented Foreign Products</w:t>
      </w:r>
      <w:r>
        <w:t xml:space="preserve">, </w:t>
      </w:r>
      <w:r w:rsidRPr="00314AA8">
        <w:t>Working Paper No. 12-</w:t>
      </w:r>
      <w:proofErr w:type="spellStart"/>
      <w:r w:rsidRPr="00314AA8">
        <w:t>W05</w:t>
      </w:r>
      <w:proofErr w:type="spellEnd"/>
      <w:r>
        <w:t>, Department of Economics, Vanderbilt University, Nashville.</w:t>
      </w:r>
    </w:p>
    <w:p w:rsidR="009B76B2" w:rsidRDefault="009B76B2" w:rsidP="009B76B2">
      <w:pPr>
        <w:pStyle w:val="Reference"/>
      </w:pPr>
      <w:proofErr w:type="spellStart"/>
      <w:r>
        <w:t>Bousquet</w:t>
      </w:r>
      <w:proofErr w:type="spellEnd"/>
      <w:r>
        <w:t xml:space="preserve">, A., Cremer, H., </w:t>
      </w:r>
      <w:proofErr w:type="spellStart"/>
      <w:r>
        <w:t>Ivaldi</w:t>
      </w:r>
      <w:proofErr w:type="spellEnd"/>
      <w:r>
        <w:t xml:space="preserve">, M., and </w:t>
      </w:r>
      <w:proofErr w:type="spellStart"/>
      <w:r>
        <w:t>Wolkowicz</w:t>
      </w:r>
      <w:proofErr w:type="spellEnd"/>
      <w:r>
        <w:t xml:space="preserve">, M. 1998, ‘Risk sharing in licensing’, </w:t>
      </w:r>
      <w:r w:rsidRPr="00F74A22">
        <w:rPr>
          <w:i/>
        </w:rPr>
        <w:t>International Journal of Industrial Organisation</w:t>
      </w:r>
      <w:r>
        <w:t>, vol. 16, no. 4, pp. 535–544.</w:t>
      </w:r>
    </w:p>
    <w:p w:rsidR="009B76B2" w:rsidRDefault="009B76B2" w:rsidP="009B76B2">
      <w:pPr>
        <w:pStyle w:val="Reference"/>
      </w:pPr>
      <w:r w:rsidRPr="0052311A">
        <w:t xml:space="preserve">Bradbury, D. (Assistant Treasurer, Minister Assisting for Deregulation) and Dreyfus, M. (Parliamentary Secretary for Climate Change and Energy Efficiency) 2012, </w:t>
      </w:r>
      <w:r w:rsidRPr="0052311A">
        <w:rPr>
          <w:i/>
        </w:rPr>
        <w:t>Balancing Access to Technology and Innovation</w:t>
      </w:r>
      <w:r w:rsidRPr="0052311A">
        <w:t>, Joint Media Release, 29 June, Canberra.</w:t>
      </w:r>
    </w:p>
    <w:p w:rsidR="00183B37" w:rsidRDefault="00183B37" w:rsidP="009B76B2">
      <w:pPr>
        <w:pStyle w:val="Reference"/>
      </w:pPr>
      <w:r w:rsidRPr="0052311A">
        <w:t xml:space="preserve">Browning, J. and </w:t>
      </w:r>
      <w:proofErr w:type="spellStart"/>
      <w:r w:rsidRPr="0052311A">
        <w:t>Mulhern</w:t>
      </w:r>
      <w:proofErr w:type="spellEnd"/>
      <w:r w:rsidRPr="0052311A">
        <w:t xml:space="preserve">, C. 2009, </w:t>
      </w:r>
      <w:r w:rsidR="000C76AB">
        <w:t>‘</w:t>
      </w:r>
      <w:r w:rsidRPr="0052311A">
        <w:t>Licensing in the presence of technology standards</w:t>
      </w:r>
      <w:r w:rsidR="000C76AB">
        <w:t>’</w:t>
      </w:r>
      <w:r w:rsidRPr="0052311A">
        <w:t xml:space="preserve">, </w:t>
      </w:r>
      <w:r w:rsidRPr="0052311A">
        <w:rPr>
          <w:i/>
        </w:rPr>
        <w:t>The Licensing Journal</w:t>
      </w:r>
      <w:r w:rsidRPr="0052311A">
        <w:t>, August, pp. 18</w:t>
      </w:r>
      <w:r w:rsidRPr="0052311A">
        <w:softHyphen/>
        <w:t>29.</w:t>
      </w:r>
    </w:p>
    <w:p w:rsidR="009B76B2" w:rsidRDefault="00D8711C" w:rsidP="009B76B2">
      <w:pPr>
        <w:pStyle w:val="Reference"/>
      </w:pPr>
      <w:r>
        <w:t>Buchanan, J.</w:t>
      </w:r>
      <w:r w:rsidR="009B76B2">
        <w:t xml:space="preserve"> a</w:t>
      </w:r>
      <w:r>
        <w:t>nd Yoon, Y.</w:t>
      </w:r>
      <w:r w:rsidR="007423E0">
        <w:t xml:space="preserve"> 2000, ‘Symmetric tragedies: commons and </w:t>
      </w:r>
      <w:proofErr w:type="spellStart"/>
      <w:r w:rsidR="007423E0">
        <w:t>a</w:t>
      </w:r>
      <w:r w:rsidR="009B76B2">
        <w:t>nticommons</w:t>
      </w:r>
      <w:proofErr w:type="spellEnd"/>
      <w:r w:rsidR="009B76B2">
        <w:t xml:space="preserve">’, </w:t>
      </w:r>
      <w:r w:rsidR="009B76B2" w:rsidRPr="00A40A4D">
        <w:rPr>
          <w:i/>
        </w:rPr>
        <w:t>Journal of Law and Economics</w:t>
      </w:r>
      <w:r w:rsidR="009B76B2">
        <w:t>, vol. 43, no. 1, pp. 1–14.</w:t>
      </w:r>
    </w:p>
    <w:p w:rsidR="00A6170F" w:rsidRPr="00A40A4D" w:rsidRDefault="00A6170F" w:rsidP="009B76B2">
      <w:pPr>
        <w:pStyle w:val="Reference"/>
      </w:pPr>
      <w:r>
        <w:t>CAL (Copyright Agency Limited) 2012, </w:t>
      </w:r>
      <w:r>
        <w:rPr>
          <w:i/>
        </w:rPr>
        <w:t>About </w:t>
      </w:r>
      <w:r w:rsidRPr="00412C28">
        <w:rPr>
          <w:i/>
        </w:rPr>
        <w:t>Us</w:t>
      </w:r>
      <w:r>
        <w:t>, </w:t>
      </w:r>
      <w:r w:rsidRPr="00D12EAB">
        <w:t>http://www.copyright.com.au/what-we-do/about-us</w:t>
      </w:r>
      <w:r>
        <w:t xml:space="preserve"> (accessed 20 November 2012).</w:t>
      </w:r>
    </w:p>
    <w:p w:rsidR="0034314E" w:rsidRPr="0034314E" w:rsidRDefault="0034314E" w:rsidP="009302D5">
      <w:pPr>
        <w:pStyle w:val="Reference"/>
      </w:pPr>
      <w:r w:rsidRPr="0052311A">
        <w:t xml:space="preserve">Cancer Voices Australia 2010, </w:t>
      </w:r>
      <w:r w:rsidRPr="0052311A">
        <w:rPr>
          <w:i/>
          <w:iCs/>
        </w:rPr>
        <w:t>Cancer Patients Challenge Human Gene Patenting</w:t>
      </w:r>
      <w:r w:rsidRPr="0052311A">
        <w:t>, Press Release, 7 June, http://</w:t>
      </w:r>
      <w:proofErr w:type="spellStart"/>
      <w:r w:rsidRPr="0052311A">
        <w:t>www.cancervoicesaustralia.org.au</w:t>
      </w:r>
      <w:proofErr w:type="spellEnd"/>
      <w:r w:rsidRPr="0052311A">
        <w:t>/</w:t>
      </w:r>
      <w:proofErr w:type="spellStart"/>
      <w:r w:rsidRPr="0052311A">
        <w:t>pdfs</w:t>
      </w:r>
      <w:proofErr w:type="spellEnd"/>
      <w:r w:rsidRPr="0052311A">
        <w:t xml:space="preserve">/media/ </w:t>
      </w:r>
      <w:proofErr w:type="spellStart"/>
      <w:r w:rsidRPr="0052311A">
        <w:t>gene_070610.pdf</w:t>
      </w:r>
      <w:proofErr w:type="spellEnd"/>
      <w:r w:rsidRPr="0052311A">
        <w:t xml:space="preserve"> (Accessed 2 August 2012).</w:t>
      </w:r>
    </w:p>
    <w:p w:rsidR="00A06907" w:rsidRDefault="00A06907" w:rsidP="009302D5">
      <w:pPr>
        <w:pStyle w:val="Reference"/>
      </w:pPr>
      <w:r>
        <w:rPr>
          <w:szCs w:val="26"/>
        </w:rPr>
        <w:t xml:space="preserve">Carr, K. 2011, (Minister for Innovation, Industry, Science and Research), Second Reading, Intellectual Property Laws Amendment (Raising the Bar) Bill 2011, Senate, </w:t>
      </w:r>
      <w:r>
        <w:rPr>
          <w:i/>
          <w:iCs/>
          <w:szCs w:val="26"/>
        </w:rPr>
        <w:t>Hansard</w:t>
      </w:r>
      <w:r>
        <w:rPr>
          <w:szCs w:val="26"/>
        </w:rPr>
        <w:t>, No. 6, 22 June 2011, p. 3485.</w:t>
      </w:r>
      <w:r w:rsidRPr="00B767B2">
        <w:t xml:space="preserve"> </w:t>
      </w:r>
    </w:p>
    <w:p w:rsidR="009302D5" w:rsidRDefault="00C734D3" w:rsidP="009302D5">
      <w:pPr>
        <w:pStyle w:val="Reference"/>
      </w:pPr>
      <w:r>
        <w:t>—— </w:t>
      </w:r>
      <w:r w:rsidR="009302D5" w:rsidRPr="00001E1B">
        <w:t>and Emerson</w:t>
      </w:r>
      <w:r w:rsidR="009302D5">
        <w:t>,</w:t>
      </w:r>
      <w:r w:rsidR="009302D5" w:rsidRPr="00001E1B">
        <w:t xml:space="preserve"> G. (Minister for Trade) 2011, </w:t>
      </w:r>
      <w:r w:rsidR="009302D5" w:rsidRPr="00001E1B">
        <w:rPr>
          <w:i/>
        </w:rPr>
        <w:t>Better access to medicines for countries in need</w:t>
      </w:r>
      <w:r w:rsidR="009302D5" w:rsidRPr="00001E1B">
        <w:t>, Media release, 22 March.</w:t>
      </w:r>
    </w:p>
    <w:p w:rsidR="00C734D3" w:rsidRDefault="00C734D3" w:rsidP="009302D5">
      <w:pPr>
        <w:pStyle w:val="Reference"/>
      </w:pPr>
      <w:r>
        <w:t xml:space="preserve">Carrier, M. 2012, ‘A roadmap to the smartphone patent wars and </w:t>
      </w:r>
      <w:proofErr w:type="spellStart"/>
      <w:r>
        <w:t>FRAND</w:t>
      </w:r>
      <w:proofErr w:type="spellEnd"/>
      <w:r>
        <w:t xml:space="preserve"> licensing’, </w:t>
      </w:r>
      <w:r w:rsidRPr="004C36D3">
        <w:rPr>
          <w:i/>
        </w:rPr>
        <w:t>C</w:t>
      </w:r>
      <w:r>
        <w:rPr>
          <w:i/>
        </w:rPr>
        <w:t xml:space="preserve">ompetition </w:t>
      </w:r>
      <w:r w:rsidRPr="004C36D3">
        <w:rPr>
          <w:i/>
        </w:rPr>
        <w:t>P</w:t>
      </w:r>
      <w:r>
        <w:rPr>
          <w:i/>
        </w:rPr>
        <w:t xml:space="preserve">olicy </w:t>
      </w:r>
      <w:r w:rsidRPr="004C36D3">
        <w:rPr>
          <w:i/>
        </w:rPr>
        <w:t>I</w:t>
      </w:r>
      <w:r>
        <w:rPr>
          <w:i/>
        </w:rPr>
        <w:t>nternational</w:t>
      </w:r>
      <w:r w:rsidRPr="004C36D3">
        <w:rPr>
          <w:i/>
        </w:rPr>
        <w:t xml:space="preserve"> Antitrust Chronicle</w:t>
      </w:r>
      <w:r>
        <w:t>, vol. 4, no. 2, pp. 1-7.</w:t>
      </w:r>
    </w:p>
    <w:p w:rsidR="00AA297B" w:rsidRDefault="00AA297B" w:rsidP="009302D5">
      <w:pPr>
        <w:pStyle w:val="Reference"/>
        <w:rPr>
          <w:iCs/>
        </w:rPr>
      </w:pPr>
      <w:proofErr w:type="spellStart"/>
      <w:r w:rsidRPr="0052311A">
        <w:t>CCA</w:t>
      </w:r>
      <w:proofErr w:type="spellEnd"/>
      <w:r w:rsidRPr="0052311A">
        <w:t xml:space="preserve"> (Cancer Council Australia) 2010, </w:t>
      </w:r>
      <w:r w:rsidRPr="0052311A">
        <w:rPr>
          <w:iCs/>
        </w:rPr>
        <w:t xml:space="preserve">Submission to the </w:t>
      </w:r>
      <w:r w:rsidRPr="0052311A">
        <w:rPr>
          <w:bCs/>
          <w:iCs/>
        </w:rPr>
        <w:t>Senate Community Affairs Committee,</w:t>
      </w:r>
      <w:r w:rsidRPr="0052311A">
        <w:rPr>
          <w:b/>
          <w:bCs/>
          <w:iCs/>
        </w:rPr>
        <w:t xml:space="preserve"> </w:t>
      </w:r>
      <w:r w:rsidRPr="0052311A">
        <w:rPr>
          <w:i/>
          <w:iCs/>
        </w:rPr>
        <w:t>Gene Patents</w:t>
      </w:r>
      <w:r w:rsidRPr="0052311A">
        <w:rPr>
          <w:iCs/>
        </w:rPr>
        <w:t>, Canberra.</w:t>
      </w:r>
    </w:p>
    <w:p w:rsidR="00E34E66" w:rsidRDefault="00244005" w:rsidP="009302D5">
      <w:pPr>
        <w:pStyle w:val="Reference"/>
      </w:pPr>
      <w:r>
        <w:t xml:space="preserve">Cho, M. 2006, </w:t>
      </w:r>
      <w:r>
        <w:rPr>
          <w:i/>
        </w:rPr>
        <w:t>Effects of gene patents and licenses on clinical genetic testing,</w:t>
      </w:r>
      <w:r>
        <w:t xml:space="preserve"> </w:t>
      </w:r>
      <w:r w:rsidRPr="00244005">
        <w:rPr>
          <w:bCs/>
        </w:rPr>
        <w:t>http://</w:t>
      </w:r>
      <w:proofErr w:type="spellStart"/>
      <w:r w:rsidRPr="00244005">
        <w:rPr>
          <w:bCs/>
        </w:rPr>
        <w:t>oba.od.nih.gov</w:t>
      </w:r>
      <w:proofErr w:type="spellEnd"/>
      <w:r w:rsidRPr="00244005">
        <w:rPr>
          <w:bCs/>
        </w:rPr>
        <w:t>/</w:t>
      </w:r>
      <w:proofErr w:type="spellStart"/>
      <w:r w:rsidRPr="00244005">
        <w:rPr>
          <w:bCs/>
        </w:rPr>
        <w:t>oba</w:t>
      </w:r>
      <w:proofErr w:type="spellEnd"/>
      <w:r w:rsidRPr="00244005">
        <w:rPr>
          <w:bCs/>
        </w:rPr>
        <w:t>/</w:t>
      </w:r>
      <w:proofErr w:type="spellStart"/>
      <w:r w:rsidRPr="00244005">
        <w:rPr>
          <w:bCs/>
        </w:rPr>
        <w:t>SACGHS</w:t>
      </w:r>
      <w:proofErr w:type="spellEnd"/>
      <w:r w:rsidRPr="00244005">
        <w:rPr>
          <w:bCs/>
        </w:rPr>
        <w:t>/meetings/</w:t>
      </w:r>
      <w:proofErr w:type="spellStart"/>
      <w:r w:rsidRPr="00244005">
        <w:rPr>
          <w:bCs/>
        </w:rPr>
        <w:t>June2006</w:t>
      </w:r>
      <w:proofErr w:type="spellEnd"/>
      <w:r w:rsidRPr="00244005">
        <w:rPr>
          <w:bCs/>
        </w:rPr>
        <w:t>/</w:t>
      </w:r>
      <w:proofErr w:type="spellStart"/>
      <w:r w:rsidRPr="00244005">
        <w:rPr>
          <w:bCs/>
        </w:rPr>
        <w:t>Cho.pdf</w:t>
      </w:r>
      <w:proofErr w:type="spellEnd"/>
      <w:r>
        <w:t xml:space="preserve"> (accessed 22 November 2012).</w:t>
      </w:r>
    </w:p>
    <w:p w:rsidR="001252A1" w:rsidRPr="00244005" w:rsidRDefault="001252A1" w:rsidP="009302D5">
      <w:pPr>
        <w:pStyle w:val="Reference"/>
      </w:pPr>
      <w:proofErr w:type="spellStart"/>
      <w:r>
        <w:t>CIPO</w:t>
      </w:r>
      <w:proofErr w:type="spellEnd"/>
      <w:r>
        <w:t xml:space="preserve"> (Canadian Intellectual Property Office) 2012, </w:t>
      </w:r>
      <w:r w:rsidRPr="001252A1">
        <w:rPr>
          <w:i/>
        </w:rPr>
        <w:t>Frequently Asked Questions</w:t>
      </w:r>
      <w:r>
        <w:rPr>
          <w:i/>
        </w:rPr>
        <w:t xml:space="preserve"> (</w:t>
      </w:r>
      <w:proofErr w:type="spellStart"/>
      <w:r>
        <w:rPr>
          <w:i/>
        </w:rPr>
        <w:t>FAQs</w:t>
      </w:r>
      <w:proofErr w:type="spellEnd"/>
      <w:r>
        <w:rPr>
          <w:i/>
        </w:rPr>
        <w:t>)</w:t>
      </w:r>
      <w:r>
        <w:t xml:space="preserve">, </w:t>
      </w:r>
      <w:r w:rsidRPr="001252A1">
        <w:rPr>
          <w:bCs/>
        </w:rPr>
        <w:t xml:space="preserve">http://www.cipo.ic.gc.ca/eic/site/cipointernet-internetopic.nsf/eng/ </w:t>
      </w:r>
      <w:proofErr w:type="spellStart"/>
      <w:r w:rsidRPr="001252A1">
        <w:rPr>
          <w:bCs/>
        </w:rPr>
        <w:t>wr03002.html</w:t>
      </w:r>
      <w:proofErr w:type="spellEnd"/>
      <w:r>
        <w:t xml:space="preserve"> (accessed 24 September 2012).</w:t>
      </w:r>
    </w:p>
    <w:p w:rsidR="0037568B" w:rsidRDefault="0037568B" w:rsidP="009302D5">
      <w:pPr>
        <w:pStyle w:val="Reference"/>
      </w:pPr>
      <w:r>
        <w:lastRenderedPageBreak/>
        <w:t xml:space="preserve">Clarke, J. Piccolo, J. Stanton, B. and Tyson, K. 2000, </w:t>
      </w:r>
      <w:r w:rsidRPr="00491809">
        <w:rPr>
          <w:i/>
        </w:rPr>
        <w:t>Patent pools: A</w:t>
      </w:r>
      <w:r>
        <w:rPr>
          <w:i/>
        </w:rPr>
        <w:t xml:space="preserve"> solution to the problem of access in biotechnology </w:t>
      </w:r>
      <w:r w:rsidRPr="00491809">
        <w:rPr>
          <w:i/>
        </w:rPr>
        <w:t>patents?</w:t>
      </w:r>
      <w:r>
        <w:t> </w:t>
      </w:r>
      <w:r w:rsidRPr="00453DF0">
        <w:rPr>
          <w:bCs/>
        </w:rPr>
        <w:t>http://www.ftc.gov/opp/intellect/020417lawrencemsung2.pdf</w:t>
      </w:r>
      <w:r>
        <w:t xml:space="preserve"> (accessed 13 August 2012).</w:t>
      </w:r>
    </w:p>
    <w:p w:rsidR="00BB6E40" w:rsidRDefault="00BB6E40" w:rsidP="009302D5">
      <w:pPr>
        <w:pStyle w:val="Reference"/>
      </w:pPr>
      <w:proofErr w:type="spellStart"/>
      <w:r>
        <w:t>COGR</w:t>
      </w:r>
      <w:proofErr w:type="spellEnd"/>
      <w:r>
        <w:t xml:space="preserve"> (US </w:t>
      </w:r>
      <w:r w:rsidRPr="00F570D2">
        <w:t>Council on Governmental Relations</w:t>
      </w:r>
      <w:r>
        <w:t xml:space="preserve">) </w:t>
      </w:r>
      <w:r w:rsidR="00A96A14">
        <w:t>1999,</w:t>
      </w:r>
      <w:r>
        <w:t xml:space="preserve"> </w:t>
      </w:r>
      <w:r w:rsidRPr="00F570D2">
        <w:rPr>
          <w:i/>
        </w:rPr>
        <w:t xml:space="preserve">The </w:t>
      </w:r>
      <w:proofErr w:type="spellStart"/>
      <w:r w:rsidRPr="00F570D2">
        <w:rPr>
          <w:i/>
        </w:rPr>
        <w:t>Ba</w:t>
      </w:r>
      <w:r w:rsidR="00A96A14">
        <w:rPr>
          <w:i/>
        </w:rPr>
        <w:t>yh</w:t>
      </w:r>
      <w:proofErr w:type="spellEnd"/>
      <w:r w:rsidR="00A96A14">
        <w:rPr>
          <w:i/>
        </w:rPr>
        <w:t xml:space="preserve">-Dole Act: A Guide to the Law and Implementing </w:t>
      </w:r>
      <w:r w:rsidRPr="00A96A14">
        <w:rPr>
          <w:i/>
        </w:rPr>
        <w:t>Regulations</w:t>
      </w:r>
      <w:r>
        <w:t xml:space="preserve">, </w:t>
      </w:r>
      <w:r w:rsidR="00A96A14" w:rsidRPr="00A96A14">
        <w:rPr>
          <w:bCs/>
        </w:rPr>
        <w:t>http://www.cogr.edu/mwg-internal/de5fs23hu73ds/progress?id=MamANUrkF9</w:t>
      </w:r>
      <w:r w:rsidR="00A96A14" w:rsidRPr="00A96A14">
        <w:t xml:space="preserve"> (accessed 8 October 2012).</w:t>
      </w:r>
    </w:p>
    <w:p w:rsidR="00B50899" w:rsidRDefault="00B50899" w:rsidP="009302D5">
      <w:pPr>
        <w:pStyle w:val="Reference"/>
      </w:pPr>
      <w:r>
        <w:t xml:space="preserve">Commission on Intellectual Property Rights (UK) 2002, </w:t>
      </w:r>
      <w:r w:rsidRPr="009C6DD4">
        <w:rPr>
          <w:i/>
        </w:rPr>
        <w:t>Integrating Intellectual Property Rights and Development Policy: Report of the Commission on Intellectual Property Rights</w:t>
      </w:r>
      <w:r>
        <w:t xml:space="preserve">, September 2002, London. </w:t>
      </w:r>
    </w:p>
    <w:p w:rsidR="00F72B15" w:rsidRDefault="00F72B15" w:rsidP="00F72B15">
      <w:pPr>
        <w:pStyle w:val="Reference"/>
      </w:pPr>
      <w:r w:rsidRPr="007C2979">
        <w:t xml:space="preserve">Competition Bureau Canada 2000, </w:t>
      </w:r>
      <w:r w:rsidRPr="00DE157D">
        <w:rPr>
          <w:i/>
        </w:rPr>
        <w:t>Intellectual Property Enforcement Guidelines</w:t>
      </w:r>
      <w:r>
        <w:t xml:space="preserve">, </w:t>
      </w:r>
      <w:r w:rsidRPr="00DC6F3C">
        <w:t>http://www.competitionbureau.gc.ca/eic/site/cb-bc.nsf/eng/01286.html</w:t>
      </w:r>
      <w:r>
        <w:t xml:space="preserve"> (accessed 21 November 2012).</w:t>
      </w:r>
    </w:p>
    <w:p w:rsidR="00F72B15" w:rsidRDefault="00F72B15" w:rsidP="009302D5">
      <w:pPr>
        <w:pStyle w:val="Reference"/>
        <w:rPr>
          <w:szCs w:val="26"/>
        </w:rPr>
      </w:pPr>
      <w:r>
        <w:rPr>
          <w:szCs w:val="26"/>
        </w:rPr>
        <w:t xml:space="preserve">—— 2006, </w:t>
      </w:r>
      <w:r w:rsidRPr="00862EAB">
        <w:rPr>
          <w:i/>
          <w:szCs w:val="26"/>
        </w:rPr>
        <w:t>The Competition/Intellectual Property Interface: Present Concerns and Future Challenges</w:t>
      </w:r>
      <w:r>
        <w:rPr>
          <w:szCs w:val="26"/>
        </w:rPr>
        <w:t xml:space="preserve">, </w:t>
      </w:r>
      <w:r w:rsidR="0059663A" w:rsidRPr="0059663A">
        <w:rPr>
          <w:bCs/>
          <w:szCs w:val="26"/>
        </w:rPr>
        <w:t>http://</w:t>
      </w:r>
      <w:proofErr w:type="spellStart"/>
      <w:r w:rsidR="0059663A" w:rsidRPr="0059663A">
        <w:rPr>
          <w:bCs/>
          <w:szCs w:val="26"/>
        </w:rPr>
        <w:t>www.competitionbureau.gc.ca</w:t>
      </w:r>
      <w:proofErr w:type="spellEnd"/>
      <w:r w:rsidR="0059663A" w:rsidRPr="0059663A">
        <w:rPr>
          <w:bCs/>
          <w:szCs w:val="26"/>
        </w:rPr>
        <w:t>/</w:t>
      </w:r>
      <w:proofErr w:type="spellStart"/>
      <w:r w:rsidR="0059663A" w:rsidRPr="0059663A">
        <w:rPr>
          <w:bCs/>
          <w:szCs w:val="26"/>
        </w:rPr>
        <w:t>eic</w:t>
      </w:r>
      <w:proofErr w:type="spellEnd"/>
      <w:r w:rsidR="0059663A" w:rsidRPr="0059663A">
        <w:rPr>
          <w:bCs/>
          <w:szCs w:val="26"/>
        </w:rPr>
        <w:t>/site/</w:t>
      </w:r>
      <w:proofErr w:type="spellStart"/>
      <w:r w:rsidR="0059663A" w:rsidRPr="0059663A">
        <w:rPr>
          <w:bCs/>
          <w:szCs w:val="26"/>
        </w:rPr>
        <w:t>cb-bc.nsf</w:t>
      </w:r>
      <w:proofErr w:type="spellEnd"/>
      <w:r w:rsidR="0059663A" w:rsidRPr="0059663A">
        <w:rPr>
          <w:bCs/>
          <w:szCs w:val="26"/>
        </w:rPr>
        <w:t>/</w:t>
      </w:r>
      <w:r w:rsidR="0059663A">
        <w:rPr>
          <w:bCs/>
          <w:szCs w:val="26"/>
        </w:rPr>
        <w:t xml:space="preserve"> </w:t>
      </w:r>
      <w:proofErr w:type="spellStart"/>
      <w:r w:rsidRPr="00E5053B">
        <w:rPr>
          <w:bCs/>
          <w:szCs w:val="26"/>
        </w:rPr>
        <w:t>eng</w:t>
      </w:r>
      <w:proofErr w:type="spellEnd"/>
      <w:r w:rsidRPr="00E5053B">
        <w:rPr>
          <w:bCs/>
          <w:szCs w:val="26"/>
        </w:rPr>
        <w:t>/02285.html#_</w:t>
      </w:r>
      <w:proofErr w:type="spellStart"/>
      <w:r w:rsidRPr="00E5053B">
        <w:rPr>
          <w:bCs/>
          <w:szCs w:val="26"/>
        </w:rPr>
        <w:t>ftn239</w:t>
      </w:r>
      <w:proofErr w:type="spellEnd"/>
      <w:r>
        <w:rPr>
          <w:szCs w:val="26"/>
        </w:rPr>
        <w:t xml:space="preserve"> (accessed 14 November 2012).</w:t>
      </w:r>
    </w:p>
    <w:p w:rsidR="00AA297B" w:rsidRDefault="00AA297B" w:rsidP="009302D5">
      <w:pPr>
        <w:pStyle w:val="Reference"/>
      </w:pPr>
      <w:r w:rsidRPr="0052311A">
        <w:t xml:space="preserve">Conley, J and </w:t>
      </w:r>
      <w:proofErr w:type="spellStart"/>
      <w:r w:rsidRPr="0052311A">
        <w:t>Vorhaus</w:t>
      </w:r>
      <w:proofErr w:type="spellEnd"/>
      <w:r w:rsidRPr="0052311A">
        <w:t xml:space="preserve">, D. 2011, </w:t>
      </w:r>
      <w:r w:rsidRPr="0052311A">
        <w:rPr>
          <w:bCs/>
          <w:i/>
        </w:rPr>
        <w:t>Pigs Return to Earth: Federal Circuit Reinstates Most—But Not All—of Myriad’s Patents</w:t>
      </w:r>
      <w:r w:rsidRPr="0052311A">
        <w:t>, Genomics Law Report, Robinson Bradshaw and Hinson, http://</w:t>
      </w:r>
      <w:proofErr w:type="spellStart"/>
      <w:r w:rsidRPr="0052311A">
        <w:t>www.genomicslawreport.com</w:t>
      </w:r>
      <w:proofErr w:type="spellEnd"/>
      <w:r w:rsidRPr="0052311A">
        <w:t>/</w:t>
      </w:r>
      <w:proofErr w:type="spellStart"/>
      <w:r w:rsidRPr="0052311A">
        <w:t>index.php</w:t>
      </w:r>
      <w:proofErr w:type="spellEnd"/>
      <w:r w:rsidRPr="0052311A">
        <w:t>/ 2011/07/31/pigs-return-to-earth-federal-circuit-reinstates-most-but-not-all-of-myriads-patents/ (accessed 30 July 2012).</w:t>
      </w:r>
    </w:p>
    <w:p w:rsidR="002D7698" w:rsidRDefault="002D7698" w:rsidP="009302D5">
      <w:pPr>
        <w:pStyle w:val="Reference"/>
        <w:rPr>
          <w:szCs w:val="26"/>
        </w:rPr>
      </w:pPr>
      <w:r>
        <w:rPr>
          <w:szCs w:val="26"/>
        </w:rPr>
        <w:t xml:space="preserve">Cook, T. 2006, </w:t>
      </w:r>
      <w:r w:rsidRPr="00BB2555">
        <w:rPr>
          <w:i/>
          <w:szCs w:val="26"/>
        </w:rPr>
        <w:t xml:space="preserve">A European </w:t>
      </w:r>
      <w:r>
        <w:rPr>
          <w:i/>
          <w:szCs w:val="26"/>
        </w:rPr>
        <w:t>P</w:t>
      </w:r>
      <w:r w:rsidRPr="00BB2555">
        <w:rPr>
          <w:i/>
          <w:szCs w:val="26"/>
        </w:rPr>
        <w:t xml:space="preserve">erspective as to the </w:t>
      </w:r>
      <w:r>
        <w:rPr>
          <w:i/>
          <w:szCs w:val="26"/>
        </w:rPr>
        <w:t>E</w:t>
      </w:r>
      <w:r w:rsidRPr="00BB2555">
        <w:rPr>
          <w:i/>
          <w:szCs w:val="26"/>
        </w:rPr>
        <w:t xml:space="preserve">xtent to </w:t>
      </w:r>
      <w:r>
        <w:rPr>
          <w:i/>
          <w:szCs w:val="26"/>
        </w:rPr>
        <w:t>W</w:t>
      </w:r>
      <w:r w:rsidRPr="00BB2555">
        <w:rPr>
          <w:i/>
          <w:szCs w:val="26"/>
        </w:rPr>
        <w:t xml:space="preserve">hich </w:t>
      </w:r>
      <w:r>
        <w:rPr>
          <w:i/>
          <w:szCs w:val="26"/>
        </w:rPr>
        <w:t>E</w:t>
      </w:r>
      <w:r w:rsidRPr="00BB2555">
        <w:rPr>
          <w:i/>
          <w:szCs w:val="26"/>
        </w:rPr>
        <w:t xml:space="preserve">xperimental </w:t>
      </w:r>
      <w:r>
        <w:rPr>
          <w:i/>
          <w:szCs w:val="26"/>
        </w:rPr>
        <w:t>U</w:t>
      </w:r>
      <w:r w:rsidRPr="00BB2555">
        <w:rPr>
          <w:i/>
          <w:szCs w:val="26"/>
        </w:rPr>
        <w:t xml:space="preserve">se, and </w:t>
      </w:r>
      <w:r>
        <w:rPr>
          <w:i/>
          <w:szCs w:val="26"/>
        </w:rPr>
        <w:t>C</w:t>
      </w:r>
      <w:r w:rsidRPr="00BB2555">
        <w:rPr>
          <w:i/>
          <w:szCs w:val="26"/>
        </w:rPr>
        <w:t xml:space="preserve">ertain </w:t>
      </w:r>
      <w:r>
        <w:rPr>
          <w:i/>
          <w:szCs w:val="26"/>
        </w:rPr>
        <w:t>O</w:t>
      </w:r>
      <w:r w:rsidRPr="00BB2555">
        <w:rPr>
          <w:i/>
          <w:szCs w:val="26"/>
        </w:rPr>
        <w:t>ther,</w:t>
      </w:r>
      <w:r>
        <w:rPr>
          <w:i/>
          <w:szCs w:val="26"/>
        </w:rPr>
        <w:t xml:space="preserve"> D</w:t>
      </w:r>
      <w:r w:rsidRPr="00BB2555">
        <w:rPr>
          <w:i/>
          <w:szCs w:val="26"/>
        </w:rPr>
        <w:t xml:space="preserve">efences to </w:t>
      </w:r>
      <w:r>
        <w:rPr>
          <w:i/>
          <w:szCs w:val="26"/>
        </w:rPr>
        <w:t>P</w:t>
      </w:r>
      <w:r w:rsidRPr="00BB2555">
        <w:rPr>
          <w:i/>
          <w:szCs w:val="26"/>
        </w:rPr>
        <w:t xml:space="preserve">atent </w:t>
      </w:r>
      <w:r>
        <w:rPr>
          <w:i/>
          <w:szCs w:val="26"/>
        </w:rPr>
        <w:t>I</w:t>
      </w:r>
      <w:r w:rsidRPr="00BB2555">
        <w:rPr>
          <w:i/>
          <w:szCs w:val="26"/>
        </w:rPr>
        <w:t xml:space="preserve">nfringement, </w:t>
      </w:r>
      <w:r>
        <w:rPr>
          <w:i/>
          <w:szCs w:val="26"/>
        </w:rPr>
        <w:t>A</w:t>
      </w:r>
      <w:r w:rsidRPr="00BB2555">
        <w:rPr>
          <w:i/>
          <w:szCs w:val="26"/>
        </w:rPr>
        <w:t xml:space="preserve">pply to </w:t>
      </w:r>
      <w:r>
        <w:rPr>
          <w:i/>
          <w:szCs w:val="26"/>
        </w:rPr>
        <w:t>D</w:t>
      </w:r>
      <w:r w:rsidRPr="00BB2555">
        <w:rPr>
          <w:i/>
          <w:szCs w:val="26"/>
        </w:rPr>
        <w:t xml:space="preserve">iffering </w:t>
      </w:r>
      <w:r>
        <w:rPr>
          <w:i/>
          <w:szCs w:val="26"/>
        </w:rPr>
        <w:t>T</w:t>
      </w:r>
      <w:r w:rsidRPr="00BB2555">
        <w:rPr>
          <w:i/>
          <w:szCs w:val="26"/>
        </w:rPr>
        <w:t xml:space="preserve">ypes of </w:t>
      </w:r>
      <w:r>
        <w:rPr>
          <w:i/>
          <w:szCs w:val="26"/>
        </w:rPr>
        <w:t>R</w:t>
      </w:r>
      <w:r w:rsidRPr="00BB2555">
        <w:rPr>
          <w:i/>
          <w:szCs w:val="26"/>
        </w:rPr>
        <w:t>esearch</w:t>
      </w:r>
      <w:r>
        <w:rPr>
          <w:szCs w:val="26"/>
        </w:rPr>
        <w:t xml:space="preserve">, A report for the Intellectual Property Institute, March. </w:t>
      </w:r>
    </w:p>
    <w:p w:rsidR="007B2823" w:rsidRPr="00DE157D" w:rsidRDefault="007B2823" w:rsidP="007B2823">
      <w:pPr>
        <w:pStyle w:val="Reference"/>
      </w:pPr>
      <w:r w:rsidRPr="00DE157D">
        <w:t xml:space="preserve">Copyright Law Review Committee 2000, </w:t>
      </w:r>
      <w:r w:rsidRPr="00DE157D">
        <w:rPr>
          <w:i/>
        </w:rPr>
        <w:t>Jurisdiction and Procedures of the Copyright Tribunal</w:t>
      </w:r>
      <w:r w:rsidRPr="00DE157D">
        <w:t>, Canberra.</w:t>
      </w:r>
    </w:p>
    <w:p w:rsidR="007B2823" w:rsidRPr="007B2823" w:rsidRDefault="007B2823" w:rsidP="009302D5">
      <w:pPr>
        <w:pStyle w:val="Reference"/>
      </w:pPr>
      <w:r>
        <w:t xml:space="preserve">Copyright Tribunal of Australia </w:t>
      </w:r>
      <w:r w:rsidR="003C1907">
        <w:t>2009</w:t>
      </w:r>
      <w:r>
        <w:t xml:space="preserve">, </w:t>
      </w:r>
      <w:r>
        <w:rPr>
          <w:i/>
        </w:rPr>
        <w:t>About the Tribunal</w:t>
      </w:r>
      <w:r>
        <w:t xml:space="preserve">, </w:t>
      </w:r>
      <w:r w:rsidRPr="00A93787">
        <w:t>http://</w:t>
      </w:r>
      <w:proofErr w:type="spellStart"/>
      <w:r w:rsidRPr="00A93787">
        <w:t>www.copyrighttribunal.gov.au</w:t>
      </w:r>
      <w:proofErr w:type="spellEnd"/>
      <w:r w:rsidRPr="00A93787">
        <w:t>/about/</w:t>
      </w:r>
      <w:proofErr w:type="spellStart"/>
      <w:r w:rsidRPr="00A93787">
        <w:t>index.html</w:t>
      </w:r>
      <w:proofErr w:type="spellEnd"/>
      <w:r w:rsidR="009B66D1">
        <w:t xml:space="preserve"> (accessed 21 </w:t>
      </w:r>
      <w:r>
        <w:t xml:space="preserve">November 2012). </w:t>
      </w:r>
    </w:p>
    <w:p w:rsidR="00C264DE" w:rsidRDefault="00C264DE" w:rsidP="009302D5">
      <w:pPr>
        <w:pStyle w:val="Reference"/>
        <w:rPr>
          <w:szCs w:val="26"/>
        </w:rPr>
      </w:pPr>
      <w:r>
        <w:rPr>
          <w:szCs w:val="26"/>
        </w:rPr>
        <w:t xml:space="preserve">Correa, C. 1999, </w:t>
      </w:r>
      <w:r w:rsidRPr="00E16452">
        <w:rPr>
          <w:i/>
          <w:szCs w:val="26"/>
        </w:rPr>
        <w:t>Intellectual Property Rights and the use of Compulsory Licenses: Options for Developing Countries</w:t>
      </w:r>
      <w:r>
        <w:rPr>
          <w:szCs w:val="26"/>
        </w:rPr>
        <w:t>, Trade-Related Agenda Development and Equity Working Papers, no. 5, South Centre.</w:t>
      </w:r>
    </w:p>
    <w:p w:rsidR="00A11E7E" w:rsidRDefault="00A11E7E" w:rsidP="009302D5">
      <w:pPr>
        <w:pStyle w:val="Reference"/>
        <w:rPr>
          <w:szCs w:val="26"/>
        </w:rPr>
      </w:pPr>
      <w:r>
        <w:rPr>
          <w:szCs w:val="26"/>
        </w:rPr>
        <w:t xml:space="preserve">—— 2012, </w:t>
      </w:r>
      <w:r w:rsidRPr="00B927F3">
        <w:rPr>
          <w:i/>
          <w:szCs w:val="26"/>
        </w:rPr>
        <w:t>TRIPS-Related Patent Flexibilities and Food Security: Options for Developing Countries</w:t>
      </w:r>
      <w:r>
        <w:rPr>
          <w:szCs w:val="26"/>
        </w:rPr>
        <w:t>, International Centre for Trade and Sustainable Development, Geneva.</w:t>
      </w:r>
    </w:p>
    <w:p w:rsidR="00BB6E40" w:rsidRDefault="00BB6E40" w:rsidP="009302D5">
      <w:pPr>
        <w:pStyle w:val="Reference"/>
      </w:pPr>
      <w:r>
        <w:t xml:space="preserve">Council of the European Union 2011, </w:t>
      </w:r>
      <w:r w:rsidRPr="00CD4B39">
        <w:rPr>
          <w:i/>
        </w:rPr>
        <w:t>Proposal for a Regulation of the European Parliament and of the Council: Implementing enhanced cooperation in the area of the creation of unitary patent protection, note from Presidency to Council</w:t>
      </w:r>
      <w:r>
        <w:t xml:space="preserve">, </w:t>
      </w:r>
      <w:r>
        <w:lastRenderedPageBreak/>
        <w:t xml:space="preserve">11328/11, </w:t>
      </w:r>
      <w:proofErr w:type="spellStart"/>
      <w:r>
        <w:t>www.</w:t>
      </w:r>
      <w:r w:rsidRPr="00B84329">
        <w:t>register.consilium.europa.eu</w:t>
      </w:r>
      <w:proofErr w:type="spellEnd"/>
      <w:r w:rsidRPr="00B84329">
        <w:t>/pdf/en/11/</w:t>
      </w:r>
      <w:proofErr w:type="spellStart"/>
      <w:r w:rsidRPr="00B84329">
        <w:t>st11</w:t>
      </w:r>
      <w:proofErr w:type="spellEnd"/>
      <w:r w:rsidRPr="00B84329">
        <w:t>/</w:t>
      </w:r>
      <w:proofErr w:type="spellStart"/>
      <w:r w:rsidRPr="00B84329">
        <w:t>st11328.en11.pdf</w:t>
      </w:r>
      <w:proofErr w:type="spellEnd"/>
      <w:r>
        <w:t xml:space="preserve"> (accessed 17 September 2012).</w:t>
      </w:r>
    </w:p>
    <w:p w:rsidR="00DC6FB7" w:rsidRPr="00DC6FB7" w:rsidRDefault="00DC6FB7" w:rsidP="009302D5">
      <w:pPr>
        <w:pStyle w:val="Reference"/>
        <w:rPr>
          <w:szCs w:val="26"/>
        </w:rPr>
      </w:pPr>
      <w:r>
        <w:rPr>
          <w:szCs w:val="26"/>
        </w:rPr>
        <w:t xml:space="preserve">Court of First Instance (EU) 2007, </w:t>
      </w:r>
      <w:r w:rsidRPr="00226188">
        <w:rPr>
          <w:i/>
          <w:szCs w:val="26"/>
        </w:rPr>
        <w:t>Judgement of the Court of First Instance in Case T-201/04: Microsoft Corp. v Commission of the European Communities</w:t>
      </w:r>
      <w:r>
        <w:rPr>
          <w:szCs w:val="26"/>
        </w:rPr>
        <w:t xml:space="preserve">, Media release no. 63/07, 17 September. </w:t>
      </w:r>
    </w:p>
    <w:p w:rsidR="0034314E" w:rsidRDefault="00D8711C" w:rsidP="0034314E">
      <w:pPr>
        <w:pStyle w:val="Reference"/>
      </w:pPr>
      <w:r>
        <w:t>Cox, K.</w:t>
      </w:r>
      <w:r w:rsidR="007423E0">
        <w:t xml:space="preserve"> 2012, ‘The medicines patent pool: promoting access and innovation for life-saving, medicines through v</w:t>
      </w:r>
      <w:r w:rsidR="0034314E">
        <w:t>ol</w:t>
      </w:r>
      <w:r w:rsidR="007423E0">
        <w:t>untary l</w:t>
      </w:r>
      <w:r w:rsidR="0034314E">
        <w:t xml:space="preserve">icenses’, </w:t>
      </w:r>
      <w:r w:rsidR="0034314E" w:rsidRPr="00256423">
        <w:rPr>
          <w:i/>
        </w:rPr>
        <w:t>Hastings Science and Technology Law Journal</w:t>
      </w:r>
      <w:r w:rsidR="0034314E">
        <w:t>, vol. 4, pp. 293–326.</w:t>
      </w:r>
    </w:p>
    <w:p w:rsidR="00BB6E40" w:rsidRDefault="00FC1347" w:rsidP="00BB6E40">
      <w:pPr>
        <w:pStyle w:val="Reference"/>
      </w:pPr>
      <w:r>
        <w:t xml:space="preserve">Creative Commons 2012, </w:t>
      </w:r>
      <w:r>
        <w:rPr>
          <w:i/>
        </w:rPr>
        <w:t xml:space="preserve">Model Patent </w:t>
      </w:r>
      <w:r w:rsidR="00BB6E40" w:rsidRPr="00896EDF">
        <w:rPr>
          <w:i/>
        </w:rPr>
        <w:t>License</w:t>
      </w:r>
      <w:r>
        <w:t xml:space="preserve">, </w:t>
      </w:r>
      <w:r w:rsidR="00BB6E40" w:rsidRPr="00453DF0">
        <w:rPr>
          <w:bCs/>
        </w:rPr>
        <w:t>http://</w:t>
      </w:r>
      <w:proofErr w:type="spellStart"/>
      <w:r w:rsidR="00BB6E40" w:rsidRPr="00453DF0">
        <w:rPr>
          <w:bCs/>
        </w:rPr>
        <w:t>wiki.creativecommons.org</w:t>
      </w:r>
      <w:proofErr w:type="spellEnd"/>
      <w:r w:rsidR="00BB6E40" w:rsidRPr="00453DF0">
        <w:rPr>
          <w:bCs/>
        </w:rPr>
        <w:t>/</w:t>
      </w:r>
      <w:r>
        <w:rPr>
          <w:bCs/>
        </w:rPr>
        <w:t xml:space="preserve"> </w:t>
      </w:r>
      <w:proofErr w:type="spellStart"/>
      <w:r w:rsidR="00BB6E40" w:rsidRPr="00453DF0">
        <w:rPr>
          <w:bCs/>
        </w:rPr>
        <w:t>Model_Patent_License</w:t>
      </w:r>
      <w:proofErr w:type="spellEnd"/>
      <w:r w:rsidR="00BB6E40">
        <w:t xml:space="preserve"> (accessed 20 October 2012).</w:t>
      </w:r>
    </w:p>
    <w:p w:rsidR="0066632E" w:rsidRDefault="0066632E" w:rsidP="00D15E53">
      <w:pPr>
        <w:pStyle w:val="Reference"/>
      </w:pPr>
      <w:r>
        <w:t xml:space="preserve">David, P. and </w:t>
      </w:r>
      <w:proofErr w:type="spellStart"/>
      <w:r>
        <w:t>Shurmer</w:t>
      </w:r>
      <w:proofErr w:type="spellEnd"/>
      <w:r>
        <w:t xml:space="preserve">, M. 1996, ‘Formal standards-setting for global telecommunications and information services: Towards an institutional regime transformation?’, </w:t>
      </w:r>
      <w:r w:rsidRPr="0025522D">
        <w:rPr>
          <w:i/>
        </w:rPr>
        <w:t>Telecommunications Policy</w:t>
      </w:r>
      <w:r>
        <w:t>, vol. 20, no. 10, pp. 789–815.</w:t>
      </w:r>
    </w:p>
    <w:p w:rsidR="005E0BFD" w:rsidRPr="005E0BFD" w:rsidRDefault="009C2DC9" w:rsidP="00D15E53">
      <w:pPr>
        <w:pStyle w:val="Reference"/>
        <w:rPr>
          <w:szCs w:val="26"/>
        </w:rPr>
      </w:pPr>
      <w:r>
        <w:rPr>
          <w:szCs w:val="26"/>
        </w:rPr>
        <w:t>d</w:t>
      </w:r>
      <w:r w:rsidR="005E0BFD">
        <w:rPr>
          <w:szCs w:val="26"/>
        </w:rPr>
        <w:t xml:space="preserve">e </w:t>
      </w:r>
      <w:proofErr w:type="spellStart"/>
      <w:r w:rsidR="005E0BFD" w:rsidRPr="00F856B6">
        <w:rPr>
          <w:szCs w:val="26"/>
        </w:rPr>
        <w:t>Rassenfosse</w:t>
      </w:r>
      <w:proofErr w:type="spellEnd"/>
      <w:r w:rsidR="00E67D5A">
        <w:rPr>
          <w:szCs w:val="26"/>
        </w:rPr>
        <w:t>, G. and v</w:t>
      </w:r>
      <w:r w:rsidR="005E0BFD" w:rsidRPr="00F856B6">
        <w:rPr>
          <w:szCs w:val="26"/>
        </w:rPr>
        <w:t xml:space="preserve">an </w:t>
      </w:r>
      <w:proofErr w:type="spellStart"/>
      <w:r w:rsidR="005E0BFD" w:rsidRPr="00F856B6">
        <w:rPr>
          <w:szCs w:val="26"/>
        </w:rPr>
        <w:t>Pottelsberghe</w:t>
      </w:r>
      <w:proofErr w:type="spellEnd"/>
      <w:r w:rsidR="005E0BFD">
        <w:rPr>
          <w:szCs w:val="26"/>
        </w:rPr>
        <w:t xml:space="preserve">, B. 2010, </w:t>
      </w:r>
      <w:r w:rsidR="005E0BFD" w:rsidRPr="00F856B6">
        <w:rPr>
          <w:i/>
          <w:szCs w:val="26"/>
        </w:rPr>
        <w:t xml:space="preserve">The </w:t>
      </w:r>
      <w:r w:rsidR="005E0BFD">
        <w:rPr>
          <w:i/>
          <w:szCs w:val="26"/>
        </w:rPr>
        <w:t>R</w:t>
      </w:r>
      <w:r w:rsidR="005E0BFD" w:rsidRPr="00F856B6">
        <w:rPr>
          <w:i/>
          <w:szCs w:val="26"/>
        </w:rPr>
        <w:t>ole of</w:t>
      </w:r>
      <w:r w:rsidR="005E0BFD">
        <w:rPr>
          <w:i/>
          <w:szCs w:val="26"/>
        </w:rPr>
        <w:t xml:space="preserve"> F</w:t>
      </w:r>
      <w:r w:rsidR="005E0BFD" w:rsidRPr="00F856B6">
        <w:rPr>
          <w:i/>
          <w:szCs w:val="26"/>
        </w:rPr>
        <w:t xml:space="preserve">ees in </w:t>
      </w:r>
      <w:r w:rsidR="005E0BFD">
        <w:rPr>
          <w:i/>
          <w:szCs w:val="26"/>
        </w:rPr>
        <w:t>P</w:t>
      </w:r>
      <w:r w:rsidR="005E0BFD" w:rsidRPr="00F856B6">
        <w:rPr>
          <w:i/>
          <w:szCs w:val="26"/>
        </w:rPr>
        <w:t xml:space="preserve">atent </w:t>
      </w:r>
      <w:r w:rsidR="005E0BFD">
        <w:rPr>
          <w:i/>
          <w:szCs w:val="26"/>
        </w:rPr>
        <w:t>S</w:t>
      </w:r>
      <w:r w:rsidR="005E0BFD" w:rsidRPr="00F856B6">
        <w:rPr>
          <w:i/>
          <w:szCs w:val="26"/>
        </w:rPr>
        <w:t xml:space="preserve">ystems: </w:t>
      </w:r>
      <w:r w:rsidR="005E0BFD">
        <w:rPr>
          <w:i/>
          <w:szCs w:val="26"/>
        </w:rPr>
        <w:t>T</w:t>
      </w:r>
      <w:r w:rsidR="005E0BFD" w:rsidRPr="00F856B6">
        <w:rPr>
          <w:i/>
          <w:szCs w:val="26"/>
        </w:rPr>
        <w:t xml:space="preserve">heory and </w:t>
      </w:r>
      <w:r w:rsidR="005E0BFD">
        <w:rPr>
          <w:i/>
          <w:szCs w:val="26"/>
        </w:rPr>
        <w:t>E</w:t>
      </w:r>
      <w:r w:rsidR="005E0BFD" w:rsidRPr="00F856B6">
        <w:rPr>
          <w:i/>
          <w:szCs w:val="26"/>
        </w:rPr>
        <w:t>vidence</w:t>
      </w:r>
      <w:r w:rsidR="005E0BFD">
        <w:rPr>
          <w:szCs w:val="26"/>
        </w:rPr>
        <w:t xml:space="preserve">, </w:t>
      </w:r>
      <w:proofErr w:type="spellStart"/>
      <w:r w:rsidR="005E0BFD">
        <w:rPr>
          <w:szCs w:val="26"/>
        </w:rPr>
        <w:t>ECARES</w:t>
      </w:r>
      <w:proofErr w:type="spellEnd"/>
      <w:r w:rsidR="005E0BFD">
        <w:rPr>
          <w:szCs w:val="26"/>
        </w:rPr>
        <w:t xml:space="preserve"> (European </w:t>
      </w:r>
      <w:proofErr w:type="spellStart"/>
      <w:r w:rsidR="005E0BFD">
        <w:rPr>
          <w:szCs w:val="26"/>
        </w:rPr>
        <w:t>Center</w:t>
      </w:r>
      <w:proofErr w:type="spellEnd"/>
      <w:r w:rsidR="005E0BFD">
        <w:rPr>
          <w:szCs w:val="26"/>
        </w:rPr>
        <w:t xml:space="preserve"> for Advanced Research in Economics and Statistics), Working Paper 2010-023 June 2010. </w:t>
      </w:r>
    </w:p>
    <w:p w:rsidR="00A00F2F" w:rsidRDefault="00A00F2F" w:rsidP="00D15E53">
      <w:pPr>
        <w:pStyle w:val="Reference"/>
      </w:pPr>
      <w:r>
        <w:t xml:space="preserve">de Saint-Georges, M. and van </w:t>
      </w:r>
      <w:proofErr w:type="spellStart"/>
      <w:r>
        <w:t>Pottelsberghe</w:t>
      </w:r>
      <w:proofErr w:type="spellEnd"/>
      <w:r>
        <w:t xml:space="preserve">, B. 2011, </w:t>
      </w:r>
      <w:r w:rsidRPr="00CF295F">
        <w:rPr>
          <w:i/>
        </w:rPr>
        <w:t>A Quality Index for Patent Systems</w:t>
      </w:r>
      <w:r>
        <w:t xml:space="preserve">, </w:t>
      </w:r>
      <w:proofErr w:type="spellStart"/>
      <w:r>
        <w:t>ECARES</w:t>
      </w:r>
      <w:proofErr w:type="spellEnd"/>
      <w:r>
        <w:t xml:space="preserve"> working paper 2011-010. </w:t>
      </w:r>
    </w:p>
    <w:p w:rsidR="0025054B" w:rsidRDefault="009C2DC9" w:rsidP="0025054B">
      <w:pPr>
        <w:pStyle w:val="Reference"/>
        <w:rPr>
          <w:szCs w:val="26"/>
        </w:rPr>
      </w:pPr>
      <w:r>
        <w:rPr>
          <w:szCs w:val="26"/>
        </w:rPr>
        <w:t>d</w:t>
      </w:r>
      <w:r w:rsidR="0025054B">
        <w:rPr>
          <w:szCs w:val="26"/>
        </w:rPr>
        <w:t xml:space="preserve">e Wit, S. 2010, </w:t>
      </w:r>
      <w:r w:rsidR="007423E0">
        <w:rPr>
          <w:szCs w:val="26"/>
        </w:rPr>
        <w:t>‘The c</w:t>
      </w:r>
      <w:r w:rsidR="0025054B" w:rsidRPr="00711FB7">
        <w:rPr>
          <w:szCs w:val="26"/>
        </w:rPr>
        <w:t>ase e</w:t>
      </w:r>
      <w:r w:rsidR="007423E0">
        <w:rPr>
          <w:szCs w:val="26"/>
        </w:rPr>
        <w:t xml:space="preserve">Bay Inc. vs. </w:t>
      </w:r>
      <w:proofErr w:type="spellStart"/>
      <w:r w:rsidR="007423E0">
        <w:rPr>
          <w:szCs w:val="26"/>
        </w:rPr>
        <w:t>MercExchange</w:t>
      </w:r>
      <w:proofErr w:type="spellEnd"/>
      <w:r w:rsidR="007423E0">
        <w:rPr>
          <w:szCs w:val="26"/>
        </w:rPr>
        <w:t xml:space="preserve"> LLC, it’s i</w:t>
      </w:r>
      <w:r w:rsidR="0025054B" w:rsidRPr="00711FB7">
        <w:rPr>
          <w:szCs w:val="26"/>
        </w:rPr>
        <w:t xml:space="preserve">mpact on </w:t>
      </w:r>
      <w:proofErr w:type="spellStart"/>
      <w:r w:rsidR="0025054B" w:rsidRPr="00711FB7">
        <w:rPr>
          <w:szCs w:val="26"/>
        </w:rPr>
        <w:t>NPEs</w:t>
      </w:r>
      <w:proofErr w:type="spellEnd"/>
      <w:r w:rsidR="0025054B" w:rsidRPr="00711FB7">
        <w:rPr>
          <w:szCs w:val="26"/>
        </w:rPr>
        <w:t xml:space="preserve"> and </w:t>
      </w:r>
      <w:r w:rsidR="007423E0">
        <w:rPr>
          <w:szCs w:val="26"/>
        </w:rPr>
        <w:t>p</w:t>
      </w:r>
      <w:r w:rsidR="0025054B" w:rsidRPr="00711FB7">
        <w:rPr>
          <w:szCs w:val="26"/>
        </w:rPr>
        <w:t xml:space="preserve">atent </w:t>
      </w:r>
      <w:r w:rsidR="007423E0">
        <w:rPr>
          <w:szCs w:val="26"/>
        </w:rPr>
        <w:t>e</w:t>
      </w:r>
      <w:r w:rsidR="0025054B" w:rsidRPr="00711FB7">
        <w:rPr>
          <w:szCs w:val="26"/>
        </w:rPr>
        <w:t>nforcement’</w:t>
      </w:r>
      <w:r w:rsidR="0025054B">
        <w:rPr>
          <w:szCs w:val="26"/>
        </w:rPr>
        <w:t xml:space="preserve">, in Heath, C. and </w:t>
      </w:r>
      <w:proofErr w:type="spellStart"/>
      <w:r w:rsidR="0025054B">
        <w:rPr>
          <w:szCs w:val="26"/>
        </w:rPr>
        <w:t>Kamperman</w:t>
      </w:r>
      <w:proofErr w:type="spellEnd"/>
      <w:r w:rsidR="0025054B">
        <w:rPr>
          <w:szCs w:val="26"/>
        </w:rPr>
        <w:t xml:space="preserve"> Sanders, A. (</w:t>
      </w:r>
      <w:proofErr w:type="spellStart"/>
      <w:r w:rsidR="0025054B">
        <w:rPr>
          <w:szCs w:val="26"/>
        </w:rPr>
        <w:t>eds</w:t>
      </w:r>
      <w:proofErr w:type="spellEnd"/>
      <w:r w:rsidR="0025054B">
        <w:rPr>
          <w:szCs w:val="26"/>
        </w:rPr>
        <w:t xml:space="preserve">), </w:t>
      </w:r>
      <w:r w:rsidR="0025054B" w:rsidRPr="00711FB7">
        <w:rPr>
          <w:i/>
          <w:szCs w:val="26"/>
        </w:rPr>
        <w:t>IP Cases and Their Legacy</w:t>
      </w:r>
      <w:r w:rsidR="0025054B">
        <w:rPr>
          <w:szCs w:val="26"/>
        </w:rPr>
        <w:t>, Kluwer Law International.</w:t>
      </w:r>
    </w:p>
    <w:p w:rsidR="00584469" w:rsidRDefault="00584469" w:rsidP="00D15E53">
      <w:pPr>
        <w:pStyle w:val="Reference"/>
      </w:pPr>
      <w:r>
        <w:t>Dean T. 2012, ‘</w:t>
      </w:r>
      <w:r w:rsidRPr="00186469">
        <w:t>What the Raising the Bar research exemption means for biotech</w:t>
      </w:r>
      <w:r>
        <w:t xml:space="preserve">’, </w:t>
      </w:r>
      <w:r w:rsidRPr="00186469">
        <w:rPr>
          <w:i/>
        </w:rPr>
        <w:t>Australian Life Scientist</w:t>
      </w:r>
      <w:r>
        <w:t xml:space="preserve">, 15 June, </w:t>
      </w:r>
      <w:r w:rsidRPr="00363440">
        <w:rPr>
          <w:bCs/>
        </w:rPr>
        <w:t>http://</w:t>
      </w:r>
      <w:proofErr w:type="spellStart"/>
      <w:r w:rsidRPr="00363440">
        <w:rPr>
          <w:bCs/>
        </w:rPr>
        <w:t>www.lifescientist.com.au</w:t>
      </w:r>
      <w:proofErr w:type="spellEnd"/>
      <w:r w:rsidRPr="00363440">
        <w:rPr>
          <w:bCs/>
        </w:rPr>
        <w:t>/article/ 427722/</w:t>
      </w:r>
      <w:proofErr w:type="spellStart"/>
      <w:r w:rsidRPr="00363440">
        <w:rPr>
          <w:bCs/>
        </w:rPr>
        <w:t>what_raising_bar_research_exemption_means_biotech</w:t>
      </w:r>
      <w:proofErr w:type="spellEnd"/>
      <w:r w:rsidRPr="00363440">
        <w:rPr>
          <w:bCs/>
        </w:rPr>
        <w:t>/</w:t>
      </w:r>
      <w:r>
        <w:t xml:space="preserve"> (accessed 30 August 2012).</w:t>
      </w:r>
    </w:p>
    <w:p w:rsidR="00D15E53" w:rsidRDefault="007423E0" w:rsidP="00D15E53">
      <w:pPr>
        <w:pStyle w:val="Reference"/>
      </w:pPr>
      <w:proofErr w:type="spellStart"/>
      <w:r>
        <w:t>DeBoos</w:t>
      </w:r>
      <w:proofErr w:type="spellEnd"/>
      <w:r>
        <w:t>, R. 2012, ‘Compulsory licences under Australian p</w:t>
      </w:r>
      <w:r w:rsidR="00D15E53">
        <w:t xml:space="preserve">atents’, </w:t>
      </w:r>
      <w:r w:rsidR="00D15E53">
        <w:rPr>
          <w:i/>
        </w:rPr>
        <w:t xml:space="preserve">Les </w:t>
      </w:r>
      <w:proofErr w:type="spellStart"/>
      <w:r w:rsidR="00D15E53">
        <w:rPr>
          <w:i/>
        </w:rPr>
        <w:t>Nouvelles</w:t>
      </w:r>
      <w:proofErr w:type="spellEnd"/>
      <w:r w:rsidR="00D15E53">
        <w:rPr>
          <w:i/>
        </w:rPr>
        <w:t xml:space="preserve">, </w:t>
      </w:r>
      <w:r w:rsidR="00D15E53" w:rsidRPr="00110432">
        <w:t>March</w:t>
      </w:r>
      <w:r w:rsidR="00D15E53">
        <w:t>, pp. 104–07.</w:t>
      </w:r>
    </w:p>
    <w:p w:rsidR="002D2B97" w:rsidRDefault="002D2B97" w:rsidP="00D15E53">
      <w:pPr>
        <w:pStyle w:val="Reference"/>
      </w:pPr>
      <w:r>
        <w:t xml:space="preserve">—— and Wilson, S. </w:t>
      </w:r>
      <w:proofErr w:type="spellStart"/>
      <w:r>
        <w:t>nd</w:t>
      </w:r>
      <w:proofErr w:type="spellEnd"/>
      <w:r>
        <w:t xml:space="preserve">, </w:t>
      </w:r>
      <w:r w:rsidRPr="00194796">
        <w:rPr>
          <w:i/>
        </w:rPr>
        <w:t>Licensing</w:t>
      </w:r>
      <w:r>
        <w:t>, http://</w:t>
      </w:r>
      <w:proofErr w:type="spellStart"/>
      <w:r>
        <w:t>innovic.com.au</w:t>
      </w:r>
      <w:proofErr w:type="spellEnd"/>
      <w:r>
        <w:t>/</w:t>
      </w:r>
      <w:proofErr w:type="spellStart"/>
      <w:r w:rsidRPr="00194796">
        <w:t>index.php?option</w:t>
      </w:r>
      <w:proofErr w:type="spellEnd"/>
      <w:r w:rsidRPr="00194796">
        <w:t>=</w:t>
      </w:r>
      <w:r w:rsidR="002D40C2">
        <w:t xml:space="preserve"> </w:t>
      </w:r>
      <w:proofErr w:type="spellStart"/>
      <w:r w:rsidRPr="00194796">
        <w:t>com_content&amp;task</w:t>
      </w:r>
      <w:proofErr w:type="spellEnd"/>
      <w:r w:rsidRPr="00194796">
        <w:t>=</w:t>
      </w:r>
      <w:proofErr w:type="spellStart"/>
      <w:r w:rsidRPr="00194796">
        <w:t>view&amp;id</w:t>
      </w:r>
      <w:proofErr w:type="spellEnd"/>
      <w:r w:rsidRPr="00194796">
        <w:t>=</w:t>
      </w:r>
      <w:proofErr w:type="spellStart"/>
      <w:r w:rsidRPr="00194796">
        <w:t>22&amp;Itemid</w:t>
      </w:r>
      <w:proofErr w:type="spellEnd"/>
      <w:r w:rsidRPr="00194796">
        <w:t>=56</w:t>
      </w:r>
      <w:r>
        <w:t xml:space="preserve"> (accessed 3 September 2012).</w:t>
      </w:r>
    </w:p>
    <w:p w:rsidR="00713659" w:rsidRPr="00713659" w:rsidRDefault="00713659" w:rsidP="00D15E53">
      <w:pPr>
        <w:pStyle w:val="Reference"/>
        <w:rPr>
          <w:szCs w:val="26"/>
        </w:rPr>
      </w:pPr>
      <w:proofErr w:type="spellStart"/>
      <w:r>
        <w:rPr>
          <w:szCs w:val="26"/>
        </w:rPr>
        <w:t>Delrahim</w:t>
      </w:r>
      <w:proofErr w:type="spellEnd"/>
      <w:r>
        <w:rPr>
          <w:szCs w:val="26"/>
        </w:rPr>
        <w:t xml:space="preserve">, M. 2004, </w:t>
      </w:r>
      <w:r w:rsidRPr="00C74C94">
        <w:rPr>
          <w:i/>
          <w:szCs w:val="26"/>
        </w:rPr>
        <w:t>Forcing Firms to Share the Sandbox: Compulsory Licensing of Intellectual Property Rights and Antitrust</w:t>
      </w:r>
      <w:r>
        <w:rPr>
          <w:szCs w:val="26"/>
        </w:rPr>
        <w:t xml:space="preserve">, presented at the British Institute of International and Comparative Law, 10 May 2004. </w:t>
      </w:r>
    </w:p>
    <w:p w:rsidR="00ED7445" w:rsidRDefault="007423E0" w:rsidP="00ED7445">
      <w:pPr>
        <w:pStyle w:val="Reference"/>
      </w:pPr>
      <w:proofErr w:type="spellStart"/>
      <w:r>
        <w:t>Denicolo</w:t>
      </w:r>
      <w:proofErr w:type="spellEnd"/>
      <w:r>
        <w:t>, V. 1996, ‘Patent races and optimal length and b</w:t>
      </w:r>
      <w:r w:rsidR="00ED7445">
        <w:t xml:space="preserve">readth’, </w:t>
      </w:r>
      <w:r w:rsidR="00ED7445" w:rsidRPr="00A85D30">
        <w:rPr>
          <w:i/>
        </w:rPr>
        <w:t>The Journal of Industrial Economics</w:t>
      </w:r>
      <w:r w:rsidR="00ED7445">
        <w:t>, vol. 44, no. 3, pp. 249–265.</w:t>
      </w:r>
    </w:p>
    <w:p w:rsidR="00BD6843" w:rsidRDefault="00BD6843" w:rsidP="00ED7445">
      <w:pPr>
        <w:pStyle w:val="Reference"/>
      </w:pPr>
      <w:proofErr w:type="spellStart"/>
      <w:r>
        <w:lastRenderedPageBreak/>
        <w:t>DFAT</w:t>
      </w:r>
      <w:proofErr w:type="spellEnd"/>
      <w:r>
        <w:t xml:space="preserve"> (Department of Foreign Affairs and Trade) 2004, </w:t>
      </w:r>
      <w:r w:rsidRPr="007423E0">
        <w:rPr>
          <w:i/>
        </w:rPr>
        <w:t>Australia–United States Free Trade Agreement — Guide to the Agreement</w:t>
      </w:r>
      <w:r>
        <w:t xml:space="preserve">, </w:t>
      </w:r>
      <w:r w:rsidRPr="00872C7F">
        <w:t>http://</w:t>
      </w:r>
      <w:proofErr w:type="spellStart"/>
      <w:r w:rsidRPr="00872C7F">
        <w:t>www.dfat.gov.au</w:t>
      </w:r>
      <w:proofErr w:type="spellEnd"/>
      <w:r w:rsidRPr="00872C7F">
        <w:t>/</w:t>
      </w:r>
      <w:proofErr w:type="spellStart"/>
      <w:r w:rsidRPr="00872C7F">
        <w:t>fta</w:t>
      </w:r>
      <w:proofErr w:type="spellEnd"/>
      <w:r w:rsidRPr="00872C7F">
        <w:t>/</w:t>
      </w:r>
      <w:r>
        <w:t xml:space="preserve"> </w:t>
      </w:r>
      <w:proofErr w:type="spellStart"/>
      <w:r w:rsidRPr="00872C7F">
        <w:t>ausfta</w:t>
      </w:r>
      <w:proofErr w:type="spellEnd"/>
      <w:r w:rsidRPr="00872C7F">
        <w:t>/guide/</w:t>
      </w:r>
      <w:proofErr w:type="spellStart"/>
      <w:r w:rsidRPr="00872C7F">
        <w:t>ausfta_guide.pdf</w:t>
      </w:r>
      <w:proofErr w:type="spellEnd"/>
      <w:r>
        <w:t xml:space="preserve"> (accessed 27 November 2012).</w:t>
      </w:r>
    </w:p>
    <w:p w:rsidR="008130CD" w:rsidRPr="00BD6843" w:rsidRDefault="008130CD" w:rsidP="00ED7445">
      <w:pPr>
        <w:pStyle w:val="Reference"/>
      </w:pPr>
      <w:r>
        <w:t>—— </w:t>
      </w:r>
      <w:proofErr w:type="spellStart"/>
      <w:r>
        <w:t>nd</w:t>
      </w:r>
      <w:proofErr w:type="spellEnd"/>
      <w:r>
        <w:t xml:space="preserve">, </w:t>
      </w:r>
      <w:r w:rsidR="005148E2" w:rsidRPr="00FB66BA">
        <w:rPr>
          <w:i/>
        </w:rPr>
        <w:t>Treaty Making Process</w:t>
      </w:r>
      <w:r w:rsidR="005148E2">
        <w:t xml:space="preserve">, </w:t>
      </w:r>
      <w:r w:rsidR="005148E2" w:rsidRPr="00145C6C">
        <w:t>http://</w:t>
      </w:r>
      <w:proofErr w:type="spellStart"/>
      <w:r w:rsidR="005148E2" w:rsidRPr="00145C6C">
        <w:t>www.dfat.gov.au</w:t>
      </w:r>
      <w:proofErr w:type="spellEnd"/>
      <w:r w:rsidR="005148E2" w:rsidRPr="00145C6C">
        <w:t>/treaties/making/</w:t>
      </w:r>
      <w:r w:rsidR="007423E0">
        <w:t xml:space="preserve"> (accessed </w:t>
      </w:r>
      <w:r w:rsidR="005148E2">
        <w:t>3 December 2012).</w:t>
      </w:r>
    </w:p>
    <w:p w:rsidR="00D44DCD" w:rsidRDefault="00D44DCD" w:rsidP="00ED7445">
      <w:pPr>
        <w:pStyle w:val="Reference"/>
      </w:pPr>
      <w:proofErr w:type="spellStart"/>
      <w:r w:rsidRPr="004A0D29">
        <w:t>DIISRTE</w:t>
      </w:r>
      <w:proofErr w:type="spellEnd"/>
      <w:r w:rsidRPr="004A0D29">
        <w:t xml:space="preserve"> (Department of Industry, Innovation, Science, Research and Tertiary Education) 2012, </w:t>
      </w:r>
      <w:r w:rsidRPr="007423E0">
        <w:rPr>
          <w:i/>
        </w:rPr>
        <w:t>Budget: Portfolio Budget Statements 2012-13</w:t>
      </w:r>
      <w:r w:rsidRPr="004A0D29">
        <w:t>, Budget Related Paper no. 1.13, Canberra.</w:t>
      </w:r>
    </w:p>
    <w:p w:rsidR="00995D4D" w:rsidRDefault="00995D4D" w:rsidP="00995D4D">
      <w:pPr>
        <w:pStyle w:val="Reference"/>
      </w:pPr>
      <w:r>
        <w:t xml:space="preserve">Doctors Without Borders 2010, </w:t>
      </w:r>
      <w:r w:rsidRPr="004A6A49">
        <w:rPr>
          <w:i/>
        </w:rPr>
        <w:t>NIH Entry Into Medicines Patent Pool is a Welcome First Step</w:t>
      </w:r>
      <w:r>
        <w:t xml:space="preserve">, </w:t>
      </w:r>
      <w:r w:rsidRPr="004A6A49">
        <w:t>http://</w:t>
      </w:r>
      <w:proofErr w:type="spellStart"/>
      <w:r w:rsidRPr="004A6A49">
        <w:t>www.doctorswithoutborders.org</w:t>
      </w:r>
      <w:proofErr w:type="spellEnd"/>
      <w:r w:rsidRPr="004A6A49">
        <w:t>/press/release .</w:t>
      </w:r>
      <w:proofErr w:type="spellStart"/>
      <w:r w:rsidRPr="004A6A49">
        <w:t>cfm?id</w:t>
      </w:r>
      <w:proofErr w:type="spellEnd"/>
      <w:r w:rsidRPr="004A6A49">
        <w:t>=</w:t>
      </w:r>
      <w:proofErr w:type="spellStart"/>
      <w:r w:rsidRPr="004A6A49">
        <w:t>4768&amp;cat</w:t>
      </w:r>
      <w:proofErr w:type="spellEnd"/>
      <w:r w:rsidRPr="004A6A49">
        <w:t>=press-release</w:t>
      </w:r>
      <w:r>
        <w:t xml:space="preserve"> (accessed 18 September 2012).</w:t>
      </w:r>
    </w:p>
    <w:p w:rsidR="00716324" w:rsidRDefault="00B1643C" w:rsidP="00716324">
      <w:pPr>
        <w:pStyle w:val="Reference"/>
        <w:rPr>
          <w:rStyle w:val="Hyperlink"/>
          <w:b w:val="0"/>
        </w:rPr>
      </w:pPr>
      <w:r>
        <w:t xml:space="preserve">DOHA (Department of Health and Ageing) </w:t>
      </w:r>
      <w:proofErr w:type="spellStart"/>
      <w:r w:rsidR="00B90AAC">
        <w:t>2009a</w:t>
      </w:r>
      <w:proofErr w:type="spellEnd"/>
      <w:r w:rsidR="00B90AAC">
        <w:t>,</w:t>
      </w:r>
      <w:r w:rsidR="00B90AAC" w:rsidRPr="004415E7">
        <w:rPr>
          <w:i/>
        </w:rPr>
        <w:t xml:space="preserve"> </w:t>
      </w:r>
      <w:r w:rsidR="00B90AAC">
        <w:rPr>
          <w:i/>
        </w:rPr>
        <w:t>Australian Statistics on Medicines 2009</w:t>
      </w:r>
      <w:r w:rsidR="00B90AAC">
        <w:t xml:space="preserve">, </w:t>
      </w:r>
      <w:r w:rsidR="00B90AAC" w:rsidRPr="00B90AAC">
        <w:rPr>
          <w:bCs/>
        </w:rPr>
        <w:t>www.health.gov.au/internet/main/publishing.nsf/Content/pbs-asm-2009</w:t>
      </w:r>
      <w:r w:rsidR="00B90AAC">
        <w:rPr>
          <w:rStyle w:val="Hyperlink"/>
        </w:rPr>
        <w:t xml:space="preserve"> </w:t>
      </w:r>
      <w:r w:rsidR="00B90AAC" w:rsidRPr="00B90AAC">
        <w:rPr>
          <w:rStyle w:val="Hyperlink"/>
          <w:b w:val="0"/>
        </w:rPr>
        <w:t>(accessed 19 November 2012).</w:t>
      </w:r>
    </w:p>
    <w:p w:rsidR="004D68E9" w:rsidRDefault="004D68E9" w:rsidP="00716324">
      <w:pPr>
        <w:pStyle w:val="Reference"/>
      </w:pPr>
      <w:r>
        <w:t>—— </w:t>
      </w:r>
      <w:proofErr w:type="spellStart"/>
      <w:r>
        <w:t>2009b</w:t>
      </w:r>
      <w:proofErr w:type="spellEnd"/>
      <w:r>
        <w:t xml:space="preserve">, </w:t>
      </w:r>
      <w:r w:rsidR="00716212" w:rsidRPr="00585A72">
        <w:rPr>
          <w:i/>
        </w:rPr>
        <w:t>Review of Health Technology Assessment in Australia</w:t>
      </w:r>
      <w:r w:rsidR="00716212">
        <w:rPr>
          <w:i/>
        </w:rPr>
        <w:t xml:space="preserve"> 2009</w:t>
      </w:r>
      <w:r w:rsidR="00716212">
        <w:t xml:space="preserve">, </w:t>
      </w:r>
      <w:r w:rsidR="00716212" w:rsidRPr="00716212">
        <w:rPr>
          <w:bCs/>
        </w:rPr>
        <w:t>http://www.health.gov.au/internet/main/publishing.nsf/Content/hta-review</w:t>
      </w:r>
      <w:r w:rsidR="00716212">
        <w:t xml:space="preserve"> (accessed 20 October 2012).</w:t>
      </w:r>
    </w:p>
    <w:p w:rsidR="00D44DCD" w:rsidRDefault="00B1643C" w:rsidP="00D44DCD">
      <w:pPr>
        <w:pStyle w:val="Reference"/>
      </w:pPr>
      <w:r>
        <w:t>—— </w:t>
      </w:r>
      <w:proofErr w:type="spellStart"/>
      <w:r w:rsidR="00D44DCD">
        <w:t>2011</w:t>
      </w:r>
      <w:r w:rsidR="00A54AFF">
        <w:t>a</w:t>
      </w:r>
      <w:proofErr w:type="spellEnd"/>
      <w:r w:rsidR="00D44DCD">
        <w:t xml:space="preserve">, </w:t>
      </w:r>
      <w:r w:rsidR="00D44DCD" w:rsidRPr="00403A3A">
        <w:rPr>
          <w:i/>
        </w:rPr>
        <w:t>Review of the Funding Arrangements for Pathology Services</w:t>
      </w:r>
      <w:r w:rsidR="00D44DCD">
        <w:t>, Final Discussion Paper, Medical Bene</w:t>
      </w:r>
      <w:r w:rsidR="00CF0F90">
        <w:t>fits Reviews Task Group, March.</w:t>
      </w:r>
    </w:p>
    <w:p w:rsidR="00A54AFF" w:rsidRDefault="00A54AFF" w:rsidP="00D44DCD">
      <w:pPr>
        <w:pStyle w:val="Reference"/>
      </w:pPr>
      <w:r>
        <w:t>—— </w:t>
      </w:r>
      <w:proofErr w:type="spellStart"/>
      <w:r>
        <w:t>2011b</w:t>
      </w:r>
      <w:proofErr w:type="spellEnd"/>
      <w:r>
        <w:t xml:space="preserve">, </w:t>
      </w:r>
      <w:r w:rsidRPr="00403A3A">
        <w:rPr>
          <w:i/>
        </w:rPr>
        <w:t>Review of the Funding Arrangements for Pathology Services</w:t>
      </w:r>
      <w:r>
        <w:t>, Agreement,</w:t>
      </w:r>
      <w:r w:rsidRPr="00CB706F">
        <w:t xml:space="preserve"> </w:t>
      </w:r>
      <w:r w:rsidR="001252A1" w:rsidRPr="00086346">
        <w:t>http://</w:t>
      </w:r>
      <w:proofErr w:type="spellStart"/>
      <w:r w:rsidR="001252A1" w:rsidRPr="00086346">
        <w:t>www.health.gov.au</w:t>
      </w:r>
      <w:proofErr w:type="spellEnd"/>
      <w:r w:rsidR="001252A1" w:rsidRPr="00086346">
        <w:t>/internet/main/</w:t>
      </w:r>
      <w:proofErr w:type="spellStart"/>
      <w:r w:rsidR="001252A1" w:rsidRPr="00086346">
        <w:t>publishing.nsf</w:t>
      </w:r>
      <w:proofErr w:type="spellEnd"/>
      <w:r w:rsidR="001252A1" w:rsidRPr="00086346">
        <w:t>/Content/ pathology-</w:t>
      </w:r>
      <w:proofErr w:type="spellStart"/>
      <w:r w:rsidR="001252A1" w:rsidRPr="00086346">
        <w:t>pfa</w:t>
      </w:r>
      <w:proofErr w:type="spellEnd"/>
      <w:r w:rsidR="001252A1" w:rsidRPr="00086346">
        <w:t>-genetics-</w:t>
      </w:r>
      <w:proofErr w:type="spellStart"/>
      <w:r w:rsidR="001252A1" w:rsidRPr="00086346">
        <w:t>engagstrat</w:t>
      </w:r>
      <w:proofErr w:type="spellEnd"/>
      <w:r w:rsidR="00CB706F" w:rsidRPr="00086346">
        <w:t xml:space="preserve">, (accessed 3 December 2012). </w:t>
      </w:r>
    </w:p>
    <w:p w:rsidR="005B18A0" w:rsidRDefault="00D322CB" w:rsidP="00D44DCD">
      <w:pPr>
        <w:pStyle w:val="Reference"/>
      </w:pPr>
      <w:r>
        <w:t>—— 2012</w:t>
      </w:r>
      <w:r w:rsidR="005B18A0">
        <w:t xml:space="preserve">, </w:t>
      </w:r>
      <w:r w:rsidR="005B18A0" w:rsidRPr="00515256">
        <w:rPr>
          <w:i/>
        </w:rPr>
        <w:t>Proposal for Changes to the Medical Services Advisory Committee (</w:t>
      </w:r>
      <w:proofErr w:type="spellStart"/>
      <w:r w:rsidR="005B18A0" w:rsidRPr="00515256">
        <w:rPr>
          <w:i/>
        </w:rPr>
        <w:t>MSAC</w:t>
      </w:r>
      <w:proofErr w:type="spellEnd"/>
      <w:r w:rsidR="005B18A0" w:rsidRPr="00515256">
        <w:rPr>
          <w:i/>
        </w:rPr>
        <w:t>) processes for applications for public funding</w:t>
      </w:r>
      <w:r w:rsidR="005B18A0">
        <w:t xml:space="preserve">, Discussion Paper, </w:t>
      </w:r>
      <w:r w:rsidR="005B18A0" w:rsidRPr="005B18A0">
        <w:rPr>
          <w:bCs/>
        </w:rPr>
        <w:t>http://www.msac.gov.au/internet/msac/publishing.nsf/Content/A48922EF8ED</w:t>
      </w:r>
      <w:r w:rsidR="00422B23">
        <w:rPr>
          <w:bCs/>
        </w:rPr>
        <w:t xml:space="preserve"> </w:t>
      </w:r>
      <w:proofErr w:type="spellStart"/>
      <w:r w:rsidR="005B18A0" w:rsidRPr="005B18A0">
        <w:rPr>
          <w:bCs/>
        </w:rPr>
        <w:t>B222ACA257926007930E9</w:t>
      </w:r>
      <w:proofErr w:type="spellEnd"/>
      <w:r w:rsidR="005B18A0" w:rsidRPr="005B18A0">
        <w:rPr>
          <w:bCs/>
        </w:rPr>
        <w:t>/$File/</w:t>
      </w:r>
      <w:proofErr w:type="spellStart"/>
      <w:r w:rsidR="005B18A0" w:rsidRPr="005B18A0">
        <w:rPr>
          <w:bCs/>
        </w:rPr>
        <w:t>MSAC%20Discussion%20Paper.pdf</w:t>
      </w:r>
      <w:proofErr w:type="spellEnd"/>
      <w:r w:rsidR="005B18A0">
        <w:t xml:space="preserve"> (accessed 22 October 2012).</w:t>
      </w:r>
    </w:p>
    <w:p w:rsidR="00CF0F90" w:rsidRPr="00CF0F90" w:rsidRDefault="00CF0F90" w:rsidP="00D44DCD">
      <w:pPr>
        <w:pStyle w:val="Reference"/>
      </w:pPr>
      <w:proofErr w:type="spellStart"/>
      <w:r w:rsidRPr="00CF0F90">
        <w:t>Drexl</w:t>
      </w:r>
      <w:proofErr w:type="spellEnd"/>
      <w:r w:rsidRPr="00CF0F90">
        <w:t>, J</w:t>
      </w:r>
      <w:r>
        <w:t>.</w:t>
      </w:r>
      <w:r w:rsidRPr="00CF0F90">
        <w:t xml:space="preserve"> 2005, </w:t>
      </w:r>
      <w:r w:rsidRPr="00CF0F90">
        <w:rPr>
          <w:i/>
        </w:rPr>
        <w:t>Abuse of Dominance in Licensing and Refusal to License: A ‘More Economic Approach’ to Competition by Imitation and to Competition by Substitution</w:t>
      </w:r>
      <w:r w:rsidRPr="00CF0F90">
        <w:t>, http://www.eui.eu/RSCAS/Research/Competition/2005/200510-CompDrexl.pdf (accessed 27 November 2012).</w:t>
      </w:r>
    </w:p>
    <w:p w:rsidR="00F10E47" w:rsidRDefault="00F10E47" w:rsidP="003B3CC2">
      <w:pPr>
        <w:pStyle w:val="Reference"/>
      </w:pPr>
      <w:proofErr w:type="spellStart"/>
      <w:r>
        <w:t>EGIPRV</w:t>
      </w:r>
      <w:proofErr w:type="spellEnd"/>
      <w:r>
        <w:t xml:space="preserve"> (Expert Group on Intellectual Property Rights Valorisation) 2012, </w:t>
      </w:r>
      <w:r w:rsidRPr="007108CE">
        <w:rPr>
          <w:i/>
        </w:rPr>
        <w:t>Options for an EU instrument for patent valorisation</w:t>
      </w:r>
      <w:r>
        <w:t xml:space="preserve">, European Union. </w:t>
      </w:r>
    </w:p>
    <w:p w:rsidR="003B3CC2" w:rsidRDefault="003B3CC2" w:rsidP="003B3CC2">
      <w:pPr>
        <w:pStyle w:val="Reference"/>
      </w:pPr>
      <w:proofErr w:type="spellStart"/>
      <w:r>
        <w:t>Encaoua</w:t>
      </w:r>
      <w:proofErr w:type="spellEnd"/>
      <w:r>
        <w:t xml:space="preserve">, D., </w:t>
      </w:r>
      <w:proofErr w:type="spellStart"/>
      <w:r>
        <w:t>Guellec</w:t>
      </w:r>
      <w:proofErr w:type="spellEnd"/>
      <w:r>
        <w:t xml:space="preserve">, D., and Martinez, C. 2006, ‘Patent systems for encouraging innovation: Lessons from economic analysis’, </w:t>
      </w:r>
      <w:r w:rsidRPr="006A4A50">
        <w:rPr>
          <w:i/>
        </w:rPr>
        <w:t>Research Policy</w:t>
      </w:r>
      <w:r>
        <w:t>, no. 35, pp. 1423–1440.</w:t>
      </w:r>
    </w:p>
    <w:p w:rsidR="001B6D9B" w:rsidRDefault="0067590D" w:rsidP="003B3CC2">
      <w:pPr>
        <w:pStyle w:val="Reference"/>
      </w:pPr>
      <w:proofErr w:type="spellStart"/>
      <w:r>
        <w:lastRenderedPageBreak/>
        <w:t>EPO</w:t>
      </w:r>
      <w:proofErr w:type="spellEnd"/>
      <w:r>
        <w:t xml:space="preserve"> (European Patent Office)</w:t>
      </w:r>
      <w:r w:rsidR="001B6D9B">
        <w:t xml:space="preserve"> 2007,</w:t>
      </w:r>
      <w:r>
        <w:t xml:space="preserve"> </w:t>
      </w:r>
      <w:r w:rsidR="001B6D9B">
        <w:rPr>
          <w:i/>
          <w:iCs/>
        </w:rPr>
        <w:t>Scenarios for the Future</w:t>
      </w:r>
      <w:r w:rsidR="00F10E47">
        <w:t>,</w:t>
      </w:r>
      <w:r w:rsidR="001B6D9B">
        <w:t xml:space="preserve"> European Patent Office</w:t>
      </w:r>
      <w:r w:rsidR="00F10E47">
        <w:t>,</w:t>
      </w:r>
      <w:r w:rsidR="00F10E47" w:rsidRPr="00F10E47">
        <w:t xml:space="preserve"> </w:t>
      </w:r>
      <w:r w:rsidR="00F10E47">
        <w:t>Munich</w:t>
      </w:r>
      <w:r w:rsidR="001B6D9B">
        <w:t>.</w:t>
      </w:r>
    </w:p>
    <w:p w:rsidR="00F10E47" w:rsidRDefault="00F10E47" w:rsidP="003B3CC2">
      <w:pPr>
        <w:pStyle w:val="Reference"/>
      </w:pPr>
      <w:r>
        <w:t xml:space="preserve">—— 2009, </w:t>
      </w:r>
      <w:r w:rsidRPr="002E2A9D">
        <w:rPr>
          <w:i/>
        </w:rPr>
        <w:t>Annual Report 2008</w:t>
      </w:r>
      <w:r>
        <w:t>, European Patent Office, Munich.</w:t>
      </w:r>
    </w:p>
    <w:p w:rsidR="0067590D" w:rsidRDefault="001B6D9B" w:rsidP="003B3CC2">
      <w:pPr>
        <w:pStyle w:val="Reference"/>
      </w:pPr>
      <w:r>
        <w:t>—— </w:t>
      </w:r>
      <w:r w:rsidR="00C66549">
        <w:t xml:space="preserve">2011, </w:t>
      </w:r>
      <w:proofErr w:type="spellStart"/>
      <w:r w:rsidR="00C66549" w:rsidRPr="005B1ADE">
        <w:rPr>
          <w:i/>
        </w:rPr>
        <w:t>Espacen</w:t>
      </w:r>
      <w:r w:rsidR="001C2191">
        <w:rPr>
          <w:i/>
        </w:rPr>
        <w:t>et</w:t>
      </w:r>
      <w:proofErr w:type="spellEnd"/>
      <w:r w:rsidR="001C2191">
        <w:rPr>
          <w:i/>
        </w:rPr>
        <w:t>: Free access to more than 70 </w:t>
      </w:r>
      <w:r w:rsidR="00C66549" w:rsidRPr="005B1ADE">
        <w:rPr>
          <w:i/>
        </w:rPr>
        <w:t>million patent documents worldwide</w:t>
      </w:r>
      <w:r w:rsidR="00C66549">
        <w:t xml:space="preserve">, </w:t>
      </w:r>
      <w:r w:rsidRPr="001B6D9B">
        <w:rPr>
          <w:bCs/>
        </w:rPr>
        <w:t>http://</w:t>
      </w:r>
      <w:proofErr w:type="spellStart"/>
      <w:r w:rsidRPr="001B6D9B">
        <w:rPr>
          <w:bCs/>
        </w:rPr>
        <w:t>documents.epo.org</w:t>
      </w:r>
      <w:proofErr w:type="spellEnd"/>
      <w:r w:rsidRPr="001B6D9B">
        <w:rPr>
          <w:bCs/>
        </w:rPr>
        <w:t>/projects/</w:t>
      </w:r>
      <w:proofErr w:type="spellStart"/>
      <w:r w:rsidRPr="001B6D9B">
        <w:rPr>
          <w:bCs/>
        </w:rPr>
        <w:t>babylon</w:t>
      </w:r>
      <w:proofErr w:type="spellEnd"/>
      <w:r w:rsidRPr="001B6D9B">
        <w:rPr>
          <w:bCs/>
        </w:rPr>
        <w:t>/</w:t>
      </w:r>
      <w:proofErr w:type="spellStart"/>
      <w:r w:rsidRPr="001B6D9B">
        <w:rPr>
          <w:bCs/>
        </w:rPr>
        <w:t>eponet.nsf</w:t>
      </w:r>
      <w:proofErr w:type="spellEnd"/>
      <w:r w:rsidRPr="001B6D9B">
        <w:rPr>
          <w:bCs/>
        </w:rPr>
        <w:t>/0/</w:t>
      </w:r>
      <w:proofErr w:type="spellStart"/>
      <w:r w:rsidR="00C66549" w:rsidRPr="005B1ADE">
        <w:t>4E8744EB</w:t>
      </w:r>
      <w:proofErr w:type="spellEnd"/>
      <w:r w:rsidR="00535FA6">
        <w:t xml:space="preserve"> </w:t>
      </w:r>
      <w:proofErr w:type="spellStart"/>
      <w:r w:rsidR="00C66549" w:rsidRPr="005B1ADE">
        <w:t>66E8F944C12577D600598EEF</w:t>
      </w:r>
      <w:proofErr w:type="spellEnd"/>
      <w:r w:rsidR="00C66549" w:rsidRPr="005B1ADE">
        <w:t>/$File/</w:t>
      </w:r>
      <w:proofErr w:type="spellStart"/>
      <w:r w:rsidR="00C66549" w:rsidRPr="005B1ADE">
        <w:t>espacenet_brochure_en.pdf</w:t>
      </w:r>
      <w:proofErr w:type="spellEnd"/>
      <w:r w:rsidR="00535FA6">
        <w:t xml:space="preserve"> (accessed 19 </w:t>
      </w:r>
      <w:r w:rsidR="00C66549">
        <w:t>September 2012).</w:t>
      </w:r>
    </w:p>
    <w:p w:rsidR="00C97908" w:rsidRDefault="00514958" w:rsidP="003B3CC2">
      <w:pPr>
        <w:pStyle w:val="Reference"/>
      </w:pPr>
      <w:r>
        <w:t>—— </w:t>
      </w:r>
      <w:proofErr w:type="spellStart"/>
      <w:r>
        <w:t>2012</w:t>
      </w:r>
      <w:r w:rsidR="00C97908">
        <w:t>a</w:t>
      </w:r>
      <w:proofErr w:type="spellEnd"/>
      <w:r>
        <w:t xml:space="preserve">, </w:t>
      </w:r>
      <w:r w:rsidR="00C97908" w:rsidRPr="00C97908">
        <w:rPr>
          <w:i/>
        </w:rPr>
        <w:t>FAQ — China</w:t>
      </w:r>
      <w:r w:rsidR="00C97908">
        <w:t xml:space="preserve">, </w:t>
      </w:r>
      <w:r w:rsidR="00C97908" w:rsidRPr="00C97908">
        <w:rPr>
          <w:bCs/>
        </w:rPr>
        <w:t>http://</w:t>
      </w:r>
      <w:proofErr w:type="spellStart"/>
      <w:r w:rsidR="00C97908" w:rsidRPr="00C97908">
        <w:rPr>
          <w:bCs/>
        </w:rPr>
        <w:t>www.epo.org</w:t>
      </w:r>
      <w:proofErr w:type="spellEnd"/>
      <w:r w:rsidR="00C97908" w:rsidRPr="00C97908">
        <w:rPr>
          <w:bCs/>
        </w:rPr>
        <w:t>/searching/</w:t>
      </w:r>
      <w:proofErr w:type="spellStart"/>
      <w:r w:rsidR="00C97908" w:rsidRPr="00C97908">
        <w:rPr>
          <w:bCs/>
        </w:rPr>
        <w:t>asian</w:t>
      </w:r>
      <w:proofErr w:type="spellEnd"/>
      <w:r w:rsidR="00C97908" w:rsidRPr="00C97908">
        <w:rPr>
          <w:bCs/>
        </w:rPr>
        <w:t>/china/</w:t>
      </w:r>
      <w:proofErr w:type="spellStart"/>
      <w:r w:rsidR="00C97908" w:rsidRPr="00C97908">
        <w:rPr>
          <w:bCs/>
        </w:rPr>
        <w:t>faq.html</w:t>
      </w:r>
      <w:proofErr w:type="spellEnd"/>
      <w:r w:rsidR="00C97908">
        <w:rPr>
          <w:bCs/>
        </w:rPr>
        <w:t xml:space="preserve"> </w:t>
      </w:r>
      <w:r w:rsidR="00C97908" w:rsidRPr="00C97908">
        <w:rPr>
          <w:bCs/>
        </w:rPr>
        <w:t>#</w:t>
      </w:r>
      <w:proofErr w:type="spellStart"/>
      <w:r w:rsidR="00C97908" w:rsidRPr="00C97908">
        <w:rPr>
          <w:bCs/>
        </w:rPr>
        <w:t>faq</w:t>
      </w:r>
      <w:proofErr w:type="spellEnd"/>
      <w:r w:rsidR="00C97908" w:rsidRPr="00C97908">
        <w:rPr>
          <w:bCs/>
        </w:rPr>
        <w:t>-487</w:t>
      </w:r>
      <w:r w:rsidR="00C97908">
        <w:t xml:space="preserve"> (accessed 24 September 2012)</w:t>
      </w:r>
      <w:r w:rsidR="00A0082C">
        <w:t>.</w:t>
      </w:r>
    </w:p>
    <w:p w:rsidR="00AB62B1" w:rsidRDefault="00AB62B1" w:rsidP="003B3CC2">
      <w:pPr>
        <w:pStyle w:val="Reference"/>
      </w:pPr>
      <w:r>
        <w:t>—— </w:t>
      </w:r>
      <w:proofErr w:type="spellStart"/>
      <w:r>
        <w:t>2012b</w:t>
      </w:r>
      <w:proofErr w:type="spellEnd"/>
      <w:r>
        <w:t xml:space="preserve">, </w:t>
      </w:r>
      <w:r w:rsidRPr="00AB62B1">
        <w:rPr>
          <w:i/>
        </w:rPr>
        <w:t>Granted Patents</w:t>
      </w:r>
      <w:r>
        <w:t xml:space="preserve">, </w:t>
      </w:r>
      <w:r w:rsidRPr="00AB62B1">
        <w:rPr>
          <w:bCs/>
        </w:rPr>
        <w:t>http://</w:t>
      </w:r>
      <w:proofErr w:type="spellStart"/>
      <w:r w:rsidRPr="00AB62B1">
        <w:rPr>
          <w:bCs/>
        </w:rPr>
        <w:t>www.epo.org</w:t>
      </w:r>
      <w:proofErr w:type="spellEnd"/>
      <w:r w:rsidRPr="00AB62B1">
        <w:rPr>
          <w:bCs/>
        </w:rPr>
        <w:t>/about-us/statistics/granted-</w:t>
      </w:r>
      <w:proofErr w:type="spellStart"/>
      <w:r w:rsidRPr="00AB62B1">
        <w:rPr>
          <w:bCs/>
        </w:rPr>
        <w:t>patents.html</w:t>
      </w:r>
      <w:proofErr w:type="spellEnd"/>
      <w:r w:rsidRPr="00AB62B1">
        <w:t xml:space="preserve"> </w:t>
      </w:r>
      <w:r>
        <w:t>(accessed 26 September 2012).</w:t>
      </w:r>
    </w:p>
    <w:p w:rsidR="00514958" w:rsidRDefault="00C97908" w:rsidP="003B3CC2">
      <w:pPr>
        <w:pStyle w:val="Reference"/>
      </w:pPr>
      <w:r w:rsidRPr="00C97908">
        <w:t>—— </w:t>
      </w:r>
      <w:proofErr w:type="spellStart"/>
      <w:r w:rsidR="00AB62B1">
        <w:t>2012c</w:t>
      </w:r>
      <w:proofErr w:type="spellEnd"/>
      <w:r w:rsidRPr="00C97908">
        <w:t>,</w:t>
      </w:r>
      <w:r>
        <w:rPr>
          <w:i/>
        </w:rPr>
        <w:t xml:space="preserve"> </w:t>
      </w:r>
      <w:r w:rsidR="00514958" w:rsidRPr="002E2A9D">
        <w:rPr>
          <w:i/>
        </w:rPr>
        <w:t xml:space="preserve">Unitary Patent / EU </w:t>
      </w:r>
      <w:r w:rsidR="00514958">
        <w:rPr>
          <w:i/>
        </w:rPr>
        <w:t>P</w:t>
      </w:r>
      <w:r w:rsidR="00514958" w:rsidRPr="002E2A9D">
        <w:rPr>
          <w:i/>
        </w:rPr>
        <w:t>atent</w:t>
      </w:r>
      <w:r w:rsidR="00514958" w:rsidRPr="00D46C09">
        <w:t>,</w:t>
      </w:r>
      <w:r w:rsidR="00514958" w:rsidRPr="00D46C09">
        <w:rPr>
          <w:b/>
        </w:rPr>
        <w:t xml:space="preserve"> </w:t>
      </w:r>
      <w:r w:rsidR="00514958" w:rsidRPr="00E5053B">
        <w:rPr>
          <w:bCs/>
        </w:rPr>
        <w:t>http://</w:t>
      </w:r>
      <w:proofErr w:type="spellStart"/>
      <w:r w:rsidR="00514958" w:rsidRPr="00E5053B">
        <w:rPr>
          <w:bCs/>
        </w:rPr>
        <w:t>www.epo.org</w:t>
      </w:r>
      <w:proofErr w:type="spellEnd"/>
      <w:r w:rsidR="00514958" w:rsidRPr="00E5053B">
        <w:rPr>
          <w:bCs/>
        </w:rPr>
        <w:t>/news-issues/issues/</w:t>
      </w:r>
      <w:proofErr w:type="spellStart"/>
      <w:r w:rsidR="00514958" w:rsidRPr="00E5053B">
        <w:rPr>
          <w:bCs/>
        </w:rPr>
        <w:t>eu-patent.html</w:t>
      </w:r>
      <w:proofErr w:type="spellEnd"/>
      <w:r w:rsidR="00514958">
        <w:t xml:space="preserve"> (accessed 5 September 2012).</w:t>
      </w:r>
    </w:p>
    <w:p w:rsidR="003B3CC2" w:rsidRDefault="00D8711C" w:rsidP="003B3CC2">
      <w:pPr>
        <w:pStyle w:val="Reference"/>
      </w:pPr>
      <w:r>
        <w:t>Epstein, R.</w:t>
      </w:r>
      <w:r w:rsidR="003B3CC2">
        <w:t xml:space="preserve"> and </w:t>
      </w:r>
      <w:proofErr w:type="spellStart"/>
      <w:r w:rsidR="003B3CC2">
        <w:t>Kief</w:t>
      </w:r>
      <w:r>
        <w:t>f</w:t>
      </w:r>
      <w:proofErr w:type="spellEnd"/>
      <w:r>
        <w:t>, F.</w:t>
      </w:r>
      <w:r w:rsidR="00A34DBF">
        <w:t xml:space="preserve"> 2011, ‘Questioning the frequency and wisdom of compulsory licensing for pharmaceutical p</w:t>
      </w:r>
      <w:r w:rsidR="003B3CC2">
        <w:t xml:space="preserve">atents’, </w:t>
      </w:r>
      <w:r w:rsidR="003B3CC2" w:rsidRPr="00A21502">
        <w:rPr>
          <w:i/>
        </w:rPr>
        <w:t>The University of Chicago Law Review</w:t>
      </w:r>
      <w:r w:rsidR="003B3CC2">
        <w:t>, vol. 78, no. 1, pp. 71–93.</w:t>
      </w:r>
    </w:p>
    <w:p w:rsidR="0066632E" w:rsidRDefault="0066632E" w:rsidP="003B3CC2">
      <w:pPr>
        <w:pStyle w:val="Reference"/>
      </w:pPr>
      <w:r>
        <w:rPr>
          <w:bCs/>
        </w:rPr>
        <w:t xml:space="preserve">Ericsson 2012, </w:t>
      </w:r>
      <w:r w:rsidRPr="0066632E">
        <w:rPr>
          <w:bCs/>
          <w:i/>
        </w:rPr>
        <w:t xml:space="preserve">Ericsson on </w:t>
      </w:r>
      <w:proofErr w:type="spellStart"/>
      <w:r w:rsidRPr="0066632E">
        <w:rPr>
          <w:bCs/>
          <w:i/>
        </w:rPr>
        <w:t>FRAND</w:t>
      </w:r>
      <w:proofErr w:type="spellEnd"/>
      <w:r w:rsidRPr="0066632E">
        <w:rPr>
          <w:bCs/>
          <w:i/>
        </w:rPr>
        <w:t xml:space="preserve"> and SEP Litigation</w:t>
      </w:r>
      <w:r>
        <w:rPr>
          <w:bCs/>
        </w:rPr>
        <w:t xml:space="preserve">, </w:t>
      </w:r>
      <w:r w:rsidRPr="00EF4B73">
        <w:t xml:space="preserve">Contribution to International Telecommunications Union Patent Roundtable, 10 October 2012, Geneva, </w:t>
      </w:r>
      <w:r w:rsidRPr="0066632E">
        <w:rPr>
          <w:bCs/>
        </w:rPr>
        <w:t>http://</w:t>
      </w:r>
      <w:proofErr w:type="spellStart"/>
      <w:r w:rsidRPr="0066632E">
        <w:rPr>
          <w:bCs/>
        </w:rPr>
        <w:t>www.itu.int</w:t>
      </w:r>
      <w:proofErr w:type="spellEnd"/>
      <w:r w:rsidRPr="0066632E">
        <w:rPr>
          <w:bCs/>
        </w:rPr>
        <w:t>/</w:t>
      </w:r>
      <w:proofErr w:type="spellStart"/>
      <w:r w:rsidRPr="0066632E">
        <w:rPr>
          <w:bCs/>
        </w:rPr>
        <w:t>oth</w:t>
      </w:r>
      <w:proofErr w:type="spellEnd"/>
      <w:r w:rsidRPr="0066632E">
        <w:rPr>
          <w:bCs/>
        </w:rPr>
        <w:t>/</w:t>
      </w:r>
      <w:proofErr w:type="spellStart"/>
      <w:r w:rsidRPr="0066632E">
        <w:rPr>
          <w:bCs/>
        </w:rPr>
        <w:t>T065B000034</w:t>
      </w:r>
      <w:proofErr w:type="spellEnd"/>
      <w:r w:rsidRPr="00EF4B73">
        <w:t xml:space="preserve"> </w:t>
      </w:r>
      <w:r>
        <w:rPr>
          <w:bCs/>
        </w:rPr>
        <w:t>(accessed 15 November</w:t>
      </w:r>
      <w:r w:rsidRPr="0052311A">
        <w:rPr>
          <w:bCs/>
        </w:rPr>
        <w:t xml:space="preserve"> 2012)</w:t>
      </w:r>
      <w:r>
        <w:rPr>
          <w:bCs/>
        </w:rPr>
        <w:t>.</w:t>
      </w:r>
    </w:p>
    <w:p w:rsidR="0084786C" w:rsidRPr="0084786C" w:rsidRDefault="0084786C" w:rsidP="003B3CC2">
      <w:pPr>
        <w:pStyle w:val="Reference"/>
        <w:rPr>
          <w:szCs w:val="26"/>
        </w:rPr>
      </w:pPr>
      <w:r>
        <w:rPr>
          <w:szCs w:val="26"/>
        </w:rPr>
        <w:t xml:space="preserve">Essential Inventions 2004, </w:t>
      </w:r>
      <w:r w:rsidRPr="00CE6803">
        <w:rPr>
          <w:i/>
          <w:szCs w:val="26"/>
        </w:rPr>
        <w:t>Ritonavir (</w:t>
      </w:r>
      <w:proofErr w:type="spellStart"/>
      <w:r w:rsidRPr="00CE6803">
        <w:rPr>
          <w:i/>
          <w:szCs w:val="26"/>
        </w:rPr>
        <w:t>Norvir</w:t>
      </w:r>
      <w:proofErr w:type="spellEnd"/>
      <w:r w:rsidRPr="00CE6803">
        <w:rPr>
          <w:i/>
          <w:szCs w:val="26"/>
        </w:rPr>
        <w:t>)</w:t>
      </w:r>
      <w:r>
        <w:rPr>
          <w:szCs w:val="26"/>
        </w:rPr>
        <w:t xml:space="preserve">, </w:t>
      </w:r>
      <w:r w:rsidRPr="00E5053B">
        <w:rPr>
          <w:bCs/>
          <w:szCs w:val="26"/>
        </w:rPr>
        <w:t>http://</w:t>
      </w:r>
      <w:proofErr w:type="spellStart"/>
      <w:r w:rsidRPr="00E5053B">
        <w:rPr>
          <w:bCs/>
          <w:szCs w:val="26"/>
        </w:rPr>
        <w:t>www.essentialinventions.org</w:t>
      </w:r>
      <w:proofErr w:type="spellEnd"/>
      <w:r w:rsidRPr="00E5053B">
        <w:rPr>
          <w:bCs/>
          <w:szCs w:val="26"/>
        </w:rPr>
        <w:t>/</w:t>
      </w:r>
      <w:r w:rsidRPr="00E5053B">
        <w:rPr>
          <w:bCs/>
          <w:szCs w:val="26"/>
        </w:rPr>
        <w:br/>
        <w:t>drug/</w:t>
      </w:r>
      <w:proofErr w:type="spellStart"/>
      <w:r w:rsidRPr="00E5053B">
        <w:rPr>
          <w:bCs/>
          <w:szCs w:val="26"/>
        </w:rPr>
        <w:t>ritonavir.html</w:t>
      </w:r>
      <w:proofErr w:type="spellEnd"/>
      <w:r w:rsidRPr="00664624">
        <w:rPr>
          <w:b/>
          <w:szCs w:val="26"/>
        </w:rPr>
        <w:t xml:space="preserve"> </w:t>
      </w:r>
      <w:r>
        <w:rPr>
          <w:szCs w:val="26"/>
        </w:rPr>
        <w:t>(accessed 20 September 2012).</w:t>
      </w:r>
    </w:p>
    <w:p w:rsidR="00135350" w:rsidRDefault="00135350" w:rsidP="00135350">
      <w:pPr>
        <w:pStyle w:val="Reference"/>
      </w:pPr>
      <w:proofErr w:type="spellStart"/>
      <w:r w:rsidRPr="0052311A">
        <w:t>ETC</w:t>
      </w:r>
      <w:proofErr w:type="spellEnd"/>
      <w:r w:rsidRPr="0052311A">
        <w:t xml:space="preserve"> Group (</w:t>
      </w:r>
      <w:r w:rsidRPr="0052311A">
        <w:rPr>
          <w:rStyle w:val="BodyTextChar"/>
          <w:lang w:val="en"/>
        </w:rPr>
        <w:t xml:space="preserve">Action Group on Erosion, Technology and Concentration) 2010, </w:t>
      </w:r>
      <w:r w:rsidRPr="0052311A">
        <w:rPr>
          <w:bCs/>
          <w:i/>
        </w:rPr>
        <w:t>Ge</w:t>
      </w:r>
      <w:r>
        <w:rPr>
          <w:bCs/>
          <w:i/>
        </w:rPr>
        <w:t>ne Giants Stockpile Patents on ‘Climate-ready’</w:t>
      </w:r>
      <w:r w:rsidRPr="0052311A">
        <w:rPr>
          <w:bCs/>
          <w:i/>
        </w:rPr>
        <w:t xml:space="preserve"> Crops in Bid to </w:t>
      </w:r>
      <w:r>
        <w:rPr>
          <w:bCs/>
          <w:i/>
        </w:rPr>
        <w:t>become ‘</w:t>
      </w:r>
      <w:proofErr w:type="spellStart"/>
      <w:r>
        <w:rPr>
          <w:bCs/>
          <w:i/>
        </w:rPr>
        <w:t>Biomassters</w:t>
      </w:r>
      <w:proofErr w:type="spellEnd"/>
      <w:r>
        <w:rPr>
          <w:bCs/>
          <w:i/>
        </w:rPr>
        <w:t>’</w:t>
      </w:r>
      <w:r w:rsidRPr="0052311A">
        <w:rPr>
          <w:bCs/>
          <w:i/>
        </w:rPr>
        <w:t xml:space="preserve">, </w:t>
      </w:r>
      <w:r w:rsidRPr="0052311A">
        <w:rPr>
          <w:bCs/>
        </w:rPr>
        <w:t xml:space="preserve">Issue 106, </w:t>
      </w:r>
      <w:r w:rsidRPr="00370C73">
        <w:rPr>
          <w:bCs/>
        </w:rPr>
        <w:t>http://</w:t>
      </w:r>
      <w:proofErr w:type="spellStart"/>
      <w:r w:rsidRPr="00370C73">
        <w:rPr>
          <w:bCs/>
        </w:rPr>
        <w:t>stopogm.net</w:t>
      </w:r>
      <w:proofErr w:type="spellEnd"/>
      <w:r w:rsidRPr="00370C73">
        <w:rPr>
          <w:bCs/>
        </w:rPr>
        <w:t>/</w:t>
      </w:r>
      <w:proofErr w:type="spellStart"/>
      <w:r w:rsidRPr="00370C73">
        <w:rPr>
          <w:bCs/>
        </w:rPr>
        <w:t>mwginternal</w:t>
      </w:r>
      <w:proofErr w:type="spellEnd"/>
      <w:r w:rsidRPr="00370C73">
        <w:rPr>
          <w:bCs/>
        </w:rPr>
        <w:t>/</w:t>
      </w:r>
      <w:proofErr w:type="spellStart"/>
      <w:r w:rsidRPr="00370C73">
        <w:rPr>
          <w:bCs/>
        </w:rPr>
        <w:t>de5fs23hu</w:t>
      </w:r>
      <w:proofErr w:type="spellEnd"/>
      <w:r w:rsidRPr="00370C73">
        <w:rPr>
          <w:bCs/>
        </w:rPr>
        <w:t xml:space="preserve"> </w:t>
      </w:r>
      <w:proofErr w:type="spellStart"/>
      <w:r w:rsidRPr="00370C73">
        <w:rPr>
          <w:bCs/>
        </w:rPr>
        <w:t>73ds</w:t>
      </w:r>
      <w:proofErr w:type="spellEnd"/>
      <w:r w:rsidRPr="00370C73">
        <w:rPr>
          <w:bCs/>
        </w:rPr>
        <w:t>/</w:t>
      </w:r>
      <w:proofErr w:type="spellStart"/>
      <w:r w:rsidRPr="00370C73">
        <w:rPr>
          <w:bCs/>
        </w:rPr>
        <w:t>progress?id</w:t>
      </w:r>
      <w:proofErr w:type="spellEnd"/>
      <w:r w:rsidRPr="00370C73">
        <w:rPr>
          <w:bCs/>
        </w:rPr>
        <w:t>=</w:t>
      </w:r>
      <w:proofErr w:type="spellStart"/>
      <w:r w:rsidRPr="00370C73">
        <w:rPr>
          <w:bCs/>
        </w:rPr>
        <w:t>IJln4lPxWY&amp;dl</w:t>
      </w:r>
      <w:proofErr w:type="spellEnd"/>
      <w:r w:rsidRPr="0052311A">
        <w:rPr>
          <w:bCs/>
        </w:rPr>
        <w:t xml:space="preserve"> </w:t>
      </w:r>
      <w:r w:rsidRPr="0052311A">
        <w:t>(accessed 4 September 2012).</w:t>
      </w:r>
    </w:p>
    <w:p w:rsidR="00CF0F90" w:rsidRDefault="00CF0F90" w:rsidP="00135350">
      <w:pPr>
        <w:pStyle w:val="Reference"/>
      </w:pPr>
      <w:r>
        <w:t xml:space="preserve">European Commission 2004, </w:t>
      </w:r>
      <w:r w:rsidRPr="00DC6F3C">
        <w:rPr>
          <w:i/>
        </w:rPr>
        <w:t xml:space="preserve">Guidelines on the </w:t>
      </w:r>
      <w:r>
        <w:rPr>
          <w:i/>
        </w:rPr>
        <w:t>A</w:t>
      </w:r>
      <w:r w:rsidRPr="00DE157D">
        <w:rPr>
          <w:i/>
        </w:rPr>
        <w:t xml:space="preserve">pplication of </w:t>
      </w:r>
      <w:r w:rsidRPr="00DC6F3C">
        <w:rPr>
          <w:i/>
        </w:rPr>
        <w:t xml:space="preserve">Article 81 of the EC Treaty to </w:t>
      </w:r>
      <w:r>
        <w:rPr>
          <w:i/>
        </w:rPr>
        <w:t>T</w:t>
      </w:r>
      <w:r w:rsidRPr="00DC6F3C">
        <w:rPr>
          <w:i/>
        </w:rPr>
        <w:t xml:space="preserve">echnology </w:t>
      </w:r>
      <w:r>
        <w:rPr>
          <w:i/>
        </w:rPr>
        <w:t>T</w:t>
      </w:r>
      <w:r w:rsidRPr="00DC6F3C">
        <w:rPr>
          <w:i/>
        </w:rPr>
        <w:t xml:space="preserve">ransfer </w:t>
      </w:r>
      <w:r>
        <w:rPr>
          <w:i/>
        </w:rPr>
        <w:t>A</w:t>
      </w:r>
      <w:r w:rsidRPr="00DE157D">
        <w:rPr>
          <w:i/>
        </w:rPr>
        <w:t>greements</w:t>
      </w:r>
      <w:r>
        <w:t xml:space="preserve">, </w:t>
      </w:r>
      <w:r w:rsidRPr="00DE157D">
        <w:t>http://</w:t>
      </w:r>
      <w:proofErr w:type="spellStart"/>
      <w:r w:rsidRPr="00DE157D">
        <w:t>eur-lex.europa.eu</w:t>
      </w:r>
      <w:proofErr w:type="spellEnd"/>
      <w:r w:rsidRPr="00DE157D">
        <w:t>/</w:t>
      </w:r>
      <w:proofErr w:type="spellStart"/>
      <w:r w:rsidRPr="00DE157D">
        <w:t>LexUriServ</w:t>
      </w:r>
      <w:proofErr w:type="spellEnd"/>
      <w:r w:rsidRPr="00DE157D">
        <w:t>/</w:t>
      </w:r>
      <w:r>
        <w:t xml:space="preserve"> </w:t>
      </w:r>
      <w:proofErr w:type="spellStart"/>
      <w:r w:rsidRPr="00DC6F3C">
        <w:t>LexUriServ.do?uri</w:t>
      </w:r>
      <w:proofErr w:type="spellEnd"/>
      <w:r w:rsidRPr="00DC6F3C">
        <w:t>=</w:t>
      </w:r>
      <w:proofErr w:type="spellStart"/>
      <w:r w:rsidRPr="00DC6F3C">
        <w:t>CELEX:52004XC0427</w:t>
      </w:r>
      <w:proofErr w:type="spellEnd"/>
      <w:r w:rsidRPr="00DC6F3C">
        <w:t>(01):</w:t>
      </w:r>
      <w:proofErr w:type="spellStart"/>
      <w:r w:rsidRPr="00DC6F3C">
        <w:t>EN:NOT</w:t>
      </w:r>
      <w:proofErr w:type="spellEnd"/>
      <w:r>
        <w:t xml:space="preserve"> (accessed 1 November 2012).</w:t>
      </w:r>
    </w:p>
    <w:p w:rsidR="00F82249" w:rsidRPr="0052311A" w:rsidRDefault="00F82249" w:rsidP="00135350">
      <w:pPr>
        <w:pStyle w:val="Reference"/>
      </w:pPr>
      <w:r>
        <w:t>—— </w:t>
      </w:r>
      <w:r>
        <w:rPr>
          <w:szCs w:val="26"/>
        </w:rPr>
        <w:t xml:space="preserve">2008, </w:t>
      </w:r>
      <w:r w:rsidR="00A34DBF">
        <w:rPr>
          <w:i/>
          <w:szCs w:val="26"/>
        </w:rPr>
        <w:t>Antitrust: Commission Imposes € 899 Million Penalty on Microsoft for Non-C</w:t>
      </w:r>
      <w:r w:rsidRPr="00E80CC6">
        <w:rPr>
          <w:i/>
          <w:szCs w:val="26"/>
        </w:rPr>
        <w:t>ompliance with March 2004 Decision</w:t>
      </w:r>
      <w:r>
        <w:rPr>
          <w:szCs w:val="26"/>
        </w:rPr>
        <w:t xml:space="preserve">, </w:t>
      </w:r>
      <w:r w:rsidRPr="00E71F33">
        <w:rPr>
          <w:bCs/>
          <w:szCs w:val="26"/>
        </w:rPr>
        <w:t>http://</w:t>
      </w:r>
      <w:proofErr w:type="spellStart"/>
      <w:r w:rsidRPr="00E71F33">
        <w:rPr>
          <w:bCs/>
          <w:szCs w:val="26"/>
        </w:rPr>
        <w:t>europa.eu</w:t>
      </w:r>
      <w:proofErr w:type="spellEnd"/>
      <w:r w:rsidRPr="00E71F33">
        <w:rPr>
          <w:bCs/>
          <w:szCs w:val="26"/>
        </w:rPr>
        <w:t>/rapid/press-</w:t>
      </w:r>
      <w:proofErr w:type="spellStart"/>
      <w:r w:rsidRPr="00E71F33">
        <w:rPr>
          <w:bCs/>
          <w:szCs w:val="26"/>
        </w:rPr>
        <w:t>release_IP</w:t>
      </w:r>
      <w:proofErr w:type="spellEnd"/>
      <w:r w:rsidRPr="00E71F33">
        <w:rPr>
          <w:bCs/>
          <w:szCs w:val="26"/>
        </w:rPr>
        <w:t>-08-</w:t>
      </w:r>
      <w:proofErr w:type="spellStart"/>
      <w:r w:rsidRPr="00E71F33">
        <w:rPr>
          <w:bCs/>
          <w:szCs w:val="26"/>
        </w:rPr>
        <w:t>318_en.htm</w:t>
      </w:r>
      <w:proofErr w:type="spellEnd"/>
      <w:r>
        <w:rPr>
          <w:szCs w:val="26"/>
        </w:rPr>
        <w:t xml:space="preserve"> (accessed 28 November 2012).</w:t>
      </w:r>
    </w:p>
    <w:p w:rsidR="00013A7F" w:rsidRDefault="00013A7F" w:rsidP="00013A7F">
      <w:pPr>
        <w:pStyle w:val="Reference"/>
      </w:pPr>
      <w:proofErr w:type="spellStart"/>
      <w:r>
        <w:t>Ewen</w:t>
      </w:r>
      <w:proofErr w:type="spellEnd"/>
      <w:r>
        <w:t xml:space="preserve">, M. 2010, ‘Medicine prices, availability, affordability and price components’, presentation to WHO, </w:t>
      </w:r>
      <w:proofErr w:type="spellStart"/>
      <w:r>
        <w:t>WIPO</w:t>
      </w:r>
      <w:proofErr w:type="spellEnd"/>
      <w:r>
        <w:t xml:space="preserve"> and WTO Joint T</w:t>
      </w:r>
      <w:r w:rsidR="002C538E">
        <w:t>echnical Symposium, 16 July</w:t>
      </w:r>
      <w:r>
        <w:t>.</w:t>
      </w:r>
    </w:p>
    <w:p w:rsidR="00C6569A" w:rsidRPr="00C6569A" w:rsidRDefault="00C6569A" w:rsidP="00013A7F">
      <w:pPr>
        <w:pStyle w:val="Reference"/>
        <w:rPr>
          <w:szCs w:val="26"/>
        </w:rPr>
      </w:pPr>
      <w:proofErr w:type="spellStart"/>
      <w:r>
        <w:rPr>
          <w:szCs w:val="26"/>
        </w:rPr>
        <w:lastRenderedPageBreak/>
        <w:t>Ezrachi</w:t>
      </w:r>
      <w:proofErr w:type="spellEnd"/>
      <w:r>
        <w:rPr>
          <w:szCs w:val="26"/>
        </w:rPr>
        <w:t xml:space="preserve">, A. and </w:t>
      </w:r>
      <w:proofErr w:type="spellStart"/>
      <w:r>
        <w:rPr>
          <w:szCs w:val="26"/>
        </w:rPr>
        <w:t>Maggiolino</w:t>
      </w:r>
      <w:proofErr w:type="spellEnd"/>
      <w:r>
        <w:rPr>
          <w:szCs w:val="26"/>
        </w:rPr>
        <w:t xml:space="preserve">, M. 2012, ‘European competition law, compulsory licensing , and innovation’, </w:t>
      </w:r>
      <w:r w:rsidRPr="00E80CC6">
        <w:rPr>
          <w:i/>
          <w:szCs w:val="26"/>
        </w:rPr>
        <w:t>Journal of Competition Law &amp; Economics</w:t>
      </w:r>
      <w:r>
        <w:rPr>
          <w:szCs w:val="26"/>
        </w:rPr>
        <w:t xml:space="preserve">, vol. 8, no. 3, pp. 595–614. </w:t>
      </w:r>
    </w:p>
    <w:p w:rsidR="00D2332A" w:rsidRDefault="00D2332A" w:rsidP="00801167">
      <w:pPr>
        <w:pStyle w:val="Reference"/>
      </w:pPr>
      <w:proofErr w:type="spellStart"/>
      <w:r w:rsidRPr="0052311A">
        <w:t>FEC</w:t>
      </w:r>
      <w:proofErr w:type="spellEnd"/>
      <w:r w:rsidRPr="0052311A">
        <w:t xml:space="preserve"> (Food Ethics Council) 2002, </w:t>
      </w:r>
      <w:r w:rsidRPr="0052311A">
        <w:rPr>
          <w:i/>
        </w:rPr>
        <w:t>Trips with Everything: Intellectual Property and the Farming World</w:t>
      </w:r>
      <w:r w:rsidRPr="0052311A">
        <w:t xml:space="preserve">, </w:t>
      </w:r>
      <w:r w:rsidRPr="00370C73">
        <w:rPr>
          <w:bCs/>
        </w:rPr>
        <w:t>http://</w:t>
      </w:r>
      <w:proofErr w:type="spellStart"/>
      <w:r w:rsidRPr="00370C73">
        <w:rPr>
          <w:bCs/>
        </w:rPr>
        <w:t>www.foodethicscouncil.org</w:t>
      </w:r>
      <w:proofErr w:type="spellEnd"/>
      <w:r w:rsidRPr="00370C73">
        <w:rPr>
          <w:bCs/>
        </w:rPr>
        <w:t>/system/files/</w:t>
      </w:r>
      <w:proofErr w:type="spellStart"/>
      <w:r w:rsidRPr="00370C73">
        <w:rPr>
          <w:bCs/>
        </w:rPr>
        <w:t>trips.pdf</w:t>
      </w:r>
      <w:proofErr w:type="spellEnd"/>
      <w:r>
        <w:t xml:space="preserve"> (accessed 4 September 2012).</w:t>
      </w:r>
    </w:p>
    <w:p w:rsidR="00632C8B" w:rsidRDefault="00331AB5" w:rsidP="00801167">
      <w:pPr>
        <w:pStyle w:val="Reference"/>
      </w:pPr>
      <w:r>
        <w:t xml:space="preserve">Federal Court of Australia </w:t>
      </w:r>
      <w:r w:rsidR="00676D3C">
        <w:t>20</w:t>
      </w:r>
      <w:r>
        <w:t>12</w:t>
      </w:r>
      <w:r w:rsidR="00676D3C">
        <w:t xml:space="preserve"> (and previous issues)</w:t>
      </w:r>
      <w:r w:rsidR="00D120E3">
        <w:t>,</w:t>
      </w:r>
      <w:r w:rsidR="00632C8B">
        <w:t xml:space="preserve"> </w:t>
      </w:r>
      <w:r w:rsidR="00632C8B" w:rsidRPr="00632C8B">
        <w:rPr>
          <w:i/>
        </w:rPr>
        <w:t>Annual Report</w:t>
      </w:r>
      <w:r>
        <w:rPr>
          <w:i/>
        </w:rPr>
        <w:t>s</w:t>
      </w:r>
      <w:r w:rsidR="00632C8B" w:rsidRPr="00632C8B">
        <w:t xml:space="preserve">, </w:t>
      </w:r>
      <w:r w:rsidRPr="00331AB5">
        <w:rPr>
          <w:bCs/>
        </w:rPr>
        <w:t>http://</w:t>
      </w:r>
      <w:proofErr w:type="spellStart"/>
      <w:r w:rsidRPr="00331AB5">
        <w:rPr>
          <w:bCs/>
        </w:rPr>
        <w:t>www.federalcourt</w:t>
      </w:r>
      <w:proofErr w:type="spellEnd"/>
      <w:r w:rsidRPr="00331AB5">
        <w:t>.</w:t>
      </w:r>
      <w:r w:rsidR="00BF19AA">
        <w:t xml:space="preserve"> </w:t>
      </w:r>
      <w:proofErr w:type="spellStart"/>
      <w:r w:rsidRPr="00331AB5">
        <w:t>gov.au</w:t>
      </w:r>
      <w:proofErr w:type="spellEnd"/>
      <w:r w:rsidRPr="00331AB5">
        <w:t>/</w:t>
      </w:r>
      <w:proofErr w:type="spellStart"/>
      <w:r w:rsidRPr="00331AB5">
        <w:t>aboutct</w:t>
      </w:r>
      <w:proofErr w:type="spellEnd"/>
      <w:r w:rsidRPr="00331AB5">
        <w:t>/</w:t>
      </w:r>
      <w:proofErr w:type="spellStart"/>
      <w:r w:rsidRPr="00331AB5">
        <w:t>ar.html</w:t>
      </w:r>
      <w:proofErr w:type="spellEnd"/>
      <w:r>
        <w:t xml:space="preserve"> </w:t>
      </w:r>
      <w:r w:rsidR="00632C8B" w:rsidRPr="00632C8B">
        <w:t>(accessed 26 October 2012).</w:t>
      </w:r>
    </w:p>
    <w:p w:rsidR="00D120E3" w:rsidRDefault="00632C8B" w:rsidP="00801167">
      <w:pPr>
        <w:pStyle w:val="Reference"/>
      </w:pPr>
      <w:r>
        <w:t xml:space="preserve">—— 2012, </w:t>
      </w:r>
      <w:r w:rsidR="00D120E3">
        <w:rPr>
          <w:i/>
        </w:rPr>
        <w:t>Fees Charged by the Court</w:t>
      </w:r>
      <w:r w:rsidR="00D120E3">
        <w:t xml:space="preserve">, </w:t>
      </w:r>
      <w:r w:rsidRPr="00632C8B">
        <w:rPr>
          <w:bCs/>
        </w:rPr>
        <w:t>http://</w:t>
      </w:r>
      <w:proofErr w:type="spellStart"/>
      <w:r w:rsidRPr="00632C8B">
        <w:rPr>
          <w:bCs/>
        </w:rPr>
        <w:t>www.fedcourt.gov.au</w:t>
      </w:r>
      <w:proofErr w:type="spellEnd"/>
      <w:r w:rsidRPr="00632C8B">
        <w:rPr>
          <w:bCs/>
        </w:rPr>
        <w:t>/</w:t>
      </w:r>
      <w:proofErr w:type="spellStart"/>
      <w:r w:rsidRPr="00632C8B">
        <w:rPr>
          <w:bCs/>
        </w:rPr>
        <w:t>fff</w:t>
      </w:r>
      <w:proofErr w:type="spellEnd"/>
      <w:r w:rsidRPr="00632C8B">
        <w:rPr>
          <w:bCs/>
        </w:rPr>
        <w:t>/</w:t>
      </w:r>
      <w:r>
        <w:t xml:space="preserve"> </w:t>
      </w:r>
      <w:proofErr w:type="spellStart"/>
      <w:r w:rsidR="00D120E3" w:rsidRPr="000003ED">
        <w:t>fff_feesandcosts_fees.html</w:t>
      </w:r>
      <w:proofErr w:type="spellEnd"/>
      <w:r w:rsidR="00D120E3">
        <w:t>, (accessed 26 October 2012).</w:t>
      </w:r>
    </w:p>
    <w:p w:rsidR="004715B2" w:rsidRDefault="004715B2" w:rsidP="00801167">
      <w:pPr>
        <w:pStyle w:val="Reference"/>
      </w:pPr>
      <w:proofErr w:type="spellStart"/>
      <w:r>
        <w:t>Fels</w:t>
      </w:r>
      <w:proofErr w:type="spellEnd"/>
      <w:r>
        <w:t xml:space="preserve">, A. 2002, </w:t>
      </w:r>
      <w:r w:rsidRPr="00DE157D">
        <w:rPr>
          <w:i/>
        </w:rPr>
        <w:t>Intellectual Property and Competition</w:t>
      </w:r>
      <w:r>
        <w:t>, paper presented at Melbourne Business School Conference on Protecting Intellectual Property or Protecting Consumers: Is there a Trade-off?, Melbourne, 6 December 2002.</w:t>
      </w:r>
    </w:p>
    <w:p w:rsidR="00801167" w:rsidRDefault="00801167" w:rsidP="00801167">
      <w:pPr>
        <w:pStyle w:val="Reference"/>
      </w:pPr>
      <w:r>
        <w:t xml:space="preserve">Five IP Offices 2012, </w:t>
      </w:r>
      <w:r w:rsidRPr="00AE7502">
        <w:rPr>
          <w:i/>
        </w:rPr>
        <w:t>Foundation Projects</w:t>
      </w:r>
      <w:r>
        <w:t xml:space="preserve">, </w:t>
      </w:r>
      <w:r w:rsidRPr="00370C73">
        <w:rPr>
          <w:bCs/>
        </w:rPr>
        <w:t>http://</w:t>
      </w:r>
      <w:proofErr w:type="spellStart"/>
      <w:r w:rsidRPr="00370C73">
        <w:rPr>
          <w:bCs/>
        </w:rPr>
        <w:t>www.fiveipoffices.org</w:t>
      </w:r>
      <w:proofErr w:type="spellEnd"/>
      <w:r w:rsidRPr="00370C73">
        <w:rPr>
          <w:bCs/>
        </w:rPr>
        <w:t>/</w:t>
      </w:r>
      <w:proofErr w:type="spellStart"/>
      <w:r w:rsidRPr="00370C73">
        <w:rPr>
          <w:bCs/>
        </w:rPr>
        <w:t>obj.html</w:t>
      </w:r>
      <w:proofErr w:type="spellEnd"/>
      <w:r w:rsidRPr="00AE7502">
        <w:t xml:space="preserve"> </w:t>
      </w:r>
      <w:r>
        <w:t>(accessed 5 September 2012).</w:t>
      </w:r>
    </w:p>
    <w:p w:rsidR="00EC058B" w:rsidRDefault="00C14223" w:rsidP="00C14223">
      <w:pPr>
        <w:pStyle w:val="Reference"/>
      </w:pPr>
      <w:r>
        <w:t xml:space="preserve">FMC (Federal Magistrates Court of Australia) </w:t>
      </w:r>
      <w:r w:rsidR="00EC058B">
        <w:t xml:space="preserve">2011, </w:t>
      </w:r>
      <w:r w:rsidR="00EC058B" w:rsidRPr="00EC058B">
        <w:rPr>
          <w:i/>
        </w:rPr>
        <w:t>Annual Report 2010-11</w:t>
      </w:r>
      <w:r w:rsidR="00EC058B">
        <w:t>, Canberra.</w:t>
      </w:r>
    </w:p>
    <w:p w:rsidR="00C14223" w:rsidRDefault="00EC058B" w:rsidP="00C14223">
      <w:pPr>
        <w:pStyle w:val="Reference"/>
      </w:pPr>
      <w:r>
        <w:t>—— </w:t>
      </w:r>
      <w:r w:rsidR="00C14223">
        <w:t xml:space="preserve">2012, </w:t>
      </w:r>
      <w:r>
        <w:rPr>
          <w:i/>
        </w:rPr>
        <w:t>Annual Report 2011-12</w:t>
      </w:r>
      <w:r w:rsidR="00C14223">
        <w:t>, Canberra.</w:t>
      </w:r>
    </w:p>
    <w:p w:rsidR="00C14223" w:rsidRDefault="005D4712" w:rsidP="00801167">
      <w:pPr>
        <w:pStyle w:val="Reference"/>
      </w:pPr>
      <w:r>
        <w:t>—— </w:t>
      </w:r>
      <w:proofErr w:type="spellStart"/>
      <w:r w:rsidR="00C14223">
        <w:t>nd</w:t>
      </w:r>
      <w:proofErr w:type="spellEnd"/>
      <w:r w:rsidR="00C14223">
        <w:t xml:space="preserve">, </w:t>
      </w:r>
      <w:r w:rsidR="00C14223">
        <w:rPr>
          <w:i/>
        </w:rPr>
        <w:t>Introduction to the Federal Magistrates Court of Australia</w:t>
      </w:r>
      <w:r w:rsidR="00C14223">
        <w:t xml:space="preserve">, </w:t>
      </w:r>
      <w:r w:rsidR="00C14223" w:rsidRPr="007C2979">
        <w:t>http://</w:t>
      </w:r>
      <w:proofErr w:type="spellStart"/>
      <w:r w:rsidR="00C14223" w:rsidRPr="007C2979">
        <w:t>www.fmc.gov.au</w:t>
      </w:r>
      <w:proofErr w:type="spellEnd"/>
      <w:r w:rsidR="00C14223" w:rsidRPr="007C2979">
        <w:t>/html/</w:t>
      </w:r>
      <w:proofErr w:type="spellStart"/>
      <w:r w:rsidR="00C14223" w:rsidRPr="007C2979">
        <w:t>introduction.html</w:t>
      </w:r>
      <w:proofErr w:type="spellEnd"/>
      <w:r w:rsidR="00C14223">
        <w:t xml:space="preserve"> (accessed 26 November 2012).</w:t>
      </w:r>
    </w:p>
    <w:p w:rsidR="00A901C2" w:rsidRDefault="00A901C2" w:rsidP="00A901C2">
      <w:pPr>
        <w:pStyle w:val="Reference"/>
      </w:pPr>
      <w:proofErr w:type="spellStart"/>
      <w:r>
        <w:t>Freehills</w:t>
      </w:r>
      <w:proofErr w:type="spellEnd"/>
      <w:r>
        <w:t xml:space="preserve"> 2012, ‘Compulsory licensing for pharmaceuticals, manufacture and export’, </w:t>
      </w:r>
      <w:r w:rsidRPr="00E5053B">
        <w:rPr>
          <w:bCs/>
        </w:rPr>
        <w:t>http://www.jdsupra.com/legalnews/compulsory-licensing-for-pharmaceuticals-54395/</w:t>
      </w:r>
      <w:r>
        <w:t xml:space="preserve"> (accessed 1 October 2012).</w:t>
      </w:r>
    </w:p>
    <w:p w:rsidR="00D43247" w:rsidRDefault="00D43247" w:rsidP="00D43247">
      <w:pPr>
        <w:pStyle w:val="Reference"/>
        <w:rPr>
          <w:szCs w:val="26"/>
        </w:rPr>
      </w:pPr>
      <w:proofErr w:type="spellStart"/>
      <w:r>
        <w:rPr>
          <w:szCs w:val="26"/>
        </w:rPr>
        <w:t>FTC</w:t>
      </w:r>
      <w:proofErr w:type="spellEnd"/>
      <w:r>
        <w:rPr>
          <w:szCs w:val="26"/>
        </w:rPr>
        <w:t xml:space="preserve"> (United States Federal Trade Commission) 1996, </w:t>
      </w:r>
      <w:proofErr w:type="spellStart"/>
      <w:r w:rsidRPr="00BA008F">
        <w:rPr>
          <w:i/>
          <w:szCs w:val="26"/>
        </w:rPr>
        <w:t>FTC</w:t>
      </w:r>
      <w:proofErr w:type="spellEnd"/>
      <w:r w:rsidRPr="00BA008F">
        <w:rPr>
          <w:i/>
          <w:szCs w:val="26"/>
        </w:rPr>
        <w:t xml:space="preserve"> Accord in Ciba </w:t>
      </w:r>
      <w:proofErr w:type="spellStart"/>
      <w:r w:rsidRPr="00BA008F">
        <w:rPr>
          <w:i/>
          <w:szCs w:val="26"/>
        </w:rPr>
        <w:t>Giegy</w:t>
      </w:r>
      <w:proofErr w:type="spellEnd"/>
      <w:r w:rsidRPr="00BA008F">
        <w:rPr>
          <w:i/>
          <w:szCs w:val="26"/>
        </w:rPr>
        <w:t xml:space="preserve">/Sandoz Merger to Prevent Slowdown in Gene </w:t>
      </w:r>
      <w:proofErr w:type="spellStart"/>
      <w:r w:rsidRPr="00BA008F">
        <w:rPr>
          <w:i/>
          <w:szCs w:val="26"/>
        </w:rPr>
        <w:t>Therepy</w:t>
      </w:r>
      <w:proofErr w:type="spellEnd"/>
      <w:r w:rsidRPr="00BA008F">
        <w:rPr>
          <w:i/>
          <w:szCs w:val="26"/>
        </w:rPr>
        <w:t xml:space="preserve"> Development &amp; Preserve Competition in Corn Herbicides, Flea-Control Markets</w:t>
      </w:r>
      <w:r>
        <w:rPr>
          <w:szCs w:val="26"/>
        </w:rPr>
        <w:t xml:space="preserve">, </w:t>
      </w:r>
      <w:r w:rsidRPr="00E5053B">
        <w:rPr>
          <w:bCs/>
          <w:szCs w:val="26"/>
        </w:rPr>
        <w:t>http://</w:t>
      </w:r>
      <w:proofErr w:type="spellStart"/>
      <w:r w:rsidRPr="00E5053B">
        <w:rPr>
          <w:bCs/>
          <w:szCs w:val="26"/>
        </w:rPr>
        <w:t>www.ftc.gov</w:t>
      </w:r>
      <w:proofErr w:type="spellEnd"/>
      <w:r w:rsidRPr="00E5053B">
        <w:rPr>
          <w:bCs/>
          <w:szCs w:val="26"/>
        </w:rPr>
        <w:t>/</w:t>
      </w:r>
      <w:proofErr w:type="spellStart"/>
      <w:r w:rsidRPr="00E5053B">
        <w:rPr>
          <w:bCs/>
          <w:szCs w:val="26"/>
        </w:rPr>
        <w:t>opa</w:t>
      </w:r>
      <w:proofErr w:type="spellEnd"/>
      <w:r w:rsidRPr="00E5053B">
        <w:rPr>
          <w:bCs/>
          <w:szCs w:val="26"/>
        </w:rPr>
        <w:t>/1996/12/</w:t>
      </w:r>
      <w:proofErr w:type="spellStart"/>
      <w:r w:rsidRPr="00E5053B">
        <w:rPr>
          <w:bCs/>
          <w:szCs w:val="26"/>
        </w:rPr>
        <w:t>ciba.shtm</w:t>
      </w:r>
      <w:proofErr w:type="spellEnd"/>
      <w:r>
        <w:rPr>
          <w:szCs w:val="26"/>
        </w:rPr>
        <w:t xml:space="preserve"> (accessed 25 October 2012).</w:t>
      </w:r>
    </w:p>
    <w:p w:rsidR="00D43247" w:rsidRDefault="00F829E9" w:rsidP="00D43247">
      <w:pPr>
        <w:pStyle w:val="Reference"/>
        <w:rPr>
          <w:szCs w:val="26"/>
        </w:rPr>
      </w:pPr>
      <w:r>
        <w:rPr>
          <w:szCs w:val="26"/>
        </w:rPr>
        <w:t>—— </w:t>
      </w:r>
      <w:r w:rsidR="00D43247">
        <w:rPr>
          <w:szCs w:val="26"/>
        </w:rPr>
        <w:t xml:space="preserve">2002, </w:t>
      </w:r>
      <w:r w:rsidR="00D43247" w:rsidRPr="00CF2919">
        <w:rPr>
          <w:i/>
          <w:szCs w:val="26"/>
        </w:rPr>
        <w:t xml:space="preserve">Resolving Anticompetitive Concerns, </w:t>
      </w:r>
      <w:proofErr w:type="spellStart"/>
      <w:r w:rsidR="00D43247" w:rsidRPr="00CF2919">
        <w:rPr>
          <w:i/>
          <w:szCs w:val="26"/>
        </w:rPr>
        <w:t>FTC</w:t>
      </w:r>
      <w:proofErr w:type="spellEnd"/>
      <w:r w:rsidR="00D43247" w:rsidRPr="00CF2919">
        <w:rPr>
          <w:i/>
          <w:szCs w:val="26"/>
        </w:rPr>
        <w:t xml:space="preserve"> Clears $16 Billion Acquisition of </w:t>
      </w:r>
      <w:proofErr w:type="spellStart"/>
      <w:r w:rsidR="00D43247" w:rsidRPr="00CF2919">
        <w:rPr>
          <w:i/>
          <w:szCs w:val="26"/>
        </w:rPr>
        <w:t>Immunex</w:t>
      </w:r>
      <w:proofErr w:type="spellEnd"/>
      <w:r w:rsidR="00D43247" w:rsidRPr="00CF2919">
        <w:rPr>
          <w:i/>
          <w:szCs w:val="26"/>
        </w:rPr>
        <w:t xml:space="preserve"> Corp. by Amgen Inc.</w:t>
      </w:r>
      <w:r w:rsidR="00D43247">
        <w:rPr>
          <w:szCs w:val="26"/>
        </w:rPr>
        <w:t xml:space="preserve">, </w:t>
      </w:r>
      <w:r w:rsidRPr="00F829E9">
        <w:rPr>
          <w:bCs/>
          <w:szCs w:val="26"/>
        </w:rPr>
        <w:t>http://</w:t>
      </w:r>
      <w:proofErr w:type="spellStart"/>
      <w:r w:rsidRPr="00F829E9">
        <w:rPr>
          <w:bCs/>
          <w:szCs w:val="26"/>
        </w:rPr>
        <w:t>www.ftc.gov</w:t>
      </w:r>
      <w:proofErr w:type="spellEnd"/>
      <w:r w:rsidRPr="00F829E9">
        <w:rPr>
          <w:bCs/>
          <w:szCs w:val="26"/>
        </w:rPr>
        <w:t>/</w:t>
      </w:r>
      <w:proofErr w:type="spellStart"/>
      <w:r w:rsidRPr="00F829E9">
        <w:rPr>
          <w:bCs/>
          <w:szCs w:val="26"/>
        </w:rPr>
        <w:t>opa</w:t>
      </w:r>
      <w:proofErr w:type="spellEnd"/>
      <w:r w:rsidRPr="00F829E9">
        <w:rPr>
          <w:bCs/>
          <w:szCs w:val="26"/>
        </w:rPr>
        <w:t>/</w:t>
      </w:r>
      <w:r>
        <w:rPr>
          <w:bCs/>
          <w:szCs w:val="26"/>
        </w:rPr>
        <w:t xml:space="preserve"> </w:t>
      </w:r>
      <w:r w:rsidR="00D43247" w:rsidRPr="00E5053B">
        <w:rPr>
          <w:bCs/>
          <w:szCs w:val="26"/>
        </w:rPr>
        <w:t>2002/07/</w:t>
      </w:r>
      <w:proofErr w:type="spellStart"/>
      <w:r w:rsidR="00D43247" w:rsidRPr="00E5053B">
        <w:rPr>
          <w:bCs/>
          <w:szCs w:val="26"/>
        </w:rPr>
        <w:t>amgen.shtm</w:t>
      </w:r>
      <w:proofErr w:type="spellEnd"/>
      <w:r w:rsidR="00D43247">
        <w:rPr>
          <w:szCs w:val="26"/>
        </w:rPr>
        <w:t xml:space="preserve"> (accessed 21 September 2012). </w:t>
      </w:r>
    </w:p>
    <w:p w:rsidR="00D43247" w:rsidRDefault="00F829E9" w:rsidP="00D43247">
      <w:pPr>
        <w:pStyle w:val="Reference"/>
        <w:rPr>
          <w:szCs w:val="26"/>
        </w:rPr>
      </w:pPr>
      <w:r>
        <w:rPr>
          <w:szCs w:val="26"/>
        </w:rPr>
        <w:t>—— </w:t>
      </w:r>
      <w:r w:rsidR="00D43247">
        <w:rPr>
          <w:szCs w:val="26"/>
        </w:rPr>
        <w:t xml:space="preserve">2006, </w:t>
      </w:r>
      <w:proofErr w:type="spellStart"/>
      <w:r w:rsidR="00D43247" w:rsidRPr="00E97EEB">
        <w:rPr>
          <w:i/>
          <w:szCs w:val="26"/>
        </w:rPr>
        <w:t>FTC</w:t>
      </w:r>
      <w:proofErr w:type="spellEnd"/>
      <w:r w:rsidR="00D43247" w:rsidRPr="00E97EEB">
        <w:rPr>
          <w:i/>
          <w:szCs w:val="26"/>
        </w:rPr>
        <w:t xml:space="preserve"> Requires Asset Divestitures Before Allowing Boston Scientific’s $27 Billion Acquisition of Guidant Corporation</w:t>
      </w:r>
      <w:r w:rsidR="00D43247">
        <w:rPr>
          <w:szCs w:val="26"/>
        </w:rPr>
        <w:t xml:space="preserve">, </w:t>
      </w:r>
      <w:r w:rsidR="00D43247" w:rsidRPr="00E5053B">
        <w:rPr>
          <w:bCs/>
          <w:szCs w:val="26"/>
        </w:rPr>
        <w:t>http://</w:t>
      </w:r>
      <w:proofErr w:type="spellStart"/>
      <w:r w:rsidR="00D43247" w:rsidRPr="00E5053B">
        <w:rPr>
          <w:bCs/>
          <w:szCs w:val="26"/>
        </w:rPr>
        <w:t>www.ftc.gov</w:t>
      </w:r>
      <w:proofErr w:type="spellEnd"/>
      <w:r w:rsidR="00D43247" w:rsidRPr="00E5053B">
        <w:rPr>
          <w:bCs/>
          <w:szCs w:val="26"/>
        </w:rPr>
        <w:t>/</w:t>
      </w:r>
      <w:proofErr w:type="spellStart"/>
      <w:r w:rsidR="00D43247" w:rsidRPr="00E5053B">
        <w:rPr>
          <w:bCs/>
          <w:szCs w:val="26"/>
        </w:rPr>
        <w:t>opa</w:t>
      </w:r>
      <w:proofErr w:type="spellEnd"/>
      <w:r w:rsidR="00D43247" w:rsidRPr="00E5053B">
        <w:rPr>
          <w:bCs/>
          <w:szCs w:val="26"/>
        </w:rPr>
        <w:t>/</w:t>
      </w:r>
      <w:r w:rsidR="00D43247" w:rsidRPr="00E5053B">
        <w:rPr>
          <w:bCs/>
          <w:szCs w:val="26"/>
        </w:rPr>
        <w:br/>
        <w:t>2006/04/</w:t>
      </w:r>
      <w:proofErr w:type="spellStart"/>
      <w:r w:rsidR="00D43247" w:rsidRPr="00E5053B">
        <w:rPr>
          <w:bCs/>
          <w:szCs w:val="26"/>
        </w:rPr>
        <w:t>bostonscigui.shtm</w:t>
      </w:r>
      <w:proofErr w:type="spellEnd"/>
      <w:r w:rsidR="00D43247">
        <w:rPr>
          <w:szCs w:val="26"/>
        </w:rPr>
        <w:t xml:space="preserve"> (accessed 21 September 2012). </w:t>
      </w:r>
    </w:p>
    <w:p w:rsidR="00D43247" w:rsidRDefault="00F829E9" w:rsidP="00A901C2">
      <w:pPr>
        <w:pStyle w:val="Reference"/>
        <w:rPr>
          <w:szCs w:val="26"/>
        </w:rPr>
      </w:pPr>
      <w:r>
        <w:rPr>
          <w:szCs w:val="26"/>
        </w:rPr>
        <w:t>—— </w:t>
      </w:r>
      <w:r w:rsidR="00D43247">
        <w:rPr>
          <w:szCs w:val="26"/>
        </w:rPr>
        <w:t xml:space="preserve">2011, </w:t>
      </w:r>
      <w:r w:rsidR="00D43247" w:rsidRPr="006E3518">
        <w:rPr>
          <w:i/>
          <w:szCs w:val="26"/>
        </w:rPr>
        <w:t>The Evolving IP Marketplace: Aligning Patent Notice and Remedies With Competition</w:t>
      </w:r>
      <w:r w:rsidR="00D43247">
        <w:rPr>
          <w:szCs w:val="26"/>
        </w:rPr>
        <w:t xml:space="preserve">, Washington. </w:t>
      </w:r>
    </w:p>
    <w:p w:rsidR="00342BCF" w:rsidRPr="00D43247" w:rsidRDefault="00342BCF" w:rsidP="00A901C2">
      <w:pPr>
        <w:pStyle w:val="Reference"/>
        <w:rPr>
          <w:szCs w:val="26"/>
        </w:rPr>
      </w:pPr>
      <w:proofErr w:type="spellStart"/>
      <w:r>
        <w:rPr>
          <w:szCs w:val="26"/>
        </w:rPr>
        <w:t>Fues</w:t>
      </w:r>
      <w:proofErr w:type="spellEnd"/>
      <w:r>
        <w:rPr>
          <w:szCs w:val="26"/>
        </w:rPr>
        <w:t xml:space="preserve">, E. 2007, </w:t>
      </w:r>
      <w:r w:rsidRPr="00A53FF6">
        <w:rPr>
          <w:i/>
          <w:szCs w:val="26"/>
        </w:rPr>
        <w:t xml:space="preserve">Implications of eBay v </w:t>
      </w:r>
      <w:proofErr w:type="spellStart"/>
      <w:r w:rsidRPr="00A53FF6">
        <w:rPr>
          <w:i/>
          <w:szCs w:val="26"/>
        </w:rPr>
        <w:t>MercExchange</w:t>
      </w:r>
      <w:proofErr w:type="spellEnd"/>
      <w:r>
        <w:rPr>
          <w:szCs w:val="26"/>
        </w:rPr>
        <w:t>, Patent World, June.</w:t>
      </w:r>
    </w:p>
    <w:p w:rsidR="00C20D86" w:rsidRDefault="00C20D86" w:rsidP="00A901C2">
      <w:pPr>
        <w:pStyle w:val="Reference"/>
      </w:pPr>
      <w:proofErr w:type="spellStart"/>
      <w:r w:rsidRPr="0052311A">
        <w:lastRenderedPageBreak/>
        <w:t>G77</w:t>
      </w:r>
      <w:proofErr w:type="spellEnd"/>
      <w:r w:rsidRPr="0052311A">
        <w:t xml:space="preserve"> (The Group of 77) and </w:t>
      </w:r>
      <w:r w:rsidR="000711F0">
        <w:t xml:space="preserve">the Government of the People’s Republic of </w:t>
      </w:r>
      <w:r w:rsidRPr="0052311A">
        <w:t xml:space="preserve">China, </w:t>
      </w:r>
      <w:proofErr w:type="spellStart"/>
      <w:r w:rsidRPr="0052311A">
        <w:t>nd</w:t>
      </w:r>
      <w:proofErr w:type="spellEnd"/>
      <w:r w:rsidRPr="0052311A">
        <w:t xml:space="preserve">. </w:t>
      </w:r>
      <w:r w:rsidRPr="00200BDC">
        <w:rPr>
          <w:i/>
        </w:rPr>
        <w:t xml:space="preserve">A Technology Mechanism under the </w:t>
      </w:r>
      <w:proofErr w:type="spellStart"/>
      <w:r w:rsidRPr="00200BDC">
        <w:rPr>
          <w:i/>
        </w:rPr>
        <w:t>UNFCCC</w:t>
      </w:r>
      <w:proofErr w:type="spellEnd"/>
      <w:r w:rsidRPr="0052311A">
        <w:t xml:space="preserve">, </w:t>
      </w:r>
      <w:r w:rsidR="00CA6373" w:rsidRPr="00CA6373">
        <w:rPr>
          <w:bCs/>
        </w:rPr>
        <w:t>http://</w:t>
      </w:r>
      <w:proofErr w:type="spellStart"/>
      <w:r w:rsidR="00CA6373" w:rsidRPr="00CA6373">
        <w:rPr>
          <w:bCs/>
        </w:rPr>
        <w:t>unfccc.int</w:t>
      </w:r>
      <w:proofErr w:type="spellEnd"/>
      <w:r w:rsidR="00CA6373" w:rsidRPr="00CA6373">
        <w:rPr>
          <w:bCs/>
        </w:rPr>
        <w:t>/files/meetings/</w:t>
      </w:r>
      <w:r w:rsidR="00CA6373">
        <w:rPr>
          <w:bCs/>
        </w:rPr>
        <w:t xml:space="preserve"> </w:t>
      </w:r>
      <w:proofErr w:type="spellStart"/>
      <w:r w:rsidRPr="00B4563A">
        <w:rPr>
          <w:bCs/>
        </w:rPr>
        <w:t>ad_hoc_working_groups</w:t>
      </w:r>
      <w:proofErr w:type="spellEnd"/>
      <w:r w:rsidRPr="00B4563A">
        <w:rPr>
          <w:bCs/>
        </w:rPr>
        <w:t>/</w:t>
      </w:r>
      <w:proofErr w:type="spellStart"/>
      <w:r w:rsidRPr="00B4563A">
        <w:rPr>
          <w:bCs/>
        </w:rPr>
        <w:t>lca</w:t>
      </w:r>
      <w:proofErr w:type="spellEnd"/>
      <w:r w:rsidRPr="00B4563A">
        <w:rPr>
          <w:bCs/>
        </w:rPr>
        <w:t>/ application/pdf/</w:t>
      </w:r>
      <w:proofErr w:type="spellStart"/>
      <w:r w:rsidRPr="00B4563A">
        <w:rPr>
          <w:bCs/>
        </w:rPr>
        <w:t>technology_proposal_g77_8.pdf</w:t>
      </w:r>
      <w:proofErr w:type="spellEnd"/>
      <w:r w:rsidRPr="003A3182">
        <w:rPr>
          <w:b/>
        </w:rPr>
        <w:t xml:space="preserve"> </w:t>
      </w:r>
      <w:r w:rsidRPr="0052311A">
        <w:t>(accessed</w:t>
      </w:r>
      <w:r>
        <w:t xml:space="preserve"> 4 September 2012).</w:t>
      </w:r>
    </w:p>
    <w:p w:rsidR="007F1F12" w:rsidRDefault="007F1F12" w:rsidP="007F1F12">
      <w:pPr>
        <w:pStyle w:val="Reference"/>
      </w:pPr>
      <w:proofErr w:type="spellStart"/>
      <w:r>
        <w:t>Gall</w:t>
      </w:r>
      <w:r w:rsidR="00A34DBF">
        <w:t>ini</w:t>
      </w:r>
      <w:proofErr w:type="spellEnd"/>
      <w:r w:rsidR="00A34DBF">
        <w:t xml:space="preserve">, </w:t>
      </w:r>
      <w:proofErr w:type="spellStart"/>
      <w:r w:rsidR="00A34DBF">
        <w:t>N.T</w:t>
      </w:r>
      <w:proofErr w:type="spellEnd"/>
      <w:r w:rsidR="00A34DBF">
        <w:t>. 1984, ‘Deterrence by market sharing: a strategic incentive for l</w:t>
      </w:r>
      <w:r>
        <w:t xml:space="preserve">icensing’, </w:t>
      </w:r>
      <w:r w:rsidRPr="00F21045">
        <w:rPr>
          <w:i/>
        </w:rPr>
        <w:t>The American Economic Review</w:t>
      </w:r>
      <w:r>
        <w:t xml:space="preserve">, vol. 74, no. 5, pp. 931–941. </w:t>
      </w:r>
    </w:p>
    <w:p w:rsidR="007F1F12" w:rsidRDefault="007F1F12" w:rsidP="007F1F12">
      <w:pPr>
        <w:pStyle w:val="Reference"/>
      </w:pPr>
      <w:r>
        <w:t>—— 1992, ‘Pa</w:t>
      </w:r>
      <w:r w:rsidR="00A34DBF">
        <w:t>tent policy and costly i</w:t>
      </w:r>
      <w:r>
        <w:t xml:space="preserve">nnovation’, </w:t>
      </w:r>
      <w:r w:rsidRPr="00F9189A">
        <w:rPr>
          <w:i/>
        </w:rPr>
        <w:t>The</w:t>
      </w:r>
      <w:r>
        <w:t xml:space="preserve"> </w:t>
      </w:r>
      <w:r w:rsidRPr="0067649C">
        <w:rPr>
          <w:i/>
        </w:rPr>
        <w:t>RAND Journal of Economics</w:t>
      </w:r>
      <w:r>
        <w:t>, vol. 23, no. 1, pp. 52–63.</w:t>
      </w:r>
    </w:p>
    <w:p w:rsidR="007F1F12" w:rsidRDefault="007F1F12" w:rsidP="007F1F12">
      <w:pPr>
        <w:pStyle w:val="Reference"/>
      </w:pPr>
      <w:r w:rsidRPr="00180F5F">
        <w:t>—</w:t>
      </w:r>
      <w:r>
        <w:t>— and Winter</w:t>
      </w:r>
      <w:r w:rsidR="00D8711C">
        <w:t>, R.</w:t>
      </w:r>
      <w:r w:rsidR="00A34DBF">
        <w:t xml:space="preserve"> 1985, ‘Licensing in the theory of i</w:t>
      </w:r>
      <w:r>
        <w:t xml:space="preserve">nnovation’, </w:t>
      </w:r>
      <w:r w:rsidRPr="00180F5F">
        <w:rPr>
          <w:i/>
        </w:rPr>
        <w:t>The RAND Journal of Economics</w:t>
      </w:r>
      <w:r>
        <w:t>, vol. 16, no. 2, pp. 237–252.</w:t>
      </w:r>
    </w:p>
    <w:p w:rsidR="00227947" w:rsidRDefault="00227947" w:rsidP="007F1F12">
      <w:pPr>
        <w:pStyle w:val="Reference"/>
      </w:pPr>
      <w:r>
        <w:t xml:space="preserve">Gambardella, A., </w:t>
      </w:r>
      <w:proofErr w:type="spellStart"/>
      <w:r>
        <w:t>Giuri</w:t>
      </w:r>
      <w:proofErr w:type="spellEnd"/>
      <w:r>
        <w:t xml:space="preserve">, P. and </w:t>
      </w:r>
      <w:proofErr w:type="spellStart"/>
      <w:r>
        <w:t>Luzzi</w:t>
      </w:r>
      <w:proofErr w:type="spellEnd"/>
      <w:r>
        <w:t xml:space="preserve">, A. 2007, ‘The market for patents in Europe’, </w:t>
      </w:r>
      <w:r w:rsidRPr="004D73DD">
        <w:rPr>
          <w:i/>
        </w:rPr>
        <w:t>Research Policy</w:t>
      </w:r>
      <w:r>
        <w:t>, vol. 36, no. 3, pp. 1163–1183.</w:t>
      </w:r>
    </w:p>
    <w:p w:rsidR="00DC7E72" w:rsidRDefault="00D8711C" w:rsidP="00DC7E72">
      <w:pPr>
        <w:pStyle w:val="Reference"/>
      </w:pPr>
      <w:proofErr w:type="spellStart"/>
      <w:r>
        <w:t>Gans</w:t>
      </w:r>
      <w:proofErr w:type="spellEnd"/>
      <w:r>
        <w:t>, J., Williams, P.</w:t>
      </w:r>
      <w:r w:rsidR="00DC7E72">
        <w:t xml:space="preserve">, and </w:t>
      </w:r>
      <w:r w:rsidR="00A34DBF">
        <w:t>Briggs, D. 2004, ‘Intellectual property rights: a grant of monopoly or an aid to c</w:t>
      </w:r>
      <w:r w:rsidR="00DC7E72">
        <w:t xml:space="preserve">ompetition?’, </w:t>
      </w:r>
      <w:r w:rsidR="00DC7E72" w:rsidRPr="00FD1F48">
        <w:rPr>
          <w:i/>
        </w:rPr>
        <w:t>The Australian Economic Review</w:t>
      </w:r>
      <w:r w:rsidR="00DC7E72">
        <w:t>, vol. 37, no. 4, pp. 436–445.</w:t>
      </w:r>
    </w:p>
    <w:p w:rsidR="0004482E" w:rsidRDefault="0004482E" w:rsidP="00DC7E72">
      <w:pPr>
        <w:pStyle w:val="Reference"/>
      </w:pPr>
      <w:proofErr w:type="spellStart"/>
      <w:r w:rsidRPr="00D452F0">
        <w:t>Gargano</w:t>
      </w:r>
      <w:proofErr w:type="spellEnd"/>
      <w:r w:rsidRPr="00D452F0">
        <w:t xml:space="preserve">, </w:t>
      </w:r>
      <w:r>
        <w:t xml:space="preserve">B. </w:t>
      </w:r>
      <w:r w:rsidRPr="00D452F0">
        <w:t>2005</w:t>
      </w:r>
      <w:r>
        <w:t xml:space="preserve">, </w:t>
      </w:r>
      <w:r w:rsidR="007E2851">
        <w:t>‘</w:t>
      </w:r>
      <w:r w:rsidR="00A34DBF">
        <w:rPr>
          <w:iCs/>
        </w:rPr>
        <w:t>The quagmire of DNA patents: are DNA sequences more than chemical compositions of m</w:t>
      </w:r>
      <w:r w:rsidRPr="00D452F0">
        <w:rPr>
          <w:iCs/>
        </w:rPr>
        <w:t>atter?</w:t>
      </w:r>
      <w:r w:rsidR="007E2851">
        <w:rPr>
          <w:iCs/>
        </w:rPr>
        <w:t>’</w:t>
      </w:r>
      <w:r w:rsidRPr="00D452F0">
        <w:t xml:space="preserve">, </w:t>
      </w:r>
      <w:r w:rsidRPr="003919E3">
        <w:rPr>
          <w:i/>
        </w:rPr>
        <w:t>Syracuse Journal of Science and Technology</w:t>
      </w:r>
      <w:r>
        <w:t>, vol. 16, no. 3</w:t>
      </w:r>
      <w:r w:rsidR="00E00CE4">
        <w:t>, pp. 16–21</w:t>
      </w:r>
      <w:r>
        <w:t>.</w:t>
      </w:r>
    </w:p>
    <w:p w:rsidR="00D262A1" w:rsidRPr="00D262A1" w:rsidRDefault="00D262A1" w:rsidP="00DC7E72">
      <w:pPr>
        <w:pStyle w:val="Reference"/>
        <w:rPr>
          <w:szCs w:val="26"/>
        </w:rPr>
      </w:pPr>
      <w:r>
        <w:rPr>
          <w:szCs w:val="26"/>
        </w:rPr>
        <w:t xml:space="preserve">General Court of the European Union 2012, </w:t>
      </w:r>
      <w:r w:rsidRPr="00E80CC6">
        <w:rPr>
          <w:i/>
          <w:szCs w:val="26"/>
        </w:rPr>
        <w:t>Judgement in Case T-167/08: Microso</w:t>
      </w:r>
      <w:r>
        <w:rPr>
          <w:i/>
          <w:szCs w:val="26"/>
        </w:rPr>
        <w:t>f</w:t>
      </w:r>
      <w:r w:rsidRPr="00E80CC6">
        <w:rPr>
          <w:i/>
          <w:szCs w:val="26"/>
        </w:rPr>
        <w:t>t Corp. v Commission</w:t>
      </w:r>
      <w:r>
        <w:rPr>
          <w:szCs w:val="26"/>
        </w:rPr>
        <w:t xml:space="preserve">, Media release, 27 June. </w:t>
      </w:r>
    </w:p>
    <w:p w:rsidR="00DC7E72" w:rsidRDefault="00DC7E72" w:rsidP="00DC7E72">
      <w:pPr>
        <w:pStyle w:val="Reference"/>
      </w:pPr>
      <w:r>
        <w:t xml:space="preserve">Gilbert, R. </w:t>
      </w:r>
      <w:r w:rsidR="00A34DBF">
        <w:t>and Shapiro, C. 1990, ‘Optimal patent length and b</w:t>
      </w:r>
      <w:r>
        <w:t xml:space="preserve">readth’, </w:t>
      </w:r>
      <w:r w:rsidRPr="00327DE6">
        <w:rPr>
          <w:i/>
        </w:rPr>
        <w:t>The</w:t>
      </w:r>
      <w:r>
        <w:t xml:space="preserve"> </w:t>
      </w:r>
      <w:r w:rsidRPr="0067649C">
        <w:rPr>
          <w:i/>
        </w:rPr>
        <w:t>RAND Journal of Economics</w:t>
      </w:r>
      <w:r>
        <w:t>, vol. 21, no. 1, pp. 106–112.</w:t>
      </w:r>
    </w:p>
    <w:p w:rsidR="007F1F12" w:rsidRDefault="007F1F12" w:rsidP="007F1F12">
      <w:pPr>
        <w:pStyle w:val="Reference"/>
      </w:pPr>
      <w:proofErr w:type="spellStart"/>
      <w:r>
        <w:t>Ginarte</w:t>
      </w:r>
      <w:proofErr w:type="spellEnd"/>
      <w:r>
        <w:t xml:space="preserve">, J. and Park, W. 1997, ‘Determinants of patent rights: a cross-national study’, </w:t>
      </w:r>
      <w:r w:rsidRPr="00E933F7">
        <w:rPr>
          <w:i/>
        </w:rPr>
        <w:t>Research Policy</w:t>
      </w:r>
      <w:r>
        <w:t>, vol. 26, pp. 283–301.</w:t>
      </w:r>
    </w:p>
    <w:p w:rsidR="00FE67C0" w:rsidRDefault="00FE67C0" w:rsidP="00FE67C0">
      <w:pPr>
        <w:pStyle w:val="Reference"/>
      </w:pPr>
      <w:proofErr w:type="spellStart"/>
      <w:r>
        <w:t>Giuri</w:t>
      </w:r>
      <w:proofErr w:type="spellEnd"/>
      <w:r>
        <w:t xml:space="preserve">, P., </w:t>
      </w:r>
      <w:proofErr w:type="spellStart"/>
      <w:r>
        <w:t>Mariani</w:t>
      </w:r>
      <w:proofErr w:type="spellEnd"/>
      <w:r>
        <w:t xml:space="preserve">, M., </w:t>
      </w:r>
      <w:proofErr w:type="spellStart"/>
      <w:r>
        <w:t>Brusoni</w:t>
      </w:r>
      <w:proofErr w:type="spellEnd"/>
      <w:r>
        <w:t xml:space="preserve">, S., </w:t>
      </w:r>
      <w:proofErr w:type="spellStart"/>
      <w:r>
        <w:t>Crespi</w:t>
      </w:r>
      <w:proofErr w:type="spellEnd"/>
      <w:r>
        <w:t xml:space="preserve">, G., </w:t>
      </w:r>
      <w:proofErr w:type="spellStart"/>
      <w:r>
        <w:t>Francoz</w:t>
      </w:r>
      <w:proofErr w:type="spellEnd"/>
      <w:r>
        <w:t>, D., Gambardella, A., Garcia-</w:t>
      </w:r>
      <w:proofErr w:type="spellStart"/>
      <w:r>
        <w:t>Fontes</w:t>
      </w:r>
      <w:proofErr w:type="spellEnd"/>
      <w:r>
        <w:t xml:space="preserve">, W., </w:t>
      </w:r>
      <w:proofErr w:type="spellStart"/>
      <w:r>
        <w:t>Geuna</w:t>
      </w:r>
      <w:proofErr w:type="spellEnd"/>
      <w:r>
        <w:t xml:space="preserve">, A., Gonzales, R., </w:t>
      </w:r>
      <w:proofErr w:type="spellStart"/>
      <w:r>
        <w:t>Harhoff</w:t>
      </w:r>
      <w:proofErr w:type="spellEnd"/>
      <w:r>
        <w:t xml:space="preserve">, D., </w:t>
      </w:r>
      <w:proofErr w:type="spellStart"/>
      <w:r>
        <w:t>Hoisl</w:t>
      </w:r>
      <w:proofErr w:type="spellEnd"/>
      <w:r>
        <w:t xml:space="preserve">, K., Le Bas, C., </w:t>
      </w:r>
      <w:proofErr w:type="spellStart"/>
      <w:r>
        <w:t>Luzzi</w:t>
      </w:r>
      <w:proofErr w:type="spellEnd"/>
      <w:r>
        <w:t xml:space="preserve">, A., </w:t>
      </w:r>
      <w:proofErr w:type="spellStart"/>
      <w:r>
        <w:t>Magazzini</w:t>
      </w:r>
      <w:proofErr w:type="spellEnd"/>
      <w:r>
        <w:t xml:space="preserve">, L., </w:t>
      </w:r>
      <w:proofErr w:type="spellStart"/>
      <w:r>
        <w:t>Nesta</w:t>
      </w:r>
      <w:proofErr w:type="spellEnd"/>
      <w:r>
        <w:t xml:space="preserve">, L., </w:t>
      </w:r>
      <w:proofErr w:type="spellStart"/>
      <w:r>
        <w:t>Nomaler</w:t>
      </w:r>
      <w:proofErr w:type="spellEnd"/>
      <w:r>
        <w:t xml:space="preserve">, O., </w:t>
      </w:r>
      <w:proofErr w:type="spellStart"/>
      <w:r>
        <w:t>Palomeras</w:t>
      </w:r>
      <w:proofErr w:type="spellEnd"/>
      <w:r>
        <w:t xml:space="preserve">, N., Patel, P., </w:t>
      </w:r>
      <w:proofErr w:type="spellStart"/>
      <w:r>
        <w:t>Romanelli</w:t>
      </w:r>
      <w:proofErr w:type="spellEnd"/>
      <w:r>
        <w:t xml:space="preserve">, M. and </w:t>
      </w:r>
      <w:proofErr w:type="spellStart"/>
      <w:r>
        <w:t>Verspagen</w:t>
      </w:r>
      <w:proofErr w:type="spellEnd"/>
      <w:r>
        <w:t xml:space="preserve">, B. 2007, ‘Inventors and </w:t>
      </w:r>
      <w:r w:rsidR="00A34DBF">
        <w:t>invention processes in Europe: r</w:t>
      </w:r>
      <w:r>
        <w:t xml:space="preserve">esults from the </w:t>
      </w:r>
      <w:proofErr w:type="spellStart"/>
      <w:r>
        <w:t>PatVal</w:t>
      </w:r>
      <w:proofErr w:type="spellEnd"/>
      <w:r>
        <w:t xml:space="preserve">-EU survey’, </w:t>
      </w:r>
      <w:r w:rsidRPr="004D73DD">
        <w:rPr>
          <w:i/>
        </w:rPr>
        <w:t>Research Policy</w:t>
      </w:r>
      <w:r>
        <w:t>, vol. 36, no. 3, pp. 1107–1127.</w:t>
      </w:r>
    </w:p>
    <w:p w:rsidR="00282A7C" w:rsidRPr="00282A7C" w:rsidRDefault="00282A7C" w:rsidP="00FE67C0">
      <w:pPr>
        <w:pStyle w:val="Reference"/>
        <w:rPr>
          <w:szCs w:val="26"/>
        </w:rPr>
      </w:pPr>
      <w:r>
        <w:rPr>
          <w:szCs w:val="26"/>
        </w:rPr>
        <w:t xml:space="preserve">Glazer, K. 2006, ‘The </w:t>
      </w:r>
      <w:proofErr w:type="spellStart"/>
      <w:r>
        <w:rPr>
          <w:szCs w:val="26"/>
        </w:rPr>
        <w:t>IMS</w:t>
      </w:r>
      <w:proofErr w:type="spellEnd"/>
      <w:r>
        <w:rPr>
          <w:szCs w:val="26"/>
        </w:rPr>
        <w:t xml:space="preserve"> health case: a US perspective’, </w:t>
      </w:r>
      <w:r w:rsidRPr="00C74C94">
        <w:rPr>
          <w:i/>
          <w:szCs w:val="26"/>
        </w:rPr>
        <w:t>George Mason Law Review</w:t>
      </w:r>
      <w:r>
        <w:rPr>
          <w:szCs w:val="26"/>
        </w:rPr>
        <w:t xml:space="preserve">, vol. 13, no. 6, </w:t>
      </w:r>
      <w:r w:rsidR="00BB7CCD">
        <w:rPr>
          <w:szCs w:val="26"/>
        </w:rPr>
        <w:t>pp. 1197–1215</w:t>
      </w:r>
      <w:r>
        <w:rPr>
          <w:szCs w:val="26"/>
        </w:rPr>
        <w:t>.</w:t>
      </w:r>
    </w:p>
    <w:p w:rsidR="00FE67C0" w:rsidRDefault="00FE67C0" w:rsidP="00FE67C0">
      <w:pPr>
        <w:pStyle w:val="Reference"/>
      </w:pPr>
      <w:proofErr w:type="spellStart"/>
      <w:r>
        <w:t>Gontijo</w:t>
      </w:r>
      <w:proofErr w:type="spellEnd"/>
      <w:r>
        <w:t xml:space="preserve">, C. 2005, </w:t>
      </w:r>
      <w:r w:rsidRPr="00775DF7">
        <w:rPr>
          <w:i/>
        </w:rPr>
        <w:t>Changing the Patent System from the Paris Agreement to the TRIPS Agreement: The Position of Brazil</w:t>
      </w:r>
      <w:r>
        <w:t>, Heinrich Boll Foundation, Berlin.</w:t>
      </w:r>
    </w:p>
    <w:p w:rsidR="0006641B" w:rsidRDefault="0006641B" w:rsidP="0006641B">
      <w:pPr>
        <w:pStyle w:val="Reference"/>
        <w:rPr>
          <w:szCs w:val="26"/>
        </w:rPr>
      </w:pPr>
      <w:r>
        <w:rPr>
          <w:szCs w:val="26"/>
        </w:rPr>
        <w:t xml:space="preserve">Government Accountability Office (US) 2009, </w:t>
      </w:r>
      <w:r w:rsidRPr="00056CD7">
        <w:rPr>
          <w:i/>
          <w:szCs w:val="26"/>
        </w:rPr>
        <w:t>Information on the Government’s right to assert ownership control over federally funded inventions</w:t>
      </w:r>
      <w:r>
        <w:rPr>
          <w:szCs w:val="26"/>
        </w:rPr>
        <w:t xml:space="preserve">, </w:t>
      </w:r>
      <w:proofErr w:type="spellStart"/>
      <w:r>
        <w:rPr>
          <w:szCs w:val="26"/>
        </w:rPr>
        <w:t>GAO</w:t>
      </w:r>
      <w:proofErr w:type="spellEnd"/>
      <w:r>
        <w:rPr>
          <w:szCs w:val="26"/>
        </w:rPr>
        <w:t xml:space="preserve">-09-742. </w:t>
      </w:r>
    </w:p>
    <w:p w:rsidR="003919E3" w:rsidRDefault="003919E3" w:rsidP="0006641B">
      <w:pPr>
        <w:pStyle w:val="Reference"/>
      </w:pPr>
      <w:proofErr w:type="spellStart"/>
      <w:r>
        <w:lastRenderedPageBreak/>
        <w:t>Graleigh</w:t>
      </w:r>
      <w:proofErr w:type="spellEnd"/>
      <w:r>
        <w:t xml:space="preserve">, N. 2011, ‘Barriers to climate technology transfer: The chimera of intellectual property rights’, </w:t>
      </w:r>
      <w:r w:rsidRPr="00377F03">
        <w:rPr>
          <w:i/>
        </w:rPr>
        <w:t>Carbon and Climate Law Review</w:t>
      </w:r>
      <w:r>
        <w:t>, vol. 2, pp. 220–235.</w:t>
      </w:r>
    </w:p>
    <w:p w:rsidR="00D425B2" w:rsidRPr="003919E3" w:rsidRDefault="00D425B2" w:rsidP="0006641B">
      <w:pPr>
        <w:pStyle w:val="Reference"/>
      </w:pPr>
      <w:r>
        <w:t>Greenfield, D. 2006, ‘Greenberg</w:t>
      </w:r>
      <w:r w:rsidR="00A34DBF">
        <w:t xml:space="preserve"> v. Miami Children’s Hospital: u</w:t>
      </w:r>
      <w:r>
        <w:t xml:space="preserve">njust enrichment and the patenting of human genetic material’, </w:t>
      </w:r>
      <w:r w:rsidRPr="00C23EE3">
        <w:rPr>
          <w:i/>
        </w:rPr>
        <w:t>Annals of Health Law</w:t>
      </w:r>
      <w:r w:rsidR="00464AEE">
        <w:t>, vol. 15, no. </w:t>
      </w:r>
      <w:r>
        <w:t>2, pp. 213–249.</w:t>
      </w:r>
    </w:p>
    <w:p w:rsidR="00AD1EE6" w:rsidRDefault="00D8711C" w:rsidP="00AD1EE6">
      <w:pPr>
        <w:pStyle w:val="Reference"/>
      </w:pPr>
      <w:r>
        <w:t>Hall, B.</w:t>
      </w:r>
      <w:r w:rsidR="00A34DBF">
        <w:t xml:space="preserve"> 2007, ‘Patents and p</w:t>
      </w:r>
      <w:r w:rsidR="00AD1EE6">
        <w:t>atent</w:t>
      </w:r>
      <w:r w:rsidR="00A34DBF">
        <w:t xml:space="preserve"> p</w:t>
      </w:r>
      <w:r w:rsidR="00AD1EE6">
        <w:t xml:space="preserve">olicy’, </w:t>
      </w:r>
      <w:r w:rsidR="00AD1EE6" w:rsidRPr="00950401">
        <w:rPr>
          <w:i/>
        </w:rPr>
        <w:t>Oxford Review of Economic Policy</w:t>
      </w:r>
      <w:r w:rsidR="00AD1EE6">
        <w:t>, vol. 23, no. 4, pp. 568–587.</w:t>
      </w:r>
    </w:p>
    <w:p w:rsidR="00F91D8A" w:rsidRDefault="00A34DBF" w:rsidP="00AD1EE6">
      <w:pPr>
        <w:pStyle w:val="Reference"/>
      </w:pPr>
      <w:r>
        <w:t>Hanks, F. 2007, ‘Intellectual property rights and c</w:t>
      </w:r>
      <w:r w:rsidR="00F91D8A">
        <w:t xml:space="preserve">ompetition in Australia’, in </w:t>
      </w:r>
      <w:proofErr w:type="spellStart"/>
      <w:r w:rsidR="00F91D8A">
        <w:t>Anderman</w:t>
      </w:r>
      <w:proofErr w:type="spellEnd"/>
      <w:r w:rsidR="00F91D8A">
        <w:t>, S. (</w:t>
      </w:r>
      <w:proofErr w:type="spellStart"/>
      <w:r w:rsidR="00F91D8A">
        <w:t>ed</w:t>
      </w:r>
      <w:proofErr w:type="spellEnd"/>
      <w:r w:rsidR="00F91D8A">
        <w:t xml:space="preserve">), </w:t>
      </w:r>
      <w:r w:rsidR="00F91D8A">
        <w:rPr>
          <w:i/>
        </w:rPr>
        <w:t>The Interface between Intellectual Property Rights and Competition Policy</w:t>
      </w:r>
      <w:r w:rsidR="00F91D8A">
        <w:t>, Cambridge University Press, Cambridge.</w:t>
      </w:r>
    </w:p>
    <w:p w:rsidR="00E97E44" w:rsidRDefault="00E97E44" w:rsidP="00AD1EE6">
      <w:pPr>
        <w:pStyle w:val="Reference"/>
      </w:pPr>
      <w:r>
        <w:t>Heller, M. and Eisenberg, R. 1998, ‘</w:t>
      </w:r>
      <w:r w:rsidR="00A34DBF">
        <w:t>Can patents deter innovation?: t</w:t>
      </w:r>
      <w:r>
        <w:t xml:space="preserve">he </w:t>
      </w:r>
      <w:proofErr w:type="spellStart"/>
      <w:r>
        <w:t>anticommons</w:t>
      </w:r>
      <w:proofErr w:type="spellEnd"/>
      <w:r>
        <w:t xml:space="preserve"> in biomedical research’, </w:t>
      </w:r>
      <w:r w:rsidRPr="00AE707D">
        <w:rPr>
          <w:i/>
        </w:rPr>
        <w:t>Science</w:t>
      </w:r>
      <w:r>
        <w:t>, vol. 280, no. 5364, pp. 698-701.</w:t>
      </w:r>
    </w:p>
    <w:p w:rsidR="00AD1EE6" w:rsidRPr="00950401" w:rsidRDefault="00AD1EE6" w:rsidP="00AD1EE6">
      <w:pPr>
        <w:pStyle w:val="Reference"/>
      </w:pPr>
      <w:r w:rsidRPr="0052311A">
        <w:t xml:space="preserve">Herr, J. 2009, ‘Patent litigation and industry standards: The compulsory license defence’, </w:t>
      </w:r>
      <w:r w:rsidRPr="0052311A">
        <w:rPr>
          <w:i/>
        </w:rPr>
        <w:t>Intellectual Property and Technology Law Journal</w:t>
      </w:r>
      <w:r w:rsidRPr="0052311A">
        <w:t>, vol. 21, no. 1, pp.</w:t>
      </w:r>
      <w:r>
        <w:t> 10</w:t>
      </w:r>
      <w:r>
        <w:softHyphen/>
        <w:t>15.</w:t>
      </w:r>
    </w:p>
    <w:p w:rsidR="00AD1EE6" w:rsidRDefault="00AD1EE6" w:rsidP="00AD1EE6">
      <w:pPr>
        <w:pStyle w:val="Reference"/>
      </w:pPr>
      <w:r>
        <w:t xml:space="preserve">Herrera, H. and </w:t>
      </w:r>
      <w:proofErr w:type="spellStart"/>
      <w:r>
        <w:t>Schroth</w:t>
      </w:r>
      <w:proofErr w:type="spellEnd"/>
      <w:r>
        <w:t xml:space="preserve">, E. 2004, </w:t>
      </w:r>
      <w:r w:rsidRPr="00A34DBF">
        <w:rPr>
          <w:i/>
        </w:rPr>
        <w:t>Profitable Innovation Without Patent Protection: The Case of Derivatives</w:t>
      </w:r>
      <w:r>
        <w:t>, Working Paper, University of Lausanne.</w:t>
      </w:r>
    </w:p>
    <w:p w:rsidR="00AD1EE6" w:rsidRDefault="00AD1EE6" w:rsidP="00AD1EE6">
      <w:pPr>
        <w:pStyle w:val="Reference"/>
      </w:pPr>
      <w:proofErr w:type="spellStart"/>
      <w:r>
        <w:t>Hilmer</w:t>
      </w:r>
      <w:proofErr w:type="spellEnd"/>
      <w:r>
        <w:t xml:space="preserve">, </w:t>
      </w:r>
      <w:proofErr w:type="spellStart"/>
      <w:r>
        <w:t>F.G</w:t>
      </w:r>
      <w:proofErr w:type="spellEnd"/>
      <w:r>
        <w:t xml:space="preserve">., </w:t>
      </w:r>
      <w:proofErr w:type="spellStart"/>
      <w:r>
        <w:t>Rayner</w:t>
      </w:r>
      <w:proofErr w:type="spellEnd"/>
      <w:r>
        <w:t xml:space="preserve">, </w:t>
      </w:r>
      <w:proofErr w:type="spellStart"/>
      <w:r>
        <w:t>M.R</w:t>
      </w:r>
      <w:proofErr w:type="spellEnd"/>
      <w:r>
        <w:t xml:space="preserve">., and </w:t>
      </w:r>
      <w:proofErr w:type="spellStart"/>
      <w:r>
        <w:t>Taperell</w:t>
      </w:r>
      <w:proofErr w:type="spellEnd"/>
      <w:r>
        <w:t xml:space="preserve">, </w:t>
      </w:r>
      <w:proofErr w:type="spellStart"/>
      <w:r>
        <w:t>G.Q</w:t>
      </w:r>
      <w:proofErr w:type="spellEnd"/>
      <w:r>
        <w:t xml:space="preserve">. 1993, </w:t>
      </w:r>
      <w:r w:rsidRPr="00A32921">
        <w:rPr>
          <w:i/>
        </w:rPr>
        <w:t>National Competition Policy</w:t>
      </w:r>
      <w:r>
        <w:t xml:space="preserve">, Australian Government Publishing Service, Canberra. </w:t>
      </w:r>
    </w:p>
    <w:p w:rsidR="008736AA" w:rsidRDefault="008736AA" w:rsidP="008736AA">
      <w:pPr>
        <w:pStyle w:val="Reference"/>
      </w:pPr>
      <w:r>
        <w:t xml:space="preserve">HM Treasury (Her Majesty’s Treasury UK) 2006, </w:t>
      </w:r>
      <w:proofErr w:type="spellStart"/>
      <w:r w:rsidRPr="00AC57A4">
        <w:rPr>
          <w:i/>
        </w:rPr>
        <w:t>Gowers</w:t>
      </w:r>
      <w:proofErr w:type="spellEnd"/>
      <w:r w:rsidRPr="00AC57A4">
        <w:rPr>
          <w:i/>
        </w:rPr>
        <w:t xml:space="preserve"> Review of Intellectual Property</w:t>
      </w:r>
      <w:r>
        <w:t>, He</w:t>
      </w:r>
      <w:r w:rsidR="00B345CC">
        <w:t>r Majesty’s Stationery Office.</w:t>
      </w:r>
    </w:p>
    <w:p w:rsidR="00893234" w:rsidRDefault="00893234" w:rsidP="008736AA">
      <w:pPr>
        <w:pStyle w:val="Reference"/>
        <w:rPr>
          <w:rStyle w:val="Emphasis"/>
          <w:i w:val="0"/>
          <w:iCs w:val="0"/>
        </w:rPr>
      </w:pPr>
      <w:proofErr w:type="spellStart"/>
      <w:r w:rsidRPr="00DE157D">
        <w:t>Hoad</w:t>
      </w:r>
      <w:proofErr w:type="spellEnd"/>
      <w:r w:rsidRPr="00DE157D">
        <w:t>, R. 2003, ‘Com</w:t>
      </w:r>
      <w:r w:rsidR="00A34DBF">
        <w:t>pulsory licensing of patents: balancing innovation and c</w:t>
      </w:r>
      <w:r w:rsidRPr="00DE157D">
        <w:t xml:space="preserve">ompetition’, </w:t>
      </w:r>
      <w:r w:rsidRPr="00893234">
        <w:rPr>
          <w:rStyle w:val="Emphasis"/>
          <w:iCs w:val="0"/>
        </w:rPr>
        <w:t>Intellectual Property Forum</w:t>
      </w:r>
      <w:r w:rsidRPr="00DE157D">
        <w:rPr>
          <w:rStyle w:val="Emphasis"/>
          <w:i w:val="0"/>
          <w:iCs w:val="0"/>
        </w:rPr>
        <w:t xml:space="preserve">, </w:t>
      </w:r>
      <w:r>
        <w:rPr>
          <w:rStyle w:val="Emphasis"/>
          <w:i w:val="0"/>
          <w:iCs w:val="0"/>
        </w:rPr>
        <w:t>no</w:t>
      </w:r>
      <w:r w:rsidRPr="00DE157D">
        <w:rPr>
          <w:rStyle w:val="Emphasis"/>
          <w:i w:val="0"/>
          <w:iCs w:val="0"/>
        </w:rPr>
        <w:t>. 54, pp. 28-36.</w:t>
      </w:r>
    </w:p>
    <w:p w:rsidR="004878D0" w:rsidRDefault="004878D0" w:rsidP="008736AA">
      <w:pPr>
        <w:pStyle w:val="Reference"/>
        <w:rPr>
          <w:rStyle w:val="Emphasis"/>
          <w:i w:val="0"/>
          <w:iCs w:val="0"/>
        </w:rPr>
      </w:pPr>
      <w:r>
        <w:rPr>
          <w:rStyle w:val="Emphasis"/>
          <w:i w:val="0"/>
          <w:iCs w:val="0"/>
        </w:rPr>
        <w:t>Holman, C. 2012, ‘Will gene patents derail the next genera</w:t>
      </w:r>
      <w:r w:rsidR="00A34DBF">
        <w:rPr>
          <w:rStyle w:val="Emphasis"/>
          <w:i w:val="0"/>
          <w:iCs w:val="0"/>
        </w:rPr>
        <w:t>tion of genetic technologies?: a</w:t>
      </w:r>
      <w:r>
        <w:rPr>
          <w:rStyle w:val="Emphasis"/>
          <w:i w:val="0"/>
          <w:iCs w:val="0"/>
        </w:rPr>
        <w:t xml:space="preserve"> reassessment of the evidence suggests not’, </w:t>
      </w:r>
      <w:proofErr w:type="spellStart"/>
      <w:r w:rsidRPr="004878D0">
        <w:rPr>
          <w:rStyle w:val="Emphasis"/>
          <w:iCs w:val="0"/>
        </w:rPr>
        <w:t>UKMC</w:t>
      </w:r>
      <w:proofErr w:type="spellEnd"/>
      <w:r w:rsidRPr="004878D0">
        <w:rPr>
          <w:rStyle w:val="Emphasis"/>
          <w:iCs w:val="0"/>
        </w:rPr>
        <w:t xml:space="preserve"> Law Review</w:t>
      </w:r>
      <w:r>
        <w:rPr>
          <w:rStyle w:val="Emphasis"/>
          <w:i w:val="0"/>
          <w:iCs w:val="0"/>
        </w:rPr>
        <w:t>, vol. 80, no. 3, pp. 563–605.</w:t>
      </w:r>
    </w:p>
    <w:p w:rsidR="006C74A7" w:rsidRPr="006C74A7" w:rsidRDefault="006C74A7" w:rsidP="008736AA">
      <w:pPr>
        <w:pStyle w:val="Reference"/>
        <w:rPr>
          <w:szCs w:val="26"/>
        </w:rPr>
      </w:pPr>
      <w:r>
        <w:rPr>
          <w:szCs w:val="26"/>
        </w:rPr>
        <w:t xml:space="preserve">Hull, D., Atwood, J. and Perrine, J. 2002, ‘Compulsory licensing’, in Global Competition Review, </w:t>
      </w:r>
      <w:r w:rsidRPr="00C74C94">
        <w:rPr>
          <w:i/>
          <w:szCs w:val="26"/>
        </w:rPr>
        <w:t>The European Antitrust Review 2002: A Global Competition Review special report</w:t>
      </w:r>
      <w:r>
        <w:rPr>
          <w:szCs w:val="26"/>
        </w:rPr>
        <w:t xml:space="preserve">, Global Competition Review. </w:t>
      </w:r>
    </w:p>
    <w:p w:rsidR="00B345CC" w:rsidRPr="00B345CC" w:rsidRDefault="00B345CC" w:rsidP="008736AA">
      <w:pPr>
        <w:pStyle w:val="Reference"/>
        <w:rPr>
          <w:szCs w:val="26"/>
        </w:rPr>
      </w:pPr>
      <w:r>
        <w:rPr>
          <w:szCs w:val="26"/>
        </w:rPr>
        <w:t xml:space="preserve">Ibanez </w:t>
      </w:r>
      <w:proofErr w:type="spellStart"/>
      <w:r>
        <w:rPr>
          <w:szCs w:val="26"/>
        </w:rPr>
        <w:t>Colomo</w:t>
      </w:r>
      <w:proofErr w:type="spellEnd"/>
      <w:r>
        <w:rPr>
          <w:szCs w:val="26"/>
        </w:rPr>
        <w:t xml:space="preserve">, P. 2007, </w:t>
      </w:r>
      <w:r w:rsidRPr="00A60C0A">
        <w:rPr>
          <w:i/>
          <w:szCs w:val="26"/>
        </w:rPr>
        <w:t>The Italian Merck Case</w:t>
      </w:r>
      <w:r>
        <w:rPr>
          <w:szCs w:val="26"/>
        </w:rPr>
        <w:t xml:space="preserve">, European Legal Studies, College of Europe, research papers in law, no. 1, 2007. </w:t>
      </w:r>
    </w:p>
    <w:p w:rsidR="00903566" w:rsidRDefault="00903566" w:rsidP="00E9122F">
      <w:pPr>
        <w:pStyle w:val="Reference"/>
      </w:pPr>
      <w:r>
        <w:t xml:space="preserve">IC (Industry Commission) 1996, </w:t>
      </w:r>
      <w:r w:rsidRPr="00137804">
        <w:rPr>
          <w:i/>
        </w:rPr>
        <w:t>The Pharmaceutical Industry</w:t>
      </w:r>
      <w:r>
        <w:t xml:space="preserve">, </w:t>
      </w:r>
      <w:r w:rsidR="003C0407">
        <w:t xml:space="preserve">Report No. 51, </w:t>
      </w:r>
      <w:proofErr w:type="spellStart"/>
      <w:r w:rsidR="003C0407">
        <w:t>AGPS</w:t>
      </w:r>
      <w:proofErr w:type="spellEnd"/>
      <w:r w:rsidR="003C0407">
        <w:t xml:space="preserve">, </w:t>
      </w:r>
      <w:r>
        <w:t xml:space="preserve">Melbourne. </w:t>
      </w:r>
    </w:p>
    <w:p w:rsidR="00E9122F" w:rsidRDefault="00E9122F" w:rsidP="00E9122F">
      <w:pPr>
        <w:pStyle w:val="Reference"/>
      </w:pPr>
      <w:proofErr w:type="spellStart"/>
      <w:r>
        <w:lastRenderedPageBreak/>
        <w:t>ICGPDTM</w:t>
      </w:r>
      <w:proofErr w:type="spellEnd"/>
      <w:r>
        <w:t xml:space="preserve"> (Indian </w:t>
      </w:r>
      <w:r w:rsidRPr="009C5D9F">
        <w:t>Controller General of Patents, D</w:t>
      </w:r>
      <w:r>
        <w:t xml:space="preserve">esigns, and Trade Marks) 2012, </w:t>
      </w:r>
      <w:r w:rsidRPr="009C5D9F">
        <w:rPr>
          <w:i/>
        </w:rPr>
        <w:t>Application for Compulsory Licence Under Section 8491) of the Patents Act 1970 in respect of Patent no. 215758</w:t>
      </w:r>
      <w:r>
        <w:t xml:space="preserve">, </w:t>
      </w:r>
      <w:r w:rsidRPr="009C5D9F">
        <w:t>Mumbai</w:t>
      </w:r>
      <w:r>
        <w:t>.</w:t>
      </w:r>
    </w:p>
    <w:p w:rsidR="00F453C4" w:rsidRDefault="00F453C4" w:rsidP="00E9122F">
      <w:pPr>
        <w:pStyle w:val="Reference"/>
      </w:pPr>
      <w:proofErr w:type="spellStart"/>
      <w:r>
        <w:t>ICTSD</w:t>
      </w:r>
      <w:proofErr w:type="spellEnd"/>
      <w:r>
        <w:t xml:space="preserve"> (International Centre for Trade and Sustainable Development) 2009, </w:t>
      </w:r>
      <w:r w:rsidRPr="00EA19AD">
        <w:rPr>
          <w:i/>
        </w:rPr>
        <w:t>Technologies for Climate Change and Intellectual Property: Issues for Small Developing Countries</w:t>
      </w:r>
      <w:r>
        <w:t>, Information note number 12, Geneva.</w:t>
      </w:r>
    </w:p>
    <w:p w:rsidR="00D134C6" w:rsidRDefault="00D134C6" w:rsidP="00E9122F">
      <w:pPr>
        <w:pStyle w:val="Reference"/>
      </w:pPr>
      <w:proofErr w:type="spellStart"/>
      <w:r>
        <w:t>IELRC</w:t>
      </w:r>
      <w:proofErr w:type="spellEnd"/>
      <w:r>
        <w:t xml:space="preserve"> (International Environmental Law Research Centre) 2002, </w:t>
      </w:r>
      <w:r w:rsidRPr="00AC5BAF">
        <w:rPr>
          <w:i/>
        </w:rPr>
        <w:t>Amended Patents Act and Access to Medicines after Doha</w:t>
      </w:r>
      <w:r>
        <w:t xml:space="preserve">, </w:t>
      </w:r>
      <w:proofErr w:type="spellStart"/>
      <w:r w:rsidRPr="00453DF0">
        <w:rPr>
          <w:bCs/>
        </w:rPr>
        <w:t>www.ielrc.org</w:t>
      </w:r>
      <w:proofErr w:type="spellEnd"/>
      <w:r w:rsidRPr="00453DF0">
        <w:rPr>
          <w:bCs/>
        </w:rPr>
        <w:t>/content/</w:t>
      </w:r>
      <w:proofErr w:type="spellStart"/>
      <w:r w:rsidRPr="00453DF0">
        <w:rPr>
          <w:bCs/>
        </w:rPr>
        <w:t>a0207.pdf</w:t>
      </w:r>
      <w:proofErr w:type="spellEnd"/>
      <w:r>
        <w:t xml:space="preserve"> (accessed 17 September 2012). </w:t>
      </w:r>
    </w:p>
    <w:p w:rsidR="000F4194" w:rsidRDefault="000F4194" w:rsidP="00E9122F">
      <w:pPr>
        <w:pStyle w:val="Reference"/>
      </w:pPr>
      <w:proofErr w:type="spellStart"/>
      <w:r>
        <w:t>IFPRI</w:t>
      </w:r>
      <w:proofErr w:type="spellEnd"/>
      <w:r>
        <w:t xml:space="preserve"> (International Food Policy Research Institute) 2002, </w:t>
      </w:r>
      <w:r w:rsidRPr="00B37AC6">
        <w:rPr>
          <w:i/>
        </w:rPr>
        <w:t>Green Revolution: Curse or Blessing?</w:t>
      </w:r>
      <w:r>
        <w:t xml:space="preserve">, Washington, </w:t>
      </w:r>
      <w:r w:rsidRPr="000F4194">
        <w:rPr>
          <w:bCs/>
        </w:rPr>
        <w:t>http://</w:t>
      </w:r>
      <w:proofErr w:type="spellStart"/>
      <w:r w:rsidRPr="000F4194">
        <w:rPr>
          <w:bCs/>
        </w:rPr>
        <w:t>www.ifpri.org</w:t>
      </w:r>
      <w:proofErr w:type="spellEnd"/>
      <w:r w:rsidRPr="000F4194">
        <w:rPr>
          <w:bCs/>
        </w:rPr>
        <w:t>/sites/default/files /pubs/pubs/</w:t>
      </w:r>
      <w:proofErr w:type="spellStart"/>
      <w:r w:rsidRPr="000F4194">
        <w:rPr>
          <w:bCs/>
        </w:rPr>
        <w:t>ib</w:t>
      </w:r>
      <w:proofErr w:type="spellEnd"/>
      <w:r w:rsidRPr="000F4194">
        <w:rPr>
          <w:bCs/>
        </w:rPr>
        <w:t>/</w:t>
      </w:r>
      <w:proofErr w:type="spellStart"/>
      <w:r w:rsidRPr="000F4194">
        <w:rPr>
          <w:bCs/>
        </w:rPr>
        <w:t>ib11.pdf</w:t>
      </w:r>
      <w:proofErr w:type="spellEnd"/>
      <w:r w:rsidRPr="000F4194">
        <w:t xml:space="preserve"> </w:t>
      </w:r>
      <w:r>
        <w:t>(accessed</w:t>
      </w:r>
      <w:r w:rsidRPr="00B01DFF">
        <w:t xml:space="preserve"> 19 November 2012</w:t>
      </w:r>
      <w:r>
        <w:t>)</w:t>
      </w:r>
      <w:r w:rsidRPr="00B01DFF">
        <w:t>.</w:t>
      </w:r>
    </w:p>
    <w:p w:rsidR="00BD42A2" w:rsidRDefault="00BD42A2" w:rsidP="00BD42A2">
      <w:pPr>
        <w:pStyle w:val="Reference"/>
      </w:pPr>
      <w:r>
        <w:t xml:space="preserve">Indian Government 1970, </w:t>
      </w:r>
      <w:r w:rsidRPr="001A534D">
        <w:rPr>
          <w:i/>
        </w:rPr>
        <w:t>The Patents Act, 1970</w:t>
      </w:r>
      <w:r>
        <w:t xml:space="preserve">, </w:t>
      </w:r>
      <w:r w:rsidR="00F94B11" w:rsidRPr="00F94B11">
        <w:rPr>
          <w:bCs/>
        </w:rPr>
        <w:t>http://</w:t>
      </w:r>
      <w:proofErr w:type="spellStart"/>
      <w:r w:rsidR="00F94B11" w:rsidRPr="00F94B11">
        <w:rPr>
          <w:bCs/>
        </w:rPr>
        <w:t>www.wipo.int</w:t>
      </w:r>
      <w:proofErr w:type="spellEnd"/>
      <w:r w:rsidR="00F94B11" w:rsidRPr="00F94B11">
        <w:rPr>
          <w:bCs/>
        </w:rPr>
        <w:t>/</w:t>
      </w:r>
      <w:proofErr w:type="spellStart"/>
      <w:r w:rsidR="00F94B11" w:rsidRPr="00F94B11">
        <w:rPr>
          <w:bCs/>
        </w:rPr>
        <w:t>wipolex</w:t>
      </w:r>
      <w:proofErr w:type="spellEnd"/>
      <w:r w:rsidR="00F94B11" w:rsidRPr="00F94B11">
        <w:rPr>
          <w:bCs/>
        </w:rPr>
        <w:t>/en/</w:t>
      </w:r>
      <w:r w:rsidR="00F94B11">
        <w:rPr>
          <w:bCs/>
        </w:rPr>
        <w:t xml:space="preserve"> </w:t>
      </w:r>
      <w:proofErr w:type="spellStart"/>
      <w:r w:rsidRPr="00453DF0">
        <w:rPr>
          <w:bCs/>
        </w:rPr>
        <w:t>details.jsp?id</w:t>
      </w:r>
      <w:proofErr w:type="spellEnd"/>
      <w:r w:rsidRPr="00453DF0">
        <w:rPr>
          <w:bCs/>
        </w:rPr>
        <w:t>=2393</w:t>
      </w:r>
      <w:r w:rsidRPr="00732021">
        <w:rPr>
          <w:b/>
        </w:rPr>
        <w:t xml:space="preserve"> </w:t>
      </w:r>
      <w:r w:rsidR="00F94B11">
        <w:t>(accessed 21 September).</w:t>
      </w:r>
    </w:p>
    <w:p w:rsidR="00BD42A2" w:rsidRDefault="00BD42A2" w:rsidP="00E9122F">
      <w:pPr>
        <w:pStyle w:val="Reference"/>
      </w:pPr>
      <w:r>
        <w:t>——</w:t>
      </w:r>
      <w:r w:rsidR="00F94B11">
        <w:t> </w:t>
      </w:r>
      <w:r>
        <w:t xml:space="preserve">2002, </w:t>
      </w:r>
      <w:r w:rsidRPr="00783846">
        <w:rPr>
          <w:i/>
        </w:rPr>
        <w:t>Patents (Amendment) Act, 2002</w:t>
      </w:r>
      <w:r>
        <w:t xml:space="preserve">, </w:t>
      </w:r>
      <w:r w:rsidRPr="00453DF0">
        <w:rPr>
          <w:bCs/>
        </w:rPr>
        <w:t>http://</w:t>
      </w:r>
      <w:proofErr w:type="spellStart"/>
      <w:r w:rsidRPr="00453DF0">
        <w:rPr>
          <w:bCs/>
        </w:rPr>
        <w:t>www.wipo.int</w:t>
      </w:r>
      <w:proofErr w:type="spellEnd"/>
      <w:r w:rsidRPr="00453DF0">
        <w:rPr>
          <w:bCs/>
        </w:rPr>
        <w:t>/</w:t>
      </w:r>
      <w:r w:rsidRPr="00453DF0">
        <w:rPr>
          <w:bCs/>
        </w:rPr>
        <w:br/>
      </w:r>
      <w:proofErr w:type="spellStart"/>
      <w:r w:rsidRPr="00453DF0">
        <w:rPr>
          <w:bCs/>
        </w:rPr>
        <w:t>wipolex</w:t>
      </w:r>
      <w:proofErr w:type="spellEnd"/>
      <w:r w:rsidRPr="00453DF0">
        <w:rPr>
          <w:bCs/>
        </w:rPr>
        <w:t>/en/</w:t>
      </w:r>
      <w:proofErr w:type="spellStart"/>
      <w:r w:rsidRPr="00453DF0">
        <w:rPr>
          <w:bCs/>
        </w:rPr>
        <w:t>text.jsp?file_id</w:t>
      </w:r>
      <w:proofErr w:type="spellEnd"/>
      <w:r w:rsidRPr="00453DF0">
        <w:rPr>
          <w:bCs/>
        </w:rPr>
        <w:t>=207496</w:t>
      </w:r>
      <w:r>
        <w:t xml:space="preserve"> (accessed 17 September 2012).</w:t>
      </w:r>
    </w:p>
    <w:p w:rsidR="00063B7E" w:rsidRPr="00063B7E" w:rsidRDefault="00063B7E" w:rsidP="00063B7E">
      <w:pPr>
        <w:pStyle w:val="Reference"/>
      </w:pPr>
      <w:r w:rsidRPr="00063B7E">
        <w:t xml:space="preserve">Intergovernmental Panel on Climate Change 2000, </w:t>
      </w:r>
      <w:r w:rsidRPr="00063B7E">
        <w:rPr>
          <w:i/>
        </w:rPr>
        <w:t>Methodological and Technological Issues in Technology Transfer: Summary for Policymakers</w:t>
      </w:r>
      <w:r>
        <w:t xml:space="preserve">, </w:t>
      </w:r>
      <w:r w:rsidRPr="00063B7E">
        <w:t xml:space="preserve">A Special Report of </w:t>
      </w:r>
      <w:proofErr w:type="spellStart"/>
      <w:r w:rsidRPr="00063B7E">
        <w:t>IPCC</w:t>
      </w:r>
      <w:proofErr w:type="spellEnd"/>
      <w:r w:rsidRPr="00063B7E">
        <w:t xml:space="preserve"> Working Group III</w:t>
      </w:r>
      <w:r>
        <w:t>, Geneva, Switzerland.</w:t>
      </w:r>
    </w:p>
    <w:p w:rsidR="00471AAD" w:rsidRDefault="00471AAD" w:rsidP="00471AAD">
      <w:pPr>
        <w:pStyle w:val="Reference"/>
      </w:pPr>
      <w:r w:rsidRPr="00957CDB">
        <w:t xml:space="preserve">IP Australia </w:t>
      </w:r>
      <w:proofErr w:type="spellStart"/>
      <w:r w:rsidRPr="00957CDB">
        <w:t>2009</w:t>
      </w:r>
      <w:r w:rsidR="000464A7">
        <w:t>a</w:t>
      </w:r>
      <w:proofErr w:type="spellEnd"/>
      <w:r w:rsidRPr="00957CDB">
        <w:t xml:space="preserve">, </w:t>
      </w:r>
      <w:r w:rsidRPr="003A11F2">
        <w:rPr>
          <w:i/>
        </w:rPr>
        <w:t xml:space="preserve">Answers to </w:t>
      </w:r>
      <w:r>
        <w:rPr>
          <w:i/>
        </w:rPr>
        <w:t>Q</w:t>
      </w:r>
      <w:r w:rsidRPr="003A11F2">
        <w:rPr>
          <w:i/>
        </w:rPr>
        <w:t xml:space="preserve">uestions on </w:t>
      </w:r>
      <w:r>
        <w:rPr>
          <w:i/>
        </w:rPr>
        <w:t>N</w:t>
      </w:r>
      <w:r w:rsidRPr="003A11F2">
        <w:rPr>
          <w:i/>
        </w:rPr>
        <w:t>otice: Public Hearing of 19 March 2009: Senate Inquiry into Gene Patents</w:t>
      </w:r>
      <w:r w:rsidRPr="00957CDB">
        <w:t>, Senate Standing Committee on Community Affairs</w:t>
      </w:r>
      <w:r>
        <w:t xml:space="preserve">, </w:t>
      </w:r>
      <w:r w:rsidRPr="00957CDB">
        <w:t>Canberra.</w:t>
      </w:r>
    </w:p>
    <w:p w:rsidR="000464A7" w:rsidRDefault="000464A7" w:rsidP="00471AAD">
      <w:pPr>
        <w:pStyle w:val="Reference"/>
      </w:pPr>
      <w:r>
        <w:t>—— </w:t>
      </w:r>
      <w:proofErr w:type="spellStart"/>
      <w:r>
        <w:t>2009b</w:t>
      </w:r>
      <w:proofErr w:type="spellEnd"/>
      <w:r>
        <w:t xml:space="preserve">, </w:t>
      </w:r>
      <w:r w:rsidR="00F514E9" w:rsidRPr="00F514E9">
        <w:rPr>
          <w:i/>
        </w:rPr>
        <w:t>Resolving Patent Opposition Proceedings Faster: Towards a Stronger and More Efficient IP Rights System</w:t>
      </w:r>
      <w:r w:rsidR="00F514E9" w:rsidRPr="00F514E9">
        <w:t>, Consultation Paper, June 2009, Canberra.</w:t>
      </w:r>
    </w:p>
    <w:p w:rsidR="00F514E9" w:rsidRDefault="00F514E9" w:rsidP="00471AAD">
      <w:pPr>
        <w:pStyle w:val="Reference"/>
      </w:pPr>
      <w:r>
        <w:t>—— </w:t>
      </w:r>
      <w:proofErr w:type="spellStart"/>
      <w:r>
        <w:t>2009c</w:t>
      </w:r>
      <w:proofErr w:type="spellEnd"/>
      <w:r>
        <w:t xml:space="preserve">, </w:t>
      </w:r>
      <w:r w:rsidR="00892245" w:rsidRPr="0052311A">
        <w:t xml:space="preserve">Submission to the Senate Standing Committee on Community Affairs, </w:t>
      </w:r>
      <w:r w:rsidR="00892245" w:rsidRPr="0052311A">
        <w:rPr>
          <w:i/>
        </w:rPr>
        <w:t>Gene Patents</w:t>
      </w:r>
      <w:r w:rsidR="00892245" w:rsidRPr="0052311A">
        <w:t>, Canberra.</w:t>
      </w:r>
    </w:p>
    <w:p w:rsidR="007E6A05" w:rsidRDefault="007E6A05" w:rsidP="00471AAD">
      <w:pPr>
        <w:pStyle w:val="Reference"/>
      </w:pPr>
      <w:r>
        <w:t>—— </w:t>
      </w:r>
      <w:r w:rsidR="00A178C9">
        <w:t xml:space="preserve">2010, </w:t>
      </w:r>
      <w:r w:rsidR="00BF0955" w:rsidRPr="00032C04">
        <w:rPr>
          <w:i/>
        </w:rPr>
        <w:t>TRIPS Protocol 2010 Public Consultation Paper</w:t>
      </w:r>
      <w:r w:rsidR="00BF0955">
        <w:t xml:space="preserve">, </w:t>
      </w:r>
      <w:r w:rsidR="00BF0955" w:rsidRPr="00363440">
        <w:rPr>
          <w:bCs/>
        </w:rPr>
        <w:t>http://www.ipaustralia.gov.au/46106/TRIPS_Protocol_2010_Public_Consultation_Paper.pdf</w:t>
      </w:r>
      <w:r w:rsidR="00BF0955">
        <w:t xml:space="preserve"> (accessed 18 October 2012).</w:t>
      </w:r>
    </w:p>
    <w:p w:rsidR="004222C2" w:rsidRDefault="004222C2" w:rsidP="00471AAD">
      <w:pPr>
        <w:pStyle w:val="Reference"/>
      </w:pPr>
      <w:r>
        <w:t>—— </w:t>
      </w:r>
      <w:proofErr w:type="spellStart"/>
      <w:r>
        <w:t>2011a</w:t>
      </w:r>
      <w:proofErr w:type="spellEnd"/>
      <w:r>
        <w:t xml:space="preserve">, </w:t>
      </w:r>
      <w:r w:rsidRPr="0061699A">
        <w:rPr>
          <w:i/>
        </w:rPr>
        <w:t>Copyright</w:t>
      </w:r>
      <w:r>
        <w:t xml:space="preserve">, </w:t>
      </w:r>
      <w:r w:rsidRPr="00256DF6">
        <w:t>http://</w:t>
      </w:r>
      <w:proofErr w:type="spellStart"/>
      <w:r w:rsidRPr="00256DF6">
        <w:t>www.ipaustralia.gov.au</w:t>
      </w:r>
      <w:proofErr w:type="spellEnd"/>
      <w:r w:rsidRPr="00256DF6">
        <w:t>/get-the-right-</w:t>
      </w:r>
      <w:proofErr w:type="spellStart"/>
      <w:r w:rsidRPr="00256DF6">
        <w:t>ip</w:t>
      </w:r>
      <w:proofErr w:type="spellEnd"/>
      <w:r w:rsidRPr="00256DF6">
        <w:t>/copyright/</w:t>
      </w:r>
      <w:r>
        <w:t xml:space="preserve"> (accessed 14 August).</w:t>
      </w:r>
    </w:p>
    <w:p w:rsidR="00C260B1" w:rsidRDefault="00513EB4" w:rsidP="00471AAD">
      <w:pPr>
        <w:pStyle w:val="Reference"/>
      </w:pPr>
      <w:r>
        <w:t>—— </w:t>
      </w:r>
      <w:proofErr w:type="spellStart"/>
      <w:r w:rsidRPr="00513EB4">
        <w:t>2011b</w:t>
      </w:r>
      <w:proofErr w:type="spellEnd"/>
      <w:r w:rsidRPr="00513EB4">
        <w:t xml:space="preserve">, </w:t>
      </w:r>
      <w:r w:rsidR="00BC5B97">
        <w:rPr>
          <w:i/>
        </w:rPr>
        <w:t>Export of Patented Pharmaceuticals to Countries Experiencing a Health Crisis – Regulation Impact Statement</w:t>
      </w:r>
      <w:r w:rsidR="00BC5B97">
        <w:t xml:space="preserve">, </w:t>
      </w:r>
      <w:r w:rsidR="00BC5B97" w:rsidRPr="00363440">
        <w:rPr>
          <w:bCs/>
        </w:rPr>
        <w:t>http://</w:t>
      </w:r>
      <w:proofErr w:type="spellStart"/>
      <w:r w:rsidR="00BC5B97" w:rsidRPr="00363440">
        <w:rPr>
          <w:bCs/>
        </w:rPr>
        <w:t>ris.finance.gov.au</w:t>
      </w:r>
      <w:proofErr w:type="spellEnd"/>
      <w:r w:rsidR="00BC5B97" w:rsidRPr="00363440">
        <w:rPr>
          <w:bCs/>
        </w:rPr>
        <w:t>/files/ 2011/08/</w:t>
      </w:r>
      <w:proofErr w:type="spellStart"/>
      <w:r w:rsidR="00BC5B97" w:rsidRPr="00363440">
        <w:rPr>
          <w:bCs/>
        </w:rPr>
        <w:t>02_export_of_pharmaceuticals_ris.pdf</w:t>
      </w:r>
      <w:proofErr w:type="spellEnd"/>
      <w:r w:rsidR="00BC5B97">
        <w:t xml:space="preserve"> (accessed 29 August 2012).</w:t>
      </w:r>
    </w:p>
    <w:p w:rsidR="00513EB4" w:rsidRPr="00513EB4" w:rsidRDefault="00C260B1" w:rsidP="00471AAD">
      <w:pPr>
        <w:pStyle w:val="Reference"/>
      </w:pPr>
      <w:r>
        <w:t>—— </w:t>
      </w:r>
      <w:proofErr w:type="spellStart"/>
      <w:r>
        <w:t>2011c</w:t>
      </w:r>
      <w:proofErr w:type="spellEnd"/>
      <w:r>
        <w:t xml:space="preserve">, </w:t>
      </w:r>
      <w:r w:rsidR="00513EB4" w:rsidRPr="00513EB4">
        <w:rPr>
          <w:i/>
        </w:rPr>
        <w:t>IP Rights fact sheet</w:t>
      </w:r>
      <w:r w:rsidR="00513EB4" w:rsidRPr="00513EB4">
        <w:t>, http://</w:t>
      </w:r>
      <w:proofErr w:type="spellStart"/>
      <w:r w:rsidR="00513EB4" w:rsidRPr="00513EB4">
        <w:t>www.ipaustralia.gov.au</w:t>
      </w:r>
      <w:proofErr w:type="spellEnd"/>
      <w:r w:rsidR="00513EB4" w:rsidRPr="00513EB4">
        <w:t>/46106/</w:t>
      </w:r>
      <w:proofErr w:type="spellStart"/>
      <w:r w:rsidR="00513EB4" w:rsidRPr="00513EB4">
        <w:t>ip</w:t>
      </w:r>
      <w:proofErr w:type="spellEnd"/>
      <w:r w:rsidR="00513EB4" w:rsidRPr="00513EB4">
        <w:t>-stats-2011 (accessed 16 August 2012).</w:t>
      </w:r>
    </w:p>
    <w:p w:rsidR="00B523C3" w:rsidRDefault="00471AAD" w:rsidP="00471AAD">
      <w:pPr>
        <w:pStyle w:val="Reference"/>
        <w:rPr>
          <w:szCs w:val="26"/>
        </w:rPr>
      </w:pPr>
      <w:r>
        <w:lastRenderedPageBreak/>
        <w:t>—— </w:t>
      </w:r>
      <w:proofErr w:type="spellStart"/>
      <w:r w:rsidRPr="00957CDB">
        <w:t>20</w:t>
      </w:r>
      <w:r>
        <w:t>12</w:t>
      </w:r>
      <w:r w:rsidR="00B523C3">
        <w:t>a</w:t>
      </w:r>
      <w:proofErr w:type="spellEnd"/>
      <w:r w:rsidRPr="00957CDB">
        <w:t xml:space="preserve">, </w:t>
      </w:r>
      <w:r w:rsidR="00B523C3" w:rsidRPr="00B523C3">
        <w:rPr>
          <w:i/>
          <w:szCs w:val="26"/>
        </w:rPr>
        <w:t>Changes Made by the Intellectual Property Laws Amendment (Raising the Bar) Act 2012 Relevant to the Patents Act 1990</w:t>
      </w:r>
      <w:r w:rsidR="00B523C3">
        <w:rPr>
          <w:szCs w:val="26"/>
        </w:rPr>
        <w:t>, http://www.ipaustralia.gov.au/about-us/what-we-do/ip-reforms/raising-the-bar-patents/ (accessed 27 July 2012).</w:t>
      </w:r>
    </w:p>
    <w:p w:rsidR="0068267C" w:rsidRPr="00456105" w:rsidRDefault="00B523C3" w:rsidP="0068267C">
      <w:pPr>
        <w:pStyle w:val="Reference"/>
      </w:pPr>
      <w:r>
        <w:rPr>
          <w:szCs w:val="26"/>
        </w:rPr>
        <w:t>—— </w:t>
      </w:r>
      <w:proofErr w:type="spellStart"/>
      <w:r>
        <w:rPr>
          <w:szCs w:val="26"/>
        </w:rPr>
        <w:t>2012</w:t>
      </w:r>
      <w:r w:rsidR="004B7DB1">
        <w:rPr>
          <w:szCs w:val="26"/>
        </w:rPr>
        <w:t>b</w:t>
      </w:r>
      <w:proofErr w:type="spellEnd"/>
      <w:r w:rsidR="0068267C">
        <w:t xml:space="preserve">, </w:t>
      </w:r>
      <w:r w:rsidR="0068267C" w:rsidRPr="0068267C">
        <w:rPr>
          <w:i/>
        </w:rPr>
        <w:t>Crown use</w:t>
      </w:r>
      <w:r w:rsidR="0068267C">
        <w:t xml:space="preserve">, </w:t>
      </w:r>
      <w:r w:rsidR="0068267C" w:rsidRPr="0068267C">
        <w:rPr>
          <w:bCs/>
        </w:rPr>
        <w:t>http://</w:t>
      </w:r>
      <w:proofErr w:type="spellStart"/>
      <w:r w:rsidR="0068267C" w:rsidRPr="0068267C">
        <w:rPr>
          <w:bCs/>
        </w:rPr>
        <w:t>www.ipaustralia.gov.au</w:t>
      </w:r>
      <w:proofErr w:type="spellEnd"/>
      <w:r w:rsidR="0068267C" w:rsidRPr="0068267C">
        <w:rPr>
          <w:bCs/>
        </w:rPr>
        <w:t>/</w:t>
      </w:r>
      <w:r w:rsidR="0068267C">
        <w:rPr>
          <w:bCs/>
        </w:rPr>
        <w:t xml:space="preserve"> </w:t>
      </w:r>
      <w:r w:rsidR="0068267C" w:rsidRPr="00E5053B">
        <w:rPr>
          <w:bCs/>
        </w:rPr>
        <w:t>understanding-intellectual-property/ownership-of-</w:t>
      </w:r>
      <w:proofErr w:type="spellStart"/>
      <w:r w:rsidR="0068267C" w:rsidRPr="00E5053B">
        <w:rPr>
          <w:bCs/>
        </w:rPr>
        <w:t>ip</w:t>
      </w:r>
      <w:proofErr w:type="spellEnd"/>
      <w:r w:rsidR="0068267C" w:rsidRPr="00E5053B">
        <w:rPr>
          <w:bCs/>
        </w:rPr>
        <w:t>/crown-use/</w:t>
      </w:r>
      <w:r w:rsidR="0068267C">
        <w:t xml:space="preserve"> (accessed 10 October 2012).</w:t>
      </w:r>
    </w:p>
    <w:p w:rsidR="00B523C3" w:rsidRDefault="0068267C" w:rsidP="00471AAD">
      <w:pPr>
        <w:pStyle w:val="Reference"/>
      </w:pPr>
      <w:r>
        <w:rPr>
          <w:szCs w:val="26"/>
        </w:rPr>
        <w:t>—— </w:t>
      </w:r>
      <w:proofErr w:type="spellStart"/>
      <w:r>
        <w:rPr>
          <w:szCs w:val="26"/>
        </w:rPr>
        <w:t>2012c</w:t>
      </w:r>
      <w:proofErr w:type="spellEnd"/>
      <w:r>
        <w:rPr>
          <w:szCs w:val="26"/>
        </w:rPr>
        <w:t xml:space="preserve">, </w:t>
      </w:r>
      <w:r w:rsidR="00220A94">
        <w:rPr>
          <w:i/>
        </w:rPr>
        <w:t>Exposure Draft of Intellectual Property Laws Amendment Bill 2012</w:t>
      </w:r>
      <w:r w:rsidR="00220A94" w:rsidRPr="003530A7">
        <w:t xml:space="preserve">, </w:t>
      </w:r>
      <w:r w:rsidR="00220A94" w:rsidRPr="00363440">
        <w:rPr>
          <w:bCs/>
        </w:rPr>
        <w:t>http://www.ipaustralia.gov.au/about-us/public-consultations/ip-laws-amendment-bill/</w:t>
      </w:r>
      <w:r w:rsidR="00220A94">
        <w:t xml:space="preserve"> (accessed 29 August 2012).</w:t>
      </w:r>
    </w:p>
    <w:p w:rsidR="004B7DB1" w:rsidRDefault="004B7DB1" w:rsidP="00471AAD">
      <w:pPr>
        <w:pStyle w:val="Reference"/>
      </w:pPr>
      <w:r>
        <w:t>—— </w:t>
      </w:r>
      <w:proofErr w:type="spellStart"/>
      <w:r>
        <w:t>2012d</w:t>
      </w:r>
      <w:proofErr w:type="spellEnd"/>
      <w:r>
        <w:t xml:space="preserve">, </w:t>
      </w:r>
      <w:r w:rsidRPr="00E63EA6">
        <w:rPr>
          <w:i/>
        </w:rPr>
        <w:t>Fees</w:t>
      </w:r>
      <w:r>
        <w:t xml:space="preserve">, </w:t>
      </w:r>
      <w:r w:rsidRPr="00BD1F46">
        <w:rPr>
          <w:bCs/>
        </w:rPr>
        <w:t>http://www.ipaustralia.gov.au/get-the-right-ip/patents/time-and-costs/fees/</w:t>
      </w:r>
      <w:r w:rsidRPr="00BD1F46">
        <w:t xml:space="preserve"> </w:t>
      </w:r>
      <w:r>
        <w:t>(accessed 2 October 2012).</w:t>
      </w:r>
    </w:p>
    <w:p w:rsidR="004B7DB1" w:rsidRDefault="004B7DB1" w:rsidP="00471AAD">
      <w:pPr>
        <w:pStyle w:val="Reference"/>
      </w:pPr>
      <w:r>
        <w:t>—— </w:t>
      </w:r>
      <w:proofErr w:type="spellStart"/>
      <w:r>
        <w:t>2012e</w:t>
      </w:r>
      <w:proofErr w:type="spellEnd"/>
      <w:r>
        <w:t xml:space="preserve">, </w:t>
      </w:r>
      <w:r w:rsidR="004A683B" w:rsidRPr="00E15E42">
        <w:rPr>
          <w:i/>
        </w:rPr>
        <w:t>Grace Periods</w:t>
      </w:r>
      <w:r w:rsidR="004A683B">
        <w:t xml:space="preserve">, </w:t>
      </w:r>
      <w:r w:rsidR="004A683B" w:rsidRPr="00E5053B">
        <w:rPr>
          <w:bCs/>
        </w:rPr>
        <w:t>http://www.ipaustralia.gov.au/get-the-right-ip/patents/time-and-costs/grace-periods/</w:t>
      </w:r>
      <w:r w:rsidR="004A683B">
        <w:t xml:space="preserve"> (accessed 21 September 2012).</w:t>
      </w:r>
    </w:p>
    <w:p w:rsidR="004A683B" w:rsidRDefault="004A683B" w:rsidP="00471AAD">
      <w:pPr>
        <w:pStyle w:val="Reference"/>
      </w:pPr>
      <w:r>
        <w:t>—— </w:t>
      </w:r>
      <w:proofErr w:type="spellStart"/>
      <w:r>
        <w:t>2012f</w:t>
      </w:r>
      <w:proofErr w:type="spellEnd"/>
      <w:r>
        <w:t xml:space="preserve">, </w:t>
      </w:r>
      <w:r w:rsidR="00F97B1A" w:rsidRPr="003C3AFC">
        <w:rPr>
          <w:i/>
        </w:rPr>
        <w:t>Innovation Patent – Raising the Step</w:t>
      </w:r>
      <w:r w:rsidR="00F97B1A">
        <w:t>, Consultation Paper, Canberra.</w:t>
      </w:r>
    </w:p>
    <w:p w:rsidR="00F97B1A" w:rsidRDefault="00F97B1A" w:rsidP="00471AAD">
      <w:pPr>
        <w:pStyle w:val="Reference"/>
      </w:pPr>
      <w:r>
        <w:t>—— </w:t>
      </w:r>
      <w:proofErr w:type="spellStart"/>
      <w:r>
        <w:t>2012g</w:t>
      </w:r>
      <w:proofErr w:type="spellEnd"/>
      <w:r>
        <w:t xml:space="preserve">, </w:t>
      </w:r>
      <w:r w:rsidR="000370E8" w:rsidRPr="001C1D15">
        <w:rPr>
          <w:i/>
        </w:rPr>
        <w:t>Patents</w:t>
      </w:r>
      <w:r w:rsidR="000370E8">
        <w:t xml:space="preserve">, </w:t>
      </w:r>
      <w:r w:rsidR="000370E8" w:rsidRPr="001C1D15">
        <w:t>http://</w:t>
      </w:r>
      <w:proofErr w:type="spellStart"/>
      <w:r w:rsidR="000370E8" w:rsidRPr="001C1D15">
        <w:t>www.ipaustralia.gov.au</w:t>
      </w:r>
      <w:proofErr w:type="spellEnd"/>
      <w:r w:rsidR="000370E8" w:rsidRPr="001C1D15">
        <w:t>/get-the-right-</w:t>
      </w:r>
      <w:proofErr w:type="spellStart"/>
      <w:r w:rsidR="000370E8" w:rsidRPr="001C1D15">
        <w:t>ip</w:t>
      </w:r>
      <w:proofErr w:type="spellEnd"/>
      <w:r w:rsidR="000370E8" w:rsidRPr="001C1D15">
        <w:t>/patents/</w:t>
      </w:r>
      <w:r w:rsidR="000370E8">
        <w:t xml:space="preserve"> (accessed 14 August 2012).</w:t>
      </w:r>
    </w:p>
    <w:p w:rsidR="00392247" w:rsidRDefault="00392247" w:rsidP="00471AAD">
      <w:pPr>
        <w:pStyle w:val="Reference"/>
      </w:pPr>
      <w:r>
        <w:t>—— </w:t>
      </w:r>
      <w:proofErr w:type="spellStart"/>
      <w:r>
        <w:t>2012h</w:t>
      </w:r>
      <w:proofErr w:type="spellEnd"/>
      <w:r>
        <w:t xml:space="preserve">, </w:t>
      </w:r>
      <w:r w:rsidRPr="00B743F0">
        <w:rPr>
          <w:i/>
        </w:rPr>
        <w:t xml:space="preserve">Patents </w:t>
      </w:r>
      <w:r>
        <w:rPr>
          <w:i/>
        </w:rPr>
        <w:t>D</w:t>
      </w:r>
      <w:r w:rsidRPr="00B743F0">
        <w:rPr>
          <w:i/>
        </w:rPr>
        <w:t>ata</w:t>
      </w:r>
      <w:r>
        <w:t xml:space="preserve">, </w:t>
      </w:r>
      <w:r w:rsidRPr="00E5053B">
        <w:rPr>
          <w:bCs/>
        </w:rPr>
        <w:t>http://</w:t>
      </w:r>
      <w:proofErr w:type="spellStart"/>
      <w:r w:rsidRPr="00E5053B">
        <w:rPr>
          <w:bCs/>
        </w:rPr>
        <w:t>www.ipaustralia.gov.au</w:t>
      </w:r>
      <w:proofErr w:type="spellEnd"/>
      <w:r w:rsidRPr="00E5053B">
        <w:rPr>
          <w:bCs/>
        </w:rPr>
        <w:t>/46106/</w:t>
      </w:r>
      <w:proofErr w:type="spellStart"/>
      <w:r w:rsidRPr="00E5053B">
        <w:rPr>
          <w:bCs/>
        </w:rPr>
        <w:t>ip</w:t>
      </w:r>
      <w:proofErr w:type="spellEnd"/>
      <w:r w:rsidRPr="00E5053B">
        <w:rPr>
          <w:bCs/>
        </w:rPr>
        <w:t>-stats-2011</w:t>
      </w:r>
      <w:r w:rsidRPr="00604735">
        <w:rPr>
          <w:b/>
        </w:rPr>
        <w:t xml:space="preserve"> </w:t>
      </w:r>
      <w:r w:rsidR="000A0055">
        <w:t>(accessed 25 September 2012).</w:t>
      </w:r>
    </w:p>
    <w:p w:rsidR="00317140" w:rsidRDefault="00317140" w:rsidP="00471AAD">
      <w:pPr>
        <w:pStyle w:val="Reference"/>
      </w:pPr>
      <w:r>
        <w:t>—— </w:t>
      </w:r>
      <w:proofErr w:type="spellStart"/>
      <w:r>
        <w:t>2012i</w:t>
      </w:r>
      <w:proofErr w:type="spellEnd"/>
      <w:r>
        <w:t xml:space="preserve">, </w:t>
      </w:r>
      <w:r w:rsidR="0047672D" w:rsidRPr="0047672D">
        <w:rPr>
          <w:i/>
        </w:rPr>
        <w:t>Pharmaceutical Patents Review</w:t>
      </w:r>
      <w:r w:rsidR="0047672D" w:rsidRPr="0047672D">
        <w:t>, Background and Suggested Issues Paper, Australian Government, Canberra.</w:t>
      </w:r>
    </w:p>
    <w:p w:rsidR="00421D89" w:rsidRDefault="00317140" w:rsidP="00471AAD">
      <w:pPr>
        <w:pStyle w:val="Reference"/>
      </w:pPr>
      <w:r>
        <w:t>—— </w:t>
      </w:r>
      <w:proofErr w:type="spellStart"/>
      <w:r>
        <w:t>2012j</w:t>
      </w:r>
      <w:proofErr w:type="spellEnd"/>
      <w:r>
        <w:t xml:space="preserve">, </w:t>
      </w:r>
      <w:r w:rsidR="00C53D62" w:rsidRPr="00C53D62">
        <w:rPr>
          <w:i/>
        </w:rPr>
        <w:t>Productivity Commission launches review into compulsory licensing</w:t>
      </w:r>
      <w:r w:rsidR="00ED4198">
        <w:t>, 25 </w:t>
      </w:r>
      <w:r w:rsidR="00C53D62">
        <w:t xml:space="preserve">July, </w:t>
      </w:r>
      <w:r w:rsidR="00C53D62" w:rsidRPr="00E5053B">
        <w:rPr>
          <w:bCs/>
        </w:rPr>
        <w:t>http://www.ipaustralia.gov.au/about-us/news-and-media/latest-news-listing/?doc=compulsory-licensing&amp;view=Detail</w:t>
      </w:r>
      <w:r w:rsidR="00C53D62">
        <w:t xml:space="preserve"> (accessed 5 October 2012).</w:t>
      </w:r>
    </w:p>
    <w:p w:rsidR="00C53D62" w:rsidRDefault="00317140" w:rsidP="00471AAD">
      <w:pPr>
        <w:pStyle w:val="Reference"/>
      </w:pPr>
      <w:r>
        <w:t>—— </w:t>
      </w:r>
      <w:proofErr w:type="spellStart"/>
      <w:r>
        <w:t>2012k</w:t>
      </w:r>
      <w:proofErr w:type="spellEnd"/>
      <w:r>
        <w:t xml:space="preserve">, </w:t>
      </w:r>
      <w:r w:rsidR="004B2D44" w:rsidRPr="0061699A">
        <w:rPr>
          <w:i/>
        </w:rPr>
        <w:t>Trade Marks</w:t>
      </w:r>
      <w:r w:rsidR="004B2D44">
        <w:t xml:space="preserve">, </w:t>
      </w:r>
      <w:r w:rsidR="004B2D44" w:rsidRPr="00CC71EA">
        <w:t>http://</w:t>
      </w:r>
      <w:proofErr w:type="spellStart"/>
      <w:r w:rsidR="004B2D44" w:rsidRPr="00CC71EA">
        <w:t>www.ipaustralia.gov.au</w:t>
      </w:r>
      <w:proofErr w:type="spellEnd"/>
      <w:r w:rsidR="004B2D44" w:rsidRPr="00CC71EA">
        <w:t>/get-the-right-</w:t>
      </w:r>
      <w:proofErr w:type="spellStart"/>
      <w:r w:rsidR="004B2D44" w:rsidRPr="00CC71EA">
        <w:t>ip</w:t>
      </w:r>
      <w:proofErr w:type="spellEnd"/>
      <w:r w:rsidR="004B2D44" w:rsidRPr="00CC71EA">
        <w:t>/trade-marks/</w:t>
      </w:r>
      <w:r w:rsidR="004B2D44">
        <w:t xml:space="preserve"> (accessed 14 August 2012).</w:t>
      </w:r>
    </w:p>
    <w:p w:rsidR="00B87534" w:rsidRDefault="00317140" w:rsidP="00471AAD">
      <w:pPr>
        <w:pStyle w:val="Reference"/>
      </w:pPr>
      <w:r>
        <w:t>—— </w:t>
      </w:r>
      <w:proofErr w:type="spellStart"/>
      <w:r>
        <w:t>2012l</w:t>
      </w:r>
      <w:proofErr w:type="spellEnd"/>
      <w:r>
        <w:t xml:space="preserve">, </w:t>
      </w:r>
      <w:r w:rsidR="004B2D44" w:rsidRPr="007D004D">
        <w:rPr>
          <w:i/>
        </w:rPr>
        <w:t>Types of Licen</w:t>
      </w:r>
      <w:r w:rsidR="004B2D44">
        <w:rPr>
          <w:i/>
        </w:rPr>
        <w:t>c</w:t>
      </w:r>
      <w:r w:rsidR="004B2D44" w:rsidRPr="007D004D">
        <w:rPr>
          <w:i/>
        </w:rPr>
        <w:t>es</w:t>
      </w:r>
      <w:r w:rsidR="004B2D44">
        <w:t xml:space="preserve">, </w:t>
      </w:r>
      <w:r w:rsidR="004B2D44" w:rsidRPr="007D004D">
        <w:t>http://www.ipaustralia.gov.au/understanding-intellectual-property/commercialise-your-ip/licensing/types-of-licences/</w:t>
      </w:r>
      <w:r w:rsidR="004B2D44">
        <w:t xml:space="preserve"> (accessed 26 September 2012).</w:t>
      </w:r>
    </w:p>
    <w:p w:rsidR="004222C2" w:rsidRDefault="004222C2" w:rsidP="004222C2">
      <w:pPr>
        <w:pStyle w:val="Reference"/>
      </w:pPr>
      <w:r>
        <w:t>—— </w:t>
      </w:r>
      <w:r w:rsidR="00B523C3">
        <w:t>(</w:t>
      </w:r>
      <w:proofErr w:type="spellStart"/>
      <w:r>
        <w:t>nd</w:t>
      </w:r>
      <w:proofErr w:type="spellEnd"/>
      <w:r w:rsidR="00B523C3">
        <w:t>)a</w:t>
      </w:r>
      <w:r>
        <w:t xml:space="preserve">, </w:t>
      </w:r>
      <w:r w:rsidRPr="00F61D02">
        <w:rPr>
          <w:i/>
        </w:rPr>
        <w:t>A Guide to Applying for your Patent</w:t>
      </w:r>
      <w:r>
        <w:t>, IP Australia, Canberra.</w:t>
      </w:r>
    </w:p>
    <w:p w:rsidR="00B05285" w:rsidRDefault="00B05285" w:rsidP="004222C2">
      <w:pPr>
        <w:pStyle w:val="Reference"/>
      </w:pPr>
      <w:r>
        <w:t>—— (</w:t>
      </w:r>
      <w:proofErr w:type="spellStart"/>
      <w:r>
        <w:t>nd</w:t>
      </w:r>
      <w:proofErr w:type="spellEnd"/>
      <w:r>
        <w:t xml:space="preserve">)b, </w:t>
      </w:r>
      <w:r w:rsidRPr="00DE157D">
        <w:rPr>
          <w:i/>
        </w:rPr>
        <w:t>Government Response to the Advisory Council on Intellectual Property Recommendations</w:t>
      </w:r>
      <w:r>
        <w:t xml:space="preserve">, </w:t>
      </w:r>
      <w:r w:rsidRPr="00B05285">
        <w:rPr>
          <w:bCs/>
        </w:rPr>
        <w:t>http://</w:t>
      </w:r>
      <w:proofErr w:type="spellStart"/>
      <w:r w:rsidRPr="00B05285">
        <w:rPr>
          <w:bCs/>
        </w:rPr>
        <w:t>www.acip.gov.au</w:t>
      </w:r>
      <w:proofErr w:type="spellEnd"/>
      <w:r w:rsidRPr="00B05285">
        <w:rPr>
          <w:bCs/>
        </w:rPr>
        <w:t>/library/</w:t>
      </w:r>
      <w:proofErr w:type="spellStart"/>
      <w:r w:rsidRPr="00B05285">
        <w:rPr>
          <w:bCs/>
        </w:rPr>
        <w:t>Brief%20Release%20Gov</w:t>
      </w:r>
      <w:proofErr w:type="spellEnd"/>
      <w:r w:rsidRPr="007C2979">
        <w:t>%</w:t>
      </w:r>
      <w:r w:rsidR="00384E1B">
        <w:t xml:space="preserve"> </w:t>
      </w:r>
      <w:r w:rsidRPr="007C2979">
        <w:t>20</w:t>
      </w:r>
      <w:r>
        <w:t xml:space="preserve"> </w:t>
      </w:r>
      <w:proofErr w:type="spellStart"/>
      <w:r w:rsidRPr="007C2979">
        <w:t>response%20ACIP%20FMS%20.pdf</w:t>
      </w:r>
      <w:proofErr w:type="spellEnd"/>
      <w:r>
        <w:t xml:space="preserve"> (accessed 1 November 2012).</w:t>
      </w:r>
    </w:p>
    <w:p w:rsidR="00806A2E" w:rsidRDefault="00806A2E" w:rsidP="00806A2E">
      <w:pPr>
        <w:pStyle w:val="Reference"/>
      </w:pPr>
      <w:r>
        <w:t>—— (</w:t>
      </w:r>
      <w:proofErr w:type="spellStart"/>
      <w:r>
        <w:t>nd</w:t>
      </w:r>
      <w:proofErr w:type="spellEnd"/>
      <w:r>
        <w:t>)</w:t>
      </w:r>
      <w:r w:rsidR="00B05285">
        <w:t>c</w:t>
      </w:r>
      <w:r>
        <w:t xml:space="preserve">, </w:t>
      </w:r>
      <w:r w:rsidRPr="00E52CF1">
        <w:rPr>
          <w:i/>
        </w:rPr>
        <w:t>Royalties</w:t>
      </w:r>
      <w:r>
        <w:t>, http://www.ipaustralia.gov.au/understanding-intellectual-property/commercialise-your-ip/licensing/royalties/ (accessed 23 August 2012).</w:t>
      </w:r>
    </w:p>
    <w:p w:rsidR="004222C2" w:rsidRDefault="004222C2" w:rsidP="004222C2">
      <w:pPr>
        <w:pStyle w:val="Reference"/>
        <w:rPr>
          <w:rFonts w:ascii="TimesNewRoman" w:hAnsi="TimesNewRoman" w:cs="TimesNewRoman"/>
          <w:szCs w:val="26"/>
        </w:rPr>
      </w:pPr>
      <w:proofErr w:type="spellStart"/>
      <w:r>
        <w:lastRenderedPageBreak/>
        <w:t>IPCRC</w:t>
      </w:r>
      <w:proofErr w:type="spellEnd"/>
      <w:r>
        <w:t xml:space="preserve"> (</w:t>
      </w:r>
      <w:r w:rsidRPr="00891683">
        <w:t>Intellectual Property and Competition Review Committee</w:t>
      </w:r>
      <w:r>
        <w:t xml:space="preserve">) 2000, </w:t>
      </w:r>
      <w:r w:rsidRPr="00891683">
        <w:rPr>
          <w:rFonts w:ascii="TimesNewRoman" w:hAnsi="TimesNewRoman" w:cs="TimesNewRoman"/>
          <w:i/>
          <w:szCs w:val="26"/>
        </w:rPr>
        <w:t>Review of Intellectual Property Legislation Under the Competition Principles Agreement</w:t>
      </w:r>
      <w:r>
        <w:rPr>
          <w:rFonts w:ascii="TimesNewRoman" w:hAnsi="TimesNewRoman" w:cs="TimesNewRoman"/>
          <w:szCs w:val="26"/>
        </w:rPr>
        <w:t>, Canberra.</w:t>
      </w:r>
    </w:p>
    <w:p w:rsidR="003313BF" w:rsidRPr="003313BF" w:rsidRDefault="003313BF" w:rsidP="004222C2">
      <w:pPr>
        <w:pStyle w:val="Reference"/>
        <w:rPr>
          <w:szCs w:val="26"/>
        </w:rPr>
      </w:pPr>
      <w:r>
        <w:rPr>
          <w:szCs w:val="26"/>
        </w:rPr>
        <w:t xml:space="preserve">IPO UK (Intellectual Property Office of the United Kingdom) 2004, </w:t>
      </w:r>
      <w:r w:rsidRPr="005F5AD1">
        <w:rPr>
          <w:i/>
          <w:szCs w:val="26"/>
        </w:rPr>
        <w:t>Swansea Imports Limited v. Carver Technology Limited</w:t>
      </w:r>
      <w:r>
        <w:rPr>
          <w:szCs w:val="26"/>
        </w:rPr>
        <w:t xml:space="preserve">, </w:t>
      </w:r>
      <w:r w:rsidRPr="00E5053B">
        <w:rPr>
          <w:bCs/>
          <w:szCs w:val="26"/>
        </w:rPr>
        <w:t>http://www.ipo.gov.uk/pro-types/pro-patent/pro-p-os/p-challenge-decision-results-bl?BL_Number=O/170/</w:t>
      </w:r>
      <w:r>
        <w:rPr>
          <w:bCs/>
          <w:szCs w:val="26"/>
        </w:rPr>
        <w:t xml:space="preserve"> </w:t>
      </w:r>
      <w:r w:rsidRPr="00E5053B">
        <w:rPr>
          <w:bCs/>
          <w:szCs w:val="26"/>
        </w:rPr>
        <w:t>04</w:t>
      </w:r>
      <w:r>
        <w:rPr>
          <w:szCs w:val="26"/>
        </w:rPr>
        <w:t xml:space="preserve"> (accessed 14 November 2012). </w:t>
      </w:r>
    </w:p>
    <w:p w:rsidR="0078722D" w:rsidRDefault="0078722D" w:rsidP="0078722D">
      <w:pPr>
        <w:pStyle w:val="Reference"/>
      </w:pPr>
      <w:r>
        <w:t xml:space="preserve">IPOS (Intellectual Property Office of Singapore) </w:t>
      </w:r>
      <w:proofErr w:type="spellStart"/>
      <w:r>
        <w:t>2012a</w:t>
      </w:r>
      <w:proofErr w:type="spellEnd"/>
      <w:r>
        <w:t xml:space="preserve">, </w:t>
      </w:r>
      <w:r w:rsidRPr="004D43EB">
        <w:rPr>
          <w:i/>
        </w:rPr>
        <w:t>Managing and enforcing your patent</w:t>
      </w:r>
      <w:r w:rsidRPr="00453DF0">
        <w:t>,</w:t>
      </w:r>
      <w:r w:rsidRPr="00732021">
        <w:rPr>
          <w:b/>
        </w:rPr>
        <w:t> </w:t>
      </w:r>
      <w:r w:rsidRPr="00453DF0">
        <w:rPr>
          <w:bCs/>
        </w:rPr>
        <w:t>http://www.ipos.gov.sg/AboutIP/TypesofIPWhatisIntellectualProperty/Whatisapatent/Managingandenforcingyourpatent.aspx</w:t>
      </w:r>
      <w:r>
        <w:t xml:space="preserve"> (accessed 5 October 2012). </w:t>
      </w:r>
    </w:p>
    <w:p w:rsidR="0078722D" w:rsidRDefault="0078722D" w:rsidP="004222C2">
      <w:pPr>
        <w:pStyle w:val="Reference"/>
      </w:pPr>
      <w:r>
        <w:t>—— </w:t>
      </w:r>
      <w:proofErr w:type="spellStart"/>
      <w:r>
        <w:t>2012b</w:t>
      </w:r>
      <w:proofErr w:type="spellEnd"/>
      <w:r>
        <w:t xml:space="preserve">, </w:t>
      </w:r>
      <w:r w:rsidRPr="003A2784">
        <w:rPr>
          <w:i/>
        </w:rPr>
        <w:t>Number of patents in force in Singapore</w:t>
      </w:r>
      <w:r>
        <w:t xml:space="preserve">, </w:t>
      </w:r>
      <w:r w:rsidRPr="0078722D">
        <w:rPr>
          <w:bCs/>
        </w:rPr>
        <w:t>http://</w:t>
      </w:r>
      <w:proofErr w:type="spellStart"/>
      <w:r w:rsidRPr="0078722D">
        <w:rPr>
          <w:bCs/>
        </w:rPr>
        <w:t>www.ipos.gov.sg</w:t>
      </w:r>
      <w:proofErr w:type="spellEnd"/>
      <w:r>
        <w:rPr>
          <w:bCs/>
        </w:rPr>
        <w:t xml:space="preserve"> </w:t>
      </w:r>
      <w:r w:rsidRPr="00453DF0">
        <w:rPr>
          <w:bCs/>
        </w:rPr>
        <w:t>/AboutIP/IPResources/Statistics/StatisticsArchive/Patents/NumberofPatentsInForceinSingapore.aspx</w:t>
      </w:r>
      <w:r>
        <w:t xml:space="preserve"> (accessed 5 October 2012).</w:t>
      </w:r>
    </w:p>
    <w:p w:rsidR="0029266D" w:rsidRPr="0029266D" w:rsidRDefault="0029266D" w:rsidP="004222C2">
      <w:pPr>
        <w:pStyle w:val="Reference"/>
        <w:rPr>
          <w:szCs w:val="26"/>
        </w:rPr>
      </w:pPr>
      <w:proofErr w:type="spellStart"/>
      <w:r>
        <w:rPr>
          <w:szCs w:val="26"/>
        </w:rPr>
        <w:t>IPRIA</w:t>
      </w:r>
      <w:proofErr w:type="spellEnd"/>
      <w:r>
        <w:rPr>
          <w:szCs w:val="26"/>
        </w:rPr>
        <w:t xml:space="preserve"> (Intellectual Property Research Institute of Australia) 2008, </w:t>
      </w:r>
      <w:r w:rsidRPr="00731A2E">
        <w:rPr>
          <w:i/>
          <w:szCs w:val="26"/>
        </w:rPr>
        <w:t>Blackberry</w:t>
      </w:r>
      <w:r>
        <w:rPr>
          <w:i/>
          <w:szCs w:val="26"/>
        </w:rPr>
        <w:t>:</w:t>
      </w:r>
      <w:r w:rsidRPr="00731A2E">
        <w:rPr>
          <w:i/>
          <w:szCs w:val="26"/>
        </w:rPr>
        <w:t xml:space="preserve"> A Teaching Case for </w:t>
      </w:r>
      <w:proofErr w:type="spellStart"/>
      <w:r w:rsidRPr="00731A2E">
        <w:rPr>
          <w:i/>
          <w:szCs w:val="26"/>
        </w:rPr>
        <w:t>WIPO</w:t>
      </w:r>
      <w:proofErr w:type="spellEnd"/>
      <w:r>
        <w:rPr>
          <w:szCs w:val="26"/>
        </w:rPr>
        <w:t>, October.</w:t>
      </w:r>
    </w:p>
    <w:p w:rsidR="00903566" w:rsidRPr="00EF4B73" w:rsidRDefault="00903566" w:rsidP="00903566">
      <w:pPr>
        <w:pStyle w:val="Reference"/>
      </w:pPr>
      <w:proofErr w:type="spellStart"/>
      <w:r w:rsidRPr="00EF4B73">
        <w:t>IPTA</w:t>
      </w:r>
      <w:proofErr w:type="spellEnd"/>
      <w:r w:rsidRPr="00EF4B73">
        <w:t xml:space="preserve"> (</w:t>
      </w:r>
      <w:r w:rsidRPr="0052311A">
        <w:t xml:space="preserve">Institute of Patent and Trade Mark Attorneys of Australia) </w:t>
      </w:r>
      <w:r w:rsidRPr="00EF4B73">
        <w:t xml:space="preserve">2010, </w:t>
      </w:r>
      <w:r w:rsidRPr="0052311A">
        <w:rPr>
          <w:iCs/>
        </w:rPr>
        <w:t xml:space="preserve">Submission to the </w:t>
      </w:r>
      <w:r w:rsidRPr="0052311A">
        <w:rPr>
          <w:bCs/>
          <w:iCs/>
        </w:rPr>
        <w:t>Senate Community Affairs Committee,</w:t>
      </w:r>
      <w:r w:rsidRPr="0052311A">
        <w:rPr>
          <w:b/>
          <w:bCs/>
          <w:iCs/>
        </w:rPr>
        <w:t xml:space="preserve"> </w:t>
      </w:r>
      <w:r w:rsidRPr="0052311A">
        <w:rPr>
          <w:i/>
          <w:iCs/>
        </w:rPr>
        <w:t>Gene Patents</w:t>
      </w:r>
      <w:r w:rsidRPr="0052311A">
        <w:rPr>
          <w:iCs/>
        </w:rPr>
        <w:t>, Canberra.</w:t>
      </w:r>
    </w:p>
    <w:p w:rsidR="003476D2" w:rsidRDefault="00453526" w:rsidP="00453526">
      <w:pPr>
        <w:pStyle w:val="Reference"/>
        <w:rPr>
          <w:szCs w:val="26"/>
        </w:rPr>
      </w:pPr>
      <w:r>
        <w:rPr>
          <w:szCs w:val="26"/>
        </w:rPr>
        <w:t xml:space="preserve">Jennings, M. 2003, </w:t>
      </w:r>
      <w:r w:rsidRPr="003476D2">
        <w:rPr>
          <w:i/>
          <w:szCs w:val="26"/>
        </w:rPr>
        <w:t>The relationship between treaties and domestic law</w:t>
      </w:r>
      <w:r>
        <w:rPr>
          <w:szCs w:val="26"/>
        </w:rPr>
        <w:t xml:space="preserve">, presented at a departmental workshop for the Department </w:t>
      </w:r>
      <w:r w:rsidR="003476D2">
        <w:rPr>
          <w:szCs w:val="26"/>
        </w:rPr>
        <w:t>of Foreign Affairs and Trade, 6 </w:t>
      </w:r>
      <w:r>
        <w:rPr>
          <w:szCs w:val="26"/>
        </w:rPr>
        <w:t>November 2003.</w:t>
      </w:r>
    </w:p>
    <w:p w:rsidR="00453526" w:rsidRPr="00453526" w:rsidRDefault="00453526" w:rsidP="00453526">
      <w:pPr>
        <w:pStyle w:val="Reference"/>
      </w:pPr>
      <w:r>
        <w:t xml:space="preserve">Jensen, K. and Murray, F. 2005, ‘Intellectual property landscape of the human genome’, </w:t>
      </w:r>
      <w:r w:rsidRPr="00C23EE3">
        <w:rPr>
          <w:i/>
        </w:rPr>
        <w:t>Science</w:t>
      </w:r>
      <w:r>
        <w:t>, vol. 310, no. 5746, pp. 239-240.</w:t>
      </w:r>
    </w:p>
    <w:p w:rsidR="00453526" w:rsidRDefault="007D04D0" w:rsidP="00453526">
      <w:pPr>
        <w:pStyle w:val="Reference"/>
        <w:rPr>
          <w:szCs w:val="26"/>
        </w:rPr>
      </w:pPr>
      <w:r>
        <w:rPr>
          <w:szCs w:val="26"/>
        </w:rPr>
        <w:t xml:space="preserve">Jonas </w:t>
      </w:r>
      <w:r w:rsidR="00453526">
        <w:rPr>
          <w:szCs w:val="26"/>
        </w:rPr>
        <w:t xml:space="preserve">Anderson, J. 2008, ‘Hiding behind nationality: the temporary presence exception and patent infringement avoidance’, </w:t>
      </w:r>
      <w:r w:rsidR="00453526" w:rsidRPr="00486D9C">
        <w:rPr>
          <w:i/>
          <w:szCs w:val="26"/>
        </w:rPr>
        <w:t>Michigan Telecommunications Technology Law Review</w:t>
      </w:r>
      <w:r w:rsidR="00453526" w:rsidRPr="00486D9C">
        <w:rPr>
          <w:szCs w:val="26"/>
        </w:rPr>
        <w:t>,</w:t>
      </w:r>
      <w:r w:rsidR="00C532CC">
        <w:rPr>
          <w:szCs w:val="26"/>
        </w:rPr>
        <w:t xml:space="preserve"> </w:t>
      </w:r>
      <w:r w:rsidR="00F86303">
        <w:rPr>
          <w:szCs w:val="26"/>
        </w:rPr>
        <w:t>vol. 15, no. 1, pp. 1–51.</w:t>
      </w:r>
    </w:p>
    <w:p w:rsidR="00DA1CA7" w:rsidRDefault="00DA1CA7" w:rsidP="00DA1CA7">
      <w:pPr>
        <w:pStyle w:val="Reference"/>
      </w:pPr>
      <w:proofErr w:type="spellStart"/>
      <w:r>
        <w:rPr>
          <w:szCs w:val="26"/>
        </w:rPr>
        <w:t>JPO</w:t>
      </w:r>
      <w:proofErr w:type="spellEnd"/>
      <w:r>
        <w:rPr>
          <w:szCs w:val="26"/>
        </w:rPr>
        <w:t xml:space="preserve"> (Japan Patent Office) </w:t>
      </w:r>
      <w:proofErr w:type="spellStart"/>
      <w:r>
        <w:t>2012a</w:t>
      </w:r>
      <w:proofErr w:type="spellEnd"/>
      <w:r>
        <w:t xml:space="preserve">, </w:t>
      </w:r>
      <w:r w:rsidRPr="00DA1CA7">
        <w:rPr>
          <w:i/>
        </w:rPr>
        <w:t>How your patent application is processed</w:t>
      </w:r>
      <w:r>
        <w:t xml:space="preserve">, </w:t>
      </w:r>
      <w:r w:rsidRPr="00DA1CA7">
        <w:rPr>
          <w:bCs/>
        </w:rPr>
        <w:t>http://</w:t>
      </w:r>
      <w:proofErr w:type="spellStart"/>
      <w:r w:rsidRPr="00DA1CA7">
        <w:rPr>
          <w:bCs/>
        </w:rPr>
        <w:t>www.jpo.go.jp</w:t>
      </w:r>
      <w:proofErr w:type="spellEnd"/>
      <w:r w:rsidRPr="00DA1CA7">
        <w:rPr>
          <w:bCs/>
        </w:rPr>
        <w:t>/</w:t>
      </w:r>
      <w:proofErr w:type="spellStart"/>
      <w:r w:rsidRPr="00DA1CA7">
        <w:rPr>
          <w:bCs/>
        </w:rPr>
        <w:t>cgi</w:t>
      </w:r>
      <w:proofErr w:type="spellEnd"/>
      <w:r w:rsidRPr="00DA1CA7">
        <w:rPr>
          <w:bCs/>
        </w:rPr>
        <w:t>/</w:t>
      </w:r>
      <w:proofErr w:type="spellStart"/>
      <w:r w:rsidRPr="00DA1CA7">
        <w:rPr>
          <w:bCs/>
        </w:rPr>
        <w:t>linke.cgi?url</w:t>
      </w:r>
      <w:proofErr w:type="spellEnd"/>
      <w:r w:rsidRPr="00DA1CA7">
        <w:rPr>
          <w:bCs/>
        </w:rPr>
        <w:t>=/</w:t>
      </w:r>
      <w:proofErr w:type="spellStart"/>
      <w:r w:rsidRPr="00DA1CA7">
        <w:rPr>
          <w:bCs/>
        </w:rPr>
        <w:t>tetuzuki_e</w:t>
      </w:r>
      <w:proofErr w:type="spellEnd"/>
      <w:r w:rsidRPr="00DA1CA7">
        <w:rPr>
          <w:bCs/>
        </w:rPr>
        <w:t>/</w:t>
      </w:r>
      <w:proofErr w:type="spellStart"/>
      <w:r w:rsidRPr="00DA1CA7">
        <w:rPr>
          <w:bCs/>
        </w:rPr>
        <w:t>faqs.htm</w:t>
      </w:r>
      <w:proofErr w:type="spellEnd"/>
      <w:r>
        <w:t xml:space="preserve"> (accessed 24 September 2012).</w:t>
      </w:r>
    </w:p>
    <w:p w:rsidR="00DA1CA7" w:rsidRDefault="00DA1CA7" w:rsidP="00DA1CA7">
      <w:pPr>
        <w:pStyle w:val="Reference"/>
      </w:pPr>
      <w:r>
        <w:t>—— </w:t>
      </w:r>
      <w:proofErr w:type="spellStart"/>
      <w:r>
        <w:t>2012b</w:t>
      </w:r>
      <w:proofErr w:type="spellEnd"/>
      <w:r>
        <w:t>,</w:t>
      </w:r>
      <w:r w:rsidRPr="00E247D8">
        <w:rPr>
          <w:i/>
        </w:rPr>
        <w:t xml:space="preserve"> Japan Patent Office Annual Report 2012</w:t>
      </w:r>
      <w:r>
        <w:t>, Tokyo.</w:t>
      </w:r>
    </w:p>
    <w:p w:rsidR="00DA1CA7" w:rsidRPr="00DA1CA7" w:rsidRDefault="00DA1CA7" w:rsidP="00453526">
      <w:pPr>
        <w:pStyle w:val="Reference"/>
      </w:pPr>
      <w:r>
        <w:t>—— </w:t>
      </w:r>
      <w:proofErr w:type="spellStart"/>
      <w:r>
        <w:t>2012c</w:t>
      </w:r>
      <w:proofErr w:type="spellEnd"/>
      <w:r>
        <w:t xml:space="preserve">, </w:t>
      </w:r>
      <w:r w:rsidRPr="00B62E3B">
        <w:rPr>
          <w:i/>
        </w:rPr>
        <w:t>Japanese Law Translation (Japan Patents Act)</w:t>
      </w:r>
      <w:r>
        <w:t xml:space="preserve">, </w:t>
      </w:r>
      <w:r w:rsidRPr="00E5053B">
        <w:rPr>
          <w:bCs/>
        </w:rPr>
        <w:t>http://</w:t>
      </w:r>
      <w:proofErr w:type="spellStart"/>
      <w:r w:rsidRPr="00E5053B">
        <w:rPr>
          <w:bCs/>
        </w:rPr>
        <w:t>www.japanese</w:t>
      </w:r>
      <w:proofErr w:type="spellEnd"/>
      <w:r w:rsidRPr="00E5053B">
        <w:rPr>
          <w:bCs/>
        </w:rPr>
        <w:br/>
      </w:r>
      <w:proofErr w:type="spellStart"/>
      <w:r w:rsidRPr="00E5053B">
        <w:rPr>
          <w:bCs/>
        </w:rPr>
        <w:t>lawtranslation.go.jp</w:t>
      </w:r>
      <w:proofErr w:type="spellEnd"/>
      <w:r w:rsidRPr="00E5053B">
        <w:rPr>
          <w:bCs/>
        </w:rPr>
        <w:t>/law/detail/?id=</w:t>
      </w:r>
      <w:proofErr w:type="spellStart"/>
      <w:r w:rsidRPr="00E5053B">
        <w:rPr>
          <w:bCs/>
        </w:rPr>
        <w:t>42&amp;vm</w:t>
      </w:r>
      <w:proofErr w:type="spellEnd"/>
      <w:r w:rsidRPr="00E5053B">
        <w:rPr>
          <w:bCs/>
        </w:rPr>
        <w:t>=</w:t>
      </w:r>
      <w:proofErr w:type="spellStart"/>
      <w:r w:rsidRPr="00E5053B">
        <w:rPr>
          <w:bCs/>
        </w:rPr>
        <w:t>04&amp;re</w:t>
      </w:r>
      <w:proofErr w:type="spellEnd"/>
      <w:r w:rsidRPr="00E5053B">
        <w:rPr>
          <w:bCs/>
        </w:rPr>
        <w:t>=01</w:t>
      </w:r>
      <w:r>
        <w:t xml:space="preserve"> (accessed 4 September 2012).</w:t>
      </w:r>
    </w:p>
    <w:p w:rsidR="009D1765" w:rsidRDefault="009D1765" w:rsidP="00453526">
      <w:pPr>
        <w:pStyle w:val="Reference"/>
        <w:rPr>
          <w:szCs w:val="26"/>
        </w:rPr>
      </w:pPr>
      <w:proofErr w:type="spellStart"/>
      <w:r w:rsidRPr="001C1E27">
        <w:rPr>
          <w:szCs w:val="26"/>
        </w:rPr>
        <w:t>Kanter</w:t>
      </w:r>
      <w:proofErr w:type="spellEnd"/>
      <w:r w:rsidRPr="001C1E27">
        <w:rPr>
          <w:szCs w:val="26"/>
        </w:rPr>
        <w:t>,</w:t>
      </w:r>
      <w:r>
        <w:rPr>
          <w:szCs w:val="26"/>
        </w:rPr>
        <w:t xml:space="preserve"> D. 2006, ‘</w:t>
      </w:r>
      <w:r w:rsidRPr="001C1E27">
        <w:rPr>
          <w:szCs w:val="26"/>
        </w:rPr>
        <w:t xml:space="preserve">IP and </w:t>
      </w:r>
      <w:r>
        <w:rPr>
          <w:szCs w:val="26"/>
        </w:rPr>
        <w:t>c</w:t>
      </w:r>
      <w:r w:rsidRPr="001C1E27">
        <w:rPr>
          <w:szCs w:val="26"/>
        </w:rPr>
        <w:t>ompulsory</w:t>
      </w:r>
      <w:r>
        <w:rPr>
          <w:szCs w:val="26"/>
        </w:rPr>
        <w:t xml:space="preserve"> l</w:t>
      </w:r>
      <w:r w:rsidRPr="001C1E27">
        <w:rPr>
          <w:szCs w:val="26"/>
        </w:rPr>
        <w:t xml:space="preserve">icensing on </w:t>
      </w:r>
      <w:r>
        <w:rPr>
          <w:szCs w:val="26"/>
        </w:rPr>
        <w:t>b</w:t>
      </w:r>
      <w:r w:rsidRPr="001C1E27">
        <w:rPr>
          <w:szCs w:val="26"/>
        </w:rPr>
        <w:t xml:space="preserve">oth </w:t>
      </w:r>
      <w:r>
        <w:rPr>
          <w:szCs w:val="26"/>
        </w:rPr>
        <w:t>s</w:t>
      </w:r>
      <w:r w:rsidRPr="001C1E27">
        <w:rPr>
          <w:szCs w:val="26"/>
        </w:rPr>
        <w:t xml:space="preserve">ides of the Atlantic—an </w:t>
      </w:r>
      <w:r>
        <w:rPr>
          <w:szCs w:val="26"/>
        </w:rPr>
        <w:t>a</w:t>
      </w:r>
      <w:r w:rsidRPr="001C1E27">
        <w:rPr>
          <w:szCs w:val="26"/>
        </w:rPr>
        <w:t xml:space="preserve">ppropriate </w:t>
      </w:r>
      <w:r>
        <w:rPr>
          <w:szCs w:val="26"/>
        </w:rPr>
        <w:t>a</w:t>
      </w:r>
      <w:r w:rsidRPr="001C1E27">
        <w:rPr>
          <w:szCs w:val="26"/>
        </w:rPr>
        <w:t xml:space="preserve">ntitrust </w:t>
      </w:r>
      <w:r>
        <w:rPr>
          <w:szCs w:val="26"/>
        </w:rPr>
        <w:t>r</w:t>
      </w:r>
      <w:r w:rsidRPr="001C1E27">
        <w:rPr>
          <w:szCs w:val="26"/>
        </w:rPr>
        <w:t xml:space="preserve">emedy or a </w:t>
      </w:r>
      <w:r>
        <w:rPr>
          <w:szCs w:val="26"/>
        </w:rPr>
        <w:t>c</w:t>
      </w:r>
      <w:r w:rsidRPr="001C1E27">
        <w:rPr>
          <w:szCs w:val="26"/>
        </w:rPr>
        <w:t>utback on</w:t>
      </w:r>
      <w:r>
        <w:rPr>
          <w:szCs w:val="26"/>
        </w:rPr>
        <w:t xml:space="preserve"> i</w:t>
      </w:r>
      <w:r w:rsidRPr="001C1E27">
        <w:rPr>
          <w:szCs w:val="26"/>
        </w:rPr>
        <w:t>nnovation?</w:t>
      </w:r>
      <w:r>
        <w:rPr>
          <w:szCs w:val="26"/>
        </w:rPr>
        <w:t>’,</w:t>
      </w:r>
      <w:r w:rsidRPr="001C1E27">
        <w:rPr>
          <w:szCs w:val="26"/>
        </w:rPr>
        <w:t xml:space="preserve"> </w:t>
      </w:r>
      <w:r w:rsidRPr="00C74C94">
        <w:rPr>
          <w:i/>
          <w:szCs w:val="26"/>
        </w:rPr>
        <w:t>European Competition and Law Review</w:t>
      </w:r>
      <w:r w:rsidRPr="001C1E27">
        <w:rPr>
          <w:szCs w:val="26"/>
        </w:rPr>
        <w:t xml:space="preserve">, </w:t>
      </w:r>
      <w:r>
        <w:rPr>
          <w:szCs w:val="26"/>
        </w:rPr>
        <w:t xml:space="preserve">vol. </w:t>
      </w:r>
      <w:r w:rsidRPr="001C1E27">
        <w:rPr>
          <w:szCs w:val="26"/>
        </w:rPr>
        <w:t>27</w:t>
      </w:r>
      <w:r>
        <w:rPr>
          <w:szCs w:val="26"/>
        </w:rPr>
        <w:t>, no. 3</w:t>
      </w:r>
      <w:r w:rsidRPr="001C1E27">
        <w:rPr>
          <w:szCs w:val="26"/>
        </w:rPr>
        <w:t xml:space="preserve">, </w:t>
      </w:r>
      <w:r>
        <w:rPr>
          <w:szCs w:val="26"/>
        </w:rPr>
        <w:t xml:space="preserve">pp. </w:t>
      </w:r>
      <w:r w:rsidRPr="001C1E27">
        <w:rPr>
          <w:szCs w:val="26"/>
        </w:rPr>
        <w:t>351</w:t>
      </w:r>
      <w:r>
        <w:rPr>
          <w:szCs w:val="26"/>
        </w:rPr>
        <w:t>–</w:t>
      </w:r>
      <w:r w:rsidRPr="001C1E27">
        <w:rPr>
          <w:szCs w:val="26"/>
        </w:rPr>
        <w:t>64</w:t>
      </w:r>
      <w:r>
        <w:rPr>
          <w:szCs w:val="26"/>
        </w:rPr>
        <w:t>.</w:t>
      </w:r>
    </w:p>
    <w:p w:rsidR="00FF2013" w:rsidRDefault="00D8711C" w:rsidP="00453526">
      <w:pPr>
        <w:pStyle w:val="Reference"/>
      </w:pPr>
      <w:r>
        <w:lastRenderedPageBreak/>
        <w:t>Katz, M.</w:t>
      </w:r>
      <w:r w:rsidR="003116BF">
        <w:t xml:space="preserve"> and Shapiro, C. 1985, ‘On the licensing of i</w:t>
      </w:r>
      <w:r w:rsidR="00FF2013">
        <w:t xml:space="preserve">nnovations’, </w:t>
      </w:r>
      <w:r w:rsidR="00FF2013" w:rsidRPr="00E23EBD">
        <w:rPr>
          <w:i/>
        </w:rPr>
        <w:t>The RAND Journal of Economics</w:t>
      </w:r>
      <w:r w:rsidR="00FF2013">
        <w:t>, vol. 16, no. 4, pp. 504–520.</w:t>
      </w:r>
    </w:p>
    <w:p w:rsidR="00EE334B" w:rsidRPr="00EE334B" w:rsidRDefault="00EE334B" w:rsidP="00453526">
      <w:pPr>
        <w:pStyle w:val="Reference"/>
        <w:rPr>
          <w:szCs w:val="26"/>
        </w:rPr>
      </w:pPr>
      <w:r>
        <w:rPr>
          <w:szCs w:val="26"/>
        </w:rPr>
        <w:t xml:space="preserve">KEI (Knowledge Ecology International) 2012, </w:t>
      </w:r>
      <w:r w:rsidRPr="00FA6F37">
        <w:rPr>
          <w:i/>
          <w:szCs w:val="26"/>
        </w:rPr>
        <w:t xml:space="preserve">Four NGOs ask NIH to grant open licenses to ritonavir patents under </w:t>
      </w:r>
      <w:proofErr w:type="spellStart"/>
      <w:r w:rsidRPr="00FA6F37">
        <w:rPr>
          <w:i/>
          <w:szCs w:val="26"/>
        </w:rPr>
        <w:t>Bayh</w:t>
      </w:r>
      <w:proofErr w:type="spellEnd"/>
      <w:r w:rsidRPr="00FA6F37">
        <w:rPr>
          <w:i/>
          <w:szCs w:val="26"/>
        </w:rPr>
        <w:t>-Dole March-in provisions</w:t>
      </w:r>
      <w:r>
        <w:rPr>
          <w:szCs w:val="26"/>
        </w:rPr>
        <w:t xml:space="preserve">, </w:t>
      </w:r>
      <w:r w:rsidRPr="00EE334B">
        <w:rPr>
          <w:bCs/>
          <w:szCs w:val="26"/>
        </w:rPr>
        <w:t>http://</w:t>
      </w:r>
      <w:proofErr w:type="spellStart"/>
      <w:r w:rsidRPr="00EE334B">
        <w:rPr>
          <w:bCs/>
          <w:szCs w:val="26"/>
        </w:rPr>
        <w:t>keionline.org</w:t>
      </w:r>
      <w:proofErr w:type="spellEnd"/>
      <w:r w:rsidRPr="00EE334B">
        <w:rPr>
          <w:bCs/>
          <w:szCs w:val="26"/>
        </w:rPr>
        <w:t>/node/1573</w:t>
      </w:r>
      <w:r>
        <w:rPr>
          <w:szCs w:val="26"/>
        </w:rPr>
        <w:t xml:space="preserve"> (accessed 27 November 2012). </w:t>
      </w:r>
    </w:p>
    <w:p w:rsidR="00A14892" w:rsidRDefault="00A14892" w:rsidP="00453526">
      <w:pPr>
        <w:pStyle w:val="Reference"/>
      </w:pPr>
      <w:r w:rsidRPr="007C2979">
        <w:t>Ki</w:t>
      </w:r>
      <w:r w:rsidR="003116BF">
        <w:t>ngston, W. 1995, ‘Reducing the cost of resolving intellectual property d</w:t>
      </w:r>
      <w:r w:rsidRPr="007C2979">
        <w:t xml:space="preserve">isputes’, </w:t>
      </w:r>
      <w:r w:rsidRPr="00A14892">
        <w:rPr>
          <w:i/>
        </w:rPr>
        <w:t>European Journal of law and Economies</w:t>
      </w:r>
      <w:r w:rsidRPr="00DE157D">
        <w:t xml:space="preserve">, </w:t>
      </w:r>
      <w:r>
        <w:t xml:space="preserve">no. </w:t>
      </w:r>
      <w:r w:rsidRPr="00DE157D">
        <w:t>2</w:t>
      </w:r>
      <w:r>
        <w:t xml:space="preserve">, pp. </w:t>
      </w:r>
      <w:r w:rsidRPr="00DE157D">
        <w:t>85</w:t>
      </w:r>
      <w:r>
        <w:t>–</w:t>
      </w:r>
      <w:r w:rsidRPr="007C2979">
        <w:t>92</w:t>
      </w:r>
      <w:r>
        <w:t>.</w:t>
      </w:r>
    </w:p>
    <w:p w:rsidR="0033398A" w:rsidRPr="00FF2013" w:rsidRDefault="0033398A" w:rsidP="00453526">
      <w:pPr>
        <w:pStyle w:val="Reference"/>
      </w:pPr>
      <w:proofErr w:type="spellStart"/>
      <w:r>
        <w:t>KIPO</w:t>
      </w:r>
      <w:proofErr w:type="spellEnd"/>
      <w:r>
        <w:t xml:space="preserve"> (Korean Intellectual Property Office) 2012, </w:t>
      </w:r>
      <w:r w:rsidRPr="00E63EA6">
        <w:rPr>
          <w:i/>
        </w:rPr>
        <w:t>Overview of the Patent System in Korea</w:t>
      </w:r>
      <w:r>
        <w:t xml:space="preserve">, </w:t>
      </w:r>
      <w:r w:rsidRPr="00E5053B">
        <w:rPr>
          <w:bCs/>
        </w:rPr>
        <w:t>http://www.kipo.go.kr/kpo/user.tdf?a=user.english.html.HtmlApp&amp;c=92</w:t>
      </w:r>
      <w:r w:rsidRPr="00E5053B">
        <w:rPr>
          <w:bCs/>
        </w:rPr>
        <w:br/>
      </w:r>
      <w:proofErr w:type="spellStart"/>
      <w:r w:rsidRPr="00E5053B">
        <w:rPr>
          <w:bCs/>
        </w:rPr>
        <w:t>102&amp;catmenu</w:t>
      </w:r>
      <w:proofErr w:type="spellEnd"/>
      <w:r w:rsidRPr="00E5053B">
        <w:rPr>
          <w:bCs/>
        </w:rPr>
        <w:t>=</w:t>
      </w:r>
      <w:proofErr w:type="spellStart"/>
      <w:r w:rsidRPr="00E5053B">
        <w:rPr>
          <w:bCs/>
        </w:rPr>
        <w:t>ek03_01_01_03</w:t>
      </w:r>
      <w:proofErr w:type="spellEnd"/>
      <w:r>
        <w:t xml:space="preserve"> (accessed 8 October 2012).</w:t>
      </w:r>
    </w:p>
    <w:p w:rsidR="003C7C47" w:rsidRDefault="003C7C47" w:rsidP="003C7C47">
      <w:pPr>
        <w:pStyle w:val="Reference"/>
      </w:pPr>
      <w:proofErr w:type="spellStart"/>
      <w:r>
        <w:t>Kitch</w:t>
      </w:r>
      <w:proofErr w:type="spellEnd"/>
      <w:r>
        <w:t>, E.W. 2000</w:t>
      </w:r>
      <w:r w:rsidR="003116BF">
        <w:t>, ‘Elementary and persistent errors in the economic a</w:t>
      </w:r>
      <w:r>
        <w:t xml:space="preserve">nalysis of </w:t>
      </w:r>
      <w:r w:rsidR="003116BF">
        <w:t>i</w:t>
      </w:r>
      <w:r>
        <w:t xml:space="preserve">ntellectual </w:t>
      </w:r>
      <w:r w:rsidR="003116BF">
        <w:t>p</w:t>
      </w:r>
      <w:r>
        <w:t xml:space="preserve">roperty’, </w:t>
      </w:r>
      <w:r w:rsidRPr="00F07800">
        <w:rPr>
          <w:i/>
        </w:rPr>
        <w:t>Vanderbilt Law Review</w:t>
      </w:r>
      <w:r>
        <w:t>, vol. 53, no. 6, pp. 1727–1741.</w:t>
      </w:r>
    </w:p>
    <w:p w:rsidR="003C7C47" w:rsidRDefault="003116BF" w:rsidP="003C7C47">
      <w:pPr>
        <w:pStyle w:val="Reference"/>
      </w:pPr>
      <w:r>
        <w:t>Klemperer, P. 1990, ‘How b</w:t>
      </w:r>
      <w:r w:rsidR="003C7C47">
        <w:t xml:space="preserve">road </w:t>
      </w:r>
      <w:r>
        <w:t>s</w:t>
      </w:r>
      <w:r w:rsidR="003C7C47">
        <w:t xml:space="preserve">hould the </w:t>
      </w:r>
      <w:r>
        <w:t>s</w:t>
      </w:r>
      <w:r w:rsidR="003C7C47">
        <w:t xml:space="preserve">cope of </w:t>
      </w:r>
      <w:r>
        <w:t>p</w:t>
      </w:r>
      <w:r w:rsidR="003C7C47">
        <w:t xml:space="preserve">atent </w:t>
      </w:r>
      <w:r>
        <w:t>p</w:t>
      </w:r>
      <w:r w:rsidR="003C7C47">
        <w:t xml:space="preserve">rotection </w:t>
      </w:r>
      <w:r>
        <w:t>b</w:t>
      </w:r>
      <w:r w:rsidR="003C7C47">
        <w:t xml:space="preserve">e?’, </w:t>
      </w:r>
      <w:r w:rsidR="003C7C47" w:rsidRPr="00F9189A">
        <w:rPr>
          <w:i/>
        </w:rPr>
        <w:t>The</w:t>
      </w:r>
      <w:r w:rsidR="003C7C47">
        <w:t xml:space="preserve"> </w:t>
      </w:r>
      <w:r w:rsidR="003C7C47" w:rsidRPr="0067649C">
        <w:rPr>
          <w:i/>
        </w:rPr>
        <w:t>RAND Journal of Economics</w:t>
      </w:r>
      <w:r w:rsidR="003C7C47">
        <w:t>, vol. 21, no. 1, pp. 113–130.</w:t>
      </w:r>
    </w:p>
    <w:p w:rsidR="003400F4" w:rsidRDefault="003400F4" w:rsidP="003C7C47">
      <w:pPr>
        <w:pStyle w:val="Reference"/>
      </w:pPr>
      <w:proofErr w:type="spellStart"/>
      <w:r>
        <w:t>Koelman</w:t>
      </w:r>
      <w:proofErr w:type="spellEnd"/>
      <w:r>
        <w:t>, K. 2006, ‘</w:t>
      </w:r>
      <w:r w:rsidR="003116BF">
        <w:t xml:space="preserve">An </w:t>
      </w:r>
      <w:proofErr w:type="spellStart"/>
      <w:r w:rsidR="003116BF">
        <w:t>exceptio</w:t>
      </w:r>
      <w:proofErr w:type="spellEnd"/>
      <w:r w:rsidR="003116BF">
        <w:t xml:space="preserve"> </w:t>
      </w:r>
      <w:proofErr w:type="spellStart"/>
      <w:r w:rsidR="003116BF">
        <w:t>standardis</w:t>
      </w:r>
      <w:proofErr w:type="spellEnd"/>
      <w:r w:rsidR="003116BF">
        <w:t>: d</w:t>
      </w:r>
      <w:r w:rsidRPr="00467DBC">
        <w:t>o we need an IP exemption for standards?</w:t>
      </w:r>
      <w:r>
        <w:rPr>
          <w:i/>
        </w:rPr>
        <w:t>’</w:t>
      </w:r>
      <w:r>
        <w:t xml:space="preserve">, </w:t>
      </w:r>
      <w:r w:rsidRPr="00467DBC">
        <w:rPr>
          <w:i/>
        </w:rPr>
        <w:t>International Review of Intellectual Property and Competition Law</w:t>
      </w:r>
      <w:r>
        <w:t>, vol. 7, pp. 823-843.</w:t>
      </w:r>
    </w:p>
    <w:p w:rsidR="003C7C47" w:rsidRDefault="003C7C47" w:rsidP="003C7C47">
      <w:pPr>
        <w:pStyle w:val="Reference"/>
      </w:pPr>
      <w:proofErr w:type="spellStart"/>
      <w:r>
        <w:t>Kossonakou</w:t>
      </w:r>
      <w:proofErr w:type="spellEnd"/>
      <w:r>
        <w:t xml:space="preserve">, E. 2009, </w:t>
      </w:r>
      <w:r w:rsidRPr="00797B46">
        <w:rPr>
          <w:i/>
        </w:rPr>
        <w:t>Strategic Renewal Process, ‘Raising the</w:t>
      </w:r>
      <w:r w:rsidR="003116BF">
        <w:rPr>
          <w:i/>
        </w:rPr>
        <w:t xml:space="preserve"> bar’, How to Improve the Quality of Incoming A</w:t>
      </w:r>
      <w:r w:rsidRPr="00797B46">
        <w:rPr>
          <w:i/>
        </w:rPr>
        <w:t>pplications</w:t>
      </w:r>
      <w:r>
        <w:t>, presented at the International Association for the Protection of Intellectual Property forum in</w:t>
      </w:r>
      <w:r w:rsidR="00797B46">
        <w:t xml:space="preserve"> Buenos Aires, 11 </w:t>
      </w:r>
      <w:r>
        <w:t>September</w:t>
      </w:r>
      <w:r w:rsidR="00797B46">
        <w:t>.</w:t>
      </w:r>
    </w:p>
    <w:p w:rsidR="00127412" w:rsidRPr="00B01DFF" w:rsidRDefault="00127412" w:rsidP="00127412">
      <w:pPr>
        <w:pStyle w:val="Reference"/>
      </w:pPr>
      <w:proofErr w:type="spellStart"/>
      <w:r>
        <w:t>Kuipers</w:t>
      </w:r>
      <w:proofErr w:type="spellEnd"/>
      <w:r>
        <w:t xml:space="preserve">, G., </w:t>
      </w:r>
      <w:proofErr w:type="spellStart"/>
      <w:r>
        <w:t>Groenevelt</w:t>
      </w:r>
      <w:proofErr w:type="spellEnd"/>
      <w:r>
        <w:t xml:space="preserve">, D. and </w:t>
      </w:r>
      <w:proofErr w:type="spellStart"/>
      <w:r>
        <w:t>Lamme</w:t>
      </w:r>
      <w:proofErr w:type="spellEnd"/>
      <w:r>
        <w:t xml:space="preserve">, O. 2011, </w:t>
      </w:r>
      <w:r w:rsidRPr="00B01DFF">
        <w:rPr>
          <w:i/>
        </w:rPr>
        <w:t xml:space="preserve">A Different Perspective on Samsung v. Apple: Guidance on Enforcing </w:t>
      </w:r>
      <w:proofErr w:type="spellStart"/>
      <w:r w:rsidRPr="00B01DFF">
        <w:rPr>
          <w:i/>
        </w:rPr>
        <w:t>FRAND</w:t>
      </w:r>
      <w:proofErr w:type="spellEnd"/>
      <w:r w:rsidRPr="00B01DFF">
        <w:rPr>
          <w:i/>
        </w:rPr>
        <w:t xml:space="preserve"> Pledged Patents in the Netherlands</w:t>
      </w:r>
      <w:r>
        <w:t xml:space="preserve">, De </w:t>
      </w:r>
      <w:proofErr w:type="spellStart"/>
      <w:r>
        <w:t>Brauw</w:t>
      </w:r>
      <w:proofErr w:type="spellEnd"/>
      <w:r>
        <w:t xml:space="preserve"> Blackstone </w:t>
      </w:r>
      <w:proofErr w:type="spellStart"/>
      <w:r>
        <w:t>Westbroek</w:t>
      </w:r>
      <w:proofErr w:type="spellEnd"/>
      <w:r>
        <w:t xml:space="preserve">, </w:t>
      </w:r>
      <w:proofErr w:type="spellStart"/>
      <w:r w:rsidRPr="00B01DFF">
        <w:t>NewsBank</w:t>
      </w:r>
      <w:proofErr w:type="spellEnd"/>
      <w:r w:rsidRPr="00B01DFF">
        <w:t xml:space="preserve">, </w:t>
      </w:r>
      <w:proofErr w:type="spellStart"/>
      <w:r w:rsidRPr="00B01DFF">
        <w:t>EBSCO</w:t>
      </w:r>
      <w:r w:rsidRPr="00B01DFF">
        <w:rPr>
          <w:i/>
          <w:iCs/>
        </w:rPr>
        <w:t>host</w:t>
      </w:r>
      <w:proofErr w:type="spellEnd"/>
      <w:r w:rsidRPr="00B01DFF">
        <w:t xml:space="preserve">, </w:t>
      </w:r>
      <w:r>
        <w:t>(accessed</w:t>
      </w:r>
      <w:r w:rsidRPr="00B01DFF">
        <w:t xml:space="preserve"> 19 November 2012</w:t>
      </w:r>
      <w:r>
        <w:t>)</w:t>
      </w:r>
      <w:r w:rsidRPr="00B01DFF">
        <w:t>.</w:t>
      </w:r>
    </w:p>
    <w:p w:rsidR="00127412" w:rsidRDefault="00127412" w:rsidP="00127412">
      <w:pPr>
        <w:pStyle w:val="Reference"/>
      </w:pPr>
      <w:r>
        <w:t>—— 2012</w:t>
      </w:r>
      <w:r w:rsidRPr="00B01DFF">
        <w:t xml:space="preserve">, </w:t>
      </w:r>
      <w:r w:rsidRPr="005C03A7">
        <w:rPr>
          <w:i/>
        </w:rPr>
        <w:t>A Further perspective on Apple v. Samsung: How to Successfully Enforce Standards Essential Patents in the Netherlands</w:t>
      </w:r>
      <w:r w:rsidRPr="00B01DFF">
        <w:t xml:space="preserve">, De </w:t>
      </w:r>
      <w:proofErr w:type="spellStart"/>
      <w:r w:rsidRPr="00B01DFF">
        <w:t>Brauw</w:t>
      </w:r>
      <w:proofErr w:type="spellEnd"/>
      <w:r w:rsidRPr="00B01DFF">
        <w:t xml:space="preserve"> Blackstone </w:t>
      </w:r>
      <w:proofErr w:type="spellStart"/>
      <w:r w:rsidRPr="00B01DFF">
        <w:t>Westbroek</w:t>
      </w:r>
      <w:proofErr w:type="spellEnd"/>
      <w:r w:rsidRPr="00B01DFF">
        <w:t xml:space="preserve">, </w:t>
      </w:r>
      <w:proofErr w:type="spellStart"/>
      <w:r w:rsidRPr="00B01DFF">
        <w:t>NewsBank</w:t>
      </w:r>
      <w:proofErr w:type="spellEnd"/>
      <w:r w:rsidRPr="00B01DFF">
        <w:t xml:space="preserve"> (accessed 19 November 2012).</w:t>
      </w:r>
    </w:p>
    <w:p w:rsidR="00DC0F9B" w:rsidRPr="00DC0F9B" w:rsidRDefault="00DC0F9B" w:rsidP="00127412">
      <w:pPr>
        <w:pStyle w:val="Reference"/>
        <w:rPr>
          <w:szCs w:val="26"/>
        </w:rPr>
      </w:pPr>
      <w:r>
        <w:rPr>
          <w:szCs w:val="26"/>
        </w:rPr>
        <w:t xml:space="preserve">Lancet (The) 2001, </w:t>
      </w:r>
      <w:r w:rsidR="00B00840">
        <w:rPr>
          <w:szCs w:val="26"/>
        </w:rPr>
        <w:t>‘</w:t>
      </w:r>
      <w:r w:rsidRPr="00B00840">
        <w:rPr>
          <w:szCs w:val="26"/>
        </w:rPr>
        <w:t>Patent protection versus public health</w:t>
      </w:r>
      <w:r w:rsidR="00B00840">
        <w:rPr>
          <w:szCs w:val="26"/>
        </w:rPr>
        <w:t>’</w:t>
      </w:r>
      <w:r>
        <w:rPr>
          <w:szCs w:val="26"/>
        </w:rPr>
        <w:t>,</w:t>
      </w:r>
      <w:r w:rsidR="000E19C7">
        <w:rPr>
          <w:szCs w:val="26"/>
        </w:rPr>
        <w:t xml:space="preserve"> </w:t>
      </w:r>
      <w:r w:rsidR="000E19C7" w:rsidRPr="000E19C7">
        <w:rPr>
          <w:i/>
          <w:szCs w:val="26"/>
        </w:rPr>
        <w:t>The Lancet</w:t>
      </w:r>
      <w:r w:rsidR="000E19C7">
        <w:rPr>
          <w:szCs w:val="26"/>
        </w:rPr>
        <w:t>,</w:t>
      </w:r>
      <w:r>
        <w:rPr>
          <w:szCs w:val="26"/>
        </w:rPr>
        <w:t xml:space="preserve"> vol. 358, no. 9293, p. 1563, November 2001. </w:t>
      </w:r>
    </w:p>
    <w:p w:rsidR="001C4B2F" w:rsidRDefault="0037545A" w:rsidP="00127412">
      <w:pPr>
        <w:pStyle w:val="Reference"/>
      </w:pPr>
      <w:r>
        <w:t xml:space="preserve">Lawson, C. 2008, ‘Public interest compulsory licensing under the </w:t>
      </w:r>
      <w:r>
        <w:rPr>
          <w:i/>
        </w:rPr>
        <w:t xml:space="preserve">Patents Act 1990 </w:t>
      </w:r>
      <w:r>
        <w:t>(</w:t>
      </w:r>
      <w:proofErr w:type="spellStart"/>
      <w:r>
        <w:t>Cth</w:t>
      </w:r>
      <w:proofErr w:type="spellEnd"/>
      <w:r>
        <w:t xml:space="preserve">): A real incentive or a barrier to working?’, </w:t>
      </w:r>
      <w:r>
        <w:rPr>
          <w:i/>
        </w:rPr>
        <w:t>Australian Intellectual Property Journal</w:t>
      </w:r>
      <w:r w:rsidR="003116BF">
        <w:t>, vol. 19, no. 3, pp. 129–</w:t>
      </w:r>
      <w:r>
        <w:t>47</w:t>
      </w:r>
      <w:r w:rsidR="00BB0B6A">
        <w:t>.</w:t>
      </w:r>
    </w:p>
    <w:p w:rsidR="00C25B60" w:rsidRDefault="002A264E" w:rsidP="002A264E">
      <w:pPr>
        <w:pStyle w:val="Reference"/>
      </w:pPr>
      <w:r>
        <w:t xml:space="preserve">Lerner, J., </w:t>
      </w:r>
      <w:r w:rsidR="00C25B60">
        <w:t xml:space="preserve">2002. </w:t>
      </w:r>
      <w:r w:rsidR="00C25B60" w:rsidRPr="00E933F7">
        <w:rPr>
          <w:i/>
        </w:rPr>
        <w:t>Patent Protection and Innovation Over 150 Years</w:t>
      </w:r>
      <w:r w:rsidR="00C25B60">
        <w:t xml:space="preserve">, </w:t>
      </w:r>
      <w:proofErr w:type="spellStart"/>
      <w:r w:rsidR="00C25B60">
        <w:t>NBER</w:t>
      </w:r>
      <w:proofErr w:type="spellEnd"/>
      <w:r w:rsidR="00C25B60">
        <w:t xml:space="preserve"> Working Paper, no. 8977, Cambridge, Massachusetts.</w:t>
      </w:r>
    </w:p>
    <w:p w:rsidR="002A264E" w:rsidRDefault="00CC6446" w:rsidP="002A264E">
      <w:pPr>
        <w:pStyle w:val="Reference"/>
      </w:pPr>
      <w:r>
        <w:lastRenderedPageBreak/>
        <w:t>——</w:t>
      </w:r>
      <w:r w:rsidR="008A3533">
        <w:t>, </w:t>
      </w:r>
      <w:proofErr w:type="spellStart"/>
      <w:r w:rsidR="002A264E">
        <w:t>Strojwas</w:t>
      </w:r>
      <w:proofErr w:type="spellEnd"/>
      <w:r w:rsidR="002A264E">
        <w:t>,</w:t>
      </w:r>
      <w:r w:rsidR="009703D7">
        <w:t xml:space="preserve"> M., and </w:t>
      </w:r>
      <w:proofErr w:type="spellStart"/>
      <w:r w:rsidR="009703D7">
        <w:t>Tirole</w:t>
      </w:r>
      <w:proofErr w:type="spellEnd"/>
      <w:r w:rsidR="009703D7">
        <w:t>, J. 2007, ‘The design of patent pools: the determinants of licensing r</w:t>
      </w:r>
      <w:r w:rsidR="002A264E">
        <w:t xml:space="preserve">ules’, </w:t>
      </w:r>
      <w:r w:rsidR="002A264E" w:rsidRPr="00800F29">
        <w:rPr>
          <w:i/>
        </w:rPr>
        <w:t>The RAND Journal of Economics</w:t>
      </w:r>
      <w:r w:rsidR="002A264E">
        <w:t>, vol. 38, no. 3, pp. 610–625.</w:t>
      </w:r>
    </w:p>
    <w:p w:rsidR="002A264E" w:rsidRDefault="002A264E" w:rsidP="00127412">
      <w:pPr>
        <w:pStyle w:val="Reference"/>
      </w:pPr>
      <w:r>
        <w:t>—</w:t>
      </w:r>
      <w:r w:rsidR="009703D7">
        <w:t xml:space="preserve">— and </w:t>
      </w:r>
      <w:proofErr w:type="spellStart"/>
      <w:r w:rsidR="009703D7">
        <w:t>Tirole</w:t>
      </w:r>
      <w:proofErr w:type="spellEnd"/>
      <w:r w:rsidR="009703D7">
        <w:t>, J. 2007, ‘Public policy toward p</w:t>
      </w:r>
      <w:r>
        <w:t>aten</w:t>
      </w:r>
      <w:r w:rsidR="009703D7">
        <w:t>t p</w:t>
      </w:r>
      <w:r>
        <w:t xml:space="preserve">ools’, </w:t>
      </w:r>
      <w:r w:rsidRPr="00616B3C">
        <w:rPr>
          <w:i/>
        </w:rPr>
        <w:t>Innovation Policy and the Economy</w:t>
      </w:r>
      <w:r>
        <w:t>, vol. 8, pp. 157–186.</w:t>
      </w:r>
    </w:p>
    <w:p w:rsidR="002A264E" w:rsidRPr="002417B2" w:rsidRDefault="002A264E" w:rsidP="002A264E">
      <w:pPr>
        <w:pStyle w:val="Reference"/>
      </w:pPr>
      <w:proofErr w:type="spellStart"/>
      <w:r w:rsidRPr="006D1B36">
        <w:t>LESANZ</w:t>
      </w:r>
      <w:proofErr w:type="spellEnd"/>
      <w:r w:rsidRPr="006D1B36">
        <w:t xml:space="preserve"> (Licensing Executives Society of Australia and New Zealand) 2011, </w:t>
      </w:r>
      <w:r w:rsidRPr="006D1B36">
        <w:rPr>
          <w:i/>
        </w:rPr>
        <w:t xml:space="preserve">Executive summary of briefing notes in respect of the Patent Amendment </w:t>
      </w:r>
      <w:r w:rsidRPr="006D1B36">
        <w:rPr>
          <w:i/>
          <w:iCs/>
        </w:rPr>
        <w:t xml:space="preserve">(Human Genes and Biological Materials) </w:t>
      </w:r>
      <w:r w:rsidRPr="006D1B36">
        <w:rPr>
          <w:i/>
        </w:rPr>
        <w:t>Bill 2010</w:t>
      </w:r>
      <w:r>
        <w:t xml:space="preserve">, </w:t>
      </w:r>
      <w:r w:rsidRPr="009654AA">
        <w:rPr>
          <w:bCs/>
        </w:rPr>
        <w:t>http://lesanz.org.au/upload/BackgroundbriefingpaperGenePatentsFinal.pdf</w:t>
      </w:r>
      <w:r>
        <w:t xml:space="preserve"> (accessed 4 September 2012).</w:t>
      </w:r>
    </w:p>
    <w:p w:rsidR="00D82057" w:rsidRDefault="00D82057" w:rsidP="00D82057">
      <w:pPr>
        <w:pStyle w:val="Reference"/>
      </w:pPr>
      <w:r>
        <w:t>Levi, M., Economy, E., O’Neil, S. and Segal, A. 2010, ‘Glob</w:t>
      </w:r>
      <w:r w:rsidR="009703D7">
        <w:t>alizing the energy revolution: h</w:t>
      </w:r>
      <w:r>
        <w:t xml:space="preserve">ow to really win the clean energy race’, </w:t>
      </w:r>
      <w:r w:rsidRPr="00B37AC6">
        <w:rPr>
          <w:i/>
        </w:rPr>
        <w:t>Foreign Affairs</w:t>
      </w:r>
      <w:r>
        <w:t>, vol. 89, no. 6, pp. 111</w:t>
      </w:r>
      <w:r w:rsidR="00CC6446">
        <w:t>–</w:t>
      </w:r>
      <w:r>
        <w:t>121.</w:t>
      </w:r>
    </w:p>
    <w:p w:rsidR="00DB3DF2" w:rsidRDefault="00DB3DF2" w:rsidP="00D82057">
      <w:pPr>
        <w:pStyle w:val="Reference"/>
      </w:pPr>
      <w:r>
        <w:t xml:space="preserve">Lindgren, K. 2004, </w:t>
      </w:r>
      <w:r w:rsidR="009703D7">
        <w:rPr>
          <w:i/>
        </w:rPr>
        <w:t>The Interface Between Intellectual P</w:t>
      </w:r>
      <w:r w:rsidRPr="00B92511">
        <w:rPr>
          <w:i/>
        </w:rPr>
        <w:t>roperty and Antitrust</w:t>
      </w:r>
      <w:r>
        <w:t>, speech to the 2</w:t>
      </w:r>
      <w:r w:rsidRPr="00B92511">
        <w:rPr>
          <w:vertAlign w:val="superscript"/>
        </w:rPr>
        <w:t>nd</w:t>
      </w:r>
      <w:r>
        <w:t xml:space="preserve"> Annual University of South Australia Trade Practices Workshop, 29-30 Oc</w:t>
      </w:r>
      <w:r w:rsidR="00E5031A">
        <w:t>tober.</w:t>
      </w:r>
    </w:p>
    <w:p w:rsidR="004801E1" w:rsidRDefault="004801E1" w:rsidP="004801E1">
      <w:pPr>
        <w:pStyle w:val="Reference"/>
      </w:pPr>
      <w:r w:rsidRPr="0052311A">
        <w:t>Lindsay, M. 20</w:t>
      </w:r>
      <w:r w:rsidR="009703D7">
        <w:t>12, Safeguarding the standard: s</w:t>
      </w:r>
      <w:r w:rsidRPr="0052311A">
        <w:t>tandards organizations, patent hold</w:t>
      </w:r>
      <w:r w:rsidRPr="0052311A">
        <w:noBreakHyphen/>
        <w:t xml:space="preserve">up and other forms of capture, </w:t>
      </w:r>
      <w:r w:rsidRPr="0052311A">
        <w:rPr>
          <w:i/>
        </w:rPr>
        <w:t>The Antitrust Bulletin</w:t>
      </w:r>
      <w:r w:rsidRPr="0052311A">
        <w:t>, vol. 57, no. 1, pp. 17</w:t>
      </w:r>
      <w:r w:rsidRPr="0052311A">
        <w:noBreakHyphen/>
        <w:t>57.</w:t>
      </w:r>
    </w:p>
    <w:p w:rsidR="00E11094" w:rsidRPr="0052311A" w:rsidRDefault="009703D7" w:rsidP="004801E1">
      <w:pPr>
        <w:pStyle w:val="Reference"/>
      </w:pPr>
      <w:proofErr w:type="spellStart"/>
      <w:r>
        <w:rPr>
          <w:rStyle w:val="Emphasis"/>
          <w:i w:val="0"/>
          <w:iCs w:val="0"/>
        </w:rPr>
        <w:t>Lipsky</w:t>
      </w:r>
      <w:proofErr w:type="spellEnd"/>
      <w:r>
        <w:rPr>
          <w:rStyle w:val="Emphasis"/>
          <w:i w:val="0"/>
          <w:iCs w:val="0"/>
        </w:rPr>
        <w:t>, A.</w:t>
      </w:r>
      <w:r w:rsidR="00E11094">
        <w:rPr>
          <w:rStyle w:val="Emphasis"/>
          <w:i w:val="0"/>
          <w:iCs w:val="0"/>
        </w:rPr>
        <w:t xml:space="preserve"> and</w:t>
      </w:r>
      <w:r>
        <w:rPr>
          <w:rStyle w:val="Emphasis"/>
          <w:i w:val="0"/>
          <w:iCs w:val="0"/>
        </w:rPr>
        <w:t xml:space="preserve"> </w:t>
      </w:r>
      <w:proofErr w:type="spellStart"/>
      <w:r>
        <w:rPr>
          <w:rStyle w:val="Emphasis"/>
          <w:i w:val="0"/>
          <w:iCs w:val="0"/>
        </w:rPr>
        <w:t>Sidak</w:t>
      </w:r>
      <w:proofErr w:type="spellEnd"/>
      <w:r>
        <w:rPr>
          <w:rStyle w:val="Emphasis"/>
          <w:i w:val="0"/>
          <w:iCs w:val="0"/>
        </w:rPr>
        <w:t>, J. 1999, ‘Essential f</w:t>
      </w:r>
      <w:r w:rsidR="00E11094">
        <w:rPr>
          <w:rStyle w:val="Emphasis"/>
          <w:i w:val="0"/>
          <w:iCs w:val="0"/>
        </w:rPr>
        <w:t xml:space="preserve">acilities’, </w:t>
      </w:r>
      <w:r w:rsidR="00E11094" w:rsidRPr="00E11094">
        <w:rPr>
          <w:rStyle w:val="Emphasis"/>
          <w:iCs w:val="0"/>
        </w:rPr>
        <w:t>Stanford Law Review</w:t>
      </w:r>
      <w:r w:rsidR="00E11094">
        <w:rPr>
          <w:rStyle w:val="Emphasis"/>
          <w:i w:val="0"/>
          <w:iCs w:val="0"/>
        </w:rPr>
        <w:t>, vol. 51, no. 5, p. 1187.</w:t>
      </w:r>
    </w:p>
    <w:p w:rsidR="00CC68C1" w:rsidRDefault="009703D7" w:rsidP="00CC68C1">
      <w:pPr>
        <w:pStyle w:val="Reference"/>
      </w:pPr>
      <w:proofErr w:type="spellStart"/>
      <w:r>
        <w:t>Lybecker</w:t>
      </w:r>
      <w:proofErr w:type="spellEnd"/>
      <w:r>
        <w:t xml:space="preserve"> K. 2011, ‘The economics of a</w:t>
      </w:r>
      <w:r w:rsidR="00CC68C1">
        <w:t>c</w:t>
      </w:r>
      <w:r>
        <w:t>cess to medicines: meeting the challenges of p</w:t>
      </w:r>
      <w:r w:rsidR="00CC68C1">
        <w:t xml:space="preserve">harmaceutical </w:t>
      </w:r>
      <w:r>
        <w:t>patents, innovation, and access for global h</w:t>
      </w:r>
      <w:r w:rsidR="00CC68C1">
        <w:t xml:space="preserve">ealth’, </w:t>
      </w:r>
      <w:r w:rsidR="00CC68C1">
        <w:rPr>
          <w:i/>
        </w:rPr>
        <w:t>Harvard International Law Journal</w:t>
      </w:r>
      <w:r w:rsidR="00CC68C1">
        <w:t xml:space="preserve">, </w:t>
      </w:r>
      <w:r w:rsidR="00EC686D">
        <w:t>v</w:t>
      </w:r>
      <w:r w:rsidR="00CC68C1">
        <w:t xml:space="preserve">ol. 53, Online 25, </w:t>
      </w:r>
      <w:r w:rsidR="00CC68C1" w:rsidRPr="00363440">
        <w:rPr>
          <w:bCs/>
        </w:rPr>
        <w:t>http://</w:t>
      </w:r>
      <w:proofErr w:type="spellStart"/>
      <w:r w:rsidR="00CC68C1" w:rsidRPr="00363440">
        <w:rPr>
          <w:bCs/>
        </w:rPr>
        <w:t>www.harvardilj.org</w:t>
      </w:r>
      <w:proofErr w:type="spellEnd"/>
      <w:r w:rsidR="00CC68C1" w:rsidRPr="00363440">
        <w:rPr>
          <w:bCs/>
        </w:rPr>
        <w:t>/2011/12/</w:t>
      </w:r>
      <w:proofErr w:type="spellStart"/>
      <w:r w:rsidR="00CC68C1" w:rsidRPr="00363440">
        <w:rPr>
          <w:bCs/>
        </w:rPr>
        <w:t>online_53_lybecker</w:t>
      </w:r>
      <w:proofErr w:type="spellEnd"/>
      <w:r w:rsidR="00CC68C1">
        <w:t xml:space="preserve"> (accessed 1 September 2012).</w:t>
      </w:r>
    </w:p>
    <w:p w:rsidR="00634DB3" w:rsidRPr="007D25E6" w:rsidRDefault="00634DB3" w:rsidP="00CC68C1">
      <w:pPr>
        <w:pStyle w:val="Reference"/>
      </w:pPr>
      <w:r>
        <w:t>Ma, J. 2011, ‘</w:t>
      </w:r>
      <w:r w:rsidRPr="00065592">
        <w:t>The position of compulsory licensing in China</w:t>
      </w:r>
      <w:r>
        <w:t xml:space="preserve">’, </w:t>
      </w:r>
      <w:r w:rsidRPr="00065592">
        <w:rPr>
          <w:i/>
        </w:rPr>
        <w:t>Intellectual Property Magazine</w:t>
      </w:r>
      <w:r w:rsidR="004F09A2">
        <w:t>, November</w:t>
      </w:r>
      <w:r w:rsidR="009C2A42">
        <w:t>, pp. 55–57</w:t>
      </w:r>
      <w:r>
        <w:t>.</w:t>
      </w:r>
    </w:p>
    <w:p w:rsidR="002F5C40" w:rsidRDefault="002F5C40" w:rsidP="002F5C40">
      <w:pPr>
        <w:pStyle w:val="Reference"/>
      </w:pPr>
      <w:proofErr w:type="spellStart"/>
      <w:r>
        <w:t>Machlup</w:t>
      </w:r>
      <w:proofErr w:type="spellEnd"/>
      <w:r>
        <w:t>,</w:t>
      </w:r>
      <w:r w:rsidR="009703D7">
        <w:t xml:space="preserve"> F. and Penrose, E. 1950, ‘The patent controversy in the n</w:t>
      </w:r>
      <w:r>
        <w:t xml:space="preserve">ineteenth </w:t>
      </w:r>
      <w:r w:rsidR="009703D7">
        <w:t>c</w:t>
      </w:r>
      <w:r>
        <w:t xml:space="preserve">entury’, </w:t>
      </w:r>
      <w:r w:rsidRPr="000513B3">
        <w:rPr>
          <w:i/>
        </w:rPr>
        <w:t>The Journal of Economic History</w:t>
      </w:r>
      <w:r>
        <w:t>, vol. 10, no. 1, pp. 1–29.</w:t>
      </w:r>
    </w:p>
    <w:p w:rsidR="00A70071" w:rsidRDefault="00A70071" w:rsidP="002F5C40">
      <w:pPr>
        <w:pStyle w:val="Reference"/>
      </w:pPr>
      <w:proofErr w:type="spellStart"/>
      <w:r>
        <w:t>Matruglio</w:t>
      </w:r>
      <w:proofErr w:type="spellEnd"/>
      <w:r>
        <w:t xml:space="preserve">, T. 1999, </w:t>
      </w:r>
      <w:r>
        <w:rPr>
          <w:i/>
          <w:iCs/>
        </w:rPr>
        <w:t>Part two: The Costs of Litigation in the Federal Court of Australia</w:t>
      </w:r>
      <w:r>
        <w:t xml:space="preserve">, </w:t>
      </w:r>
      <w:proofErr w:type="spellStart"/>
      <w:r>
        <w:t>ALRC</w:t>
      </w:r>
      <w:proofErr w:type="spellEnd"/>
      <w:r>
        <w:t>, Sydney.</w:t>
      </w:r>
    </w:p>
    <w:p w:rsidR="002F5C40" w:rsidRDefault="002F5C40" w:rsidP="002F5C40">
      <w:pPr>
        <w:pStyle w:val="Reference"/>
      </w:pPr>
      <w:proofErr w:type="spellStart"/>
      <w:r>
        <w:t>Matutes</w:t>
      </w:r>
      <w:proofErr w:type="spellEnd"/>
      <w:r>
        <w:t xml:space="preserve">, C., </w:t>
      </w:r>
      <w:proofErr w:type="spellStart"/>
      <w:r>
        <w:t>Regib</w:t>
      </w:r>
      <w:r w:rsidR="00F155A4">
        <w:t>eau</w:t>
      </w:r>
      <w:proofErr w:type="spellEnd"/>
      <w:r w:rsidR="00F155A4">
        <w:t xml:space="preserve">, P. and </w:t>
      </w:r>
      <w:proofErr w:type="spellStart"/>
      <w:r w:rsidR="00F155A4">
        <w:t>Rockett</w:t>
      </w:r>
      <w:proofErr w:type="spellEnd"/>
      <w:r w:rsidR="00F155A4">
        <w:t>, K. 1996, ‘</w:t>
      </w:r>
      <w:r>
        <w:t xml:space="preserve">Optimal patent design and the diffusion of innovations’, </w:t>
      </w:r>
      <w:r w:rsidRPr="00591365">
        <w:rPr>
          <w:i/>
        </w:rPr>
        <w:t>The</w:t>
      </w:r>
      <w:r>
        <w:t xml:space="preserve"> </w:t>
      </w:r>
      <w:r w:rsidRPr="0067649C">
        <w:rPr>
          <w:i/>
        </w:rPr>
        <w:t>RAND Journal of Economics</w:t>
      </w:r>
      <w:r>
        <w:t>, vol. 27, no. 1, pp. 60–83.</w:t>
      </w:r>
    </w:p>
    <w:p w:rsidR="002F5C40" w:rsidRDefault="009703D7" w:rsidP="002F5C40">
      <w:pPr>
        <w:pStyle w:val="Reference"/>
      </w:pPr>
      <w:r>
        <w:t xml:space="preserve">Maurer, S. and </w:t>
      </w:r>
      <w:proofErr w:type="spellStart"/>
      <w:r>
        <w:t>Scotchmer</w:t>
      </w:r>
      <w:proofErr w:type="spellEnd"/>
      <w:r>
        <w:t>, S. 2002, ‘The independent invention defence in intellectual p</w:t>
      </w:r>
      <w:r w:rsidR="002F5C40">
        <w:t xml:space="preserve">roperty’, </w:t>
      </w:r>
      <w:proofErr w:type="spellStart"/>
      <w:r w:rsidR="002F5C40" w:rsidRPr="00FD59B3">
        <w:rPr>
          <w:i/>
        </w:rPr>
        <w:t>Economica</w:t>
      </w:r>
      <w:proofErr w:type="spellEnd"/>
      <w:r w:rsidR="002F5C40">
        <w:t>, vol. 69, pp. 535–547.</w:t>
      </w:r>
    </w:p>
    <w:p w:rsidR="006415BB" w:rsidRDefault="006415BB" w:rsidP="002F5C40">
      <w:pPr>
        <w:pStyle w:val="Reference"/>
        <w:rPr>
          <w:bCs/>
        </w:rPr>
      </w:pPr>
      <w:r w:rsidRPr="0052311A">
        <w:lastRenderedPageBreak/>
        <w:t xml:space="preserve">Maurice Blackburn Lawyers 2012, </w:t>
      </w:r>
      <w:r w:rsidR="009703D7">
        <w:rPr>
          <w:bCs/>
          <w:i/>
        </w:rPr>
        <w:t>Gene Patent T</w:t>
      </w:r>
      <w:r w:rsidRPr="0052311A">
        <w:rPr>
          <w:bCs/>
          <w:i/>
        </w:rPr>
        <w:t xml:space="preserve">est </w:t>
      </w:r>
      <w:r w:rsidR="009703D7">
        <w:rPr>
          <w:bCs/>
          <w:i/>
        </w:rPr>
        <w:t>Case Heads to T</w:t>
      </w:r>
      <w:r>
        <w:rPr>
          <w:bCs/>
          <w:i/>
        </w:rPr>
        <w:t>rial — Sydney 20 </w:t>
      </w:r>
      <w:r w:rsidRPr="0052311A">
        <w:rPr>
          <w:bCs/>
          <w:i/>
        </w:rPr>
        <w:t>February</w:t>
      </w:r>
      <w:r>
        <w:rPr>
          <w:bCs/>
        </w:rPr>
        <w:t>, Press Release, 16 </w:t>
      </w:r>
      <w:r w:rsidRPr="0052311A">
        <w:rPr>
          <w:bCs/>
        </w:rPr>
        <w:t>February, http://</w:t>
      </w:r>
      <w:proofErr w:type="spellStart"/>
      <w:r w:rsidRPr="0052311A">
        <w:rPr>
          <w:bCs/>
        </w:rPr>
        <w:t>www.mauriceblackburn.com.au</w:t>
      </w:r>
      <w:proofErr w:type="spellEnd"/>
      <w:r>
        <w:rPr>
          <w:bCs/>
        </w:rPr>
        <w:t xml:space="preserve"> </w:t>
      </w:r>
      <w:r w:rsidRPr="0052311A">
        <w:rPr>
          <w:bCs/>
        </w:rPr>
        <w:t>/news/press-releases--announcements/2012/gene-patent-test-case-heads-to-trial---</w:t>
      </w:r>
      <w:proofErr w:type="spellStart"/>
      <w:r w:rsidRPr="0052311A">
        <w:rPr>
          <w:bCs/>
        </w:rPr>
        <w:t>sydney</w:t>
      </w:r>
      <w:proofErr w:type="spellEnd"/>
      <w:r w:rsidRPr="0052311A">
        <w:rPr>
          <w:bCs/>
        </w:rPr>
        <w:t>-20-</w:t>
      </w:r>
      <w:proofErr w:type="spellStart"/>
      <w:r w:rsidRPr="0052311A">
        <w:rPr>
          <w:bCs/>
        </w:rPr>
        <w:t>february.aspx</w:t>
      </w:r>
      <w:proofErr w:type="spellEnd"/>
      <w:r w:rsidRPr="0052311A">
        <w:rPr>
          <w:bCs/>
        </w:rPr>
        <w:t xml:space="preserve"> (accessed 30 July 2012).</w:t>
      </w:r>
    </w:p>
    <w:p w:rsidR="00B30A77" w:rsidRPr="00B30A77" w:rsidRDefault="00B30A77" w:rsidP="002F5C40">
      <w:pPr>
        <w:pStyle w:val="Reference"/>
      </w:pPr>
      <w:r>
        <w:t xml:space="preserve">Medicare Australia 2012, </w:t>
      </w:r>
      <w:r w:rsidRPr="00B30A77">
        <w:rPr>
          <w:i/>
        </w:rPr>
        <w:t>Medicare Group Statistic Reports</w:t>
      </w:r>
      <w:r>
        <w:t xml:space="preserve">, </w:t>
      </w:r>
      <w:r w:rsidRPr="00B30A77">
        <w:rPr>
          <w:bCs/>
        </w:rPr>
        <w:t>https://</w:t>
      </w:r>
      <w:proofErr w:type="spellStart"/>
      <w:r w:rsidRPr="00B30A77">
        <w:rPr>
          <w:bCs/>
        </w:rPr>
        <w:t>www.medicareaustralia.gov.au</w:t>
      </w:r>
      <w:proofErr w:type="spellEnd"/>
      <w:r w:rsidRPr="00B30A77">
        <w:rPr>
          <w:bCs/>
        </w:rPr>
        <w:t>/statistics/</w:t>
      </w:r>
      <w:proofErr w:type="spellStart"/>
      <w:r w:rsidRPr="00B30A77">
        <w:rPr>
          <w:bCs/>
        </w:rPr>
        <w:t>mbs_group.shtml</w:t>
      </w:r>
      <w:proofErr w:type="spellEnd"/>
      <w:r>
        <w:t xml:space="preserve"> (accessed </w:t>
      </w:r>
      <w:r w:rsidR="007B70E7">
        <w:t>14 September 2012</w:t>
      </w:r>
      <w:r>
        <w:t>).</w:t>
      </w:r>
    </w:p>
    <w:p w:rsidR="0082774E" w:rsidRPr="00800F29" w:rsidRDefault="0082774E" w:rsidP="0082774E">
      <w:pPr>
        <w:pStyle w:val="Reference"/>
      </w:pPr>
      <w:r>
        <w:t>Medicines Patent Pool 201</w:t>
      </w:r>
      <w:r w:rsidR="00534E66">
        <w:t>1</w:t>
      </w:r>
      <w:r>
        <w:t xml:space="preserve">, </w:t>
      </w:r>
      <w:r w:rsidRPr="00B21B47">
        <w:rPr>
          <w:i/>
        </w:rPr>
        <w:t>Medicines Patent Pool Announces First Licensing Agreement with a Pharmaceutical Company</w:t>
      </w:r>
      <w:r>
        <w:t xml:space="preserve">, </w:t>
      </w:r>
      <w:r w:rsidRPr="00B21B47">
        <w:t>http://</w:t>
      </w:r>
      <w:proofErr w:type="spellStart"/>
      <w:r w:rsidRPr="00B21B47">
        <w:t>www.medicinespatentpool</w:t>
      </w:r>
      <w:proofErr w:type="spellEnd"/>
      <w:r>
        <w:t xml:space="preserve"> </w:t>
      </w:r>
      <w:r w:rsidRPr="00B21B47">
        <w:t>.org/medicines-patent-pool-announces-first-licensing-agreement-with-a-pharmaceutical-company/</w:t>
      </w:r>
      <w:r>
        <w:t xml:space="preserve"> (accessed 18 September 2012).</w:t>
      </w:r>
    </w:p>
    <w:p w:rsidR="0082774E" w:rsidRDefault="0082774E" w:rsidP="0082774E">
      <w:pPr>
        <w:pStyle w:val="Reference"/>
      </w:pPr>
      <w:r>
        <w:t xml:space="preserve">Mendes, P. </w:t>
      </w:r>
      <w:proofErr w:type="spellStart"/>
      <w:r>
        <w:t>nd</w:t>
      </w:r>
      <w:proofErr w:type="spellEnd"/>
      <w:r>
        <w:t xml:space="preserve">, </w:t>
      </w:r>
      <w:r w:rsidRPr="0095010F">
        <w:rPr>
          <w:i/>
        </w:rPr>
        <w:t>To License a Patent — or, to Assign it: Factors Influencing the Choice</w:t>
      </w:r>
      <w:r>
        <w:t xml:space="preserve">, </w:t>
      </w:r>
      <w:r w:rsidRPr="000063AA">
        <w:t>http://</w:t>
      </w:r>
      <w:proofErr w:type="spellStart"/>
      <w:r w:rsidRPr="000063AA">
        <w:t>www.wipo.int</w:t>
      </w:r>
      <w:proofErr w:type="spellEnd"/>
      <w:r w:rsidRPr="000063AA">
        <w:t>/</w:t>
      </w:r>
      <w:proofErr w:type="spellStart"/>
      <w:r w:rsidRPr="000063AA">
        <w:t>sme</w:t>
      </w:r>
      <w:proofErr w:type="spellEnd"/>
      <w:r w:rsidRPr="000063AA">
        <w:t>/en/documents/</w:t>
      </w:r>
      <w:proofErr w:type="spellStart"/>
      <w:r w:rsidRPr="000063AA">
        <w:t>license_assign_patent.htm</w:t>
      </w:r>
      <w:proofErr w:type="spellEnd"/>
      <w:r>
        <w:t xml:space="preserve"> (accessed 24 August 2012).</w:t>
      </w:r>
    </w:p>
    <w:p w:rsidR="0082774E" w:rsidRDefault="0082774E" w:rsidP="0082774E">
      <w:pPr>
        <w:pStyle w:val="Reference"/>
      </w:pPr>
      <w:r>
        <w:t xml:space="preserve">Merck &amp; Co., Inc. 2012, </w:t>
      </w:r>
      <w:r w:rsidRPr="00ED0853">
        <w:rPr>
          <w:i/>
        </w:rPr>
        <w:t>Annual Report</w:t>
      </w:r>
      <w:r>
        <w:rPr>
          <w:i/>
        </w:rPr>
        <w:t xml:space="preserve"> for the Fiscal Year ended 31 December </w:t>
      </w:r>
      <w:r w:rsidRPr="00ED0853">
        <w:rPr>
          <w:i/>
        </w:rPr>
        <w:t>2011</w:t>
      </w:r>
      <w:r>
        <w:t xml:space="preserve">, </w:t>
      </w:r>
      <w:r w:rsidRPr="00EA01B5">
        <w:t>http://</w:t>
      </w:r>
      <w:proofErr w:type="spellStart"/>
      <w:r w:rsidRPr="00EA01B5">
        <w:t>www.merck.com</w:t>
      </w:r>
      <w:proofErr w:type="spellEnd"/>
      <w:r w:rsidRPr="00EA01B5">
        <w:t>/</w:t>
      </w:r>
      <w:proofErr w:type="spellStart"/>
      <w:r w:rsidRPr="00EA01B5">
        <w:t>mwg</w:t>
      </w:r>
      <w:proofErr w:type="spellEnd"/>
      <w:r w:rsidRPr="00EA01B5">
        <w:t>-internal/</w:t>
      </w:r>
      <w:proofErr w:type="spellStart"/>
      <w:r w:rsidRPr="00EA01B5">
        <w:t>de5fs23hu73ds</w:t>
      </w:r>
      <w:proofErr w:type="spellEnd"/>
      <w:r w:rsidRPr="00EA01B5">
        <w:t>/</w:t>
      </w:r>
      <w:r>
        <w:t xml:space="preserve"> </w:t>
      </w:r>
      <w:proofErr w:type="spellStart"/>
      <w:r w:rsidRPr="00ED0853">
        <w:t>progress?id</w:t>
      </w:r>
      <w:proofErr w:type="spellEnd"/>
      <w:r w:rsidRPr="00ED0853">
        <w:t>=</w:t>
      </w:r>
      <w:proofErr w:type="spellStart"/>
      <w:r w:rsidRPr="00ED0853">
        <w:t>oMKaYirz</w:t>
      </w:r>
      <w:proofErr w:type="spellEnd"/>
      <w:r w:rsidRPr="00ED0853">
        <w:t>/2</w:t>
      </w:r>
      <w:r>
        <w:t xml:space="preserve"> (accessed 17 September 2012).</w:t>
      </w:r>
    </w:p>
    <w:p w:rsidR="000815C0" w:rsidRDefault="00A0473A" w:rsidP="000815C0">
      <w:pPr>
        <w:pStyle w:val="Reference"/>
        <w:rPr>
          <w:szCs w:val="26"/>
        </w:rPr>
      </w:pPr>
      <w:r w:rsidRPr="00491809">
        <w:t>Mergers, R</w:t>
      </w:r>
      <w:r w:rsidR="00BB14ED">
        <w:t>.</w:t>
      </w:r>
      <w:r w:rsidRPr="00491809">
        <w:t xml:space="preserve"> 1996. </w:t>
      </w:r>
      <w:r w:rsidR="00387766">
        <w:t>‘</w:t>
      </w:r>
      <w:r w:rsidRPr="00491809">
        <w:t xml:space="preserve">Contracting into liability rules: intellectual property rights and </w:t>
      </w:r>
      <w:r w:rsidR="00387766">
        <w:t>collective rights organisations’,</w:t>
      </w:r>
      <w:r w:rsidRPr="00491809">
        <w:t xml:space="preserve"> </w:t>
      </w:r>
      <w:r w:rsidRPr="00766460">
        <w:rPr>
          <w:i/>
        </w:rPr>
        <w:t>California Law Review</w:t>
      </w:r>
      <w:r w:rsidRPr="00491809">
        <w:t xml:space="preserve">, </w:t>
      </w:r>
      <w:r w:rsidR="00387766">
        <w:t>vol. </w:t>
      </w:r>
      <w:r w:rsidRPr="00491809">
        <w:t>84</w:t>
      </w:r>
      <w:r w:rsidR="00387766">
        <w:t>, no. 5</w:t>
      </w:r>
      <w:r w:rsidRPr="00491809">
        <w:t>, 1293–1393.</w:t>
      </w:r>
      <w:r w:rsidR="000815C0" w:rsidRPr="000815C0">
        <w:rPr>
          <w:szCs w:val="26"/>
        </w:rPr>
        <w:t xml:space="preserve"> </w:t>
      </w:r>
    </w:p>
    <w:p w:rsidR="00A0473A" w:rsidRPr="000815C0" w:rsidRDefault="000815C0" w:rsidP="0082774E">
      <w:pPr>
        <w:pStyle w:val="Reference"/>
        <w:rPr>
          <w:szCs w:val="26"/>
        </w:rPr>
      </w:pPr>
      <w:proofErr w:type="spellStart"/>
      <w:r>
        <w:rPr>
          <w:szCs w:val="26"/>
        </w:rPr>
        <w:t>METI</w:t>
      </w:r>
      <w:proofErr w:type="spellEnd"/>
      <w:r>
        <w:rPr>
          <w:szCs w:val="26"/>
        </w:rPr>
        <w:t xml:space="preserve"> </w:t>
      </w:r>
      <w:r w:rsidR="009703D7">
        <w:rPr>
          <w:szCs w:val="26"/>
        </w:rPr>
        <w:t xml:space="preserve">(Ministry of Economy, Trade and Industry) </w:t>
      </w:r>
      <w:r>
        <w:rPr>
          <w:szCs w:val="26"/>
        </w:rPr>
        <w:t xml:space="preserve">2012, </w:t>
      </w:r>
      <w:r w:rsidRPr="00FF7522">
        <w:rPr>
          <w:i/>
          <w:szCs w:val="26"/>
        </w:rPr>
        <w:t>Bill to Partially Amend the Patent Act</w:t>
      </w:r>
      <w:r>
        <w:rPr>
          <w:szCs w:val="26"/>
        </w:rPr>
        <w:t xml:space="preserve">, </w:t>
      </w:r>
      <w:r w:rsidRPr="000815C0">
        <w:rPr>
          <w:bCs/>
          <w:szCs w:val="26"/>
        </w:rPr>
        <w:t>http://</w:t>
      </w:r>
      <w:proofErr w:type="spellStart"/>
      <w:r w:rsidRPr="000815C0">
        <w:rPr>
          <w:bCs/>
          <w:szCs w:val="26"/>
        </w:rPr>
        <w:t>www.meti.go.jp</w:t>
      </w:r>
      <w:proofErr w:type="spellEnd"/>
      <w:r w:rsidRPr="000815C0">
        <w:rPr>
          <w:bCs/>
          <w:szCs w:val="26"/>
        </w:rPr>
        <w:t>/</w:t>
      </w:r>
      <w:r>
        <w:rPr>
          <w:bCs/>
          <w:szCs w:val="26"/>
        </w:rPr>
        <w:t xml:space="preserve"> </w:t>
      </w:r>
      <w:proofErr w:type="spellStart"/>
      <w:r w:rsidRPr="00E5053B">
        <w:rPr>
          <w:bCs/>
          <w:szCs w:val="26"/>
        </w:rPr>
        <w:t>english</w:t>
      </w:r>
      <w:proofErr w:type="spellEnd"/>
      <w:r w:rsidRPr="00E5053B">
        <w:rPr>
          <w:bCs/>
          <w:szCs w:val="26"/>
        </w:rPr>
        <w:t>/press/2011/</w:t>
      </w:r>
      <w:proofErr w:type="spellStart"/>
      <w:r w:rsidRPr="00E5053B">
        <w:rPr>
          <w:bCs/>
          <w:szCs w:val="26"/>
        </w:rPr>
        <w:t>0311_01.html</w:t>
      </w:r>
      <w:proofErr w:type="spellEnd"/>
      <w:r>
        <w:rPr>
          <w:szCs w:val="26"/>
        </w:rPr>
        <w:t xml:space="preserve"> (accessed 8 November 2012).</w:t>
      </w:r>
    </w:p>
    <w:p w:rsidR="00900E71" w:rsidRDefault="00900E71" w:rsidP="0082774E">
      <w:pPr>
        <w:pStyle w:val="Reference"/>
      </w:pPr>
      <w:r w:rsidRPr="00104050">
        <w:t xml:space="preserve">Miller, </w:t>
      </w:r>
      <w:r>
        <w:t>J. 2003, ‘</w:t>
      </w:r>
      <w:r w:rsidRPr="00104050">
        <w:t>S</w:t>
      </w:r>
      <w:r w:rsidR="009703D7">
        <w:t>ealing the coffin on the experimental use e</w:t>
      </w:r>
      <w:r w:rsidRPr="00104050">
        <w:t>xception</w:t>
      </w:r>
      <w:r>
        <w:t>’</w:t>
      </w:r>
      <w:r w:rsidRPr="00104050">
        <w:t xml:space="preserve">, </w:t>
      </w:r>
      <w:r w:rsidRPr="00104050">
        <w:rPr>
          <w:i/>
        </w:rPr>
        <w:t>Duke Law &amp; Technology Review</w:t>
      </w:r>
      <w:r>
        <w:t>, vol. 2, no. 1.</w:t>
      </w:r>
    </w:p>
    <w:p w:rsidR="009F6876" w:rsidRDefault="009F6876" w:rsidP="0082774E">
      <w:pPr>
        <w:pStyle w:val="Reference"/>
        <w:rPr>
          <w:szCs w:val="26"/>
        </w:rPr>
      </w:pPr>
      <w:proofErr w:type="spellStart"/>
      <w:r>
        <w:rPr>
          <w:szCs w:val="26"/>
        </w:rPr>
        <w:t>Moschini</w:t>
      </w:r>
      <w:proofErr w:type="spellEnd"/>
      <w:r>
        <w:rPr>
          <w:szCs w:val="26"/>
        </w:rPr>
        <w:t xml:space="preserve">, G. and </w:t>
      </w:r>
      <w:proofErr w:type="spellStart"/>
      <w:r>
        <w:rPr>
          <w:szCs w:val="26"/>
        </w:rPr>
        <w:t>Yerokhin</w:t>
      </w:r>
      <w:proofErr w:type="spellEnd"/>
      <w:r>
        <w:rPr>
          <w:szCs w:val="26"/>
        </w:rPr>
        <w:t xml:space="preserve">, O. 2008, ‘Patents, research exemption, and the incentive for sequential innovation’, </w:t>
      </w:r>
      <w:r w:rsidRPr="00517667">
        <w:rPr>
          <w:i/>
          <w:szCs w:val="26"/>
        </w:rPr>
        <w:t>Journal of Economics &amp; Management Strategy</w:t>
      </w:r>
      <w:r>
        <w:rPr>
          <w:szCs w:val="26"/>
        </w:rPr>
        <w:t xml:space="preserve">, vol. 17, no. 2, pp. 379–412. </w:t>
      </w:r>
    </w:p>
    <w:p w:rsidR="009C3DB9" w:rsidRPr="005A7802" w:rsidRDefault="009C3DB9" w:rsidP="0082774E">
      <w:pPr>
        <w:pStyle w:val="Reference"/>
        <w:rPr>
          <w:szCs w:val="26"/>
        </w:rPr>
      </w:pPr>
      <w:r>
        <w:rPr>
          <w:szCs w:val="26"/>
        </w:rPr>
        <w:t xml:space="preserve">Moser, P. and </w:t>
      </w:r>
      <w:proofErr w:type="spellStart"/>
      <w:r>
        <w:rPr>
          <w:szCs w:val="26"/>
        </w:rPr>
        <w:t>Voena</w:t>
      </w:r>
      <w:proofErr w:type="spellEnd"/>
      <w:r>
        <w:rPr>
          <w:szCs w:val="26"/>
        </w:rPr>
        <w:t xml:space="preserve">, A. 2009, </w:t>
      </w:r>
      <w:r w:rsidRPr="00ED77EA">
        <w:rPr>
          <w:i/>
          <w:szCs w:val="26"/>
        </w:rPr>
        <w:t>Compulsory Licensing – Evidence form the Trading with the Enemy Act</w:t>
      </w:r>
      <w:r>
        <w:rPr>
          <w:szCs w:val="26"/>
        </w:rPr>
        <w:t xml:space="preserve">, </w:t>
      </w:r>
      <w:proofErr w:type="spellStart"/>
      <w:r>
        <w:rPr>
          <w:szCs w:val="26"/>
        </w:rPr>
        <w:t>NBER</w:t>
      </w:r>
      <w:proofErr w:type="spellEnd"/>
      <w:r>
        <w:rPr>
          <w:szCs w:val="26"/>
        </w:rPr>
        <w:t xml:space="preserve"> Working Paper No, 15 598, December, Cambridge, Massachusetts. </w:t>
      </w:r>
    </w:p>
    <w:p w:rsidR="0082774E" w:rsidRDefault="0082774E" w:rsidP="0082774E">
      <w:pPr>
        <w:pStyle w:val="Reference"/>
      </w:pPr>
      <w:r>
        <w:t xml:space="preserve">MPEG LA 2009, </w:t>
      </w:r>
      <w:r w:rsidRPr="00370C73">
        <w:rPr>
          <w:i/>
        </w:rPr>
        <w:t>History</w:t>
      </w:r>
      <w:r>
        <w:t xml:space="preserve">, </w:t>
      </w:r>
      <w:r w:rsidRPr="00157410">
        <w:t>http://</w:t>
      </w:r>
      <w:proofErr w:type="spellStart"/>
      <w:r w:rsidRPr="00157410">
        <w:t>www.mpegla.com</w:t>
      </w:r>
      <w:proofErr w:type="spellEnd"/>
      <w:r w:rsidRPr="00157410">
        <w:t>/main/Pages/</w:t>
      </w:r>
      <w:proofErr w:type="spellStart"/>
      <w:r w:rsidRPr="00157410">
        <w:t>AboutHistory.aspx</w:t>
      </w:r>
      <w:proofErr w:type="spellEnd"/>
      <w:r>
        <w:t xml:space="preserve"> (accessed 18 September 2012).</w:t>
      </w:r>
    </w:p>
    <w:p w:rsidR="0020089D" w:rsidRDefault="00F2259B" w:rsidP="0082774E">
      <w:pPr>
        <w:pStyle w:val="Reference"/>
      </w:pPr>
      <w:proofErr w:type="spellStart"/>
      <w:r>
        <w:t>NADRAC</w:t>
      </w:r>
      <w:proofErr w:type="spellEnd"/>
      <w:r w:rsidR="0020089D">
        <w:t xml:space="preserve"> </w:t>
      </w:r>
      <w:r w:rsidR="0020089D" w:rsidRPr="0020089D">
        <w:t xml:space="preserve">(National Alternative Dispute Resolution Advisory Council) 2009, </w:t>
      </w:r>
      <w:r w:rsidR="0020089D" w:rsidRPr="0020089D">
        <w:rPr>
          <w:rFonts w:eastAsia="MinionPro-Bold"/>
          <w:i/>
        </w:rPr>
        <w:t xml:space="preserve">The Resolve to Resolve – Embracing </w:t>
      </w:r>
      <w:proofErr w:type="spellStart"/>
      <w:r w:rsidR="0020089D" w:rsidRPr="0020089D">
        <w:rPr>
          <w:rFonts w:eastAsia="MinionPro-Bold"/>
          <w:i/>
        </w:rPr>
        <w:t>ADR</w:t>
      </w:r>
      <w:proofErr w:type="spellEnd"/>
      <w:r w:rsidR="0020089D" w:rsidRPr="0020089D">
        <w:rPr>
          <w:rFonts w:eastAsia="MinionPro-Bold"/>
          <w:i/>
        </w:rPr>
        <w:t xml:space="preserve"> to Improve Access to Justice in the Federal Jurisdiction</w:t>
      </w:r>
      <w:r w:rsidR="0020089D" w:rsidRPr="0020089D">
        <w:rPr>
          <w:rFonts w:eastAsia="MinionPro-Bold"/>
        </w:rPr>
        <w:t>, Canberra.</w:t>
      </w:r>
    </w:p>
    <w:p w:rsidR="00F2259B" w:rsidRDefault="0020089D" w:rsidP="0082774E">
      <w:pPr>
        <w:pStyle w:val="Reference"/>
      </w:pPr>
      <w:r>
        <w:t>—— </w:t>
      </w:r>
      <w:r w:rsidR="00F2259B">
        <w:t xml:space="preserve">2012, </w:t>
      </w:r>
      <w:r w:rsidR="00F2259B">
        <w:rPr>
          <w:i/>
        </w:rPr>
        <w:t>Your Guide to Dispute Resolution</w:t>
      </w:r>
      <w:r w:rsidR="00F2259B">
        <w:t>, Australian Government, Canberra.</w:t>
      </w:r>
    </w:p>
    <w:p w:rsidR="0020089D" w:rsidRPr="0020089D" w:rsidRDefault="0020089D" w:rsidP="0082774E">
      <w:pPr>
        <w:pStyle w:val="Reference"/>
      </w:pPr>
      <w:r w:rsidRPr="0020089D">
        <w:lastRenderedPageBreak/>
        <w:t>——</w:t>
      </w:r>
      <w:r w:rsidR="008A3533">
        <w:t> </w:t>
      </w:r>
      <w:r w:rsidRPr="0020089D">
        <w:t xml:space="preserve"> </w:t>
      </w:r>
      <w:proofErr w:type="spellStart"/>
      <w:r w:rsidRPr="0020089D">
        <w:t>nd</w:t>
      </w:r>
      <w:proofErr w:type="spellEnd"/>
      <w:r w:rsidRPr="0020089D">
        <w:t xml:space="preserve">, </w:t>
      </w:r>
      <w:r w:rsidRPr="0020089D">
        <w:rPr>
          <w:i/>
        </w:rPr>
        <w:t xml:space="preserve">What is </w:t>
      </w:r>
      <w:proofErr w:type="spellStart"/>
      <w:r w:rsidRPr="0020089D">
        <w:rPr>
          <w:i/>
        </w:rPr>
        <w:t>ADR</w:t>
      </w:r>
      <w:proofErr w:type="spellEnd"/>
      <w:r w:rsidR="00A077A7">
        <w:rPr>
          <w:i/>
        </w:rPr>
        <w:t>?</w:t>
      </w:r>
      <w:r w:rsidRPr="0020089D">
        <w:t>, http://</w:t>
      </w:r>
      <w:proofErr w:type="spellStart"/>
      <w:r w:rsidRPr="0020089D">
        <w:t>www.nadrac.gov.au</w:t>
      </w:r>
      <w:proofErr w:type="spellEnd"/>
      <w:r w:rsidRPr="0020089D">
        <w:t>/</w:t>
      </w:r>
      <w:proofErr w:type="spellStart"/>
      <w:r w:rsidRPr="0020089D">
        <w:t>what_is_adr</w:t>
      </w:r>
      <w:proofErr w:type="spellEnd"/>
      <w:r w:rsidRPr="0020089D">
        <w:t>/Pages /</w:t>
      </w:r>
      <w:proofErr w:type="spellStart"/>
      <w:r w:rsidRPr="0020089D">
        <w:t>default.aspx</w:t>
      </w:r>
      <w:proofErr w:type="spellEnd"/>
      <w:r w:rsidRPr="0020089D">
        <w:t xml:space="preserve"> (accessed 21 November 2012).</w:t>
      </w:r>
    </w:p>
    <w:p w:rsidR="00871D54" w:rsidRPr="00871D54" w:rsidRDefault="00871D54" w:rsidP="0082774E">
      <w:pPr>
        <w:pStyle w:val="Reference"/>
      </w:pPr>
      <w:proofErr w:type="spellStart"/>
      <w:r>
        <w:t>NCC</w:t>
      </w:r>
      <w:proofErr w:type="spellEnd"/>
      <w:r>
        <w:t xml:space="preserve"> (National Competition Council) 1999, </w:t>
      </w:r>
      <w:r w:rsidRPr="00DE157D">
        <w:rPr>
          <w:i/>
        </w:rPr>
        <w:t>Review of Sections 51(2) and 51(3) of the Trade Practices Act 1974</w:t>
      </w:r>
      <w:r>
        <w:t>, Final Report, Melbourne.</w:t>
      </w:r>
    </w:p>
    <w:p w:rsidR="007B53BD" w:rsidRDefault="007B53BD" w:rsidP="007B53BD">
      <w:pPr>
        <w:pStyle w:val="Reference"/>
      </w:pPr>
      <w:proofErr w:type="spellStart"/>
      <w:r>
        <w:t>Nicol</w:t>
      </w:r>
      <w:proofErr w:type="spellEnd"/>
      <w:r>
        <w:t>, D. 2010</w:t>
      </w:r>
      <w:r w:rsidRPr="00EB7D5F">
        <w:t>,</w:t>
      </w:r>
      <w:r w:rsidRPr="00EB7D5F">
        <w:rPr>
          <w:i/>
        </w:rPr>
        <w:t xml:space="preserve"> Patent Licensing in Medical Biotechnology in Australia: A Role for Collaborative Licensing Strategies?</w:t>
      </w:r>
      <w:r>
        <w:t>, Centre for Law and Genetics Occasional Paper No. 7, University of Tasmania, Hobart.</w:t>
      </w:r>
    </w:p>
    <w:p w:rsidR="007B53BD" w:rsidRDefault="007B53BD" w:rsidP="0082774E">
      <w:pPr>
        <w:pStyle w:val="Reference"/>
      </w:pPr>
      <w:r>
        <w:t xml:space="preserve">—— and </w:t>
      </w:r>
      <w:r w:rsidR="006C7C95">
        <w:t xml:space="preserve">Nielsen, J. 2003, </w:t>
      </w:r>
      <w:r w:rsidR="006C7C95" w:rsidRPr="00371D62">
        <w:rPr>
          <w:i/>
        </w:rPr>
        <w:t>Patents and Medical Biotechnology: An Empirical Analysis of Issues Facing the Australian Industry</w:t>
      </w:r>
      <w:r w:rsidR="006C7C95">
        <w:t>, Centre for Law and Genetics Occasional Paper No. 6, University of Tasmania, Hobart.</w:t>
      </w:r>
    </w:p>
    <w:p w:rsidR="009349DA" w:rsidRDefault="009349DA" w:rsidP="0082774E">
      <w:pPr>
        <w:pStyle w:val="Reference"/>
      </w:pPr>
      <w:r>
        <w:rPr>
          <w:rStyle w:val="Emphasis"/>
          <w:i w:val="0"/>
          <w:iCs w:val="0"/>
        </w:rPr>
        <w:t>Nielsen, J</w:t>
      </w:r>
      <w:r w:rsidR="009703D7">
        <w:rPr>
          <w:rStyle w:val="Emphasis"/>
          <w:i w:val="0"/>
          <w:iCs w:val="0"/>
        </w:rPr>
        <w:t xml:space="preserve">. and </w:t>
      </w:r>
      <w:proofErr w:type="spellStart"/>
      <w:r w:rsidR="009703D7">
        <w:rPr>
          <w:rStyle w:val="Emphasis"/>
          <w:i w:val="0"/>
          <w:iCs w:val="0"/>
        </w:rPr>
        <w:t>Nicol</w:t>
      </w:r>
      <w:proofErr w:type="spellEnd"/>
      <w:r w:rsidR="009703D7">
        <w:rPr>
          <w:rStyle w:val="Emphasis"/>
          <w:i w:val="0"/>
          <w:iCs w:val="0"/>
        </w:rPr>
        <w:t>, D. 2008, ‘Whither patent use without a</w:t>
      </w:r>
      <w:r>
        <w:rPr>
          <w:rStyle w:val="Emphasis"/>
          <w:i w:val="0"/>
          <w:iCs w:val="0"/>
        </w:rPr>
        <w:t xml:space="preserve">uthorisation in Australia?’, </w:t>
      </w:r>
      <w:r w:rsidRPr="009349DA">
        <w:rPr>
          <w:rStyle w:val="Emphasis"/>
          <w:iCs w:val="0"/>
        </w:rPr>
        <w:t>Federal Law Review</w:t>
      </w:r>
      <w:r>
        <w:rPr>
          <w:rStyle w:val="Emphasis"/>
          <w:i w:val="0"/>
          <w:iCs w:val="0"/>
        </w:rPr>
        <w:t>, vol. 36, no. 3, p. 331.</w:t>
      </w:r>
    </w:p>
    <w:p w:rsidR="00806E44" w:rsidRPr="00FB10FF" w:rsidRDefault="00806E44" w:rsidP="00806E44">
      <w:pPr>
        <w:pStyle w:val="Reference"/>
      </w:pPr>
      <w:proofErr w:type="spellStart"/>
      <w:r>
        <w:t>NHMRC</w:t>
      </w:r>
      <w:proofErr w:type="spellEnd"/>
      <w:r>
        <w:t xml:space="preserve"> (National Health and Medical Research Council) 2007, </w:t>
      </w:r>
      <w:r>
        <w:rPr>
          <w:i/>
        </w:rPr>
        <w:t>Australian Code for the Responsible Conduct of Research</w:t>
      </w:r>
      <w:r>
        <w:t>, Australian Government, Canberra.</w:t>
      </w:r>
    </w:p>
    <w:p w:rsidR="00806E44" w:rsidRDefault="00806E44" w:rsidP="0082774E">
      <w:pPr>
        <w:pStyle w:val="Reference"/>
      </w:pPr>
      <w:r>
        <w:t xml:space="preserve">—— 2010, </w:t>
      </w:r>
      <w:r w:rsidRPr="00806E44">
        <w:rPr>
          <w:i/>
        </w:rPr>
        <w:t>Information for health professionals</w:t>
      </w:r>
      <w:r>
        <w:t>, </w:t>
      </w:r>
      <w:proofErr w:type="spellStart"/>
      <w:r w:rsidRPr="00E5053B">
        <w:rPr>
          <w:bCs/>
        </w:rPr>
        <w:t>www.nhmrc.gov.au</w:t>
      </w:r>
      <w:proofErr w:type="spellEnd"/>
      <w:r w:rsidRPr="00E5053B">
        <w:rPr>
          <w:bCs/>
        </w:rPr>
        <w:t>/_</w:t>
      </w:r>
      <w:proofErr w:type="spellStart"/>
      <w:r w:rsidRPr="00E5053B">
        <w:rPr>
          <w:bCs/>
        </w:rPr>
        <w:t>files_nhmrc</w:t>
      </w:r>
      <w:proofErr w:type="spellEnd"/>
      <w:r w:rsidRPr="00E5053B">
        <w:rPr>
          <w:bCs/>
        </w:rPr>
        <w:t>/</w:t>
      </w:r>
      <w:r>
        <w:rPr>
          <w:bCs/>
        </w:rPr>
        <w:t xml:space="preserve"> </w:t>
      </w:r>
      <w:r w:rsidRPr="00E5053B">
        <w:rPr>
          <w:bCs/>
        </w:rPr>
        <w:t>publications/attachments/</w:t>
      </w:r>
      <w:proofErr w:type="spellStart"/>
      <w:r w:rsidRPr="00E5053B">
        <w:rPr>
          <w:bCs/>
        </w:rPr>
        <w:t>e99.pdf</w:t>
      </w:r>
      <w:proofErr w:type="spellEnd"/>
      <w:r>
        <w:t xml:space="preserve"> (accessed 24 August 2010).</w:t>
      </w:r>
    </w:p>
    <w:p w:rsidR="00012C44" w:rsidRPr="00012C44" w:rsidRDefault="00012C44" w:rsidP="0082774E">
      <w:pPr>
        <w:pStyle w:val="Reference"/>
        <w:rPr>
          <w:bCs/>
        </w:rPr>
      </w:pPr>
      <w:r w:rsidRPr="00EF4B73">
        <w:t xml:space="preserve">Nokia 2012, SEP Litigation and (F)RAND Licencing Commitments, Contribution to International Telecommunications Union Patent Roundtable, 10 October 2012, Geneva, </w:t>
      </w:r>
      <w:r w:rsidRPr="003D0113">
        <w:rPr>
          <w:bCs/>
        </w:rPr>
        <w:t>http://</w:t>
      </w:r>
      <w:proofErr w:type="spellStart"/>
      <w:r w:rsidRPr="003D0113">
        <w:rPr>
          <w:bCs/>
        </w:rPr>
        <w:t>www.itu.int</w:t>
      </w:r>
      <w:proofErr w:type="spellEnd"/>
      <w:r w:rsidRPr="003D0113">
        <w:rPr>
          <w:bCs/>
        </w:rPr>
        <w:t>/</w:t>
      </w:r>
      <w:proofErr w:type="spellStart"/>
      <w:r w:rsidRPr="003D0113">
        <w:rPr>
          <w:bCs/>
        </w:rPr>
        <w:t>oth</w:t>
      </w:r>
      <w:proofErr w:type="spellEnd"/>
      <w:r w:rsidRPr="003D0113">
        <w:rPr>
          <w:bCs/>
        </w:rPr>
        <w:t>/</w:t>
      </w:r>
      <w:proofErr w:type="spellStart"/>
      <w:r w:rsidRPr="003D0113">
        <w:rPr>
          <w:bCs/>
        </w:rPr>
        <w:t>T065B000034</w:t>
      </w:r>
      <w:proofErr w:type="spellEnd"/>
      <w:r w:rsidRPr="00EF4B73">
        <w:t xml:space="preserve"> </w:t>
      </w:r>
      <w:r>
        <w:rPr>
          <w:bCs/>
        </w:rPr>
        <w:t>(accessed 15 November</w:t>
      </w:r>
      <w:r w:rsidRPr="0052311A">
        <w:rPr>
          <w:bCs/>
        </w:rPr>
        <w:t xml:space="preserve"> 2012)</w:t>
      </w:r>
      <w:r>
        <w:rPr>
          <w:bCs/>
        </w:rPr>
        <w:t>.</w:t>
      </w:r>
    </w:p>
    <w:p w:rsidR="00DD04FA" w:rsidRDefault="00DD04FA" w:rsidP="00DD04FA">
      <w:pPr>
        <w:pStyle w:val="Reference"/>
      </w:pPr>
      <w:proofErr w:type="spellStart"/>
      <w:r>
        <w:t>Nordhaus</w:t>
      </w:r>
      <w:proofErr w:type="spellEnd"/>
      <w:r>
        <w:t xml:space="preserve">, </w:t>
      </w:r>
      <w:proofErr w:type="spellStart"/>
      <w:r>
        <w:t>W.D</w:t>
      </w:r>
      <w:proofErr w:type="spellEnd"/>
      <w:r>
        <w:t xml:space="preserve">. 1969, </w:t>
      </w:r>
      <w:r w:rsidRPr="0068749E">
        <w:rPr>
          <w:i/>
        </w:rPr>
        <w:t>Invention, Growth and Welfare:</w:t>
      </w:r>
      <w:r>
        <w:t xml:space="preserve"> </w:t>
      </w:r>
      <w:r w:rsidRPr="00DE2A0C">
        <w:rPr>
          <w:i/>
        </w:rPr>
        <w:t xml:space="preserve">A Theoretical Treatment of Technological Change, </w:t>
      </w:r>
      <w:r>
        <w:t xml:space="preserve">MIT Press, Cambridge, Massachusetts. </w:t>
      </w:r>
    </w:p>
    <w:p w:rsidR="00DD04FA" w:rsidRDefault="009703D7" w:rsidP="00DD04FA">
      <w:pPr>
        <w:pStyle w:val="Reference"/>
      </w:pPr>
      <w:r>
        <w:t>—— 1972, ‘The optimum life of a patent: r</w:t>
      </w:r>
      <w:r w:rsidR="00DD04FA">
        <w:t xml:space="preserve">eply’, </w:t>
      </w:r>
      <w:r w:rsidR="00DD04FA" w:rsidRPr="00581BE0">
        <w:rPr>
          <w:i/>
        </w:rPr>
        <w:t>The American Economic Review</w:t>
      </w:r>
      <w:r w:rsidR="00DD04FA">
        <w:t xml:space="preserve">, vol. 62, no. 3, pp. 428–431. </w:t>
      </w:r>
    </w:p>
    <w:p w:rsidR="008045D6" w:rsidRDefault="008045D6" w:rsidP="00DD04FA">
      <w:pPr>
        <w:pStyle w:val="Reference"/>
      </w:pPr>
      <w:r>
        <w:t xml:space="preserve">NZ Parliament Commerce Select Committee 2010, </w:t>
      </w:r>
      <w:r>
        <w:rPr>
          <w:i/>
        </w:rPr>
        <w:t>Patents Bill, Government Bill, a</w:t>
      </w:r>
      <w:r w:rsidRPr="003A3CF8">
        <w:rPr>
          <w:i/>
        </w:rPr>
        <w:t>s reported from the Commerce Committee</w:t>
      </w:r>
      <w:r>
        <w:t>, New Zealand Government, Wellington.</w:t>
      </w:r>
    </w:p>
    <w:p w:rsidR="0079314C" w:rsidRPr="00EF4B73" w:rsidRDefault="0079314C" w:rsidP="00EF4B73">
      <w:pPr>
        <w:pStyle w:val="Reference"/>
      </w:pPr>
      <w:r w:rsidRPr="00EF4B73">
        <w:t xml:space="preserve">OECD (Organization for Economic Co-operation and Development) 2002, </w:t>
      </w:r>
      <w:r w:rsidRPr="00EF4B73">
        <w:rPr>
          <w:i/>
        </w:rPr>
        <w:t>Genetic Inventions, Intellectual Property Rights and Licensing Practices: Evidence and Policies</w:t>
      </w:r>
      <w:r w:rsidRPr="00EF4B73">
        <w:t>, Paris.</w:t>
      </w:r>
    </w:p>
    <w:p w:rsidR="0079314C" w:rsidRPr="00EF4B73" w:rsidRDefault="0079314C" w:rsidP="0079314C">
      <w:pPr>
        <w:pStyle w:val="Reference"/>
      </w:pPr>
      <w:r w:rsidRPr="00EF4B73">
        <w:t>—— </w:t>
      </w:r>
      <w:r w:rsidR="00965F72">
        <w:t xml:space="preserve">2006, </w:t>
      </w:r>
      <w:r w:rsidR="00965F72" w:rsidRPr="00455B55">
        <w:rPr>
          <w:i/>
        </w:rPr>
        <w:t>Guidelines for the Licensing of Genetic Inventions</w:t>
      </w:r>
      <w:r w:rsidR="00965F72">
        <w:rPr>
          <w:i/>
        </w:rPr>
        <w:t xml:space="preserve">, </w:t>
      </w:r>
      <w:r w:rsidR="00965F72">
        <w:t>Paris.</w:t>
      </w:r>
    </w:p>
    <w:p w:rsidR="0079314C" w:rsidRDefault="0079314C" w:rsidP="0079314C">
      <w:pPr>
        <w:pStyle w:val="Reference"/>
      </w:pPr>
      <w:proofErr w:type="spellStart"/>
      <w:r>
        <w:t>OFPC</w:t>
      </w:r>
      <w:proofErr w:type="spellEnd"/>
      <w:r>
        <w:t xml:space="preserve"> (Office of the Federal Privacy Commissioner) 2001, </w:t>
      </w:r>
      <w:r w:rsidRPr="004619BA">
        <w:rPr>
          <w:i/>
        </w:rPr>
        <w:t>Guidelines to the National Privacy Principles</w:t>
      </w:r>
      <w:r>
        <w:t>, </w:t>
      </w:r>
      <w:r w:rsidRPr="00E5053B">
        <w:rPr>
          <w:bCs/>
        </w:rPr>
        <w:t>http://www.privacy.gov.au/materials/types/guidelines/view/6582</w:t>
      </w:r>
      <w:r>
        <w:t>, (accessed 20 October 2012).</w:t>
      </w:r>
    </w:p>
    <w:p w:rsidR="00D3534C" w:rsidRDefault="00D3534C" w:rsidP="00D3534C">
      <w:pPr>
        <w:pStyle w:val="Reference"/>
      </w:pPr>
      <w:proofErr w:type="spellStart"/>
      <w:r>
        <w:t>Okuyama</w:t>
      </w:r>
      <w:proofErr w:type="spellEnd"/>
      <w:r>
        <w:t xml:space="preserve">, S. 2007, </w:t>
      </w:r>
      <w:r w:rsidRPr="005D2807">
        <w:rPr>
          <w:i/>
        </w:rPr>
        <w:t>Patent Infringement Litigation in Japan</w:t>
      </w:r>
      <w:r>
        <w:t xml:space="preserve">, Japan Patent Office, Tokyo. </w:t>
      </w:r>
      <w:bookmarkStart w:id="3" w:name="_GoBack"/>
      <w:bookmarkEnd w:id="3"/>
    </w:p>
    <w:p w:rsidR="00CB35E8" w:rsidRDefault="00CB35E8" w:rsidP="00CB35E8">
      <w:pPr>
        <w:pStyle w:val="Reference"/>
        <w:rPr>
          <w:szCs w:val="26"/>
        </w:rPr>
      </w:pPr>
      <w:r>
        <w:rPr>
          <w:szCs w:val="26"/>
        </w:rPr>
        <w:lastRenderedPageBreak/>
        <w:t xml:space="preserve">Orozco, D. and Conley, J. </w:t>
      </w:r>
      <w:proofErr w:type="spellStart"/>
      <w:r>
        <w:rPr>
          <w:szCs w:val="26"/>
        </w:rPr>
        <w:t>nd</w:t>
      </w:r>
      <w:proofErr w:type="spellEnd"/>
      <w:r>
        <w:rPr>
          <w:szCs w:val="26"/>
        </w:rPr>
        <w:t xml:space="preserve">, </w:t>
      </w:r>
      <w:r w:rsidRPr="00C45188">
        <w:rPr>
          <w:i/>
          <w:szCs w:val="26"/>
        </w:rPr>
        <w:t xml:space="preserve">The Longer Walk After eBay v. </w:t>
      </w:r>
      <w:proofErr w:type="spellStart"/>
      <w:r w:rsidRPr="00C45188">
        <w:rPr>
          <w:i/>
          <w:szCs w:val="26"/>
        </w:rPr>
        <w:t>Mercexchange</w:t>
      </w:r>
      <w:proofErr w:type="spellEnd"/>
      <w:r w:rsidR="00512E61">
        <w:rPr>
          <w:szCs w:val="26"/>
        </w:rPr>
        <w:t xml:space="preserve">, </w:t>
      </w:r>
      <w:proofErr w:type="spellStart"/>
      <w:r w:rsidR="00512E61">
        <w:rPr>
          <w:szCs w:val="26"/>
        </w:rPr>
        <w:t>Northwestern</w:t>
      </w:r>
      <w:proofErr w:type="spellEnd"/>
      <w:r w:rsidR="00512E61">
        <w:rPr>
          <w:szCs w:val="26"/>
        </w:rPr>
        <w:t xml:space="preserve"> University.</w:t>
      </w:r>
    </w:p>
    <w:p w:rsidR="00A83B76" w:rsidRPr="00A83B76" w:rsidRDefault="00A83B76" w:rsidP="00CB35E8">
      <w:pPr>
        <w:pStyle w:val="Reference"/>
      </w:pPr>
      <w:r>
        <w:t xml:space="preserve">Packard Love, J. 2007, </w:t>
      </w:r>
      <w:r w:rsidRPr="00247D5E">
        <w:rPr>
          <w:i/>
        </w:rPr>
        <w:t xml:space="preserve">Recent </w:t>
      </w:r>
      <w:r>
        <w:rPr>
          <w:i/>
        </w:rPr>
        <w:t>E</w:t>
      </w:r>
      <w:r w:rsidRPr="00247D5E">
        <w:rPr>
          <w:i/>
        </w:rPr>
        <w:t xml:space="preserve">xamples of the </w:t>
      </w:r>
      <w:r>
        <w:rPr>
          <w:i/>
        </w:rPr>
        <w:t>U</w:t>
      </w:r>
      <w:r w:rsidRPr="00247D5E">
        <w:rPr>
          <w:i/>
        </w:rPr>
        <w:t xml:space="preserve">se of </w:t>
      </w:r>
      <w:r>
        <w:rPr>
          <w:i/>
        </w:rPr>
        <w:t>C</w:t>
      </w:r>
      <w:r w:rsidRPr="00247D5E">
        <w:rPr>
          <w:i/>
        </w:rPr>
        <w:t xml:space="preserve">ompulsory </w:t>
      </w:r>
      <w:r>
        <w:rPr>
          <w:i/>
        </w:rPr>
        <w:t>L</w:t>
      </w:r>
      <w:r w:rsidRPr="00170C07">
        <w:rPr>
          <w:i/>
        </w:rPr>
        <w:t xml:space="preserve">icenses </w:t>
      </w:r>
      <w:r w:rsidRPr="00247D5E">
        <w:rPr>
          <w:i/>
        </w:rPr>
        <w:t xml:space="preserve">on </w:t>
      </w:r>
      <w:r>
        <w:rPr>
          <w:i/>
        </w:rPr>
        <w:t>P</w:t>
      </w:r>
      <w:r w:rsidRPr="00247D5E">
        <w:rPr>
          <w:i/>
        </w:rPr>
        <w:t>atents</w:t>
      </w:r>
      <w:r>
        <w:t xml:space="preserve">, Knowledge Economy International, </w:t>
      </w:r>
      <w:r w:rsidRPr="00E5053B">
        <w:rPr>
          <w:bCs/>
        </w:rPr>
        <w:t>http://</w:t>
      </w:r>
      <w:proofErr w:type="spellStart"/>
      <w:r w:rsidRPr="00E5053B">
        <w:rPr>
          <w:bCs/>
        </w:rPr>
        <w:t>keionline.org</w:t>
      </w:r>
      <w:proofErr w:type="spellEnd"/>
      <w:r w:rsidRPr="00E5053B">
        <w:rPr>
          <w:bCs/>
        </w:rPr>
        <w:t>/</w:t>
      </w:r>
      <w:r w:rsidR="00BA5806">
        <w:t xml:space="preserve"> (accessed 19 </w:t>
      </w:r>
      <w:r>
        <w:t>September 2012).</w:t>
      </w:r>
    </w:p>
    <w:p w:rsidR="00486EC6" w:rsidRPr="00486EC6" w:rsidRDefault="00486EC6" w:rsidP="00CB35E8">
      <w:pPr>
        <w:pStyle w:val="Reference"/>
      </w:pPr>
      <w:proofErr w:type="spellStart"/>
      <w:r w:rsidRPr="00EF4B73">
        <w:t>Palombi</w:t>
      </w:r>
      <w:proofErr w:type="spellEnd"/>
      <w:r w:rsidRPr="00EF4B73">
        <w:t xml:space="preserve">, L. 2010, </w:t>
      </w:r>
      <w:r w:rsidRPr="00486EC6">
        <w:rPr>
          <w:i/>
        </w:rPr>
        <w:t xml:space="preserve">Gene patents and patents granted over biological materials: </w:t>
      </w:r>
      <w:r w:rsidRPr="00486EC6">
        <w:rPr>
          <w:i/>
          <w:iCs/>
        </w:rPr>
        <w:t>Their impact on the provision and cost of diagnostic services and medical and scientific research in Australia</w:t>
      </w:r>
      <w:r w:rsidRPr="0052311A">
        <w:rPr>
          <w:iCs/>
        </w:rPr>
        <w:t xml:space="preserve">, </w:t>
      </w:r>
      <w:r w:rsidRPr="0052311A">
        <w:rPr>
          <w:bCs/>
          <w:iCs/>
        </w:rPr>
        <w:t xml:space="preserve">The Regulatory Institutions Network, </w:t>
      </w:r>
      <w:r w:rsidRPr="0052311A">
        <w:rPr>
          <w:iCs/>
        </w:rPr>
        <w:t xml:space="preserve">Submission to the </w:t>
      </w:r>
      <w:r w:rsidRPr="0052311A">
        <w:rPr>
          <w:bCs/>
          <w:iCs/>
        </w:rPr>
        <w:t>Senate Community Affairs Committee,</w:t>
      </w:r>
      <w:r w:rsidRPr="0052311A">
        <w:rPr>
          <w:b/>
          <w:bCs/>
          <w:iCs/>
        </w:rPr>
        <w:t xml:space="preserve"> </w:t>
      </w:r>
      <w:r w:rsidRPr="00486EC6">
        <w:rPr>
          <w:iCs/>
        </w:rPr>
        <w:t>Gene Patents</w:t>
      </w:r>
      <w:r w:rsidRPr="0052311A">
        <w:rPr>
          <w:iCs/>
        </w:rPr>
        <w:t>, Canberra.</w:t>
      </w:r>
    </w:p>
    <w:p w:rsidR="00D61CD9" w:rsidRDefault="00D61CD9" w:rsidP="00D61CD9">
      <w:pPr>
        <w:pStyle w:val="Reference"/>
      </w:pPr>
      <w:r w:rsidRPr="00E933F7">
        <w:t>Park</w:t>
      </w:r>
      <w:r>
        <w:t>,</w:t>
      </w:r>
      <w:r w:rsidRPr="00E933F7">
        <w:t xml:space="preserve"> W</w:t>
      </w:r>
      <w:r>
        <w:t>.</w:t>
      </w:r>
      <w:r w:rsidRPr="00E933F7">
        <w:t xml:space="preserve"> 2008. </w:t>
      </w:r>
      <w:r>
        <w:t>‘</w:t>
      </w:r>
      <w:r w:rsidRPr="00E933F7">
        <w:t>International patent protection: 1960-2005</w:t>
      </w:r>
      <w:r>
        <w:t>’,</w:t>
      </w:r>
      <w:r w:rsidRPr="00E933F7">
        <w:t xml:space="preserve"> </w:t>
      </w:r>
      <w:r w:rsidRPr="00E933F7">
        <w:rPr>
          <w:i/>
        </w:rPr>
        <w:t>Research Policy</w:t>
      </w:r>
      <w:r w:rsidRPr="00E933F7">
        <w:t xml:space="preserve">, </w:t>
      </w:r>
      <w:r>
        <w:t>vol. </w:t>
      </w:r>
      <w:r w:rsidRPr="00E933F7">
        <w:t>37,</w:t>
      </w:r>
      <w:r>
        <w:t xml:space="preserve"> pp.</w:t>
      </w:r>
      <w:r w:rsidRPr="00E933F7">
        <w:t xml:space="preserve"> 761</w:t>
      </w:r>
      <w:r>
        <w:t>–</w:t>
      </w:r>
      <w:r w:rsidRPr="00E933F7">
        <w:t>66.</w:t>
      </w:r>
    </w:p>
    <w:p w:rsidR="00C4370A" w:rsidRDefault="00C4370A" w:rsidP="00D61CD9">
      <w:pPr>
        <w:pStyle w:val="Reference"/>
      </w:pPr>
      <w:r>
        <w:t xml:space="preserve">—— 2010, </w:t>
      </w:r>
      <w:r w:rsidR="004B1ED9">
        <w:t>‘</w:t>
      </w:r>
      <w:r w:rsidRPr="004B1ED9">
        <w:t>On Patenting Costs</w:t>
      </w:r>
      <w:r w:rsidR="004B1ED9">
        <w:t>’</w:t>
      </w:r>
      <w:r>
        <w:t xml:space="preserve">, </w:t>
      </w:r>
      <w:proofErr w:type="spellStart"/>
      <w:r w:rsidRPr="004B1ED9">
        <w:rPr>
          <w:i/>
        </w:rPr>
        <w:t>WIPO</w:t>
      </w:r>
      <w:proofErr w:type="spellEnd"/>
      <w:r w:rsidRPr="004B1ED9">
        <w:rPr>
          <w:i/>
        </w:rPr>
        <w:t xml:space="preserve"> </w:t>
      </w:r>
      <w:r w:rsidR="00BE232B" w:rsidRPr="004B1ED9">
        <w:rPr>
          <w:i/>
        </w:rPr>
        <w:t>Journal</w:t>
      </w:r>
      <w:r w:rsidR="00BE232B">
        <w:t xml:space="preserve">, Vol. 2, Issue 1, </w:t>
      </w:r>
      <w:r w:rsidRPr="00E5053B">
        <w:rPr>
          <w:bCs/>
        </w:rPr>
        <w:t>http://</w:t>
      </w:r>
      <w:proofErr w:type="spellStart"/>
      <w:r w:rsidRPr="00E5053B">
        <w:rPr>
          <w:bCs/>
        </w:rPr>
        <w:t>www.wipo.int</w:t>
      </w:r>
      <w:proofErr w:type="spellEnd"/>
      <w:r w:rsidRPr="00E5053B">
        <w:rPr>
          <w:bCs/>
        </w:rPr>
        <w:t>/about</w:t>
      </w:r>
      <w:r w:rsidRPr="00E5053B">
        <w:rPr>
          <w:bCs/>
        </w:rPr>
        <w:noBreakHyphen/>
      </w:r>
      <w:proofErr w:type="spellStart"/>
      <w:r w:rsidRPr="00E5053B">
        <w:rPr>
          <w:bCs/>
        </w:rPr>
        <w:t>wipo</w:t>
      </w:r>
      <w:proofErr w:type="spellEnd"/>
      <w:r w:rsidRPr="00E5053B">
        <w:rPr>
          <w:bCs/>
        </w:rPr>
        <w:t>/en/</w:t>
      </w:r>
      <w:proofErr w:type="spellStart"/>
      <w:r w:rsidRPr="00E5053B">
        <w:rPr>
          <w:bCs/>
        </w:rPr>
        <w:t>wipo_journal</w:t>
      </w:r>
      <w:proofErr w:type="spellEnd"/>
      <w:r w:rsidRPr="00E5053B">
        <w:rPr>
          <w:bCs/>
        </w:rPr>
        <w:t>/</w:t>
      </w:r>
      <w:r>
        <w:t xml:space="preserve"> (accessed 19 October 2012). </w:t>
      </w:r>
    </w:p>
    <w:p w:rsidR="00BE232B" w:rsidRDefault="00BE232B" w:rsidP="00D61CD9">
      <w:pPr>
        <w:pStyle w:val="Reference"/>
      </w:pPr>
      <w:proofErr w:type="spellStart"/>
      <w:r>
        <w:t>PBPA</w:t>
      </w:r>
      <w:proofErr w:type="spellEnd"/>
      <w:r>
        <w:t xml:space="preserve"> (P</w:t>
      </w:r>
      <w:r w:rsidRPr="003712B1">
        <w:t>harmaceutical Benefits Pricing Authority</w:t>
      </w:r>
      <w:r>
        <w:t>)</w:t>
      </w:r>
      <w:r w:rsidR="001A677B">
        <w:t xml:space="preserve"> 2009,</w:t>
      </w:r>
      <w:r>
        <w:t xml:space="preserve"> </w:t>
      </w:r>
      <w:r w:rsidRPr="00A30F8A">
        <w:rPr>
          <w:i/>
        </w:rPr>
        <w:t>Policies, Procedures and Methods,</w:t>
      </w:r>
      <w:r>
        <w:t xml:space="preserve"> </w:t>
      </w:r>
      <w:r w:rsidRPr="00E5053B">
        <w:rPr>
          <w:bCs/>
        </w:rPr>
        <w:t>www.health.gov.au/internet/main/publishing.nsf/Content/health-pbs-general-pricing-pbpamethods.htm</w:t>
      </w:r>
      <w:r>
        <w:t xml:space="preserve"> (accessed 21 August 2012).</w:t>
      </w:r>
    </w:p>
    <w:p w:rsidR="00586D0C" w:rsidRDefault="00964CC9" w:rsidP="00964CC9">
      <w:pPr>
        <w:pStyle w:val="Reference"/>
      </w:pPr>
      <w:r>
        <w:t>PC (Productivity Commission)</w:t>
      </w:r>
      <w:r w:rsidR="002F33FA">
        <w:t xml:space="preserve"> </w:t>
      </w:r>
      <w:r w:rsidR="00586D0C">
        <w:t xml:space="preserve">2001, </w:t>
      </w:r>
      <w:r w:rsidR="00586D0C">
        <w:rPr>
          <w:i/>
          <w:iCs/>
        </w:rPr>
        <w:t>Review of the National Access Regime</w:t>
      </w:r>
      <w:r w:rsidR="00586D0C">
        <w:t xml:space="preserve">, Report no. 17, </w:t>
      </w:r>
      <w:proofErr w:type="spellStart"/>
      <w:r w:rsidR="00586D0C">
        <w:t>AusInfo</w:t>
      </w:r>
      <w:proofErr w:type="spellEnd"/>
      <w:r w:rsidR="00586D0C">
        <w:t>, Canberra.</w:t>
      </w:r>
    </w:p>
    <w:p w:rsidR="00964CC9" w:rsidRDefault="00586D0C" w:rsidP="00964CC9">
      <w:pPr>
        <w:pStyle w:val="Reference"/>
      </w:pPr>
      <w:r>
        <w:t>—— </w:t>
      </w:r>
      <w:r w:rsidR="002F33FA">
        <w:t xml:space="preserve">2007, </w:t>
      </w:r>
      <w:r w:rsidR="00964CC9" w:rsidRPr="008F54BB">
        <w:rPr>
          <w:i/>
        </w:rPr>
        <w:t>Public Support for Science and Innovation</w:t>
      </w:r>
      <w:r w:rsidR="00964CC9">
        <w:t>, Research Report, Pro</w:t>
      </w:r>
      <w:r w:rsidR="005A5AFB">
        <w:t>ductivity Commission, Canberra.</w:t>
      </w:r>
    </w:p>
    <w:p w:rsidR="00B1643C" w:rsidRDefault="00A90708" w:rsidP="00716324">
      <w:pPr>
        <w:pStyle w:val="Reference"/>
      </w:pPr>
      <w:r>
        <w:t>—— </w:t>
      </w:r>
      <w:r w:rsidRPr="0052311A">
        <w:t xml:space="preserve">2011, </w:t>
      </w:r>
      <w:r w:rsidRPr="00A90708">
        <w:rPr>
          <w:i/>
        </w:rPr>
        <w:t>Rural Research and Development Corporations</w:t>
      </w:r>
      <w:r w:rsidRPr="0052311A">
        <w:t>, Report no. 52, Final Inquiry Report, Canberra.</w:t>
      </w:r>
    </w:p>
    <w:p w:rsidR="00E84C8A" w:rsidRDefault="00E84C8A" w:rsidP="00716324">
      <w:pPr>
        <w:pStyle w:val="Reference"/>
      </w:pPr>
      <w:proofErr w:type="spellStart"/>
      <w:r>
        <w:t>Pil</w:t>
      </w:r>
      <w:proofErr w:type="spellEnd"/>
      <w:r>
        <w:t xml:space="preserve"> Choi, J. 2010, ‘Compulsory licensing as an antitrust remedy’, </w:t>
      </w:r>
      <w:r w:rsidRPr="00E61274">
        <w:rPr>
          <w:i/>
        </w:rPr>
        <w:t xml:space="preserve">The </w:t>
      </w:r>
      <w:proofErr w:type="spellStart"/>
      <w:r w:rsidRPr="00E61274">
        <w:rPr>
          <w:i/>
        </w:rPr>
        <w:t>WIPO</w:t>
      </w:r>
      <w:proofErr w:type="spellEnd"/>
      <w:r w:rsidRPr="00E61274">
        <w:rPr>
          <w:i/>
        </w:rPr>
        <w:t xml:space="preserve"> Journal</w:t>
      </w:r>
      <w:r>
        <w:t>, vol. 2, no. 1, pp. 74–81.</w:t>
      </w:r>
    </w:p>
    <w:p w:rsidR="00D17D06" w:rsidRDefault="00D17D06" w:rsidP="00716324">
      <w:pPr>
        <w:pStyle w:val="Reference"/>
      </w:pPr>
      <w:proofErr w:type="spellStart"/>
      <w:r w:rsidRPr="00DE157D">
        <w:t>Pitofsky</w:t>
      </w:r>
      <w:proofErr w:type="spellEnd"/>
      <w:r w:rsidRPr="00DE157D">
        <w:t xml:space="preserve">, R. 2002, </w:t>
      </w:r>
      <w:r w:rsidRPr="00DE157D">
        <w:rPr>
          <w:i/>
        </w:rPr>
        <w:t>The Essential Facilities Doctrine Under United States Antitrust Law</w:t>
      </w:r>
      <w:r w:rsidRPr="00DE157D">
        <w:t>, http://</w:t>
      </w:r>
      <w:proofErr w:type="spellStart"/>
      <w:r w:rsidRPr="00DE157D">
        <w:t>scholarship.law.georgetown.edu</w:t>
      </w:r>
      <w:proofErr w:type="spellEnd"/>
      <w:r w:rsidRPr="00DE157D">
        <w:t>/</w:t>
      </w:r>
      <w:proofErr w:type="spellStart"/>
      <w:r w:rsidRPr="00DE157D">
        <w:t>facpub</w:t>
      </w:r>
      <w:proofErr w:type="spellEnd"/>
      <w:r w:rsidRPr="00DE157D">
        <w:t>/346 (accessed 27 November 2012).</w:t>
      </w:r>
    </w:p>
    <w:p w:rsidR="00F637E4" w:rsidRDefault="00F637E4" w:rsidP="00F637E4">
      <w:pPr>
        <w:pStyle w:val="Reference"/>
        <w:rPr>
          <w:bCs/>
        </w:rPr>
      </w:pPr>
      <w:r>
        <w:t xml:space="preserve">Qualcomm Incorporated 2012, </w:t>
      </w:r>
      <w:r w:rsidRPr="00EF4B73">
        <w:t xml:space="preserve">Contribution to International Telecommunications Union Patent Roundtable, 10 October 2012, Geneva, </w:t>
      </w:r>
      <w:r w:rsidRPr="00973C50">
        <w:rPr>
          <w:bCs/>
        </w:rPr>
        <w:t>http://</w:t>
      </w:r>
      <w:proofErr w:type="spellStart"/>
      <w:r w:rsidRPr="00973C50">
        <w:rPr>
          <w:bCs/>
        </w:rPr>
        <w:t>www.itu.int</w:t>
      </w:r>
      <w:proofErr w:type="spellEnd"/>
      <w:r w:rsidRPr="00973C50">
        <w:rPr>
          <w:bCs/>
        </w:rPr>
        <w:t>/</w:t>
      </w:r>
      <w:proofErr w:type="spellStart"/>
      <w:r w:rsidRPr="00973C50">
        <w:rPr>
          <w:bCs/>
        </w:rPr>
        <w:t>oth</w:t>
      </w:r>
      <w:proofErr w:type="spellEnd"/>
      <w:r w:rsidRPr="00973C50">
        <w:rPr>
          <w:bCs/>
        </w:rPr>
        <w:t>/</w:t>
      </w:r>
      <w:proofErr w:type="spellStart"/>
      <w:r w:rsidRPr="00973C50">
        <w:rPr>
          <w:bCs/>
        </w:rPr>
        <w:t>T065B000034</w:t>
      </w:r>
      <w:proofErr w:type="spellEnd"/>
      <w:r w:rsidRPr="00EF4B73">
        <w:t xml:space="preserve"> </w:t>
      </w:r>
      <w:r>
        <w:rPr>
          <w:bCs/>
        </w:rPr>
        <w:t>(accessed 15 November</w:t>
      </w:r>
      <w:r w:rsidRPr="0052311A">
        <w:rPr>
          <w:bCs/>
        </w:rPr>
        <w:t xml:space="preserve"> 2012)</w:t>
      </w:r>
      <w:r>
        <w:rPr>
          <w:bCs/>
        </w:rPr>
        <w:t>.</w:t>
      </w:r>
    </w:p>
    <w:p w:rsidR="006A37DD" w:rsidRDefault="006A37DD" w:rsidP="00F637E4">
      <w:pPr>
        <w:pStyle w:val="Reference"/>
      </w:pPr>
      <w:r>
        <w:t xml:space="preserve">Radcliffe, J and </w:t>
      </w:r>
      <w:proofErr w:type="spellStart"/>
      <w:r>
        <w:t>Sproul</w:t>
      </w:r>
      <w:proofErr w:type="spellEnd"/>
      <w:r>
        <w:t xml:space="preserve">, G. 2012, </w:t>
      </w:r>
      <w:proofErr w:type="spellStart"/>
      <w:r>
        <w:t>FRAND</w:t>
      </w:r>
      <w:proofErr w:type="spellEnd"/>
      <w:r>
        <w:t xml:space="preserve"> and the smartphone wars, </w:t>
      </w:r>
      <w:r w:rsidRPr="007973BD">
        <w:rPr>
          <w:i/>
        </w:rPr>
        <w:t>Intellectual Property Magazine</w:t>
      </w:r>
      <w:r>
        <w:t>, December 2011/January 212.</w:t>
      </w:r>
    </w:p>
    <w:p w:rsidR="00097710" w:rsidRPr="006A37DD" w:rsidRDefault="00097710" w:rsidP="00F637E4">
      <w:pPr>
        <w:pStyle w:val="Reference"/>
      </w:pPr>
      <w:proofErr w:type="spellStart"/>
      <w:r>
        <w:t>Rai</w:t>
      </w:r>
      <w:proofErr w:type="spellEnd"/>
      <w:r>
        <w:t xml:space="preserve">, A., </w:t>
      </w:r>
      <w:proofErr w:type="spellStart"/>
      <w:r>
        <w:t>Reichman</w:t>
      </w:r>
      <w:proofErr w:type="spellEnd"/>
      <w:r>
        <w:t xml:space="preserve">, J., </w:t>
      </w:r>
      <w:proofErr w:type="spellStart"/>
      <w:r>
        <w:t>Weissman</w:t>
      </w:r>
      <w:proofErr w:type="spellEnd"/>
      <w:r>
        <w:t xml:space="preserve">, R., </w:t>
      </w:r>
      <w:proofErr w:type="spellStart"/>
      <w:r>
        <w:t>Kapczynski</w:t>
      </w:r>
      <w:proofErr w:type="spellEnd"/>
      <w:r>
        <w:t>, A., Cook-</w:t>
      </w:r>
      <w:proofErr w:type="spellStart"/>
      <w:r>
        <w:t>Deegan</w:t>
      </w:r>
      <w:proofErr w:type="spellEnd"/>
      <w:r>
        <w:t xml:space="preserve">, R., </w:t>
      </w:r>
      <w:proofErr w:type="spellStart"/>
      <w:r>
        <w:t>Sampat</w:t>
      </w:r>
      <w:proofErr w:type="spellEnd"/>
      <w:r>
        <w:t xml:space="preserve">, B. and </w:t>
      </w:r>
      <w:proofErr w:type="spellStart"/>
      <w:r>
        <w:t>So.</w:t>
      </w:r>
      <w:proofErr w:type="spellEnd"/>
      <w:r>
        <w:t xml:space="preserve"> A. 2008, ‘</w:t>
      </w:r>
      <w:r w:rsidRPr="00361476">
        <w:t xml:space="preserve">Is </w:t>
      </w:r>
      <w:proofErr w:type="spellStart"/>
      <w:r w:rsidRPr="00361476">
        <w:t>Bayh</w:t>
      </w:r>
      <w:proofErr w:type="spellEnd"/>
      <w:r w:rsidRPr="00361476">
        <w:t>-Dole good for developing countries? Lessons from the US experience</w:t>
      </w:r>
      <w:r>
        <w:t xml:space="preserve">’, </w:t>
      </w:r>
      <w:proofErr w:type="spellStart"/>
      <w:r w:rsidRPr="00361476">
        <w:rPr>
          <w:i/>
        </w:rPr>
        <w:t>PLoS</w:t>
      </w:r>
      <w:proofErr w:type="spellEnd"/>
      <w:r w:rsidRPr="00361476">
        <w:rPr>
          <w:i/>
        </w:rPr>
        <w:t xml:space="preserve"> Biology</w:t>
      </w:r>
      <w:r>
        <w:t>, June, pp. 2078–84.</w:t>
      </w:r>
    </w:p>
    <w:p w:rsidR="00C628F7" w:rsidRDefault="0008794B" w:rsidP="00F637E4">
      <w:pPr>
        <w:pStyle w:val="Reference"/>
      </w:pPr>
      <w:r>
        <w:lastRenderedPageBreak/>
        <w:t xml:space="preserve">Rapp, R. and </w:t>
      </w:r>
      <w:proofErr w:type="spellStart"/>
      <w:r>
        <w:t>Rozek</w:t>
      </w:r>
      <w:proofErr w:type="spellEnd"/>
      <w:r>
        <w:t xml:space="preserve">, R. 1990. ‘Benefits and costs of intellectual property protection in developing countries’, </w:t>
      </w:r>
      <w:r w:rsidRPr="00FF7F38">
        <w:rPr>
          <w:i/>
        </w:rPr>
        <w:t>Journal of World Trade</w:t>
      </w:r>
      <w:r>
        <w:t>, vol. 75, no. 77, pp. 75–102.</w:t>
      </w:r>
    </w:p>
    <w:p w:rsidR="00252971" w:rsidRDefault="00252971" w:rsidP="00F637E4">
      <w:pPr>
        <w:pStyle w:val="Reference"/>
      </w:pPr>
      <w:proofErr w:type="spellStart"/>
      <w:r>
        <w:t>RCPA</w:t>
      </w:r>
      <w:proofErr w:type="spellEnd"/>
      <w:r>
        <w:t xml:space="preserve"> (Royal College of Pathologists of Australasia) 2008, </w:t>
      </w:r>
      <w:r w:rsidRPr="00993014">
        <w:rPr>
          <w:i/>
        </w:rPr>
        <w:t>Genetic Testing in the 21</w:t>
      </w:r>
      <w:r w:rsidRPr="00993014">
        <w:rPr>
          <w:i/>
          <w:vertAlign w:val="superscript"/>
        </w:rPr>
        <w:t>st</w:t>
      </w:r>
      <w:r>
        <w:rPr>
          <w:i/>
        </w:rPr>
        <w:t> Century: Are we </w:t>
      </w:r>
      <w:r w:rsidRPr="00993014">
        <w:rPr>
          <w:i/>
        </w:rPr>
        <w:t>ready?</w:t>
      </w:r>
      <w:r>
        <w:t xml:space="preserve">, </w:t>
      </w:r>
      <w:r w:rsidR="00DD2A62" w:rsidRPr="00DD2A62">
        <w:rPr>
          <w:bCs/>
        </w:rPr>
        <w:t>http://</w:t>
      </w:r>
      <w:proofErr w:type="spellStart"/>
      <w:r w:rsidR="00DD2A62" w:rsidRPr="00DD2A62">
        <w:rPr>
          <w:bCs/>
        </w:rPr>
        <w:t>www.health.gov.au</w:t>
      </w:r>
      <w:proofErr w:type="spellEnd"/>
      <w:r w:rsidR="00DD2A62" w:rsidRPr="00DD2A62">
        <w:rPr>
          <w:bCs/>
        </w:rPr>
        <w:t>/internet/main/publishing</w:t>
      </w:r>
      <w:r w:rsidR="00DD2A62">
        <w:rPr>
          <w:bCs/>
        </w:rPr>
        <w:t xml:space="preserve"> </w:t>
      </w:r>
      <w:r w:rsidR="00DD2A62" w:rsidRPr="00DD2A62">
        <w:rPr>
          <w:bCs/>
        </w:rPr>
        <w:t>.nsf/Content/htareview-060/$FILE/060_The%20Royal%20College%20of%20</w:t>
      </w:r>
      <w:r w:rsidR="00DD2A62">
        <w:rPr>
          <w:bCs/>
        </w:rPr>
        <w:t xml:space="preserve"> </w:t>
      </w:r>
      <w:proofErr w:type="spellStart"/>
      <w:r w:rsidR="00DD2A62" w:rsidRPr="00DD2A62">
        <w:rPr>
          <w:bCs/>
        </w:rPr>
        <w:t>Pathologists%20Australia%20pt%202.pdf</w:t>
      </w:r>
      <w:proofErr w:type="spellEnd"/>
      <w:r w:rsidR="00DD2A62" w:rsidRPr="00DD2A62">
        <w:t xml:space="preserve"> (accessed 29 November 2012).</w:t>
      </w:r>
    </w:p>
    <w:p w:rsidR="007F6204" w:rsidRPr="007F6204" w:rsidRDefault="007F6204" w:rsidP="00F637E4">
      <w:pPr>
        <w:pStyle w:val="Reference"/>
        <w:rPr>
          <w:i/>
        </w:rPr>
      </w:pPr>
      <w:proofErr w:type="spellStart"/>
      <w:r>
        <w:t>Regibeau</w:t>
      </w:r>
      <w:proofErr w:type="spellEnd"/>
      <w:r>
        <w:t xml:space="preserve">, P. and </w:t>
      </w:r>
      <w:proofErr w:type="spellStart"/>
      <w:r>
        <w:t>Rockett</w:t>
      </w:r>
      <w:proofErr w:type="spellEnd"/>
      <w:r>
        <w:t xml:space="preserve">, K. 2007, </w:t>
      </w:r>
      <w:r>
        <w:rPr>
          <w:i/>
        </w:rPr>
        <w:t>The Relationship Between Intellectual Property Law and Competition Law: an Economic Approach</w:t>
      </w:r>
      <w:r>
        <w:t xml:space="preserve">, in </w:t>
      </w:r>
      <w:proofErr w:type="spellStart"/>
      <w:r>
        <w:t>Anderman</w:t>
      </w:r>
      <w:proofErr w:type="spellEnd"/>
      <w:r>
        <w:t>, S. (</w:t>
      </w:r>
      <w:proofErr w:type="spellStart"/>
      <w:r>
        <w:t>ed</w:t>
      </w:r>
      <w:proofErr w:type="spellEnd"/>
      <w:r>
        <w:t xml:space="preserve">), </w:t>
      </w:r>
      <w:r>
        <w:rPr>
          <w:i/>
        </w:rPr>
        <w:t>The Interface between Intellectual Property Rights and Competition Policy</w:t>
      </w:r>
      <w:r>
        <w:t>, Cambridge University Press, Cambridge.</w:t>
      </w:r>
      <w:r>
        <w:rPr>
          <w:i/>
        </w:rPr>
        <w:t xml:space="preserve"> </w:t>
      </w:r>
    </w:p>
    <w:p w:rsidR="003A728E" w:rsidRDefault="009703D7" w:rsidP="003A728E">
      <w:pPr>
        <w:pStyle w:val="Reference"/>
      </w:pPr>
      <w:proofErr w:type="spellStart"/>
      <w:r>
        <w:t>Reichman</w:t>
      </w:r>
      <w:proofErr w:type="spellEnd"/>
      <w:r>
        <w:t>, J.</w:t>
      </w:r>
      <w:r w:rsidR="003A728E">
        <w:t xml:space="preserve"> </w:t>
      </w:r>
      <w:r w:rsidR="00AD21AD">
        <w:t xml:space="preserve">2006, </w:t>
      </w:r>
      <w:r>
        <w:rPr>
          <w:i/>
        </w:rPr>
        <w:t>Compulsory Licensing of Patented I</w:t>
      </w:r>
      <w:r w:rsidR="00AD21AD" w:rsidRPr="00DC2816">
        <w:rPr>
          <w:i/>
        </w:rPr>
        <w:t xml:space="preserve">nventions: </w:t>
      </w:r>
      <w:r>
        <w:rPr>
          <w:i/>
        </w:rPr>
        <w:t>Comparing United States Law and Practice with Options U</w:t>
      </w:r>
      <w:r w:rsidR="00AD21AD" w:rsidRPr="00DC2816">
        <w:rPr>
          <w:i/>
        </w:rPr>
        <w:t>nder the TRIPS Agreement</w:t>
      </w:r>
      <w:r w:rsidR="00AD21AD">
        <w:t>, the Association of American Law Schools mid</w:t>
      </w:r>
      <w:r w:rsidR="00DB7FAA">
        <w:t>-</w:t>
      </w:r>
      <w:r w:rsidR="00AD21AD">
        <w:t>year workshop on intellectual property, Vancouver, Canada, 14–16 June.</w:t>
      </w:r>
    </w:p>
    <w:p w:rsidR="003A728E" w:rsidRDefault="009703D7" w:rsidP="003A728E">
      <w:pPr>
        <w:pStyle w:val="Reference"/>
      </w:pPr>
      <w:r>
        <w:t>—— 2010, ‘Compulsory licensing of patented pharmaceutical i</w:t>
      </w:r>
      <w:r w:rsidR="003A728E">
        <w:t xml:space="preserve">nventions: </w:t>
      </w:r>
      <w:r>
        <w:t>e</w:t>
      </w:r>
      <w:r w:rsidR="003A728E">
        <w:t xml:space="preserve">valuating the </w:t>
      </w:r>
      <w:r>
        <w:t>o</w:t>
      </w:r>
      <w:r w:rsidR="003A728E">
        <w:t xml:space="preserve">ptions’, in Correa, C. (ed.) </w:t>
      </w:r>
      <w:r w:rsidR="003A728E" w:rsidRPr="00462BA5">
        <w:rPr>
          <w:i/>
        </w:rPr>
        <w:t>Research Handbook on the Protection of Intellectual Property Under WTO Rules</w:t>
      </w:r>
      <w:r w:rsidR="003A728E">
        <w:t>, Edward Elgar Publishing</w:t>
      </w:r>
      <w:r w:rsidR="008F4714">
        <w:t>,</w:t>
      </w:r>
      <w:r w:rsidR="008F4714" w:rsidRPr="008F4714">
        <w:t xml:space="preserve"> </w:t>
      </w:r>
      <w:r w:rsidR="008F4714">
        <w:t>pp. 589–621</w:t>
      </w:r>
      <w:r w:rsidR="003A728E">
        <w:t>.</w:t>
      </w:r>
    </w:p>
    <w:p w:rsidR="00AD21AD" w:rsidRDefault="00AD21AD" w:rsidP="003A728E">
      <w:pPr>
        <w:pStyle w:val="Reference"/>
      </w:pPr>
      <w:r>
        <w:t xml:space="preserve">—— and </w:t>
      </w:r>
      <w:proofErr w:type="spellStart"/>
      <w:r>
        <w:t>Hasenzahl</w:t>
      </w:r>
      <w:proofErr w:type="spellEnd"/>
      <w:r>
        <w:t xml:space="preserve">, </w:t>
      </w:r>
      <w:proofErr w:type="spellStart"/>
      <w:r>
        <w:t>C.H</w:t>
      </w:r>
      <w:proofErr w:type="spellEnd"/>
      <w:r>
        <w:t xml:space="preserve">. 2003, </w:t>
      </w:r>
      <w:r w:rsidRPr="00911967">
        <w:rPr>
          <w:i/>
        </w:rPr>
        <w:t>Non-voluntary Licensing of Patented Inventions: Historical Perspective, Legal Framework under TRIPS, and an Overview of the Practice in Canada and the USA</w:t>
      </w:r>
      <w:r>
        <w:t xml:space="preserve">, Issue Paper no. 5, International Centre for Trade and Sustainable Development and United Nations Conference on Trade and Development, </w:t>
      </w:r>
      <w:proofErr w:type="spellStart"/>
      <w:r>
        <w:t>Cran-Gevrier</w:t>
      </w:r>
      <w:proofErr w:type="spellEnd"/>
      <w:r>
        <w:t>, France.</w:t>
      </w:r>
    </w:p>
    <w:p w:rsidR="00006311" w:rsidRDefault="00006311" w:rsidP="00006311">
      <w:pPr>
        <w:pStyle w:val="Reference"/>
      </w:pPr>
      <w:r w:rsidRPr="00006311">
        <w:t>—</w:t>
      </w:r>
      <w:r w:rsidR="008A3533">
        <w:t>— and </w:t>
      </w:r>
      <w:r w:rsidR="00D8711C">
        <w:t>—— 2010, ‘Compulsory licensing of patented pharmaceutical inventions: evaluating the o</w:t>
      </w:r>
      <w:r>
        <w:t xml:space="preserve">ptions’, in Correa, C. (ed.) </w:t>
      </w:r>
      <w:r w:rsidRPr="00462BA5">
        <w:rPr>
          <w:i/>
        </w:rPr>
        <w:t>Research Handbook on the Protection of Intellectual Property Under WTO Rules</w:t>
      </w:r>
      <w:r>
        <w:t>, pp. 589–621, Edward Elgar Publishing.</w:t>
      </w:r>
    </w:p>
    <w:p w:rsidR="00F57544" w:rsidRDefault="00F57544" w:rsidP="003A728E">
      <w:pPr>
        <w:pStyle w:val="Reference"/>
      </w:pPr>
      <w:proofErr w:type="spellStart"/>
      <w:r>
        <w:t>Resnick</w:t>
      </w:r>
      <w:proofErr w:type="spellEnd"/>
      <w:r>
        <w:t xml:space="preserve">, D. and De Ville, K. 2002, </w:t>
      </w:r>
      <w:r w:rsidR="00D8711C">
        <w:t xml:space="preserve">‘Bioterrorism and patent rights: compulsory licensure and the case of </w:t>
      </w:r>
      <w:proofErr w:type="spellStart"/>
      <w:r w:rsidR="00D8711C">
        <w:t>C</w:t>
      </w:r>
      <w:r w:rsidRPr="00824A55">
        <w:t>ipro</w:t>
      </w:r>
      <w:proofErr w:type="spellEnd"/>
      <w:r w:rsidR="00D8711C">
        <w:t>’</w:t>
      </w:r>
      <w:r>
        <w:t xml:space="preserve">, </w:t>
      </w:r>
      <w:r w:rsidRPr="00824A55">
        <w:rPr>
          <w:i/>
        </w:rPr>
        <w:t>American Journal of Bioethics</w:t>
      </w:r>
      <w:r>
        <w:t>, vol. 2, no. 3, pp. 29-39.</w:t>
      </w:r>
    </w:p>
    <w:p w:rsidR="00C628F7" w:rsidRPr="00C628F7" w:rsidRDefault="00C628F7" w:rsidP="003A728E">
      <w:pPr>
        <w:pStyle w:val="Reference"/>
        <w:rPr>
          <w:szCs w:val="26"/>
        </w:rPr>
      </w:pPr>
      <w:r>
        <w:rPr>
          <w:szCs w:val="26"/>
        </w:rPr>
        <w:t xml:space="preserve">Richards, J. </w:t>
      </w:r>
      <w:proofErr w:type="spellStart"/>
      <w:r>
        <w:rPr>
          <w:szCs w:val="26"/>
        </w:rPr>
        <w:t>nd</w:t>
      </w:r>
      <w:proofErr w:type="spellEnd"/>
      <w:r>
        <w:rPr>
          <w:szCs w:val="26"/>
        </w:rPr>
        <w:t xml:space="preserve">, </w:t>
      </w:r>
      <w:r w:rsidRPr="00562365">
        <w:rPr>
          <w:i/>
          <w:szCs w:val="26"/>
        </w:rPr>
        <w:t>Utility Model Protection Throughout the World</w:t>
      </w:r>
      <w:r>
        <w:rPr>
          <w:szCs w:val="26"/>
        </w:rPr>
        <w:t xml:space="preserve">, </w:t>
      </w:r>
      <w:r w:rsidRPr="00E5053B">
        <w:rPr>
          <w:bCs/>
          <w:szCs w:val="26"/>
        </w:rPr>
        <w:t>http://</w:t>
      </w:r>
      <w:proofErr w:type="spellStart"/>
      <w:r w:rsidRPr="00E5053B">
        <w:rPr>
          <w:bCs/>
          <w:szCs w:val="26"/>
        </w:rPr>
        <w:t>www.ipo</w:t>
      </w:r>
      <w:proofErr w:type="spellEnd"/>
      <w:r w:rsidRPr="00E5053B">
        <w:rPr>
          <w:bCs/>
          <w:szCs w:val="26"/>
        </w:rPr>
        <w:t>.</w:t>
      </w:r>
      <w:r w:rsidRPr="00E5053B">
        <w:rPr>
          <w:bCs/>
          <w:szCs w:val="26"/>
        </w:rPr>
        <w:br/>
        <w:t>org/AM/Template.cfm?Template=/CM/ContentDisplay.cfm&amp;ContentID=25244</w:t>
      </w:r>
      <w:r w:rsidRPr="00604735">
        <w:rPr>
          <w:b/>
          <w:szCs w:val="26"/>
        </w:rPr>
        <w:t xml:space="preserve"> </w:t>
      </w:r>
      <w:r>
        <w:rPr>
          <w:szCs w:val="26"/>
        </w:rPr>
        <w:t>(accessed 25 September 2012).</w:t>
      </w:r>
    </w:p>
    <w:p w:rsidR="005B56C1" w:rsidRDefault="005B56C1" w:rsidP="003A728E">
      <w:pPr>
        <w:pStyle w:val="Reference"/>
      </w:pPr>
      <w:proofErr w:type="spellStart"/>
      <w:r>
        <w:t>Rockett</w:t>
      </w:r>
      <w:proofErr w:type="spellEnd"/>
      <w:r>
        <w:t xml:space="preserve">, </w:t>
      </w:r>
      <w:proofErr w:type="spellStart"/>
      <w:r>
        <w:t>K.E</w:t>
      </w:r>
      <w:proofErr w:type="spellEnd"/>
      <w:r>
        <w:t xml:space="preserve">. 1990, ‘Choosing the Competition and Patent Licensing’, </w:t>
      </w:r>
      <w:r w:rsidRPr="001F74C4">
        <w:rPr>
          <w:i/>
        </w:rPr>
        <w:t>The RAND Journal of Economics,</w:t>
      </w:r>
      <w:r>
        <w:t xml:space="preserve"> vol. 21, no. 1, pp. 161–171.</w:t>
      </w:r>
    </w:p>
    <w:p w:rsidR="003A728E" w:rsidRDefault="003A728E" w:rsidP="003A728E">
      <w:pPr>
        <w:pStyle w:val="Reference"/>
      </w:pPr>
      <w:proofErr w:type="spellStart"/>
      <w:r>
        <w:lastRenderedPageBreak/>
        <w:t>Romer</w:t>
      </w:r>
      <w:proofErr w:type="spellEnd"/>
      <w:r>
        <w:t xml:space="preserve">, P. 2002, ‘When Should We Use Intellectual Property Rights?’, </w:t>
      </w:r>
      <w:r w:rsidRPr="00C276C3">
        <w:rPr>
          <w:i/>
        </w:rPr>
        <w:t>The</w:t>
      </w:r>
      <w:r>
        <w:rPr>
          <w:i/>
        </w:rPr>
        <w:t xml:space="preserve"> American Economic Review:</w:t>
      </w:r>
      <w:r w:rsidRPr="00C276C3">
        <w:rPr>
          <w:i/>
        </w:rPr>
        <w:t xml:space="preserve"> Papers and Proceedings</w:t>
      </w:r>
      <w:r>
        <w:t>, vol. 92, no. 2, pp. 213–216.</w:t>
      </w:r>
    </w:p>
    <w:p w:rsidR="003239BB" w:rsidRDefault="003239BB" w:rsidP="003A728E">
      <w:pPr>
        <w:pStyle w:val="Reference"/>
      </w:pPr>
      <w:proofErr w:type="spellStart"/>
      <w:r>
        <w:t>SACGHS</w:t>
      </w:r>
      <w:proofErr w:type="spellEnd"/>
      <w:r>
        <w:t xml:space="preserve"> (</w:t>
      </w:r>
      <w:r w:rsidRPr="008069DE">
        <w:t>Secretary’s Advisory Committee on Genetics, Health, and Society</w:t>
      </w:r>
      <w:r>
        <w:t xml:space="preserve">), 2010, </w:t>
      </w:r>
      <w:r w:rsidRPr="008069DE">
        <w:rPr>
          <w:i/>
        </w:rPr>
        <w:t>Gene Patents and Licensing Practices and Their Impact on Patient Access to Genetic Tests</w:t>
      </w:r>
      <w:r>
        <w:t>, US Department of Health and Human Services, Bethesda.</w:t>
      </w:r>
    </w:p>
    <w:p w:rsidR="0006612F" w:rsidRDefault="0006612F" w:rsidP="003A728E">
      <w:pPr>
        <w:pStyle w:val="Reference"/>
      </w:pPr>
      <w:proofErr w:type="spellStart"/>
      <w:r>
        <w:t>Sadao</w:t>
      </w:r>
      <w:proofErr w:type="spellEnd"/>
      <w:r>
        <w:t xml:space="preserve">, N. and Walsh, J.P. 2009, </w:t>
      </w:r>
      <w:r w:rsidRPr="008D6AA4">
        <w:rPr>
          <w:i/>
        </w:rPr>
        <w:t xml:space="preserve">Commercialisation and Other Uses of Patents in Japan and the U.S.: Major findings from the </w:t>
      </w:r>
      <w:proofErr w:type="spellStart"/>
      <w:r w:rsidRPr="008D6AA4">
        <w:rPr>
          <w:i/>
        </w:rPr>
        <w:t>RIETI</w:t>
      </w:r>
      <w:proofErr w:type="spellEnd"/>
      <w:r w:rsidRPr="008D6AA4">
        <w:rPr>
          <w:i/>
        </w:rPr>
        <w:t>-Georgia Tech inventor survey</w:t>
      </w:r>
      <w:r>
        <w:t xml:space="preserve">, </w:t>
      </w:r>
      <w:proofErr w:type="spellStart"/>
      <w:r>
        <w:t>RIETI</w:t>
      </w:r>
      <w:proofErr w:type="spellEnd"/>
      <w:r>
        <w:t xml:space="preserve"> Discussion Paper Series, 09-E-011.</w:t>
      </w:r>
    </w:p>
    <w:p w:rsidR="00CD60CA" w:rsidRDefault="00CD60CA" w:rsidP="00CD60CA">
      <w:pPr>
        <w:pStyle w:val="Reference"/>
      </w:pPr>
      <w:proofErr w:type="spellStart"/>
      <w:r>
        <w:t>SCARC</w:t>
      </w:r>
      <w:proofErr w:type="spellEnd"/>
      <w:r>
        <w:t xml:space="preserve"> (Senate Community</w:t>
      </w:r>
      <w:r w:rsidR="00C47345">
        <w:t xml:space="preserve"> Affairs References Committee) 2010</w:t>
      </w:r>
      <w:r>
        <w:t xml:space="preserve">, </w:t>
      </w:r>
      <w:r>
        <w:rPr>
          <w:i/>
        </w:rPr>
        <w:t>Gene Patents</w:t>
      </w:r>
      <w:r>
        <w:t>, Canberra.</w:t>
      </w:r>
    </w:p>
    <w:p w:rsidR="0006612F" w:rsidRDefault="0006612F" w:rsidP="0006612F">
      <w:pPr>
        <w:pStyle w:val="Reference"/>
      </w:pPr>
      <w:r>
        <w:t xml:space="preserve">Scherer, </w:t>
      </w:r>
      <w:proofErr w:type="spellStart"/>
      <w:r>
        <w:t>F.M</w:t>
      </w:r>
      <w:proofErr w:type="spellEnd"/>
      <w:r>
        <w:t xml:space="preserve">. 1972, ‘Theory of Optimal Patent Life: A Geometric Reinterpretation’, </w:t>
      </w:r>
      <w:r w:rsidRPr="003A496A">
        <w:rPr>
          <w:i/>
        </w:rPr>
        <w:t>The American Economic Review</w:t>
      </w:r>
      <w:r w:rsidR="00C47345">
        <w:t>, vol. 62, no. 3, pp. 422–427.</w:t>
      </w:r>
    </w:p>
    <w:p w:rsidR="0006612F" w:rsidRDefault="0006612F" w:rsidP="0006612F">
      <w:pPr>
        <w:pStyle w:val="Reference"/>
      </w:pPr>
      <w:r>
        <w:t xml:space="preserve">—— 2000, </w:t>
      </w:r>
      <w:r w:rsidRPr="00462BA5">
        <w:rPr>
          <w:i/>
        </w:rPr>
        <w:t>Competition Policy, Domestic and International</w:t>
      </w:r>
      <w:r>
        <w:t xml:space="preserve">, Edward Elgar Publishing, </w:t>
      </w:r>
      <w:proofErr w:type="spellStart"/>
      <w:r>
        <w:t>Northhampton</w:t>
      </w:r>
      <w:proofErr w:type="spellEnd"/>
      <w:r>
        <w:t>, Massachusetts.</w:t>
      </w:r>
    </w:p>
    <w:p w:rsidR="00AD29C6" w:rsidRPr="00AD29C6" w:rsidRDefault="00AD29C6" w:rsidP="0006612F">
      <w:pPr>
        <w:pStyle w:val="Reference"/>
        <w:rPr>
          <w:szCs w:val="26"/>
        </w:rPr>
      </w:pPr>
      <w:r>
        <w:t>—— </w:t>
      </w:r>
      <w:r>
        <w:rPr>
          <w:szCs w:val="26"/>
        </w:rPr>
        <w:t xml:space="preserve">Scherer, F. 2010, ‘A half century of research on patent economics’, </w:t>
      </w:r>
      <w:r w:rsidRPr="00295D1C">
        <w:rPr>
          <w:i/>
          <w:szCs w:val="26"/>
        </w:rPr>
        <w:t xml:space="preserve">The </w:t>
      </w:r>
      <w:proofErr w:type="spellStart"/>
      <w:r w:rsidRPr="00295D1C">
        <w:rPr>
          <w:i/>
          <w:szCs w:val="26"/>
        </w:rPr>
        <w:t>WIPO</w:t>
      </w:r>
      <w:proofErr w:type="spellEnd"/>
      <w:r w:rsidRPr="00295D1C">
        <w:rPr>
          <w:i/>
          <w:szCs w:val="26"/>
        </w:rPr>
        <w:t xml:space="preserve"> Journal</w:t>
      </w:r>
      <w:r>
        <w:rPr>
          <w:szCs w:val="26"/>
        </w:rPr>
        <w:t xml:space="preserve">, vol. 2, no. 1, pp. 20–7. </w:t>
      </w:r>
    </w:p>
    <w:p w:rsidR="00274166" w:rsidRDefault="00274166" w:rsidP="0006612F">
      <w:pPr>
        <w:pStyle w:val="Reference"/>
      </w:pPr>
      <w:r w:rsidRPr="0052311A">
        <w:t xml:space="preserve">Schilling, S. 2011, </w:t>
      </w:r>
      <w:r w:rsidR="009B131E">
        <w:t>‘</w:t>
      </w:r>
      <w:r w:rsidRPr="0052311A">
        <w:t>DNA as patentable subject matter and a narrow framework for addressing the perceived problems caused by gene patents</w:t>
      </w:r>
      <w:r w:rsidR="009B131E">
        <w:t>’</w:t>
      </w:r>
      <w:r w:rsidRPr="0052311A">
        <w:t xml:space="preserve">, </w:t>
      </w:r>
      <w:r w:rsidRPr="0052311A">
        <w:rPr>
          <w:i/>
        </w:rPr>
        <w:t>Duke Law Journal</w:t>
      </w:r>
      <w:r w:rsidRPr="0052311A">
        <w:t>, vol. 61, no. 731, pp. 731</w:t>
      </w:r>
      <w:r w:rsidRPr="0052311A">
        <w:softHyphen/>
        <w:t>773.</w:t>
      </w:r>
    </w:p>
    <w:p w:rsidR="00427CB9" w:rsidRDefault="00427CB9" w:rsidP="0006612F">
      <w:pPr>
        <w:pStyle w:val="Reference"/>
      </w:pPr>
      <w:proofErr w:type="spellStart"/>
      <w:r>
        <w:t>Schoofs</w:t>
      </w:r>
      <w:proofErr w:type="spellEnd"/>
      <w:r>
        <w:t xml:space="preserve">, M. and </w:t>
      </w:r>
      <w:proofErr w:type="spellStart"/>
      <w:r>
        <w:t>Waldholz</w:t>
      </w:r>
      <w:proofErr w:type="spellEnd"/>
      <w:r>
        <w:t xml:space="preserve"> M. 2001, </w:t>
      </w:r>
      <w:r>
        <w:rPr>
          <w:i/>
        </w:rPr>
        <w:t>Price War Breaks Out Over AIDS Drugs In Africa as Generics Present Challenge</w:t>
      </w:r>
      <w:r>
        <w:t>, Wall Street Journal, 7</w:t>
      </w:r>
      <w:r>
        <w:rPr>
          <w:vertAlign w:val="superscript"/>
        </w:rPr>
        <w:t xml:space="preserve"> </w:t>
      </w:r>
      <w:r>
        <w:t xml:space="preserve">March, </w:t>
      </w:r>
      <w:r w:rsidRPr="00363440">
        <w:rPr>
          <w:bCs/>
        </w:rPr>
        <w:t>http://</w:t>
      </w:r>
      <w:proofErr w:type="spellStart"/>
      <w:r w:rsidRPr="00363440">
        <w:rPr>
          <w:bCs/>
        </w:rPr>
        <w:t>online.wsj.com</w:t>
      </w:r>
      <w:proofErr w:type="spellEnd"/>
      <w:r w:rsidRPr="00363440">
        <w:rPr>
          <w:bCs/>
        </w:rPr>
        <w:t>/article/</w:t>
      </w:r>
      <w:proofErr w:type="spellStart"/>
      <w:r w:rsidRPr="00363440">
        <w:rPr>
          <w:bCs/>
        </w:rPr>
        <w:t>SB983915787153550680.html</w:t>
      </w:r>
      <w:proofErr w:type="spellEnd"/>
      <w:r>
        <w:t xml:space="preserve"> (accessed 27 August 2012).</w:t>
      </w:r>
    </w:p>
    <w:p w:rsidR="00591D22" w:rsidRDefault="00591D22" w:rsidP="00591D22">
      <w:pPr>
        <w:pStyle w:val="Reference"/>
        <w:rPr>
          <w:szCs w:val="26"/>
        </w:rPr>
      </w:pPr>
      <w:proofErr w:type="spellStart"/>
      <w:r>
        <w:rPr>
          <w:szCs w:val="26"/>
        </w:rPr>
        <w:t>Schovsbo</w:t>
      </w:r>
      <w:proofErr w:type="spellEnd"/>
      <w:r>
        <w:rPr>
          <w:szCs w:val="26"/>
        </w:rPr>
        <w:t xml:space="preserve">, J. 2009, ‘Increasing access to patented inventions’, </w:t>
      </w:r>
      <w:r w:rsidRPr="00490ADA">
        <w:rPr>
          <w:i/>
          <w:szCs w:val="26"/>
        </w:rPr>
        <w:t>Science and Public Policy</w:t>
      </w:r>
      <w:r>
        <w:rPr>
          <w:szCs w:val="26"/>
        </w:rPr>
        <w:t xml:space="preserve">, vol. 36, no. 8, pp. 609–618. </w:t>
      </w:r>
    </w:p>
    <w:p w:rsidR="005D469C" w:rsidRDefault="0006612F" w:rsidP="0006612F">
      <w:pPr>
        <w:pStyle w:val="Reference"/>
      </w:pPr>
      <w:proofErr w:type="spellStart"/>
      <w:r>
        <w:t>Scotchmer</w:t>
      </w:r>
      <w:proofErr w:type="spellEnd"/>
      <w:r>
        <w:t xml:space="preserve">, S. </w:t>
      </w:r>
      <w:r w:rsidR="005D469C">
        <w:t xml:space="preserve">1991, ‘Standing on the Shoulders of Giants: Cumulative Research and the Patent Law’, </w:t>
      </w:r>
      <w:r w:rsidR="005D469C" w:rsidRPr="00127268">
        <w:rPr>
          <w:i/>
        </w:rPr>
        <w:t>The Journal of Economic Perspectives</w:t>
      </w:r>
      <w:r w:rsidR="005D469C">
        <w:t>, vol. 5, no. 1, pp. 29–41.</w:t>
      </w:r>
    </w:p>
    <w:p w:rsidR="0006612F" w:rsidRDefault="005D469C" w:rsidP="0006612F">
      <w:pPr>
        <w:pStyle w:val="Reference"/>
      </w:pPr>
      <w:r>
        <w:t>—— </w:t>
      </w:r>
      <w:r w:rsidR="0006612F">
        <w:t>and Green, J. 1</w:t>
      </w:r>
      <w:r w:rsidR="00D8711C">
        <w:t>990, ‘Novelty and disclosure in patent l</w:t>
      </w:r>
      <w:r w:rsidR="0006612F">
        <w:t xml:space="preserve">aw’, </w:t>
      </w:r>
      <w:r w:rsidR="0006612F" w:rsidRPr="0067649C">
        <w:rPr>
          <w:i/>
        </w:rPr>
        <w:t>The RAND Journal of Economics</w:t>
      </w:r>
      <w:r w:rsidR="0006612F">
        <w:t>, vol. 21, no. 1, pp. 131–146.</w:t>
      </w:r>
    </w:p>
    <w:p w:rsidR="006047A6" w:rsidRDefault="006047A6" w:rsidP="0006612F">
      <w:pPr>
        <w:pStyle w:val="Reference"/>
      </w:pPr>
      <w:proofErr w:type="spellStart"/>
      <w:r>
        <w:t>SCRGSP</w:t>
      </w:r>
      <w:proofErr w:type="spellEnd"/>
      <w:r>
        <w:t xml:space="preserve"> (Steering Committee for the Review of Government Service Provision) 2012, </w:t>
      </w:r>
      <w:r>
        <w:rPr>
          <w:rFonts w:ascii="TimesNewRomanPS-ItalicMT" w:hAnsi="TimesNewRomanPS-ItalicMT" w:cs="TimesNewRomanPS-ItalicMT"/>
          <w:i/>
          <w:iCs/>
        </w:rPr>
        <w:t>Report on Government Services 2012</w:t>
      </w:r>
      <w:r>
        <w:t>, Productivity Commission, Canberra.</w:t>
      </w:r>
    </w:p>
    <w:p w:rsidR="00D00F10" w:rsidRDefault="00D00F10" w:rsidP="0006612F">
      <w:pPr>
        <w:pStyle w:val="Reference"/>
        <w:rPr>
          <w:bCs/>
          <w:lang w:val="en"/>
        </w:rPr>
      </w:pPr>
      <w:proofErr w:type="spellStart"/>
      <w:r w:rsidRPr="0052311A">
        <w:lastRenderedPageBreak/>
        <w:t>Seidman</w:t>
      </w:r>
      <w:proofErr w:type="spellEnd"/>
      <w:r w:rsidRPr="0052311A">
        <w:t xml:space="preserve">, A. 2012 </w:t>
      </w:r>
      <w:r w:rsidRPr="0052311A">
        <w:rPr>
          <w:bCs/>
          <w:i/>
          <w:lang w:val="en"/>
        </w:rPr>
        <w:t>Lawmakers Concerned That Some Patent Holders Stifle Competition</w:t>
      </w:r>
      <w:r w:rsidRPr="0052311A">
        <w:rPr>
          <w:bCs/>
          <w:lang w:val="en"/>
        </w:rPr>
        <w:t>, Wall Street Journal, http://</w:t>
      </w:r>
      <w:proofErr w:type="spellStart"/>
      <w:r w:rsidRPr="0052311A">
        <w:rPr>
          <w:bCs/>
          <w:lang w:val="en"/>
        </w:rPr>
        <w:t>online.wsj.com</w:t>
      </w:r>
      <w:proofErr w:type="spellEnd"/>
      <w:r w:rsidRPr="0052311A">
        <w:rPr>
          <w:bCs/>
          <w:lang w:val="en"/>
        </w:rPr>
        <w:t>/article/BT-CO-20120711-</w:t>
      </w:r>
      <w:proofErr w:type="spellStart"/>
      <w:r w:rsidRPr="0052311A">
        <w:rPr>
          <w:bCs/>
          <w:lang w:val="en"/>
        </w:rPr>
        <w:t>71134</w:t>
      </w:r>
      <w:r>
        <w:rPr>
          <w:bCs/>
          <w:lang w:val="en"/>
        </w:rPr>
        <w:t>1.html</w:t>
      </w:r>
      <w:proofErr w:type="spellEnd"/>
      <w:r>
        <w:rPr>
          <w:bCs/>
          <w:lang w:val="en"/>
        </w:rPr>
        <w:t xml:space="preserve"> (accessed 30 July 2012).</w:t>
      </w:r>
    </w:p>
    <w:p w:rsidR="00963007" w:rsidRPr="00963007" w:rsidRDefault="00963007" w:rsidP="0006612F">
      <w:pPr>
        <w:pStyle w:val="Reference"/>
      </w:pPr>
      <w:proofErr w:type="spellStart"/>
      <w:r>
        <w:t>SELC</w:t>
      </w:r>
      <w:proofErr w:type="spellEnd"/>
      <w:r>
        <w:t xml:space="preserve"> (Senate Economics Legislation Committee) 2006, </w:t>
      </w:r>
      <w:r w:rsidRPr="00DE157D">
        <w:rPr>
          <w:i/>
        </w:rPr>
        <w:t>Provisions of the Intellectual Property Laws Amendment Bill 2006</w:t>
      </w:r>
      <w:r>
        <w:t>, Canberra.</w:t>
      </w:r>
    </w:p>
    <w:p w:rsidR="00E143B0" w:rsidRDefault="00E143B0" w:rsidP="0006612F">
      <w:pPr>
        <w:pStyle w:val="Reference"/>
      </w:pPr>
      <w:r>
        <w:t xml:space="preserve">Serrano, </w:t>
      </w:r>
      <w:proofErr w:type="spellStart"/>
      <w:r>
        <w:t>C.J</w:t>
      </w:r>
      <w:proofErr w:type="spellEnd"/>
      <w:r>
        <w:t xml:space="preserve">. 2010, ‘The dynamics of the transfer and renewal of patents’, </w:t>
      </w:r>
      <w:r w:rsidRPr="00010123">
        <w:rPr>
          <w:i/>
        </w:rPr>
        <w:t>The RAND Journal of Economics</w:t>
      </w:r>
      <w:r>
        <w:t>, vol. 41, no. 4, pp. 686–708.</w:t>
      </w:r>
    </w:p>
    <w:p w:rsidR="003C0A4C" w:rsidRDefault="003C0A4C" w:rsidP="0006612F">
      <w:pPr>
        <w:pStyle w:val="Reference"/>
      </w:pPr>
      <w:r>
        <w:t>Shapiro, C. 2001, ‘</w:t>
      </w:r>
      <w:r w:rsidR="00D8711C">
        <w:t>Navigating the patent thicket: c</w:t>
      </w:r>
      <w:r>
        <w:t xml:space="preserve">ross licenses, patent pools and standard-setting’, in Jaffe, A., Lerner, J., and Stern, S., </w:t>
      </w:r>
      <w:r w:rsidRPr="0072649A">
        <w:rPr>
          <w:i/>
        </w:rPr>
        <w:t xml:space="preserve">Innovation Policy and the Economy, </w:t>
      </w:r>
      <w:r>
        <w:t>MIT Press, Cambridge, Massachusetts.</w:t>
      </w:r>
    </w:p>
    <w:p w:rsidR="0006612F" w:rsidRDefault="0006612F" w:rsidP="0006612F">
      <w:pPr>
        <w:pStyle w:val="Reference"/>
      </w:pPr>
      <w:proofErr w:type="spellStart"/>
      <w:r>
        <w:t>Shavell</w:t>
      </w:r>
      <w:proofErr w:type="spellEnd"/>
      <w:r>
        <w:t>, S., and v</w:t>
      </w:r>
      <w:r w:rsidR="00D8711C">
        <w:t xml:space="preserve">an </w:t>
      </w:r>
      <w:proofErr w:type="spellStart"/>
      <w:r w:rsidR="00D8711C">
        <w:t>Ypersele</w:t>
      </w:r>
      <w:proofErr w:type="spellEnd"/>
      <w:r w:rsidR="00D8711C">
        <w:t>, T. 2001, ‘Rewards versus intellectual p</w:t>
      </w:r>
      <w:r>
        <w:t xml:space="preserve">roperty </w:t>
      </w:r>
      <w:r w:rsidR="00D8711C">
        <w:t>r</w:t>
      </w:r>
      <w:r>
        <w:t xml:space="preserve">ights’, </w:t>
      </w:r>
      <w:r w:rsidRPr="009D6C7B">
        <w:rPr>
          <w:i/>
        </w:rPr>
        <w:t>Journal of Law and Economics</w:t>
      </w:r>
      <w:r>
        <w:t>, vol. 44, pp. 525–547.</w:t>
      </w:r>
    </w:p>
    <w:p w:rsidR="00087495" w:rsidRDefault="00087495" w:rsidP="0006612F">
      <w:pPr>
        <w:pStyle w:val="Reference"/>
      </w:pPr>
      <w:r>
        <w:t>S</w:t>
      </w:r>
      <w:r w:rsidR="00D8711C">
        <w:t>hepard, A. 1987, ‘Licensing to enhance demand for new t</w:t>
      </w:r>
      <w:r>
        <w:t xml:space="preserve">echnologies’, </w:t>
      </w:r>
      <w:r w:rsidRPr="00850683">
        <w:rPr>
          <w:i/>
        </w:rPr>
        <w:t>The RAND Journal of Economics</w:t>
      </w:r>
      <w:r>
        <w:t>, vol. 18, no. 3, pp. 360–368.</w:t>
      </w:r>
    </w:p>
    <w:p w:rsidR="0064143F" w:rsidRDefault="0064143F" w:rsidP="0006612F">
      <w:pPr>
        <w:pStyle w:val="Reference"/>
      </w:pPr>
      <w:proofErr w:type="spellStart"/>
      <w:r>
        <w:t>SIPO</w:t>
      </w:r>
      <w:proofErr w:type="spellEnd"/>
      <w:r>
        <w:t xml:space="preserve"> (State Intellectual Property Office of the People’s Republic of China) 2012, </w:t>
      </w:r>
      <w:r w:rsidRPr="004A556F">
        <w:rPr>
          <w:i/>
        </w:rPr>
        <w:t xml:space="preserve">Examination </w:t>
      </w:r>
      <w:r>
        <w:rPr>
          <w:i/>
        </w:rPr>
        <w:t>P</w:t>
      </w:r>
      <w:r w:rsidRPr="004A556F">
        <w:rPr>
          <w:i/>
        </w:rPr>
        <w:t xml:space="preserve">ractices on the </w:t>
      </w:r>
      <w:r>
        <w:rPr>
          <w:i/>
        </w:rPr>
        <w:t>I</w:t>
      </w:r>
      <w:r w:rsidRPr="004A556F">
        <w:rPr>
          <w:i/>
        </w:rPr>
        <w:t xml:space="preserve">nvention </w:t>
      </w:r>
      <w:r>
        <w:rPr>
          <w:i/>
        </w:rPr>
        <w:t>A</w:t>
      </w:r>
      <w:r w:rsidRPr="004A556F">
        <w:rPr>
          <w:i/>
        </w:rPr>
        <w:t xml:space="preserve">pplications </w:t>
      </w:r>
      <w:r>
        <w:rPr>
          <w:i/>
        </w:rPr>
        <w:t>R</w:t>
      </w:r>
      <w:r w:rsidRPr="004A556F">
        <w:rPr>
          <w:i/>
        </w:rPr>
        <w:t xml:space="preserve">elating to </w:t>
      </w:r>
      <w:r>
        <w:rPr>
          <w:i/>
        </w:rPr>
        <w:t>C</w:t>
      </w:r>
      <w:r w:rsidRPr="004A556F">
        <w:rPr>
          <w:i/>
        </w:rPr>
        <w:t>omputer programs</w:t>
      </w:r>
      <w:r>
        <w:t xml:space="preserve">, </w:t>
      </w:r>
      <w:r w:rsidRPr="00E5053B">
        <w:rPr>
          <w:bCs/>
        </w:rPr>
        <w:t>http://english.sipo.gov.cn/examination/referencematerialssy/201108/</w:t>
      </w:r>
      <w:r w:rsidRPr="00E5053B">
        <w:rPr>
          <w:bCs/>
        </w:rPr>
        <w:br/>
      </w:r>
      <w:proofErr w:type="spellStart"/>
      <w:r w:rsidRPr="00E5053B">
        <w:rPr>
          <w:bCs/>
        </w:rPr>
        <w:t>t20110830_618157.html</w:t>
      </w:r>
      <w:proofErr w:type="spellEnd"/>
      <w:r>
        <w:t xml:space="preserve"> (accessed 5 October 2012). </w:t>
      </w:r>
    </w:p>
    <w:p w:rsidR="00427CB9" w:rsidRDefault="00060532" w:rsidP="0006612F">
      <w:pPr>
        <w:pStyle w:val="Reference"/>
      </w:pPr>
      <w:proofErr w:type="spellStart"/>
      <w:r w:rsidRPr="0052311A">
        <w:t>SLCALC</w:t>
      </w:r>
      <w:proofErr w:type="spellEnd"/>
      <w:r w:rsidRPr="0052311A">
        <w:t xml:space="preserve"> (Senate Legal and Constitutional Affairs Legislation Committee) 2011, </w:t>
      </w:r>
      <w:r w:rsidRPr="0052311A">
        <w:rPr>
          <w:i/>
        </w:rPr>
        <w:t>Patent Amendment (Human Genes and Biological Materials) Bill 2010</w:t>
      </w:r>
      <w:r w:rsidRPr="0052311A">
        <w:t>, Canberra.</w:t>
      </w:r>
    </w:p>
    <w:p w:rsidR="00CA6408" w:rsidRDefault="00CA6408" w:rsidP="0006612F">
      <w:pPr>
        <w:pStyle w:val="Reference"/>
      </w:pPr>
      <w:r>
        <w:t xml:space="preserve">Spence, M. 2009, </w:t>
      </w:r>
      <w:r w:rsidR="00FD125F">
        <w:t>‘</w:t>
      </w:r>
      <w:r>
        <w:t>Comment on the conceptual framework for a clearing house mechanism</w:t>
      </w:r>
      <w:r w:rsidR="00FD125F">
        <w:t>’</w:t>
      </w:r>
      <w:r>
        <w:t xml:space="preserve"> in </w:t>
      </w:r>
      <w:r w:rsidR="00FD125F">
        <w:t xml:space="preserve">Van </w:t>
      </w:r>
      <w:proofErr w:type="spellStart"/>
      <w:r w:rsidR="00FD125F">
        <w:t>Overwalle</w:t>
      </w:r>
      <w:proofErr w:type="spellEnd"/>
      <w:r w:rsidR="00FD125F">
        <w:t>, G. (ed.),</w:t>
      </w:r>
      <w:r w:rsidR="00FD125F" w:rsidRPr="00882E9E">
        <w:rPr>
          <w:i/>
        </w:rPr>
        <w:t xml:space="preserve"> </w:t>
      </w:r>
      <w:r w:rsidRPr="00882E9E">
        <w:rPr>
          <w:i/>
        </w:rPr>
        <w:t>Gene Patents and Collaborative Licensing Models</w:t>
      </w:r>
      <w:r>
        <w:t xml:space="preserve">, </w:t>
      </w:r>
      <w:r w:rsidR="00FD125F">
        <w:t xml:space="preserve">Cambridge </w:t>
      </w:r>
      <w:r>
        <w:t>University Press,</w:t>
      </w:r>
      <w:r w:rsidR="00FD125F">
        <w:t xml:space="preserve"> New York</w:t>
      </w:r>
      <w:r>
        <w:t>.</w:t>
      </w:r>
    </w:p>
    <w:p w:rsidR="006E6375" w:rsidRDefault="006E6375" w:rsidP="0006612F">
      <w:pPr>
        <w:pStyle w:val="Reference"/>
      </w:pPr>
      <w:r>
        <w:t xml:space="preserve">Standards Australia 2011, </w:t>
      </w:r>
      <w:r w:rsidRPr="00097829">
        <w:rPr>
          <w:i/>
        </w:rPr>
        <w:t>Guide to International Standardisation</w:t>
      </w:r>
      <w:r>
        <w:t xml:space="preserve">, Guide Number 1, </w:t>
      </w:r>
      <w:r w:rsidRPr="004738B3">
        <w:rPr>
          <w:bCs/>
        </w:rPr>
        <w:t>http://www.standards.org.au/InternationalEngagement/Coordination_and_Information/Documents/SDO%20Guide%20No%201%20-%20International%20</w:t>
      </w:r>
      <w:r>
        <w:rPr>
          <w:bCs/>
        </w:rPr>
        <w:t xml:space="preserve"> </w:t>
      </w:r>
      <w:proofErr w:type="spellStart"/>
      <w:r w:rsidRPr="004738B3">
        <w:rPr>
          <w:bCs/>
        </w:rPr>
        <w:t>Standardisation.pdf</w:t>
      </w:r>
      <w:proofErr w:type="spellEnd"/>
      <w:r>
        <w:t xml:space="preserve"> (</w:t>
      </w:r>
      <w:r>
        <w:rPr>
          <w:bCs/>
          <w:lang w:val="en"/>
        </w:rPr>
        <w:t>accessed 15 November</w:t>
      </w:r>
      <w:r w:rsidRPr="0052311A">
        <w:rPr>
          <w:bCs/>
          <w:lang w:val="en"/>
        </w:rPr>
        <w:t xml:space="preserve"> 2012).</w:t>
      </w:r>
    </w:p>
    <w:p w:rsidR="0006612F" w:rsidRDefault="0006612F" w:rsidP="0006612F">
      <w:pPr>
        <w:pStyle w:val="Reference"/>
      </w:pPr>
      <w:r>
        <w:t xml:space="preserve">State Library of Victoria 2012, </w:t>
      </w:r>
      <w:r w:rsidRPr="000D6DB7">
        <w:rPr>
          <w:i/>
        </w:rPr>
        <w:t>Patents</w:t>
      </w:r>
      <w:r>
        <w:t xml:space="preserve">, </w:t>
      </w:r>
      <w:r w:rsidRPr="008C7C80">
        <w:t>http://</w:t>
      </w:r>
      <w:proofErr w:type="spellStart"/>
      <w:r w:rsidRPr="008C7C80">
        <w:t>guides.slv.vic.gov.au</w:t>
      </w:r>
      <w:proofErr w:type="spellEnd"/>
      <w:r w:rsidRPr="008C7C80">
        <w:t>/</w:t>
      </w:r>
      <w:r>
        <w:t xml:space="preserve"> </w:t>
      </w:r>
      <w:proofErr w:type="spellStart"/>
      <w:r w:rsidRPr="008C7C80">
        <w:t>content.php?pid</w:t>
      </w:r>
      <w:proofErr w:type="spellEnd"/>
      <w:r w:rsidRPr="008C7C80">
        <w:t>=</w:t>
      </w:r>
      <w:proofErr w:type="spellStart"/>
      <w:r w:rsidRPr="008C7C80">
        <w:t>87344&amp;sid</w:t>
      </w:r>
      <w:proofErr w:type="spellEnd"/>
      <w:r w:rsidRPr="008C7C80">
        <w:t>=649913</w:t>
      </w:r>
      <w:r>
        <w:t xml:space="preserve"> (accessed 31 October 2012).</w:t>
      </w:r>
    </w:p>
    <w:p w:rsidR="009869E2" w:rsidRPr="0052311A" w:rsidRDefault="009869E2" w:rsidP="009869E2">
      <w:pPr>
        <w:pStyle w:val="Reference"/>
      </w:pPr>
      <w:proofErr w:type="spellStart"/>
      <w:r w:rsidRPr="0052311A">
        <w:t>Stix</w:t>
      </w:r>
      <w:proofErr w:type="spellEnd"/>
      <w:r w:rsidRPr="0052311A">
        <w:t xml:space="preserve">, G. 2006 ‘Owning the stuff of life’ , </w:t>
      </w:r>
      <w:r w:rsidRPr="0052311A">
        <w:rPr>
          <w:i/>
        </w:rPr>
        <w:t>Scientific American</w:t>
      </w:r>
      <w:r w:rsidRPr="0052311A">
        <w:t>, vol. 294, no. 2, pp. 76–83.</w:t>
      </w:r>
    </w:p>
    <w:p w:rsidR="00DE1A08" w:rsidRDefault="00DE1A08" w:rsidP="00DE1A08">
      <w:pPr>
        <w:pStyle w:val="Reference"/>
      </w:pPr>
      <w:r w:rsidRPr="00491809">
        <w:t>STOA</w:t>
      </w:r>
      <w:r>
        <w:t xml:space="preserve"> (</w:t>
      </w:r>
      <w:r w:rsidRPr="00491809">
        <w:t>Scientific Technology Options Assessment</w:t>
      </w:r>
      <w:r>
        <w:t>) Report 2007,</w:t>
      </w:r>
      <w:r w:rsidRPr="00491809">
        <w:t xml:space="preserve"> </w:t>
      </w:r>
      <w:r w:rsidRPr="00491809">
        <w:rPr>
          <w:i/>
        </w:rPr>
        <w:t>Policy Options for the Improvement of the European Patent System</w:t>
      </w:r>
      <w:r>
        <w:t>,</w:t>
      </w:r>
      <w:r w:rsidRPr="00491809">
        <w:t xml:space="preserve"> commissioned by The European</w:t>
      </w:r>
      <w:r>
        <w:t xml:space="preserve"> </w:t>
      </w:r>
      <w:r w:rsidRPr="00491809">
        <w:t>Parliament's Scientific Technology Options Assessment</w:t>
      </w:r>
      <w:r>
        <w:t>.</w:t>
      </w:r>
    </w:p>
    <w:p w:rsidR="00975779" w:rsidRDefault="00975779" w:rsidP="00DE1A08">
      <w:pPr>
        <w:pStyle w:val="Reference"/>
      </w:pPr>
      <w:r w:rsidRPr="009A2D8A">
        <w:lastRenderedPageBreak/>
        <w:t>Sung, L</w:t>
      </w:r>
      <w:r w:rsidR="00D8711C">
        <w:t>.</w:t>
      </w:r>
      <w:r>
        <w:t xml:space="preserve"> 2002,</w:t>
      </w:r>
      <w:r w:rsidRPr="009A2D8A">
        <w:t xml:space="preserve"> </w:t>
      </w:r>
      <w:hyperlink r:id="rId9" w:tgtFrame="_blank" w:history="1">
        <w:r w:rsidRPr="009A2D8A">
          <w:rPr>
            <w:i/>
          </w:rPr>
          <w:t>Greater Predictability May Result in Patent Pools</w:t>
        </w:r>
      </w:hyperlink>
      <w:r>
        <w:t xml:space="preserve">, </w:t>
      </w:r>
      <w:r w:rsidRPr="00975779">
        <w:rPr>
          <w:bCs/>
        </w:rPr>
        <w:t>http://</w:t>
      </w:r>
      <w:proofErr w:type="spellStart"/>
      <w:r w:rsidRPr="00975779">
        <w:rPr>
          <w:bCs/>
        </w:rPr>
        <w:t>www.ftc.gov</w:t>
      </w:r>
      <w:proofErr w:type="spellEnd"/>
      <w:r w:rsidRPr="00975779">
        <w:rPr>
          <w:bCs/>
        </w:rPr>
        <w:t>/</w:t>
      </w:r>
      <w:proofErr w:type="spellStart"/>
      <w:r w:rsidRPr="00975779">
        <w:rPr>
          <w:bCs/>
        </w:rPr>
        <w:t>opp</w:t>
      </w:r>
      <w:proofErr w:type="spellEnd"/>
      <w:r w:rsidRPr="00975779">
        <w:rPr>
          <w:bCs/>
        </w:rPr>
        <w:t>/intellect/</w:t>
      </w:r>
      <w:proofErr w:type="spellStart"/>
      <w:r w:rsidRPr="00975779">
        <w:rPr>
          <w:bCs/>
        </w:rPr>
        <w:t>020417lawrencemsung1.pdf</w:t>
      </w:r>
      <w:proofErr w:type="spellEnd"/>
      <w:r>
        <w:t xml:space="preserve"> (accessed 26 November 2012).</w:t>
      </w:r>
    </w:p>
    <w:p w:rsidR="00C224A5" w:rsidRDefault="00C224A5" w:rsidP="00DE1A08">
      <w:pPr>
        <w:pStyle w:val="Reference"/>
      </w:pPr>
      <w:r>
        <w:t xml:space="preserve">Supreme Court of the United States 2006, </w:t>
      </w:r>
      <w:r w:rsidRPr="00C224A5">
        <w:rPr>
          <w:i/>
        </w:rPr>
        <w:t xml:space="preserve">eBay Inc. et al. v. </w:t>
      </w:r>
      <w:proofErr w:type="spellStart"/>
      <w:r w:rsidRPr="00C224A5">
        <w:rPr>
          <w:i/>
        </w:rPr>
        <w:t>Mercexchange</w:t>
      </w:r>
      <w:proofErr w:type="spellEnd"/>
      <w:r w:rsidRPr="00C224A5">
        <w:rPr>
          <w:i/>
        </w:rPr>
        <w:t xml:space="preserve">, </w:t>
      </w:r>
      <w:proofErr w:type="spellStart"/>
      <w:r w:rsidRPr="00C224A5">
        <w:rPr>
          <w:i/>
        </w:rPr>
        <w:t>L.L.C</w:t>
      </w:r>
      <w:proofErr w:type="spellEnd"/>
      <w:r w:rsidRPr="00C224A5">
        <w:rPr>
          <w:i/>
        </w:rPr>
        <w:t>.</w:t>
      </w:r>
      <w:r>
        <w:t>, Washington D.C.</w:t>
      </w:r>
    </w:p>
    <w:p w:rsidR="00DF6380" w:rsidRDefault="00D8711C" w:rsidP="00DF6380">
      <w:pPr>
        <w:pStyle w:val="Reference"/>
      </w:pPr>
      <w:proofErr w:type="spellStart"/>
      <w:r>
        <w:t>Tandon</w:t>
      </w:r>
      <w:proofErr w:type="spellEnd"/>
      <w:r>
        <w:t>, P. 1982, ‘Optimal patents with c</w:t>
      </w:r>
      <w:r w:rsidR="00DF6380">
        <w:t>ompulso</w:t>
      </w:r>
      <w:r>
        <w:t>ry l</w:t>
      </w:r>
      <w:r w:rsidR="00DF6380">
        <w:t xml:space="preserve">icensing’, </w:t>
      </w:r>
      <w:r w:rsidR="00DF6380" w:rsidRPr="003858E0">
        <w:rPr>
          <w:i/>
        </w:rPr>
        <w:t>The Journal of Political Economy</w:t>
      </w:r>
      <w:r w:rsidR="00DF6380">
        <w:t>, vol. 90, no. 3, pp. 470–486.</w:t>
      </w:r>
    </w:p>
    <w:p w:rsidR="00901587" w:rsidRDefault="00901587" w:rsidP="00DF6380">
      <w:pPr>
        <w:pStyle w:val="Reference"/>
        <w:rPr>
          <w:szCs w:val="26"/>
        </w:rPr>
      </w:pPr>
      <w:r>
        <w:rPr>
          <w:szCs w:val="26"/>
        </w:rPr>
        <w:t>T</w:t>
      </w:r>
      <w:r w:rsidRPr="001F6842">
        <w:rPr>
          <w:szCs w:val="26"/>
        </w:rPr>
        <w:t>aylor</w:t>
      </w:r>
      <w:r>
        <w:rPr>
          <w:szCs w:val="26"/>
        </w:rPr>
        <w:t>, C.</w:t>
      </w:r>
      <w:r w:rsidRPr="001F6842">
        <w:rPr>
          <w:szCs w:val="26"/>
        </w:rPr>
        <w:t xml:space="preserve"> and </w:t>
      </w:r>
      <w:proofErr w:type="spellStart"/>
      <w:r w:rsidRPr="001F6842">
        <w:rPr>
          <w:szCs w:val="26"/>
        </w:rPr>
        <w:t>Silberston</w:t>
      </w:r>
      <w:proofErr w:type="spellEnd"/>
      <w:r w:rsidRPr="001F6842">
        <w:rPr>
          <w:szCs w:val="26"/>
        </w:rPr>
        <w:t>,</w:t>
      </w:r>
      <w:r>
        <w:rPr>
          <w:szCs w:val="26"/>
        </w:rPr>
        <w:t xml:space="preserve"> Z. 1973, </w:t>
      </w:r>
      <w:r w:rsidRPr="00226188">
        <w:rPr>
          <w:i/>
          <w:szCs w:val="26"/>
        </w:rPr>
        <w:t>The Economic Impact of the Patent System</w:t>
      </w:r>
      <w:r>
        <w:rPr>
          <w:szCs w:val="26"/>
        </w:rPr>
        <w:t>, Cambridge University Press.</w:t>
      </w:r>
    </w:p>
    <w:p w:rsidR="00BF4FFC" w:rsidRPr="00901587" w:rsidRDefault="00BF4FFC" w:rsidP="00DF6380">
      <w:pPr>
        <w:pStyle w:val="Reference"/>
        <w:rPr>
          <w:szCs w:val="26"/>
        </w:rPr>
      </w:pPr>
      <w:r>
        <w:rPr>
          <w:szCs w:val="26"/>
        </w:rPr>
        <w:t xml:space="preserve">Temple Lang, J. 2002, </w:t>
      </w:r>
      <w:r>
        <w:rPr>
          <w:i/>
          <w:szCs w:val="26"/>
        </w:rPr>
        <w:t>Compulsory :Licensing of Intellectual Property in European Community Antitrust Law</w:t>
      </w:r>
      <w:r>
        <w:rPr>
          <w:szCs w:val="26"/>
        </w:rPr>
        <w:t>, for the Department of Justice/Federal Trade Commission Hearings, Washington</w:t>
      </w:r>
      <w:r w:rsidR="00B93781">
        <w:rPr>
          <w:szCs w:val="26"/>
        </w:rPr>
        <w:t xml:space="preserve"> DC, May.</w:t>
      </w:r>
    </w:p>
    <w:p w:rsidR="00352D64" w:rsidRDefault="00352D64" w:rsidP="00DF6380">
      <w:pPr>
        <w:pStyle w:val="Reference"/>
      </w:pPr>
      <w:r w:rsidRPr="0052311A">
        <w:t xml:space="preserve">TERI (The Energy and Resources Institute) 2009, </w:t>
      </w:r>
      <w:r w:rsidR="00D8711C">
        <w:rPr>
          <w:i/>
        </w:rPr>
        <w:t>Emerging Asia Contribution on I</w:t>
      </w:r>
      <w:r w:rsidRPr="0052311A">
        <w:rPr>
          <w:i/>
        </w:rPr>
        <w:t>ssues of</w:t>
      </w:r>
      <w:r w:rsidR="00D8711C">
        <w:rPr>
          <w:i/>
        </w:rPr>
        <w:t xml:space="preserve"> T</w:t>
      </w:r>
      <w:r w:rsidRPr="0052311A">
        <w:rPr>
          <w:i/>
        </w:rPr>
        <w:t>echnology for Copenhagen</w:t>
      </w:r>
      <w:r w:rsidRPr="0052311A">
        <w:t>, New Delhi.</w:t>
      </w:r>
    </w:p>
    <w:p w:rsidR="00800F53" w:rsidRDefault="00800F53" w:rsidP="00DF6380">
      <w:pPr>
        <w:pStyle w:val="Reference"/>
      </w:pPr>
      <w:r>
        <w:t xml:space="preserve">Thomas, J. 2012, </w:t>
      </w:r>
      <w:r>
        <w:rPr>
          <w:i/>
        </w:rPr>
        <w:t>Patent Infringement and Experimental Use Under the Hatch</w:t>
      </w:r>
      <w:r>
        <w:rPr>
          <w:i/>
        </w:rPr>
        <w:noBreakHyphen/>
        <w:t>Waxman Act: Current Issues</w:t>
      </w:r>
      <w:r>
        <w:t>, Congressional Research Service, Washington D.C.</w:t>
      </w:r>
    </w:p>
    <w:p w:rsidR="00DF6380" w:rsidRDefault="00DF6380" w:rsidP="00DF6380">
      <w:pPr>
        <w:pStyle w:val="Reference"/>
      </w:pPr>
      <w:r>
        <w:t xml:space="preserve">Thomson, R. and Webster, E. 2009, ‘What does economics say about intellectual property?’, </w:t>
      </w:r>
      <w:r w:rsidRPr="007016F7">
        <w:rPr>
          <w:i/>
        </w:rPr>
        <w:t>Insights</w:t>
      </w:r>
      <w:r>
        <w:t>, vol. 6, November, pp. 56–59.</w:t>
      </w:r>
    </w:p>
    <w:p w:rsidR="00667170" w:rsidRPr="00C83CFF" w:rsidRDefault="00667170" w:rsidP="00667170">
      <w:pPr>
        <w:pStyle w:val="Reference"/>
      </w:pPr>
      <w:proofErr w:type="spellStart"/>
      <w:r>
        <w:t>Tiwari</w:t>
      </w:r>
      <w:proofErr w:type="spellEnd"/>
      <w:r>
        <w:t xml:space="preserve">, G. 2012, </w:t>
      </w:r>
      <w:r w:rsidRPr="00D24D13">
        <w:rPr>
          <w:i/>
        </w:rPr>
        <w:t>2012 Report: International Property Rights Index</w:t>
      </w:r>
      <w:r>
        <w:t>, Americans for Tax Reform Foundation/Property Rights Alliance.</w:t>
      </w:r>
    </w:p>
    <w:p w:rsidR="00CB5526" w:rsidRDefault="00CB5526" w:rsidP="00CB5526">
      <w:pPr>
        <w:pStyle w:val="Reference"/>
        <w:rPr>
          <w:szCs w:val="26"/>
        </w:rPr>
      </w:pPr>
      <w:proofErr w:type="spellStart"/>
      <w:r w:rsidRPr="00E40E4A">
        <w:rPr>
          <w:szCs w:val="26"/>
        </w:rPr>
        <w:t>TTOIG</w:t>
      </w:r>
      <w:proofErr w:type="spellEnd"/>
      <w:r w:rsidRPr="00E40E4A">
        <w:rPr>
          <w:szCs w:val="26"/>
        </w:rPr>
        <w:t xml:space="preserve"> (Trans-Tasman Outcomes Implementation Group) 2012, </w:t>
      </w:r>
      <w:r w:rsidRPr="00E40E4A">
        <w:rPr>
          <w:i/>
          <w:szCs w:val="26"/>
        </w:rPr>
        <w:t>Trans-Tasman Outcomes Implementation Group Report</w:t>
      </w:r>
      <w:r w:rsidRPr="00E40E4A">
        <w:rPr>
          <w:szCs w:val="26"/>
        </w:rPr>
        <w:t>, Canberra, February.</w:t>
      </w:r>
    </w:p>
    <w:p w:rsidR="00CE6BD9" w:rsidRPr="00CE6BD9" w:rsidRDefault="00CE6BD9" w:rsidP="00CB5526">
      <w:pPr>
        <w:pStyle w:val="Reference"/>
      </w:pPr>
      <w:r>
        <w:t xml:space="preserve">UK IPO (United Kingdom Intellectual Property Office) 2012, </w:t>
      </w:r>
      <w:r w:rsidRPr="00CE6BD9">
        <w:rPr>
          <w:i/>
        </w:rPr>
        <w:t>Lambert Tool Kit</w:t>
      </w:r>
      <w:r>
        <w:t xml:space="preserve">, </w:t>
      </w:r>
      <w:r w:rsidRPr="00CE6BD9">
        <w:rPr>
          <w:bCs/>
        </w:rPr>
        <w:t>http://</w:t>
      </w:r>
      <w:proofErr w:type="spellStart"/>
      <w:r w:rsidRPr="00CE6BD9">
        <w:rPr>
          <w:bCs/>
        </w:rPr>
        <w:t>www.ipo.gov.uk</w:t>
      </w:r>
      <w:proofErr w:type="spellEnd"/>
      <w:r w:rsidRPr="00CE6BD9">
        <w:rPr>
          <w:bCs/>
        </w:rPr>
        <w:t>/lambert</w:t>
      </w:r>
      <w:r>
        <w:t xml:space="preserve"> (accessed 20 November 2012).</w:t>
      </w:r>
    </w:p>
    <w:p w:rsidR="005818EE" w:rsidRDefault="005818EE" w:rsidP="005818EE">
      <w:pPr>
        <w:pStyle w:val="Reference"/>
      </w:pPr>
      <w:r w:rsidRPr="0052311A">
        <w:t xml:space="preserve">UN (United Nations) </w:t>
      </w:r>
      <w:r>
        <w:t xml:space="preserve">2007, </w:t>
      </w:r>
      <w:r w:rsidRPr="00EA19AD">
        <w:rPr>
          <w:i/>
        </w:rPr>
        <w:t>The Least Developed Countries Report 2007</w:t>
      </w:r>
      <w:r>
        <w:rPr>
          <w:i/>
        </w:rPr>
        <w:t>: Knowledge, Technological Learning and Innovation for Development</w:t>
      </w:r>
      <w:r>
        <w:t>, Geneva.</w:t>
      </w:r>
    </w:p>
    <w:p w:rsidR="005818EE" w:rsidRDefault="005818EE" w:rsidP="005818EE">
      <w:pPr>
        <w:pStyle w:val="Reference"/>
        <w:rPr>
          <w:bCs/>
        </w:rPr>
      </w:pPr>
      <w:r>
        <w:t>—— </w:t>
      </w:r>
      <w:r w:rsidRPr="0052311A">
        <w:t xml:space="preserve">2009, </w:t>
      </w:r>
      <w:r w:rsidRPr="0052311A">
        <w:rPr>
          <w:bCs/>
          <w:i/>
        </w:rPr>
        <w:t>Report of the Ad Hoc Working Group on Long-term Cooperative Action under the Convention on its eighth session</w:t>
      </w:r>
      <w:r w:rsidRPr="0052311A">
        <w:rPr>
          <w:bCs/>
        </w:rPr>
        <w:t>, Copenhagen 7 to 15 December 2009.</w:t>
      </w:r>
    </w:p>
    <w:p w:rsidR="00981EC7" w:rsidRDefault="008A3533" w:rsidP="00CB5526">
      <w:pPr>
        <w:pStyle w:val="Reference"/>
        <w:rPr>
          <w:bCs/>
        </w:rPr>
      </w:pPr>
      <w:r>
        <w:t>—— </w:t>
      </w:r>
      <w:r w:rsidR="005818EE" w:rsidRPr="0052311A">
        <w:t>20</w:t>
      </w:r>
      <w:r w:rsidR="005818EE">
        <w:t>10</w:t>
      </w:r>
      <w:r w:rsidR="005818EE" w:rsidRPr="0052311A">
        <w:t xml:space="preserve">, </w:t>
      </w:r>
      <w:r w:rsidR="005818EE" w:rsidRPr="0052311A">
        <w:rPr>
          <w:bCs/>
          <w:i/>
        </w:rPr>
        <w:t>Report of the Ad Hoc Working Group on Long-term Cooperative Action under the Convention on its eighth session</w:t>
      </w:r>
      <w:r w:rsidR="005818EE" w:rsidRPr="0052311A">
        <w:rPr>
          <w:bCs/>
        </w:rPr>
        <w:t>, Copenhagen 7 to 15 December 2009.</w:t>
      </w:r>
    </w:p>
    <w:p w:rsidR="00191752" w:rsidRDefault="00191752" w:rsidP="00CB5526">
      <w:pPr>
        <w:pStyle w:val="Reference"/>
      </w:pPr>
      <w:proofErr w:type="spellStart"/>
      <w:r>
        <w:t>UNAIDS</w:t>
      </w:r>
      <w:proofErr w:type="spellEnd"/>
      <w:r>
        <w:t xml:space="preserve"> (Joint United Nations Programme on HIV and AIDS) 2010, </w:t>
      </w:r>
      <w:proofErr w:type="spellStart"/>
      <w:r>
        <w:rPr>
          <w:i/>
        </w:rPr>
        <w:t>UNAIDS</w:t>
      </w:r>
      <w:proofErr w:type="spellEnd"/>
      <w:r>
        <w:rPr>
          <w:i/>
        </w:rPr>
        <w:t xml:space="preserve"> Report on the Global AIDS Epidemic</w:t>
      </w:r>
      <w:r>
        <w:t xml:space="preserve">, </w:t>
      </w:r>
      <w:r w:rsidR="003717F3" w:rsidRPr="003717F3">
        <w:rPr>
          <w:bCs/>
        </w:rPr>
        <w:t>http://</w:t>
      </w:r>
      <w:proofErr w:type="spellStart"/>
      <w:r w:rsidR="003717F3" w:rsidRPr="003717F3">
        <w:rPr>
          <w:bCs/>
        </w:rPr>
        <w:t>www.unaids.org</w:t>
      </w:r>
      <w:proofErr w:type="spellEnd"/>
      <w:r w:rsidR="003717F3">
        <w:rPr>
          <w:bCs/>
        </w:rPr>
        <w:t xml:space="preserve"> </w:t>
      </w:r>
      <w:r w:rsidRPr="00363440">
        <w:rPr>
          <w:bCs/>
        </w:rPr>
        <w:t>/</w:t>
      </w:r>
      <w:proofErr w:type="spellStart"/>
      <w:r w:rsidRPr="00363440">
        <w:rPr>
          <w:bCs/>
        </w:rPr>
        <w:t>globalreport</w:t>
      </w:r>
      <w:proofErr w:type="spellEnd"/>
      <w:r w:rsidRPr="00363440">
        <w:rPr>
          <w:bCs/>
        </w:rPr>
        <w:t>/</w:t>
      </w:r>
      <w:proofErr w:type="spellStart"/>
      <w:r w:rsidRPr="00363440">
        <w:rPr>
          <w:bCs/>
        </w:rPr>
        <w:t>global_report.htm</w:t>
      </w:r>
      <w:proofErr w:type="spellEnd"/>
      <w:r w:rsidR="00093E25">
        <w:t xml:space="preserve"> (accessed 27 August 2012).</w:t>
      </w:r>
    </w:p>
    <w:p w:rsidR="00392C62" w:rsidRPr="00392C62" w:rsidRDefault="00392C62" w:rsidP="00CB5526">
      <w:pPr>
        <w:pStyle w:val="Reference"/>
        <w:rPr>
          <w:szCs w:val="26"/>
        </w:rPr>
      </w:pPr>
      <w:proofErr w:type="spellStart"/>
      <w:r>
        <w:rPr>
          <w:szCs w:val="26"/>
        </w:rPr>
        <w:lastRenderedPageBreak/>
        <w:t>UNCTAD</w:t>
      </w:r>
      <w:proofErr w:type="spellEnd"/>
      <w:r>
        <w:rPr>
          <w:szCs w:val="26"/>
        </w:rPr>
        <w:t xml:space="preserve"> (United Nations Conference on Trade and Development) 2011, </w:t>
      </w:r>
      <w:r>
        <w:rPr>
          <w:i/>
          <w:szCs w:val="26"/>
        </w:rPr>
        <w:t>Development D</w:t>
      </w:r>
      <w:r w:rsidRPr="00F67E30">
        <w:rPr>
          <w:i/>
          <w:szCs w:val="26"/>
        </w:rPr>
        <w:t xml:space="preserve">imensions of </w:t>
      </w:r>
      <w:r>
        <w:rPr>
          <w:i/>
          <w:szCs w:val="26"/>
        </w:rPr>
        <w:t>I</w:t>
      </w:r>
      <w:r w:rsidRPr="00F67E30">
        <w:rPr>
          <w:i/>
          <w:szCs w:val="26"/>
        </w:rPr>
        <w:t xml:space="preserve">ntellectual </w:t>
      </w:r>
      <w:r>
        <w:rPr>
          <w:i/>
          <w:szCs w:val="26"/>
        </w:rPr>
        <w:t>P</w:t>
      </w:r>
      <w:r w:rsidRPr="00F67E30">
        <w:rPr>
          <w:i/>
          <w:szCs w:val="26"/>
        </w:rPr>
        <w:t xml:space="preserve">roperty in Indonesia: </w:t>
      </w:r>
      <w:r>
        <w:rPr>
          <w:i/>
          <w:szCs w:val="26"/>
        </w:rPr>
        <w:t>A</w:t>
      </w:r>
      <w:r w:rsidRPr="00F67E30">
        <w:rPr>
          <w:i/>
          <w:szCs w:val="26"/>
        </w:rPr>
        <w:t xml:space="preserve">ccess to </w:t>
      </w:r>
      <w:r>
        <w:rPr>
          <w:i/>
          <w:szCs w:val="26"/>
        </w:rPr>
        <w:t>M</w:t>
      </w:r>
      <w:r w:rsidRPr="00F67E30">
        <w:rPr>
          <w:i/>
          <w:szCs w:val="26"/>
        </w:rPr>
        <w:t xml:space="preserve">edicines, </w:t>
      </w:r>
      <w:r>
        <w:rPr>
          <w:i/>
          <w:szCs w:val="26"/>
        </w:rPr>
        <w:t>T</w:t>
      </w:r>
      <w:r w:rsidRPr="00F67E30">
        <w:rPr>
          <w:i/>
          <w:szCs w:val="26"/>
        </w:rPr>
        <w:t xml:space="preserve">ransfer of </w:t>
      </w:r>
      <w:r>
        <w:rPr>
          <w:i/>
          <w:szCs w:val="26"/>
        </w:rPr>
        <w:t>T</w:t>
      </w:r>
      <w:r w:rsidRPr="00F67E30">
        <w:rPr>
          <w:i/>
          <w:szCs w:val="26"/>
        </w:rPr>
        <w:t xml:space="preserve">echnology and </w:t>
      </w:r>
      <w:r>
        <w:rPr>
          <w:i/>
          <w:szCs w:val="26"/>
        </w:rPr>
        <w:t>C</w:t>
      </w:r>
      <w:r w:rsidRPr="00F67E30">
        <w:rPr>
          <w:i/>
          <w:szCs w:val="26"/>
        </w:rPr>
        <w:t>ompetition</w:t>
      </w:r>
      <w:r>
        <w:rPr>
          <w:szCs w:val="26"/>
        </w:rPr>
        <w:t xml:space="preserve">, United Nations. </w:t>
      </w:r>
    </w:p>
    <w:p w:rsidR="00981EC7" w:rsidRDefault="00981EC7" w:rsidP="00981EC7">
      <w:pPr>
        <w:pStyle w:val="Reference"/>
      </w:pPr>
      <w:r w:rsidRPr="00A9300B">
        <w:t xml:space="preserve">US Court of Appeals for the Federal </w:t>
      </w:r>
      <w:r>
        <w:t xml:space="preserve">Circuit 2012, </w:t>
      </w:r>
      <w:r w:rsidRPr="00AE0382">
        <w:rPr>
          <w:i/>
        </w:rPr>
        <w:t>Association for Molecular v. PTO</w:t>
      </w:r>
      <w:r>
        <w:t xml:space="preserve">, </w:t>
      </w:r>
      <w:r w:rsidRPr="00AE0382">
        <w:t xml:space="preserve">Appeal from the United States District Court for the Southern District of </w:t>
      </w:r>
      <w:r>
        <w:t>New York in Case No. 09-CV-4515.</w:t>
      </w:r>
    </w:p>
    <w:p w:rsidR="00051D0C" w:rsidRDefault="00CB15DE" w:rsidP="00051D0C">
      <w:pPr>
        <w:pStyle w:val="Reference"/>
        <w:rPr>
          <w:szCs w:val="26"/>
        </w:rPr>
      </w:pPr>
      <w:r w:rsidRPr="007C2979">
        <w:t xml:space="preserve">US Department of Justice </w:t>
      </w:r>
      <w:r w:rsidR="00051D0C">
        <w:rPr>
          <w:szCs w:val="26"/>
        </w:rPr>
        <w:t xml:space="preserve">1998, </w:t>
      </w:r>
      <w:r w:rsidR="00051D0C" w:rsidRPr="00477AD8">
        <w:rPr>
          <w:i/>
          <w:szCs w:val="26"/>
        </w:rPr>
        <w:t xml:space="preserve">Justice Department Approves Monsanto’s Acquisition of </w:t>
      </w:r>
      <w:proofErr w:type="spellStart"/>
      <w:r w:rsidR="00051D0C" w:rsidRPr="00477AD8">
        <w:rPr>
          <w:i/>
          <w:szCs w:val="26"/>
        </w:rPr>
        <w:t>Dekalb</w:t>
      </w:r>
      <w:proofErr w:type="spellEnd"/>
      <w:r w:rsidR="00051D0C" w:rsidRPr="00477AD8">
        <w:rPr>
          <w:i/>
          <w:szCs w:val="26"/>
        </w:rPr>
        <w:t xml:space="preserve"> Genetics Corporation</w:t>
      </w:r>
      <w:r w:rsidR="00051D0C">
        <w:rPr>
          <w:szCs w:val="26"/>
        </w:rPr>
        <w:t xml:space="preserve">, media release, 30 November. </w:t>
      </w:r>
    </w:p>
    <w:p w:rsidR="00337204" w:rsidRPr="00051D0C" w:rsidRDefault="00E70F20" w:rsidP="00981EC7">
      <w:pPr>
        <w:pStyle w:val="Reference"/>
        <w:rPr>
          <w:szCs w:val="26"/>
        </w:rPr>
      </w:pPr>
      <w:r>
        <w:rPr>
          <w:szCs w:val="26"/>
        </w:rPr>
        <w:t>—— </w:t>
      </w:r>
      <w:r w:rsidR="00051D0C">
        <w:rPr>
          <w:szCs w:val="26"/>
        </w:rPr>
        <w:t xml:space="preserve">1999, </w:t>
      </w:r>
      <w:r w:rsidR="00051D0C" w:rsidRPr="002F53D5">
        <w:rPr>
          <w:i/>
          <w:szCs w:val="26"/>
        </w:rPr>
        <w:t>United States of America v. Halliburton Company and Dresser Industries, Inc.</w:t>
      </w:r>
      <w:r w:rsidR="00051D0C">
        <w:rPr>
          <w:szCs w:val="26"/>
        </w:rPr>
        <w:t xml:space="preserve">, </w:t>
      </w:r>
      <w:r w:rsidR="00051D0C" w:rsidRPr="00E5053B">
        <w:rPr>
          <w:bCs/>
          <w:szCs w:val="26"/>
        </w:rPr>
        <w:t>http://</w:t>
      </w:r>
      <w:proofErr w:type="spellStart"/>
      <w:r w:rsidR="00051D0C" w:rsidRPr="00E5053B">
        <w:rPr>
          <w:bCs/>
          <w:szCs w:val="26"/>
        </w:rPr>
        <w:t>www.justice.gov</w:t>
      </w:r>
      <w:proofErr w:type="spellEnd"/>
      <w:r w:rsidR="00051D0C" w:rsidRPr="00E5053B">
        <w:rPr>
          <w:bCs/>
          <w:szCs w:val="26"/>
        </w:rPr>
        <w:t>/</w:t>
      </w:r>
      <w:proofErr w:type="spellStart"/>
      <w:r w:rsidR="00051D0C" w:rsidRPr="00E5053B">
        <w:rPr>
          <w:bCs/>
          <w:szCs w:val="26"/>
        </w:rPr>
        <w:t>atr</w:t>
      </w:r>
      <w:proofErr w:type="spellEnd"/>
      <w:r w:rsidR="00051D0C" w:rsidRPr="00E5053B">
        <w:rPr>
          <w:bCs/>
          <w:szCs w:val="26"/>
        </w:rPr>
        <w:t>/cases/</w:t>
      </w:r>
      <w:proofErr w:type="spellStart"/>
      <w:r w:rsidR="00051D0C" w:rsidRPr="00E5053B">
        <w:rPr>
          <w:bCs/>
          <w:szCs w:val="26"/>
        </w:rPr>
        <w:t>f6100</w:t>
      </w:r>
      <w:proofErr w:type="spellEnd"/>
      <w:r w:rsidR="00051D0C" w:rsidRPr="00E5053B">
        <w:rPr>
          <w:bCs/>
          <w:szCs w:val="26"/>
        </w:rPr>
        <w:t>/</w:t>
      </w:r>
      <w:proofErr w:type="spellStart"/>
      <w:r w:rsidR="00051D0C" w:rsidRPr="00E5053B">
        <w:rPr>
          <w:bCs/>
          <w:szCs w:val="26"/>
        </w:rPr>
        <w:t>6193.htm</w:t>
      </w:r>
      <w:proofErr w:type="spellEnd"/>
      <w:r w:rsidR="00051D0C">
        <w:rPr>
          <w:szCs w:val="26"/>
        </w:rPr>
        <w:t xml:space="preserve"> (accessed 14 November 2012).</w:t>
      </w:r>
    </w:p>
    <w:p w:rsidR="00CB15DE" w:rsidRDefault="00337204" w:rsidP="00981EC7">
      <w:pPr>
        <w:pStyle w:val="Reference"/>
      </w:pPr>
      <w:r>
        <w:t>—— </w:t>
      </w:r>
      <w:r w:rsidR="00CB15DE" w:rsidRPr="007C2979">
        <w:t xml:space="preserve">and Federal Trade Commission 1995, </w:t>
      </w:r>
      <w:r w:rsidR="00CB15DE" w:rsidRPr="00A70187">
        <w:rPr>
          <w:i/>
        </w:rPr>
        <w:t>Antitrust Guidelines for the Licensing of Intellectual Property</w:t>
      </w:r>
      <w:r w:rsidR="00CB15DE">
        <w:t xml:space="preserve">, </w:t>
      </w:r>
      <w:r w:rsidR="00CB15DE" w:rsidRPr="00DC6F3C">
        <w:t>http://</w:t>
      </w:r>
      <w:proofErr w:type="spellStart"/>
      <w:r w:rsidR="00CB15DE" w:rsidRPr="00DC6F3C">
        <w:t>www.justice.gov</w:t>
      </w:r>
      <w:proofErr w:type="spellEnd"/>
      <w:r w:rsidR="00CB15DE" w:rsidRPr="00DC6F3C">
        <w:t>/</w:t>
      </w:r>
      <w:proofErr w:type="spellStart"/>
      <w:r w:rsidR="00CB15DE" w:rsidRPr="00DC6F3C">
        <w:t>atr</w:t>
      </w:r>
      <w:proofErr w:type="spellEnd"/>
      <w:r w:rsidR="00CB15DE">
        <w:t xml:space="preserve"> </w:t>
      </w:r>
      <w:r w:rsidR="00CB15DE" w:rsidRPr="00DC6F3C">
        <w:t>/public/guidelines/</w:t>
      </w:r>
      <w:proofErr w:type="spellStart"/>
      <w:r w:rsidR="00CB15DE" w:rsidRPr="00DC6F3C">
        <w:t>0558.htm</w:t>
      </w:r>
      <w:proofErr w:type="spellEnd"/>
      <w:r w:rsidR="00051D0C">
        <w:t>, (accessed 21 November</w:t>
      </w:r>
      <w:r w:rsidR="00CB15DE">
        <w:t xml:space="preserve"> 2012).</w:t>
      </w:r>
    </w:p>
    <w:p w:rsidR="00FC274F" w:rsidRDefault="00FC274F" w:rsidP="00981EC7">
      <w:pPr>
        <w:pStyle w:val="Reference"/>
        <w:rPr>
          <w:szCs w:val="26"/>
        </w:rPr>
      </w:pPr>
      <w:r>
        <w:rPr>
          <w:szCs w:val="26"/>
        </w:rPr>
        <w:t xml:space="preserve">US Government 2003, ‘The United States’ Statement of Interest’, </w:t>
      </w:r>
      <w:proofErr w:type="spellStart"/>
      <w:r w:rsidRPr="004D4085">
        <w:rPr>
          <w:i/>
          <w:szCs w:val="26"/>
        </w:rPr>
        <w:t>NTP</w:t>
      </w:r>
      <w:proofErr w:type="spellEnd"/>
      <w:r w:rsidRPr="004D4085">
        <w:rPr>
          <w:i/>
          <w:szCs w:val="26"/>
        </w:rPr>
        <w:t>, Inc. v. Research in Motion, Ltd.</w:t>
      </w:r>
      <w:r>
        <w:rPr>
          <w:szCs w:val="26"/>
        </w:rPr>
        <w:t xml:space="preserve">, </w:t>
      </w:r>
      <w:r w:rsidR="001E4A20" w:rsidRPr="001E4A20">
        <w:rPr>
          <w:bCs/>
          <w:szCs w:val="26"/>
        </w:rPr>
        <w:t>http://</w:t>
      </w:r>
      <w:proofErr w:type="spellStart"/>
      <w:r w:rsidR="001E4A20" w:rsidRPr="001E4A20">
        <w:rPr>
          <w:bCs/>
          <w:szCs w:val="26"/>
        </w:rPr>
        <w:t>www.ipo.org</w:t>
      </w:r>
      <w:proofErr w:type="spellEnd"/>
      <w:r w:rsidR="001E4A20" w:rsidRPr="001E4A20">
        <w:rPr>
          <w:bCs/>
          <w:szCs w:val="26"/>
        </w:rPr>
        <w:t>/</w:t>
      </w:r>
      <w:proofErr w:type="spellStart"/>
      <w:r w:rsidR="001E4A20" w:rsidRPr="001E4A20">
        <w:rPr>
          <w:bCs/>
          <w:szCs w:val="26"/>
        </w:rPr>
        <w:t>mwg</w:t>
      </w:r>
      <w:proofErr w:type="spellEnd"/>
      <w:r w:rsidR="001E4A20" w:rsidRPr="001E4A20">
        <w:rPr>
          <w:bCs/>
          <w:szCs w:val="26"/>
        </w:rPr>
        <w:t>-internal/</w:t>
      </w:r>
      <w:proofErr w:type="spellStart"/>
      <w:r w:rsidRPr="007F564A">
        <w:rPr>
          <w:bCs/>
          <w:szCs w:val="26"/>
        </w:rPr>
        <w:t>de5fs23hu73ds</w:t>
      </w:r>
      <w:proofErr w:type="spellEnd"/>
      <w:r w:rsidRPr="007F564A">
        <w:rPr>
          <w:bCs/>
          <w:szCs w:val="26"/>
        </w:rPr>
        <w:t>/</w:t>
      </w:r>
      <w:r w:rsidR="00CD0A12">
        <w:rPr>
          <w:bCs/>
          <w:szCs w:val="26"/>
        </w:rPr>
        <w:t xml:space="preserve"> </w:t>
      </w:r>
      <w:proofErr w:type="spellStart"/>
      <w:r w:rsidRPr="007F564A">
        <w:rPr>
          <w:bCs/>
          <w:szCs w:val="26"/>
        </w:rPr>
        <w:t>progress?id</w:t>
      </w:r>
      <w:proofErr w:type="spellEnd"/>
      <w:r w:rsidRPr="007F564A">
        <w:rPr>
          <w:bCs/>
          <w:szCs w:val="26"/>
        </w:rPr>
        <w:t>=</w:t>
      </w:r>
      <w:proofErr w:type="spellStart"/>
      <w:r w:rsidRPr="007F564A">
        <w:rPr>
          <w:bCs/>
          <w:szCs w:val="26"/>
        </w:rPr>
        <w:t>1j8aYd</w:t>
      </w:r>
      <w:proofErr w:type="spellEnd"/>
      <w:r w:rsidRPr="007F564A">
        <w:rPr>
          <w:bCs/>
          <w:szCs w:val="26"/>
        </w:rPr>
        <w:t>/</w:t>
      </w:r>
      <w:proofErr w:type="spellStart"/>
      <w:r w:rsidRPr="007F564A">
        <w:rPr>
          <w:bCs/>
          <w:szCs w:val="26"/>
        </w:rPr>
        <w:t>gmV</w:t>
      </w:r>
      <w:proofErr w:type="spellEnd"/>
      <w:r>
        <w:rPr>
          <w:szCs w:val="26"/>
        </w:rPr>
        <w:t xml:space="preserve"> (accessed 21 September). </w:t>
      </w:r>
    </w:p>
    <w:p w:rsidR="00173431" w:rsidRDefault="00CB5526" w:rsidP="00CB5526">
      <w:pPr>
        <w:pStyle w:val="Reference"/>
      </w:pPr>
      <w:r>
        <w:t>U</w:t>
      </w:r>
      <w:r w:rsidR="00FC274F">
        <w:t>S</w:t>
      </w:r>
      <w:r>
        <w:t xml:space="preserve"> Patent and Trademark Office </w:t>
      </w:r>
      <w:proofErr w:type="spellStart"/>
      <w:r>
        <w:t>2012</w:t>
      </w:r>
      <w:r w:rsidR="00173431">
        <w:t>a</w:t>
      </w:r>
      <w:proofErr w:type="spellEnd"/>
      <w:r>
        <w:t xml:space="preserve">, </w:t>
      </w:r>
      <w:r w:rsidR="00ED7D89" w:rsidRPr="00ED7D89">
        <w:rPr>
          <w:i/>
        </w:rPr>
        <w:t xml:space="preserve">2210: Request for Ex Parte </w:t>
      </w:r>
      <w:proofErr w:type="spellStart"/>
      <w:r w:rsidR="00ED7D89" w:rsidRPr="00ED7D89">
        <w:rPr>
          <w:i/>
        </w:rPr>
        <w:t>Reexamination</w:t>
      </w:r>
      <w:proofErr w:type="spellEnd"/>
      <w:r w:rsidR="00ED7D89">
        <w:t xml:space="preserve"> </w:t>
      </w:r>
      <w:r w:rsidR="00ED7D89" w:rsidRPr="00ED7D89">
        <w:rPr>
          <w:i/>
        </w:rPr>
        <w:t>[R-7]</w:t>
      </w:r>
      <w:r w:rsidR="00ED7D89">
        <w:t xml:space="preserve">, </w:t>
      </w:r>
      <w:r w:rsidR="00ED7D89" w:rsidRPr="00ED7D89">
        <w:rPr>
          <w:bCs/>
        </w:rPr>
        <w:t>http://</w:t>
      </w:r>
      <w:proofErr w:type="spellStart"/>
      <w:r w:rsidR="00ED7D89" w:rsidRPr="00ED7D89">
        <w:rPr>
          <w:bCs/>
        </w:rPr>
        <w:t>www.uspto.gov</w:t>
      </w:r>
      <w:proofErr w:type="spellEnd"/>
      <w:r w:rsidR="00ED7D89" w:rsidRPr="00ED7D89">
        <w:rPr>
          <w:bCs/>
        </w:rPr>
        <w:t>/web/offices/</w:t>
      </w:r>
      <w:proofErr w:type="spellStart"/>
      <w:r w:rsidR="00ED7D89" w:rsidRPr="00ED7D89">
        <w:rPr>
          <w:bCs/>
        </w:rPr>
        <w:t>pac</w:t>
      </w:r>
      <w:proofErr w:type="spellEnd"/>
      <w:r w:rsidR="00ED7D89" w:rsidRPr="00ED7D89">
        <w:rPr>
          <w:bCs/>
        </w:rPr>
        <w:t>/</w:t>
      </w:r>
      <w:proofErr w:type="spellStart"/>
      <w:r w:rsidR="00ED7D89" w:rsidRPr="00ED7D89">
        <w:rPr>
          <w:bCs/>
        </w:rPr>
        <w:t>mpep</w:t>
      </w:r>
      <w:proofErr w:type="spellEnd"/>
      <w:r w:rsidR="00ED7D89" w:rsidRPr="00ED7D89">
        <w:rPr>
          <w:bCs/>
        </w:rPr>
        <w:t>/</w:t>
      </w:r>
      <w:proofErr w:type="spellStart"/>
      <w:r w:rsidR="00ED7D89" w:rsidRPr="00ED7D89">
        <w:rPr>
          <w:bCs/>
        </w:rPr>
        <w:t>s2210.html</w:t>
      </w:r>
      <w:proofErr w:type="spellEnd"/>
      <w:r w:rsidR="00ED7D89">
        <w:t xml:space="preserve"> (accessed 24 September 2012).</w:t>
      </w:r>
    </w:p>
    <w:p w:rsidR="00CB5526" w:rsidRDefault="00173431" w:rsidP="00CB5526">
      <w:pPr>
        <w:pStyle w:val="Reference"/>
      </w:pPr>
      <w:r>
        <w:t>—— </w:t>
      </w:r>
      <w:proofErr w:type="spellStart"/>
      <w:r>
        <w:t>2012b</w:t>
      </w:r>
      <w:proofErr w:type="spellEnd"/>
      <w:r>
        <w:t xml:space="preserve">, </w:t>
      </w:r>
      <w:r w:rsidR="00CB5526" w:rsidRPr="00E303A6">
        <w:rPr>
          <w:i/>
        </w:rPr>
        <w:t>Patent Assignment Query Menu</w:t>
      </w:r>
      <w:r w:rsidR="00CB5526">
        <w:t xml:space="preserve">, </w:t>
      </w:r>
      <w:r w:rsidRPr="00173431">
        <w:rPr>
          <w:bCs/>
        </w:rPr>
        <w:t>http://</w:t>
      </w:r>
      <w:proofErr w:type="spellStart"/>
      <w:r w:rsidRPr="00173431">
        <w:rPr>
          <w:bCs/>
        </w:rPr>
        <w:t>assignments.uspto.gov</w:t>
      </w:r>
      <w:proofErr w:type="spellEnd"/>
      <w:r w:rsidRPr="00173431">
        <w:rPr>
          <w:bCs/>
        </w:rPr>
        <w:t>/</w:t>
      </w:r>
      <w:r>
        <w:t xml:space="preserve"> </w:t>
      </w:r>
      <w:r w:rsidR="00CB5526" w:rsidRPr="00E303A6">
        <w:t>assignments/?</w:t>
      </w:r>
      <w:proofErr w:type="spellStart"/>
      <w:r w:rsidR="00CB5526" w:rsidRPr="00E303A6">
        <w:t>db</w:t>
      </w:r>
      <w:proofErr w:type="spellEnd"/>
      <w:r w:rsidR="00CB5526" w:rsidRPr="00E303A6">
        <w:t>=pat</w:t>
      </w:r>
      <w:r w:rsidR="00CB5526">
        <w:t xml:space="preserve"> (accessed 3 October 2012).</w:t>
      </w:r>
    </w:p>
    <w:p w:rsidR="00B5690D" w:rsidRDefault="00B5690D" w:rsidP="00CB5526">
      <w:pPr>
        <w:pStyle w:val="Reference"/>
      </w:pPr>
      <w:r>
        <w:t>—— </w:t>
      </w:r>
      <w:proofErr w:type="spellStart"/>
      <w:r>
        <w:t>2012c</w:t>
      </w:r>
      <w:proofErr w:type="spellEnd"/>
      <w:r>
        <w:t xml:space="preserve">, </w:t>
      </w:r>
      <w:r w:rsidR="002A557C" w:rsidRPr="00152731">
        <w:rPr>
          <w:i/>
        </w:rPr>
        <w:t>U.S. Patent Statistics Chart Calendar Years 1963–2011</w:t>
      </w:r>
      <w:r w:rsidR="002A557C">
        <w:t xml:space="preserve">, </w:t>
      </w:r>
      <w:r w:rsidR="002A557C" w:rsidRPr="002A557C">
        <w:rPr>
          <w:bCs/>
        </w:rPr>
        <w:t>http://</w:t>
      </w:r>
      <w:proofErr w:type="spellStart"/>
      <w:r w:rsidR="002A557C" w:rsidRPr="002A557C">
        <w:rPr>
          <w:bCs/>
        </w:rPr>
        <w:t>www.uspto.gov</w:t>
      </w:r>
      <w:proofErr w:type="spellEnd"/>
      <w:r w:rsidR="002A557C" w:rsidRPr="002A557C">
        <w:rPr>
          <w:bCs/>
        </w:rPr>
        <w:t>/web/offices/ac/</w:t>
      </w:r>
      <w:proofErr w:type="spellStart"/>
      <w:r w:rsidR="002A557C" w:rsidRPr="002A557C">
        <w:rPr>
          <w:bCs/>
        </w:rPr>
        <w:t>ido</w:t>
      </w:r>
      <w:proofErr w:type="spellEnd"/>
      <w:r w:rsidR="002A557C" w:rsidRPr="002A557C">
        <w:rPr>
          <w:bCs/>
        </w:rPr>
        <w:t>/</w:t>
      </w:r>
      <w:proofErr w:type="spellStart"/>
      <w:r w:rsidR="002A557C" w:rsidRPr="002A557C">
        <w:rPr>
          <w:bCs/>
        </w:rPr>
        <w:t>oeip</w:t>
      </w:r>
      <w:proofErr w:type="spellEnd"/>
      <w:r w:rsidR="002A557C" w:rsidRPr="002A557C">
        <w:rPr>
          <w:bCs/>
        </w:rPr>
        <w:t>/</w:t>
      </w:r>
      <w:proofErr w:type="spellStart"/>
      <w:r w:rsidR="002A557C" w:rsidRPr="002A557C">
        <w:rPr>
          <w:bCs/>
        </w:rPr>
        <w:t>taf</w:t>
      </w:r>
      <w:proofErr w:type="spellEnd"/>
      <w:r w:rsidR="002A557C" w:rsidRPr="002A557C">
        <w:rPr>
          <w:bCs/>
        </w:rPr>
        <w:t>/</w:t>
      </w:r>
      <w:proofErr w:type="spellStart"/>
      <w:r w:rsidR="002A557C" w:rsidRPr="002A557C">
        <w:rPr>
          <w:bCs/>
        </w:rPr>
        <w:t>us_stat.htm</w:t>
      </w:r>
      <w:proofErr w:type="spellEnd"/>
      <w:r w:rsidR="002A557C">
        <w:t xml:space="preserve"> (accessed 26 September 2012).</w:t>
      </w:r>
    </w:p>
    <w:p w:rsidR="00D32985" w:rsidRDefault="00D32985" w:rsidP="00D32985">
      <w:pPr>
        <w:pStyle w:val="Reference"/>
      </w:pPr>
      <w:r w:rsidRPr="00491809">
        <w:t xml:space="preserve">Van </w:t>
      </w:r>
      <w:proofErr w:type="spellStart"/>
      <w:r w:rsidRPr="00491809">
        <w:t>Overwalle</w:t>
      </w:r>
      <w:proofErr w:type="spellEnd"/>
      <w:r w:rsidRPr="00491809">
        <w:t>,</w:t>
      </w:r>
      <w:r w:rsidR="00FF3496">
        <w:t xml:space="preserve"> G.,</w:t>
      </w:r>
      <w:r w:rsidRPr="00491809">
        <w:t xml:space="preserve"> Van </w:t>
      </w:r>
      <w:proofErr w:type="spellStart"/>
      <w:r w:rsidRPr="00491809">
        <w:t>Zimmeren</w:t>
      </w:r>
      <w:proofErr w:type="spellEnd"/>
      <w:r w:rsidRPr="00491809">
        <w:t>,</w:t>
      </w:r>
      <w:r w:rsidR="003838CA">
        <w:t xml:space="preserve"> </w:t>
      </w:r>
      <w:r>
        <w:t xml:space="preserve">E., </w:t>
      </w:r>
      <w:proofErr w:type="spellStart"/>
      <w:r>
        <w:t>Verbeure</w:t>
      </w:r>
      <w:proofErr w:type="spellEnd"/>
      <w:r>
        <w:t xml:space="preserve">, B. and </w:t>
      </w:r>
      <w:proofErr w:type="spellStart"/>
      <w:r>
        <w:t>Matthijs</w:t>
      </w:r>
      <w:proofErr w:type="spellEnd"/>
      <w:r>
        <w:t>, G. 2006,</w:t>
      </w:r>
      <w:r w:rsidRPr="00491809">
        <w:t xml:space="preserve"> </w:t>
      </w:r>
      <w:r w:rsidR="00BE4A6E">
        <w:t>‘</w:t>
      </w:r>
      <w:r w:rsidRPr="00491809">
        <w:t>Models for facilitating access t</w:t>
      </w:r>
      <w:r w:rsidR="00BE4A6E">
        <w:t>o patents on genetic inventions’,</w:t>
      </w:r>
      <w:r w:rsidRPr="00491809">
        <w:t xml:space="preserve"> </w:t>
      </w:r>
      <w:r w:rsidRPr="00491809">
        <w:rPr>
          <w:i/>
        </w:rPr>
        <w:t>Nature Review Genetics</w:t>
      </w:r>
      <w:r w:rsidRPr="00491809">
        <w:t xml:space="preserve">, </w:t>
      </w:r>
      <w:r w:rsidR="00941F44">
        <w:t>vol. </w:t>
      </w:r>
      <w:r w:rsidRPr="00491809">
        <w:t xml:space="preserve">7, </w:t>
      </w:r>
      <w:r w:rsidR="00941F44">
        <w:t>pp. </w:t>
      </w:r>
      <w:r w:rsidRPr="00491809">
        <w:t>143–148</w:t>
      </w:r>
      <w:r>
        <w:t>.</w:t>
      </w:r>
    </w:p>
    <w:p w:rsidR="00D32985" w:rsidRDefault="00D8711C" w:rsidP="001607FC">
      <w:pPr>
        <w:pStyle w:val="Reference"/>
      </w:pPr>
      <w:r>
        <w:t xml:space="preserve">Van </w:t>
      </w:r>
      <w:proofErr w:type="spellStart"/>
      <w:r>
        <w:t>Zimmeren</w:t>
      </w:r>
      <w:proofErr w:type="spellEnd"/>
      <w:r>
        <w:t>, G.</w:t>
      </w:r>
      <w:r w:rsidR="00D32985">
        <w:t xml:space="preserve"> and Van </w:t>
      </w:r>
      <w:proofErr w:type="spellStart"/>
      <w:r w:rsidR="00D32985">
        <w:t>Overw</w:t>
      </w:r>
      <w:r w:rsidR="00C80A1D">
        <w:t>a</w:t>
      </w:r>
      <w:r w:rsidR="00D32985">
        <w:t>lle</w:t>
      </w:r>
      <w:proofErr w:type="spellEnd"/>
      <w:r w:rsidR="00FF3496">
        <w:t>, G.</w:t>
      </w:r>
      <w:r w:rsidR="00D32985">
        <w:t xml:space="preserve"> 2011, </w:t>
      </w:r>
      <w:r w:rsidR="00FF3496">
        <w:t>‘</w:t>
      </w:r>
      <w:r>
        <w:t>A paper tiger?: compulsory license regimes for p</w:t>
      </w:r>
      <w:r w:rsidR="00D32985">
        <w:t>ubli</w:t>
      </w:r>
      <w:r>
        <w:t>c h</w:t>
      </w:r>
      <w:r w:rsidR="00D32985">
        <w:t>ealth in Europe</w:t>
      </w:r>
      <w:r w:rsidR="00FF3496">
        <w:t>’</w:t>
      </w:r>
      <w:r w:rsidR="00D32985">
        <w:t xml:space="preserve">, </w:t>
      </w:r>
      <w:r w:rsidR="00D32985" w:rsidRPr="00053EA5">
        <w:rPr>
          <w:i/>
        </w:rPr>
        <w:t>International Review of Intellectual Property and Competition Law</w:t>
      </w:r>
      <w:r w:rsidR="00D32985">
        <w:t>, vol.</w:t>
      </w:r>
      <w:r w:rsidR="00FF3496">
        <w:t> </w:t>
      </w:r>
      <w:r w:rsidR="00D32985">
        <w:t xml:space="preserve">42, </w:t>
      </w:r>
      <w:r w:rsidR="00FF3496">
        <w:t>n</w:t>
      </w:r>
      <w:r w:rsidR="00D32985">
        <w:t>o.</w:t>
      </w:r>
      <w:r w:rsidR="00FF3496">
        <w:t> </w:t>
      </w:r>
      <w:r w:rsidR="00D32985">
        <w:t>1</w:t>
      </w:r>
      <w:r w:rsidR="007F6739">
        <w:t>, pp. 4–40</w:t>
      </w:r>
      <w:r w:rsidR="00D32985">
        <w:t>.</w:t>
      </w:r>
    </w:p>
    <w:p w:rsidR="001607FC" w:rsidRDefault="00D8711C" w:rsidP="001607FC">
      <w:pPr>
        <w:pStyle w:val="Reference"/>
      </w:pPr>
      <w:r>
        <w:t>Vaughan, F.</w:t>
      </w:r>
      <w:r w:rsidR="001607FC">
        <w:t xml:space="preserve"> 1948, ‘Patent Policy’, </w:t>
      </w:r>
      <w:r w:rsidR="001607FC" w:rsidRPr="00240224">
        <w:rPr>
          <w:i/>
        </w:rPr>
        <w:t>The American Economic Review: Papers and Proceedings</w:t>
      </w:r>
      <w:r w:rsidR="001607FC">
        <w:t xml:space="preserve">, vol. 38, no. 2, pp. 215–234. </w:t>
      </w:r>
    </w:p>
    <w:p w:rsidR="00E50FCB" w:rsidRDefault="00E50FCB" w:rsidP="001607FC">
      <w:pPr>
        <w:pStyle w:val="Reference"/>
      </w:pPr>
      <w:proofErr w:type="spellStart"/>
      <w:r>
        <w:t>Watal</w:t>
      </w:r>
      <w:proofErr w:type="spellEnd"/>
      <w:r>
        <w:t xml:space="preserve"> J. 2000, </w:t>
      </w:r>
      <w:r w:rsidRPr="0003705F">
        <w:rPr>
          <w:i/>
        </w:rPr>
        <w:t>Access to Essential Medicines in Developing Countries: Does the WTO TRIPS Agreement</w:t>
      </w:r>
      <w:r>
        <w:t xml:space="preserve">, </w:t>
      </w:r>
      <w:r w:rsidRPr="0003705F">
        <w:rPr>
          <w:i/>
        </w:rPr>
        <w:t>Hinder It?</w:t>
      </w:r>
      <w:r>
        <w:t xml:space="preserve">, Science, </w:t>
      </w:r>
      <w:r w:rsidRPr="0003705F">
        <w:t>Technology and Innovation Discussion Paper No. 8</w:t>
      </w:r>
      <w:r>
        <w:t xml:space="preserve">, </w:t>
      </w:r>
      <w:r w:rsidRPr="0003705F">
        <w:t>Harvard University</w:t>
      </w:r>
      <w:r>
        <w:t xml:space="preserve">, Cambridge. </w:t>
      </w:r>
    </w:p>
    <w:p w:rsidR="00470685" w:rsidRDefault="0060381E" w:rsidP="001607FC">
      <w:pPr>
        <w:pStyle w:val="Reference"/>
      </w:pPr>
      <w:r>
        <w:lastRenderedPageBreak/>
        <w:t>WHO (World Health Organis</w:t>
      </w:r>
      <w:r w:rsidR="00470685" w:rsidRPr="0052311A">
        <w:t>ati</w:t>
      </w:r>
      <w:r>
        <w:t>on) and WTO (World Trade Organis</w:t>
      </w:r>
      <w:r w:rsidR="00470685" w:rsidRPr="0052311A">
        <w:t xml:space="preserve">ation) Secretariat 2002, </w:t>
      </w:r>
      <w:r w:rsidR="00470685" w:rsidRPr="0052311A">
        <w:rPr>
          <w:i/>
        </w:rPr>
        <w:t>WTO Agreements and Public Health</w:t>
      </w:r>
      <w:r w:rsidR="00470685">
        <w:t>, WTO Secretariat, Geneva.</w:t>
      </w:r>
    </w:p>
    <w:p w:rsidR="00376645" w:rsidRDefault="007C7AB4" w:rsidP="007C7AB4">
      <w:pPr>
        <w:pStyle w:val="Reference"/>
      </w:pPr>
      <w:proofErr w:type="spellStart"/>
      <w:r>
        <w:t>WIPO</w:t>
      </w:r>
      <w:proofErr w:type="spellEnd"/>
      <w:r>
        <w:t xml:space="preserve"> (World Intellectual Property Organisation) </w:t>
      </w:r>
      <w:r w:rsidR="00376645">
        <w:t xml:space="preserve">2008, </w:t>
      </w:r>
      <w:proofErr w:type="spellStart"/>
      <w:r w:rsidR="00376645" w:rsidRPr="00E70F20">
        <w:rPr>
          <w:i/>
        </w:rPr>
        <w:t>WIPO</w:t>
      </w:r>
      <w:proofErr w:type="spellEnd"/>
      <w:r w:rsidR="00376645" w:rsidRPr="00E70F20">
        <w:rPr>
          <w:i/>
        </w:rPr>
        <w:t xml:space="preserve"> Intellectual Property Handbook</w:t>
      </w:r>
      <w:r w:rsidR="00376645">
        <w:t xml:space="preserve">, </w:t>
      </w:r>
      <w:r w:rsidR="00376645" w:rsidRPr="007F564A">
        <w:rPr>
          <w:bCs/>
        </w:rPr>
        <w:t>http://</w:t>
      </w:r>
      <w:proofErr w:type="spellStart"/>
      <w:r w:rsidR="00376645" w:rsidRPr="007F564A">
        <w:rPr>
          <w:bCs/>
        </w:rPr>
        <w:t>www.wipo.int</w:t>
      </w:r>
      <w:proofErr w:type="spellEnd"/>
      <w:r w:rsidR="00376645" w:rsidRPr="007F564A">
        <w:rPr>
          <w:bCs/>
        </w:rPr>
        <w:t>/about-</w:t>
      </w:r>
      <w:proofErr w:type="spellStart"/>
      <w:r w:rsidR="00376645" w:rsidRPr="007F564A">
        <w:rPr>
          <w:bCs/>
        </w:rPr>
        <w:t>ip</w:t>
      </w:r>
      <w:proofErr w:type="spellEnd"/>
      <w:r w:rsidR="00376645" w:rsidRPr="007F564A">
        <w:rPr>
          <w:bCs/>
        </w:rPr>
        <w:t>/en/</w:t>
      </w:r>
      <w:proofErr w:type="spellStart"/>
      <w:r w:rsidR="00376645" w:rsidRPr="007F564A">
        <w:rPr>
          <w:bCs/>
        </w:rPr>
        <w:t>iprm</w:t>
      </w:r>
      <w:proofErr w:type="spellEnd"/>
      <w:r w:rsidR="00376645" w:rsidRPr="007F564A">
        <w:rPr>
          <w:bCs/>
        </w:rPr>
        <w:t>/</w:t>
      </w:r>
      <w:r w:rsidR="00376645">
        <w:t xml:space="preserve"> (accessed 20 September 2012).</w:t>
      </w:r>
    </w:p>
    <w:p w:rsidR="007C7AB4" w:rsidRDefault="00376645" w:rsidP="007C7AB4">
      <w:pPr>
        <w:pStyle w:val="Reference"/>
      </w:pPr>
      <w:r>
        <w:t>—— </w:t>
      </w:r>
      <w:proofErr w:type="spellStart"/>
      <w:r w:rsidR="004B601D">
        <w:t>2010</w:t>
      </w:r>
      <w:r w:rsidR="00F771F6">
        <w:t>a</w:t>
      </w:r>
      <w:proofErr w:type="spellEnd"/>
      <w:r w:rsidR="004B601D">
        <w:t xml:space="preserve">, </w:t>
      </w:r>
      <w:r w:rsidR="004B601D">
        <w:rPr>
          <w:i/>
        </w:rPr>
        <w:t>Annex 2, P</w:t>
      </w:r>
      <w:r w:rsidR="004B601D" w:rsidRPr="007C7948">
        <w:rPr>
          <w:i/>
        </w:rPr>
        <w:t xml:space="preserve">atent </w:t>
      </w:r>
      <w:r w:rsidR="00D8711C">
        <w:rPr>
          <w:i/>
        </w:rPr>
        <w:t>Related Flexibilities in the Multilateral Legal Framework and Their Legislative Implementation at the National and Regional L</w:t>
      </w:r>
      <w:r w:rsidR="004B601D" w:rsidRPr="007C7948">
        <w:rPr>
          <w:i/>
        </w:rPr>
        <w:t>evels</w:t>
      </w:r>
      <w:r w:rsidR="004B601D">
        <w:t xml:space="preserve">, </w:t>
      </w:r>
      <w:r w:rsidR="004B601D" w:rsidRPr="00370C73">
        <w:rPr>
          <w:bCs/>
          <w:szCs w:val="26"/>
        </w:rPr>
        <w:t>http://</w:t>
      </w:r>
      <w:proofErr w:type="spellStart"/>
      <w:r w:rsidR="004B601D" w:rsidRPr="00370C73">
        <w:rPr>
          <w:bCs/>
          <w:szCs w:val="26"/>
        </w:rPr>
        <w:t>www.wipo.int</w:t>
      </w:r>
      <w:proofErr w:type="spellEnd"/>
      <w:r w:rsidR="004B601D" w:rsidRPr="00370C73">
        <w:rPr>
          <w:bCs/>
          <w:szCs w:val="26"/>
        </w:rPr>
        <w:t>/meetings/en/</w:t>
      </w:r>
      <w:proofErr w:type="spellStart"/>
      <w:r w:rsidR="004B601D" w:rsidRPr="00370C73">
        <w:rPr>
          <w:bCs/>
          <w:szCs w:val="26"/>
        </w:rPr>
        <w:t>doc_details.jsp?doc_id</w:t>
      </w:r>
      <w:proofErr w:type="spellEnd"/>
      <w:r w:rsidR="004B601D" w:rsidRPr="00370C73">
        <w:rPr>
          <w:bCs/>
          <w:szCs w:val="26"/>
        </w:rPr>
        <w:t>=131629</w:t>
      </w:r>
      <w:r w:rsidR="004B601D">
        <w:t xml:space="preserve"> (accessed 27 August 2012).</w:t>
      </w:r>
    </w:p>
    <w:p w:rsidR="00F771F6" w:rsidRDefault="00F771F6" w:rsidP="007C7AB4">
      <w:pPr>
        <w:pStyle w:val="Reference"/>
      </w:pPr>
      <w:r>
        <w:t>—— </w:t>
      </w:r>
      <w:proofErr w:type="spellStart"/>
      <w:r>
        <w:t>2010b</w:t>
      </w:r>
      <w:proofErr w:type="spellEnd"/>
      <w:r>
        <w:t xml:space="preserve">, </w:t>
      </w:r>
      <w:r>
        <w:rPr>
          <w:i/>
        </w:rPr>
        <w:t>Experts’ Study on Exclusio</w:t>
      </w:r>
      <w:r w:rsidR="00D8711C">
        <w:rPr>
          <w:i/>
        </w:rPr>
        <w:t>ns from Patentable Subject M</w:t>
      </w:r>
      <w:r>
        <w:rPr>
          <w:i/>
        </w:rPr>
        <w:t>atter and Exceptions and Limitations to the Rights</w:t>
      </w:r>
      <w:r>
        <w:t>, Fifteenth Session of the Standing Committee on the Law of Patents, October, Geneva.</w:t>
      </w:r>
    </w:p>
    <w:p w:rsidR="00AE1E33" w:rsidRDefault="000D7855" w:rsidP="007C7AB4">
      <w:pPr>
        <w:pStyle w:val="Reference"/>
        <w:rPr>
          <w:szCs w:val="26"/>
        </w:rPr>
      </w:pPr>
      <w:r>
        <w:t>—— </w:t>
      </w:r>
      <w:proofErr w:type="spellStart"/>
      <w:r>
        <w:t>2011</w:t>
      </w:r>
      <w:r w:rsidR="006C67BC">
        <w:t>a</w:t>
      </w:r>
      <w:proofErr w:type="spellEnd"/>
      <w:r>
        <w:t xml:space="preserve">, </w:t>
      </w:r>
      <w:r w:rsidR="00D8711C">
        <w:rPr>
          <w:i/>
          <w:szCs w:val="26"/>
        </w:rPr>
        <w:t>Report from the Fifteenth S</w:t>
      </w:r>
      <w:r w:rsidRPr="00E21CB2">
        <w:rPr>
          <w:i/>
          <w:szCs w:val="26"/>
        </w:rPr>
        <w:t>ession of the Standing Committee on the Law of Patents</w:t>
      </w:r>
      <w:r>
        <w:rPr>
          <w:szCs w:val="26"/>
        </w:rPr>
        <w:t>, 11–15 October 2010, Geneva.</w:t>
      </w:r>
    </w:p>
    <w:p w:rsidR="00C3422D" w:rsidRDefault="00C3422D" w:rsidP="007C7AB4">
      <w:pPr>
        <w:pStyle w:val="Reference"/>
        <w:rPr>
          <w:szCs w:val="26"/>
        </w:rPr>
      </w:pPr>
      <w:r>
        <w:rPr>
          <w:szCs w:val="26"/>
        </w:rPr>
        <w:t>—— </w:t>
      </w:r>
      <w:proofErr w:type="spellStart"/>
      <w:r>
        <w:rPr>
          <w:szCs w:val="26"/>
        </w:rPr>
        <w:t>2011</w:t>
      </w:r>
      <w:r w:rsidR="006C67BC">
        <w:rPr>
          <w:szCs w:val="26"/>
        </w:rPr>
        <w:t>b</w:t>
      </w:r>
      <w:proofErr w:type="spellEnd"/>
      <w:r>
        <w:rPr>
          <w:szCs w:val="26"/>
        </w:rPr>
        <w:t xml:space="preserve">, </w:t>
      </w:r>
      <w:r>
        <w:rPr>
          <w:i/>
          <w:iCs/>
          <w:szCs w:val="26"/>
        </w:rPr>
        <w:t xml:space="preserve">Survey on Compulsory Licenses Granted by </w:t>
      </w:r>
      <w:proofErr w:type="spellStart"/>
      <w:r>
        <w:rPr>
          <w:i/>
          <w:iCs/>
          <w:szCs w:val="26"/>
        </w:rPr>
        <w:t>WIPO</w:t>
      </w:r>
      <w:proofErr w:type="spellEnd"/>
      <w:r>
        <w:rPr>
          <w:i/>
          <w:iCs/>
          <w:szCs w:val="26"/>
        </w:rPr>
        <w:t xml:space="preserve"> Member States to Address Anti-Competitive Uses of Intellectual Property Rights</w:t>
      </w:r>
      <w:r>
        <w:rPr>
          <w:szCs w:val="26"/>
        </w:rPr>
        <w:t xml:space="preserve">, </w:t>
      </w:r>
      <w:proofErr w:type="spellStart"/>
      <w:r>
        <w:rPr>
          <w:szCs w:val="26"/>
        </w:rPr>
        <w:t>CDIP</w:t>
      </w:r>
      <w:proofErr w:type="spellEnd"/>
      <w:r>
        <w:rPr>
          <w:szCs w:val="26"/>
        </w:rPr>
        <w:t>/4/4 REV./STUDY/INF/5, Geneva.</w:t>
      </w:r>
    </w:p>
    <w:p w:rsidR="00A048C6" w:rsidRDefault="00A048C6" w:rsidP="007C7AB4">
      <w:pPr>
        <w:pStyle w:val="Reference"/>
      </w:pPr>
      <w:r>
        <w:rPr>
          <w:szCs w:val="26"/>
        </w:rPr>
        <w:t>—— </w:t>
      </w:r>
      <w:proofErr w:type="spellStart"/>
      <w:r>
        <w:rPr>
          <w:szCs w:val="26"/>
        </w:rPr>
        <w:t>2011</w:t>
      </w:r>
      <w:r w:rsidR="006C67BC">
        <w:rPr>
          <w:szCs w:val="26"/>
        </w:rPr>
        <w:t>c</w:t>
      </w:r>
      <w:proofErr w:type="spellEnd"/>
      <w:r>
        <w:rPr>
          <w:szCs w:val="26"/>
        </w:rPr>
        <w:t xml:space="preserve">, </w:t>
      </w:r>
      <w:r w:rsidRPr="001C38D8">
        <w:rPr>
          <w:i/>
        </w:rPr>
        <w:t>World Intellec</w:t>
      </w:r>
      <w:r w:rsidR="00D8711C">
        <w:rPr>
          <w:i/>
        </w:rPr>
        <w:t>tual Property Indicators, 2011 E</w:t>
      </w:r>
      <w:r w:rsidRPr="001C38D8">
        <w:rPr>
          <w:i/>
        </w:rPr>
        <w:t>dition</w:t>
      </w:r>
      <w:r>
        <w:t xml:space="preserve">, </w:t>
      </w:r>
      <w:proofErr w:type="spellStart"/>
      <w:r>
        <w:t>WIPO</w:t>
      </w:r>
      <w:proofErr w:type="spellEnd"/>
      <w:r>
        <w:t xml:space="preserve"> publication no. 941, December.</w:t>
      </w:r>
    </w:p>
    <w:p w:rsidR="00275C1F" w:rsidRDefault="00275C1F" w:rsidP="007C7AB4">
      <w:pPr>
        <w:pStyle w:val="Reference"/>
        <w:rPr>
          <w:szCs w:val="26"/>
        </w:rPr>
      </w:pPr>
      <w:r>
        <w:t>—— </w:t>
      </w:r>
      <w:proofErr w:type="spellStart"/>
      <w:r>
        <w:t>2012a</w:t>
      </w:r>
      <w:proofErr w:type="spellEnd"/>
      <w:r>
        <w:t xml:space="preserve">, </w:t>
      </w:r>
      <w:r w:rsidR="00C36591">
        <w:rPr>
          <w:i/>
          <w:szCs w:val="26"/>
        </w:rPr>
        <w:t>2012</w:t>
      </w:r>
      <w:r w:rsidRPr="00B910B2">
        <w:rPr>
          <w:i/>
          <w:szCs w:val="26"/>
        </w:rPr>
        <w:t xml:space="preserve"> </w:t>
      </w:r>
      <w:proofErr w:type="spellStart"/>
      <w:r w:rsidRPr="00B910B2">
        <w:rPr>
          <w:i/>
          <w:szCs w:val="26"/>
        </w:rPr>
        <w:t>WIPO</w:t>
      </w:r>
      <w:proofErr w:type="spellEnd"/>
      <w:r w:rsidRPr="00B910B2">
        <w:rPr>
          <w:i/>
          <w:szCs w:val="26"/>
        </w:rPr>
        <w:t xml:space="preserve"> IP Facts and Figures</w:t>
      </w:r>
      <w:r>
        <w:rPr>
          <w:szCs w:val="26"/>
        </w:rPr>
        <w:t xml:space="preserve">, </w:t>
      </w:r>
      <w:proofErr w:type="spellStart"/>
      <w:r>
        <w:rPr>
          <w:szCs w:val="26"/>
        </w:rPr>
        <w:t>WIPO</w:t>
      </w:r>
      <w:proofErr w:type="spellEnd"/>
      <w:r>
        <w:rPr>
          <w:szCs w:val="26"/>
        </w:rPr>
        <w:t xml:space="preserve"> Economics &amp; Statistics Series, Geneva.</w:t>
      </w:r>
    </w:p>
    <w:p w:rsidR="00FD6CA3" w:rsidRDefault="00FD6CA3" w:rsidP="007C7AB4">
      <w:pPr>
        <w:pStyle w:val="Reference"/>
        <w:rPr>
          <w:szCs w:val="26"/>
        </w:rPr>
      </w:pPr>
      <w:r>
        <w:rPr>
          <w:szCs w:val="26"/>
        </w:rPr>
        <w:t>—— </w:t>
      </w:r>
      <w:proofErr w:type="spellStart"/>
      <w:r>
        <w:rPr>
          <w:szCs w:val="26"/>
        </w:rPr>
        <w:t>2012b</w:t>
      </w:r>
      <w:proofErr w:type="spellEnd"/>
      <w:r>
        <w:rPr>
          <w:szCs w:val="26"/>
        </w:rPr>
        <w:t xml:space="preserve">, </w:t>
      </w:r>
      <w:r w:rsidR="00E21CB2" w:rsidRPr="00B62E3B">
        <w:rPr>
          <w:i/>
          <w:szCs w:val="26"/>
        </w:rPr>
        <w:t xml:space="preserve">Republic of Korea, Patent Act (Act No. 950, </w:t>
      </w:r>
      <w:r w:rsidR="00E21CB2">
        <w:rPr>
          <w:i/>
          <w:szCs w:val="26"/>
        </w:rPr>
        <w:t>P</w:t>
      </w:r>
      <w:r w:rsidR="00E21CB2" w:rsidRPr="00B62E3B">
        <w:rPr>
          <w:i/>
          <w:szCs w:val="26"/>
        </w:rPr>
        <w:t>romulgated on December 31, 1961, as last amended on January 30, 2009 by Act No. 9381)</w:t>
      </w:r>
      <w:r w:rsidR="00E21CB2">
        <w:rPr>
          <w:szCs w:val="26"/>
        </w:rPr>
        <w:t xml:space="preserve">, </w:t>
      </w:r>
      <w:r w:rsidR="00E21CB2" w:rsidRPr="00E5053B">
        <w:rPr>
          <w:bCs/>
          <w:szCs w:val="26"/>
        </w:rPr>
        <w:t>http://www</w:t>
      </w:r>
      <w:r w:rsidR="00E21CB2">
        <w:rPr>
          <w:bCs/>
          <w:szCs w:val="26"/>
        </w:rPr>
        <w:t>.wipo.int/wipolex/en/text.wipol</w:t>
      </w:r>
      <w:r w:rsidR="00E21CB2" w:rsidRPr="00E5053B">
        <w:rPr>
          <w:bCs/>
          <w:szCs w:val="26"/>
        </w:rPr>
        <w:t>ex/en/text.jsp?file_id=214463</w:t>
      </w:r>
      <w:r w:rsidR="00E21CB2">
        <w:rPr>
          <w:szCs w:val="26"/>
        </w:rPr>
        <w:t xml:space="preserve"> (accessed 4 September 2012).</w:t>
      </w:r>
    </w:p>
    <w:p w:rsidR="00785AAD" w:rsidRDefault="00785AAD" w:rsidP="007C7AB4">
      <w:pPr>
        <w:pStyle w:val="Reference"/>
      </w:pPr>
      <w:r>
        <w:rPr>
          <w:szCs w:val="26"/>
        </w:rPr>
        <w:t>—— </w:t>
      </w:r>
      <w:proofErr w:type="spellStart"/>
      <w:r>
        <w:rPr>
          <w:szCs w:val="26"/>
        </w:rPr>
        <w:t>2012c</w:t>
      </w:r>
      <w:proofErr w:type="spellEnd"/>
      <w:r>
        <w:rPr>
          <w:szCs w:val="26"/>
        </w:rPr>
        <w:t xml:space="preserve">, </w:t>
      </w:r>
      <w:r w:rsidR="00B13A4B" w:rsidRPr="00DA42C1">
        <w:rPr>
          <w:i/>
        </w:rPr>
        <w:t>Statistical Country Profile: Australia</w:t>
      </w:r>
      <w:r w:rsidR="00B13A4B">
        <w:t xml:space="preserve">, </w:t>
      </w:r>
      <w:r w:rsidR="00B13A4B" w:rsidRPr="00DA42C1">
        <w:t>http://</w:t>
      </w:r>
      <w:proofErr w:type="spellStart"/>
      <w:r w:rsidR="00B13A4B" w:rsidRPr="00DA42C1">
        <w:t>www.wipo.int</w:t>
      </w:r>
      <w:proofErr w:type="spellEnd"/>
      <w:r w:rsidR="00B13A4B" w:rsidRPr="00DA42C1">
        <w:t>/</w:t>
      </w:r>
      <w:proofErr w:type="spellStart"/>
      <w:r w:rsidR="00B13A4B" w:rsidRPr="00DA42C1">
        <w:t>ipstats</w:t>
      </w:r>
      <w:proofErr w:type="spellEnd"/>
      <w:r w:rsidR="00B13A4B" w:rsidRPr="00DA42C1">
        <w:t>/en</w:t>
      </w:r>
      <w:r w:rsidR="00B13A4B">
        <w:t xml:space="preserve"> </w:t>
      </w:r>
      <w:r w:rsidR="00B13A4B" w:rsidRPr="00DA42C1">
        <w:t>/statistics/</w:t>
      </w:r>
      <w:proofErr w:type="spellStart"/>
      <w:r w:rsidR="00B13A4B" w:rsidRPr="00DA42C1">
        <w:t>country_profile</w:t>
      </w:r>
      <w:proofErr w:type="spellEnd"/>
      <w:r w:rsidR="00B13A4B" w:rsidRPr="00DA42C1">
        <w:t>/countries/</w:t>
      </w:r>
      <w:proofErr w:type="spellStart"/>
      <w:r w:rsidR="00B13A4B" w:rsidRPr="00DA42C1">
        <w:t>au.html</w:t>
      </w:r>
      <w:proofErr w:type="spellEnd"/>
      <w:r w:rsidR="00B13A4B">
        <w:t xml:space="preserve"> (accessed 21 August 2012).</w:t>
      </w:r>
    </w:p>
    <w:p w:rsidR="00541995" w:rsidRDefault="00541995" w:rsidP="007C7AB4">
      <w:pPr>
        <w:pStyle w:val="Reference"/>
      </w:pPr>
      <w:r>
        <w:t>—— </w:t>
      </w:r>
      <w:proofErr w:type="spellStart"/>
      <w:r>
        <w:t>2012d</w:t>
      </w:r>
      <w:proofErr w:type="spellEnd"/>
      <w:r>
        <w:t xml:space="preserve">, </w:t>
      </w:r>
      <w:r w:rsidR="00922C96" w:rsidRPr="0090064D">
        <w:rPr>
          <w:i/>
        </w:rPr>
        <w:t>Statistical Country Profile: Canada</w:t>
      </w:r>
      <w:r w:rsidR="00922C96">
        <w:t xml:space="preserve">, </w:t>
      </w:r>
      <w:r w:rsidR="00922C96" w:rsidRPr="00A571B1">
        <w:t>http://</w:t>
      </w:r>
      <w:proofErr w:type="spellStart"/>
      <w:r w:rsidR="00922C96" w:rsidRPr="00A571B1">
        <w:t>www.wipo.int</w:t>
      </w:r>
      <w:proofErr w:type="spellEnd"/>
      <w:r w:rsidR="00922C96" w:rsidRPr="00A571B1">
        <w:t>/</w:t>
      </w:r>
      <w:proofErr w:type="spellStart"/>
      <w:r w:rsidR="00922C96" w:rsidRPr="00A571B1">
        <w:t>ipstats</w:t>
      </w:r>
      <w:proofErr w:type="spellEnd"/>
      <w:r w:rsidR="00922C96" w:rsidRPr="00A571B1">
        <w:t>/ en/statistics/</w:t>
      </w:r>
      <w:proofErr w:type="spellStart"/>
      <w:r w:rsidR="00922C96" w:rsidRPr="00A571B1">
        <w:t>country_profile</w:t>
      </w:r>
      <w:proofErr w:type="spellEnd"/>
      <w:r w:rsidR="00922C96" w:rsidRPr="00A571B1">
        <w:t>/countries/</w:t>
      </w:r>
      <w:proofErr w:type="spellStart"/>
      <w:r w:rsidR="00922C96" w:rsidRPr="00A571B1">
        <w:t>ca.html</w:t>
      </w:r>
      <w:proofErr w:type="spellEnd"/>
      <w:r w:rsidR="00922C96">
        <w:t xml:space="preserve"> (accessed 1 November 2012).</w:t>
      </w:r>
    </w:p>
    <w:p w:rsidR="00922C96" w:rsidRDefault="00922C96" w:rsidP="007C7AB4">
      <w:pPr>
        <w:pStyle w:val="Reference"/>
      </w:pPr>
      <w:r>
        <w:t>—— </w:t>
      </w:r>
      <w:proofErr w:type="spellStart"/>
      <w:r>
        <w:t>2012e</w:t>
      </w:r>
      <w:proofErr w:type="spellEnd"/>
      <w:r>
        <w:t xml:space="preserve">, </w:t>
      </w:r>
      <w:r w:rsidR="00A364B9" w:rsidRPr="0090064D">
        <w:rPr>
          <w:i/>
        </w:rPr>
        <w:t xml:space="preserve">Statistical Country Profile: </w:t>
      </w:r>
      <w:r w:rsidR="003B1A41">
        <w:rPr>
          <w:i/>
        </w:rPr>
        <w:t>United States of America</w:t>
      </w:r>
      <w:r w:rsidR="00A364B9">
        <w:t xml:space="preserve">, </w:t>
      </w:r>
      <w:r w:rsidR="00A364B9" w:rsidRPr="00A571B1">
        <w:t>http://</w:t>
      </w:r>
      <w:proofErr w:type="spellStart"/>
      <w:r w:rsidR="00A364B9" w:rsidRPr="00A571B1">
        <w:t>www.wipo.int</w:t>
      </w:r>
      <w:proofErr w:type="spellEnd"/>
      <w:r w:rsidR="00A364B9" w:rsidRPr="00A571B1">
        <w:t>/</w:t>
      </w:r>
      <w:proofErr w:type="spellStart"/>
      <w:r w:rsidR="00A364B9" w:rsidRPr="00A571B1">
        <w:t>ipstats</w:t>
      </w:r>
      <w:proofErr w:type="spellEnd"/>
      <w:r w:rsidR="00A364B9" w:rsidRPr="00A571B1">
        <w:t>/ en/statistics/</w:t>
      </w:r>
      <w:proofErr w:type="spellStart"/>
      <w:r w:rsidR="00A364B9" w:rsidRPr="00A571B1">
        <w:t>country_profile</w:t>
      </w:r>
      <w:proofErr w:type="spellEnd"/>
      <w:r w:rsidR="00A364B9" w:rsidRPr="00A571B1">
        <w:t>/countries/</w:t>
      </w:r>
      <w:proofErr w:type="spellStart"/>
      <w:r w:rsidR="003B1A41">
        <w:t>us</w:t>
      </w:r>
      <w:r w:rsidR="00A364B9" w:rsidRPr="00A571B1">
        <w:t>.html</w:t>
      </w:r>
      <w:proofErr w:type="spellEnd"/>
      <w:r w:rsidR="00A364B9">
        <w:t xml:space="preserve"> (accessed 1 November 2012).</w:t>
      </w:r>
    </w:p>
    <w:p w:rsidR="007C7AB4" w:rsidRDefault="007C7AB4" w:rsidP="007C7AB4">
      <w:pPr>
        <w:pStyle w:val="Reference"/>
      </w:pPr>
      <w:r>
        <w:t>—— </w:t>
      </w:r>
      <w:proofErr w:type="spellStart"/>
      <w:r>
        <w:t>nd</w:t>
      </w:r>
      <w:proofErr w:type="spellEnd"/>
      <w:r>
        <w:t xml:space="preserve">, </w:t>
      </w:r>
      <w:r w:rsidRPr="00471559">
        <w:rPr>
          <w:i/>
        </w:rPr>
        <w:t>What is Intellectual Property?</w:t>
      </w:r>
      <w:r>
        <w:t xml:space="preserve">, </w:t>
      </w:r>
      <w:r w:rsidRPr="00471559">
        <w:t>http://</w:t>
      </w:r>
      <w:proofErr w:type="spellStart"/>
      <w:r w:rsidRPr="00471559">
        <w:t>www.wipo.int</w:t>
      </w:r>
      <w:proofErr w:type="spellEnd"/>
      <w:r w:rsidRPr="00471559">
        <w:t>/about-</w:t>
      </w:r>
      <w:proofErr w:type="spellStart"/>
      <w:r w:rsidRPr="00471559">
        <w:t>ip</w:t>
      </w:r>
      <w:proofErr w:type="spellEnd"/>
      <w:r w:rsidRPr="00471559">
        <w:t>/en/</w:t>
      </w:r>
      <w:r>
        <w:t xml:space="preserve"> (accessed 9 August 2012).</w:t>
      </w:r>
    </w:p>
    <w:p w:rsidR="007C7AB4" w:rsidRPr="00F622C4" w:rsidRDefault="00D8711C" w:rsidP="007C7AB4">
      <w:pPr>
        <w:pStyle w:val="Reference"/>
      </w:pPr>
      <w:r>
        <w:lastRenderedPageBreak/>
        <w:t>Wright, B. 1983, ‘The economics of invention incentives: patents, p</w:t>
      </w:r>
      <w:r w:rsidR="007C7AB4">
        <w:t>rizes, an</w:t>
      </w:r>
      <w:r>
        <w:t>d research c</w:t>
      </w:r>
      <w:r w:rsidR="007C7AB4">
        <w:t xml:space="preserve">ontracts’, </w:t>
      </w:r>
      <w:r w:rsidR="007C7AB4" w:rsidRPr="00473285">
        <w:rPr>
          <w:i/>
        </w:rPr>
        <w:t>The American Economic Review</w:t>
      </w:r>
      <w:r w:rsidR="007C7AB4">
        <w:t xml:space="preserve">, vol. 73, no 4, pp. 691–707. </w:t>
      </w:r>
    </w:p>
    <w:p w:rsidR="00A66DE9" w:rsidRDefault="00A77E6C" w:rsidP="00A77E6C">
      <w:pPr>
        <w:pStyle w:val="Reference"/>
      </w:pPr>
      <w:r>
        <w:t xml:space="preserve">WTO (World Trade Organisation) </w:t>
      </w:r>
      <w:r w:rsidR="00A66DE9">
        <w:t xml:space="preserve">2000, </w:t>
      </w:r>
      <w:r w:rsidR="00A66DE9">
        <w:rPr>
          <w:i/>
        </w:rPr>
        <w:t>Canada – Patent Protection of Pharmaceutical Products</w:t>
      </w:r>
      <w:r w:rsidR="00A66DE9">
        <w:t xml:space="preserve">, Report of the Panel, </w:t>
      </w:r>
      <w:proofErr w:type="spellStart"/>
      <w:r w:rsidR="00A66DE9">
        <w:t>WT</w:t>
      </w:r>
      <w:proofErr w:type="spellEnd"/>
      <w:r w:rsidR="00A66DE9">
        <w:t>/</w:t>
      </w:r>
      <w:proofErr w:type="spellStart"/>
      <w:r w:rsidR="00A66DE9">
        <w:t>DS114</w:t>
      </w:r>
      <w:proofErr w:type="spellEnd"/>
      <w:r w:rsidR="00A66DE9">
        <w:t>/R, 17 March.</w:t>
      </w:r>
    </w:p>
    <w:p w:rsidR="00A77E6C" w:rsidRPr="00177486" w:rsidRDefault="00A66DE9" w:rsidP="00A77E6C">
      <w:pPr>
        <w:pStyle w:val="Reference"/>
      </w:pPr>
      <w:r>
        <w:t>—— </w:t>
      </w:r>
      <w:r w:rsidR="00A77E6C">
        <w:t>2001</w:t>
      </w:r>
      <w:r w:rsidR="00A77E6C" w:rsidRPr="003530A7">
        <w:t xml:space="preserve">, </w:t>
      </w:r>
      <w:r w:rsidR="00D8711C">
        <w:rPr>
          <w:i/>
        </w:rPr>
        <w:t>Declaration on the TRIPS Agreement and Public H</w:t>
      </w:r>
      <w:r w:rsidR="00A77E6C">
        <w:rPr>
          <w:i/>
        </w:rPr>
        <w:t>ealth</w:t>
      </w:r>
      <w:r w:rsidR="00A77E6C" w:rsidRPr="003530A7">
        <w:t xml:space="preserve">, </w:t>
      </w:r>
      <w:r w:rsidR="00A77E6C" w:rsidRPr="007F564A">
        <w:rPr>
          <w:bCs/>
        </w:rPr>
        <w:t>http://</w:t>
      </w:r>
      <w:proofErr w:type="spellStart"/>
      <w:r w:rsidR="00A77E6C" w:rsidRPr="007F564A">
        <w:rPr>
          <w:bCs/>
        </w:rPr>
        <w:t>www.wto.org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english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thewto_e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minist_e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min01_e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mindecl</w:t>
      </w:r>
      <w:proofErr w:type="spellEnd"/>
      <w:r w:rsidR="00A77E6C" w:rsidRPr="007F564A">
        <w:rPr>
          <w:bCs/>
        </w:rPr>
        <w:t>_</w:t>
      </w:r>
      <w:r w:rsidR="00A77E6C">
        <w:rPr>
          <w:bCs/>
        </w:rPr>
        <w:t xml:space="preserve"> </w:t>
      </w:r>
      <w:r w:rsidR="00A77E6C" w:rsidRPr="007F564A">
        <w:rPr>
          <w:bCs/>
        </w:rPr>
        <w:t>trips</w:t>
      </w:r>
      <w:r w:rsidR="00A77E6C">
        <w:rPr>
          <w:bCs/>
        </w:rPr>
        <w:t xml:space="preserve"> </w:t>
      </w:r>
      <w:r w:rsidR="00A77E6C" w:rsidRPr="007F564A">
        <w:rPr>
          <w:bCs/>
        </w:rPr>
        <w:t>_</w:t>
      </w:r>
      <w:proofErr w:type="spellStart"/>
      <w:r w:rsidR="00A77E6C" w:rsidRPr="007F564A">
        <w:rPr>
          <w:bCs/>
        </w:rPr>
        <w:t>e.htm</w:t>
      </w:r>
      <w:proofErr w:type="spellEnd"/>
      <w:r w:rsidR="00A77E6C">
        <w:t xml:space="preserve"> (accessed 18 August 2012).</w:t>
      </w:r>
    </w:p>
    <w:p w:rsidR="00A77E6C" w:rsidRDefault="008A3533" w:rsidP="00A77E6C">
      <w:pPr>
        <w:pStyle w:val="Reference"/>
      </w:pPr>
      <w:r>
        <w:t>—— </w:t>
      </w:r>
      <w:r w:rsidR="00A77E6C">
        <w:t xml:space="preserve">2003, </w:t>
      </w:r>
      <w:r w:rsidR="00D8711C">
        <w:rPr>
          <w:i/>
        </w:rPr>
        <w:t>Implementation of P</w:t>
      </w:r>
      <w:r w:rsidR="00A77E6C">
        <w:rPr>
          <w:i/>
        </w:rPr>
        <w:t>aragraph 6 of the Doha Declarat</w:t>
      </w:r>
      <w:r w:rsidR="00D8711C">
        <w:rPr>
          <w:i/>
        </w:rPr>
        <w:t>ion on the TRIPS Agreement and Public H</w:t>
      </w:r>
      <w:r w:rsidR="00A77E6C">
        <w:rPr>
          <w:i/>
        </w:rPr>
        <w:t>ealth</w:t>
      </w:r>
      <w:r w:rsidR="00A77E6C">
        <w:t xml:space="preserve">, </w:t>
      </w:r>
      <w:r w:rsidR="00A77E6C" w:rsidRPr="007F564A">
        <w:rPr>
          <w:bCs/>
        </w:rPr>
        <w:t>http://</w:t>
      </w:r>
      <w:proofErr w:type="spellStart"/>
      <w:r w:rsidR="00A77E6C" w:rsidRPr="007F564A">
        <w:rPr>
          <w:bCs/>
        </w:rPr>
        <w:t>www.wto.org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english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tratop_e</w:t>
      </w:r>
      <w:proofErr w:type="spellEnd"/>
      <w:r w:rsidR="00A77E6C" w:rsidRPr="007F564A">
        <w:rPr>
          <w:bCs/>
        </w:rPr>
        <w:t>/</w:t>
      </w:r>
      <w:r w:rsidR="00A77E6C">
        <w:rPr>
          <w:bCs/>
        </w:rPr>
        <w:t xml:space="preserve"> </w:t>
      </w:r>
      <w:proofErr w:type="spellStart"/>
      <w:r w:rsidR="00A77E6C" w:rsidRPr="007F564A">
        <w:rPr>
          <w:bCs/>
        </w:rPr>
        <w:t>trips_e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implem_para6_e.htm</w:t>
      </w:r>
      <w:proofErr w:type="spellEnd"/>
      <w:r w:rsidR="00A77E6C">
        <w:t xml:space="preserve"> (accessed 18 August 2012).</w:t>
      </w:r>
    </w:p>
    <w:p w:rsidR="00A77E6C" w:rsidRPr="009B7082" w:rsidRDefault="008A3533" w:rsidP="00A77E6C">
      <w:pPr>
        <w:pStyle w:val="Reference"/>
      </w:pPr>
      <w:r>
        <w:t>—— </w:t>
      </w:r>
      <w:r w:rsidR="00A77E6C">
        <w:t xml:space="preserve">2005, </w:t>
      </w:r>
      <w:r w:rsidR="00D8711C">
        <w:rPr>
          <w:i/>
        </w:rPr>
        <w:t>Members OK Amendment to Make H</w:t>
      </w:r>
      <w:r w:rsidR="00A77E6C">
        <w:rPr>
          <w:i/>
        </w:rPr>
        <w:t>ea</w:t>
      </w:r>
      <w:r w:rsidR="00D8711C">
        <w:rPr>
          <w:i/>
        </w:rPr>
        <w:t>lth F</w:t>
      </w:r>
      <w:r w:rsidR="00A77E6C">
        <w:rPr>
          <w:i/>
        </w:rPr>
        <w:t xml:space="preserve">lexibility </w:t>
      </w:r>
      <w:r w:rsidR="00D8711C">
        <w:rPr>
          <w:i/>
        </w:rPr>
        <w:t>P</w:t>
      </w:r>
      <w:r w:rsidR="00A77E6C">
        <w:rPr>
          <w:i/>
        </w:rPr>
        <w:t>ermanent</w:t>
      </w:r>
      <w:r w:rsidR="00A77E6C">
        <w:t xml:space="preserve">, </w:t>
      </w:r>
      <w:r w:rsidR="00A77E6C" w:rsidRPr="007F564A">
        <w:rPr>
          <w:bCs/>
        </w:rPr>
        <w:t>http://</w:t>
      </w:r>
      <w:proofErr w:type="spellStart"/>
      <w:r w:rsidR="00A77E6C" w:rsidRPr="007F564A">
        <w:rPr>
          <w:bCs/>
        </w:rPr>
        <w:t>www.wto.org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english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news_e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pres05_e</w:t>
      </w:r>
      <w:proofErr w:type="spellEnd"/>
      <w:r w:rsidR="00A77E6C" w:rsidRPr="007F564A">
        <w:rPr>
          <w:bCs/>
        </w:rPr>
        <w:t>/</w:t>
      </w:r>
      <w:proofErr w:type="spellStart"/>
      <w:r w:rsidR="00A77E6C" w:rsidRPr="007F564A">
        <w:rPr>
          <w:bCs/>
        </w:rPr>
        <w:t>pr426_e.htm</w:t>
      </w:r>
      <w:proofErr w:type="spellEnd"/>
      <w:r w:rsidR="00B27C61">
        <w:t xml:space="preserve"> (accessed 18 August </w:t>
      </w:r>
      <w:r w:rsidR="00A77E6C">
        <w:t>2012).</w:t>
      </w:r>
    </w:p>
    <w:p w:rsidR="00716324" w:rsidRDefault="00A77E6C" w:rsidP="00716324">
      <w:pPr>
        <w:pStyle w:val="Reference"/>
      </w:pPr>
      <w:r>
        <w:t xml:space="preserve">—— 2010, </w:t>
      </w:r>
      <w:r w:rsidRPr="00E8278C">
        <w:rPr>
          <w:i/>
        </w:rPr>
        <w:t>Little-used ‘</w:t>
      </w:r>
      <w:proofErr w:type="spellStart"/>
      <w:r w:rsidRPr="00E8278C">
        <w:rPr>
          <w:i/>
        </w:rPr>
        <w:t>Par.6</w:t>
      </w:r>
      <w:proofErr w:type="spellEnd"/>
      <w:r w:rsidRPr="00E8278C">
        <w:rPr>
          <w:i/>
        </w:rPr>
        <w:t>’ system will have its day, WHO tells intellectual property and health review</w:t>
      </w:r>
      <w:r>
        <w:t xml:space="preserve">, 26/27 October, </w:t>
      </w:r>
      <w:r w:rsidR="00F35BB6" w:rsidRPr="00F35BB6">
        <w:rPr>
          <w:bCs/>
        </w:rPr>
        <w:t>http://</w:t>
      </w:r>
      <w:proofErr w:type="spellStart"/>
      <w:r w:rsidR="00F35BB6" w:rsidRPr="00F35BB6">
        <w:rPr>
          <w:bCs/>
        </w:rPr>
        <w:t>www.wto.org</w:t>
      </w:r>
      <w:proofErr w:type="spellEnd"/>
      <w:r w:rsidR="00F35BB6" w:rsidRPr="00F35BB6">
        <w:rPr>
          <w:bCs/>
        </w:rPr>
        <w:t>/</w:t>
      </w:r>
      <w:proofErr w:type="spellStart"/>
      <w:r w:rsidR="00F35BB6" w:rsidRPr="00F35BB6">
        <w:rPr>
          <w:bCs/>
        </w:rPr>
        <w:t>english</w:t>
      </w:r>
      <w:proofErr w:type="spellEnd"/>
      <w:r w:rsidR="00F35BB6" w:rsidRPr="00F35BB6">
        <w:rPr>
          <w:bCs/>
        </w:rPr>
        <w:t>/</w:t>
      </w:r>
      <w:r w:rsidR="00F35BB6">
        <w:rPr>
          <w:bCs/>
        </w:rPr>
        <w:t xml:space="preserve"> </w:t>
      </w:r>
      <w:proofErr w:type="spellStart"/>
      <w:r w:rsidRPr="00363440">
        <w:rPr>
          <w:bCs/>
        </w:rPr>
        <w:t>news_e</w:t>
      </w:r>
      <w:proofErr w:type="spellEnd"/>
      <w:r w:rsidRPr="00363440">
        <w:rPr>
          <w:bCs/>
        </w:rPr>
        <w:t>/</w:t>
      </w:r>
      <w:proofErr w:type="spellStart"/>
      <w:r w:rsidRPr="00363440">
        <w:rPr>
          <w:bCs/>
        </w:rPr>
        <w:t>news10_e</w:t>
      </w:r>
      <w:proofErr w:type="spellEnd"/>
      <w:r w:rsidRPr="00363440">
        <w:rPr>
          <w:bCs/>
        </w:rPr>
        <w:t>/</w:t>
      </w:r>
      <w:proofErr w:type="spellStart"/>
      <w:r w:rsidRPr="00363440">
        <w:rPr>
          <w:bCs/>
        </w:rPr>
        <w:t>trip_26oct10_e.htm</w:t>
      </w:r>
      <w:proofErr w:type="spellEnd"/>
      <w:r>
        <w:t xml:space="preserve"> (accessed 28 August 2012.</w:t>
      </w:r>
    </w:p>
    <w:p w:rsidR="0003230D" w:rsidRDefault="0003230D" w:rsidP="0003230D">
      <w:pPr>
        <w:pStyle w:val="Reference"/>
        <w:rPr>
          <w:szCs w:val="26"/>
        </w:rPr>
      </w:pPr>
      <w:proofErr w:type="spellStart"/>
      <w:r>
        <w:rPr>
          <w:szCs w:val="26"/>
        </w:rPr>
        <w:t>Yosick</w:t>
      </w:r>
      <w:proofErr w:type="spellEnd"/>
      <w:r>
        <w:rPr>
          <w:szCs w:val="26"/>
        </w:rPr>
        <w:t xml:space="preserve">, J. 2001, ‘Compulsory patent licensing for efficient use of inventions’, </w:t>
      </w:r>
      <w:r>
        <w:rPr>
          <w:i/>
          <w:iCs/>
          <w:szCs w:val="26"/>
        </w:rPr>
        <w:t xml:space="preserve">University of Illinois Law Review, </w:t>
      </w:r>
      <w:r>
        <w:rPr>
          <w:szCs w:val="26"/>
        </w:rPr>
        <w:t>vol. 2001, no. 5, pp. 1275–1304.</w:t>
      </w:r>
    </w:p>
    <w:p w:rsidR="00F056FC" w:rsidRDefault="00D8711C" w:rsidP="00A47DF7">
      <w:pPr>
        <w:pStyle w:val="Reference"/>
      </w:pPr>
      <w:r>
        <w:t>Zuniga, M.</w:t>
      </w:r>
      <w:r w:rsidR="006A6574">
        <w:t xml:space="preserve"> and </w:t>
      </w:r>
      <w:proofErr w:type="spellStart"/>
      <w:r w:rsidR="006A6574">
        <w:t>Guellec</w:t>
      </w:r>
      <w:proofErr w:type="spellEnd"/>
      <w:r w:rsidR="006A6574">
        <w:t xml:space="preserve">, D. 2009, </w:t>
      </w:r>
      <w:r w:rsidR="006A6574" w:rsidRPr="001942CB">
        <w:rPr>
          <w:i/>
        </w:rPr>
        <w:t>Who Licenses Out Patents and Why? Lessons From a Business Survey</w:t>
      </w:r>
      <w:r w:rsidR="006A6574">
        <w:t xml:space="preserve">, </w:t>
      </w:r>
      <w:proofErr w:type="spellStart"/>
      <w:r w:rsidR="006A6574">
        <w:t>STI</w:t>
      </w:r>
      <w:proofErr w:type="spellEnd"/>
      <w:r w:rsidR="006A6574">
        <w:t xml:space="preserve"> Working Paper, 2009/5, Paris.</w:t>
      </w:r>
    </w:p>
    <w:sectPr w:rsidR="00F056FC" w:rsidSect="00EA13B5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985" w:right="1304" w:bottom="1418" w:left="1814" w:header="1701" w:footer="567" w:gutter="0"/>
      <w:pgNumType w:start="28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11C" w:rsidRDefault="00D8711C">
      <w:r>
        <w:separator/>
      </w:r>
    </w:p>
  </w:endnote>
  <w:endnote w:type="continuationSeparator" w:id="0">
    <w:p w:rsidR="00D8711C" w:rsidRDefault="00D87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1644"/>
      <w:gridCol w:w="6634"/>
    </w:tblGrid>
    <w:tr w:rsidR="00D8711C">
      <w:trPr>
        <w:trHeight w:hRule="exact" w:val="740"/>
      </w:trPr>
      <w:tc>
        <w:tcPr>
          <w:tcW w:w="510" w:type="dxa"/>
          <w:tcBorders>
            <w:top w:val="single" w:sz="6" w:space="0" w:color="auto"/>
          </w:tcBorders>
        </w:tcPr>
        <w:p w:rsidR="00D8711C" w:rsidRDefault="00D8711C" w:rsidP="0019293B">
          <w:pPr>
            <w:pStyle w:val="Footer"/>
            <w:tabs>
              <w:tab w:val="left" w:pos="0"/>
            </w:tabs>
            <w:ind w:right="0"/>
            <w:rPr>
              <w:rStyle w:val="PageNumber"/>
            </w:rPr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A361E1">
            <w:rPr>
              <w:rStyle w:val="PageNumber"/>
              <w:noProof/>
            </w:rPr>
            <w:t>306</w:t>
          </w:r>
          <w:r>
            <w:rPr>
              <w:rStyle w:val="PageNumber"/>
            </w:rPr>
            <w:fldChar w:fldCharType="end"/>
          </w:r>
        </w:p>
      </w:tc>
      <w:tc>
        <w:tcPr>
          <w:tcW w:w="1644" w:type="dxa"/>
          <w:tcBorders>
            <w:top w:val="single" w:sz="6" w:space="0" w:color="auto"/>
          </w:tcBorders>
        </w:tcPr>
        <w:p w:rsidR="00D8711C" w:rsidRDefault="00D46E75" w:rsidP="0019293B">
          <w:pPr>
            <w:pStyle w:val="Footer"/>
          </w:pPr>
          <w:fldSimple w:instr=" SUBJECT  \* MERGEFORMAT ">
            <w:r w:rsidR="00A361E1">
              <w:t>Compulsory Licensing of Patents</w:t>
            </w:r>
          </w:fldSimple>
        </w:p>
      </w:tc>
      <w:tc>
        <w:tcPr>
          <w:tcW w:w="6634" w:type="dxa"/>
        </w:tcPr>
        <w:p w:rsidR="00D8711C" w:rsidRDefault="00D8711C" w:rsidP="0019293B">
          <w:pPr>
            <w:pStyle w:val="Footer"/>
          </w:pPr>
        </w:p>
      </w:tc>
    </w:tr>
  </w:tbl>
  <w:p w:rsidR="00D8711C" w:rsidRDefault="00D8711C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1644"/>
      <w:gridCol w:w="510"/>
    </w:tblGrid>
    <w:tr w:rsidR="00D8711C">
      <w:trPr>
        <w:trHeight w:hRule="exact" w:val="740"/>
      </w:trPr>
      <w:tc>
        <w:tcPr>
          <w:tcW w:w="6634" w:type="dxa"/>
        </w:tcPr>
        <w:p w:rsidR="00D8711C" w:rsidRDefault="00D8711C">
          <w:pPr>
            <w:pStyle w:val="Footer"/>
            <w:ind w:right="360" w:firstLine="360"/>
          </w:pPr>
        </w:p>
      </w:tc>
      <w:tc>
        <w:tcPr>
          <w:tcW w:w="1644" w:type="dxa"/>
          <w:tcBorders>
            <w:top w:val="single" w:sz="6" w:space="0" w:color="auto"/>
          </w:tcBorders>
        </w:tcPr>
        <w:p w:rsidR="00D8711C" w:rsidRDefault="00D46E75">
          <w:pPr>
            <w:pStyle w:val="Footer"/>
          </w:pPr>
          <w:fldSimple w:instr=" TITLE  \* MERGEFORMAT ">
            <w:r w:rsidR="00A361E1">
              <w:t>References</w:t>
            </w:r>
          </w:fldSimple>
        </w:p>
      </w:tc>
      <w:tc>
        <w:tcPr>
          <w:tcW w:w="510" w:type="dxa"/>
          <w:tcBorders>
            <w:top w:val="single" w:sz="6" w:space="0" w:color="auto"/>
          </w:tcBorders>
        </w:tcPr>
        <w:p w:rsidR="00D8711C" w:rsidRDefault="00D8711C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PAGE  </w:instrText>
          </w:r>
          <w:r>
            <w:rPr>
              <w:rStyle w:val="PageNumber"/>
            </w:rPr>
            <w:fldChar w:fldCharType="separate"/>
          </w:r>
          <w:r w:rsidR="00A361E1">
            <w:rPr>
              <w:rStyle w:val="PageNumber"/>
              <w:noProof/>
            </w:rPr>
            <w:t>305</w:t>
          </w:r>
          <w:r>
            <w:rPr>
              <w:rStyle w:val="PageNumber"/>
            </w:rPr>
            <w:fldChar w:fldCharType="end"/>
          </w:r>
        </w:p>
      </w:tc>
    </w:tr>
  </w:tbl>
  <w:p w:rsidR="00D8711C" w:rsidRDefault="00D8711C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11C" w:rsidRDefault="00D8711C">
      <w:r>
        <w:separator/>
      </w:r>
    </w:p>
  </w:footnote>
  <w:footnote w:type="continuationSeparator" w:id="0">
    <w:p w:rsidR="00D8711C" w:rsidRDefault="00D87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D8711C">
      <w:tc>
        <w:tcPr>
          <w:tcW w:w="2155" w:type="dxa"/>
          <w:tcBorders>
            <w:top w:val="single" w:sz="24" w:space="0" w:color="auto"/>
          </w:tcBorders>
        </w:tcPr>
        <w:p w:rsidR="00D8711C" w:rsidRDefault="00D8711C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D8711C" w:rsidRDefault="00D8711C" w:rsidP="0019293B">
          <w:pPr>
            <w:pStyle w:val="HeaderEven"/>
          </w:pPr>
        </w:p>
      </w:tc>
    </w:tr>
  </w:tbl>
  <w:p w:rsidR="00D8711C" w:rsidRDefault="00D8711C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D8711C">
      <w:tc>
        <w:tcPr>
          <w:tcW w:w="6634" w:type="dxa"/>
          <w:tcBorders>
            <w:top w:val="single" w:sz="6" w:space="0" w:color="auto"/>
          </w:tcBorders>
        </w:tcPr>
        <w:p w:rsidR="00D8711C" w:rsidRDefault="00D8711C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D8711C" w:rsidRDefault="00D8711C" w:rsidP="00E669E2">
          <w:pPr>
            <w:pStyle w:val="HeaderOdd"/>
          </w:pPr>
        </w:p>
      </w:tc>
    </w:tr>
  </w:tbl>
  <w:p w:rsidR="00D8711C" w:rsidRDefault="00D8711C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7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10">
    <w:nsid w:val="060C3296"/>
    <w:multiLevelType w:val="hybridMultilevel"/>
    <w:tmpl w:val="E4C2A40A"/>
    <w:lvl w:ilvl="0" w:tplc="7CC06960">
      <w:numFmt w:val="bullet"/>
      <w:lvlText w:val=""/>
      <w:lvlJc w:val="left"/>
      <w:pPr>
        <w:ind w:left="870" w:hanging="510"/>
      </w:pPr>
      <w:rPr>
        <w:rFonts w:ascii="Wingdings" w:eastAsia="Times New Roman" w:hAnsi="Wingdings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2">
    <w:nsid w:val="06791123"/>
    <w:multiLevelType w:val="hybridMultilevel"/>
    <w:tmpl w:val="5F14156E"/>
    <w:lvl w:ilvl="0" w:tplc="2BD04F64">
      <w:numFmt w:val="bullet"/>
      <w:lvlText w:val=""/>
      <w:lvlJc w:val="left"/>
      <w:pPr>
        <w:ind w:left="1004" w:hanging="360"/>
      </w:pPr>
      <w:rPr>
        <w:rFonts w:ascii="MT Extra" w:hAnsi="MT Extra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4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8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9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22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2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212809"/>
    <w:multiLevelType w:val="hybridMultilevel"/>
    <w:tmpl w:val="01EE78F8"/>
    <w:lvl w:ilvl="0" w:tplc="FEF0DFD2">
      <w:start w:val="1"/>
      <w:numFmt w:val="bullet"/>
      <w:lvlText w:val="–"/>
      <w:lvlJc w:val="left"/>
      <w:pPr>
        <w:ind w:left="7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7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8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9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30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1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3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5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36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7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9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0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41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43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4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45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11"/>
  </w:num>
  <w:num w:numId="3">
    <w:abstractNumId w:val="43"/>
  </w:num>
  <w:num w:numId="4">
    <w:abstractNumId w:val="7"/>
  </w:num>
  <w:num w:numId="5">
    <w:abstractNumId w:val="5"/>
  </w:num>
  <w:num w:numId="6">
    <w:abstractNumId w:val="26"/>
  </w:num>
  <w:num w:numId="7">
    <w:abstractNumId w:val="3"/>
  </w:num>
  <w:num w:numId="8">
    <w:abstractNumId w:val="9"/>
  </w:num>
  <w:num w:numId="9">
    <w:abstractNumId w:val="2"/>
  </w:num>
  <w:num w:numId="10">
    <w:abstractNumId w:val="38"/>
  </w:num>
  <w:num w:numId="11">
    <w:abstractNumId w:val="4"/>
  </w:num>
  <w:num w:numId="12">
    <w:abstractNumId w:val="1"/>
  </w:num>
  <w:num w:numId="13">
    <w:abstractNumId w:val="0"/>
  </w:num>
  <w:num w:numId="14">
    <w:abstractNumId w:val="29"/>
  </w:num>
  <w:num w:numId="15">
    <w:abstractNumId w:val="44"/>
  </w:num>
  <w:num w:numId="16">
    <w:abstractNumId w:val="18"/>
  </w:num>
  <w:num w:numId="17">
    <w:abstractNumId w:val="17"/>
  </w:num>
  <w:num w:numId="18">
    <w:abstractNumId w:val="27"/>
  </w:num>
  <w:num w:numId="19">
    <w:abstractNumId w:val="13"/>
  </w:num>
  <w:num w:numId="20">
    <w:abstractNumId w:val="35"/>
  </w:num>
  <w:num w:numId="21">
    <w:abstractNumId w:val="37"/>
  </w:num>
  <w:num w:numId="22">
    <w:abstractNumId w:val="25"/>
  </w:num>
  <w:num w:numId="23">
    <w:abstractNumId w:val="28"/>
  </w:num>
  <w:num w:numId="24">
    <w:abstractNumId w:val="30"/>
  </w:num>
  <w:num w:numId="25">
    <w:abstractNumId w:val="42"/>
  </w:num>
  <w:num w:numId="26">
    <w:abstractNumId w:val="34"/>
  </w:num>
  <w:num w:numId="27">
    <w:abstractNumId w:val="39"/>
  </w:num>
  <w:num w:numId="28">
    <w:abstractNumId w:val="40"/>
  </w:num>
  <w:num w:numId="29">
    <w:abstractNumId w:val="32"/>
  </w:num>
  <w:num w:numId="30">
    <w:abstractNumId w:val="22"/>
  </w:num>
  <w:num w:numId="31">
    <w:abstractNumId w:val="45"/>
  </w:num>
  <w:num w:numId="32">
    <w:abstractNumId w:val="16"/>
  </w:num>
  <w:num w:numId="33">
    <w:abstractNumId w:val="8"/>
  </w:num>
  <w:num w:numId="34">
    <w:abstractNumId w:val="19"/>
  </w:num>
  <w:num w:numId="35">
    <w:abstractNumId w:val="41"/>
  </w:num>
  <w:num w:numId="36">
    <w:abstractNumId w:val="33"/>
  </w:num>
  <w:num w:numId="37">
    <w:abstractNumId w:val="14"/>
  </w:num>
  <w:num w:numId="38">
    <w:abstractNumId w:val="36"/>
  </w:num>
  <w:num w:numId="39">
    <w:abstractNumId w:val="15"/>
  </w:num>
  <w:num w:numId="40">
    <w:abstractNumId w:val="18"/>
  </w:num>
  <w:num w:numId="41">
    <w:abstractNumId w:val="9"/>
  </w:num>
  <w:num w:numId="42">
    <w:abstractNumId w:val="24"/>
  </w:num>
  <w:num w:numId="43">
    <w:abstractNumId w:val="6"/>
    <w:lvlOverride w:ilvl="0">
      <w:lvl w:ilvl="0">
        <w:start w:val="1"/>
        <w:numFmt w:val="bullet"/>
        <w:lvlText w:val=""/>
        <w:legacy w:legacy="1" w:legacySpace="0" w:legacyIndent="340"/>
        <w:lvlJc w:val="left"/>
        <w:pPr>
          <w:ind w:left="340" w:hanging="340"/>
        </w:pPr>
        <w:rPr>
          <w:rFonts w:ascii="Symbol" w:hAnsi="Symbol" w:hint="default"/>
          <w:sz w:val="18"/>
        </w:rPr>
      </w:lvl>
    </w:lvlOverride>
  </w:num>
  <w:num w:numId="44">
    <w:abstractNumId w:val="12"/>
  </w:num>
  <w:num w:numId="45">
    <w:abstractNumId w:val="20"/>
  </w:num>
  <w:num w:numId="46">
    <w:abstractNumId w:val="23"/>
  </w:num>
  <w:num w:numId="47">
    <w:abstractNumId w:val="11"/>
  </w:num>
  <w:num w:numId="48">
    <w:abstractNumId w:val="31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Compulsory Licensing of Patents"/>
  </w:docVars>
  <w:rsids>
    <w:rsidRoot w:val="00225A4B"/>
    <w:rsid w:val="00006311"/>
    <w:rsid w:val="00012C44"/>
    <w:rsid w:val="00013A7F"/>
    <w:rsid w:val="00020B87"/>
    <w:rsid w:val="000227D5"/>
    <w:rsid w:val="000245AA"/>
    <w:rsid w:val="0003230D"/>
    <w:rsid w:val="000334B2"/>
    <w:rsid w:val="0003664B"/>
    <w:rsid w:val="000370E8"/>
    <w:rsid w:val="0004111F"/>
    <w:rsid w:val="0004482E"/>
    <w:rsid w:val="000464A7"/>
    <w:rsid w:val="00051D0C"/>
    <w:rsid w:val="000565B3"/>
    <w:rsid w:val="00060532"/>
    <w:rsid w:val="00063B7E"/>
    <w:rsid w:val="0006612F"/>
    <w:rsid w:val="0006641B"/>
    <w:rsid w:val="000711F0"/>
    <w:rsid w:val="0007150B"/>
    <w:rsid w:val="000815C0"/>
    <w:rsid w:val="00086346"/>
    <w:rsid w:val="00087495"/>
    <w:rsid w:val="0008794B"/>
    <w:rsid w:val="00091FED"/>
    <w:rsid w:val="000938F5"/>
    <w:rsid w:val="00093E25"/>
    <w:rsid w:val="00094160"/>
    <w:rsid w:val="00095CFC"/>
    <w:rsid w:val="00096E55"/>
    <w:rsid w:val="00097710"/>
    <w:rsid w:val="000A0055"/>
    <w:rsid w:val="000B601B"/>
    <w:rsid w:val="000C207E"/>
    <w:rsid w:val="000C76AB"/>
    <w:rsid w:val="000D4E4E"/>
    <w:rsid w:val="000D667F"/>
    <w:rsid w:val="000D6DB7"/>
    <w:rsid w:val="000D7855"/>
    <w:rsid w:val="000E090C"/>
    <w:rsid w:val="000E19C7"/>
    <w:rsid w:val="000E1FEA"/>
    <w:rsid w:val="000F0035"/>
    <w:rsid w:val="000F4194"/>
    <w:rsid w:val="000F420B"/>
    <w:rsid w:val="00107F9D"/>
    <w:rsid w:val="00110116"/>
    <w:rsid w:val="00114B98"/>
    <w:rsid w:val="00120072"/>
    <w:rsid w:val="001252A1"/>
    <w:rsid w:val="00126EB8"/>
    <w:rsid w:val="00127412"/>
    <w:rsid w:val="001274D4"/>
    <w:rsid w:val="00135350"/>
    <w:rsid w:val="001363AA"/>
    <w:rsid w:val="00150F05"/>
    <w:rsid w:val="00152731"/>
    <w:rsid w:val="001607FC"/>
    <w:rsid w:val="00173431"/>
    <w:rsid w:val="001750C5"/>
    <w:rsid w:val="00183B37"/>
    <w:rsid w:val="00183E82"/>
    <w:rsid w:val="001878BB"/>
    <w:rsid w:val="00191752"/>
    <w:rsid w:val="00191AE0"/>
    <w:rsid w:val="0019293B"/>
    <w:rsid w:val="00197AAF"/>
    <w:rsid w:val="001A677B"/>
    <w:rsid w:val="001B6D9B"/>
    <w:rsid w:val="001C0865"/>
    <w:rsid w:val="001C2191"/>
    <w:rsid w:val="001C3ABA"/>
    <w:rsid w:val="001C4B2F"/>
    <w:rsid w:val="001E273B"/>
    <w:rsid w:val="001E4A20"/>
    <w:rsid w:val="001E7BE8"/>
    <w:rsid w:val="001F0248"/>
    <w:rsid w:val="001F38F1"/>
    <w:rsid w:val="001F3EB3"/>
    <w:rsid w:val="001F4F86"/>
    <w:rsid w:val="0020089D"/>
    <w:rsid w:val="00200BDC"/>
    <w:rsid w:val="00202C2C"/>
    <w:rsid w:val="0021095D"/>
    <w:rsid w:val="002131E4"/>
    <w:rsid w:val="002135AB"/>
    <w:rsid w:val="002144BE"/>
    <w:rsid w:val="00220A94"/>
    <w:rsid w:val="00225A4B"/>
    <w:rsid w:val="00227503"/>
    <w:rsid w:val="00227947"/>
    <w:rsid w:val="002314A6"/>
    <w:rsid w:val="00242279"/>
    <w:rsid w:val="00244005"/>
    <w:rsid w:val="00245C82"/>
    <w:rsid w:val="0025054B"/>
    <w:rsid w:val="00252971"/>
    <w:rsid w:val="00254E76"/>
    <w:rsid w:val="00274166"/>
    <w:rsid w:val="00275C1F"/>
    <w:rsid w:val="00282A7C"/>
    <w:rsid w:val="00283F13"/>
    <w:rsid w:val="002904B1"/>
    <w:rsid w:val="00291B40"/>
    <w:rsid w:val="0029266D"/>
    <w:rsid w:val="002A264E"/>
    <w:rsid w:val="002A557C"/>
    <w:rsid w:val="002B4008"/>
    <w:rsid w:val="002B6EFE"/>
    <w:rsid w:val="002B7571"/>
    <w:rsid w:val="002C538E"/>
    <w:rsid w:val="002C56A9"/>
    <w:rsid w:val="002D0E8E"/>
    <w:rsid w:val="002D2B97"/>
    <w:rsid w:val="002D40C2"/>
    <w:rsid w:val="002D7698"/>
    <w:rsid w:val="002E5ADA"/>
    <w:rsid w:val="002E69E9"/>
    <w:rsid w:val="002F0421"/>
    <w:rsid w:val="002F33FA"/>
    <w:rsid w:val="002F3DF5"/>
    <w:rsid w:val="002F5C40"/>
    <w:rsid w:val="00301189"/>
    <w:rsid w:val="003116BF"/>
    <w:rsid w:val="00311FC9"/>
    <w:rsid w:val="00317140"/>
    <w:rsid w:val="00322DC6"/>
    <w:rsid w:val="003239BB"/>
    <w:rsid w:val="00323E09"/>
    <w:rsid w:val="003313BF"/>
    <w:rsid w:val="00331AB5"/>
    <w:rsid w:val="00333932"/>
    <w:rsid w:val="0033398A"/>
    <w:rsid w:val="00337204"/>
    <w:rsid w:val="003400F4"/>
    <w:rsid w:val="00342BCF"/>
    <w:rsid w:val="0034314E"/>
    <w:rsid w:val="003476D2"/>
    <w:rsid w:val="003518AA"/>
    <w:rsid w:val="00352165"/>
    <w:rsid w:val="00352B88"/>
    <w:rsid w:val="00352D64"/>
    <w:rsid w:val="00353182"/>
    <w:rsid w:val="003565D9"/>
    <w:rsid w:val="003602E1"/>
    <w:rsid w:val="00363440"/>
    <w:rsid w:val="00364068"/>
    <w:rsid w:val="00365E14"/>
    <w:rsid w:val="0037026F"/>
    <w:rsid w:val="00370C73"/>
    <w:rsid w:val="00371240"/>
    <w:rsid w:val="003717F3"/>
    <w:rsid w:val="00374731"/>
    <w:rsid w:val="0037545A"/>
    <w:rsid w:val="0037568B"/>
    <w:rsid w:val="00376645"/>
    <w:rsid w:val="00376E59"/>
    <w:rsid w:val="003838CA"/>
    <w:rsid w:val="00384E1B"/>
    <w:rsid w:val="00387766"/>
    <w:rsid w:val="003919E3"/>
    <w:rsid w:val="003919F9"/>
    <w:rsid w:val="00392247"/>
    <w:rsid w:val="00392C62"/>
    <w:rsid w:val="003A3182"/>
    <w:rsid w:val="003A728E"/>
    <w:rsid w:val="003B1A41"/>
    <w:rsid w:val="003B3CC2"/>
    <w:rsid w:val="003B4FDD"/>
    <w:rsid w:val="003C0407"/>
    <w:rsid w:val="003C0A4C"/>
    <w:rsid w:val="003C1907"/>
    <w:rsid w:val="003C1AE7"/>
    <w:rsid w:val="003C2A55"/>
    <w:rsid w:val="003C38B5"/>
    <w:rsid w:val="003C5D99"/>
    <w:rsid w:val="003C7C47"/>
    <w:rsid w:val="003D0113"/>
    <w:rsid w:val="003D372C"/>
    <w:rsid w:val="003E2F59"/>
    <w:rsid w:val="003E3F8F"/>
    <w:rsid w:val="003F0789"/>
    <w:rsid w:val="003F2DF5"/>
    <w:rsid w:val="003F4E4D"/>
    <w:rsid w:val="00401882"/>
    <w:rsid w:val="004100C8"/>
    <w:rsid w:val="00411DBD"/>
    <w:rsid w:val="00412ACE"/>
    <w:rsid w:val="00421D89"/>
    <w:rsid w:val="004222C2"/>
    <w:rsid w:val="00422B23"/>
    <w:rsid w:val="00427CB9"/>
    <w:rsid w:val="00431249"/>
    <w:rsid w:val="00434C19"/>
    <w:rsid w:val="004355BD"/>
    <w:rsid w:val="0044118D"/>
    <w:rsid w:val="00450810"/>
    <w:rsid w:val="00453526"/>
    <w:rsid w:val="00453DF0"/>
    <w:rsid w:val="00457BD2"/>
    <w:rsid w:val="00464AEE"/>
    <w:rsid w:val="00470685"/>
    <w:rsid w:val="004715B2"/>
    <w:rsid w:val="00471AAD"/>
    <w:rsid w:val="004738B3"/>
    <w:rsid w:val="00476115"/>
    <w:rsid w:val="0047672D"/>
    <w:rsid w:val="00477144"/>
    <w:rsid w:val="004801E1"/>
    <w:rsid w:val="00486EC6"/>
    <w:rsid w:val="004878D0"/>
    <w:rsid w:val="00487AD7"/>
    <w:rsid w:val="00491380"/>
    <w:rsid w:val="0049459F"/>
    <w:rsid w:val="004964A5"/>
    <w:rsid w:val="004A38DD"/>
    <w:rsid w:val="004A683B"/>
    <w:rsid w:val="004B1ED9"/>
    <w:rsid w:val="004B2D44"/>
    <w:rsid w:val="004B43AE"/>
    <w:rsid w:val="004B601D"/>
    <w:rsid w:val="004B7DB1"/>
    <w:rsid w:val="004C30ED"/>
    <w:rsid w:val="004D43EB"/>
    <w:rsid w:val="004D5675"/>
    <w:rsid w:val="004D68E9"/>
    <w:rsid w:val="004F09A2"/>
    <w:rsid w:val="004F3797"/>
    <w:rsid w:val="00512E61"/>
    <w:rsid w:val="00513EB4"/>
    <w:rsid w:val="005148E2"/>
    <w:rsid w:val="00514958"/>
    <w:rsid w:val="00521FB6"/>
    <w:rsid w:val="00523082"/>
    <w:rsid w:val="00523639"/>
    <w:rsid w:val="0052634A"/>
    <w:rsid w:val="00531FE5"/>
    <w:rsid w:val="00534E66"/>
    <w:rsid w:val="00535FA6"/>
    <w:rsid w:val="0054004A"/>
    <w:rsid w:val="005402FA"/>
    <w:rsid w:val="00541995"/>
    <w:rsid w:val="0056740D"/>
    <w:rsid w:val="0057335B"/>
    <w:rsid w:val="005818EE"/>
    <w:rsid w:val="00583C39"/>
    <w:rsid w:val="00584469"/>
    <w:rsid w:val="00586D0C"/>
    <w:rsid w:val="00587F28"/>
    <w:rsid w:val="005909CF"/>
    <w:rsid w:val="00591D22"/>
    <w:rsid w:val="00591E71"/>
    <w:rsid w:val="0059663A"/>
    <w:rsid w:val="005A0D41"/>
    <w:rsid w:val="005A5AFB"/>
    <w:rsid w:val="005A7802"/>
    <w:rsid w:val="005B18A0"/>
    <w:rsid w:val="005B4614"/>
    <w:rsid w:val="005B56C1"/>
    <w:rsid w:val="005C6869"/>
    <w:rsid w:val="005D469C"/>
    <w:rsid w:val="005D4712"/>
    <w:rsid w:val="005E0BFD"/>
    <w:rsid w:val="005F328F"/>
    <w:rsid w:val="005F75CA"/>
    <w:rsid w:val="00601F27"/>
    <w:rsid w:val="006023F3"/>
    <w:rsid w:val="0060381E"/>
    <w:rsid w:val="00604735"/>
    <w:rsid w:val="006047A6"/>
    <w:rsid w:val="006066C5"/>
    <w:rsid w:val="00606EA9"/>
    <w:rsid w:val="00607BF1"/>
    <w:rsid w:val="00621DA7"/>
    <w:rsid w:val="00630D4D"/>
    <w:rsid w:val="006322AF"/>
    <w:rsid w:val="00632A74"/>
    <w:rsid w:val="00632C8B"/>
    <w:rsid w:val="00633427"/>
    <w:rsid w:val="00634DB3"/>
    <w:rsid w:val="0064143F"/>
    <w:rsid w:val="006415BB"/>
    <w:rsid w:val="00646954"/>
    <w:rsid w:val="00655CB4"/>
    <w:rsid w:val="00664624"/>
    <w:rsid w:val="006651AB"/>
    <w:rsid w:val="0066632E"/>
    <w:rsid w:val="00667170"/>
    <w:rsid w:val="00672332"/>
    <w:rsid w:val="0067590D"/>
    <w:rsid w:val="00676D3C"/>
    <w:rsid w:val="0068267C"/>
    <w:rsid w:val="006A37DD"/>
    <w:rsid w:val="006A4655"/>
    <w:rsid w:val="006A6574"/>
    <w:rsid w:val="006B2B3C"/>
    <w:rsid w:val="006B5DAD"/>
    <w:rsid w:val="006C1D81"/>
    <w:rsid w:val="006C67BC"/>
    <w:rsid w:val="006C7038"/>
    <w:rsid w:val="006C74A7"/>
    <w:rsid w:val="006C7C95"/>
    <w:rsid w:val="006E6375"/>
    <w:rsid w:val="006E73EF"/>
    <w:rsid w:val="006F249F"/>
    <w:rsid w:val="006F624C"/>
    <w:rsid w:val="00713659"/>
    <w:rsid w:val="00714D4D"/>
    <w:rsid w:val="00716212"/>
    <w:rsid w:val="00716324"/>
    <w:rsid w:val="00732021"/>
    <w:rsid w:val="007423E0"/>
    <w:rsid w:val="00743862"/>
    <w:rsid w:val="007443BC"/>
    <w:rsid w:val="00752AFC"/>
    <w:rsid w:val="007604BB"/>
    <w:rsid w:val="007640A2"/>
    <w:rsid w:val="007664CD"/>
    <w:rsid w:val="00785232"/>
    <w:rsid w:val="00785AAD"/>
    <w:rsid w:val="00787098"/>
    <w:rsid w:val="0078722D"/>
    <w:rsid w:val="0079314C"/>
    <w:rsid w:val="007959CD"/>
    <w:rsid w:val="00797B46"/>
    <w:rsid w:val="007A1472"/>
    <w:rsid w:val="007A21EB"/>
    <w:rsid w:val="007B1A93"/>
    <w:rsid w:val="007B2823"/>
    <w:rsid w:val="007B53BD"/>
    <w:rsid w:val="007B70E7"/>
    <w:rsid w:val="007C36C9"/>
    <w:rsid w:val="007C7AB4"/>
    <w:rsid w:val="007D04D0"/>
    <w:rsid w:val="007D6401"/>
    <w:rsid w:val="007E01E4"/>
    <w:rsid w:val="007E2851"/>
    <w:rsid w:val="007E6A05"/>
    <w:rsid w:val="007F1F12"/>
    <w:rsid w:val="007F564A"/>
    <w:rsid w:val="007F6204"/>
    <w:rsid w:val="007F6739"/>
    <w:rsid w:val="007F7107"/>
    <w:rsid w:val="00800D4C"/>
    <w:rsid w:val="00800F53"/>
    <w:rsid w:val="00801167"/>
    <w:rsid w:val="008045D6"/>
    <w:rsid w:val="00806A2E"/>
    <w:rsid w:val="00806E44"/>
    <w:rsid w:val="0081030F"/>
    <w:rsid w:val="008130CD"/>
    <w:rsid w:val="0081770A"/>
    <w:rsid w:val="0082087D"/>
    <w:rsid w:val="0082774E"/>
    <w:rsid w:val="008336CD"/>
    <w:rsid w:val="00835771"/>
    <w:rsid w:val="00842933"/>
    <w:rsid w:val="00844EF9"/>
    <w:rsid w:val="0084786C"/>
    <w:rsid w:val="00847992"/>
    <w:rsid w:val="0086082C"/>
    <w:rsid w:val="00861290"/>
    <w:rsid w:val="00861CE0"/>
    <w:rsid w:val="00864ADC"/>
    <w:rsid w:val="008650DD"/>
    <w:rsid w:val="00871D54"/>
    <w:rsid w:val="008736AA"/>
    <w:rsid w:val="00880153"/>
    <w:rsid w:val="00880F97"/>
    <w:rsid w:val="0088133A"/>
    <w:rsid w:val="00892245"/>
    <w:rsid w:val="0089285E"/>
    <w:rsid w:val="00893234"/>
    <w:rsid w:val="0089436C"/>
    <w:rsid w:val="00896EDF"/>
    <w:rsid w:val="008A04A9"/>
    <w:rsid w:val="008A3533"/>
    <w:rsid w:val="008B0CA5"/>
    <w:rsid w:val="008C7728"/>
    <w:rsid w:val="008D365C"/>
    <w:rsid w:val="008F3EE9"/>
    <w:rsid w:val="008F4714"/>
    <w:rsid w:val="00900E71"/>
    <w:rsid w:val="0090141B"/>
    <w:rsid w:val="00901587"/>
    <w:rsid w:val="009030BF"/>
    <w:rsid w:val="00903566"/>
    <w:rsid w:val="0091032F"/>
    <w:rsid w:val="00914368"/>
    <w:rsid w:val="00917D2B"/>
    <w:rsid w:val="00922C96"/>
    <w:rsid w:val="009302D5"/>
    <w:rsid w:val="00931076"/>
    <w:rsid w:val="00931C76"/>
    <w:rsid w:val="009345D9"/>
    <w:rsid w:val="009349DA"/>
    <w:rsid w:val="00934B15"/>
    <w:rsid w:val="00935B9A"/>
    <w:rsid w:val="00940C87"/>
    <w:rsid w:val="00941F44"/>
    <w:rsid w:val="00942B62"/>
    <w:rsid w:val="00947307"/>
    <w:rsid w:val="0095323B"/>
    <w:rsid w:val="00954AE0"/>
    <w:rsid w:val="00956A0C"/>
    <w:rsid w:val="00956BD9"/>
    <w:rsid w:val="00957B55"/>
    <w:rsid w:val="00962489"/>
    <w:rsid w:val="00963007"/>
    <w:rsid w:val="00964CC9"/>
    <w:rsid w:val="009654AA"/>
    <w:rsid w:val="00965A2B"/>
    <w:rsid w:val="00965F72"/>
    <w:rsid w:val="009660BB"/>
    <w:rsid w:val="009703D7"/>
    <w:rsid w:val="00971FE5"/>
    <w:rsid w:val="00973C50"/>
    <w:rsid w:val="00975779"/>
    <w:rsid w:val="00981EC7"/>
    <w:rsid w:val="009869E2"/>
    <w:rsid w:val="00990C2C"/>
    <w:rsid w:val="00995D4D"/>
    <w:rsid w:val="009A3E6E"/>
    <w:rsid w:val="009B131E"/>
    <w:rsid w:val="009B66D1"/>
    <w:rsid w:val="009B76B2"/>
    <w:rsid w:val="009C2A42"/>
    <w:rsid w:val="009C2DC9"/>
    <w:rsid w:val="009C3DB9"/>
    <w:rsid w:val="009C7210"/>
    <w:rsid w:val="009D1354"/>
    <w:rsid w:val="009D1765"/>
    <w:rsid w:val="009E1844"/>
    <w:rsid w:val="009F0D1B"/>
    <w:rsid w:val="009F6876"/>
    <w:rsid w:val="009F696D"/>
    <w:rsid w:val="009F6BC6"/>
    <w:rsid w:val="009F7974"/>
    <w:rsid w:val="00A0082C"/>
    <w:rsid w:val="00A00F2F"/>
    <w:rsid w:val="00A02F5D"/>
    <w:rsid w:val="00A0473A"/>
    <w:rsid w:val="00A048C6"/>
    <w:rsid w:val="00A06907"/>
    <w:rsid w:val="00A077A7"/>
    <w:rsid w:val="00A11E7E"/>
    <w:rsid w:val="00A14892"/>
    <w:rsid w:val="00A17328"/>
    <w:rsid w:val="00A178C9"/>
    <w:rsid w:val="00A23A20"/>
    <w:rsid w:val="00A249E5"/>
    <w:rsid w:val="00A268B9"/>
    <w:rsid w:val="00A2703A"/>
    <w:rsid w:val="00A33DFF"/>
    <w:rsid w:val="00A34DBF"/>
    <w:rsid w:val="00A35115"/>
    <w:rsid w:val="00A361E1"/>
    <w:rsid w:val="00A364B9"/>
    <w:rsid w:val="00A36D9A"/>
    <w:rsid w:val="00A47DF7"/>
    <w:rsid w:val="00A54AFF"/>
    <w:rsid w:val="00A554AB"/>
    <w:rsid w:val="00A57062"/>
    <w:rsid w:val="00A6151A"/>
    <w:rsid w:val="00A6170F"/>
    <w:rsid w:val="00A66DE9"/>
    <w:rsid w:val="00A70071"/>
    <w:rsid w:val="00A77E6C"/>
    <w:rsid w:val="00A83B76"/>
    <w:rsid w:val="00A901C2"/>
    <w:rsid w:val="00A90708"/>
    <w:rsid w:val="00A92B53"/>
    <w:rsid w:val="00A94FA6"/>
    <w:rsid w:val="00A96A14"/>
    <w:rsid w:val="00A9772B"/>
    <w:rsid w:val="00AA297B"/>
    <w:rsid w:val="00AA49A0"/>
    <w:rsid w:val="00AA6710"/>
    <w:rsid w:val="00AB0681"/>
    <w:rsid w:val="00AB62B1"/>
    <w:rsid w:val="00AD02D6"/>
    <w:rsid w:val="00AD1EE6"/>
    <w:rsid w:val="00AD21AD"/>
    <w:rsid w:val="00AD29C6"/>
    <w:rsid w:val="00AD520B"/>
    <w:rsid w:val="00AE1D82"/>
    <w:rsid w:val="00AE1E33"/>
    <w:rsid w:val="00AE5F33"/>
    <w:rsid w:val="00AE6017"/>
    <w:rsid w:val="00AF1B0C"/>
    <w:rsid w:val="00AF332E"/>
    <w:rsid w:val="00B00840"/>
    <w:rsid w:val="00B05285"/>
    <w:rsid w:val="00B11DEB"/>
    <w:rsid w:val="00B13A4B"/>
    <w:rsid w:val="00B1643C"/>
    <w:rsid w:val="00B27C61"/>
    <w:rsid w:val="00B30A77"/>
    <w:rsid w:val="00B345CC"/>
    <w:rsid w:val="00B425C3"/>
    <w:rsid w:val="00B440AD"/>
    <w:rsid w:val="00B4563A"/>
    <w:rsid w:val="00B504F1"/>
    <w:rsid w:val="00B50899"/>
    <w:rsid w:val="00B523C3"/>
    <w:rsid w:val="00B53E7E"/>
    <w:rsid w:val="00B5690D"/>
    <w:rsid w:val="00B57137"/>
    <w:rsid w:val="00B6342E"/>
    <w:rsid w:val="00B7113F"/>
    <w:rsid w:val="00B736C4"/>
    <w:rsid w:val="00B809C4"/>
    <w:rsid w:val="00B86B1F"/>
    <w:rsid w:val="00B87534"/>
    <w:rsid w:val="00B90AAC"/>
    <w:rsid w:val="00B93781"/>
    <w:rsid w:val="00BA3221"/>
    <w:rsid w:val="00BA35D0"/>
    <w:rsid w:val="00BA3880"/>
    <w:rsid w:val="00BA5806"/>
    <w:rsid w:val="00BA73B6"/>
    <w:rsid w:val="00BA7E27"/>
    <w:rsid w:val="00BB0B6A"/>
    <w:rsid w:val="00BB14ED"/>
    <w:rsid w:val="00BB2603"/>
    <w:rsid w:val="00BB4FCD"/>
    <w:rsid w:val="00BB6E40"/>
    <w:rsid w:val="00BB7CCD"/>
    <w:rsid w:val="00BC04E9"/>
    <w:rsid w:val="00BC1D01"/>
    <w:rsid w:val="00BC5B97"/>
    <w:rsid w:val="00BD13EA"/>
    <w:rsid w:val="00BD1F46"/>
    <w:rsid w:val="00BD42A2"/>
    <w:rsid w:val="00BD6843"/>
    <w:rsid w:val="00BE232B"/>
    <w:rsid w:val="00BE3808"/>
    <w:rsid w:val="00BE471F"/>
    <w:rsid w:val="00BE4A6E"/>
    <w:rsid w:val="00BE7A34"/>
    <w:rsid w:val="00BF0955"/>
    <w:rsid w:val="00BF0BC9"/>
    <w:rsid w:val="00BF19AA"/>
    <w:rsid w:val="00BF4FFC"/>
    <w:rsid w:val="00C000F5"/>
    <w:rsid w:val="00C02414"/>
    <w:rsid w:val="00C062E9"/>
    <w:rsid w:val="00C07B64"/>
    <w:rsid w:val="00C13721"/>
    <w:rsid w:val="00C14223"/>
    <w:rsid w:val="00C14FE4"/>
    <w:rsid w:val="00C20D86"/>
    <w:rsid w:val="00C224A5"/>
    <w:rsid w:val="00C25B60"/>
    <w:rsid w:val="00C260B1"/>
    <w:rsid w:val="00C264DE"/>
    <w:rsid w:val="00C3066D"/>
    <w:rsid w:val="00C3422D"/>
    <w:rsid w:val="00C36591"/>
    <w:rsid w:val="00C36C77"/>
    <w:rsid w:val="00C4370A"/>
    <w:rsid w:val="00C47345"/>
    <w:rsid w:val="00C52416"/>
    <w:rsid w:val="00C532CC"/>
    <w:rsid w:val="00C53D62"/>
    <w:rsid w:val="00C543F4"/>
    <w:rsid w:val="00C54AF2"/>
    <w:rsid w:val="00C628F7"/>
    <w:rsid w:val="00C6291C"/>
    <w:rsid w:val="00C633CB"/>
    <w:rsid w:val="00C6569A"/>
    <w:rsid w:val="00C66549"/>
    <w:rsid w:val="00C7059E"/>
    <w:rsid w:val="00C734D3"/>
    <w:rsid w:val="00C736B7"/>
    <w:rsid w:val="00C80A1D"/>
    <w:rsid w:val="00C81D4A"/>
    <w:rsid w:val="00C8762C"/>
    <w:rsid w:val="00C96449"/>
    <w:rsid w:val="00C97908"/>
    <w:rsid w:val="00CA00F9"/>
    <w:rsid w:val="00CA2961"/>
    <w:rsid w:val="00CA6373"/>
    <w:rsid w:val="00CA6408"/>
    <w:rsid w:val="00CB15DE"/>
    <w:rsid w:val="00CB35E8"/>
    <w:rsid w:val="00CB50D7"/>
    <w:rsid w:val="00CB5526"/>
    <w:rsid w:val="00CB706F"/>
    <w:rsid w:val="00CB7177"/>
    <w:rsid w:val="00CC1998"/>
    <w:rsid w:val="00CC4946"/>
    <w:rsid w:val="00CC6446"/>
    <w:rsid w:val="00CC68C1"/>
    <w:rsid w:val="00CD0A12"/>
    <w:rsid w:val="00CD60CA"/>
    <w:rsid w:val="00CE6803"/>
    <w:rsid w:val="00CE6BD9"/>
    <w:rsid w:val="00CF0F90"/>
    <w:rsid w:val="00D00F10"/>
    <w:rsid w:val="00D11DBA"/>
    <w:rsid w:val="00D120E3"/>
    <w:rsid w:val="00D12932"/>
    <w:rsid w:val="00D134C6"/>
    <w:rsid w:val="00D15E53"/>
    <w:rsid w:val="00D17D06"/>
    <w:rsid w:val="00D2332A"/>
    <w:rsid w:val="00D262A1"/>
    <w:rsid w:val="00D270A4"/>
    <w:rsid w:val="00D308F9"/>
    <w:rsid w:val="00D31FE9"/>
    <w:rsid w:val="00D322CB"/>
    <w:rsid w:val="00D32985"/>
    <w:rsid w:val="00D34E1B"/>
    <w:rsid w:val="00D3534C"/>
    <w:rsid w:val="00D376BA"/>
    <w:rsid w:val="00D404D6"/>
    <w:rsid w:val="00D424C3"/>
    <w:rsid w:val="00D425B2"/>
    <w:rsid w:val="00D43247"/>
    <w:rsid w:val="00D44DCD"/>
    <w:rsid w:val="00D45634"/>
    <w:rsid w:val="00D46E75"/>
    <w:rsid w:val="00D50089"/>
    <w:rsid w:val="00D5568A"/>
    <w:rsid w:val="00D61CD9"/>
    <w:rsid w:val="00D63D73"/>
    <w:rsid w:val="00D64452"/>
    <w:rsid w:val="00D66E1E"/>
    <w:rsid w:val="00D71186"/>
    <w:rsid w:val="00D75722"/>
    <w:rsid w:val="00D7645A"/>
    <w:rsid w:val="00D76A64"/>
    <w:rsid w:val="00D80CF5"/>
    <w:rsid w:val="00D82057"/>
    <w:rsid w:val="00D823C9"/>
    <w:rsid w:val="00D8280A"/>
    <w:rsid w:val="00D8711C"/>
    <w:rsid w:val="00DA0935"/>
    <w:rsid w:val="00DA1CA7"/>
    <w:rsid w:val="00DA5BBA"/>
    <w:rsid w:val="00DB26D2"/>
    <w:rsid w:val="00DB3DF2"/>
    <w:rsid w:val="00DB67C9"/>
    <w:rsid w:val="00DB7FAA"/>
    <w:rsid w:val="00DC0C95"/>
    <w:rsid w:val="00DC0F9B"/>
    <w:rsid w:val="00DC6FB7"/>
    <w:rsid w:val="00DC7E72"/>
    <w:rsid w:val="00DD04FA"/>
    <w:rsid w:val="00DD2A62"/>
    <w:rsid w:val="00DD6580"/>
    <w:rsid w:val="00DE1A08"/>
    <w:rsid w:val="00DE4D04"/>
    <w:rsid w:val="00DF1BD5"/>
    <w:rsid w:val="00DF6380"/>
    <w:rsid w:val="00E00CE4"/>
    <w:rsid w:val="00E05290"/>
    <w:rsid w:val="00E06C7E"/>
    <w:rsid w:val="00E11094"/>
    <w:rsid w:val="00E143B0"/>
    <w:rsid w:val="00E17C72"/>
    <w:rsid w:val="00E21CB2"/>
    <w:rsid w:val="00E21FC6"/>
    <w:rsid w:val="00E34E66"/>
    <w:rsid w:val="00E431A9"/>
    <w:rsid w:val="00E459CC"/>
    <w:rsid w:val="00E46A78"/>
    <w:rsid w:val="00E5031A"/>
    <w:rsid w:val="00E5053B"/>
    <w:rsid w:val="00E50FCB"/>
    <w:rsid w:val="00E669E2"/>
    <w:rsid w:val="00E67D5A"/>
    <w:rsid w:val="00E70F20"/>
    <w:rsid w:val="00E71F33"/>
    <w:rsid w:val="00E76135"/>
    <w:rsid w:val="00E82F4F"/>
    <w:rsid w:val="00E84C8A"/>
    <w:rsid w:val="00E9122F"/>
    <w:rsid w:val="00E92D9D"/>
    <w:rsid w:val="00E97E44"/>
    <w:rsid w:val="00EA13B5"/>
    <w:rsid w:val="00EA5B8F"/>
    <w:rsid w:val="00EB1518"/>
    <w:rsid w:val="00EB6C9C"/>
    <w:rsid w:val="00EC058B"/>
    <w:rsid w:val="00EC2844"/>
    <w:rsid w:val="00EC5500"/>
    <w:rsid w:val="00EC686D"/>
    <w:rsid w:val="00ED3852"/>
    <w:rsid w:val="00ED4198"/>
    <w:rsid w:val="00ED7445"/>
    <w:rsid w:val="00ED7D89"/>
    <w:rsid w:val="00EE01CA"/>
    <w:rsid w:val="00EE334B"/>
    <w:rsid w:val="00EF4B73"/>
    <w:rsid w:val="00EF6C6C"/>
    <w:rsid w:val="00F056FC"/>
    <w:rsid w:val="00F10476"/>
    <w:rsid w:val="00F10E47"/>
    <w:rsid w:val="00F135D8"/>
    <w:rsid w:val="00F155A4"/>
    <w:rsid w:val="00F2259B"/>
    <w:rsid w:val="00F31299"/>
    <w:rsid w:val="00F3534A"/>
    <w:rsid w:val="00F35BB6"/>
    <w:rsid w:val="00F453C4"/>
    <w:rsid w:val="00F514E9"/>
    <w:rsid w:val="00F51609"/>
    <w:rsid w:val="00F57544"/>
    <w:rsid w:val="00F60D8E"/>
    <w:rsid w:val="00F633F7"/>
    <w:rsid w:val="00F637E4"/>
    <w:rsid w:val="00F7006E"/>
    <w:rsid w:val="00F72114"/>
    <w:rsid w:val="00F72B15"/>
    <w:rsid w:val="00F771F6"/>
    <w:rsid w:val="00F81006"/>
    <w:rsid w:val="00F82249"/>
    <w:rsid w:val="00F829E9"/>
    <w:rsid w:val="00F85325"/>
    <w:rsid w:val="00F86303"/>
    <w:rsid w:val="00F91D8A"/>
    <w:rsid w:val="00F93E5B"/>
    <w:rsid w:val="00F94B11"/>
    <w:rsid w:val="00F97B1A"/>
    <w:rsid w:val="00FA4E57"/>
    <w:rsid w:val="00FB72F8"/>
    <w:rsid w:val="00FC1347"/>
    <w:rsid w:val="00FC274F"/>
    <w:rsid w:val="00FD125F"/>
    <w:rsid w:val="00FD22B1"/>
    <w:rsid w:val="00FD6CA3"/>
    <w:rsid w:val="00FE421A"/>
    <w:rsid w:val="00FE5397"/>
    <w:rsid w:val="00FE67C0"/>
    <w:rsid w:val="00FF0904"/>
    <w:rsid w:val="00FF2013"/>
    <w:rsid w:val="00FF2093"/>
    <w:rsid w:val="00FF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uiPriority w:val="20"/>
    <w:qFormat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ReferenceChar">
    <w:name w:val="Reference Char"/>
    <w:basedOn w:val="DefaultParagraphFont"/>
    <w:link w:val="Reference"/>
    <w:rsid w:val="00225A4B"/>
    <w:rPr>
      <w:sz w:val="26"/>
    </w:rPr>
  </w:style>
  <w:style w:type="character" w:styleId="Hyperlink">
    <w:name w:val="Hyperlink"/>
    <w:basedOn w:val="DefaultParagraphFont"/>
    <w:uiPriority w:val="99"/>
    <w:unhideWhenUsed/>
    <w:rsid w:val="009654AA"/>
    <w:rPr>
      <w:b/>
      <w:bCs/>
      <w:strike w:val="0"/>
      <w:dstrike w:val="0"/>
      <w:color w:val="26263E"/>
      <w:u w:val="none"/>
      <w:effect w:val="none"/>
    </w:rPr>
  </w:style>
  <w:style w:type="character" w:customStyle="1" w:styleId="BodyTextChar">
    <w:name w:val="Body Text Char"/>
    <w:basedOn w:val="DefaultParagraphFont"/>
    <w:link w:val="BodyText"/>
    <w:rsid w:val="003A3182"/>
    <w:rPr>
      <w:sz w:val="26"/>
    </w:rPr>
  </w:style>
  <w:style w:type="paragraph" w:styleId="CommentSubject">
    <w:name w:val="annotation subject"/>
    <w:basedOn w:val="CommentText"/>
    <w:next w:val="CommentText"/>
    <w:link w:val="CommentSubjectChar"/>
    <w:rsid w:val="00971FE5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71FE5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971FE5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Hyperlink" w:uiPriority="99"/>
    <w:lsdException w:name="Emphasis" w:uiPriority="20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E1844"/>
    <w:rPr>
      <w:sz w:val="26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A173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A173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9345D9"/>
    <w:pPr>
      <w:spacing w:before="240" w:line="320" w:lineRule="atLeast"/>
      <w:jc w:val="both"/>
    </w:pPr>
    <w:rPr>
      <w:sz w:val="26"/>
    </w:rPr>
  </w:style>
  <w:style w:type="paragraph" w:styleId="Footer">
    <w:name w:val="footer"/>
    <w:basedOn w:val="BodyText"/>
    <w:semiHidden/>
    <w:rsid w:val="00A17328"/>
    <w:pPr>
      <w:spacing w:before="80" w:line="200" w:lineRule="exact"/>
      <w:ind w:right="6"/>
      <w:jc w:val="left"/>
    </w:pPr>
    <w:rPr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A173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376E59"/>
    <w:pPr>
      <w:keepNext/>
      <w:numPr>
        <w:numId w:val="1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9F0D1B"/>
    <w:pPr>
      <w:keepNext/>
      <w:numPr>
        <w:numId w:val="47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376E59"/>
    <w:pPr>
      <w:keepNext/>
      <w:numPr>
        <w:numId w:val="39"/>
      </w:numPr>
      <w:spacing w:before="6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864ADC"/>
    <w:pPr>
      <w:numPr>
        <w:ilvl w:val="1"/>
      </w:numPr>
    </w:pPr>
  </w:style>
  <w:style w:type="paragraph" w:customStyle="1" w:styleId="BoxQuote">
    <w:name w:val="Box Quote"/>
    <w:basedOn w:val="BodyText"/>
    <w:next w:val="Box"/>
    <w:rsid w:val="00A173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Note">
    <w:name w:val="Note"/>
    <w:basedOn w:val="BodyText"/>
    <w:next w:val="BodyText"/>
    <w:rsid w:val="00A17328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te"/>
    <w:next w:val="BodyText"/>
    <w:rsid w:val="00A17328"/>
    <w:pPr>
      <w:spacing w:after="120"/>
    </w:pPr>
  </w:style>
  <w:style w:type="paragraph" w:customStyle="1" w:styleId="BoxSource">
    <w:name w:val="Box Source"/>
    <w:basedOn w:val="Source"/>
    <w:next w:val="BodyText"/>
    <w:rsid w:val="00A17328"/>
    <w:pPr>
      <w:spacing w:before="180" w:after="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D80CF5"/>
    <w:pPr>
      <w:spacing w:before="120" w:after="0"/>
      <w:ind w:left="1304" w:hanging="1304"/>
    </w:pPr>
    <w:rPr>
      <w:sz w:val="24"/>
    </w:rPr>
  </w:style>
  <w:style w:type="paragraph" w:customStyle="1" w:styleId="BoxSubtitle">
    <w:name w:val="Box Subtitle"/>
    <w:basedOn w:val="BoxTitle"/>
    <w:next w:val="Normal"/>
    <w:rsid w:val="00A17328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A17328"/>
    <w:pPr>
      <w:ind w:left="907"/>
    </w:pPr>
    <w:rPr>
      <w:rFonts w:ascii="Arial" w:hAnsi="Arial"/>
      <w:b/>
      <w:sz w:val="22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A17328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D80CF5"/>
    <w:rPr>
      <w:sz w:val="24"/>
    </w:rPr>
  </w:style>
  <w:style w:type="paragraph" w:styleId="Subtitle">
    <w:name w:val="Subtitle"/>
    <w:basedOn w:val="Caption"/>
    <w:link w:val="SubtitleChar"/>
    <w:rsid w:val="00A173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1363AA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AB0681"/>
    <w:pPr>
      <w:numPr>
        <w:numId w:val="3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Normal"/>
    <w:rsid w:val="000F420B"/>
    <w:pPr>
      <w:keepNext/>
      <w:keepLines/>
    </w:pPr>
    <w:rPr>
      <w:caps/>
      <w:sz w:val="20"/>
    </w:rPr>
  </w:style>
  <w:style w:type="paragraph" w:customStyle="1" w:styleId="FindingTitle">
    <w:name w:val="Finding Title"/>
    <w:basedOn w:val="RecTitle"/>
    <w:next w:val="Finding"/>
    <w:rsid w:val="00A17328"/>
    <w:pPr>
      <w:framePr w:wrap="notBeside" w:hAnchor="text"/>
    </w:pPr>
  </w:style>
  <w:style w:type="character" w:styleId="FootnoteReference">
    <w:name w:val="footnote reference"/>
    <w:basedOn w:val="DefaultParagraphFont"/>
    <w:semiHidden/>
    <w:rsid w:val="00A173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227D5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customStyle="1" w:styleId="InformationRequest">
    <w:name w:val="Information Request"/>
    <w:basedOn w:val="Finding"/>
    <w:next w:val="BodyText"/>
    <w:rsid w:val="00A17328"/>
    <w:pPr>
      <w:spacing w:before="360" w:after="120"/>
    </w:pPr>
    <w:rPr>
      <w:rFonts w:ascii="Arial" w:hAnsi="Arial"/>
      <w:sz w:val="24"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4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DB67C9"/>
    <w:pPr>
      <w:numPr>
        <w:numId w:val="6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8"/>
      </w:numPr>
      <w:spacing w:before="120"/>
    </w:pPr>
  </w:style>
  <w:style w:type="paragraph" w:styleId="ListBullet3">
    <w:name w:val="List Bullet 3"/>
    <w:basedOn w:val="BodyText"/>
    <w:rsid w:val="00DB67C9"/>
    <w:pPr>
      <w:numPr>
        <w:numId w:val="10"/>
      </w:numPr>
      <w:spacing w:before="120"/>
    </w:pPr>
  </w:style>
  <w:style w:type="paragraph" w:styleId="ListNumber">
    <w:name w:val="List Number"/>
    <w:basedOn w:val="BodyText"/>
    <w:rsid w:val="00864ADC"/>
    <w:pPr>
      <w:numPr>
        <w:numId w:val="32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A17328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A17328"/>
    <w:pPr>
      <w:spacing w:before="120" w:line="280" w:lineRule="exact"/>
      <w:ind w:left="340"/>
    </w:pPr>
    <w:rPr>
      <w:sz w:val="24"/>
    </w:rPr>
  </w:style>
  <w:style w:type="paragraph" w:customStyle="1" w:styleId="QuoteBullet">
    <w:name w:val="Quote Bullet"/>
    <w:basedOn w:val="Quote"/>
    <w:rsid w:val="00323E09"/>
    <w:pPr>
      <w:numPr>
        <w:numId w:val="14"/>
      </w:numPr>
    </w:pPr>
  </w:style>
  <w:style w:type="paragraph" w:customStyle="1" w:styleId="Rec">
    <w:name w:val="Rec"/>
    <w:basedOn w:val="BodyText"/>
    <w:rsid w:val="001363AA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323E09"/>
    <w:pPr>
      <w:numPr>
        <w:numId w:val="15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40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link w:val="ReferenceChar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1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A173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323E09"/>
    <w:pPr>
      <w:numPr>
        <w:numId w:val="18"/>
      </w:numPr>
      <w:jc w:val="left"/>
    </w:pPr>
  </w:style>
  <w:style w:type="paragraph" w:customStyle="1" w:styleId="TableColumnHeading">
    <w:name w:val="Table Column Heading"/>
    <w:basedOn w:val="TableBodyText"/>
    <w:rsid w:val="00A17328"/>
    <w:pPr>
      <w:spacing w:before="80" w:after="80"/>
    </w:pPr>
    <w:rPr>
      <w:i/>
    </w:rPr>
  </w:style>
  <w:style w:type="paragraph" w:styleId="TOC2">
    <w:name w:val="toc 2"/>
    <w:basedOn w:val="BodyText"/>
    <w:semiHidden/>
    <w:rsid w:val="00A173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3">
    <w:name w:val="toc 3"/>
    <w:basedOn w:val="TOC2"/>
    <w:semiHidden/>
    <w:rsid w:val="00A17328"/>
    <w:pPr>
      <w:spacing w:before="60"/>
      <w:ind w:left="1190" w:hanging="680"/>
    </w:pPr>
    <w:rPr>
      <w:b w:val="0"/>
    </w:r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rsid w:val="00D80CF5"/>
    <w:rPr>
      <w:sz w:val="24"/>
    </w:rPr>
  </w:style>
  <w:style w:type="paragraph" w:customStyle="1" w:styleId="TableUnitsRow">
    <w:name w:val="Table Units Row"/>
    <w:basedOn w:val="TableBodyText"/>
    <w:rsid w:val="00A17328"/>
    <w:pPr>
      <w:spacing w:before="80" w:after="80"/>
    </w:pPr>
  </w:style>
  <w:style w:type="paragraph" w:styleId="TOC1">
    <w:name w:val="toc 1"/>
    <w:basedOn w:val="Normal"/>
    <w:next w:val="TOC2"/>
    <w:semiHidden/>
    <w:rsid w:val="00A173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F10476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5402FA"/>
    <w:pPr>
      <w:numPr>
        <w:numId w:val="48"/>
      </w:numPr>
      <w:tabs>
        <w:tab w:val="left" w:pos="907"/>
      </w:tabs>
      <w:spacing w:before="60" w:line="280" w:lineRule="atLeast"/>
      <w:ind w:left="907" w:hanging="340"/>
    </w:pPr>
    <w:rPr>
      <w:rFonts w:ascii="Arial" w:hAnsi="Arial"/>
      <w:sz w:val="22"/>
    </w:rPr>
  </w:style>
  <w:style w:type="character" w:styleId="Emphasis">
    <w:name w:val="Emphasis"/>
    <w:basedOn w:val="DefaultParagraphFont"/>
    <w:uiPriority w:val="20"/>
    <w:qFormat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C81D4A"/>
    <w:pPr>
      <w:numPr>
        <w:numId w:val="45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BA7E27"/>
    <w:pPr>
      <w:numPr>
        <w:numId w:val="46"/>
      </w:numPr>
      <w:ind w:left="340" w:hanging="340"/>
    </w:pPr>
    <w:rPr>
      <w:rFonts w:ascii="Arial" w:hAnsi="Arial"/>
      <w:i/>
      <w:sz w:val="24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character" w:customStyle="1" w:styleId="ReferenceChar">
    <w:name w:val="Reference Char"/>
    <w:basedOn w:val="DefaultParagraphFont"/>
    <w:link w:val="Reference"/>
    <w:rsid w:val="00225A4B"/>
    <w:rPr>
      <w:sz w:val="26"/>
    </w:rPr>
  </w:style>
  <w:style w:type="character" w:styleId="Hyperlink">
    <w:name w:val="Hyperlink"/>
    <w:basedOn w:val="DefaultParagraphFont"/>
    <w:uiPriority w:val="99"/>
    <w:unhideWhenUsed/>
    <w:rsid w:val="009654AA"/>
    <w:rPr>
      <w:b/>
      <w:bCs/>
      <w:strike w:val="0"/>
      <w:dstrike w:val="0"/>
      <w:color w:val="26263E"/>
      <w:u w:val="none"/>
      <w:effect w:val="none"/>
    </w:rPr>
  </w:style>
  <w:style w:type="character" w:customStyle="1" w:styleId="BodyTextChar">
    <w:name w:val="Body Text Char"/>
    <w:basedOn w:val="DefaultParagraphFont"/>
    <w:link w:val="BodyText"/>
    <w:rsid w:val="003A3182"/>
    <w:rPr>
      <w:sz w:val="26"/>
    </w:rPr>
  </w:style>
  <w:style w:type="paragraph" w:styleId="CommentSubject">
    <w:name w:val="annotation subject"/>
    <w:basedOn w:val="CommentText"/>
    <w:next w:val="CommentText"/>
    <w:link w:val="CommentSubjectChar"/>
    <w:rsid w:val="00971FE5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71FE5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971FE5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ftc.gov/opp/intellect/020417lawrencemsung1.pdf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AA04-2807-4DEA-BEFC-404E3E4C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78</TotalTime>
  <Pages>26</Pages>
  <Words>7013</Words>
  <Characters>49336</Characters>
  <Application>Microsoft Office Word</Application>
  <DocSecurity>0</DocSecurity>
  <Lines>411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56237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Compulsory Licensing of Patents</dc:subject>
  <dc:creator>Productivity Commission</dc:creator>
  <dc:description>.</dc:description>
  <cp:lastModifiedBy>Louise Jordan</cp:lastModifiedBy>
  <cp:revision>27</cp:revision>
  <cp:lastPrinted>2012-12-05T23:48:00Z</cp:lastPrinted>
  <dcterms:created xsi:type="dcterms:W3CDTF">2012-12-04T04:19:00Z</dcterms:created>
  <dcterms:modified xsi:type="dcterms:W3CDTF">2012-12-05T23:48:00Z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