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4822AE"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52525" y="1057275"/>
            <wp:positionH relativeFrom="page">
              <wp:align>center</wp:align>
            </wp:positionH>
            <wp:positionV relativeFrom="page">
              <wp:align>bottom</wp:align>
            </wp:positionV>
            <wp:extent cx="7560000" cy="10126800"/>
            <wp:effectExtent l="0" t="0" r="3175" b="8255"/>
            <wp:wrapNone/>
            <wp:docPr id="2" name="Picture 2" descr="Cover image for the Australian Government Productivity Commission report titled 'Complusory Licensing of Patents'. Inquiry report number 61, 28 March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quiry-final-patents-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497FA3" w:rsidRPr="007809B8" w:rsidRDefault="00497FA3">
      <w:pPr>
        <w:pStyle w:val="BodyText"/>
        <w:tabs>
          <w:tab w:val="left" w:pos="851"/>
        </w:tabs>
        <w:spacing w:before="200" w:after="120"/>
        <w:jc w:val="left"/>
        <w:rPr>
          <w:b/>
          <w:sz w:val="24"/>
        </w:rPr>
      </w:pPr>
      <w:bookmarkStart w:id="1" w:name="ISSN"/>
      <w:bookmarkEnd w:id="1"/>
      <w:r>
        <w:rPr>
          <w:b/>
          <w:sz w:val="24"/>
        </w:rPr>
        <w:t>ISSN</w:t>
      </w:r>
      <w:r>
        <w:rPr>
          <w:b/>
          <w:sz w:val="24"/>
        </w:rPr>
        <w:tab/>
      </w:r>
      <w:r w:rsidR="00CB5143" w:rsidRPr="00F92007">
        <w:rPr>
          <w:b/>
          <w:sz w:val="24"/>
        </w:rPr>
        <w:t>1447-1329</w:t>
      </w:r>
      <w:r>
        <w:rPr>
          <w:b/>
          <w:sz w:val="24"/>
        </w:rPr>
        <w:br/>
        <w:t>ISBN</w:t>
      </w:r>
      <w:r>
        <w:rPr>
          <w:b/>
          <w:sz w:val="24"/>
        </w:rPr>
        <w:tab/>
      </w:r>
      <w:r w:rsidR="00CB5143" w:rsidRPr="00F92007">
        <w:rPr>
          <w:b/>
          <w:sz w:val="24"/>
        </w:rPr>
        <w:t>978-1-74037-429-3</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Default="00F86038" w:rsidP="003E7802">
      <w:pPr>
        <w:pStyle w:val="BodyText"/>
        <w:spacing w:before="160" w:after="120" w:line="240" w:lineRule="auto"/>
        <w:rPr>
          <w:sz w:val="24"/>
          <w:szCs w:val="24"/>
        </w:rPr>
      </w:pPr>
      <w:r>
        <w:rPr>
          <w:sz w:val="24"/>
          <w:szCs w:val="24"/>
        </w:rPr>
        <w:t xml:space="preserve">Productivity Commission 2013, </w:t>
      </w:r>
      <w:r w:rsidRPr="00F86038">
        <w:rPr>
          <w:i/>
          <w:sz w:val="24"/>
          <w:szCs w:val="24"/>
        </w:rPr>
        <w:t>Compulsory Licensing of Patents</w:t>
      </w:r>
      <w:r>
        <w:rPr>
          <w:sz w:val="24"/>
          <w:szCs w:val="24"/>
        </w:rPr>
        <w:t xml:space="preserve">, </w:t>
      </w:r>
      <w:r w:rsidR="00F71C81">
        <w:rPr>
          <w:sz w:val="24"/>
          <w:szCs w:val="24"/>
        </w:rPr>
        <w:t xml:space="preserve">Inquiry </w:t>
      </w:r>
      <w:r w:rsidR="00BD4E7C">
        <w:rPr>
          <w:sz w:val="24"/>
          <w:szCs w:val="24"/>
        </w:rPr>
        <w:t xml:space="preserve">Report </w:t>
      </w:r>
      <w:r w:rsidR="00BC64D1">
        <w:rPr>
          <w:sz w:val="24"/>
          <w:szCs w:val="24"/>
        </w:rPr>
        <w:t>N</w:t>
      </w:r>
      <w:r>
        <w:rPr>
          <w:sz w:val="24"/>
          <w:szCs w:val="24"/>
        </w:rPr>
        <w:t>o</w:t>
      </w:r>
      <w:r w:rsidR="00F71C81">
        <w:rPr>
          <w:sz w:val="24"/>
          <w:szCs w:val="24"/>
        </w:rPr>
        <w:t>.</w:t>
      </w:r>
      <w:r>
        <w:rPr>
          <w:sz w:val="24"/>
          <w:szCs w:val="24"/>
        </w:rPr>
        <w:t xml:space="preserve"> </w:t>
      </w:r>
      <w:r w:rsidR="00CB5143">
        <w:rPr>
          <w:sz w:val="24"/>
          <w:szCs w:val="24"/>
        </w:rPr>
        <w:t>61</w:t>
      </w:r>
      <w:r w:rsidR="00A565B2">
        <w:rPr>
          <w:sz w:val="24"/>
          <w:szCs w:val="24"/>
        </w:rPr>
        <w:t xml:space="preserve">, </w:t>
      </w:r>
      <w:r>
        <w:rPr>
          <w:sz w:val="24"/>
          <w:szCs w:val="24"/>
        </w:rPr>
        <w:t>Canberra</w:t>
      </w:r>
      <w:r w:rsidR="001350EC">
        <w:rPr>
          <w:sz w:val="24"/>
          <w:szCs w:val="24"/>
        </w:rPr>
        <w:t>.</w:t>
      </w:r>
    </w:p>
    <w:p w:rsidR="001350EC" w:rsidRPr="00551FB8" w:rsidRDefault="001350EC" w:rsidP="003E7802">
      <w:pPr>
        <w:pStyle w:val="BodyText"/>
        <w:spacing w:before="160" w:after="120" w:line="240" w:lineRule="auto"/>
        <w:rPr>
          <w:sz w:val="24"/>
          <w:szCs w:val="24"/>
        </w:rPr>
      </w:pPr>
    </w:p>
    <w:p w:rsidR="003E7802" w:rsidRPr="00DC75C7" w:rsidRDefault="003E7802" w:rsidP="00F4234E">
      <w:pPr>
        <w:pStyle w:val="PCBoxHeading"/>
      </w:pPr>
      <w:bookmarkStart w:id="2" w:name="JEL"/>
      <w:bookmarkEnd w:id="2"/>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497FA3" w:rsidRDefault="00497FA3">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497FA3" w:rsidTr="006B5E1C">
        <w:trPr>
          <w:cantSplit/>
          <w:trHeight w:hRule="exact" w:val="996"/>
        </w:trPr>
        <w:tc>
          <w:tcPr>
            <w:tcW w:w="2434" w:type="dxa"/>
          </w:tcPr>
          <w:p w:rsidR="00497FA3" w:rsidRPr="00205C77" w:rsidRDefault="00497FA3">
            <w:pPr>
              <w:pStyle w:val="PCAddress"/>
              <w:ind w:left="709"/>
              <w:rPr>
                <w:rFonts w:ascii="Goudy Old Style" w:hAnsi="Goudy Old Style"/>
                <w:b/>
                <w:i/>
              </w:rPr>
            </w:pPr>
          </w:p>
        </w:tc>
        <w:tc>
          <w:tcPr>
            <w:tcW w:w="1824" w:type="dxa"/>
          </w:tcPr>
          <w:p w:rsidR="00497FA3" w:rsidRPr="00205C77" w:rsidRDefault="00497FA3">
            <w:pPr>
              <w:pStyle w:val="PCAddress"/>
              <w:ind w:left="709"/>
              <w:rPr>
                <w:rFonts w:ascii="Goudy Old Style" w:hAnsi="Goudy Old Style"/>
                <w:b/>
                <w:i/>
              </w:rPr>
            </w:pPr>
          </w:p>
        </w:tc>
        <w:tc>
          <w:tcPr>
            <w:tcW w:w="4815" w:type="dxa"/>
            <w:gridSpan w:val="2"/>
          </w:tcPr>
          <w:p w:rsidR="00497FA3" w:rsidRPr="00205C77" w:rsidRDefault="00497FA3" w:rsidP="006B5E1C">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668149BB" wp14:editId="08F670EA">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0"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497FA3" w:rsidTr="006B5E1C">
        <w:trPr>
          <w:cantSplit/>
          <w:trHeight w:hRule="exact" w:val="2793"/>
        </w:trPr>
        <w:tc>
          <w:tcPr>
            <w:tcW w:w="5954" w:type="dxa"/>
            <w:gridSpan w:val="3"/>
            <w:vAlign w:val="bottom"/>
          </w:tcPr>
          <w:p w:rsidR="00497FA3" w:rsidRPr="00205C77" w:rsidRDefault="00497FA3">
            <w:pPr>
              <w:ind w:left="34"/>
              <w:rPr>
                <w:rFonts w:ascii="Goudy Old Style" w:hAnsi="Goudy Old Style"/>
              </w:rPr>
            </w:pPr>
            <w:bookmarkStart w:id="4" w:name="YourRef"/>
            <w:bookmarkStart w:id="5" w:name="OurRef"/>
            <w:bookmarkStart w:id="6" w:name="graphics" w:colFirst="1" w:colLast="1"/>
            <w:bookmarkEnd w:id="4"/>
            <w:bookmarkEnd w:id="5"/>
          </w:p>
          <w:p w:rsidR="00497FA3" w:rsidRPr="00205C77" w:rsidRDefault="00497FA3" w:rsidP="00DA16EE">
            <w:pPr>
              <w:pStyle w:val="LetterAddress"/>
              <w:ind w:left="-113"/>
              <w:rPr>
                <w:rFonts w:ascii="Goudy Old Style" w:hAnsi="Goudy Old Style"/>
              </w:rPr>
            </w:pPr>
            <w:r w:rsidRPr="00205C77">
              <w:rPr>
                <w:rFonts w:ascii="Goudy Old Style" w:hAnsi="Goudy Old Style"/>
              </w:rPr>
              <w:cr/>
            </w:r>
            <w:r w:rsidR="00DA16EE">
              <w:rPr>
                <w:rFonts w:ascii="Goudy Old Style" w:hAnsi="Goudy Old Style"/>
              </w:rPr>
              <w:t>28 March 2013</w:t>
            </w:r>
          </w:p>
        </w:tc>
        <w:tc>
          <w:tcPr>
            <w:tcW w:w="3119" w:type="dxa"/>
            <w:vAlign w:val="center"/>
          </w:tcPr>
          <w:p w:rsidR="00497FA3" w:rsidRPr="00205C77" w:rsidRDefault="00497FA3">
            <w:pPr>
              <w:pStyle w:val="PCAddress"/>
              <w:ind w:left="709"/>
              <w:rPr>
                <w:rFonts w:ascii="Goudy Old Style" w:hAnsi="Goudy Old Style"/>
                <w:b/>
                <w:i/>
              </w:rPr>
            </w:pPr>
            <w:r w:rsidRPr="00205C77">
              <w:rPr>
                <w:rFonts w:ascii="Goudy Old Style" w:hAnsi="Goudy Old Style"/>
                <w:b/>
                <w:i/>
              </w:rPr>
              <w:t>Melbourne Office</w:t>
            </w:r>
          </w:p>
          <w:p w:rsidR="00497FA3" w:rsidRPr="00205C77" w:rsidRDefault="00497FA3">
            <w:pPr>
              <w:pStyle w:val="PCAddress"/>
              <w:spacing w:after="0"/>
              <w:ind w:left="709"/>
              <w:rPr>
                <w:rFonts w:ascii="Goudy Old Style" w:hAnsi="Goudy Old Style"/>
              </w:rPr>
            </w:pPr>
            <w:r w:rsidRPr="00205C77">
              <w:rPr>
                <w:rFonts w:ascii="Goudy Old Style" w:hAnsi="Goudy Old Style"/>
              </w:rPr>
              <w:t>Level 12, 530 Collins Street</w:t>
            </w:r>
          </w:p>
          <w:p w:rsidR="00497FA3" w:rsidRPr="00205C77" w:rsidRDefault="00497FA3">
            <w:pPr>
              <w:pStyle w:val="PCAddress"/>
              <w:ind w:left="709"/>
              <w:rPr>
                <w:rFonts w:ascii="Goudy Old Style" w:hAnsi="Goudy Old Style"/>
              </w:rPr>
            </w:pPr>
            <w:r w:rsidRPr="00205C77">
              <w:rPr>
                <w:rFonts w:ascii="Goudy Old Style" w:hAnsi="Goudy Old Style"/>
              </w:rPr>
              <w:t>Melbourne  VIC  3000</w:t>
            </w:r>
          </w:p>
          <w:p w:rsidR="00497FA3" w:rsidRPr="00205C77" w:rsidRDefault="00497FA3">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497FA3" w:rsidRPr="00205C77" w:rsidRDefault="00497FA3">
            <w:pPr>
              <w:pStyle w:val="PCAddress"/>
              <w:ind w:left="709"/>
              <w:rPr>
                <w:rFonts w:ascii="Goudy Old Style" w:hAnsi="Goudy Old Style"/>
              </w:rPr>
            </w:pPr>
            <w:r w:rsidRPr="00205C77">
              <w:rPr>
                <w:rFonts w:ascii="Goudy Old Style" w:hAnsi="Goudy Old Style"/>
              </w:rPr>
              <w:t>Melbourne  VIC  8003</w:t>
            </w:r>
          </w:p>
          <w:p w:rsidR="00497FA3" w:rsidRPr="00205C77" w:rsidRDefault="00497FA3">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497FA3" w:rsidRPr="00205C77" w:rsidRDefault="00497FA3">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497FA3" w:rsidRPr="00205C77" w:rsidRDefault="00497FA3">
            <w:pPr>
              <w:pStyle w:val="PCAddress"/>
              <w:ind w:left="709"/>
              <w:rPr>
                <w:rFonts w:ascii="Goudy Old Style" w:hAnsi="Goudy Old Style"/>
                <w:b/>
                <w:i/>
              </w:rPr>
            </w:pPr>
            <w:r w:rsidRPr="00205C77">
              <w:rPr>
                <w:rFonts w:ascii="Goudy Old Style" w:hAnsi="Goudy Old Style"/>
                <w:b/>
                <w:i/>
              </w:rPr>
              <w:t>Canberra Office</w:t>
            </w:r>
          </w:p>
          <w:p w:rsidR="00497FA3" w:rsidRPr="00205C77" w:rsidRDefault="00497FA3">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497FA3" w:rsidRPr="00205C77" w:rsidRDefault="00497FA3">
            <w:pPr>
              <w:pStyle w:val="PCAddress"/>
              <w:ind w:left="709"/>
              <w:rPr>
                <w:rFonts w:ascii="Goudy Old Style" w:hAnsi="Goudy Old Style"/>
              </w:rPr>
            </w:pPr>
            <w:r w:rsidRPr="00205C77">
              <w:rPr>
                <w:rFonts w:ascii="Goudy Old Style" w:hAnsi="Goudy Old Style"/>
              </w:rPr>
              <w:t>www.pc.gov.au</w:t>
            </w:r>
          </w:p>
        </w:tc>
      </w:tr>
      <w:bookmarkEnd w:id="6"/>
    </w:tbl>
    <w:p w:rsidR="00497FA3" w:rsidRPr="00C76C25" w:rsidRDefault="00497FA3" w:rsidP="006B5E1C">
      <w:pPr>
        <w:pStyle w:val="LetterAddress"/>
      </w:pPr>
    </w:p>
    <w:p w:rsidR="00497FA3" w:rsidRPr="00C76C25" w:rsidRDefault="00497FA3">
      <w:pPr>
        <w:pStyle w:val="LetterAddress"/>
      </w:pPr>
      <w:r>
        <w:t>T</w:t>
      </w:r>
      <w:r w:rsidRPr="00C76C25">
        <w:t xml:space="preserve">he Hon </w:t>
      </w:r>
      <w:r>
        <w:t>David Bradbury MP</w:t>
      </w:r>
      <w:r w:rsidRPr="00C76C25">
        <w:br/>
        <w:t>Assistant Treasurer</w:t>
      </w:r>
    </w:p>
    <w:p w:rsidR="00497FA3" w:rsidRPr="00C76C25" w:rsidRDefault="00497FA3">
      <w:pPr>
        <w:pStyle w:val="LetterAddress"/>
      </w:pPr>
      <w:r w:rsidRPr="00C76C25">
        <w:t>Parliament House</w:t>
      </w:r>
    </w:p>
    <w:p w:rsidR="00497FA3" w:rsidRPr="00C76C25" w:rsidRDefault="00497FA3">
      <w:pPr>
        <w:pStyle w:val="LetterAddress"/>
      </w:pPr>
      <w:r w:rsidRPr="00C76C25">
        <w:t>CANBERRA  ACT  2600</w:t>
      </w:r>
    </w:p>
    <w:p w:rsidR="00497FA3" w:rsidRDefault="00497FA3">
      <w:pPr>
        <w:pStyle w:val="Salutation"/>
      </w:pPr>
      <w:bookmarkStart w:id="7" w:name="Salutation"/>
      <w:bookmarkEnd w:id="7"/>
    </w:p>
    <w:p w:rsidR="00497FA3" w:rsidRPr="00C76C25" w:rsidRDefault="00497FA3">
      <w:pPr>
        <w:pStyle w:val="Salutation"/>
      </w:pPr>
      <w:r w:rsidRPr="00C76C25">
        <w:t>Dear Assistant Treasurer</w:t>
      </w:r>
    </w:p>
    <w:p w:rsidR="00497FA3" w:rsidRPr="00C76C25" w:rsidRDefault="00497FA3" w:rsidP="006B5E1C">
      <w:pPr>
        <w:pStyle w:val="BodyText"/>
        <w:ind w:right="142"/>
        <w:rPr>
          <w:sz w:val="24"/>
          <w:szCs w:val="24"/>
        </w:rPr>
      </w:pPr>
      <w:bookmarkStart w:id="8" w:name="Body"/>
      <w:bookmarkEnd w:id="8"/>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Commission’s final report into </w:t>
      </w:r>
      <w:r w:rsidR="00DA16EE">
        <w:rPr>
          <w:sz w:val="24"/>
          <w:szCs w:val="24"/>
        </w:rPr>
        <w:t>Compulsory Licensing of Patents.</w:t>
      </w:r>
    </w:p>
    <w:p w:rsidR="00497FA3" w:rsidRPr="00C76C25" w:rsidRDefault="00497FA3">
      <w:pPr>
        <w:pStyle w:val="Signoff"/>
        <w:rPr>
          <w:szCs w:val="24"/>
        </w:rPr>
      </w:pPr>
      <w:bookmarkStart w:id="9" w:name="signoff"/>
      <w:bookmarkEnd w:id="9"/>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3402"/>
      </w:tblGrid>
      <w:tr w:rsidR="00DA16EE" w:rsidTr="00DA16EE">
        <w:tc>
          <w:tcPr>
            <w:tcW w:w="4219" w:type="dxa"/>
          </w:tcPr>
          <w:p w:rsidR="00DA16EE" w:rsidRPr="00C76C25" w:rsidRDefault="00DA16EE" w:rsidP="006B5E1C">
            <w:pPr>
              <w:pStyle w:val="BodyText"/>
              <w:rPr>
                <w:sz w:val="24"/>
                <w:szCs w:val="24"/>
              </w:rPr>
            </w:pPr>
            <w:bookmarkStart w:id="10" w:name="author"/>
            <w:bookmarkEnd w:id="10"/>
            <w:r>
              <w:rPr>
                <w:sz w:val="24"/>
                <w:szCs w:val="24"/>
              </w:rPr>
              <w:t>Alison McClelland</w:t>
            </w:r>
          </w:p>
          <w:p w:rsidR="00DA16EE" w:rsidRDefault="00DA16EE" w:rsidP="006B5E1C">
            <w:pPr>
              <w:pStyle w:val="LetterAddress"/>
              <w:rPr>
                <w:szCs w:val="24"/>
              </w:rPr>
            </w:pPr>
            <w:r w:rsidRPr="00C76C25">
              <w:t>Presiding Commissioner</w:t>
            </w:r>
          </w:p>
        </w:tc>
        <w:tc>
          <w:tcPr>
            <w:tcW w:w="3402" w:type="dxa"/>
          </w:tcPr>
          <w:p w:rsidR="00DA16EE" w:rsidRPr="00C76C25" w:rsidRDefault="009F30A3" w:rsidP="006B5E1C">
            <w:pPr>
              <w:pStyle w:val="BodyText"/>
              <w:rPr>
                <w:sz w:val="24"/>
                <w:szCs w:val="24"/>
              </w:rPr>
            </w:pPr>
            <w:r>
              <w:rPr>
                <w:sz w:val="24"/>
                <w:szCs w:val="24"/>
              </w:rPr>
              <w:t xml:space="preserve">Dr </w:t>
            </w:r>
            <w:r w:rsidR="00DA16EE">
              <w:rPr>
                <w:sz w:val="24"/>
                <w:szCs w:val="24"/>
              </w:rPr>
              <w:t>Warren Mundy</w:t>
            </w:r>
          </w:p>
          <w:p w:rsidR="00DA16EE" w:rsidRDefault="00DA16EE" w:rsidP="006B5E1C">
            <w:pPr>
              <w:pStyle w:val="LetterAddress"/>
              <w:rPr>
                <w:szCs w:val="24"/>
              </w:rPr>
            </w:pPr>
            <w:r w:rsidRPr="00C76C25">
              <w:t>Commissioner</w:t>
            </w:r>
          </w:p>
        </w:tc>
      </w:tr>
    </w:tbl>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497FA3" w:rsidRDefault="00497FA3" w:rsidP="006B5E1C">
      <w:pPr>
        <w:pStyle w:val="Heading1"/>
      </w:pPr>
      <w:bookmarkStart w:id="11" w:name="_Toc352055804"/>
      <w:bookmarkStart w:id="12" w:name="_Toc352061746"/>
      <w:r>
        <w:lastRenderedPageBreak/>
        <w:t>Terms of reference</w:t>
      </w:r>
      <w:bookmarkEnd w:id="11"/>
      <w:bookmarkEnd w:id="12"/>
    </w:p>
    <w:p w:rsidR="00DA16EE" w:rsidRPr="00071B53" w:rsidRDefault="00DA16EE" w:rsidP="00DA16EE">
      <w:pPr>
        <w:jc w:val="both"/>
      </w:pPr>
      <w:r>
        <w:t xml:space="preserve">I, David Bradbury, Assistant Treasurer, under part 3 of the </w:t>
      </w:r>
      <w:r w:rsidRPr="00372915">
        <w:rPr>
          <w:i/>
        </w:rPr>
        <w:t>Productivity Commission Act 1998</w:t>
      </w:r>
      <w:r>
        <w:t xml:space="preserve">, hereby </w:t>
      </w:r>
      <w:r w:rsidRPr="00071B53">
        <w:t>request that the Productivity Commission undertake an inquiry into the compulsory licensing provisions in the Patents Act 1990.</w:t>
      </w:r>
    </w:p>
    <w:p w:rsidR="00DA16EE" w:rsidRPr="00C20D93" w:rsidRDefault="00DA16EE" w:rsidP="00DA16EE">
      <w:pPr>
        <w:pStyle w:val="BodyText"/>
        <w:spacing w:before="560" w:line="320" w:lineRule="exact"/>
        <w:rPr>
          <w:rFonts w:ascii="Arial" w:hAnsi="Arial" w:cs="Arial"/>
          <w:b/>
        </w:rPr>
      </w:pPr>
      <w:r w:rsidRPr="00C20D93">
        <w:rPr>
          <w:rFonts w:ascii="Arial" w:hAnsi="Arial" w:cs="Arial"/>
          <w:b/>
        </w:rPr>
        <w:t xml:space="preserve">Background - balancing access to technology and innovation </w:t>
      </w:r>
    </w:p>
    <w:p w:rsidR="00DA16EE" w:rsidRDefault="00DA16EE" w:rsidP="00DA16EE">
      <w:pPr>
        <w:pStyle w:val="BodyText"/>
      </w:pPr>
      <w:r>
        <w:t xml:space="preserve">The compulsory licensing provisions in the </w:t>
      </w:r>
      <w:r>
        <w:rPr>
          <w:i/>
          <w:iCs/>
        </w:rPr>
        <w:t xml:space="preserve">Patents Act 1990 </w:t>
      </w:r>
      <w:r>
        <w:t xml:space="preserve">are a key safeguard, which may be invoked where the exercise of the exclusive rights conferred by a patent are not meeting the reasonable requirements of the public or constitute anti-competitive conduct.  </w:t>
      </w:r>
    </w:p>
    <w:p w:rsidR="00DA16EE" w:rsidRDefault="00DA16EE" w:rsidP="00DA16EE">
      <w:pPr>
        <w:pStyle w:val="BodyText"/>
      </w:pPr>
      <w:r>
        <w:t xml:space="preserve">In Australia, these provisions are used rarely and there are opposing views on their effectiveness.  Infrequent use is attributed to significant barriers to accessing the provisions, or as a result of the deterrent effect of the provisions, which induces patent holders to enter into voluntary licences for their patented inventions. </w:t>
      </w:r>
    </w:p>
    <w:p w:rsidR="00DA16EE" w:rsidRDefault="00DA16EE" w:rsidP="00DA16EE">
      <w:pPr>
        <w:pStyle w:val="BodyText"/>
        <w:rPr>
          <w:b/>
          <w:bCs/>
        </w:rPr>
      </w:pPr>
      <w:r>
        <w:t xml:space="preserve">Australia is a net importer of technology.  </w:t>
      </w:r>
      <w:r>
        <w:rPr>
          <w:color w:val="000000"/>
        </w:rPr>
        <w:t xml:space="preserve">Of the 14,557 patents granted in 2010, 1,178 (8 per cent) were granted to Australian residents.  </w:t>
      </w:r>
      <w:r>
        <w:t xml:space="preserve">Overall, the likely benefit of these provisions is their use as a deterrent in licensing negotiations between a foreign patent holder and potential licensee in Australia, in order to ensure domestic access to technology and technology diffusion.  </w:t>
      </w:r>
    </w:p>
    <w:p w:rsidR="00DA16EE" w:rsidRDefault="00DA16EE" w:rsidP="00DA16EE">
      <w:pPr>
        <w:pStyle w:val="BodyText"/>
      </w:pPr>
      <w:r>
        <w:t xml:space="preserve">In November 2011, the Government’s Response to recommendation 12 of the Senate Community Affairs References Committee’s </w:t>
      </w:r>
      <w:r>
        <w:rPr>
          <w:i/>
          <w:iCs/>
        </w:rPr>
        <w:t>Gene Patents</w:t>
      </w:r>
      <w:r>
        <w:t xml:space="preserve"> Report November 2010 and recommendation 27-1 of the Australian Law Reform Commission, </w:t>
      </w:r>
      <w:r>
        <w:rPr>
          <w:i/>
          <w:iCs/>
        </w:rPr>
        <w:t xml:space="preserve">Genes and Ingenuity: Gene Patenting and Human Health </w:t>
      </w:r>
      <w:r>
        <w:t>(</w:t>
      </w:r>
      <w:proofErr w:type="spellStart"/>
      <w:r>
        <w:t>ALRC</w:t>
      </w:r>
      <w:proofErr w:type="spellEnd"/>
      <w:r>
        <w:t xml:space="preserve"> 99, 2004) Report, endorsed a review of the operation of the compulsory licensing provisions in the </w:t>
      </w:r>
      <w:r>
        <w:rPr>
          <w:i/>
          <w:iCs/>
        </w:rPr>
        <w:t>Patents Act 1990</w:t>
      </w:r>
      <w:r>
        <w:t xml:space="preserve">, including measures to raise awareness of these provisions. </w:t>
      </w:r>
    </w:p>
    <w:p w:rsidR="00DA16EE" w:rsidRPr="00CB171C" w:rsidRDefault="00DA16EE" w:rsidP="00DA16EE">
      <w:pPr>
        <w:pStyle w:val="BodyText"/>
      </w:pPr>
      <w:r>
        <w:t xml:space="preserve">Compulsory licensing is an increasingly sensitive issue internationally, particularly in the context of access to affordable healthcare, and concerns that gene patents may prevent equitable access to medical advice that relies on the identification and use of gene sequences related to human health and disease.  Other areas of sensitivity include climate change mitigation, food security and alternative energy </w:t>
      </w:r>
      <w:r>
        <w:lastRenderedPageBreak/>
        <w:t>technologies, and technical standards essential patents (e.g. in telecommunication technologies).</w:t>
      </w:r>
    </w:p>
    <w:p w:rsidR="00DA16EE" w:rsidRDefault="00DA16EE" w:rsidP="00DA16EE">
      <w:pPr>
        <w:pStyle w:val="BodyText"/>
      </w:pPr>
      <w:r>
        <w:t xml:space="preserve">Compulsory licensing provisions are a feature of many patent laws around the world, and are included in international agreements to which Australia is a party.  </w:t>
      </w:r>
    </w:p>
    <w:p w:rsidR="00DA16EE" w:rsidRPr="00C20D93" w:rsidRDefault="00DA16EE" w:rsidP="00DA16EE">
      <w:pPr>
        <w:pStyle w:val="BodyText"/>
        <w:spacing w:before="560" w:line="320" w:lineRule="exact"/>
        <w:rPr>
          <w:rFonts w:ascii="Arial" w:hAnsi="Arial" w:cs="Arial"/>
          <w:b/>
        </w:rPr>
      </w:pPr>
      <w:r w:rsidRPr="00C20D93">
        <w:rPr>
          <w:rFonts w:ascii="Arial" w:hAnsi="Arial" w:cs="Arial"/>
          <w:b/>
        </w:rPr>
        <w:t>Scope of the inquiry</w:t>
      </w:r>
    </w:p>
    <w:p w:rsidR="00DA16EE" w:rsidRDefault="00DA16EE" w:rsidP="00DA16EE">
      <w:pPr>
        <w:pStyle w:val="BodyText"/>
      </w:pPr>
      <w:r>
        <w:t xml:space="preserve">The Commission is requested to review the operation of the compulsory licensing provisions in the </w:t>
      </w:r>
      <w:r>
        <w:rPr>
          <w:i/>
          <w:iCs/>
        </w:rPr>
        <w:t xml:space="preserve">Patents Act 1990, </w:t>
      </w:r>
      <w:r>
        <w:t>in particular:</w:t>
      </w:r>
    </w:p>
    <w:p w:rsidR="00DA16EE" w:rsidRPr="00566963" w:rsidRDefault="00DA16EE" w:rsidP="00DA16EE">
      <w:pPr>
        <w:pStyle w:val="ListNumber"/>
        <w:numPr>
          <w:ilvl w:val="0"/>
          <w:numId w:val="25"/>
        </w:numPr>
      </w:pPr>
      <w:r w:rsidRPr="00566963">
        <w:t xml:space="preserve">Assess whether the current Australian provisions can be invoked efficiently and effectively to deal with circumstances where reasonable requirements of the public are not being met or where the patentee engages in anti-competitive conduct.  This includes, but is not limited to, consideration of concerns that gene patents may hinder access to affordable healthcare, including access to medical advice that relies on the identification and use of gene sequences related to human health and disease.   </w:t>
      </w:r>
    </w:p>
    <w:p w:rsidR="00DA16EE" w:rsidRPr="00566963" w:rsidRDefault="00DA16EE" w:rsidP="00DA16EE">
      <w:pPr>
        <w:pStyle w:val="ListNumber"/>
        <w:numPr>
          <w:ilvl w:val="0"/>
          <w:numId w:val="25"/>
        </w:numPr>
      </w:pPr>
      <w:r w:rsidRPr="00566963">
        <w:t>Advise on the frequency, and impact, of the issue of compulsory licences in comparable markets and the common features in such compulsory licenses.</w:t>
      </w:r>
    </w:p>
    <w:p w:rsidR="00DA16EE" w:rsidRPr="00566963" w:rsidRDefault="00DA16EE" w:rsidP="00DA16EE">
      <w:pPr>
        <w:pStyle w:val="ListNumber"/>
        <w:numPr>
          <w:ilvl w:val="0"/>
          <w:numId w:val="25"/>
        </w:numPr>
      </w:pPr>
      <w:bookmarkStart w:id="13" w:name="CursorPositionBM"/>
      <w:bookmarkEnd w:id="13"/>
      <w:r w:rsidRPr="00566963">
        <w:t xml:space="preserve">Recommend any measures that may be required to efficiently and effectively exercise these safeguard provisions and invoke their use in a manner consistent with Australia’s international obligations, without limiting access to overseas technologies, technology transfer, research and development investments or substantially reducing the patent incentive for innovation.  </w:t>
      </w:r>
    </w:p>
    <w:p w:rsidR="00DA16EE" w:rsidRPr="00566963" w:rsidRDefault="00DA16EE" w:rsidP="00DA16EE">
      <w:pPr>
        <w:pStyle w:val="ListNumber"/>
        <w:numPr>
          <w:ilvl w:val="0"/>
          <w:numId w:val="25"/>
        </w:numPr>
      </w:pPr>
      <w:r w:rsidRPr="00566963">
        <w:t>Recommend any alternative mechanisms deemed necessary to ensure that the balance between incentives to innovate and access to technology best reflect objectives of ensuring reasonable access to health care solutions, maximising economic growth and growing the Australian manufacturing industry.</w:t>
      </w:r>
    </w:p>
    <w:p w:rsidR="00DA16EE" w:rsidRPr="00566963" w:rsidRDefault="00DA16EE" w:rsidP="00DA16EE">
      <w:pPr>
        <w:pStyle w:val="ListNumber"/>
        <w:numPr>
          <w:ilvl w:val="0"/>
          <w:numId w:val="25"/>
        </w:numPr>
      </w:pPr>
      <w:r w:rsidRPr="00566963">
        <w:t>Recommend measures to raise awareness of these provisions and their purpose, including the specific challenges of raising awareness among small businesses and the healthcare sector.</w:t>
      </w:r>
    </w:p>
    <w:p w:rsidR="00DA16EE" w:rsidRDefault="00DA16EE" w:rsidP="00DA16EE">
      <w:pPr>
        <w:pStyle w:val="BodyText"/>
      </w:pPr>
      <w:r>
        <w:t xml:space="preserve">In conducting the inquiry, the Commission should have regard to: </w:t>
      </w:r>
    </w:p>
    <w:p w:rsidR="00DA16EE" w:rsidRPr="00566963" w:rsidRDefault="00DA16EE" w:rsidP="00DA16EE">
      <w:pPr>
        <w:pStyle w:val="ListNumber2"/>
        <w:numPr>
          <w:ilvl w:val="1"/>
          <w:numId w:val="25"/>
        </w:numPr>
      </w:pPr>
      <w:r w:rsidRPr="00566963">
        <w:t>the importance of incentives for industry and researchers to invest in research and development, and innovation;</w:t>
      </w:r>
    </w:p>
    <w:p w:rsidR="00DA16EE" w:rsidRPr="00566963" w:rsidRDefault="00DA16EE" w:rsidP="00DA16EE">
      <w:pPr>
        <w:pStyle w:val="ListNumber2"/>
        <w:numPr>
          <w:ilvl w:val="1"/>
          <w:numId w:val="25"/>
        </w:numPr>
      </w:pPr>
      <w:r w:rsidRPr="00566963">
        <w:t>access to and transfer of technology, including climate change mitigation, food security, healthcare and alternative energy technologies, and standard essential patents in telecommunication technologies, particularly where multiple patentees are involved;</w:t>
      </w:r>
    </w:p>
    <w:p w:rsidR="00DA16EE" w:rsidRPr="00566963" w:rsidRDefault="00DA16EE" w:rsidP="00DA16EE">
      <w:pPr>
        <w:pStyle w:val="ListNumber2"/>
        <w:numPr>
          <w:ilvl w:val="1"/>
          <w:numId w:val="25"/>
        </w:numPr>
      </w:pPr>
      <w:r w:rsidRPr="00566963">
        <w:lastRenderedPageBreak/>
        <w:t xml:space="preserve">affordable and equitable access to healthcare, including medical treatments and diagnostic tests in Australia; </w:t>
      </w:r>
    </w:p>
    <w:p w:rsidR="00DA16EE" w:rsidRPr="00566963" w:rsidRDefault="00DA16EE" w:rsidP="00DA16EE">
      <w:pPr>
        <w:pStyle w:val="ListNumber2"/>
        <w:numPr>
          <w:ilvl w:val="1"/>
          <w:numId w:val="25"/>
        </w:numPr>
      </w:pPr>
      <w:r w:rsidRPr="00566963">
        <w:t xml:space="preserve">recent changes to the intellectual property system reflected in the </w:t>
      </w:r>
      <w:r w:rsidRPr="00566963">
        <w:rPr>
          <w:i/>
        </w:rPr>
        <w:t>Intellectual Property Laws Amendment (Raising the Bar) Act 2012</w:t>
      </w:r>
      <w:r w:rsidRPr="00566963">
        <w:t>, including the research exemption;</w:t>
      </w:r>
    </w:p>
    <w:p w:rsidR="00DA16EE" w:rsidRPr="00566963" w:rsidRDefault="00DA16EE" w:rsidP="00DA16EE">
      <w:pPr>
        <w:pStyle w:val="ListNumber2"/>
        <w:numPr>
          <w:ilvl w:val="1"/>
          <w:numId w:val="25"/>
        </w:numPr>
      </w:pPr>
      <w:r w:rsidRPr="00566963">
        <w:t>other relevant parts of the intellectual property system, such as crown use provisions; and</w:t>
      </w:r>
    </w:p>
    <w:p w:rsidR="00DA16EE" w:rsidRPr="00566963" w:rsidRDefault="00DA16EE" w:rsidP="00DA16EE">
      <w:pPr>
        <w:pStyle w:val="ListNumber2"/>
        <w:numPr>
          <w:ilvl w:val="1"/>
          <w:numId w:val="25"/>
        </w:numPr>
      </w:pPr>
      <w:r w:rsidRPr="00566963">
        <w:t>the range of international approaches.</w:t>
      </w:r>
    </w:p>
    <w:p w:rsidR="00DA16EE" w:rsidRDefault="00DA16EE" w:rsidP="00DA16EE">
      <w:pPr>
        <w:pStyle w:val="BodyText"/>
      </w:pPr>
      <w:r>
        <w:t>The Commission will report within nine months of receipt of this reference and will hold hearings for the purpose of this inquiry.  The Commission is to provide both a draft and a final report, and the reports will be published.  The Government will consider the Commission’s recommendations, and its response will be announced as soon as possible after the receipt of the Commission’s final report.</w:t>
      </w:r>
    </w:p>
    <w:p w:rsidR="00DA16EE" w:rsidRDefault="00DA16EE" w:rsidP="00DA16EE">
      <w:pPr>
        <w:pStyle w:val="Bullet"/>
        <w:tabs>
          <w:tab w:val="clear" w:pos="360"/>
          <w:tab w:val="left" w:pos="720"/>
        </w:tabs>
        <w:ind w:left="0" w:firstLine="0"/>
        <w:rPr>
          <w:color w:val="000000"/>
        </w:rPr>
      </w:pPr>
    </w:p>
    <w:p w:rsidR="00DA16EE" w:rsidRDefault="00DA16EE" w:rsidP="00DA16EE">
      <w:pPr>
        <w:pStyle w:val="BodyText"/>
        <w:jc w:val="left"/>
      </w:pPr>
      <w:r w:rsidRPr="00DA16EE">
        <w:rPr>
          <w:szCs w:val="26"/>
        </w:rPr>
        <w:t>DAVID</w:t>
      </w:r>
      <w:r w:rsidRPr="00DA16EE">
        <w:rPr>
          <w:color w:val="000000"/>
          <w:szCs w:val="26"/>
        </w:rPr>
        <w:t xml:space="preserve"> BRADBURY</w:t>
      </w:r>
      <w:r>
        <w:rPr>
          <w:color w:val="000000"/>
        </w:rPr>
        <w:br/>
      </w:r>
      <w:r>
        <w:rPr>
          <w:szCs w:val="26"/>
        </w:rPr>
        <w:t>[Received 29</w:t>
      </w:r>
      <w:r w:rsidRPr="00CC3E9E">
        <w:rPr>
          <w:szCs w:val="26"/>
        </w:rPr>
        <w:t xml:space="preserve"> </w:t>
      </w:r>
      <w:r>
        <w:rPr>
          <w:szCs w:val="26"/>
        </w:rPr>
        <w:t>June 2012</w:t>
      </w:r>
      <w:r w:rsidRPr="00CC3E9E">
        <w:rPr>
          <w:szCs w:val="26"/>
        </w:rPr>
        <w:t>]</w:t>
      </w:r>
    </w:p>
    <w:p w:rsidR="00497FA3" w:rsidRDefault="00497FA3" w:rsidP="006B5E1C">
      <w:pPr>
        <w:pStyle w:val="BodyText"/>
      </w:pPr>
    </w:p>
    <w:p w:rsidR="00497FA3" w:rsidRDefault="00497FA3" w:rsidP="006B5E1C">
      <w:pPr>
        <w:pStyle w:val="BodyText"/>
        <w:sectPr w:rsidR="00497FA3" w:rsidSect="00C55A45">
          <w:headerReference w:type="even" r:id="rId11"/>
          <w:headerReference w:type="default" r:id="rId12"/>
          <w:footerReference w:type="even" r:id="rId13"/>
          <w:footerReference w:type="default" r:id="rId14"/>
          <w:type w:val="oddPage"/>
          <w:pgSz w:w="11907" w:h="16840" w:code="9"/>
          <w:pgMar w:top="1985" w:right="1304" w:bottom="1418" w:left="1814" w:header="1701" w:footer="567" w:gutter="0"/>
          <w:pgNumType w:fmt="lowerRoman"/>
          <w:cols w:space="720"/>
        </w:sectPr>
      </w:pPr>
    </w:p>
    <w:p w:rsidR="00EA4850" w:rsidRDefault="00735FEA" w:rsidP="008206EE">
      <w:pPr>
        <w:pStyle w:val="Heading1NotTOC"/>
        <w:rPr>
          <w:noProof/>
        </w:rPr>
      </w:pPr>
      <w:bookmarkStart w:id="14" w:name="Contents"/>
      <w:bookmarkEnd w:id="14"/>
      <w:r w:rsidRPr="00B153C3">
        <w:lastRenderedPageBreak/>
        <w:t>Contents</w:t>
      </w:r>
      <w:bookmarkStart w:id="15" w:name="InsertContents"/>
      <w:bookmarkEnd w:id="15"/>
    </w:p>
    <w:p w:rsidR="00EA4850" w:rsidRDefault="00EA4850">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1F382E">
        <w:rPr>
          <w:noProof/>
        </w:rPr>
        <w:t>v</w:t>
      </w:r>
    </w:p>
    <w:p w:rsidR="00EA4850" w:rsidRDefault="00EA4850">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1F382E">
        <w:rPr>
          <w:noProof/>
        </w:rPr>
        <w:t>xii</w:t>
      </w:r>
    </w:p>
    <w:p w:rsidR="00EA4850" w:rsidRDefault="00EA4850">
      <w:pPr>
        <w:pStyle w:val="TOC1"/>
        <w:rPr>
          <w:rFonts w:asciiTheme="minorHAnsi" w:eastAsiaTheme="minorEastAsia" w:hAnsiTheme="minorHAnsi" w:cstheme="minorBidi"/>
          <w:b w:val="0"/>
          <w:noProof/>
          <w:sz w:val="22"/>
          <w:szCs w:val="22"/>
          <w:lang w:eastAsia="en-AU"/>
        </w:rPr>
      </w:pPr>
      <w:r>
        <w:rPr>
          <w:noProof/>
        </w:rPr>
        <w:t>Glossary</w:t>
      </w:r>
      <w:r>
        <w:rPr>
          <w:noProof/>
        </w:rPr>
        <w:tab/>
      </w:r>
      <w:r w:rsidR="001F382E">
        <w:rPr>
          <w:noProof/>
        </w:rPr>
        <w:t>xiv</w:t>
      </w:r>
    </w:p>
    <w:p w:rsidR="00EA4850" w:rsidRDefault="00EA4850">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EA4850" w:rsidRDefault="00EA4850">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23</w:t>
      </w:r>
    </w:p>
    <w:p w:rsidR="00EA4850" w:rsidRDefault="00EA4850">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27</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Focus of the inquiry</w:t>
      </w:r>
      <w:r>
        <w:rPr>
          <w:noProof/>
        </w:rPr>
        <w:tab/>
        <w:t>27</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Report structure and the Commission’s approach</w:t>
      </w:r>
      <w:r>
        <w:rPr>
          <w:noProof/>
        </w:rPr>
        <w:tab/>
        <w:t>29</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Consultation process for the inquiry</w:t>
      </w:r>
      <w:r>
        <w:rPr>
          <w:noProof/>
        </w:rPr>
        <w:tab/>
        <w:t>33</w:t>
      </w:r>
    </w:p>
    <w:p w:rsidR="00EA4850" w:rsidRDefault="00EA4850">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Rationale for patents and associated safeguards</w:t>
      </w:r>
      <w:r>
        <w:rPr>
          <w:noProof/>
        </w:rPr>
        <w:tab/>
        <w:t>35</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Why have a patents system?</w:t>
      </w:r>
      <w:r>
        <w:rPr>
          <w:noProof/>
        </w:rPr>
        <w:tab/>
        <w:t>35</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Options to foster innovation</w:t>
      </w:r>
      <w:r>
        <w:rPr>
          <w:noProof/>
        </w:rPr>
        <w:tab/>
        <w:t>37</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Patent design</w:t>
      </w:r>
      <w:r>
        <w:rPr>
          <w:noProof/>
        </w:rPr>
        <w:tab/>
        <w:t>44</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Compulsory licensing and other safeguards</w:t>
      </w:r>
      <w:r>
        <w:rPr>
          <w:noProof/>
        </w:rPr>
        <w:tab/>
        <w:t>46</w:t>
      </w:r>
    </w:p>
    <w:p w:rsidR="00EA4850" w:rsidRDefault="00EA4850">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Key features of patents systems in Australia and comparable markets</w:t>
      </w:r>
      <w:r>
        <w:rPr>
          <w:noProof/>
        </w:rPr>
        <w:tab/>
        <w:t>51</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Key features of patents systems</w:t>
      </w:r>
      <w:r>
        <w:rPr>
          <w:noProof/>
        </w:rPr>
        <w:tab/>
        <w:t>52</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Non-voluntary access to patents</w:t>
      </w:r>
      <w:r>
        <w:rPr>
          <w:noProof/>
        </w:rPr>
        <w:tab/>
        <w:t>57</w:t>
      </w:r>
    </w:p>
    <w:p w:rsidR="00EA4850" w:rsidRDefault="00EA4850">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Current utilisation of patents in Australia and comparable markets</w:t>
      </w:r>
      <w:r>
        <w:rPr>
          <w:noProof/>
        </w:rPr>
        <w:tab/>
        <w:t>63</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Patenting of inventions</w:t>
      </w:r>
      <w:r>
        <w:rPr>
          <w:noProof/>
        </w:rPr>
        <w:tab/>
        <w:t>64</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Exploitation of patents by the innovator</w:t>
      </w:r>
      <w:r>
        <w:rPr>
          <w:noProof/>
        </w:rPr>
        <w:tab/>
        <w:t>67</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Patent sale</w:t>
      </w:r>
      <w:r>
        <w:rPr>
          <w:noProof/>
        </w:rPr>
        <w:tab/>
        <w:t>71</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Licensing of patents</w:t>
      </w:r>
      <w:r>
        <w:rPr>
          <w:noProof/>
        </w:rPr>
        <w:tab/>
        <w:t>73</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Patent thickets, pools and clearinghouses</w:t>
      </w:r>
      <w:r>
        <w:rPr>
          <w:noProof/>
        </w:rPr>
        <w:tab/>
        <w:t>83</w:t>
      </w:r>
    </w:p>
    <w:p w:rsidR="00EA4850" w:rsidRDefault="00EA4850">
      <w:pPr>
        <w:pStyle w:val="TOC1"/>
        <w:rPr>
          <w:noProof/>
        </w:rPr>
      </w:pPr>
    </w:p>
    <w:p w:rsidR="00EA4850" w:rsidRDefault="00EA4850">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Specific concerns about patent access</w:t>
      </w:r>
      <w:r>
        <w:rPr>
          <w:noProof/>
        </w:rPr>
        <w:tab/>
        <w:t>91</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Gene patents and healthcare</w:t>
      </w:r>
      <w:r>
        <w:rPr>
          <w:noProof/>
        </w:rPr>
        <w:tab/>
        <w:t>92</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Standard essential patents</w:t>
      </w:r>
      <w:r>
        <w:rPr>
          <w:noProof/>
        </w:rPr>
        <w:tab/>
        <w:t>101</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Access concerns for developing nations</w:t>
      </w:r>
      <w:r>
        <w:rPr>
          <w:noProof/>
        </w:rPr>
        <w:tab/>
        <w:t>105</w:t>
      </w:r>
    </w:p>
    <w:p w:rsidR="00EA4850" w:rsidRDefault="00EA4850">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Compulsory licensing provisions</w:t>
      </w:r>
      <w:r>
        <w:rPr>
          <w:noProof/>
        </w:rPr>
        <w:tab/>
        <w:t>113</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Efficiency of the compulsory licensing process</w:t>
      </w:r>
      <w:r>
        <w:rPr>
          <w:noProof/>
        </w:rPr>
        <w:tab/>
        <w:t>114</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Competition provisions</w:t>
      </w:r>
      <w:r>
        <w:rPr>
          <w:noProof/>
        </w:rPr>
        <w:tab/>
        <w:t>128</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Reasonable requirements of the public</w:t>
      </w:r>
      <w:r>
        <w:rPr>
          <w:noProof/>
        </w:rPr>
        <w:tab/>
        <w:t>145</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Interaction with international agreements</w:t>
      </w:r>
      <w:r>
        <w:rPr>
          <w:noProof/>
        </w:rPr>
        <w:tab/>
        <w:t>155</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Dependent patent ground — is it still needed?</w:t>
      </w:r>
      <w:r>
        <w:rPr>
          <w:noProof/>
        </w:rPr>
        <w:tab/>
        <w:t>160</w:t>
      </w:r>
    </w:p>
    <w:p w:rsidR="00EA4850" w:rsidRDefault="00EA4850">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Crown use and acquisition</w:t>
      </w:r>
      <w:r>
        <w:rPr>
          <w:noProof/>
        </w:rPr>
        <w:tab/>
        <w:t>163</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Current arrangements</w:t>
      </w:r>
      <w:r>
        <w:rPr>
          <w:noProof/>
        </w:rPr>
        <w:tab/>
        <w:t>164</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Past reviews</w:t>
      </w:r>
      <w:r>
        <w:rPr>
          <w:noProof/>
        </w:rPr>
        <w:tab/>
        <w:t>167</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Assessment and reform of Crown use</w:t>
      </w:r>
      <w:r>
        <w:rPr>
          <w:noProof/>
        </w:rPr>
        <w:tab/>
        <w:t>168</w:t>
      </w:r>
    </w:p>
    <w:p w:rsidR="00EA4850" w:rsidRDefault="00EA4850">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Other forms of non-voluntary access in Australia</w:t>
      </w:r>
      <w:r>
        <w:rPr>
          <w:noProof/>
        </w:rPr>
        <w:tab/>
        <w:t>183</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Experimental exemption</w:t>
      </w:r>
      <w:r>
        <w:rPr>
          <w:noProof/>
        </w:rPr>
        <w:tab/>
        <w:t>183</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Regulatory approval exemption</w:t>
      </w:r>
      <w:r>
        <w:rPr>
          <w:noProof/>
        </w:rPr>
        <w:tab/>
        <w:t>188</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Compulsory licences for pharmaceutical exports</w:t>
      </w:r>
      <w:r>
        <w:rPr>
          <w:noProof/>
        </w:rPr>
        <w:tab/>
        <w:t>191</w:t>
      </w:r>
    </w:p>
    <w:p w:rsidR="00EA4850" w:rsidRDefault="00EA4850">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Other alternative mechanisms</w:t>
      </w:r>
      <w:r>
        <w:rPr>
          <w:noProof/>
        </w:rPr>
        <w:tab/>
        <w:t>195</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Exclusions and exemptions for healthcare</w:t>
      </w:r>
      <w:r>
        <w:rPr>
          <w:noProof/>
        </w:rPr>
        <w:tab/>
        <w:t>196</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The right of an individual to personal health information</w:t>
      </w:r>
      <w:r>
        <w:rPr>
          <w:noProof/>
        </w:rPr>
        <w:tab/>
        <w:t>200</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Public-health specific compulsory licensing arrangements</w:t>
      </w:r>
      <w:r>
        <w:rPr>
          <w:noProof/>
        </w:rPr>
        <w:tab/>
        <w:t>203</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Use of government purchasing power in health</w:t>
      </w:r>
      <w:r>
        <w:rPr>
          <w:noProof/>
        </w:rPr>
        <w:tab/>
        <w:t>206</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Non-voluntary licensing by a collecting society</w:t>
      </w:r>
      <w:r>
        <w:rPr>
          <w:noProof/>
        </w:rPr>
        <w:tab/>
        <w:t>215</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Licences of right</w:t>
      </w:r>
      <w:r>
        <w:rPr>
          <w:noProof/>
        </w:rPr>
        <w:tab/>
        <w:t>219</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Pr>
          <w:noProof/>
        </w:rPr>
        <w:t>Other measures to encourage voluntary licensing</w:t>
      </w:r>
      <w:r>
        <w:rPr>
          <w:noProof/>
        </w:rPr>
        <w:tab/>
        <w:t>222</w:t>
      </w:r>
    </w:p>
    <w:p w:rsidR="00EA4850" w:rsidRDefault="00EA4850">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Awareness-raising measures</w:t>
      </w:r>
      <w:r>
        <w:rPr>
          <w:noProof/>
        </w:rPr>
        <w:tab/>
        <w:t>227</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The case for awareness-raising measures</w:t>
      </w:r>
      <w:r>
        <w:rPr>
          <w:noProof/>
        </w:rPr>
        <w:tab/>
        <w:t>227</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Existing awareness-raising measures</w:t>
      </w:r>
      <w:r>
        <w:rPr>
          <w:noProof/>
        </w:rPr>
        <w:tab/>
        <w:t>228</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Potential new awareness-raising measures</w:t>
      </w:r>
      <w:r>
        <w:rPr>
          <w:noProof/>
        </w:rPr>
        <w:tab/>
        <w:t>230</w:t>
      </w:r>
    </w:p>
    <w:p w:rsidR="00EA4850" w:rsidRDefault="00EA4850">
      <w:pPr>
        <w:pStyle w:val="TOC1"/>
        <w:rPr>
          <w:rFonts w:asciiTheme="minorHAnsi" w:eastAsiaTheme="minorEastAsia" w:hAnsiTheme="minorHAnsi" w:cstheme="minorBidi"/>
          <w:b w:val="0"/>
          <w:noProof/>
          <w:sz w:val="22"/>
          <w:szCs w:val="22"/>
          <w:lang w:eastAsia="en-AU"/>
        </w:rPr>
      </w:pPr>
      <w:r>
        <w:rPr>
          <w:noProof/>
        </w:rPr>
        <w:lastRenderedPageBreak/>
        <w:t>A</w:t>
      </w:r>
      <w:r>
        <w:rPr>
          <w:rFonts w:asciiTheme="minorHAnsi" w:eastAsiaTheme="minorEastAsia" w:hAnsiTheme="minorHAnsi" w:cstheme="minorBidi"/>
          <w:b w:val="0"/>
          <w:noProof/>
          <w:sz w:val="22"/>
          <w:szCs w:val="22"/>
          <w:lang w:eastAsia="en-AU"/>
        </w:rPr>
        <w:tab/>
      </w:r>
      <w:r>
        <w:rPr>
          <w:noProof/>
        </w:rPr>
        <w:t>Conduct of the inquiry</w:t>
      </w:r>
      <w:r>
        <w:rPr>
          <w:noProof/>
        </w:rPr>
        <w:tab/>
        <w:t>235</w:t>
      </w:r>
    </w:p>
    <w:p w:rsidR="00EA4850" w:rsidRDefault="00EA4850">
      <w:pPr>
        <w:pStyle w:val="TOC1"/>
        <w:rPr>
          <w:rFonts w:asciiTheme="minorHAnsi" w:eastAsiaTheme="minorEastAsia" w:hAnsiTheme="minorHAnsi" w:cstheme="minorBidi"/>
          <w:b w:val="0"/>
          <w:noProof/>
          <w:sz w:val="22"/>
          <w:szCs w:val="22"/>
          <w:lang w:eastAsia="en-AU"/>
        </w:rPr>
      </w:pPr>
      <w:r w:rsidRPr="005B4535">
        <w:rPr>
          <w:noProof/>
        </w:rPr>
        <w:t>B</w:t>
      </w:r>
      <w:r>
        <w:rPr>
          <w:rFonts w:asciiTheme="minorHAnsi" w:eastAsiaTheme="minorEastAsia" w:hAnsiTheme="minorHAnsi" w:cstheme="minorBidi"/>
          <w:b w:val="0"/>
          <w:noProof/>
          <w:sz w:val="22"/>
          <w:szCs w:val="22"/>
          <w:lang w:eastAsia="en-AU"/>
        </w:rPr>
        <w:tab/>
      </w:r>
      <w:r w:rsidRPr="005B4535">
        <w:rPr>
          <w:noProof/>
        </w:rPr>
        <w:t>More detail on the patents system in Australia and comparable markets</w:t>
      </w:r>
      <w:r>
        <w:rPr>
          <w:noProof/>
        </w:rPr>
        <w:tab/>
        <w:t>239</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Features of the patents system in Australia and comparable markets</w:t>
      </w:r>
      <w:r>
        <w:rPr>
          <w:noProof/>
        </w:rPr>
        <w:tab/>
        <w:t>239</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Measures of patent strength and quality</w:t>
      </w:r>
      <w:r>
        <w:rPr>
          <w:noProof/>
        </w:rPr>
        <w:tab/>
        <w:t>250</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Reforms of patents systems</w:t>
      </w:r>
      <w:r>
        <w:rPr>
          <w:noProof/>
        </w:rPr>
        <w:tab/>
        <w:t>253</w:t>
      </w:r>
    </w:p>
    <w:p w:rsidR="00EA4850" w:rsidRDefault="00EA4850">
      <w:pPr>
        <w:pStyle w:val="TOC1"/>
        <w:rPr>
          <w:rFonts w:asciiTheme="minorHAnsi" w:eastAsiaTheme="minorEastAsia" w:hAnsiTheme="minorHAnsi" w:cstheme="minorBidi"/>
          <w:b w:val="0"/>
          <w:noProof/>
          <w:sz w:val="22"/>
          <w:szCs w:val="22"/>
          <w:lang w:eastAsia="en-AU"/>
        </w:rPr>
      </w:pPr>
      <w:r w:rsidRPr="005B4535">
        <w:rPr>
          <w:noProof/>
        </w:rPr>
        <w:t>C</w:t>
      </w:r>
      <w:r>
        <w:rPr>
          <w:rFonts w:asciiTheme="minorHAnsi" w:eastAsiaTheme="minorEastAsia" w:hAnsiTheme="minorHAnsi" w:cstheme="minorBidi"/>
          <w:b w:val="0"/>
          <w:noProof/>
          <w:sz w:val="22"/>
          <w:szCs w:val="22"/>
          <w:lang w:eastAsia="en-AU"/>
        </w:rPr>
        <w:tab/>
      </w:r>
      <w:r w:rsidRPr="005B4535">
        <w:rPr>
          <w:noProof/>
        </w:rPr>
        <w:t>Non-voluntary access arrangements in comparable markets</w:t>
      </w:r>
      <w:r>
        <w:rPr>
          <w:noProof/>
        </w:rPr>
        <w:tab/>
        <w:t>261</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Features of non-voluntary access arrangements</w:t>
      </w:r>
      <w:r>
        <w:rPr>
          <w:noProof/>
        </w:rPr>
        <w:tab/>
        <w:t>261</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Use and impacts of non-voluntary access arrangements</w:t>
      </w:r>
      <w:r>
        <w:rPr>
          <w:noProof/>
        </w:rPr>
        <w:tab/>
        <w:t>269</w:t>
      </w:r>
    </w:p>
    <w:p w:rsidR="00EA4850" w:rsidRDefault="00EA4850">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International agreements</w:t>
      </w:r>
      <w:r>
        <w:rPr>
          <w:noProof/>
        </w:rPr>
        <w:tab/>
        <w:t>283</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Paris Convention</w:t>
      </w:r>
      <w:r>
        <w:rPr>
          <w:noProof/>
        </w:rPr>
        <w:tab/>
        <w:t>283</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TRIPS Agreement</w:t>
      </w:r>
      <w:r>
        <w:rPr>
          <w:noProof/>
        </w:rPr>
        <w:tab/>
        <w:t>284</w:t>
      </w:r>
    </w:p>
    <w:p w:rsidR="00EA4850" w:rsidRDefault="00EA4850">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Australia-United States Free Trade Agreement</w:t>
      </w:r>
      <w:r>
        <w:rPr>
          <w:noProof/>
        </w:rPr>
        <w:tab/>
        <w:t>288</w:t>
      </w:r>
    </w:p>
    <w:p w:rsidR="00D87F5E" w:rsidRDefault="00EA4850" w:rsidP="00EA4850">
      <w:pPr>
        <w:pStyle w:val="TOC1"/>
        <w:rPr>
          <w:noProof/>
        </w:rPr>
      </w:pPr>
      <w:r>
        <w:rPr>
          <w:noProof/>
        </w:rPr>
        <w:t>References</w:t>
      </w:r>
      <w:r>
        <w:rPr>
          <w:noProof/>
        </w:rPr>
        <w:tab/>
        <w:t>289</w:t>
      </w:r>
      <w:r w:rsidR="00D87F5E">
        <w:fldChar w:fldCharType="begin"/>
      </w:r>
      <w:r w:rsidR="00D87F5E">
        <w:instrText xml:space="preserve"> TOC \t "Part Title,1,Heading 1,1,chapter,1,Heading 2,2,2,3,3,Heading 2,3" </w:instrText>
      </w:r>
      <w:r w:rsidR="00D87F5E">
        <w:fldChar w:fldCharType="separate"/>
      </w:r>
    </w:p>
    <w:p w:rsidR="00D87F5E" w:rsidRPr="00D87F5E" w:rsidRDefault="00D87F5E" w:rsidP="00EA4850">
      <w:pPr>
        <w:pStyle w:val="Heading1NotTOC"/>
      </w:pPr>
      <w:r>
        <w:fldChar w:fldCharType="end"/>
      </w:r>
    </w:p>
    <w:p w:rsidR="00735FEA" w:rsidRDefault="00735FEA">
      <w:pPr>
        <w:pStyle w:val="BodyText"/>
        <w:sectPr w:rsidR="00735FEA" w:rsidSect="005537F6">
          <w:headerReference w:type="even" r:id="rId15"/>
          <w:headerReference w:type="default" r:id="rId16"/>
          <w:footerReference w:type="even" r:id="rId17"/>
          <w:footerReference w:type="default" r:id="rId18"/>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16" w:name="Abbreviations"/>
      <w:bookmarkStart w:id="17" w:name="EndContents"/>
      <w:bookmarkStart w:id="18" w:name="RDnote"/>
      <w:bookmarkStart w:id="19" w:name="_Toc352055805"/>
      <w:bookmarkStart w:id="20" w:name="_Toc352061747"/>
      <w:bookmarkEnd w:id="16"/>
      <w:bookmarkEnd w:id="17"/>
      <w:bookmarkEnd w:id="18"/>
      <w:r>
        <w:lastRenderedPageBreak/>
        <w:t>Abbreviations</w:t>
      </w:r>
      <w:bookmarkEnd w:id="19"/>
      <w:bookmarkEnd w:id="20"/>
      <w:r>
        <w:t xml:space="preserve"> </w:t>
      </w:r>
    </w:p>
    <w:p w:rsidR="00735FEA" w:rsidRDefault="00735FEA" w:rsidP="00F7477E">
      <w:pPr>
        <w:pStyle w:val="Heading2NotTOC"/>
      </w:pPr>
      <w:r>
        <w:t>Abbrevia</w:t>
      </w:r>
      <w:r w:rsidRPr="00F85393">
        <w:t>t</w:t>
      </w:r>
      <w:r>
        <w:t>ions</w:t>
      </w:r>
    </w:p>
    <w:p w:rsidR="005C4D28" w:rsidRDefault="005C4D28" w:rsidP="006B5E1C">
      <w:pPr>
        <w:pStyle w:val="Abbreviation"/>
      </w:pPr>
      <w:proofErr w:type="spellStart"/>
      <w:r>
        <w:t>ABSDO</w:t>
      </w:r>
      <w:proofErr w:type="spellEnd"/>
      <w:r>
        <w:tab/>
      </w:r>
      <w:r w:rsidRPr="00B66921">
        <w:t xml:space="preserve">Accreditation Board for Standards </w:t>
      </w:r>
      <w:r>
        <w:t>Development Organisations</w:t>
      </w:r>
    </w:p>
    <w:p w:rsidR="006B5E1C" w:rsidRDefault="006B5E1C" w:rsidP="006B5E1C">
      <w:pPr>
        <w:pStyle w:val="Abbreviation"/>
      </w:pPr>
      <w:proofErr w:type="spellStart"/>
      <w:r>
        <w:t>ACCC</w:t>
      </w:r>
      <w:proofErr w:type="spellEnd"/>
      <w:r>
        <w:tab/>
        <w:t>Australian Competition and Consumer Commission</w:t>
      </w:r>
    </w:p>
    <w:p w:rsidR="006B5E1C" w:rsidRDefault="006B5E1C" w:rsidP="006B5E1C">
      <w:pPr>
        <w:pStyle w:val="Abbreviation"/>
      </w:pPr>
      <w:proofErr w:type="spellStart"/>
      <w:r>
        <w:t>ACIP</w:t>
      </w:r>
      <w:proofErr w:type="spellEnd"/>
      <w:r>
        <w:tab/>
        <w:t>Advisory Council on Intellectual Property</w:t>
      </w:r>
    </w:p>
    <w:p w:rsidR="006B5E1C" w:rsidRDefault="004874D2" w:rsidP="006B5E1C">
      <w:pPr>
        <w:pStyle w:val="Abbreviation"/>
      </w:pPr>
      <w:proofErr w:type="spellStart"/>
      <w:r>
        <w:t>ADR</w:t>
      </w:r>
      <w:proofErr w:type="spellEnd"/>
      <w:r>
        <w:tab/>
        <w:t>Alternative d</w:t>
      </w:r>
      <w:r w:rsidR="006B5E1C">
        <w:t xml:space="preserve">ispute </w:t>
      </w:r>
      <w:r>
        <w:t>r</w:t>
      </w:r>
      <w:r w:rsidR="006B5E1C">
        <w:t>esolution</w:t>
      </w:r>
    </w:p>
    <w:p w:rsidR="006B5E1C" w:rsidRDefault="006B5E1C" w:rsidP="006B5E1C">
      <w:pPr>
        <w:pStyle w:val="Abbreviation"/>
      </w:pPr>
      <w:proofErr w:type="spellStart"/>
      <w:r>
        <w:t>AHMAC</w:t>
      </w:r>
      <w:proofErr w:type="spellEnd"/>
      <w:r>
        <w:tab/>
        <w:t>Australian Health Ministers Advisory Council</w:t>
      </w:r>
    </w:p>
    <w:p w:rsidR="006B5E1C" w:rsidRDefault="006B5E1C" w:rsidP="006B5E1C">
      <w:pPr>
        <w:pStyle w:val="Abbreviation"/>
      </w:pPr>
      <w:proofErr w:type="spellStart"/>
      <w:r>
        <w:t>ALRC</w:t>
      </w:r>
      <w:proofErr w:type="spellEnd"/>
      <w:r>
        <w:tab/>
        <w:t>Australian Law Reform Commission</w:t>
      </w:r>
    </w:p>
    <w:p w:rsidR="006B5E1C" w:rsidRDefault="006B5E1C" w:rsidP="006B5E1C">
      <w:pPr>
        <w:pStyle w:val="Abbreviation"/>
      </w:pPr>
      <w:proofErr w:type="spellStart"/>
      <w:r>
        <w:t>AUSFTA</w:t>
      </w:r>
      <w:proofErr w:type="spellEnd"/>
      <w:r>
        <w:tab/>
        <w:t>Australia-United States Free Trade Agreement</w:t>
      </w:r>
    </w:p>
    <w:p w:rsidR="006B5E1C" w:rsidRDefault="006B5E1C" w:rsidP="006B5E1C">
      <w:pPr>
        <w:pStyle w:val="Abbreviation"/>
      </w:pPr>
      <w:r>
        <w:t>CAL</w:t>
      </w:r>
      <w:r>
        <w:tab/>
        <w:t>Copyright Agency Limited</w:t>
      </w:r>
    </w:p>
    <w:p w:rsidR="006B5E1C" w:rsidRDefault="006B5E1C" w:rsidP="006B5E1C">
      <w:pPr>
        <w:pStyle w:val="Abbreviation"/>
      </w:pPr>
      <w:proofErr w:type="spellStart"/>
      <w:r>
        <w:t>CCA</w:t>
      </w:r>
      <w:proofErr w:type="spellEnd"/>
      <w:r>
        <w:tab/>
      </w:r>
      <w:r>
        <w:rPr>
          <w:i/>
        </w:rPr>
        <w:t xml:space="preserve">Competition and Consumer Act 2010 </w:t>
      </w:r>
      <w:r>
        <w:t>(</w:t>
      </w:r>
      <w:proofErr w:type="spellStart"/>
      <w:r>
        <w:t>Cwlth</w:t>
      </w:r>
      <w:proofErr w:type="spellEnd"/>
      <w:r>
        <w:t>)</w:t>
      </w:r>
    </w:p>
    <w:p w:rsidR="006B5E1C" w:rsidRDefault="006B5E1C" w:rsidP="006B5E1C">
      <w:pPr>
        <w:pStyle w:val="Abbreviation"/>
      </w:pPr>
      <w:proofErr w:type="spellStart"/>
      <w:r>
        <w:t>CIPO</w:t>
      </w:r>
      <w:proofErr w:type="spellEnd"/>
      <w:r>
        <w:tab/>
        <w:t>Canadian Intellectual Property Office</w:t>
      </w:r>
    </w:p>
    <w:p w:rsidR="006B5E1C" w:rsidRDefault="006B5E1C" w:rsidP="006B5E1C">
      <w:pPr>
        <w:pStyle w:val="Abbreviation"/>
      </w:pPr>
      <w:r>
        <w:t>DOHA</w:t>
      </w:r>
      <w:r>
        <w:tab/>
        <w:t>Department of Health and Ageing</w:t>
      </w:r>
    </w:p>
    <w:p w:rsidR="006B5E1C" w:rsidRDefault="006B5E1C" w:rsidP="006B5E1C">
      <w:pPr>
        <w:pStyle w:val="Abbreviation"/>
      </w:pPr>
      <w:proofErr w:type="spellStart"/>
      <w:r>
        <w:t>EPC</w:t>
      </w:r>
      <w:proofErr w:type="spellEnd"/>
      <w:r>
        <w:tab/>
        <w:t>European Patent Convention</w:t>
      </w:r>
    </w:p>
    <w:p w:rsidR="006B5E1C" w:rsidRDefault="004874D2" w:rsidP="006B5E1C">
      <w:pPr>
        <w:pStyle w:val="Abbreviation"/>
      </w:pPr>
      <w:proofErr w:type="spellStart"/>
      <w:r>
        <w:t>EPO</w:t>
      </w:r>
      <w:proofErr w:type="spellEnd"/>
      <w:r>
        <w:tab/>
        <w:t>European Patent</w:t>
      </w:r>
      <w:r w:rsidR="006B5E1C">
        <w:t xml:space="preserve"> Office</w:t>
      </w:r>
    </w:p>
    <w:p w:rsidR="007B76D3" w:rsidRDefault="007B76D3" w:rsidP="006B5E1C">
      <w:pPr>
        <w:pStyle w:val="Abbreviation"/>
      </w:pPr>
      <w:proofErr w:type="spellStart"/>
      <w:r>
        <w:t>FICPI</w:t>
      </w:r>
      <w:proofErr w:type="spellEnd"/>
      <w:r>
        <w:tab/>
        <w:t>Australian Federation of Intellectual Property Attorneys</w:t>
      </w:r>
    </w:p>
    <w:p w:rsidR="006B5E1C" w:rsidRDefault="006B5E1C" w:rsidP="006B5E1C">
      <w:pPr>
        <w:pStyle w:val="Abbreviation"/>
      </w:pPr>
      <w:proofErr w:type="spellStart"/>
      <w:r>
        <w:t>FRAND</w:t>
      </w:r>
      <w:proofErr w:type="spellEnd"/>
      <w:r>
        <w:tab/>
        <w:t xml:space="preserve">Fair, reasonable and non-discriminatory </w:t>
      </w:r>
    </w:p>
    <w:p w:rsidR="006B5E1C" w:rsidRPr="00A8201C" w:rsidRDefault="006B5E1C" w:rsidP="006B5E1C">
      <w:pPr>
        <w:pStyle w:val="Abbreviation"/>
      </w:pPr>
      <w:proofErr w:type="spellStart"/>
      <w:r>
        <w:t>FTC</w:t>
      </w:r>
      <w:proofErr w:type="spellEnd"/>
      <w:r>
        <w:tab/>
        <w:t>United States Federal Trade Commission</w:t>
      </w:r>
    </w:p>
    <w:p w:rsidR="006B5E1C" w:rsidRDefault="006B5E1C" w:rsidP="006B5E1C">
      <w:pPr>
        <w:pStyle w:val="Abbreviation"/>
      </w:pPr>
      <w:proofErr w:type="spellStart"/>
      <w:r>
        <w:t>GTL</w:t>
      </w:r>
      <w:proofErr w:type="spellEnd"/>
      <w:r>
        <w:tab/>
        <w:t>Genetic Technologies Limited</w:t>
      </w:r>
    </w:p>
    <w:p w:rsidR="006B5E1C" w:rsidRDefault="006B5E1C" w:rsidP="006B5E1C">
      <w:pPr>
        <w:pStyle w:val="Abbreviation"/>
      </w:pPr>
      <w:proofErr w:type="spellStart"/>
      <w:r>
        <w:t>IAC</w:t>
      </w:r>
      <w:proofErr w:type="spellEnd"/>
      <w:r>
        <w:tab/>
        <w:t>Industries Assistance Commission</w:t>
      </w:r>
    </w:p>
    <w:p w:rsidR="006B5E1C" w:rsidRDefault="006B5E1C" w:rsidP="006B5E1C">
      <w:pPr>
        <w:pStyle w:val="Abbreviation"/>
      </w:pPr>
      <w:r>
        <w:t>IC</w:t>
      </w:r>
      <w:r>
        <w:tab/>
        <w:t>Industry Commission</w:t>
      </w:r>
    </w:p>
    <w:p w:rsidR="006B5E1C" w:rsidRDefault="006B5E1C" w:rsidP="006B5E1C">
      <w:pPr>
        <w:pStyle w:val="Abbreviation"/>
      </w:pPr>
      <w:r>
        <w:t>IP</w:t>
      </w:r>
      <w:r>
        <w:tab/>
        <w:t xml:space="preserve">Intellectual </w:t>
      </w:r>
      <w:r w:rsidR="004874D2">
        <w:t>p</w:t>
      </w:r>
      <w:r>
        <w:t>roperty</w:t>
      </w:r>
    </w:p>
    <w:p w:rsidR="006B5E1C" w:rsidRDefault="006B5E1C" w:rsidP="006B5E1C">
      <w:pPr>
        <w:pStyle w:val="Abbreviation"/>
      </w:pPr>
      <w:proofErr w:type="spellStart"/>
      <w:r>
        <w:t>IPCRC</w:t>
      </w:r>
      <w:proofErr w:type="spellEnd"/>
      <w:r>
        <w:tab/>
        <w:t>Intellectual Property and Competition Review Committee</w:t>
      </w:r>
    </w:p>
    <w:p w:rsidR="007B76D3" w:rsidRDefault="007B76D3" w:rsidP="006B5E1C">
      <w:pPr>
        <w:pStyle w:val="Abbreviation"/>
      </w:pPr>
      <w:proofErr w:type="spellStart"/>
      <w:r>
        <w:t>IPTA</w:t>
      </w:r>
      <w:proofErr w:type="spellEnd"/>
      <w:r>
        <w:tab/>
        <w:t>Institute of Patent and Trade Mark Attorneys</w:t>
      </w:r>
    </w:p>
    <w:p w:rsidR="006B5E1C" w:rsidRDefault="006B5E1C" w:rsidP="006B5E1C">
      <w:pPr>
        <w:pStyle w:val="Abbreviation"/>
      </w:pPr>
      <w:proofErr w:type="spellStart"/>
      <w:r>
        <w:t>JPO</w:t>
      </w:r>
      <w:proofErr w:type="spellEnd"/>
      <w:r>
        <w:tab/>
        <w:t>Japan Patent Office</w:t>
      </w:r>
    </w:p>
    <w:p w:rsidR="006B5E1C" w:rsidRDefault="006B5E1C" w:rsidP="006B5E1C">
      <w:pPr>
        <w:pStyle w:val="Abbreviation"/>
      </w:pPr>
      <w:proofErr w:type="spellStart"/>
      <w:r>
        <w:t>KIPO</w:t>
      </w:r>
      <w:proofErr w:type="spellEnd"/>
      <w:r>
        <w:tab/>
        <w:t>Korean Intellectual Property Office</w:t>
      </w:r>
    </w:p>
    <w:p w:rsidR="006B5E1C" w:rsidRDefault="004874D2" w:rsidP="006B5E1C">
      <w:pPr>
        <w:pStyle w:val="Abbreviation"/>
      </w:pPr>
      <w:proofErr w:type="spellStart"/>
      <w:r>
        <w:lastRenderedPageBreak/>
        <w:t>LOR</w:t>
      </w:r>
      <w:proofErr w:type="spellEnd"/>
      <w:r>
        <w:tab/>
        <w:t>Licence of r</w:t>
      </w:r>
      <w:r w:rsidR="006B5E1C">
        <w:t>ight</w:t>
      </w:r>
    </w:p>
    <w:p w:rsidR="006B5E1C" w:rsidRDefault="006B5E1C" w:rsidP="006B5E1C">
      <w:pPr>
        <w:pStyle w:val="Abbreviation"/>
      </w:pPr>
      <w:proofErr w:type="spellStart"/>
      <w:r>
        <w:t>MBS</w:t>
      </w:r>
      <w:proofErr w:type="spellEnd"/>
      <w:r>
        <w:tab/>
        <w:t>Medicare Benefits Schedule</w:t>
      </w:r>
    </w:p>
    <w:p w:rsidR="006B5E1C" w:rsidRDefault="006B5E1C" w:rsidP="006B5E1C">
      <w:pPr>
        <w:pStyle w:val="Abbreviation"/>
      </w:pPr>
      <w:proofErr w:type="spellStart"/>
      <w:r>
        <w:t>MSAC</w:t>
      </w:r>
      <w:proofErr w:type="spellEnd"/>
      <w:r>
        <w:tab/>
        <w:t>Medical Services Advisory Committee</w:t>
      </w:r>
    </w:p>
    <w:p w:rsidR="006B5E1C" w:rsidRDefault="006B5E1C" w:rsidP="006B5E1C">
      <w:pPr>
        <w:pStyle w:val="Abbreviation"/>
      </w:pPr>
      <w:r>
        <w:t>NGO</w:t>
      </w:r>
      <w:r>
        <w:tab/>
        <w:t>Non-government organisation</w:t>
      </w:r>
    </w:p>
    <w:p w:rsidR="006B5E1C" w:rsidRDefault="006B5E1C" w:rsidP="006B5E1C">
      <w:pPr>
        <w:pStyle w:val="Abbreviation"/>
      </w:pPr>
      <w:proofErr w:type="spellStart"/>
      <w:r>
        <w:t>NHMRC</w:t>
      </w:r>
      <w:proofErr w:type="spellEnd"/>
      <w:r>
        <w:tab/>
        <w:t>National Health and Medical Research Council</w:t>
      </w:r>
    </w:p>
    <w:p w:rsidR="005C4D28" w:rsidRPr="007D7461" w:rsidRDefault="005C4D28" w:rsidP="005C4D28">
      <w:pPr>
        <w:pStyle w:val="Abbreviation"/>
      </w:pPr>
      <w:r w:rsidRPr="007D7461">
        <w:t>OECD</w:t>
      </w:r>
      <w:r w:rsidRPr="007D7461">
        <w:tab/>
        <w:t>Organisation for Economic Cooperation and Development</w:t>
      </w:r>
    </w:p>
    <w:p w:rsidR="006B5E1C" w:rsidRDefault="006B5E1C" w:rsidP="006B5E1C">
      <w:pPr>
        <w:pStyle w:val="Abbreviation"/>
      </w:pPr>
      <w:proofErr w:type="spellStart"/>
      <w:r>
        <w:t>PBAC</w:t>
      </w:r>
      <w:proofErr w:type="spellEnd"/>
      <w:r>
        <w:tab/>
        <w:t>Pharmaceutical Benefits Advisory Committee</w:t>
      </w:r>
    </w:p>
    <w:p w:rsidR="006B5E1C" w:rsidRDefault="006B5E1C" w:rsidP="006B5E1C">
      <w:pPr>
        <w:pStyle w:val="Abbreviation"/>
      </w:pPr>
      <w:proofErr w:type="spellStart"/>
      <w:r>
        <w:t>PBPA</w:t>
      </w:r>
      <w:proofErr w:type="spellEnd"/>
      <w:r>
        <w:tab/>
        <w:t>Pharmaceutical Benefits Pricing Authority</w:t>
      </w:r>
    </w:p>
    <w:p w:rsidR="006B5E1C" w:rsidRDefault="006B5E1C" w:rsidP="006B5E1C">
      <w:pPr>
        <w:pStyle w:val="Abbreviation"/>
      </w:pPr>
      <w:proofErr w:type="spellStart"/>
      <w:r>
        <w:t>PBR</w:t>
      </w:r>
      <w:proofErr w:type="spellEnd"/>
      <w:r>
        <w:tab/>
        <w:t xml:space="preserve">Plant </w:t>
      </w:r>
      <w:r w:rsidR="004874D2">
        <w:t>b</w:t>
      </w:r>
      <w:r>
        <w:t xml:space="preserve">reeders </w:t>
      </w:r>
      <w:r w:rsidR="004874D2">
        <w:t>r</w:t>
      </w:r>
      <w:r>
        <w:t>ight</w:t>
      </w:r>
    </w:p>
    <w:p w:rsidR="006B5E1C" w:rsidRDefault="006B5E1C" w:rsidP="006B5E1C">
      <w:pPr>
        <w:pStyle w:val="Abbreviation"/>
      </w:pPr>
      <w:proofErr w:type="spellStart"/>
      <w:r>
        <w:t>PBS</w:t>
      </w:r>
      <w:proofErr w:type="spellEnd"/>
      <w:r>
        <w:tab/>
        <w:t>Pharmaceutical Benefits Scheme</w:t>
      </w:r>
    </w:p>
    <w:p w:rsidR="006B5E1C" w:rsidRDefault="006B5E1C" w:rsidP="006B5E1C">
      <w:pPr>
        <w:pStyle w:val="Abbreviation"/>
      </w:pPr>
      <w:r>
        <w:t>PC</w:t>
      </w:r>
      <w:r>
        <w:tab/>
        <w:t>Productivity Commission</w:t>
      </w:r>
    </w:p>
    <w:p w:rsidR="006B5E1C" w:rsidRDefault="006B5E1C" w:rsidP="006B5E1C">
      <w:pPr>
        <w:pStyle w:val="Abbreviation"/>
      </w:pPr>
      <w:proofErr w:type="spellStart"/>
      <w:r w:rsidRPr="007D7461">
        <w:t>PCT</w:t>
      </w:r>
      <w:proofErr w:type="spellEnd"/>
      <w:r w:rsidRPr="007D7461">
        <w:tab/>
        <w:t>Patents Cooperation Treaty</w:t>
      </w:r>
    </w:p>
    <w:p w:rsidR="006B5E1C" w:rsidRDefault="006B5E1C" w:rsidP="006B5E1C">
      <w:pPr>
        <w:pStyle w:val="Abbreviation"/>
      </w:pPr>
      <w:proofErr w:type="spellStart"/>
      <w:r>
        <w:t>PPH</w:t>
      </w:r>
      <w:proofErr w:type="spellEnd"/>
      <w:r>
        <w:tab/>
        <w:t>Patent Prosecution Highway</w:t>
      </w:r>
    </w:p>
    <w:p w:rsidR="006B5E1C" w:rsidRPr="007D7461" w:rsidRDefault="006B5E1C" w:rsidP="006B5E1C">
      <w:pPr>
        <w:pStyle w:val="Abbreviation"/>
      </w:pPr>
      <w:r>
        <w:t>PPI</w:t>
      </w:r>
      <w:r>
        <w:tab/>
        <w:t xml:space="preserve">Patented </w:t>
      </w:r>
      <w:r w:rsidR="004874D2">
        <w:t>p</w:t>
      </w:r>
      <w:r>
        <w:t xml:space="preserve">harmaceutical </w:t>
      </w:r>
      <w:r w:rsidR="004874D2">
        <w:t>i</w:t>
      </w:r>
      <w:r>
        <w:t>nvention</w:t>
      </w:r>
    </w:p>
    <w:p w:rsidR="006B5E1C" w:rsidRDefault="006B5E1C" w:rsidP="006B5E1C">
      <w:pPr>
        <w:pStyle w:val="Abbreviation"/>
      </w:pPr>
      <w:proofErr w:type="spellStart"/>
      <w:r w:rsidRPr="007D7461">
        <w:t>RCPA</w:t>
      </w:r>
      <w:proofErr w:type="spellEnd"/>
      <w:r w:rsidRPr="007D7461">
        <w:tab/>
        <w:t>The Royal College of Pathologists of Australasia</w:t>
      </w:r>
    </w:p>
    <w:p w:rsidR="006B5E1C" w:rsidRDefault="006B5E1C" w:rsidP="006B5E1C">
      <w:pPr>
        <w:pStyle w:val="Abbreviation"/>
      </w:pPr>
      <w:proofErr w:type="spellStart"/>
      <w:r>
        <w:t>RIS</w:t>
      </w:r>
      <w:proofErr w:type="spellEnd"/>
      <w:r>
        <w:tab/>
        <w:t>Regulat</w:t>
      </w:r>
      <w:r w:rsidR="00422925">
        <w:t>i</w:t>
      </w:r>
      <w:r>
        <w:t>o</w:t>
      </w:r>
      <w:r w:rsidR="00422925">
        <w:t>n</w:t>
      </w:r>
      <w:r>
        <w:t xml:space="preserve"> </w:t>
      </w:r>
      <w:r w:rsidR="004874D2">
        <w:t>i</w:t>
      </w:r>
      <w:r>
        <w:t xml:space="preserve">mpact </w:t>
      </w:r>
      <w:r w:rsidR="004874D2">
        <w:t>s</w:t>
      </w:r>
      <w:r>
        <w:t>tatement</w:t>
      </w:r>
    </w:p>
    <w:p w:rsidR="006B5E1C" w:rsidRPr="007D7461" w:rsidRDefault="006B5E1C" w:rsidP="006B5E1C">
      <w:pPr>
        <w:pStyle w:val="Abbreviation"/>
      </w:pPr>
      <w:proofErr w:type="spellStart"/>
      <w:r>
        <w:t>SDO</w:t>
      </w:r>
      <w:proofErr w:type="spellEnd"/>
      <w:r>
        <w:tab/>
        <w:t xml:space="preserve">Standards </w:t>
      </w:r>
      <w:r w:rsidR="004874D2">
        <w:t>d</w:t>
      </w:r>
      <w:r>
        <w:t xml:space="preserve">evelopment </w:t>
      </w:r>
      <w:r w:rsidR="004874D2">
        <w:t>o</w:t>
      </w:r>
      <w:r>
        <w:t>rganisation</w:t>
      </w:r>
    </w:p>
    <w:p w:rsidR="006B5E1C" w:rsidRPr="007D7461" w:rsidRDefault="006B5E1C" w:rsidP="006B5E1C">
      <w:pPr>
        <w:pStyle w:val="Abbreviation"/>
      </w:pPr>
      <w:proofErr w:type="spellStart"/>
      <w:r w:rsidRPr="007D7461">
        <w:t>SCARC</w:t>
      </w:r>
      <w:proofErr w:type="spellEnd"/>
      <w:r w:rsidRPr="007D7461">
        <w:tab/>
        <w:t>Senate Community Affairs and References Committee</w:t>
      </w:r>
    </w:p>
    <w:p w:rsidR="006B5E1C" w:rsidRPr="007D7461" w:rsidRDefault="006B5E1C" w:rsidP="006B5E1C">
      <w:pPr>
        <w:pStyle w:val="Abbreviation"/>
      </w:pPr>
      <w:proofErr w:type="spellStart"/>
      <w:r w:rsidRPr="007D7461">
        <w:t>SLCALC</w:t>
      </w:r>
      <w:proofErr w:type="spellEnd"/>
      <w:r w:rsidRPr="007D7461">
        <w:tab/>
        <w:t>Senate Legal and Constitutional Affairs Legislation Committee</w:t>
      </w:r>
    </w:p>
    <w:p w:rsidR="006B5E1C" w:rsidRPr="007D7461" w:rsidRDefault="006B5E1C" w:rsidP="006B5E1C">
      <w:pPr>
        <w:pStyle w:val="Abbreviation"/>
      </w:pPr>
      <w:r w:rsidRPr="007D7461">
        <w:t>TRIPS</w:t>
      </w:r>
      <w:r w:rsidRPr="007D7461">
        <w:tab/>
        <w:t>Agreement on Trade-Related Aspects of Intellectual Property</w:t>
      </w:r>
      <w:r>
        <w:t xml:space="preserve"> </w:t>
      </w:r>
      <w:r w:rsidRPr="007D7461">
        <w:t xml:space="preserve">Rights </w:t>
      </w:r>
    </w:p>
    <w:p w:rsidR="006B5E1C" w:rsidRPr="007D7461" w:rsidRDefault="006B5E1C" w:rsidP="006B5E1C">
      <w:pPr>
        <w:pStyle w:val="Abbreviation"/>
      </w:pPr>
      <w:r w:rsidRPr="007D7461">
        <w:t>UK</w:t>
      </w:r>
      <w:r>
        <w:t xml:space="preserve"> </w:t>
      </w:r>
      <w:r w:rsidRPr="007D7461">
        <w:t>IPO</w:t>
      </w:r>
      <w:r w:rsidRPr="007D7461">
        <w:tab/>
        <w:t>United Kingdom Intellectual Property Office</w:t>
      </w:r>
    </w:p>
    <w:p w:rsidR="006B5E1C" w:rsidRDefault="006B5E1C" w:rsidP="006B5E1C">
      <w:pPr>
        <w:pStyle w:val="Abbreviation"/>
      </w:pPr>
      <w:proofErr w:type="spellStart"/>
      <w:r w:rsidRPr="007D7461">
        <w:t>UNFCCC</w:t>
      </w:r>
      <w:proofErr w:type="spellEnd"/>
      <w:r w:rsidRPr="007D7461">
        <w:tab/>
        <w:t>United Nations Framework Convention on Climate Change</w:t>
      </w:r>
    </w:p>
    <w:p w:rsidR="006B5E1C" w:rsidRPr="007D7461" w:rsidRDefault="006B5E1C" w:rsidP="006B5E1C">
      <w:pPr>
        <w:pStyle w:val="Abbreviation"/>
      </w:pPr>
      <w:proofErr w:type="spellStart"/>
      <w:r>
        <w:t>USPTO</w:t>
      </w:r>
      <w:proofErr w:type="spellEnd"/>
      <w:r>
        <w:tab/>
        <w:t>United States Patent and Trademark Office</w:t>
      </w:r>
    </w:p>
    <w:p w:rsidR="009606F2" w:rsidRDefault="009606F2" w:rsidP="006B5E1C">
      <w:pPr>
        <w:pStyle w:val="Abbreviation"/>
      </w:pPr>
      <w:proofErr w:type="spellStart"/>
      <w:r>
        <w:t>WEHI</w:t>
      </w:r>
      <w:proofErr w:type="spellEnd"/>
      <w:r>
        <w:tab/>
        <w:t>Walter and Eliza Hall Institute of Medical Research</w:t>
      </w:r>
    </w:p>
    <w:p w:rsidR="006B5E1C" w:rsidRPr="007D7461" w:rsidRDefault="006B5E1C" w:rsidP="006B5E1C">
      <w:pPr>
        <w:pStyle w:val="Abbreviation"/>
      </w:pPr>
      <w:r w:rsidRPr="007D7461">
        <w:t>WHO</w:t>
      </w:r>
      <w:r w:rsidRPr="007D7461">
        <w:tab/>
        <w:t>World Health Organisation</w:t>
      </w:r>
    </w:p>
    <w:p w:rsidR="00736C6A" w:rsidRDefault="006B5E1C" w:rsidP="00736C6A">
      <w:pPr>
        <w:pStyle w:val="Abbreviation"/>
      </w:pPr>
      <w:r w:rsidRPr="007D7461">
        <w:t>WTO</w:t>
      </w:r>
      <w:r w:rsidRPr="007D7461">
        <w:tab/>
        <w:t>World Trade Organisation</w:t>
      </w:r>
    </w:p>
    <w:p w:rsidR="00736C6A" w:rsidRDefault="006B5E1C" w:rsidP="00736C6A">
      <w:pPr>
        <w:pStyle w:val="Abbreviation"/>
      </w:pPr>
      <w:proofErr w:type="spellStart"/>
      <w:r w:rsidRPr="007D7461">
        <w:t>WIPO</w:t>
      </w:r>
      <w:proofErr w:type="spellEnd"/>
      <w:r w:rsidRPr="007D7461">
        <w:tab/>
        <w:t>World Intellectual Property Organisation</w:t>
      </w:r>
    </w:p>
    <w:p w:rsidR="00736C6A" w:rsidRDefault="00736C6A" w:rsidP="00736C6A">
      <w:pPr>
        <w:pStyle w:val="Abbreviation"/>
      </w:pPr>
    </w:p>
    <w:p w:rsidR="00736C6A" w:rsidRDefault="00736C6A" w:rsidP="00736C6A">
      <w:pPr>
        <w:pStyle w:val="Abbreviation"/>
      </w:pPr>
    </w:p>
    <w:p w:rsidR="00735FEA" w:rsidRDefault="00735FEA" w:rsidP="00743A27">
      <w:pPr>
        <w:pStyle w:val="BodyText"/>
      </w:pPr>
    </w:p>
    <w:p w:rsidR="00736C6A" w:rsidRDefault="00736C6A" w:rsidP="00736C6A">
      <w:pPr>
        <w:pStyle w:val="Heading1"/>
      </w:pPr>
      <w:bookmarkStart w:id="21" w:name="Glossary"/>
      <w:bookmarkStart w:id="22" w:name="_Toc342483316"/>
      <w:bookmarkStart w:id="23" w:name="_Toc352055806"/>
      <w:bookmarkStart w:id="24" w:name="_Toc352061748"/>
      <w:bookmarkEnd w:id="21"/>
      <w:r>
        <w:t>Glossary</w:t>
      </w:r>
      <w:bookmarkEnd w:id="22"/>
      <w:bookmarkEnd w:id="23"/>
      <w:bookmarkEnd w:id="2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10"/>
        <w:gridCol w:w="6634"/>
      </w:tblGrid>
      <w:tr w:rsidR="00736C6A" w:rsidTr="00736C6A">
        <w:tc>
          <w:tcPr>
            <w:tcW w:w="2310" w:type="dxa"/>
          </w:tcPr>
          <w:p w:rsidR="00736C6A" w:rsidRPr="00BF4A4D" w:rsidRDefault="00736C6A" w:rsidP="00736C6A">
            <w:pPr>
              <w:pStyle w:val="BodyText"/>
            </w:pPr>
            <w:r>
              <w:t>Blocking/dependent patent</w:t>
            </w:r>
          </w:p>
        </w:tc>
        <w:tc>
          <w:tcPr>
            <w:tcW w:w="6634" w:type="dxa"/>
          </w:tcPr>
          <w:p w:rsidR="00736C6A" w:rsidRPr="00BF4A4D" w:rsidRDefault="00736C6A" w:rsidP="00736C6A">
            <w:pPr>
              <w:spacing w:before="240" w:line="320" w:lineRule="exact"/>
              <w:jc w:val="both"/>
            </w:pPr>
            <w:r>
              <w:t>A patent owned by another party that prevents a patentee from exploiting its own invention without authorisation of the other party.</w:t>
            </w:r>
          </w:p>
        </w:tc>
      </w:tr>
      <w:tr w:rsidR="00736C6A" w:rsidTr="00736C6A">
        <w:tc>
          <w:tcPr>
            <w:tcW w:w="2310" w:type="dxa"/>
          </w:tcPr>
          <w:p w:rsidR="00736C6A" w:rsidRPr="00BF4A4D" w:rsidRDefault="00736C6A" w:rsidP="00736C6A">
            <w:pPr>
              <w:pStyle w:val="BodyText"/>
            </w:pPr>
            <w:proofErr w:type="spellStart"/>
            <w:r>
              <w:t>BRCA</w:t>
            </w:r>
            <w:proofErr w:type="spellEnd"/>
            <w:r>
              <w:t xml:space="preserve"> genes</w:t>
            </w:r>
          </w:p>
        </w:tc>
        <w:tc>
          <w:tcPr>
            <w:tcW w:w="6634" w:type="dxa"/>
          </w:tcPr>
          <w:p w:rsidR="00736C6A" w:rsidRPr="00BF4A4D" w:rsidRDefault="00736C6A" w:rsidP="00736C6A">
            <w:pPr>
              <w:spacing w:before="240" w:line="320" w:lineRule="exact"/>
              <w:jc w:val="both"/>
            </w:pPr>
            <w:r>
              <w:t>A class of tumour suppressor genes. Mutations of these genes are associated with breast, ovarian and prostate cancer.</w:t>
            </w:r>
          </w:p>
        </w:tc>
      </w:tr>
      <w:tr w:rsidR="00736C6A" w:rsidTr="00736C6A">
        <w:tc>
          <w:tcPr>
            <w:tcW w:w="2310" w:type="dxa"/>
          </w:tcPr>
          <w:p w:rsidR="00736C6A" w:rsidRPr="00BF4A4D" w:rsidRDefault="00736C6A" w:rsidP="00736C6A">
            <w:pPr>
              <w:pStyle w:val="BodyText"/>
            </w:pPr>
            <w:r>
              <w:t>Compulsory licence</w:t>
            </w:r>
          </w:p>
        </w:tc>
        <w:tc>
          <w:tcPr>
            <w:tcW w:w="6634" w:type="dxa"/>
          </w:tcPr>
          <w:p w:rsidR="00736C6A" w:rsidRPr="00BF4A4D" w:rsidRDefault="00736C6A" w:rsidP="00736C6A">
            <w:pPr>
              <w:spacing w:before="240" w:line="320" w:lineRule="exact"/>
              <w:jc w:val="both"/>
            </w:pPr>
            <w:r>
              <w:t>A government</w:t>
            </w:r>
            <w:r w:rsidR="004874D2">
              <w:t>-</w:t>
            </w:r>
            <w:r>
              <w:t xml:space="preserve"> or court</w:t>
            </w:r>
            <w:r w:rsidR="004874D2">
              <w:t>-</w:t>
            </w:r>
            <w:r>
              <w:t>issued order for a patentee to grant a licence to another party (which allows that party to exploit the patented invention).</w:t>
            </w:r>
          </w:p>
        </w:tc>
      </w:tr>
      <w:tr w:rsidR="00736C6A" w:rsidTr="00736C6A">
        <w:tc>
          <w:tcPr>
            <w:tcW w:w="2310" w:type="dxa"/>
          </w:tcPr>
          <w:p w:rsidR="00736C6A" w:rsidRDefault="00736C6A" w:rsidP="00736C6A">
            <w:pPr>
              <w:pStyle w:val="BodyText"/>
            </w:pPr>
            <w:r>
              <w:t>Crown acquisition</w:t>
            </w:r>
          </w:p>
        </w:tc>
        <w:tc>
          <w:tcPr>
            <w:tcW w:w="6634" w:type="dxa"/>
          </w:tcPr>
          <w:p w:rsidR="00736C6A" w:rsidRDefault="00736C6A" w:rsidP="00736C6A">
            <w:pPr>
              <w:spacing w:before="240" w:line="320" w:lineRule="exact"/>
              <w:jc w:val="both"/>
            </w:pPr>
            <w:r>
              <w:t xml:space="preserve">Acquisition of a patented invention by the Crown under s. 171 of the </w:t>
            </w:r>
            <w:r w:rsidRPr="00E618AE">
              <w:rPr>
                <w:i/>
              </w:rPr>
              <w:t xml:space="preserve">Patents Act 1990 </w:t>
            </w:r>
            <w:r w:rsidRPr="000F29C9">
              <w:t>(</w:t>
            </w:r>
            <w:proofErr w:type="spellStart"/>
            <w:r w:rsidRPr="000F29C9">
              <w:t>Cwlth</w:t>
            </w:r>
            <w:proofErr w:type="spellEnd"/>
            <w:r w:rsidRPr="000F29C9">
              <w:t>).</w:t>
            </w:r>
          </w:p>
        </w:tc>
      </w:tr>
      <w:tr w:rsidR="00736C6A" w:rsidTr="00736C6A">
        <w:tc>
          <w:tcPr>
            <w:tcW w:w="2310" w:type="dxa"/>
          </w:tcPr>
          <w:p w:rsidR="00736C6A" w:rsidRPr="00BF4A4D" w:rsidRDefault="00736C6A" w:rsidP="00736C6A">
            <w:pPr>
              <w:spacing w:before="240" w:line="320" w:lineRule="exact"/>
            </w:pPr>
            <w:r>
              <w:t>Crown use</w:t>
            </w:r>
          </w:p>
        </w:tc>
        <w:tc>
          <w:tcPr>
            <w:tcW w:w="6634" w:type="dxa"/>
          </w:tcPr>
          <w:p w:rsidR="00736C6A" w:rsidRPr="00BF4A4D" w:rsidRDefault="00736C6A" w:rsidP="00035551">
            <w:pPr>
              <w:spacing w:before="240" w:line="320" w:lineRule="exact"/>
              <w:jc w:val="both"/>
            </w:pPr>
            <w:r>
              <w:t>Use of a patented invention by the Crown or another party authorised by the Crown under ss.</w:t>
            </w:r>
            <w:r w:rsidR="00035551">
              <w:t> </w:t>
            </w:r>
            <w:r>
              <w:t xml:space="preserve">163–170 of the </w:t>
            </w:r>
            <w:r w:rsidRPr="00E618AE">
              <w:rPr>
                <w:i/>
              </w:rPr>
              <w:t xml:space="preserve">Patents Act 1990 </w:t>
            </w:r>
            <w:r w:rsidRPr="000F29C9">
              <w:t>(</w:t>
            </w:r>
            <w:proofErr w:type="spellStart"/>
            <w:r w:rsidRPr="000F29C9">
              <w:t>Cwlth</w:t>
            </w:r>
            <w:proofErr w:type="spellEnd"/>
            <w:r w:rsidRPr="000F29C9">
              <w:t>).</w:t>
            </w:r>
          </w:p>
        </w:tc>
      </w:tr>
      <w:tr w:rsidR="00736C6A" w:rsidTr="00736C6A">
        <w:tc>
          <w:tcPr>
            <w:tcW w:w="2310" w:type="dxa"/>
          </w:tcPr>
          <w:p w:rsidR="00736C6A" w:rsidRDefault="00736C6A" w:rsidP="00736C6A">
            <w:pPr>
              <w:spacing w:before="240" w:line="320" w:lineRule="exact"/>
            </w:pPr>
            <w:r>
              <w:t>Injunctive relief</w:t>
            </w:r>
          </w:p>
        </w:tc>
        <w:tc>
          <w:tcPr>
            <w:tcW w:w="6634" w:type="dxa"/>
          </w:tcPr>
          <w:p w:rsidR="00736C6A" w:rsidRPr="00BF4A4D" w:rsidRDefault="00736C6A" w:rsidP="00736C6A">
            <w:pPr>
              <w:spacing w:before="240" w:line="320" w:lineRule="exact"/>
              <w:jc w:val="both"/>
            </w:pPr>
            <w:r>
              <w:t>A court order instructing the defendant to cease a specific behaviour (for example, selling of a product that infringes an existing patent).</w:t>
            </w:r>
          </w:p>
        </w:tc>
      </w:tr>
      <w:tr w:rsidR="00736C6A" w:rsidTr="00736C6A">
        <w:tc>
          <w:tcPr>
            <w:tcW w:w="2310" w:type="dxa"/>
          </w:tcPr>
          <w:p w:rsidR="00736C6A" w:rsidRDefault="00736C6A" w:rsidP="00736C6A">
            <w:pPr>
              <w:spacing w:before="240" w:line="320" w:lineRule="exact"/>
            </w:pPr>
            <w:r>
              <w:t>Innovation patent</w:t>
            </w:r>
          </w:p>
        </w:tc>
        <w:tc>
          <w:tcPr>
            <w:tcW w:w="6634" w:type="dxa"/>
          </w:tcPr>
          <w:p w:rsidR="00736C6A" w:rsidRPr="00BF4A4D" w:rsidRDefault="00736C6A" w:rsidP="00736C6A">
            <w:pPr>
              <w:spacing w:before="240" w:line="320" w:lineRule="exact"/>
              <w:jc w:val="both"/>
            </w:pPr>
            <w:r>
              <w:t>An exclusive right to exploit an invention, granted for a term of eight years. To be eligible for an innovation patent, an invention must be novel, useful and involve an innovative step.</w:t>
            </w:r>
          </w:p>
        </w:tc>
      </w:tr>
      <w:tr w:rsidR="00736C6A" w:rsidTr="00736C6A">
        <w:tc>
          <w:tcPr>
            <w:tcW w:w="2310" w:type="dxa"/>
          </w:tcPr>
          <w:p w:rsidR="00736C6A" w:rsidRDefault="00736C6A" w:rsidP="00736C6A">
            <w:pPr>
              <w:spacing w:before="240" w:line="320" w:lineRule="exact"/>
            </w:pPr>
            <w:r>
              <w:t>Isolated gene sequence</w:t>
            </w:r>
          </w:p>
        </w:tc>
        <w:tc>
          <w:tcPr>
            <w:tcW w:w="6634" w:type="dxa"/>
          </w:tcPr>
          <w:p w:rsidR="00736C6A" w:rsidRPr="00BF4A4D" w:rsidRDefault="00736C6A" w:rsidP="004874D2">
            <w:pPr>
              <w:spacing w:before="240" w:line="320" w:lineRule="exact"/>
              <w:jc w:val="both"/>
            </w:pPr>
            <w:r>
              <w:t>A free</w:t>
            </w:r>
            <w:r w:rsidR="004874D2">
              <w:t>-</w:t>
            </w:r>
            <w:r>
              <w:t>standing portion of genetic material that is isolated from the larger natural DNA molecule. The process of isolating a gene involves chemically altering the DNA. However, the genetic information contained in the isolated gene is identical to that in the gene’s naturally occurring form.</w:t>
            </w:r>
          </w:p>
        </w:tc>
      </w:tr>
    </w:tbl>
    <w:p w:rsidR="00321F95" w:rsidRDefault="00321F95">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10"/>
        <w:gridCol w:w="6634"/>
      </w:tblGrid>
      <w:tr w:rsidR="00736C6A" w:rsidTr="00736C6A">
        <w:tc>
          <w:tcPr>
            <w:tcW w:w="2310" w:type="dxa"/>
          </w:tcPr>
          <w:p w:rsidR="00736C6A" w:rsidRDefault="00736C6A" w:rsidP="00736C6A">
            <w:pPr>
              <w:spacing w:before="240" w:line="320" w:lineRule="exact"/>
            </w:pPr>
            <w:r>
              <w:lastRenderedPageBreak/>
              <w:br w:type="page"/>
              <w:t>Licence of right</w:t>
            </w:r>
          </w:p>
        </w:tc>
        <w:tc>
          <w:tcPr>
            <w:tcW w:w="6634" w:type="dxa"/>
          </w:tcPr>
          <w:p w:rsidR="00736C6A" w:rsidRPr="00BF4A4D" w:rsidRDefault="00736C6A" w:rsidP="00736C6A">
            <w:pPr>
              <w:keepLines/>
              <w:spacing w:before="240" w:line="320" w:lineRule="exact"/>
              <w:jc w:val="both"/>
            </w:pPr>
            <w:r>
              <w:t>A legally enforceable mechanism by which a patent holder voluntarily chooses to provide access to a patented invention to anyone who is willing to accept the licence conditions.</w:t>
            </w:r>
          </w:p>
        </w:tc>
      </w:tr>
      <w:tr w:rsidR="00736C6A" w:rsidTr="00736C6A">
        <w:tc>
          <w:tcPr>
            <w:tcW w:w="2310" w:type="dxa"/>
          </w:tcPr>
          <w:p w:rsidR="00736C6A" w:rsidRDefault="00736C6A" w:rsidP="00736C6A">
            <w:pPr>
              <w:spacing w:before="240" w:line="320" w:lineRule="exact"/>
            </w:pPr>
            <w:r>
              <w:t>Patent</w:t>
            </w:r>
          </w:p>
        </w:tc>
        <w:tc>
          <w:tcPr>
            <w:tcW w:w="6634" w:type="dxa"/>
          </w:tcPr>
          <w:p w:rsidR="00736C6A" w:rsidRDefault="00736C6A" w:rsidP="004874D2">
            <w:pPr>
              <w:keepLines/>
              <w:spacing w:before="240" w:line="320" w:lineRule="exact"/>
              <w:jc w:val="both"/>
            </w:pPr>
            <w:r>
              <w:t>A</w:t>
            </w:r>
            <w:r w:rsidRPr="00691CCF">
              <w:t xml:space="preserve"> legally enforceable right to exclude others from exploiting a</w:t>
            </w:r>
            <w:r w:rsidR="004874D2">
              <w:t>n invention — a</w:t>
            </w:r>
            <w:r w:rsidRPr="00691CCF">
              <w:t xml:space="preserve"> devic</w:t>
            </w:r>
            <w:r w:rsidR="00862BF1">
              <w:t xml:space="preserve">e, substance, method or process </w:t>
            </w:r>
            <w:r w:rsidR="00862BF1">
              <w:br/>
              <w:t xml:space="preserve">— </w:t>
            </w:r>
            <w:r w:rsidRPr="00691CCF">
              <w:t>that is new, inventive, and useful at the time the patent is granted</w:t>
            </w:r>
            <w:r>
              <w:t>.</w:t>
            </w:r>
          </w:p>
        </w:tc>
      </w:tr>
      <w:tr w:rsidR="00736C6A" w:rsidTr="00736C6A">
        <w:tc>
          <w:tcPr>
            <w:tcW w:w="2310" w:type="dxa"/>
          </w:tcPr>
          <w:p w:rsidR="00736C6A" w:rsidRDefault="00736C6A" w:rsidP="00736C6A">
            <w:pPr>
              <w:spacing w:before="240" w:line="320" w:lineRule="exact"/>
            </w:pPr>
            <w:r>
              <w:t>Patent holdup</w:t>
            </w:r>
          </w:p>
        </w:tc>
        <w:tc>
          <w:tcPr>
            <w:tcW w:w="6634" w:type="dxa"/>
          </w:tcPr>
          <w:p w:rsidR="00736C6A" w:rsidRPr="00BF4A4D" w:rsidRDefault="00736C6A" w:rsidP="00736C6A">
            <w:pPr>
              <w:spacing w:before="240" w:line="320" w:lineRule="exact"/>
              <w:jc w:val="both"/>
            </w:pPr>
            <w:r>
              <w:t>Where a new technology unknowingly infringes a patent and is not made aware until large scale production has commenced or is about to commence. In such cases the patent holder can use its enhanced bargaining power to ‘hold up’ production and extract higher licensing fees.</w:t>
            </w:r>
          </w:p>
        </w:tc>
      </w:tr>
      <w:tr w:rsidR="00736C6A" w:rsidTr="00736C6A">
        <w:tc>
          <w:tcPr>
            <w:tcW w:w="2310" w:type="dxa"/>
          </w:tcPr>
          <w:p w:rsidR="00736C6A" w:rsidRDefault="00736C6A" w:rsidP="00736C6A">
            <w:pPr>
              <w:spacing w:before="240" w:line="320" w:lineRule="exact"/>
            </w:pPr>
            <w:r>
              <w:t>Patent infringement</w:t>
            </w:r>
          </w:p>
        </w:tc>
        <w:tc>
          <w:tcPr>
            <w:tcW w:w="6634" w:type="dxa"/>
          </w:tcPr>
          <w:p w:rsidR="00736C6A" w:rsidRPr="00BF4A4D" w:rsidRDefault="00736C6A" w:rsidP="00736C6A">
            <w:pPr>
              <w:spacing w:before="240" w:line="320" w:lineRule="exact"/>
              <w:jc w:val="both"/>
            </w:pPr>
            <w:r>
              <w:t>Use of a patented invention in a prohibited manner without the authorisation of the patent holder.</w:t>
            </w:r>
          </w:p>
        </w:tc>
      </w:tr>
      <w:tr w:rsidR="00736C6A" w:rsidTr="00736C6A">
        <w:tc>
          <w:tcPr>
            <w:tcW w:w="2310" w:type="dxa"/>
          </w:tcPr>
          <w:p w:rsidR="00736C6A" w:rsidRDefault="00736C6A" w:rsidP="00736C6A">
            <w:pPr>
              <w:spacing w:before="240" w:line="320" w:lineRule="exact"/>
            </w:pPr>
            <w:r>
              <w:t>Patent thicket</w:t>
            </w:r>
          </w:p>
        </w:tc>
        <w:tc>
          <w:tcPr>
            <w:tcW w:w="6634" w:type="dxa"/>
          </w:tcPr>
          <w:p w:rsidR="00736C6A" w:rsidRPr="00BF4A4D" w:rsidRDefault="00736C6A" w:rsidP="00736C6A">
            <w:pPr>
              <w:spacing w:before="240" w:line="320" w:lineRule="exact"/>
              <w:jc w:val="both"/>
            </w:pPr>
            <w:r>
              <w:t>An area of technology in which many overlapping patents exist. Commercialisation of new technology might require licence deals in relation to multiple patents and with multiple patent holders.</w:t>
            </w:r>
          </w:p>
        </w:tc>
      </w:tr>
      <w:tr w:rsidR="00736C6A" w:rsidTr="00736C6A">
        <w:tc>
          <w:tcPr>
            <w:tcW w:w="2310" w:type="dxa"/>
          </w:tcPr>
          <w:p w:rsidR="00736C6A" w:rsidRDefault="00736C6A" w:rsidP="00736C6A">
            <w:pPr>
              <w:spacing w:before="240" w:line="320" w:lineRule="exact"/>
            </w:pPr>
            <w:r>
              <w:t>Patent troll (non</w:t>
            </w:r>
            <w:r>
              <w:noBreakHyphen/>
              <w:t>practising entity)</w:t>
            </w:r>
          </w:p>
        </w:tc>
        <w:tc>
          <w:tcPr>
            <w:tcW w:w="6634" w:type="dxa"/>
          </w:tcPr>
          <w:p w:rsidR="00736C6A" w:rsidRPr="00BF4A4D" w:rsidRDefault="00736C6A" w:rsidP="00736C6A">
            <w:pPr>
              <w:spacing w:before="240" w:line="320" w:lineRule="exact"/>
              <w:jc w:val="both"/>
            </w:pPr>
            <w:r>
              <w:t>A patentee who holds a patent with the intention of pursuing infringement claims but no intention of working the patent itself.</w:t>
            </w:r>
          </w:p>
        </w:tc>
      </w:tr>
      <w:tr w:rsidR="00736C6A" w:rsidTr="00736C6A">
        <w:tc>
          <w:tcPr>
            <w:tcW w:w="2310" w:type="dxa"/>
          </w:tcPr>
          <w:p w:rsidR="00736C6A" w:rsidRDefault="00736C6A" w:rsidP="00736C6A">
            <w:pPr>
              <w:spacing w:before="240" w:line="320" w:lineRule="exact"/>
            </w:pPr>
            <w:r>
              <w:t>Prior art</w:t>
            </w:r>
          </w:p>
        </w:tc>
        <w:tc>
          <w:tcPr>
            <w:tcW w:w="6634" w:type="dxa"/>
          </w:tcPr>
          <w:p w:rsidR="00736C6A" w:rsidRPr="00BF4A4D" w:rsidRDefault="00736C6A" w:rsidP="00736C6A">
            <w:pPr>
              <w:spacing w:before="240" w:line="320" w:lineRule="exact"/>
              <w:jc w:val="both"/>
            </w:pPr>
            <w:r>
              <w:t>All information relevant to a patent claim that is publicly available at the priority date. A patent might not be granted if the invention is described in the prior art.</w:t>
            </w:r>
          </w:p>
        </w:tc>
      </w:tr>
      <w:tr w:rsidR="00736C6A" w:rsidTr="00736C6A">
        <w:tc>
          <w:tcPr>
            <w:tcW w:w="2310" w:type="dxa"/>
          </w:tcPr>
          <w:p w:rsidR="00736C6A" w:rsidRDefault="00736C6A" w:rsidP="00736C6A">
            <w:pPr>
              <w:spacing w:before="240" w:line="320" w:lineRule="exact"/>
            </w:pPr>
            <w:r>
              <w:t>Priority date</w:t>
            </w:r>
          </w:p>
        </w:tc>
        <w:tc>
          <w:tcPr>
            <w:tcW w:w="6634" w:type="dxa"/>
          </w:tcPr>
          <w:p w:rsidR="00736C6A" w:rsidRPr="00BF4A4D" w:rsidRDefault="00736C6A" w:rsidP="00736C6A">
            <w:pPr>
              <w:spacing w:before="240" w:line="320" w:lineRule="exact"/>
              <w:jc w:val="both"/>
            </w:pPr>
            <w:r>
              <w:t>The date at which the invention is assessed and compared to the prior art. The priority date might differ from the patent application filing date.</w:t>
            </w:r>
          </w:p>
        </w:tc>
      </w:tr>
      <w:tr w:rsidR="00736C6A" w:rsidTr="00736C6A">
        <w:tc>
          <w:tcPr>
            <w:tcW w:w="2310" w:type="dxa"/>
          </w:tcPr>
          <w:p w:rsidR="00736C6A" w:rsidRDefault="00736C6A" w:rsidP="00736C6A">
            <w:pPr>
              <w:spacing w:before="240" w:line="320" w:lineRule="exact"/>
            </w:pPr>
            <w:r>
              <w:t>Royalty stacking</w:t>
            </w:r>
          </w:p>
        </w:tc>
        <w:tc>
          <w:tcPr>
            <w:tcW w:w="6634" w:type="dxa"/>
          </w:tcPr>
          <w:p w:rsidR="00736C6A" w:rsidRPr="00BF4A4D" w:rsidRDefault="00736C6A" w:rsidP="00736C6A">
            <w:pPr>
              <w:spacing w:before="240" w:line="320" w:lineRule="exact"/>
              <w:jc w:val="both"/>
            </w:pPr>
            <w:r>
              <w:t>Refers to a situation where a single product infringes multiple patents and is thus subject to multiple royalty burdens. Each royalty burden can be ‘stacked’ to determine the total royalty burden.</w:t>
            </w:r>
          </w:p>
        </w:tc>
      </w:tr>
    </w:tbl>
    <w:p w:rsidR="00736C6A" w:rsidRDefault="00736C6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10"/>
        <w:gridCol w:w="6634"/>
      </w:tblGrid>
      <w:tr w:rsidR="00736C6A" w:rsidTr="00736C6A">
        <w:tc>
          <w:tcPr>
            <w:tcW w:w="2310" w:type="dxa"/>
          </w:tcPr>
          <w:p w:rsidR="00736C6A" w:rsidRDefault="00736C6A" w:rsidP="00736C6A">
            <w:pPr>
              <w:spacing w:before="240" w:line="320" w:lineRule="exact"/>
            </w:pPr>
            <w:r>
              <w:lastRenderedPageBreak/>
              <w:t>Springboarding</w:t>
            </w:r>
          </w:p>
        </w:tc>
        <w:tc>
          <w:tcPr>
            <w:tcW w:w="6634" w:type="dxa"/>
          </w:tcPr>
          <w:p w:rsidR="00736C6A" w:rsidRPr="00BF4A4D" w:rsidRDefault="00736C6A" w:rsidP="00736C6A">
            <w:pPr>
              <w:spacing w:before="240" w:line="320" w:lineRule="exact"/>
            </w:pPr>
            <w:r>
              <w:t>Springboarding allows firms to use patented inventions prior to the patent expiration for the sole purpose of gaining regulatory approval. Pharmaceuticals are an example of a product that requires regulatory approval.</w:t>
            </w:r>
          </w:p>
        </w:tc>
      </w:tr>
      <w:tr w:rsidR="00736C6A" w:rsidTr="00736C6A">
        <w:tc>
          <w:tcPr>
            <w:tcW w:w="2310" w:type="dxa"/>
          </w:tcPr>
          <w:p w:rsidR="00736C6A" w:rsidRDefault="00736C6A" w:rsidP="00736C6A">
            <w:pPr>
              <w:spacing w:before="240" w:line="320" w:lineRule="exact"/>
            </w:pPr>
            <w:r>
              <w:t>Standard essential patent</w:t>
            </w:r>
          </w:p>
        </w:tc>
        <w:tc>
          <w:tcPr>
            <w:tcW w:w="6634" w:type="dxa"/>
          </w:tcPr>
          <w:p w:rsidR="00736C6A" w:rsidRPr="00BF4A4D" w:rsidRDefault="00736C6A" w:rsidP="00736C6A">
            <w:pPr>
              <w:spacing w:before="240" w:line="320" w:lineRule="exact"/>
              <w:jc w:val="both"/>
            </w:pPr>
            <w:r w:rsidRPr="00B0108C">
              <w:t>A standard essential patent is a patent on an invention that is required to practise an industry standard</w:t>
            </w:r>
            <w:r>
              <w:t xml:space="preserve"> (for example, </w:t>
            </w:r>
            <w:proofErr w:type="spellStart"/>
            <w:r>
              <w:t>3G</w:t>
            </w:r>
            <w:proofErr w:type="spellEnd"/>
            <w:r>
              <w:t xml:space="preserve"> mobile </w:t>
            </w:r>
            <w:proofErr w:type="spellStart"/>
            <w:r>
              <w:t>internet</w:t>
            </w:r>
            <w:proofErr w:type="spellEnd"/>
            <w:r>
              <w:t xml:space="preserve"> technology)</w:t>
            </w:r>
            <w:r w:rsidRPr="00B0108C">
              <w:t>.</w:t>
            </w:r>
            <w:r>
              <w:t xml:space="preserve"> </w:t>
            </w:r>
          </w:p>
        </w:tc>
      </w:tr>
      <w:tr w:rsidR="00736C6A" w:rsidTr="00736C6A">
        <w:tc>
          <w:tcPr>
            <w:tcW w:w="2310" w:type="dxa"/>
          </w:tcPr>
          <w:p w:rsidR="00736C6A" w:rsidRDefault="00736C6A" w:rsidP="00736C6A">
            <w:pPr>
              <w:spacing w:before="240" w:line="320" w:lineRule="exact"/>
            </w:pPr>
            <w:r>
              <w:t>Standard patent</w:t>
            </w:r>
          </w:p>
        </w:tc>
        <w:tc>
          <w:tcPr>
            <w:tcW w:w="6634" w:type="dxa"/>
          </w:tcPr>
          <w:p w:rsidR="00736C6A" w:rsidRPr="00BF4A4D" w:rsidRDefault="00736C6A" w:rsidP="00736C6A">
            <w:pPr>
              <w:spacing w:before="240" w:line="320" w:lineRule="exact"/>
              <w:jc w:val="both"/>
            </w:pPr>
            <w:r>
              <w:t>An exclusive right to exploit an invention, granted for a term of 20 years. To be eligible for a standard patent, an invention must be novel, useful and involve an inventive step.</w:t>
            </w:r>
          </w:p>
        </w:tc>
      </w:tr>
      <w:tr w:rsidR="00736C6A" w:rsidTr="00736C6A">
        <w:tc>
          <w:tcPr>
            <w:tcW w:w="2310" w:type="dxa"/>
          </w:tcPr>
          <w:p w:rsidR="00736C6A" w:rsidRDefault="00736C6A" w:rsidP="00736C6A">
            <w:pPr>
              <w:spacing w:before="240" w:line="320" w:lineRule="exact"/>
            </w:pPr>
            <w:r>
              <w:t>Subject matter exclusions</w:t>
            </w:r>
          </w:p>
        </w:tc>
        <w:tc>
          <w:tcPr>
            <w:tcW w:w="6634" w:type="dxa"/>
          </w:tcPr>
          <w:p w:rsidR="00736C6A" w:rsidRPr="00BF4A4D" w:rsidRDefault="00736C6A" w:rsidP="00736C6A">
            <w:pPr>
              <w:spacing w:before="240" w:line="320" w:lineRule="exact"/>
              <w:jc w:val="both"/>
            </w:pPr>
            <w:r>
              <w:t>Exclusion from patent eligibility for particular fields of technology.</w:t>
            </w:r>
          </w:p>
        </w:tc>
      </w:tr>
    </w:tbl>
    <w:p w:rsidR="00EA4850" w:rsidRPr="001F382E" w:rsidRDefault="00EA4850" w:rsidP="001F382E">
      <w:pPr>
        <w:pStyle w:val="BodyText"/>
        <w:rPr>
          <w:rStyle w:val="CommentReference"/>
          <w:b w:val="0"/>
          <w:vanish w:val="0"/>
          <w:color w:val="auto"/>
          <w:sz w:val="26"/>
        </w:rPr>
      </w:pPr>
    </w:p>
    <w:sectPr w:rsidR="00EA4850" w:rsidRPr="001F382E" w:rsidSect="00C55A45">
      <w:headerReference w:type="even" r:id="rId19"/>
      <w:headerReference w:type="default" r:id="rId20"/>
      <w:footerReference w:type="even" r:id="rId21"/>
      <w:footerReference w:type="default" r:id="rId22"/>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362" w:rsidRDefault="000D7362">
      <w:r>
        <w:separator/>
      </w:r>
    </w:p>
    <w:p w:rsidR="000D7362" w:rsidRDefault="000D7362"/>
    <w:p w:rsidR="000D7362" w:rsidRDefault="000D7362"/>
  </w:endnote>
  <w:endnote w:type="continuationSeparator" w:id="0">
    <w:p w:rsidR="000D7362" w:rsidRDefault="000D7362">
      <w:r>
        <w:continuationSeparator/>
      </w:r>
    </w:p>
    <w:p w:rsidR="000D7362" w:rsidRDefault="000D7362"/>
    <w:p w:rsidR="000D7362" w:rsidRDefault="000D73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D7362">
      <w:trPr>
        <w:trHeight w:hRule="exact" w:val="740"/>
      </w:trPr>
      <w:tc>
        <w:tcPr>
          <w:tcW w:w="510" w:type="dxa"/>
          <w:tcBorders>
            <w:top w:val="single" w:sz="6" w:space="0" w:color="auto"/>
          </w:tcBorders>
        </w:tcPr>
        <w:p w:rsidR="000D7362" w:rsidRPr="008206EE" w:rsidRDefault="000D736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512468">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0D7362" w:rsidRPr="00603344" w:rsidRDefault="00325F0A" w:rsidP="006B5E1C">
          <w:pPr>
            <w:pStyle w:val="Footer"/>
          </w:pPr>
          <w:fldSimple w:instr=" STYLEREF &quot;Heading 1&quot; \* MERGEFORMAT ">
            <w:r w:rsidR="00512468" w:rsidRPr="00512468">
              <w:rPr>
                <w:bCs/>
                <w:noProof/>
                <w:lang w:val="en-US"/>
              </w:rPr>
              <w:t>Terms of reference</w:t>
            </w:r>
          </w:fldSimple>
        </w:p>
      </w:tc>
      <w:tc>
        <w:tcPr>
          <w:tcW w:w="6634" w:type="dxa"/>
        </w:tcPr>
        <w:p w:rsidR="000D7362" w:rsidRPr="00603344" w:rsidRDefault="000D7362">
          <w:pPr>
            <w:pStyle w:val="Footer"/>
            <w:rPr>
              <w:caps w:val="0"/>
            </w:rPr>
          </w:pPr>
        </w:p>
      </w:tc>
    </w:tr>
  </w:tbl>
  <w:p w:rsidR="000D7362" w:rsidRDefault="000D736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D7362" w:rsidTr="008F7DB7">
      <w:trPr>
        <w:trHeight w:hRule="exact" w:val="740"/>
      </w:trPr>
      <w:tc>
        <w:tcPr>
          <w:tcW w:w="6634" w:type="dxa"/>
        </w:tcPr>
        <w:p w:rsidR="000D7362" w:rsidRPr="00B3203C" w:rsidRDefault="000D7362">
          <w:pPr>
            <w:pStyle w:val="Footer"/>
          </w:pPr>
        </w:p>
      </w:tc>
      <w:tc>
        <w:tcPr>
          <w:tcW w:w="1644" w:type="dxa"/>
          <w:tcBorders>
            <w:top w:val="single" w:sz="6" w:space="0" w:color="auto"/>
          </w:tcBorders>
        </w:tcPr>
        <w:p w:rsidR="000D7362" w:rsidRPr="00B3203C" w:rsidRDefault="000D7362" w:rsidP="006B5E1C">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512468" w:rsidRPr="00512468">
            <w:rPr>
              <w:bCs/>
              <w:noProof/>
              <w:lang w:val="en-US"/>
            </w:rPr>
            <w:t>Terms of reference</w:t>
          </w:r>
          <w:r w:rsidRPr="00B3203C">
            <w:rPr>
              <w:noProof/>
            </w:rPr>
            <w:fldChar w:fldCharType="end"/>
          </w:r>
        </w:p>
      </w:tc>
      <w:tc>
        <w:tcPr>
          <w:tcW w:w="510" w:type="dxa"/>
          <w:tcBorders>
            <w:top w:val="single" w:sz="6" w:space="0" w:color="auto"/>
          </w:tcBorders>
        </w:tcPr>
        <w:p w:rsidR="000D7362" w:rsidRPr="00C55A45" w:rsidRDefault="000D736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12468">
            <w:rPr>
              <w:rStyle w:val="PageNumber"/>
              <w:caps w:val="0"/>
              <w:noProof/>
            </w:rPr>
            <w:t>vii</w:t>
          </w:r>
          <w:r w:rsidRPr="00C55A45">
            <w:rPr>
              <w:rStyle w:val="PageNumber"/>
              <w:caps w:val="0"/>
              <w:noProof/>
            </w:rPr>
            <w:fldChar w:fldCharType="end"/>
          </w:r>
        </w:p>
      </w:tc>
    </w:tr>
  </w:tbl>
  <w:p w:rsidR="000D7362" w:rsidRDefault="000D736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D7362">
      <w:trPr>
        <w:trHeight w:hRule="exact" w:val="740"/>
      </w:trPr>
      <w:tc>
        <w:tcPr>
          <w:tcW w:w="510" w:type="dxa"/>
          <w:tcBorders>
            <w:top w:val="single" w:sz="6" w:space="0" w:color="auto"/>
          </w:tcBorders>
        </w:tcPr>
        <w:p w:rsidR="000D7362" w:rsidRPr="008206EE" w:rsidRDefault="000D736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512468">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0D7362" w:rsidRDefault="00325F0A">
          <w:pPr>
            <w:pStyle w:val="Footer"/>
          </w:pPr>
          <w:fldSimple w:instr=" STYLEREF &quot;Heading 1 Not TOC&quot; \* MERGEFORMAT ">
            <w:r w:rsidR="00512468">
              <w:rPr>
                <w:noProof/>
              </w:rPr>
              <w:t>Contents</w:t>
            </w:r>
          </w:fldSimple>
        </w:p>
      </w:tc>
      <w:tc>
        <w:tcPr>
          <w:tcW w:w="6634" w:type="dxa"/>
        </w:tcPr>
        <w:p w:rsidR="000D7362" w:rsidRDefault="000D7362">
          <w:pPr>
            <w:pStyle w:val="Footer"/>
            <w:rPr>
              <w:caps w:val="0"/>
            </w:rPr>
          </w:pPr>
        </w:p>
      </w:tc>
    </w:tr>
  </w:tbl>
  <w:p w:rsidR="000D7362" w:rsidRDefault="000D736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7315F" w:rsidTr="008F7DB7">
      <w:trPr>
        <w:trHeight w:hRule="exact" w:val="740"/>
      </w:trPr>
      <w:tc>
        <w:tcPr>
          <w:tcW w:w="6634" w:type="dxa"/>
        </w:tcPr>
        <w:p w:rsidR="00F7315F" w:rsidRPr="00B3203C" w:rsidRDefault="00F7315F">
          <w:pPr>
            <w:pStyle w:val="Footer"/>
          </w:pPr>
        </w:p>
      </w:tc>
      <w:tc>
        <w:tcPr>
          <w:tcW w:w="1644" w:type="dxa"/>
          <w:tcBorders>
            <w:top w:val="single" w:sz="6" w:space="0" w:color="auto"/>
          </w:tcBorders>
        </w:tcPr>
        <w:p w:rsidR="00F7315F" w:rsidRPr="00B3203C" w:rsidRDefault="00F7315F" w:rsidP="00F7315F">
          <w:pPr>
            <w:pStyle w:val="Footer"/>
            <w:rPr>
              <w:rStyle w:val="PageNumber"/>
              <w:noProof/>
            </w:rPr>
          </w:pPr>
          <w:r>
            <w:rPr>
              <w:noProof/>
            </w:rPr>
            <w:t>CONTENTS</w:t>
          </w:r>
        </w:p>
      </w:tc>
      <w:tc>
        <w:tcPr>
          <w:tcW w:w="510" w:type="dxa"/>
          <w:tcBorders>
            <w:top w:val="single" w:sz="6" w:space="0" w:color="auto"/>
          </w:tcBorders>
        </w:tcPr>
        <w:p w:rsidR="00F7315F" w:rsidRPr="00C55A45" w:rsidRDefault="00F7315F">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12468">
            <w:rPr>
              <w:rStyle w:val="PageNumber"/>
              <w:caps w:val="0"/>
              <w:noProof/>
            </w:rPr>
            <w:t>xi</w:t>
          </w:r>
          <w:r w:rsidRPr="00C55A45">
            <w:rPr>
              <w:rStyle w:val="PageNumber"/>
              <w:caps w:val="0"/>
              <w:noProof/>
            </w:rPr>
            <w:fldChar w:fldCharType="end"/>
          </w:r>
        </w:p>
      </w:tc>
    </w:tr>
  </w:tbl>
  <w:p w:rsidR="00F7315F" w:rsidRDefault="00F7315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0D7362" w:rsidTr="008F7DB7">
      <w:trPr>
        <w:trHeight w:hRule="exact" w:val="740"/>
      </w:trPr>
      <w:tc>
        <w:tcPr>
          <w:tcW w:w="510" w:type="dxa"/>
          <w:tcBorders>
            <w:top w:val="single" w:sz="6" w:space="0" w:color="auto"/>
          </w:tcBorders>
        </w:tcPr>
        <w:p w:rsidR="000D7362" w:rsidRPr="00C55A45" w:rsidRDefault="000D736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141C20">
            <w:rPr>
              <w:rStyle w:val="PageNumber"/>
              <w:caps w:val="0"/>
              <w:noProof/>
            </w:rPr>
            <w:t>xvi</w:t>
          </w:r>
          <w:r w:rsidRPr="00C55A45">
            <w:rPr>
              <w:rStyle w:val="PageNumber"/>
              <w:caps w:val="0"/>
              <w:noProof/>
            </w:rPr>
            <w:fldChar w:fldCharType="end"/>
          </w:r>
        </w:p>
      </w:tc>
      <w:tc>
        <w:tcPr>
          <w:tcW w:w="1758" w:type="dxa"/>
          <w:tcBorders>
            <w:top w:val="single" w:sz="6" w:space="0" w:color="auto"/>
          </w:tcBorders>
        </w:tcPr>
        <w:p w:rsidR="000D7362" w:rsidRDefault="000D7362">
          <w:pPr>
            <w:pStyle w:val="Footer"/>
            <w:rPr>
              <w:noProof/>
            </w:rPr>
          </w:pPr>
          <w:r>
            <w:rPr>
              <w:noProof/>
            </w:rPr>
            <w:fldChar w:fldCharType="begin"/>
          </w:r>
          <w:r>
            <w:rPr>
              <w:noProof/>
            </w:rPr>
            <w:instrText xml:space="preserve"> STYLEREF "Heading 1" \* MERGEFORMAT </w:instrText>
          </w:r>
          <w:r>
            <w:rPr>
              <w:noProof/>
            </w:rPr>
            <w:fldChar w:fldCharType="separate"/>
          </w:r>
          <w:r w:rsidR="00141C20">
            <w:rPr>
              <w:noProof/>
            </w:rPr>
            <w:t>Glossary</w:t>
          </w:r>
          <w:r>
            <w:rPr>
              <w:noProof/>
            </w:rPr>
            <w:fldChar w:fldCharType="end"/>
          </w:r>
        </w:p>
      </w:tc>
      <w:tc>
        <w:tcPr>
          <w:tcW w:w="6634" w:type="dxa"/>
        </w:tcPr>
        <w:p w:rsidR="000D7362" w:rsidRDefault="000D7362">
          <w:pPr>
            <w:pStyle w:val="Footer"/>
            <w:rPr>
              <w:caps w:val="0"/>
            </w:rPr>
          </w:pPr>
        </w:p>
      </w:tc>
    </w:tr>
  </w:tbl>
  <w:p w:rsidR="000D7362" w:rsidRDefault="000D736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0D7362">
      <w:trPr>
        <w:trHeight w:hRule="exact" w:val="740"/>
      </w:trPr>
      <w:tc>
        <w:tcPr>
          <w:tcW w:w="6663" w:type="dxa"/>
        </w:tcPr>
        <w:p w:rsidR="000D7362" w:rsidRDefault="000D7362">
          <w:pPr>
            <w:pStyle w:val="Footer"/>
          </w:pPr>
        </w:p>
      </w:tc>
      <w:tc>
        <w:tcPr>
          <w:tcW w:w="1615" w:type="dxa"/>
          <w:tcBorders>
            <w:top w:val="single" w:sz="6" w:space="0" w:color="auto"/>
          </w:tcBorders>
        </w:tcPr>
        <w:p w:rsidR="000D7362" w:rsidRDefault="00325F0A">
          <w:pPr>
            <w:pStyle w:val="Footer"/>
            <w:rPr>
              <w:rStyle w:val="PageNumber"/>
              <w:b w:val="0"/>
            </w:rPr>
          </w:pPr>
          <w:fldSimple w:instr=" STYLEREF &quot;Heading 1&quot; \* MERGEFORMAT ">
            <w:r w:rsidR="00141C20">
              <w:rPr>
                <w:noProof/>
              </w:rPr>
              <w:t>Glossary</w:t>
            </w:r>
          </w:fldSimple>
        </w:p>
      </w:tc>
      <w:tc>
        <w:tcPr>
          <w:tcW w:w="510" w:type="dxa"/>
          <w:tcBorders>
            <w:top w:val="single" w:sz="6" w:space="0" w:color="auto"/>
          </w:tcBorders>
        </w:tcPr>
        <w:p w:rsidR="000D7362" w:rsidRPr="00E15FDC" w:rsidRDefault="000D736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141C20">
            <w:rPr>
              <w:rStyle w:val="PageNumber"/>
              <w:caps w:val="0"/>
              <w:noProof/>
            </w:rPr>
            <w:t>xv</w:t>
          </w:r>
          <w:r w:rsidRPr="00E15FDC">
            <w:rPr>
              <w:rStyle w:val="PageNumber"/>
              <w:caps w:val="0"/>
              <w:noProof/>
            </w:rPr>
            <w:fldChar w:fldCharType="end"/>
          </w:r>
        </w:p>
      </w:tc>
    </w:tr>
  </w:tbl>
  <w:p w:rsidR="000D7362" w:rsidRDefault="000D736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362" w:rsidRDefault="000D7362">
      <w:r>
        <w:separator/>
      </w:r>
    </w:p>
    <w:p w:rsidR="000D7362" w:rsidRDefault="000D7362"/>
    <w:p w:rsidR="000D7362" w:rsidRDefault="000D7362"/>
  </w:footnote>
  <w:footnote w:type="continuationSeparator" w:id="0">
    <w:p w:rsidR="000D7362" w:rsidRDefault="000D7362">
      <w:r>
        <w:continuationSeparator/>
      </w:r>
    </w:p>
    <w:p w:rsidR="000D7362" w:rsidRDefault="000D7362"/>
    <w:p w:rsidR="000D7362" w:rsidRDefault="000D73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D7362">
      <w:tc>
        <w:tcPr>
          <w:tcW w:w="2155" w:type="dxa"/>
          <w:tcBorders>
            <w:top w:val="single" w:sz="24" w:space="0" w:color="auto"/>
          </w:tcBorders>
        </w:tcPr>
        <w:p w:rsidR="000D7362" w:rsidRDefault="000D7362">
          <w:pPr>
            <w:pStyle w:val="Header"/>
          </w:pPr>
        </w:p>
      </w:tc>
      <w:tc>
        <w:tcPr>
          <w:tcW w:w="6634" w:type="dxa"/>
          <w:tcBorders>
            <w:top w:val="single" w:sz="6" w:space="0" w:color="auto"/>
          </w:tcBorders>
        </w:tcPr>
        <w:p w:rsidR="000D7362" w:rsidRDefault="000D7362">
          <w:pPr>
            <w:pStyle w:val="Header"/>
          </w:pPr>
        </w:p>
      </w:tc>
    </w:tr>
  </w:tbl>
  <w:p w:rsidR="000D7362" w:rsidRDefault="000D736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D7362" w:rsidTr="005C68FE">
      <w:tc>
        <w:tcPr>
          <w:tcW w:w="6634" w:type="dxa"/>
          <w:tcBorders>
            <w:top w:val="single" w:sz="6" w:space="0" w:color="auto"/>
          </w:tcBorders>
        </w:tcPr>
        <w:p w:rsidR="000D7362" w:rsidRDefault="000D7362" w:rsidP="005C68FE">
          <w:pPr>
            <w:pStyle w:val="HeaderOdd"/>
          </w:pPr>
        </w:p>
      </w:tc>
      <w:tc>
        <w:tcPr>
          <w:tcW w:w="2155" w:type="dxa"/>
          <w:tcBorders>
            <w:top w:val="single" w:sz="24" w:space="0" w:color="auto"/>
          </w:tcBorders>
        </w:tcPr>
        <w:p w:rsidR="000D7362" w:rsidRDefault="000D7362" w:rsidP="005C68FE">
          <w:pPr>
            <w:pStyle w:val="HeaderOdd"/>
          </w:pPr>
        </w:p>
      </w:tc>
    </w:tr>
  </w:tbl>
  <w:p w:rsidR="000D7362" w:rsidRPr="005C68FE" w:rsidRDefault="000D736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D7362">
      <w:tc>
        <w:tcPr>
          <w:tcW w:w="2155" w:type="dxa"/>
          <w:tcBorders>
            <w:top w:val="single" w:sz="24" w:space="0" w:color="auto"/>
          </w:tcBorders>
        </w:tcPr>
        <w:p w:rsidR="000D7362" w:rsidRDefault="000D7362">
          <w:pPr>
            <w:pStyle w:val="Header"/>
          </w:pPr>
        </w:p>
      </w:tc>
      <w:tc>
        <w:tcPr>
          <w:tcW w:w="6634" w:type="dxa"/>
          <w:tcBorders>
            <w:top w:val="single" w:sz="6" w:space="0" w:color="auto"/>
          </w:tcBorders>
        </w:tcPr>
        <w:p w:rsidR="000D7362" w:rsidRDefault="000D7362">
          <w:pPr>
            <w:pStyle w:val="Header"/>
          </w:pPr>
        </w:p>
      </w:tc>
    </w:tr>
  </w:tbl>
  <w:p w:rsidR="000D7362" w:rsidRDefault="000D736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7315F" w:rsidTr="005C68FE">
      <w:tc>
        <w:tcPr>
          <w:tcW w:w="6634" w:type="dxa"/>
          <w:tcBorders>
            <w:top w:val="single" w:sz="6" w:space="0" w:color="auto"/>
          </w:tcBorders>
        </w:tcPr>
        <w:p w:rsidR="00F7315F" w:rsidRDefault="00F7315F" w:rsidP="005C68FE">
          <w:pPr>
            <w:pStyle w:val="HeaderOdd"/>
          </w:pPr>
        </w:p>
      </w:tc>
      <w:tc>
        <w:tcPr>
          <w:tcW w:w="2155" w:type="dxa"/>
          <w:tcBorders>
            <w:top w:val="single" w:sz="24" w:space="0" w:color="auto"/>
          </w:tcBorders>
        </w:tcPr>
        <w:p w:rsidR="00F7315F" w:rsidRDefault="00F7315F" w:rsidP="005C68FE">
          <w:pPr>
            <w:pStyle w:val="HeaderOdd"/>
          </w:pPr>
        </w:p>
      </w:tc>
    </w:tr>
  </w:tbl>
  <w:p w:rsidR="00F7315F" w:rsidRPr="005C68FE" w:rsidRDefault="00F7315F"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D7362" w:rsidTr="005C68FE">
      <w:tc>
        <w:tcPr>
          <w:tcW w:w="2155" w:type="dxa"/>
          <w:tcBorders>
            <w:top w:val="single" w:sz="24" w:space="0" w:color="auto"/>
          </w:tcBorders>
        </w:tcPr>
        <w:p w:rsidR="000D7362" w:rsidRDefault="000D7362" w:rsidP="005C68FE">
          <w:pPr>
            <w:pStyle w:val="HeaderEven"/>
          </w:pPr>
        </w:p>
      </w:tc>
      <w:tc>
        <w:tcPr>
          <w:tcW w:w="6634" w:type="dxa"/>
          <w:tcBorders>
            <w:top w:val="single" w:sz="6" w:space="0" w:color="auto"/>
          </w:tcBorders>
        </w:tcPr>
        <w:p w:rsidR="000D7362" w:rsidRDefault="000D7362" w:rsidP="005C68FE">
          <w:pPr>
            <w:pStyle w:val="HeaderEven"/>
          </w:pPr>
        </w:p>
      </w:tc>
    </w:tr>
  </w:tbl>
  <w:p w:rsidR="000D7362" w:rsidRDefault="000D736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D7362">
      <w:tc>
        <w:tcPr>
          <w:tcW w:w="6634" w:type="dxa"/>
          <w:tcBorders>
            <w:top w:val="single" w:sz="6" w:space="0" w:color="auto"/>
          </w:tcBorders>
        </w:tcPr>
        <w:p w:rsidR="000D7362" w:rsidRDefault="000D7362">
          <w:pPr>
            <w:pStyle w:val="HeaderOdd"/>
          </w:pPr>
        </w:p>
      </w:tc>
      <w:tc>
        <w:tcPr>
          <w:tcW w:w="2155" w:type="dxa"/>
          <w:tcBorders>
            <w:top w:val="single" w:sz="24" w:space="0" w:color="auto"/>
          </w:tcBorders>
        </w:tcPr>
        <w:p w:rsidR="000D7362" w:rsidRDefault="000D7362">
          <w:pPr>
            <w:pStyle w:val="HeaderOdd"/>
          </w:pPr>
        </w:p>
      </w:tc>
    </w:tr>
  </w:tbl>
  <w:p w:rsidR="000D7362" w:rsidRDefault="000D736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FA3"/>
    <w:rsid w:val="00010913"/>
    <w:rsid w:val="00017AFC"/>
    <w:rsid w:val="00025878"/>
    <w:rsid w:val="00026B38"/>
    <w:rsid w:val="00035551"/>
    <w:rsid w:val="000502D3"/>
    <w:rsid w:val="000623BF"/>
    <w:rsid w:val="00095EEA"/>
    <w:rsid w:val="00097C15"/>
    <w:rsid w:val="000B416E"/>
    <w:rsid w:val="000D7362"/>
    <w:rsid w:val="000F185F"/>
    <w:rsid w:val="000F2F5F"/>
    <w:rsid w:val="00106041"/>
    <w:rsid w:val="0013399B"/>
    <w:rsid w:val="001350EC"/>
    <w:rsid w:val="00141C20"/>
    <w:rsid w:val="00181F4B"/>
    <w:rsid w:val="00196FB3"/>
    <w:rsid w:val="001A5071"/>
    <w:rsid w:val="001B4E73"/>
    <w:rsid w:val="001B7F1E"/>
    <w:rsid w:val="001D4B1F"/>
    <w:rsid w:val="001D6629"/>
    <w:rsid w:val="001F2270"/>
    <w:rsid w:val="001F382E"/>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21F95"/>
    <w:rsid w:val="00325F0A"/>
    <w:rsid w:val="003B41E0"/>
    <w:rsid w:val="003C1892"/>
    <w:rsid w:val="003D624D"/>
    <w:rsid w:val="003E7802"/>
    <w:rsid w:val="00422925"/>
    <w:rsid w:val="00433C81"/>
    <w:rsid w:val="00446D6B"/>
    <w:rsid w:val="00457B3F"/>
    <w:rsid w:val="00463022"/>
    <w:rsid w:val="00481CF0"/>
    <w:rsid w:val="004822AE"/>
    <w:rsid w:val="004874D2"/>
    <w:rsid w:val="00497FA3"/>
    <w:rsid w:val="004B492A"/>
    <w:rsid w:val="004C0B0C"/>
    <w:rsid w:val="004D2350"/>
    <w:rsid w:val="004E52E2"/>
    <w:rsid w:val="004E6BB4"/>
    <w:rsid w:val="00512468"/>
    <w:rsid w:val="00515D43"/>
    <w:rsid w:val="0052544D"/>
    <w:rsid w:val="00551FB8"/>
    <w:rsid w:val="005537F6"/>
    <w:rsid w:val="00560F43"/>
    <w:rsid w:val="005654D0"/>
    <w:rsid w:val="00570554"/>
    <w:rsid w:val="005B17AB"/>
    <w:rsid w:val="005C4D28"/>
    <w:rsid w:val="005C68FE"/>
    <w:rsid w:val="00602523"/>
    <w:rsid w:val="00604351"/>
    <w:rsid w:val="00607D8A"/>
    <w:rsid w:val="0061590F"/>
    <w:rsid w:val="00636497"/>
    <w:rsid w:val="00641AE2"/>
    <w:rsid w:val="00643AEC"/>
    <w:rsid w:val="0064456A"/>
    <w:rsid w:val="00650DDA"/>
    <w:rsid w:val="0065126A"/>
    <w:rsid w:val="0066523D"/>
    <w:rsid w:val="006747AB"/>
    <w:rsid w:val="006802D4"/>
    <w:rsid w:val="00683849"/>
    <w:rsid w:val="00691AB5"/>
    <w:rsid w:val="006B5E1C"/>
    <w:rsid w:val="006E1E6B"/>
    <w:rsid w:val="006F0EAC"/>
    <w:rsid w:val="006F6A85"/>
    <w:rsid w:val="0070328D"/>
    <w:rsid w:val="00731F96"/>
    <w:rsid w:val="00734127"/>
    <w:rsid w:val="00735FEA"/>
    <w:rsid w:val="00736C6A"/>
    <w:rsid w:val="00743460"/>
    <w:rsid w:val="00743A27"/>
    <w:rsid w:val="00753DC6"/>
    <w:rsid w:val="0075578C"/>
    <w:rsid w:val="00766DFB"/>
    <w:rsid w:val="007734B5"/>
    <w:rsid w:val="007809B8"/>
    <w:rsid w:val="007B76D3"/>
    <w:rsid w:val="007C5033"/>
    <w:rsid w:val="00806E54"/>
    <w:rsid w:val="008206EE"/>
    <w:rsid w:val="008214B1"/>
    <w:rsid w:val="00836ED7"/>
    <w:rsid w:val="008453AC"/>
    <w:rsid w:val="00860D09"/>
    <w:rsid w:val="00862044"/>
    <w:rsid w:val="00862BF1"/>
    <w:rsid w:val="00871133"/>
    <w:rsid w:val="008C305F"/>
    <w:rsid w:val="008C3AD2"/>
    <w:rsid w:val="008C7C3D"/>
    <w:rsid w:val="008D6F66"/>
    <w:rsid w:val="008E1BEA"/>
    <w:rsid w:val="008E43D2"/>
    <w:rsid w:val="008F04C9"/>
    <w:rsid w:val="008F7C50"/>
    <w:rsid w:val="008F7DB7"/>
    <w:rsid w:val="009064D3"/>
    <w:rsid w:val="00915300"/>
    <w:rsid w:val="00933B0C"/>
    <w:rsid w:val="00935676"/>
    <w:rsid w:val="009606F2"/>
    <w:rsid w:val="0098401D"/>
    <w:rsid w:val="009A789F"/>
    <w:rsid w:val="009B12EF"/>
    <w:rsid w:val="009B6185"/>
    <w:rsid w:val="009D3274"/>
    <w:rsid w:val="009E1E78"/>
    <w:rsid w:val="009F30A3"/>
    <w:rsid w:val="00A1597D"/>
    <w:rsid w:val="00A46989"/>
    <w:rsid w:val="00A522D0"/>
    <w:rsid w:val="00A565B2"/>
    <w:rsid w:val="00A71CE9"/>
    <w:rsid w:val="00A72A19"/>
    <w:rsid w:val="00A75A30"/>
    <w:rsid w:val="00A93C82"/>
    <w:rsid w:val="00AB2A48"/>
    <w:rsid w:val="00AC3236"/>
    <w:rsid w:val="00AD4874"/>
    <w:rsid w:val="00AE1F8A"/>
    <w:rsid w:val="00AF47EF"/>
    <w:rsid w:val="00B036B2"/>
    <w:rsid w:val="00B04D19"/>
    <w:rsid w:val="00B153C3"/>
    <w:rsid w:val="00B22087"/>
    <w:rsid w:val="00B722F2"/>
    <w:rsid w:val="00B95339"/>
    <w:rsid w:val="00BB334E"/>
    <w:rsid w:val="00BB5DCF"/>
    <w:rsid w:val="00BC64D1"/>
    <w:rsid w:val="00BD4E7C"/>
    <w:rsid w:val="00BF59EA"/>
    <w:rsid w:val="00BF79CD"/>
    <w:rsid w:val="00C0721B"/>
    <w:rsid w:val="00C34C8C"/>
    <w:rsid w:val="00C50792"/>
    <w:rsid w:val="00C55A45"/>
    <w:rsid w:val="00C76FD3"/>
    <w:rsid w:val="00C904D9"/>
    <w:rsid w:val="00C94C06"/>
    <w:rsid w:val="00CA48BF"/>
    <w:rsid w:val="00CB3ACC"/>
    <w:rsid w:val="00CB4745"/>
    <w:rsid w:val="00CB5143"/>
    <w:rsid w:val="00CC4453"/>
    <w:rsid w:val="00CD2163"/>
    <w:rsid w:val="00CD4FE7"/>
    <w:rsid w:val="00CD5E6B"/>
    <w:rsid w:val="00CE5D96"/>
    <w:rsid w:val="00CE7344"/>
    <w:rsid w:val="00CF26EE"/>
    <w:rsid w:val="00D310F0"/>
    <w:rsid w:val="00D37AC2"/>
    <w:rsid w:val="00D500A9"/>
    <w:rsid w:val="00D64121"/>
    <w:rsid w:val="00D732FE"/>
    <w:rsid w:val="00D772E9"/>
    <w:rsid w:val="00D87F5E"/>
    <w:rsid w:val="00DA16EE"/>
    <w:rsid w:val="00DA31AB"/>
    <w:rsid w:val="00DA3281"/>
    <w:rsid w:val="00DA5407"/>
    <w:rsid w:val="00DA6D3E"/>
    <w:rsid w:val="00DC02E8"/>
    <w:rsid w:val="00DC75C7"/>
    <w:rsid w:val="00DC78D3"/>
    <w:rsid w:val="00DF4592"/>
    <w:rsid w:val="00E15FDC"/>
    <w:rsid w:val="00E2651B"/>
    <w:rsid w:val="00E6632E"/>
    <w:rsid w:val="00E90CF2"/>
    <w:rsid w:val="00EA4850"/>
    <w:rsid w:val="00ED0F61"/>
    <w:rsid w:val="00EE73E1"/>
    <w:rsid w:val="00F12107"/>
    <w:rsid w:val="00F13165"/>
    <w:rsid w:val="00F4234E"/>
    <w:rsid w:val="00F71C81"/>
    <w:rsid w:val="00F7315F"/>
    <w:rsid w:val="00F7477E"/>
    <w:rsid w:val="00F85393"/>
    <w:rsid w:val="00F86038"/>
    <w:rsid w:val="00F92007"/>
    <w:rsid w:val="00FA4A24"/>
    <w:rsid w:val="00FC41B4"/>
    <w:rsid w:val="00FC5A6B"/>
    <w:rsid w:val="00FD4728"/>
    <w:rsid w:val="00FF67E3"/>
    <w:rsid w:val="00FF6C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497F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497FA3"/>
    <w:rPr>
      <w:caps/>
      <w:spacing w:val="-4"/>
      <w:sz w:val="16"/>
      <w:lang w:eastAsia="en-US"/>
    </w:rPr>
  </w:style>
  <w:style w:type="character" w:customStyle="1" w:styleId="Heading1Char">
    <w:name w:val="Heading 1 Char"/>
    <w:basedOn w:val="DefaultParagraphFont"/>
    <w:link w:val="Heading1"/>
    <w:rsid w:val="00497FA3"/>
    <w:rPr>
      <w:kern w:val="28"/>
      <w:sz w:val="52"/>
      <w:lang w:eastAsia="en-US"/>
    </w:rPr>
  </w:style>
  <w:style w:type="paragraph" w:customStyle="1" w:styleId="Bullet">
    <w:name w:val="Bullet"/>
    <w:basedOn w:val="Normal"/>
    <w:uiPriority w:val="99"/>
    <w:rsid w:val="00DA16EE"/>
    <w:pPr>
      <w:tabs>
        <w:tab w:val="num" w:pos="360"/>
      </w:tabs>
      <w:spacing w:after="240"/>
      <w:ind w:left="360" w:hanging="36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497F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497FA3"/>
    <w:rPr>
      <w:caps/>
      <w:spacing w:val="-4"/>
      <w:sz w:val="16"/>
      <w:lang w:eastAsia="en-US"/>
    </w:rPr>
  </w:style>
  <w:style w:type="character" w:customStyle="1" w:styleId="Heading1Char">
    <w:name w:val="Heading 1 Char"/>
    <w:basedOn w:val="DefaultParagraphFont"/>
    <w:link w:val="Heading1"/>
    <w:rsid w:val="00497FA3"/>
    <w:rPr>
      <w:kern w:val="28"/>
      <w:sz w:val="52"/>
      <w:lang w:eastAsia="en-US"/>
    </w:rPr>
  </w:style>
  <w:style w:type="paragraph" w:customStyle="1" w:styleId="Bullet">
    <w:name w:val="Bullet"/>
    <w:basedOn w:val="Normal"/>
    <w:uiPriority w:val="99"/>
    <w:rsid w:val="00DA16EE"/>
    <w:pPr>
      <w:tabs>
        <w:tab w:val="num" w:pos="360"/>
      </w:tabs>
      <w:spacing w:after="240"/>
      <w:ind w:left="36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21830-B260-4A20-9ECE-9C7A02CA7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16</Pages>
  <Words>2437</Words>
  <Characters>14311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16715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2013-03-27T22:58:00Z</cp:lastPrinted>
  <dcterms:created xsi:type="dcterms:W3CDTF">2013-05-29T01:57:00Z</dcterms:created>
  <dcterms:modified xsi:type="dcterms:W3CDTF">2013-05-29T01:57:00Z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-1519152050</vt:i4>
  </property>
  <property fmtid="{D5CDD505-2E9C-101B-9397-08002B2CF9AE}" pid="3" name="_NewReviewCycle">
    <vt:lpwstr/>
  </property>
  <property fmtid="{D5CDD505-2E9C-101B-9397-08002B2CF9AE}" pid="4" name="_EmailSubject">
    <vt:lpwstr>web files - patents final report [SEC=UNCLASSIFIED]</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PreviousAdHocReviewCycleID">
    <vt:i4>1490431161</vt:i4>
  </property>
  <property fmtid="{D5CDD505-2E9C-101B-9397-08002B2CF9AE}" pid="8" name="_ReviewingToolsShownOnce">
    <vt:lpwstr/>
  </property>
</Properties>
</file>