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991BD" w14:textId="77777777" w:rsidR="00117140" w:rsidRDefault="00117140">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117140" w14:paraId="0C9C6515" w14:textId="77777777">
        <w:tc>
          <w:tcPr>
            <w:tcW w:w="6634" w:type="dxa"/>
            <w:tcBorders>
              <w:top w:val="single" w:sz="6" w:space="0" w:color="auto"/>
            </w:tcBorders>
          </w:tcPr>
          <w:p w14:paraId="7D28BEF9" w14:textId="77777777" w:rsidR="00117140" w:rsidRDefault="00117140">
            <w:pPr>
              <w:pStyle w:val="PartDivider"/>
            </w:pPr>
          </w:p>
        </w:tc>
        <w:tc>
          <w:tcPr>
            <w:tcW w:w="2155" w:type="dxa"/>
            <w:tcBorders>
              <w:top w:val="single" w:sz="24" w:space="0" w:color="auto"/>
            </w:tcBorders>
          </w:tcPr>
          <w:p w14:paraId="1F3342F5" w14:textId="77777777" w:rsidR="00117140" w:rsidRDefault="00117140">
            <w:pPr>
              <w:pStyle w:val="PartDivider"/>
            </w:pPr>
          </w:p>
        </w:tc>
      </w:tr>
    </w:tbl>
    <w:p w14:paraId="66DE9352" w14:textId="77777777" w:rsidR="00117140" w:rsidRDefault="00117140">
      <w:pPr>
        <w:pStyle w:val="PartDivider"/>
      </w:pPr>
    </w:p>
    <w:p w14:paraId="03C68F94" w14:textId="77777777" w:rsidR="00117140" w:rsidRDefault="00117140">
      <w:pPr>
        <w:pStyle w:val="PartTitle"/>
      </w:pPr>
      <w:r>
        <w:t>Overview</w:t>
      </w:r>
    </w:p>
    <w:p w14:paraId="737ECB9F" w14:textId="77777777" w:rsidR="00117140" w:rsidRDefault="00117140">
      <w:pPr>
        <w:rPr>
          <w:sz w:val="52"/>
          <w:szCs w:val="20"/>
        </w:rPr>
      </w:pPr>
      <w:r>
        <w:br w:type="page"/>
      </w:r>
    </w:p>
    <w:p w14:paraId="62568F11" w14:textId="23855DFE" w:rsidR="00117140" w:rsidRPr="00E06978" w:rsidRDefault="00117140">
      <w:pPr>
        <w:rPr>
          <w:vanish/>
          <w:color w:val="FF00FF"/>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117140" w14:paraId="094CA95E" w14:textId="77777777">
        <w:tc>
          <w:tcPr>
            <w:tcW w:w="8789" w:type="dxa"/>
            <w:tcBorders>
              <w:bottom w:val="nil"/>
            </w:tcBorders>
          </w:tcPr>
          <w:p w14:paraId="2DBB6634" w14:textId="77777777" w:rsidR="00117140" w:rsidRDefault="00117140">
            <w:pPr>
              <w:pStyle w:val="BoxTitle"/>
            </w:pPr>
            <w:r>
              <w:t>Key points</w:t>
            </w:r>
          </w:p>
        </w:tc>
      </w:tr>
      <w:tr w:rsidR="00117140" w:rsidRPr="00BB13EE" w14:paraId="276102CE" w14:textId="77777777">
        <w:tc>
          <w:tcPr>
            <w:tcW w:w="8789" w:type="dxa"/>
            <w:tcBorders>
              <w:top w:val="nil"/>
              <w:left w:val="single" w:sz="4" w:space="0" w:color="auto"/>
              <w:bottom w:val="nil"/>
              <w:right w:val="single" w:sz="4" w:space="0" w:color="auto"/>
            </w:tcBorders>
          </w:tcPr>
          <w:p w14:paraId="5D0A31C5" w14:textId="77777777" w:rsidR="00EA1572" w:rsidRPr="00BB13EE" w:rsidRDefault="00EA1572" w:rsidP="00BB13EE">
            <w:pPr>
              <w:pStyle w:val="BoxListBullet"/>
              <w:numPr>
                <w:ilvl w:val="0"/>
                <w:numId w:val="1"/>
              </w:numPr>
              <w:spacing w:before="120"/>
            </w:pPr>
            <w:r w:rsidRPr="00BB13EE">
              <w:t xml:space="preserve">Like most countries, Australia has legislated a system of compulsory licensing so that patent owners can be compelled to license their inventions to others in a </w:t>
            </w:r>
            <w:r w:rsidR="00ED4EB3">
              <w:t>limited range of circumstances.</w:t>
            </w:r>
          </w:p>
          <w:p w14:paraId="6B243C5D" w14:textId="36A9BA4D" w:rsidR="00EA1572" w:rsidRPr="00BB13EE" w:rsidRDefault="00EA1572" w:rsidP="004138EE">
            <w:pPr>
              <w:pStyle w:val="BoxListBullet"/>
              <w:numPr>
                <w:ilvl w:val="0"/>
                <w:numId w:val="1"/>
              </w:numPr>
              <w:spacing w:before="120"/>
            </w:pPr>
            <w:r w:rsidRPr="00BB13EE">
              <w:t xml:space="preserve">Survey data and participants’ comments confirm that this is a safeguard which only </w:t>
            </w:r>
            <w:r w:rsidR="00BF7DBA">
              <w:t xml:space="preserve">needs to be </w:t>
            </w:r>
            <w:r w:rsidR="0062463E">
              <w:t>invoked</w:t>
            </w:r>
            <w:r w:rsidRPr="00BB13EE">
              <w:t xml:space="preserve"> in exceptional cases. </w:t>
            </w:r>
            <w:r w:rsidR="004138EE" w:rsidRPr="004138EE">
              <w:t xml:space="preserve">In response to surveys, patent owners </w:t>
            </w:r>
            <w:r w:rsidR="00301B63">
              <w:t>indicate</w:t>
            </w:r>
            <w:r w:rsidR="004138EE" w:rsidRPr="004138EE">
              <w:t xml:space="preserve"> that</w:t>
            </w:r>
            <w:r w:rsidRPr="00BB13EE">
              <w:t xml:space="preserve"> often </w:t>
            </w:r>
            <w:r w:rsidR="004138EE">
              <w:t xml:space="preserve">they </w:t>
            </w:r>
            <w:r w:rsidR="0052786B">
              <w:t>would prefer</w:t>
            </w:r>
            <w:r w:rsidRPr="00BB13EE">
              <w:t xml:space="preserve"> to license more than they do.</w:t>
            </w:r>
          </w:p>
          <w:p w14:paraId="682CA7E8" w14:textId="3E293174" w:rsidR="00EA1572" w:rsidRPr="00BB13EE" w:rsidRDefault="00EA1572" w:rsidP="00BB13EE">
            <w:pPr>
              <w:pStyle w:val="BoxListBullet"/>
              <w:numPr>
                <w:ilvl w:val="0"/>
                <w:numId w:val="1"/>
              </w:numPr>
              <w:spacing w:before="120"/>
            </w:pPr>
            <w:r w:rsidRPr="00BB13EE">
              <w:t>There have been few applications for a compulsory licence in Australia, and none have been successful. While this is consist</w:t>
            </w:r>
            <w:r w:rsidR="00970017">
              <w:t xml:space="preserve">ent with its status as a rarely </w:t>
            </w:r>
            <w:r w:rsidRPr="00BB13EE">
              <w:t xml:space="preserve">needed safeguard, another factor may be the costly and time-consuming process </w:t>
            </w:r>
            <w:r w:rsidR="0052786B">
              <w:t xml:space="preserve">involved in </w:t>
            </w:r>
            <w:r w:rsidR="00686B3D">
              <w:t>obtaining</w:t>
            </w:r>
            <w:r w:rsidRPr="00BB13EE">
              <w:t xml:space="preserve"> </w:t>
            </w:r>
            <w:r w:rsidR="0052786B">
              <w:t>a compulsory licence order</w:t>
            </w:r>
            <w:r w:rsidR="0052786B" w:rsidRPr="00BB13EE">
              <w:t xml:space="preserve"> </w:t>
            </w:r>
            <w:r w:rsidR="0052786B">
              <w:t>from</w:t>
            </w:r>
            <w:r w:rsidRPr="00BB13EE">
              <w:t xml:space="preserve"> the Federal Court.</w:t>
            </w:r>
          </w:p>
          <w:p w14:paraId="14324D52" w14:textId="1F0EDBEF" w:rsidR="00EA1572" w:rsidRPr="00BB13EE" w:rsidRDefault="00EA1572" w:rsidP="00BB13EE">
            <w:pPr>
              <w:pStyle w:val="BoxListBullet"/>
              <w:numPr>
                <w:ilvl w:val="0"/>
                <w:numId w:val="1"/>
              </w:numPr>
              <w:spacing w:before="120"/>
            </w:pPr>
            <w:r w:rsidRPr="00BB13EE">
              <w:t xml:space="preserve">There are no clear alternatives to the Federal Court that would make </w:t>
            </w:r>
            <w:r w:rsidR="00DE7587" w:rsidRPr="00BB13EE">
              <w:t>compulsory licen</w:t>
            </w:r>
            <w:r w:rsidR="00DE7587">
              <w:t>ce</w:t>
            </w:r>
            <w:r w:rsidR="00DE7587" w:rsidRPr="00BB13EE">
              <w:t xml:space="preserve"> </w:t>
            </w:r>
            <w:r w:rsidRPr="00BB13EE">
              <w:t>applications significantly less costly and time consuming</w:t>
            </w:r>
            <w:r w:rsidR="005A0BA2">
              <w:t>,</w:t>
            </w:r>
            <w:r w:rsidRPr="00BB13EE">
              <w:t xml:space="preserve"> without also raising concerns about the quality of outcomes and scope for appeals.</w:t>
            </w:r>
          </w:p>
          <w:p w14:paraId="68CCF4B0" w14:textId="1D8BAA54" w:rsidR="00EA1572" w:rsidRPr="00BB13EE" w:rsidRDefault="00EA1572" w:rsidP="00BB13EE">
            <w:pPr>
              <w:pStyle w:val="BoxListBullet"/>
              <w:numPr>
                <w:ilvl w:val="0"/>
                <w:numId w:val="1"/>
              </w:numPr>
              <w:spacing w:before="120"/>
            </w:pPr>
            <w:r w:rsidRPr="00BB13EE">
              <w:t>There is</w:t>
            </w:r>
            <w:r w:rsidR="00423BBB">
              <w:t>,</w:t>
            </w:r>
            <w:r w:rsidRPr="00BB13EE">
              <w:t xml:space="preserve"> </w:t>
            </w:r>
            <w:r w:rsidR="00863D48">
              <w:t>however</w:t>
            </w:r>
            <w:r w:rsidR="00423BBB">
              <w:t>,</w:t>
            </w:r>
            <w:r w:rsidR="00863D48">
              <w:t xml:space="preserve"> </w:t>
            </w:r>
            <w:r w:rsidRPr="00BB13EE">
              <w:t>a clear case to reform the criteria for a compulsory licence</w:t>
            </w:r>
            <w:r w:rsidR="00101B19">
              <w:t>.</w:t>
            </w:r>
          </w:p>
          <w:p w14:paraId="39F5D211" w14:textId="77777777" w:rsidR="00423BBB" w:rsidRDefault="00863D48" w:rsidP="007E22CA">
            <w:pPr>
              <w:pStyle w:val="BoxListBullet2"/>
            </w:pPr>
            <w:r w:rsidRPr="00863D48">
              <w:t xml:space="preserve">There are </w:t>
            </w:r>
            <w:r w:rsidR="004138EE">
              <w:t xml:space="preserve">currently </w:t>
            </w:r>
            <w:r w:rsidRPr="00863D48">
              <w:t xml:space="preserve">provisions in both the </w:t>
            </w:r>
            <w:r w:rsidR="004138EE" w:rsidRPr="00423BBB">
              <w:rPr>
                <w:i/>
              </w:rPr>
              <w:t>Competition and Consumer Act 2010</w:t>
            </w:r>
            <w:r w:rsidR="004138EE">
              <w:t xml:space="preserve"> (Cwlth) </w:t>
            </w:r>
            <w:r w:rsidRPr="00863D48">
              <w:t xml:space="preserve">and </w:t>
            </w:r>
            <w:r w:rsidR="004138EE" w:rsidRPr="00423BBB">
              <w:rPr>
                <w:i/>
              </w:rPr>
              <w:t xml:space="preserve">Patents Act 1990 </w:t>
            </w:r>
            <w:r w:rsidR="004138EE" w:rsidRPr="00423BBB">
              <w:t>(Cwlth)</w:t>
            </w:r>
            <w:r w:rsidR="004138EE">
              <w:t xml:space="preserve"> to address anti</w:t>
            </w:r>
            <w:r w:rsidRPr="00863D48">
              <w:t xml:space="preserve">competitive behaviour. </w:t>
            </w:r>
            <w:r>
              <w:t>To remove overlap and in</w:t>
            </w:r>
            <w:r w:rsidRPr="00863D48">
              <w:t xml:space="preserve">consistency, </w:t>
            </w:r>
            <w:r>
              <w:t>w</w:t>
            </w:r>
            <w:r w:rsidR="009414BE">
              <w:t>hen</w:t>
            </w:r>
            <w:r w:rsidR="00EA1572" w:rsidRPr="00BB13EE">
              <w:t xml:space="preserve"> a patent is used to engage in unlawful anticompetitive conduct, a compulsory licence should only be available under </w:t>
            </w:r>
            <w:r w:rsidR="00EA1572" w:rsidRPr="004138EE">
              <w:t xml:space="preserve">the </w:t>
            </w:r>
            <w:r w:rsidR="00095C24" w:rsidRPr="00573BE3">
              <w:t>Competition and Consumer Act</w:t>
            </w:r>
            <w:r w:rsidR="00423BBB">
              <w:t>.</w:t>
            </w:r>
          </w:p>
          <w:p w14:paraId="75876C8F" w14:textId="2688AC0C" w:rsidR="007E22CA" w:rsidRPr="00BB13EE" w:rsidRDefault="007E22CA" w:rsidP="007E22CA">
            <w:pPr>
              <w:pStyle w:val="BoxListBullet2"/>
            </w:pPr>
            <w:r>
              <w:t>A</w:t>
            </w:r>
            <w:r w:rsidRPr="00BB13EE">
              <w:t xml:space="preserve"> public interest test should replace existing </w:t>
            </w:r>
            <w:r w:rsidR="0052786B">
              <w:t xml:space="preserve">criteria based on the ‘reasonable requirements of the public’ </w:t>
            </w:r>
            <w:r w:rsidRPr="00BB13EE">
              <w:t xml:space="preserve">in the </w:t>
            </w:r>
            <w:r w:rsidRPr="00573BE3">
              <w:t>Patents Act</w:t>
            </w:r>
            <w:r w:rsidR="004138EE">
              <w:t>.</w:t>
            </w:r>
            <w:r w:rsidRPr="00423BBB">
              <w:rPr>
                <w:i/>
              </w:rPr>
              <w:t xml:space="preserve"> </w:t>
            </w:r>
            <w:r w:rsidR="00863D48">
              <w:t>T</w:t>
            </w:r>
            <w:r w:rsidR="0052786B">
              <w:t>his</w:t>
            </w:r>
            <w:r w:rsidR="0052786B" w:rsidRPr="00BB13EE">
              <w:t xml:space="preserve"> </w:t>
            </w:r>
            <w:r w:rsidR="0052786B">
              <w:t>would provide an access regime whe</w:t>
            </w:r>
            <w:r w:rsidR="00403E4F">
              <w:t>n</w:t>
            </w:r>
            <w:r w:rsidR="0052786B">
              <w:t xml:space="preserve"> </w:t>
            </w:r>
            <w:r>
              <w:t xml:space="preserve">greater </w:t>
            </w:r>
            <w:r w:rsidRPr="00BB13EE">
              <w:t xml:space="preserve">use of a patented invention </w:t>
            </w:r>
            <w:r>
              <w:t xml:space="preserve">would deliver a </w:t>
            </w:r>
            <w:r w:rsidR="00932AE2">
              <w:t xml:space="preserve">substantial </w:t>
            </w:r>
            <w:r>
              <w:t>net benefit to the community</w:t>
            </w:r>
            <w:r w:rsidRPr="00BB13EE">
              <w:t>.</w:t>
            </w:r>
          </w:p>
          <w:p w14:paraId="675C96AB" w14:textId="484FA021" w:rsidR="00EA1572" w:rsidRPr="00301B63" w:rsidRDefault="00EA1572" w:rsidP="0068631C">
            <w:pPr>
              <w:pStyle w:val="BoxListBullet"/>
              <w:numPr>
                <w:ilvl w:val="0"/>
                <w:numId w:val="1"/>
              </w:numPr>
              <w:spacing w:before="120"/>
            </w:pPr>
            <w:r w:rsidRPr="00847AAB">
              <w:t>To reduce uncertainty</w:t>
            </w:r>
            <w:r w:rsidR="004D51AE" w:rsidRPr="004138EE">
              <w:t xml:space="preserve"> about</w:t>
            </w:r>
            <w:r w:rsidRPr="004138EE">
              <w:t xml:space="preserve"> international treaty obligations on compulsory licensing</w:t>
            </w:r>
            <w:r w:rsidR="004D51AE" w:rsidRPr="004138EE">
              <w:t xml:space="preserve">, </w:t>
            </w:r>
            <w:r w:rsidR="00143DEC">
              <w:t xml:space="preserve">the existing general requirement in the Patents Act to satisfy such obligations should be deleted, and </w:t>
            </w:r>
            <w:r w:rsidR="00720CDB">
              <w:t xml:space="preserve">the </w:t>
            </w:r>
            <w:r w:rsidR="00D563E2">
              <w:t xml:space="preserve">obligations should be </w:t>
            </w:r>
            <w:r w:rsidR="00D563E2" w:rsidRPr="00847AAB">
              <w:t>incorporated directly into the Patents Act</w:t>
            </w:r>
            <w:r w:rsidR="00D563E2" w:rsidRPr="004138EE">
              <w:t xml:space="preserve"> or its subordinate legisl</w:t>
            </w:r>
            <w:r w:rsidR="00D563E2" w:rsidRPr="00301B63">
              <w:t>ation</w:t>
            </w:r>
            <w:r w:rsidR="00C6438F">
              <w:t>.</w:t>
            </w:r>
            <w:r w:rsidR="0068631C">
              <w:t xml:space="preserve"> </w:t>
            </w:r>
          </w:p>
          <w:p w14:paraId="660D0D8A" w14:textId="41C7A31B" w:rsidR="00EA1572" w:rsidRDefault="00EA1572" w:rsidP="00BB13EE">
            <w:pPr>
              <w:pStyle w:val="BoxListBullet"/>
              <w:numPr>
                <w:ilvl w:val="0"/>
                <w:numId w:val="1"/>
              </w:numPr>
              <w:spacing w:before="120"/>
            </w:pPr>
            <w:r w:rsidRPr="00BB13EE">
              <w:t xml:space="preserve">To improve awareness of compulsory licensing, IP Australia </w:t>
            </w:r>
            <w:r w:rsidR="00720A24">
              <w:t xml:space="preserve">and the ACCC </w:t>
            </w:r>
            <w:r w:rsidRPr="00BB13EE">
              <w:t xml:space="preserve">should </w:t>
            </w:r>
            <w:r w:rsidR="00B444B9">
              <w:t xml:space="preserve">jointly </w:t>
            </w:r>
            <w:r w:rsidRPr="00BB13EE">
              <w:t xml:space="preserve">develop a plain English guide and make it available on </w:t>
            </w:r>
            <w:r w:rsidR="00720A24">
              <w:t xml:space="preserve">their </w:t>
            </w:r>
            <w:r w:rsidRPr="00BB13EE">
              <w:t>website</w:t>
            </w:r>
            <w:r w:rsidR="00720A24">
              <w:t>s</w:t>
            </w:r>
            <w:r w:rsidRPr="00BB13EE">
              <w:t>.</w:t>
            </w:r>
          </w:p>
          <w:p w14:paraId="1DCD44CC" w14:textId="2CA4F5C3" w:rsidR="00101B19" w:rsidRDefault="00EA1572" w:rsidP="00BB13EE">
            <w:pPr>
              <w:pStyle w:val="BoxListBullet"/>
              <w:numPr>
                <w:ilvl w:val="0"/>
                <w:numId w:val="1"/>
              </w:numPr>
              <w:spacing w:before="120"/>
            </w:pPr>
            <w:r w:rsidRPr="00BB13EE">
              <w:t xml:space="preserve">The Patents Act contains a less costly and time-consuming alternative to compulsory licensing — termed </w:t>
            </w:r>
            <w:r w:rsidR="00194802">
              <w:t>‘</w:t>
            </w:r>
            <w:r w:rsidRPr="00BB13EE">
              <w:t>Crown use</w:t>
            </w:r>
            <w:r w:rsidR="00194802">
              <w:t>’</w:t>
            </w:r>
            <w:r w:rsidRPr="00BB13EE">
              <w:t xml:space="preserve"> — that can be invoked when an invention is used for the services of a government. </w:t>
            </w:r>
            <w:r w:rsidR="00A967C4">
              <w:t xml:space="preserve">Two </w:t>
            </w:r>
            <w:r w:rsidR="00E9391F">
              <w:t xml:space="preserve">key </w:t>
            </w:r>
            <w:r w:rsidR="00A967C4">
              <w:t xml:space="preserve">reforms are proposed </w:t>
            </w:r>
            <w:r w:rsidR="00403E4F">
              <w:t>in this regard</w:t>
            </w:r>
            <w:r w:rsidR="00510EF6">
              <w:t>.</w:t>
            </w:r>
          </w:p>
          <w:p w14:paraId="66D4FB88" w14:textId="6E371A0B" w:rsidR="00101B19" w:rsidRDefault="00EA1572" w:rsidP="00101B19">
            <w:pPr>
              <w:pStyle w:val="BoxListBullet2"/>
            </w:pPr>
            <w:r w:rsidRPr="00BB13EE">
              <w:t>To reduce uncertainty</w:t>
            </w:r>
            <w:r w:rsidR="004D51AE">
              <w:t xml:space="preserve"> about the scope of Crown use</w:t>
            </w:r>
            <w:r w:rsidRPr="00BB13EE">
              <w:t xml:space="preserve">, the Patents Act should be amended to make it clear that Crown use can be invoked for the provision of a service </w:t>
            </w:r>
            <w:r w:rsidR="009C3D08">
              <w:t>that t</w:t>
            </w:r>
            <w:r w:rsidR="009C3D08" w:rsidRPr="00A3561D">
              <w:t xml:space="preserve">he </w:t>
            </w:r>
            <w:r w:rsidR="009C3D08">
              <w:t xml:space="preserve">Australian, State </w:t>
            </w:r>
            <w:r w:rsidR="004D51AE">
              <w:t>and/</w:t>
            </w:r>
            <w:r w:rsidR="009C3D08">
              <w:t xml:space="preserve">or Territory Governments </w:t>
            </w:r>
            <w:r w:rsidRPr="00BB13EE">
              <w:t>ha</w:t>
            </w:r>
            <w:r w:rsidR="009C3D08">
              <w:t>ve</w:t>
            </w:r>
            <w:r w:rsidRPr="00BB13EE">
              <w:t xml:space="preserve"> </w:t>
            </w:r>
            <w:r w:rsidR="004D51AE">
              <w:t xml:space="preserve">primary responsibility for </w:t>
            </w:r>
            <w:r w:rsidR="00B80C52">
              <w:t>providing or funding.</w:t>
            </w:r>
          </w:p>
          <w:p w14:paraId="13C27DCE" w14:textId="2D09C720" w:rsidR="001569F6" w:rsidRPr="00BB13EE" w:rsidRDefault="001569F6" w:rsidP="00863D48">
            <w:pPr>
              <w:pStyle w:val="BoxListBullet2"/>
            </w:pPr>
            <w:r>
              <w:t xml:space="preserve">To improve transparency and accountability, governments should be required to first seek a negotiated outcome, and publicly state the reasons for invoking Crown use </w:t>
            </w:r>
            <w:r w:rsidR="00863D48">
              <w:t>in advance, except in emergencies</w:t>
            </w:r>
            <w:r>
              <w:t xml:space="preserve">. </w:t>
            </w:r>
            <w:r w:rsidR="00863D48">
              <w:t>G</w:t>
            </w:r>
            <w:r>
              <w:t xml:space="preserve">overnments should </w:t>
            </w:r>
            <w:r w:rsidR="0044177A">
              <w:t xml:space="preserve">in all cases </w:t>
            </w:r>
            <w:r>
              <w:t xml:space="preserve">be required to obtain Ministerial approval to invoke Crown use, and </w:t>
            </w:r>
            <w:r w:rsidR="004D69BA" w:rsidRPr="004D69BA">
              <w:t>be subject to the same pricing principles as for compulsory licensing</w:t>
            </w:r>
            <w:r>
              <w:t>.</w:t>
            </w:r>
          </w:p>
        </w:tc>
      </w:tr>
      <w:tr w:rsidR="00117140" w14:paraId="7EB54BC0" w14:textId="77777777">
        <w:tc>
          <w:tcPr>
            <w:tcW w:w="8789" w:type="dxa"/>
            <w:tcBorders>
              <w:top w:val="nil"/>
              <w:bottom w:val="single" w:sz="4" w:space="0" w:color="auto"/>
            </w:tcBorders>
          </w:tcPr>
          <w:p w14:paraId="4FB570CD" w14:textId="77777777" w:rsidR="00117140" w:rsidRDefault="00117140">
            <w:pPr>
              <w:pStyle w:val="Box"/>
              <w:spacing w:before="0" w:line="120" w:lineRule="exact"/>
            </w:pPr>
          </w:p>
        </w:tc>
      </w:tr>
    </w:tbl>
    <w:p w14:paraId="730580B5" w14:textId="6C39FD0B" w:rsidR="00A33DFF" w:rsidRDefault="00117140" w:rsidP="00116649">
      <w:pPr>
        <w:pStyle w:val="Heading1"/>
      </w:pPr>
      <w:bookmarkStart w:id="3" w:name="ChapterTitle"/>
      <w:bookmarkEnd w:id="1"/>
      <w:r>
        <w:br w:type="page"/>
      </w:r>
      <w:r>
        <w:lastRenderedPageBreak/>
        <w:t>Overview</w:t>
      </w:r>
      <w:bookmarkEnd w:id="3"/>
    </w:p>
    <w:p w14:paraId="3527A281" w14:textId="40A2CC19" w:rsidR="004D565F" w:rsidRPr="004319BC" w:rsidRDefault="004D565F" w:rsidP="004D565F">
      <w:pPr>
        <w:pStyle w:val="BodyText"/>
      </w:pPr>
      <w:bookmarkStart w:id="4" w:name="begin"/>
      <w:bookmarkEnd w:id="4"/>
      <w:r w:rsidRPr="004319BC">
        <w:t>Like most countries, Australia has legislated a system of compulsory licensing so that patent owners can be compelled to license their inventions to others</w:t>
      </w:r>
      <w:r w:rsidRPr="008424DD">
        <w:t xml:space="preserve"> </w:t>
      </w:r>
      <w:r>
        <w:t>in a limited range of circumstances</w:t>
      </w:r>
      <w:r w:rsidRPr="004319BC">
        <w:t>. The right to maintain such arrangements is enshrined in international agreements on intellectual property (IP).</w:t>
      </w:r>
      <w:r>
        <w:t xml:space="preserve"> This was originally to provide a default remedy against failure to produce and market an invention locally. Many countries had previously relied on the harsher penalty of patent forfeiture.</w:t>
      </w:r>
      <w:r w:rsidRPr="004319BC">
        <w:t xml:space="preserve"> Over time, countries have expand</w:t>
      </w:r>
      <w:r w:rsidR="004A4D76">
        <w:t>ed</w:t>
      </w:r>
      <w:r w:rsidRPr="004319BC">
        <w:t xml:space="preserve"> the grounds for granting compulsory licences beyond promoting local industries.</w:t>
      </w:r>
    </w:p>
    <w:p w14:paraId="4C92075A" w14:textId="42B701E1" w:rsidR="004D565F" w:rsidRDefault="004D565F" w:rsidP="004D565F">
      <w:pPr>
        <w:pStyle w:val="BodyText"/>
      </w:pPr>
      <w:r>
        <w:t>In Australia, patent owner</w:t>
      </w:r>
      <w:r w:rsidR="00333F06">
        <w:t>s</w:t>
      </w:r>
      <w:r>
        <w:t xml:space="preserve"> can be ordered to grant a compulsory licence if </w:t>
      </w:r>
      <w:r w:rsidR="00333F06">
        <w:t xml:space="preserve">they </w:t>
      </w:r>
      <w:r>
        <w:t xml:space="preserve">fail to satisfy </w:t>
      </w:r>
      <w:r w:rsidRPr="00BE61B1">
        <w:t xml:space="preserve">the </w:t>
      </w:r>
      <w:r>
        <w:t>‘</w:t>
      </w:r>
      <w:r w:rsidRPr="00BE61B1">
        <w:t>reasonable requirements of the public</w:t>
      </w:r>
      <w:r>
        <w:t xml:space="preserve">’ for </w:t>
      </w:r>
      <w:r w:rsidR="00333F06">
        <w:t>their</w:t>
      </w:r>
      <w:r>
        <w:t xml:space="preserve"> invention, </w:t>
      </w:r>
      <w:r w:rsidRPr="00BE61B1">
        <w:t xml:space="preserve">or </w:t>
      </w:r>
      <w:r w:rsidR="00333F06">
        <w:t>their</w:t>
      </w:r>
      <w:r>
        <w:t xml:space="preserve"> behaviour in connection with the patent is contrary to </w:t>
      </w:r>
      <w:r w:rsidR="0031065D">
        <w:t xml:space="preserve">the </w:t>
      </w:r>
      <w:r>
        <w:t>competition law</w:t>
      </w:r>
      <w:r w:rsidRPr="0037379F">
        <w:t>.</w:t>
      </w:r>
      <w:r>
        <w:t xml:space="preserve"> Several past reviews of the patents system have questioned the clarity of these criteria and their implementation, particularly as a means to address cases where gene patents unduly restrict access to healthcare. The effectiveness of the provisions has</w:t>
      </w:r>
      <w:r w:rsidRPr="006C458D">
        <w:t xml:space="preserve"> </w:t>
      </w:r>
      <w:r>
        <w:t>also been questioned because there have been few applications for a compulsory licence, and none ha</w:t>
      </w:r>
      <w:r w:rsidR="00040D7B">
        <w:t>s</w:t>
      </w:r>
      <w:r>
        <w:t xml:space="preserve"> been successful (box 1).</w:t>
      </w:r>
    </w:p>
    <w:p w14:paraId="1930F565" w14:textId="01F38CD0" w:rsidR="004D565F" w:rsidRDefault="004D565F" w:rsidP="004D565F">
      <w:pPr>
        <w:pStyle w:val="BoxSpaceAbove"/>
      </w:pPr>
      <w:bookmarkStart w:id="5" w:name="_Toc331427554"/>
      <w:bookmarkStart w:id="6" w:name="_Toc331605744"/>
      <w:bookmarkStart w:id="7" w:name="_Toc331775238"/>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4CD26377" w14:textId="77777777" w:rsidTr="003A0612">
        <w:tc>
          <w:tcPr>
            <w:tcW w:w="8771" w:type="dxa"/>
            <w:tcBorders>
              <w:top w:val="single" w:sz="6" w:space="0" w:color="auto"/>
              <w:bottom w:val="nil"/>
            </w:tcBorders>
          </w:tcPr>
          <w:p w14:paraId="0642D42D" w14:textId="77777777" w:rsidR="004D565F" w:rsidRDefault="004D565F" w:rsidP="003A0612">
            <w:pPr>
              <w:pStyle w:val="BoxTitle"/>
            </w:pPr>
            <w:r>
              <w:rPr>
                <w:b w:val="0"/>
              </w:rPr>
              <w:t>Box 1</w:t>
            </w:r>
            <w:r>
              <w:tab/>
              <w:t>The limited use of Australia’s compulsory licensing provisions</w:t>
            </w:r>
          </w:p>
        </w:tc>
      </w:tr>
      <w:tr w:rsidR="004D565F" w14:paraId="3BDF1402" w14:textId="77777777" w:rsidTr="003A0612">
        <w:trPr>
          <w:cantSplit/>
        </w:trPr>
        <w:tc>
          <w:tcPr>
            <w:tcW w:w="8771" w:type="dxa"/>
            <w:tcBorders>
              <w:top w:val="nil"/>
              <w:left w:val="single" w:sz="6" w:space="0" w:color="auto"/>
              <w:bottom w:val="nil"/>
              <w:right w:val="single" w:sz="6" w:space="0" w:color="auto"/>
            </w:tcBorders>
          </w:tcPr>
          <w:p w14:paraId="3E3EB102" w14:textId="1DE78285" w:rsidR="004D565F" w:rsidRDefault="00C61D74" w:rsidP="003A0612">
            <w:pPr>
              <w:pStyle w:val="Box"/>
            </w:pPr>
            <w:r>
              <w:t>There</w:t>
            </w:r>
            <w:r w:rsidR="004D565F">
              <w:t xml:space="preserve"> appears </w:t>
            </w:r>
            <w:r>
              <w:t xml:space="preserve">to </w:t>
            </w:r>
            <w:r w:rsidR="004D565F">
              <w:t xml:space="preserve">have been </w:t>
            </w:r>
            <w:r w:rsidR="003B46AC">
              <w:t xml:space="preserve">only </w:t>
            </w:r>
            <w:r w:rsidR="004D565F">
              <w:t>three applications for a compulsory licence order since this became available under Commonwealth legislation in 1903. None of the applications resulted in a compulsory licence.</w:t>
            </w:r>
          </w:p>
          <w:p w14:paraId="06197F55" w14:textId="77777777" w:rsidR="004D565F" w:rsidRPr="00CB388E" w:rsidRDefault="004D565F" w:rsidP="003A0612">
            <w:pPr>
              <w:pStyle w:val="BoxHeading1"/>
            </w:pPr>
            <w:r>
              <w:t>Fastening Supplies Pty Ltd v Olin Mathieson Chemical Corp. [1969] HCA 61</w:t>
            </w:r>
          </w:p>
          <w:p w14:paraId="1B369F0C" w14:textId="77777777" w:rsidR="004D565F" w:rsidRDefault="004D565F" w:rsidP="003A0612">
            <w:pPr>
              <w:pStyle w:val="Box"/>
            </w:pPr>
            <w:r w:rsidRPr="008F32E5">
              <w:t xml:space="preserve">This application was made under the </w:t>
            </w:r>
            <w:r w:rsidRPr="008F32E5">
              <w:rPr>
                <w:i/>
              </w:rPr>
              <w:t>Patents Act 1952</w:t>
            </w:r>
            <w:r w:rsidRPr="008F32E5">
              <w:t xml:space="preserve"> (Cwlth), which required an applicant to first satisfy the Commissioner of Patents that there was </w:t>
            </w:r>
            <w:r w:rsidRPr="003B46AC">
              <w:t>a prima facie</w:t>
            </w:r>
            <w:r w:rsidRPr="008F32E5">
              <w:t xml:space="preserve"> case that the ‘reasonable requirements of the public’ had not been satisfied. If a prima facie case was found, the matter had to be referred to the High Court</w:t>
            </w:r>
            <w:r>
              <w:t xml:space="preserve"> (in its original jurisdiction)</w:t>
            </w:r>
            <w:r w:rsidRPr="008F32E5">
              <w:t>.</w:t>
            </w:r>
          </w:p>
          <w:p w14:paraId="1980478F" w14:textId="77777777" w:rsidR="004D565F" w:rsidRPr="008F32E5" w:rsidRDefault="004D565F" w:rsidP="003A0612">
            <w:pPr>
              <w:pStyle w:val="Box"/>
            </w:pPr>
            <w:r w:rsidRPr="00344A8D">
              <w:t>Fastening Supplies sought a compulsory licence for a captive-bolt gun from Olin Mathieson, which had granted an exclusive licence in Australia to Ramset Fasteners.</w:t>
            </w:r>
          </w:p>
          <w:p w14:paraId="6945F544" w14:textId="77777777" w:rsidR="004D565F" w:rsidRDefault="004D565F" w:rsidP="003A0612">
            <w:pPr>
              <w:pStyle w:val="Continued"/>
            </w:pPr>
            <w:r>
              <w:t xml:space="preserve"> (Continued next page)</w:t>
            </w:r>
          </w:p>
        </w:tc>
      </w:tr>
      <w:tr w:rsidR="004D565F" w14:paraId="0443F9A9" w14:textId="77777777" w:rsidTr="003A0612">
        <w:trPr>
          <w:cantSplit/>
        </w:trPr>
        <w:tc>
          <w:tcPr>
            <w:tcW w:w="8771" w:type="dxa"/>
            <w:tcBorders>
              <w:top w:val="nil"/>
              <w:left w:val="single" w:sz="6" w:space="0" w:color="auto"/>
              <w:bottom w:val="single" w:sz="6" w:space="0" w:color="auto"/>
              <w:right w:val="single" w:sz="6" w:space="0" w:color="auto"/>
            </w:tcBorders>
          </w:tcPr>
          <w:p w14:paraId="780F768D" w14:textId="77777777" w:rsidR="004D565F" w:rsidRDefault="004D565F" w:rsidP="003A0612">
            <w:pPr>
              <w:pStyle w:val="Box"/>
              <w:spacing w:before="0" w:line="120" w:lineRule="exact"/>
            </w:pPr>
          </w:p>
        </w:tc>
      </w:tr>
      <w:tr w:rsidR="004D565F" w:rsidRPr="000863A5" w14:paraId="6AF0B8DF" w14:textId="77777777" w:rsidTr="003A0612">
        <w:tc>
          <w:tcPr>
            <w:tcW w:w="8771" w:type="dxa"/>
            <w:tcBorders>
              <w:top w:val="nil"/>
              <w:left w:val="nil"/>
              <w:bottom w:val="nil"/>
              <w:right w:val="nil"/>
            </w:tcBorders>
          </w:tcPr>
          <w:p w14:paraId="3ECD743A" w14:textId="776DAB60" w:rsidR="004D565F" w:rsidRPr="00626D32" w:rsidRDefault="004D565F" w:rsidP="003A0612">
            <w:pPr>
              <w:pStyle w:val="BoxSpaceBelow"/>
            </w:pPr>
          </w:p>
        </w:tc>
      </w:tr>
    </w:tbl>
    <w:p w14:paraId="2FF1411E" w14:textId="77777777" w:rsidR="004D565F" w:rsidRDefault="004D565F" w:rsidP="004D56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423A38FD" w14:textId="77777777" w:rsidTr="003A0612">
        <w:tc>
          <w:tcPr>
            <w:tcW w:w="8771" w:type="dxa"/>
            <w:tcBorders>
              <w:top w:val="single" w:sz="6" w:space="0" w:color="auto"/>
              <w:bottom w:val="nil"/>
            </w:tcBorders>
          </w:tcPr>
          <w:p w14:paraId="555BEA59" w14:textId="77777777" w:rsidR="004D565F" w:rsidRDefault="004D565F" w:rsidP="003A0612">
            <w:pPr>
              <w:pStyle w:val="BoxTitle"/>
            </w:pPr>
            <w:r>
              <w:rPr>
                <w:b w:val="0"/>
              </w:rPr>
              <w:t xml:space="preserve">Box </w:t>
            </w:r>
            <w:bookmarkStart w:id="8" w:name="OLE_LINK2"/>
            <w:r>
              <w:rPr>
                <w:b w:val="0"/>
              </w:rPr>
              <w:t>1</w:t>
            </w:r>
            <w:bookmarkEnd w:id="8"/>
            <w:r>
              <w:tab/>
            </w:r>
            <w:r w:rsidRPr="00082EA9">
              <w:rPr>
                <w:b w:val="0"/>
                <w:sz w:val="18"/>
                <w:szCs w:val="18"/>
              </w:rPr>
              <w:t>(continued)</w:t>
            </w:r>
          </w:p>
        </w:tc>
      </w:tr>
      <w:tr w:rsidR="004D565F" w14:paraId="0B946B77" w14:textId="77777777" w:rsidTr="003A0612">
        <w:trPr>
          <w:cantSplit/>
        </w:trPr>
        <w:tc>
          <w:tcPr>
            <w:tcW w:w="8771" w:type="dxa"/>
            <w:tcBorders>
              <w:top w:val="nil"/>
              <w:left w:val="single" w:sz="6" w:space="0" w:color="auto"/>
              <w:bottom w:val="nil"/>
              <w:right w:val="single" w:sz="6" w:space="0" w:color="auto"/>
            </w:tcBorders>
          </w:tcPr>
          <w:p w14:paraId="4EA927E3" w14:textId="77777777" w:rsidR="004D565F" w:rsidRPr="00344A8D" w:rsidRDefault="004D565F" w:rsidP="003A0612">
            <w:pPr>
              <w:pStyle w:val="Box"/>
            </w:pPr>
            <w:r w:rsidRPr="00344A8D">
              <w:t>The matter was referred to the High Court</w:t>
            </w:r>
            <w:r w:rsidR="00AA4004">
              <w:t xml:space="preserve">, </w:t>
            </w:r>
            <w:r w:rsidRPr="00344A8D">
              <w:t>which found that at the date of the application (December 1968) Ramset had not satisfied the reasonable requirements of the public</w:t>
            </w:r>
            <w:r>
              <w:t>. This was attributed to</w:t>
            </w:r>
            <w:r w:rsidRPr="00344A8D">
              <w:t xml:space="preserve"> </w:t>
            </w:r>
            <w:r>
              <w:t xml:space="preserve">the </w:t>
            </w:r>
            <w:r w:rsidRPr="00344A8D">
              <w:t>difficult</w:t>
            </w:r>
            <w:r>
              <w:t>y of designing a gun of sufficient versatility and endurance to warrant large-scale manufacturing in Australia. The</w:t>
            </w:r>
            <w:r w:rsidRPr="00344A8D">
              <w:t xml:space="preserve"> High Court also found that by the time of its decision (December 1969) Ramset was in the process of meeting Australian requirements, and that Fastening Supplies was not a suitable company to be granted a compulsory licence due to its limited capacity to undertake manufacturing or subcontract it to others. As a result, the application was denied.</w:t>
            </w:r>
          </w:p>
          <w:p w14:paraId="4A6C1179" w14:textId="77777777" w:rsidR="004D565F" w:rsidRPr="00E65272" w:rsidRDefault="004D565F" w:rsidP="003A0612">
            <w:pPr>
              <w:pStyle w:val="BoxHeading1"/>
              <w:rPr>
                <w:color w:val="000000" w:themeColor="text1"/>
              </w:rPr>
            </w:pPr>
            <w:r>
              <w:rPr>
                <w:color w:val="000000" w:themeColor="text1"/>
              </w:rPr>
              <w:t>Kenneth Mervin</w:t>
            </w:r>
            <w:r w:rsidRPr="00E65272">
              <w:rPr>
                <w:color w:val="000000" w:themeColor="text1"/>
              </w:rPr>
              <w:t xml:space="preserve"> Lown v Wissen Pty Ltd </w:t>
            </w:r>
            <w:r>
              <w:rPr>
                <w:color w:val="000000" w:themeColor="text1"/>
              </w:rPr>
              <w:t>[</w:t>
            </w:r>
            <w:r w:rsidRPr="00E65272">
              <w:rPr>
                <w:color w:val="000000" w:themeColor="text1"/>
              </w:rPr>
              <w:t>1987</w:t>
            </w:r>
            <w:r>
              <w:rPr>
                <w:color w:val="000000" w:themeColor="text1"/>
              </w:rPr>
              <w:t>] APO 11</w:t>
            </w:r>
          </w:p>
          <w:p w14:paraId="2EE718EA" w14:textId="77777777" w:rsidR="004D565F" w:rsidRDefault="004D565F" w:rsidP="003A0612">
            <w:pPr>
              <w:pStyle w:val="Box"/>
              <w:rPr>
                <w:color w:val="000000" w:themeColor="text1"/>
              </w:rPr>
            </w:pPr>
            <w:r w:rsidRPr="00E65272">
              <w:rPr>
                <w:color w:val="000000" w:themeColor="text1"/>
              </w:rPr>
              <w:t xml:space="preserve">This </w:t>
            </w:r>
            <w:r>
              <w:rPr>
                <w:color w:val="000000" w:themeColor="text1"/>
              </w:rPr>
              <w:t>case</w:t>
            </w:r>
            <w:r w:rsidRPr="00E65272">
              <w:rPr>
                <w:color w:val="000000" w:themeColor="text1"/>
              </w:rPr>
              <w:t xml:space="preserve"> was also </w:t>
            </w:r>
            <w:r>
              <w:rPr>
                <w:color w:val="000000" w:themeColor="text1"/>
              </w:rPr>
              <w:t>brought</w:t>
            </w:r>
            <w:r w:rsidRPr="00E65272">
              <w:rPr>
                <w:color w:val="000000" w:themeColor="text1"/>
              </w:rPr>
              <w:t xml:space="preserve"> under the </w:t>
            </w:r>
            <w:r w:rsidRPr="00E65272">
              <w:rPr>
                <w:i/>
                <w:color w:val="000000" w:themeColor="text1"/>
              </w:rPr>
              <w:t xml:space="preserve">Patents Act 1952 </w:t>
            </w:r>
            <w:r>
              <w:rPr>
                <w:color w:val="000000" w:themeColor="text1"/>
              </w:rPr>
              <w:t xml:space="preserve">(Cwlth), but the Commissioner of Patents decided to dismiss the application. </w:t>
            </w:r>
          </w:p>
          <w:p w14:paraId="72B38732" w14:textId="24F7B074" w:rsidR="004D565F" w:rsidRDefault="004D565F" w:rsidP="003A0612">
            <w:pPr>
              <w:pStyle w:val="Box"/>
              <w:rPr>
                <w:color w:val="000000" w:themeColor="text1"/>
              </w:rPr>
            </w:pPr>
            <w:r>
              <w:rPr>
                <w:color w:val="000000" w:themeColor="text1"/>
              </w:rPr>
              <w:t>Mr Lown sought a compulsory licence from Wissen for a device to prevent birds roosting on a surface. Mr Lown had sold the patent to Wissen in 1984 and at the same time made a non-exclusive licence with Wissen for a ‘prestige model’ made of metal. Wissen only sold a plastic version. Mr Lown claimed that his licence for the metal version had been terminated by Wissen and</w:t>
            </w:r>
            <w:r w:rsidR="00DA17F0">
              <w:rPr>
                <w:color w:val="000000" w:themeColor="text1"/>
              </w:rPr>
              <w:t>,</w:t>
            </w:r>
            <w:r>
              <w:rPr>
                <w:color w:val="000000" w:themeColor="text1"/>
              </w:rPr>
              <w:t xml:space="preserve"> as a result</w:t>
            </w:r>
            <w:r w:rsidR="00DA17F0">
              <w:rPr>
                <w:color w:val="000000" w:themeColor="text1"/>
              </w:rPr>
              <w:t>,</w:t>
            </w:r>
            <w:r>
              <w:rPr>
                <w:color w:val="000000" w:themeColor="text1"/>
              </w:rPr>
              <w:t xml:space="preserve"> a large proportion of demand for the device was not being met. The Commissioner of Patents found that Mr Lown’s assertion of unmet demand was not supported by any evidence, whereas it was clear that Wissen was marketing a version of the device. As a result, the petition was dismissed.</w:t>
            </w:r>
          </w:p>
          <w:p w14:paraId="6C568039" w14:textId="77777777" w:rsidR="004D565F" w:rsidRPr="00DA7F59" w:rsidRDefault="004D565F" w:rsidP="003A0612">
            <w:pPr>
              <w:pStyle w:val="BoxHeading1"/>
              <w:rPr>
                <w:color w:val="000000" w:themeColor="text1"/>
              </w:rPr>
            </w:pPr>
            <w:r w:rsidRPr="00DA7F59">
              <w:rPr>
                <w:color w:val="000000" w:themeColor="text1"/>
              </w:rPr>
              <w:t>Amrad Operations Pty Ltd v Genelabs Technologies Inc</w:t>
            </w:r>
            <w:r>
              <w:rPr>
                <w:color w:val="000000" w:themeColor="text1"/>
              </w:rPr>
              <w:t>.</w:t>
            </w:r>
            <w:r w:rsidRPr="00DA7F59">
              <w:rPr>
                <w:color w:val="000000" w:themeColor="text1"/>
              </w:rPr>
              <w:t xml:space="preserve"> </w:t>
            </w:r>
            <w:r>
              <w:rPr>
                <w:color w:val="000000" w:themeColor="text1"/>
              </w:rPr>
              <w:t>[</w:t>
            </w:r>
            <w:r w:rsidRPr="00DA7F59">
              <w:rPr>
                <w:color w:val="000000" w:themeColor="text1"/>
              </w:rPr>
              <w:t>1999</w:t>
            </w:r>
            <w:r>
              <w:rPr>
                <w:color w:val="000000" w:themeColor="text1"/>
              </w:rPr>
              <w:t>]</w:t>
            </w:r>
            <w:r w:rsidRPr="00DA7F59">
              <w:rPr>
                <w:color w:val="000000" w:themeColor="text1"/>
              </w:rPr>
              <w:t xml:space="preserve"> FCA 633</w:t>
            </w:r>
          </w:p>
          <w:p w14:paraId="4D81FCAC" w14:textId="64A17609" w:rsidR="004D565F" w:rsidRPr="00DA7F59" w:rsidRDefault="004D565F" w:rsidP="003A0612">
            <w:pPr>
              <w:pStyle w:val="Box"/>
              <w:rPr>
                <w:color w:val="000000" w:themeColor="text1"/>
                <w:vertAlign w:val="subscript"/>
              </w:rPr>
            </w:pPr>
            <w:r w:rsidRPr="00DA7F59">
              <w:rPr>
                <w:color w:val="000000" w:themeColor="text1"/>
              </w:rPr>
              <w:t xml:space="preserve">This </w:t>
            </w:r>
            <w:r>
              <w:rPr>
                <w:color w:val="000000" w:themeColor="text1"/>
              </w:rPr>
              <w:t xml:space="preserve">appears to be the only case made under current provisions in the </w:t>
            </w:r>
            <w:r w:rsidR="004F006A">
              <w:rPr>
                <w:i/>
                <w:color w:val="000000" w:themeColor="text1"/>
              </w:rPr>
              <w:t>Patents Act </w:t>
            </w:r>
            <w:r w:rsidRPr="00452B9B">
              <w:rPr>
                <w:i/>
                <w:color w:val="000000" w:themeColor="text1"/>
              </w:rPr>
              <w:t>1990</w:t>
            </w:r>
            <w:r w:rsidRPr="00DA7F59">
              <w:rPr>
                <w:color w:val="000000" w:themeColor="text1"/>
              </w:rPr>
              <w:t xml:space="preserve"> (Cwlth), which require an application to be made to the Federal Court.</w:t>
            </w:r>
          </w:p>
          <w:p w14:paraId="0EC736F7" w14:textId="49F3E2D3" w:rsidR="004D565F" w:rsidRDefault="004D565F" w:rsidP="003A0612">
            <w:pPr>
              <w:pStyle w:val="Box"/>
            </w:pPr>
            <w:r>
              <w:rPr>
                <w:color w:val="000000" w:themeColor="text1"/>
              </w:rPr>
              <w:t xml:space="preserve">Amrad applied to the Federal Court for a compulsory licence order so it could manufacture a Hepatitis E virus diagnostic assay in Australia. It subsequently amended its application and statement of claim so that all the respondents — Genelabs, </w:t>
            </w:r>
            <w:r w:rsidR="007F5E2A">
              <w:rPr>
                <w:color w:val="000000" w:themeColor="text1"/>
              </w:rPr>
              <w:t xml:space="preserve">the </w:t>
            </w:r>
            <w:r>
              <w:rPr>
                <w:color w:val="000000" w:themeColor="text1"/>
              </w:rPr>
              <w:t xml:space="preserve">US Government and Abbott Laboratories — were based in the United States, and </w:t>
            </w:r>
            <w:r w:rsidRPr="00DA7F59">
              <w:rPr>
                <w:color w:val="000000" w:themeColor="text1"/>
              </w:rPr>
              <w:t xml:space="preserve">sought leave to serve the application in </w:t>
            </w:r>
            <w:r>
              <w:rPr>
                <w:color w:val="000000" w:themeColor="text1"/>
              </w:rPr>
              <w:t>that country</w:t>
            </w:r>
            <w:r w:rsidRPr="00DA7F59">
              <w:rPr>
                <w:color w:val="000000" w:themeColor="text1"/>
              </w:rPr>
              <w:t xml:space="preserve">. The Federal Court </w:t>
            </w:r>
            <w:r>
              <w:rPr>
                <w:color w:val="000000" w:themeColor="text1"/>
              </w:rPr>
              <w:t xml:space="preserve">agreed to Amrad’s requests without making a </w:t>
            </w:r>
            <w:r w:rsidRPr="00DA7F59">
              <w:rPr>
                <w:color w:val="000000" w:themeColor="text1"/>
              </w:rPr>
              <w:t>judgment in regard to the compulsory licence.</w:t>
            </w:r>
          </w:p>
        </w:tc>
      </w:tr>
      <w:tr w:rsidR="004D565F" w14:paraId="7B6F6E03" w14:textId="77777777" w:rsidTr="003A0612">
        <w:trPr>
          <w:cantSplit/>
        </w:trPr>
        <w:tc>
          <w:tcPr>
            <w:tcW w:w="8771" w:type="dxa"/>
            <w:tcBorders>
              <w:top w:val="nil"/>
              <w:left w:val="single" w:sz="6" w:space="0" w:color="auto"/>
              <w:bottom w:val="single" w:sz="6" w:space="0" w:color="auto"/>
              <w:right w:val="single" w:sz="6" w:space="0" w:color="auto"/>
            </w:tcBorders>
          </w:tcPr>
          <w:p w14:paraId="57EB5D84" w14:textId="77777777" w:rsidR="004D565F" w:rsidRDefault="004D565F" w:rsidP="003A0612">
            <w:pPr>
              <w:pStyle w:val="Box"/>
              <w:spacing w:before="0" w:line="120" w:lineRule="exact"/>
            </w:pPr>
          </w:p>
        </w:tc>
      </w:tr>
      <w:tr w:rsidR="004D565F" w:rsidRPr="000863A5" w14:paraId="2C700EA3" w14:textId="77777777" w:rsidTr="003A0612">
        <w:tc>
          <w:tcPr>
            <w:tcW w:w="8771" w:type="dxa"/>
            <w:tcBorders>
              <w:top w:val="nil"/>
              <w:left w:val="nil"/>
              <w:bottom w:val="nil"/>
              <w:right w:val="nil"/>
            </w:tcBorders>
          </w:tcPr>
          <w:p w14:paraId="7CDC59DB" w14:textId="45547B56" w:rsidR="004D565F" w:rsidRPr="000863A5" w:rsidRDefault="004D565F" w:rsidP="003A0612">
            <w:pPr>
              <w:pStyle w:val="Box"/>
              <w:keepNext w:val="0"/>
              <w:spacing w:before="60" w:after="60" w:line="80" w:lineRule="exact"/>
              <w:rPr>
                <w:b/>
                <w:sz w:val="14"/>
              </w:rPr>
            </w:pPr>
          </w:p>
        </w:tc>
      </w:tr>
    </w:tbl>
    <w:bookmarkEnd w:id="5"/>
    <w:bookmarkEnd w:id="6"/>
    <w:bookmarkEnd w:id="7"/>
    <w:p w14:paraId="2805DF99" w14:textId="19B22F33" w:rsidR="00E971A9" w:rsidRDefault="004D565F" w:rsidP="004D565F">
      <w:pPr>
        <w:pStyle w:val="BodyText"/>
      </w:pPr>
      <w:r>
        <w:t xml:space="preserve">Compulsory licensing is also rarely used in other countries. </w:t>
      </w:r>
      <w:r w:rsidRPr="0021205D">
        <w:t xml:space="preserve">The most prominent recent examples have </w:t>
      </w:r>
      <w:r w:rsidR="004967C1">
        <w:t>occurred in</w:t>
      </w:r>
      <w:r w:rsidR="004967C1" w:rsidRPr="0021205D">
        <w:t xml:space="preserve"> </w:t>
      </w:r>
      <w:r w:rsidRPr="0021205D">
        <w:t xml:space="preserve">developing countries — particularly Brazil, India and Thailand — </w:t>
      </w:r>
      <w:r w:rsidR="004967C1">
        <w:t xml:space="preserve">whose governments sought </w:t>
      </w:r>
      <w:r w:rsidRPr="0021205D">
        <w:t xml:space="preserve">to access patented medicines at </w:t>
      </w:r>
      <w:r w:rsidR="00B24B35">
        <w:t>lower</w:t>
      </w:r>
      <w:r w:rsidRPr="0021205D">
        <w:t xml:space="preserve"> price</w:t>
      </w:r>
      <w:r>
        <w:t>s</w:t>
      </w:r>
      <w:r w:rsidRPr="0021205D">
        <w:t xml:space="preserve">. Among developed countries, compulsory licensing appears to occur most frequently in the United States, particularly to remedy anticompetitive conduct and patent infringement. </w:t>
      </w:r>
      <w:r w:rsidR="00E51868">
        <w:t xml:space="preserve">This is despite the </w:t>
      </w:r>
      <w:r w:rsidR="00D569C6">
        <w:t xml:space="preserve">United States </w:t>
      </w:r>
      <w:r w:rsidR="00E6380C">
        <w:t xml:space="preserve">being </w:t>
      </w:r>
      <w:r w:rsidR="00503B9E">
        <w:t>one</w:t>
      </w:r>
      <w:r w:rsidR="003B3FAC">
        <w:t xml:space="preserve"> </w:t>
      </w:r>
      <w:r w:rsidR="00503B9E">
        <w:t xml:space="preserve">of the few countries </w:t>
      </w:r>
      <w:r w:rsidR="00E51868">
        <w:t xml:space="preserve">not </w:t>
      </w:r>
      <w:r w:rsidR="00503B9E">
        <w:t xml:space="preserve">to </w:t>
      </w:r>
      <w:r w:rsidR="00E51868">
        <w:t>hav</w:t>
      </w:r>
      <w:r w:rsidR="00503B9E">
        <w:t>e</w:t>
      </w:r>
      <w:r w:rsidR="00E51868">
        <w:t xml:space="preserve"> compulsory licensing </w:t>
      </w:r>
      <w:r w:rsidR="00C91144">
        <w:t xml:space="preserve">provisions </w:t>
      </w:r>
      <w:r w:rsidR="00E51868">
        <w:t xml:space="preserve">in its patents legislation. Instead, </w:t>
      </w:r>
      <w:r w:rsidR="004B030E">
        <w:t>US</w:t>
      </w:r>
      <w:r w:rsidR="00402B05">
        <w:t xml:space="preserve"> competition and sector-specific law</w:t>
      </w:r>
      <w:r w:rsidR="003D7DF4">
        <w:t>s</w:t>
      </w:r>
      <w:r w:rsidR="00402B05">
        <w:t xml:space="preserve"> provide </w:t>
      </w:r>
      <w:r w:rsidR="00E971A9">
        <w:t xml:space="preserve">for </w:t>
      </w:r>
      <w:r w:rsidR="00EB2818">
        <w:t xml:space="preserve">measures </w:t>
      </w:r>
      <w:r w:rsidR="00DE49D8">
        <w:t xml:space="preserve">analogous </w:t>
      </w:r>
      <w:r w:rsidR="00EB2818">
        <w:t xml:space="preserve">to </w:t>
      </w:r>
      <w:r w:rsidR="00E971A9">
        <w:t xml:space="preserve">compulsory </w:t>
      </w:r>
      <w:r w:rsidR="00E971A9">
        <w:lastRenderedPageBreak/>
        <w:t>licen</w:t>
      </w:r>
      <w:r w:rsidR="003A1ACC">
        <w:t>ce</w:t>
      </w:r>
      <w:r w:rsidR="00E971A9">
        <w:t>s.</w:t>
      </w:r>
      <w:r w:rsidR="00D569C6">
        <w:t xml:space="preserve"> </w:t>
      </w:r>
      <w:r w:rsidRPr="0021205D">
        <w:t xml:space="preserve">The US Government also </w:t>
      </w:r>
      <w:r>
        <w:t xml:space="preserve">makes </w:t>
      </w:r>
      <w:r w:rsidRPr="0021205D">
        <w:t>use</w:t>
      </w:r>
      <w:r>
        <w:t xml:space="preserve"> of</w:t>
      </w:r>
      <w:r w:rsidRPr="0021205D">
        <w:t xml:space="preserve"> other powers to gain access to patented inventions for defence and other </w:t>
      </w:r>
      <w:r w:rsidR="00760B5A">
        <w:t xml:space="preserve">national security </w:t>
      </w:r>
      <w:r w:rsidRPr="0021205D">
        <w:t>purposes.</w:t>
      </w:r>
      <w:r w:rsidR="001721BC" w:rsidRPr="001721BC">
        <w:t xml:space="preserve"> </w:t>
      </w:r>
    </w:p>
    <w:p w14:paraId="0C6FA20F" w14:textId="77777777" w:rsidR="004D565F" w:rsidRDefault="004D565F" w:rsidP="004D565F">
      <w:pPr>
        <w:pStyle w:val="Heading2"/>
      </w:pPr>
      <w:r>
        <w:t>What has the Commission been asked to do?</w:t>
      </w:r>
    </w:p>
    <w:p w14:paraId="31A8DE03" w14:textId="77777777" w:rsidR="004D565F" w:rsidRDefault="004D565F" w:rsidP="004D565F">
      <w:pPr>
        <w:pStyle w:val="BodyText"/>
      </w:pPr>
      <w:r>
        <w:t xml:space="preserve">In response to the concerns raised in past reviews, the Australian Government has asked the Commission to examine the compulsory licensing provisions </w:t>
      </w:r>
      <w:r w:rsidR="00FE3826">
        <w:t xml:space="preserve">of </w:t>
      </w:r>
      <w:r>
        <w:t xml:space="preserve">the </w:t>
      </w:r>
      <w:r>
        <w:rPr>
          <w:i/>
        </w:rPr>
        <w:t xml:space="preserve">Patents Act 1990 </w:t>
      </w:r>
      <w:r>
        <w:t xml:space="preserve">(Cwlth). Specifically, </w:t>
      </w:r>
      <w:r w:rsidR="003A0612">
        <w:t xml:space="preserve">the Commission </w:t>
      </w:r>
      <w:r>
        <w:t>ha</w:t>
      </w:r>
      <w:r w:rsidR="003A0612">
        <w:t>s</w:t>
      </w:r>
      <w:r>
        <w:t xml:space="preserve"> been directed to:</w:t>
      </w:r>
    </w:p>
    <w:p w14:paraId="3659D449" w14:textId="77777777" w:rsidR="004D565F" w:rsidRPr="00BE61B1" w:rsidRDefault="004D565F" w:rsidP="004D565F">
      <w:pPr>
        <w:pStyle w:val="ListBullet"/>
      </w:pPr>
      <w:r w:rsidRPr="0037379F">
        <w:t xml:space="preserve">assess whether </w:t>
      </w:r>
      <w:r>
        <w:t>Australia’s</w:t>
      </w:r>
      <w:r w:rsidRPr="0037379F">
        <w:t xml:space="preserve"> current compulsory licensing provisions can be invoked efficiently and effectively</w:t>
      </w:r>
    </w:p>
    <w:p w14:paraId="2F31BB07" w14:textId="77777777" w:rsidR="004D565F" w:rsidRDefault="004D565F" w:rsidP="004D565F">
      <w:pPr>
        <w:pStyle w:val="ListBullet"/>
      </w:pPr>
      <w:r w:rsidRPr="004A0448">
        <w:t>advise on the frequency, and impact, of compulsory licences in comparable markets and the common features of such licences</w:t>
      </w:r>
    </w:p>
    <w:p w14:paraId="21E0D276" w14:textId="77777777" w:rsidR="004D565F" w:rsidRPr="00747255" w:rsidRDefault="004D565F" w:rsidP="004D565F">
      <w:pPr>
        <w:pStyle w:val="ListBullet"/>
      </w:pPr>
      <w:r w:rsidRPr="00747255">
        <w:t xml:space="preserve">recommend </w:t>
      </w:r>
      <w:r w:rsidRPr="007F21F2">
        <w:t>any</w:t>
      </w:r>
      <w:r w:rsidRPr="00747255">
        <w:t xml:space="preserve"> measures </w:t>
      </w:r>
      <w:r w:rsidRPr="007F21F2">
        <w:t>that may be required</w:t>
      </w:r>
      <w:r w:rsidRPr="00747255">
        <w:t xml:space="preserve"> to efficiently and effectively exercise Australia’s compulsory licensing provisions</w:t>
      </w:r>
    </w:p>
    <w:p w14:paraId="48F6C751" w14:textId="41E31E7D" w:rsidR="004D565F" w:rsidRPr="00747255" w:rsidRDefault="004D565F" w:rsidP="0053657B">
      <w:pPr>
        <w:pStyle w:val="ListBullet"/>
      </w:pPr>
      <w:r w:rsidRPr="00747255">
        <w:t xml:space="preserve">recommend </w:t>
      </w:r>
      <w:r w:rsidRPr="007F21F2">
        <w:t>any</w:t>
      </w:r>
      <w:r w:rsidRPr="00747255">
        <w:t xml:space="preserve"> alternative mechanisms </w:t>
      </w:r>
      <w:r w:rsidRPr="007F21F2">
        <w:t>deemed necessary</w:t>
      </w:r>
      <w:r w:rsidRPr="00747255">
        <w:t xml:space="preserve"> to ensure that the balance between incentives to innovate and to access technology best reflects the objectives of reasonable access to healthcare, maximising economic growth and growing the Australian manufacturing industry</w:t>
      </w:r>
    </w:p>
    <w:p w14:paraId="3E494F15" w14:textId="77777777" w:rsidR="004D565F" w:rsidRPr="00747255" w:rsidRDefault="004D565F" w:rsidP="004D565F">
      <w:pPr>
        <w:pStyle w:val="ListBullet"/>
      </w:pPr>
      <w:r w:rsidRPr="00747255">
        <w:t>recommend measures to raise awareness of the compulsory licensing provisions.</w:t>
      </w:r>
    </w:p>
    <w:p w14:paraId="1D6BBE9C" w14:textId="77777777" w:rsidR="004D565F" w:rsidRDefault="004D565F" w:rsidP="004D565F">
      <w:pPr>
        <w:pStyle w:val="BodyText"/>
      </w:pPr>
      <w:r>
        <w:t>While this inquiry was largely initiated in response to past debates about the patenting of genes, the focus of the inquiry is on the operation of compulsory licensing</w:t>
      </w:r>
      <w:r w:rsidR="00FE3826">
        <w:t xml:space="preserve"> broadly</w:t>
      </w:r>
      <w:r>
        <w:t>. As noted in the terms of reference, compulsory licensing could also be relevant to a number of other areas, including climate change mitigation</w:t>
      </w:r>
      <w:r w:rsidRPr="00885027">
        <w:t xml:space="preserve"> </w:t>
      </w:r>
      <w:r>
        <w:t xml:space="preserve">and alternative energy technologies, food security, and standard essential patents (such as </w:t>
      </w:r>
      <w:r w:rsidR="00C15BE7">
        <w:t xml:space="preserve">the 3G standard for </w:t>
      </w:r>
      <w:r>
        <w:t>mobile phones).</w:t>
      </w:r>
    </w:p>
    <w:p w14:paraId="497C2251" w14:textId="77777777" w:rsidR="004D565F" w:rsidRDefault="004D565F" w:rsidP="004D565F">
      <w:pPr>
        <w:pStyle w:val="Heading2"/>
      </w:pPr>
      <w:r>
        <w:t>Why have compulsory licensing and other safeguards?</w:t>
      </w:r>
    </w:p>
    <w:p w14:paraId="3A3D4761" w14:textId="77777777" w:rsidR="004D565F" w:rsidRDefault="004D565F" w:rsidP="004D565F">
      <w:pPr>
        <w:pStyle w:val="BodyText"/>
      </w:pPr>
      <w:r w:rsidRPr="0037379F">
        <w:t xml:space="preserve">Compulsory licensing is </w:t>
      </w:r>
      <w:r>
        <w:t>one of several mechanisms in the Patents Act that allow a patented invention to be used without the authorisation of its owner (box 2).</w:t>
      </w:r>
      <w:r w:rsidRPr="000F468C">
        <w:t xml:space="preserve"> </w:t>
      </w:r>
      <w:r>
        <w:t>These are essentially safeguards to be invoked in exceptional cases where enforcing a patent would not serve the best interests of the community as a whole. To understand the rationale for such safeguards, it is necessary to consider what a patent entails.</w:t>
      </w:r>
    </w:p>
    <w:p w14:paraId="5BE838CA" w14:textId="63C96861" w:rsidR="004D565F" w:rsidRDefault="00970017" w:rsidP="004D565F">
      <w:pPr>
        <w:pStyle w:val="BodyText"/>
      </w:pPr>
      <w:r>
        <w:t xml:space="preserve">A patent is a legally </w:t>
      </w:r>
      <w:r w:rsidR="004D565F">
        <w:t>enforceable right to exclude others from exploiting a device, substance, method or process that is new, inventive, and useful</w:t>
      </w:r>
      <w:r w:rsidR="004D565F" w:rsidRPr="009A70C6">
        <w:t xml:space="preserve"> </w:t>
      </w:r>
      <w:r w:rsidR="004D565F">
        <w:t xml:space="preserve">at the time the patent </w:t>
      </w:r>
      <w:r w:rsidR="004F006A">
        <w:lastRenderedPageBreak/>
        <w:t>i</w:t>
      </w:r>
      <w:r w:rsidR="004D565F">
        <w:t xml:space="preserve">s granted. Most countries have created this type of property right to encourage </w:t>
      </w:r>
      <w:r w:rsidR="005D71CE">
        <w:t>welfare-enhancing</w:t>
      </w:r>
      <w:r w:rsidR="004D565F">
        <w:t xml:space="preserve"> innovations that might not otherwise occur because innovative ideas tend to be non-excludable and non-rival. That is, without patents, innovators </w:t>
      </w:r>
      <w:r w:rsidR="00853C40">
        <w:t>may</w:t>
      </w:r>
      <w:r w:rsidR="004D565F">
        <w:t xml:space="preserve"> struggle to earn a sufficient return to warrant their efforts, since others cannot be excluded from using innovative ideas they did not pay for, and one person’s use of such ideas </w:t>
      </w:r>
      <w:r w:rsidR="004D565F" w:rsidRPr="006C0B33">
        <w:t>does not diminish the</w:t>
      </w:r>
      <w:r w:rsidR="004D565F">
        <w:t xml:space="preserve"> ability of others to also use them.</w:t>
      </w:r>
    </w:p>
    <w:p w14:paraId="76D79471" w14:textId="0E323C65" w:rsidR="005D71CE" w:rsidRDefault="005D71CE" w:rsidP="004D565F">
      <w:pPr>
        <w:pStyle w:val="BodyText"/>
      </w:pPr>
      <w:r>
        <w:t>A further rationale for a patents system is that</w:t>
      </w:r>
      <w:r w:rsidR="002B0943">
        <w:t xml:space="preserve"> inventors no longer need to keep their ideas secret in order to prevent others from using them.</w:t>
      </w:r>
      <w:r w:rsidR="00DB7ECB">
        <w:t xml:space="preserve"> </w:t>
      </w:r>
      <w:r w:rsidR="00A34A4F">
        <w:t xml:space="preserve">Indeed, </w:t>
      </w:r>
      <w:r>
        <w:t>patent owners are required to publicly disclose details of their invention</w:t>
      </w:r>
      <w:r w:rsidR="00A34A4F">
        <w:t xml:space="preserve"> as a quid pro quo for being granted an exclu</w:t>
      </w:r>
      <w:r w:rsidR="004F006A">
        <w:t>sive</w:t>
      </w:r>
      <w:r w:rsidR="00A34A4F">
        <w:t xml:space="preserve"> property right.</w:t>
      </w:r>
      <w:r>
        <w:t xml:space="preserve"> This benefits the community by reducing the likelihood of wasteful duplication of research effort, and by enabling others to improve on existing ideas.</w:t>
      </w:r>
    </w:p>
    <w:p w14:paraId="4766A4F1" w14:textId="550C6D94" w:rsidR="004D565F" w:rsidRPr="007D0962" w:rsidRDefault="004D565F" w:rsidP="004D565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73C446CA" w14:textId="77777777" w:rsidTr="003A0612">
        <w:tc>
          <w:tcPr>
            <w:tcW w:w="8771" w:type="dxa"/>
            <w:tcBorders>
              <w:top w:val="single" w:sz="6" w:space="0" w:color="auto"/>
              <w:bottom w:val="nil"/>
            </w:tcBorders>
          </w:tcPr>
          <w:p w14:paraId="47D28EFC" w14:textId="77777777" w:rsidR="004D565F" w:rsidRDefault="004D565F" w:rsidP="003A0612">
            <w:pPr>
              <w:pStyle w:val="BoxTitle"/>
            </w:pPr>
            <w:r>
              <w:rPr>
                <w:b w:val="0"/>
              </w:rPr>
              <w:t xml:space="preserve">Box </w:t>
            </w:r>
            <w:bookmarkStart w:id="9" w:name="OLE_LINK1"/>
            <w:r>
              <w:rPr>
                <w:b w:val="0"/>
              </w:rPr>
              <w:t>2</w:t>
            </w:r>
            <w:bookmarkEnd w:id="9"/>
            <w:r>
              <w:tab/>
              <w:t>Non-voluntary access to patents</w:t>
            </w:r>
          </w:p>
        </w:tc>
      </w:tr>
      <w:tr w:rsidR="004D565F" w14:paraId="21479A09" w14:textId="77777777" w:rsidTr="003A0612">
        <w:trPr>
          <w:cantSplit/>
        </w:trPr>
        <w:tc>
          <w:tcPr>
            <w:tcW w:w="8771" w:type="dxa"/>
            <w:tcBorders>
              <w:top w:val="nil"/>
              <w:left w:val="single" w:sz="6" w:space="0" w:color="auto"/>
              <w:bottom w:val="nil"/>
              <w:right w:val="single" w:sz="6" w:space="0" w:color="auto"/>
            </w:tcBorders>
          </w:tcPr>
          <w:p w14:paraId="4BDCAD24" w14:textId="77777777" w:rsidR="004D565F" w:rsidRPr="00F620A2" w:rsidRDefault="004D565F" w:rsidP="003A0612">
            <w:pPr>
              <w:pStyle w:val="Box"/>
            </w:pPr>
            <w:r w:rsidRPr="00F620A2">
              <w:t xml:space="preserve">There are </w:t>
            </w:r>
            <w:r>
              <w:t>currently seven</w:t>
            </w:r>
            <w:r w:rsidRPr="00F620A2">
              <w:t xml:space="preserve"> </w:t>
            </w:r>
            <w:r>
              <w:t xml:space="preserve">mechanisms in </w:t>
            </w:r>
            <w:r w:rsidRPr="00F620A2">
              <w:t xml:space="preserve">the </w:t>
            </w:r>
            <w:r w:rsidRPr="00F620A2">
              <w:rPr>
                <w:i/>
              </w:rPr>
              <w:t>Patents Act 1990</w:t>
            </w:r>
            <w:r w:rsidRPr="00F620A2">
              <w:t xml:space="preserve"> (Cwlth) </w:t>
            </w:r>
            <w:r>
              <w:t xml:space="preserve">that </w:t>
            </w:r>
            <w:r w:rsidRPr="00F620A2">
              <w:t>allow a patented invention to be exploited without the patentee’s authorisation:</w:t>
            </w:r>
          </w:p>
          <w:p w14:paraId="6BEB1E5C" w14:textId="20AD43A8" w:rsidR="004D565F" w:rsidRPr="008B34D1" w:rsidRDefault="004D565F" w:rsidP="008B34D1">
            <w:pPr>
              <w:pStyle w:val="BoxListBullet"/>
              <w:numPr>
                <w:ilvl w:val="0"/>
                <w:numId w:val="1"/>
              </w:numPr>
              <w:spacing w:before="120"/>
            </w:pPr>
            <w:r w:rsidRPr="008B34D1">
              <w:t>compulsory licensing (ss.</w:t>
            </w:r>
            <w:r w:rsidR="00DA17F0">
              <w:t> </w:t>
            </w:r>
            <w:r w:rsidRPr="008B34D1">
              <w:t>133–140)</w:t>
            </w:r>
          </w:p>
          <w:p w14:paraId="35F898EC" w14:textId="2A85DB27" w:rsidR="004D565F" w:rsidRPr="008B34D1" w:rsidRDefault="004D565F" w:rsidP="008B34D1">
            <w:pPr>
              <w:pStyle w:val="BoxListBullet"/>
              <w:numPr>
                <w:ilvl w:val="0"/>
                <w:numId w:val="1"/>
              </w:numPr>
              <w:spacing w:before="120"/>
            </w:pPr>
            <w:r w:rsidRPr="008B34D1">
              <w:t>Crown use (ss.</w:t>
            </w:r>
            <w:r w:rsidR="00DA17F0">
              <w:t> </w:t>
            </w:r>
            <w:r w:rsidRPr="008B34D1">
              <w:t>163–170)</w:t>
            </w:r>
          </w:p>
          <w:p w14:paraId="1D0F65FC" w14:textId="5103474C" w:rsidR="004D565F" w:rsidRPr="008B34D1" w:rsidRDefault="004D565F" w:rsidP="008B34D1">
            <w:pPr>
              <w:pStyle w:val="BoxListBullet"/>
              <w:numPr>
                <w:ilvl w:val="0"/>
                <w:numId w:val="1"/>
              </w:numPr>
              <w:spacing w:before="120"/>
            </w:pPr>
            <w:r w:rsidRPr="008B34D1">
              <w:t>Crown acquisition (s.</w:t>
            </w:r>
            <w:r w:rsidR="00DA17F0">
              <w:t> </w:t>
            </w:r>
            <w:r w:rsidRPr="008B34D1">
              <w:t>171)</w:t>
            </w:r>
          </w:p>
          <w:p w14:paraId="72C83CA0" w14:textId="0B3A3DFD" w:rsidR="004D565F" w:rsidRPr="008B34D1" w:rsidRDefault="004D565F" w:rsidP="008B34D1">
            <w:pPr>
              <w:pStyle w:val="BoxListBullet"/>
              <w:numPr>
                <w:ilvl w:val="0"/>
                <w:numId w:val="1"/>
              </w:numPr>
              <w:spacing w:before="120"/>
            </w:pPr>
            <w:r w:rsidRPr="008B34D1">
              <w:t>for the purpose of obtaining regulatory approval (ss.</w:t>
            </w:r>
            <w:r w:rsidR="00DA17F0">
              <w:t> </w:t>
            </w:r>
            <w:r w:rsidRPr="008B34D1">
              <w:t>119A–119B)</w:t>
            </w:r>
          </w:p>
          <w:p w14:paraId="06CABC4A" w14:textId="53029076" w:rsidR="004D565F" w:rsidRPr="008B34D1" w:rsidRDefault="004D565F" w:rsidP="008B34D1">
            <w:pPr>
              <w:pStyle w:val="BoxListBullet"/>
              <w:numPr>
                <w:ilvl w:val="0"/>
                <w:numId w:val="1"/>
              </w:numPr>
              <w:spacing w:before="120"/>
            </w:pPr>
            <w:r w:rsidRPr="008B34D1">
              <w:t>for experimental purposes related to the subject matter of the invention (s.</w:t>
            </w:r>
            <w:r w:rsidR="00DA17F0">
              <w:t> </w:t>
            </w:r>
            <w:r w:rsidRPr="008B34D1">
              <w:t>119C)</w:t>
            </w:r>
          </w:p>
          <w:p w14:paraId="2AA62798" w14:textId="02BBFBA6" w:rsidR="004D565F" w:rsidRPr="008B34D1" w:rsidRDefault="004D565F" w:rsidP="008B34D1">
            <w:pPr>
              <w:pStyle w:val="BoxListBullet"/>
              <w:numPr>
                <w:ilvl w:val="0"/>
                <w:numId w:val="1"/>
              </w:numPr>
              <w:spacing w:before="120"/>
            </w:pPr>
            <w:r w:rsidRPr="008B34D1">
              <w:t>when exploitation, or ‘definite steps’ (contractually or otherwise) to exploit, occurred immediately before the ‘priority date’ (</w:t>
            </w:r>
            <w:r w:rsidR="00804B00">
              <w:t>date the patent bec</w:t>
            </w:r>
            <w:r w:rsidR="001612F1">
              <w:t>a</w:t>
            </w:r>
            <w:r w:rsidR="00804B00">
              <w:t>me effective</w:t>
            </w:r>
            <w:r w:rsidRPr="008B34D1">
              <w:t>) (s.</w:t>
            </w:r>
            <w:r w:rsidR="00DA17F0">
              <w:t> </w:t>
            </w:r>
            <w:r w:rsidRPr="008B34D1">
              <w:t>119)</w:t>
            </w:r>
          </w:p>
          <w:p w14:paraId="4349BB59" w14:textId="3E50C6EB" w:rsidR="004D565F" w:rsidRPr="00F620A2" w:rsidRDefault="004D565F" w:rsidP="008B34D1">
            <w:pPr>
              <w:pStyle w:val="BoxListBullet"/>
              <w:numPr>
                <w:ilvl w:val="0"/>
                <w:numId w:val="1"/>
              </w:numPr>
              <w:spacing w:before="120"/>
            </w:pPr>
            <w:r w:rsidRPr="008B34D1">
              <w:t>use in or on foreign vessels, aircraft or vehicles temporarily in Australia (s.</w:t>
            </w:r>
            <w:r w:rsidR="00DA17F0">
              <w:t> </w:t>
            </w:r>
            <w:r w:rsidRPr="008B34D1">
              <w:t>118).</w:t>
            </w:r>
          </w:p>
          <w:p w14:paraId="7EA529F5" w14:textId="619BD3F3" w:rsidR="004D565F" w:rsidRPr="00B47C16" w:rsidRDefault="003910D4" w:rsidP="00B24777">
            <w:pPr>
              <w:pStyle w:val="Box"/>
              <w:rPr>
                <w:rStyle w:val="DraftingNote"/>
              </w:rPr>
            </w:pPr>
            <w:r>
              <w:t xml:space="preserve">The </w:t>
            </w:r>
            <w:r w:rsidR="00394C6B">
              <w:t xml:space="preserve">Australian </w:t>
            </w:r>
            <w:r>
              <w:t xml:space="preserve">Government has foreshadowed amendments to the Patents Act that would add a further mechanism for the manufacture and export of patented pharmaceutical inventions to </w:t>
            </w:r>
            <w:r w:rsidRPr="0027379D">
              <w:t>developing countries experiencing health crises</w:t>
            </w:r>
            <w:r>
              <w:t>.</w:t>
            </w:r>
          </w:p>
        </w:tc>
      </w:tr>
      <w:tr w:rsidR="004D565F" w14:paraId="6BF254A8" w14:textId="77777777" w:rsidTr="003A0612">
        <w:trPr>
          <w:cantSplit/>
        </w:trPr>
        <w:tc>
          <w:tcPr>
            <w:tcW w:w="8771" w:type="dxa"/>
            <w:tcBorders>
              <w:top w:val="nil"/>
              <w:left w:val="single" w:sz="6" w:space="0" w:color="auto"/>
              <w:bottom w:val="single" w:sz="6" w:space="0" w:color="auto"/>
              <w:right w:val="single" w:sz="6" w:space="0" w:color="auto"/>
            </w:tcBorders>
          </w:tcPr>
          <w:p w14:paraId="52ED12AD" w14:textId="77777777" w:rsidR="004D565F" w:rsidRDefault="004D565F" w:rsidP="003A0612">
            <w:pPr>
              <w:pStyle w:val="Box"/>
              <w:spacing w:before="0" w:line="120" w:lineRule="exact"/>
            </w:pPr>
          </w:p>
        </w:tc>
      </w:tr>
      <w:tr w:rsidR="004D565F" w14:paraId="748BC357" w14:textId="77777777" w:rsidTr="003A0612">
        <w:tc>
          <w:tcPr>
            <w:tcW w:w="8771" w:type="dxa"/>
            <w:tcBorders>
              <w:top w:val="nil"/>
              <w:left w:val="nil"/>
              <w:bottom w:val="nil"/>
              <w:right w:val="nil"/>
            </w:tcBorders>
          </w:tcPr>
          <w:p w14:paraId="4AA69AC1" w14:textId="77777777" w:rsidR="004D565F" w:rsidRDefault="004D565F" w:rsidP="003A0612">
            <w:pPr>
              <w:pStyle w:val="Box"/>
              <w:keepNext w:val="0"/>
              <w:spacing w:before="60" w:after="60" w:line="80" w:lineRule="exact"/>
              <w:rPr>
                <w:b/>
                <w:color w:val="FF00FF"/>
                <w:sz w:val="14"/>
              </w:rPr>
            </w:pPr>
          </w:p>
        </w:tc>
      </w:tr>
    </w:tbl>
    <w:p w14:paraId="30D1C9A8" w14:textId="68A36CE5" w:rsidR="004D565F" w:rsidRPr="00803E19" w:rsidRDefault="004D565F" w:rsidP="004D565F">
      <w:pPr>
        <w:pStyle w:val="BodyText"/>
      </w:pPr>
      <w:r w:rsidRPr="00803E19">
        <w:t xml:space="preserve">A patents system involves a tradeoff between encouraging innovation and facilitating </w:t>
      </w:r>
      <w:r w:rsidR="00BB2C79" w:rsidRPr="00803E19">
        <w:t>access to</w:t>
      </w:r>
      <w:r w:rsidRPr="00803E19">
        <w:t xml:space="preserve"> new technologies. In particular, the right to exclude others from using a patented invention is central to providing innovators with a means to benefit financially from their efforts, but it also has the potential to hinder </w:t>
      </w:r>
      <w:r w:rsidR="00802BF3" w:rsidRPr="00803E19">
        <w:t>the community’s access to new technologies</w:t>
      </w:r>
      <w:r w:rsidRPr="00803E19">
        <w:t xml:space="preserve">. </w:t>
      </w:r>
      <w:r w:rsidR="00512776" w:rsidRPr="00803E19">
        <w:t xml:space="preserve">A patent that provides a greater </w:t>
      </w:r>
      <w:r w:rsidR="00512776">
        <w:t xml:space="preserve">reward </w:t>
      </w:r>
      <w:r w:rsidR="00512776" w:rsidRPr="00803E19">
        <w:t xml:space="preserve">than </w:t>
      </w:r>
      <w:r w:rsidR="00512776">
        <w:t>needed</w:t>
      </w:r>
      <w:r w:rsidR="00512776" w:rsidRPr="00803E19">
        <w:t xml:space="preserve"> to </w:t>
      </w:r>
      <w:r w:rsidR="00512776">
        <w:t xml:space="preserve">induce </w:t>
      </w:r>
      <w:r w:rsidR="00512776" w:rsidRPr="00803E19">
        <w:t>an invention</w:t>
      </w:r>
      <w:r w:rsidR="00512776">
        <w:t xml:space="preserve"> </w:t>
      </w:r>
      <w:r w:rsidR="00C3144B">
        <w:t xml:space="preserve">could </w:t>
      </w:r>
      <w:r w:rsidR="00512776">
        <w:t xml:space="preserve">reduce the invention’s net benefit to the community as a whole, and </w:t>
      </w:r>
      <w:r w:rsidR="00E27ED2">
        <w:t>result</w:t>
      </w:r>
      <w:r w:rsidR="00512776" w:rsidRPr="00803E19">
        <w:t xml:space="preserve"> </w:t>
      </w:r>
      <w:r w:rsidR="00E27ED2">
        <w:t xml:space="preserve">in </w:t>
      </w:r>
      <w:r w:rsidR="00512776">
        <w:t>a greater share of th</w:t>
      </w:r>
      <w:r w:rsidR="00E27ED2">
        <w:t>e</w:t>
      </w:r>
      <w:r w:rsidR="00512776">
        <w:t xml:space="preserve"> benefit</w:t>
      </w:r>
      <w:r w:rsidR="00E27ED2">
        <w:t>s</w:t>
      </w:r>
      <w:r w:rsidR="00512776">
        <w:t xml:space="preserve"> </w:t>
      </w:r>
      <w:r w:rsidR="00E27ED2">
        <w:t xml:space="preserve">going </w:t>
      </w:r>
      <w:r w:rsidR="00512776" w:rsidRPr="00803E19">
        <w:t>to the patent owner</w:t>
      </w:r>
      <w:r w:rsidR="00512776">
        <w:t>.</w:t>
      </w:r>
      <w:r w:rsidR="00C21DB0" w:rsidRPr="00803E19">
        <w:t xml:space="preserve"> </w:t>
      </w:r>
      <w:r w:rsidRPr="00803E19">
        <w:t>In cases where there are no substitutes for the invention, a patent could also facilitate monopolistic and/or anticompetitive behaviour.</w:t>
      </w:r>
    </w:p>
    <w:p w14:paraId="7B31FED4" w14:textId="77777777" w:rsidR="004D565F" w:rsidRDefault="004D565F" w:rsidP="00F676EF">
      <w:pPr>
        <w:pStyle w:val="BodyText"/>
        <w:keepNext/>
      </w:pPr>
      <w:r>
        <w:lastRenderedPageBreak/>
        <w:t>Safeguards are typically built into a patents system to limit these potential shortcomings. They can be divided into two broad groups:</w:t>
      </w:r>
    </w:p>
    <w:p w14:paraId="480A1230" w14:textId="4C2AC752" w:rsidR="004D565F" w:rsidRDefault="004D565F" w:rsidP="004D565F">
      <w:pPr>
        <w:pStyle w:val="ListBullet"/>
      </w:pPr>
      <w:r>
        <w:t>pre-</w:t>
      </w:r>
      <w:r w:rsidRPr="004F006A">
        <w:t>grant (ex ante) safeguards</w:t>
      </w:r>
      <w:r>
        <w:t xml:space="preserve"> — most notably, patent applications are subject to a threshold test </w:t>
      </w:r>
      <w:r w:rsidR="004161BB">
        <w:t xml:space="preserve">that </w:t>
      </w:r>
      <w:r w:rsidR="00E269AA">
        <w:t>seeks</w:t>
      </w:r>
      <w:r w:rsidR="004161BB">
        <w:t xml:space="preserve"> to limit </w:t>
      </w:r>
      <w:r>
        <w:t xml:space="preserve">patents </w:t>
      </w:r>
      <w:r w:rsidR="004161BB">
        <w:t xml:space="preserve">to </w:t>
      </w:r>
      <w:r>
        <w:t>truly innovative ideas; and patents are available for a fixed duration (typically 20 years from the</w:t>
      </w:r>
      <w:r w:rsidR="00E2798D">
        <w:t xml:space="preserve"> grant of the patent</w:t>
      </w:r>
      <w:r>
        <w:t xml:space="preserve">) to limit the </w:t>
      </w:r>
      <w:r w:rsidR="004161BB">
        <w:t xml:space="preserve">period that </w:t>
      </w:r>
      <w:r>
        <w:t>people can be excluded from using inventions</w:t>
      </w:r>
    </w:p>
    <w:p w14:paraId="456888FD" w14:textId="13E34594" w:rsidR="004D565F" w:rsidRDefault="004D565F" w:rsidP="004D565F">
      <w:pPr>
        <w:pStyle w:val="ListBullet"/>
      </w:pPr>
      <w:r>
        <w:t>post-</w:t>
      </w:r>
      <w:r w:rsidRPr="004F006A">
        <w:t>grant (ex post) safeguards</w:t>
      </w:r>
      <w:r>
        <w:t xml:space="preserve"> — these are invoked after a patent is granted if exercise of the exclusive right is considered not </w:t>
      </w:r>
      <w:r w:rsidR="00FE3826">
        <w:t xml:space="preserve">to </w:t>
      </w:r>
      <w:r>
        <w:t>be in the interest of the community as a whole. This includes compulsory licensing and the other mechanisms listed in box 2</w:t>
      </w:r>
      <w:r w:rsidR="006F1325">
        <w:t>, as well as general application of competition law</w:t>
      </w:r>
      <w:r>
        <w:t>.</w:t>
      </w:r>
    </w:p>
    <w:p w14:paraId="565C2BAC" w14:textId="77777777" w:rsidR="004D565F" w:rsidRDefault="004D565F" w:rsidP="004D565F">
      <w:pPr>
        <w:pStyle w:val="BodyText"/>
      </w:pPr>
      <w:r>
        <w:t>Some of the safeguards in Australia’s patents legislation were recently amended as part of a major package of changes, collectively known as the ‘Raising the Bar’</w:t>
      </w:r>
      <w:r w:rsidRPr="007B14A8">
        <w:t xml:space="preserve"> </w:t>
      </w:r>
      <w:r>
        <w:t>reforms.</w:t>
      </w:r>
      <w:r w:rsidR="00F878DA">
        <w:t xml:space="preserve"> In particular, exemptions </w:t>
      </w:r>
      <w:r w:rsidR="00982CC6">
        <w:t xml:space="preserve">from patent infringement </w:t>
      </w:r>
      <w:r w:rsidR="009A608A">
        <w:t>whe</w:t>
      </w:r>
      <w:r w:rsidR="00837FBF">
        <w:t>n</w:t>
      </w:r>
      <w:r w:rsidR="009A608A">
        <w:t xml:space="preserve"> inventions are used </w:t>
      </w:r>
      <w:r w:rsidR="009A608A" w:rsidRPr="008B34D1">
        <w:t xml:space="preserve">for experimental purposes </w:t>
      </w:r>
      <w:r w:rsidR="009A608A">
        <w:t xml:space="preserve">or to gain regulatory approval </w:t>
      </w:r>
      <w:r w:rsidR="00982CC6">
        <w:t xml:space="preserve">were </w:t>
      </w:r>
      <w:r w:rsidR="004E08AF">
        <w:t xml:space="preserve">clarified </w:t>
      </w:r>
      <w:r w:rsidR="0010509B">
        <w:t>and</w:t>
      </w:r>
      <w:r w:rsidR="004E08AF">
        <w:t xml:space="preserve"> </w:t>
      </w:r>
      <w:r w:rsidR="00982CC6">
        <w:t>strengthened.</w:t>
      </w:r>
      <w:r w:rsidR="00176F02">
        <w:t xml:space="preserve"> </w:t>
      </w:r>
      <w:r>
        <w:t>However, the compulsory licensing provisions were unchanged.</w:t>
      </w:r>
    </w:p>
    <w:p w14:paraId="2904568E" w14:textId="77777777" w:rsidR="004D565F" w:rsidRDefault="004D565F" w:rsidP="004D565F">
      <w:pPr>
        <w:pStyle w:val="Heading2"/>
      </w:pPr>
      <w:r>
        <w:t>Is there evidence that compulsory licensing is needed?</w:t>
      </w:r>
    </w:p>
    <w:p w14:paraId="26793CBC" w14:textId="4924559B" w:rsidR="004D565F" w:rsidRDefault="004D565F" w:rsidP="004D565F">
      <w:pPr>
        <w:pStyle w:val="BodyText"/>
      </w:pPr>
      <w:r>
        <w:t xml:space="preserve">A substantial number of inventions are patented in Australia each year (figure 1), with most of the patents being granted to non-residents (table 1). The benefit </w:t>
      </w:r>
      <w:r w:rsidR="00FC7CD6">
        <w:t xml:space="preserve">to </w:t>
      </w:r>
      <w:r>
        <w:t>the Australian community from new technologies is</w:t>
      </w:r>
      <w:r w:rsidR="00152077">
        <w:t>,</w:t>
      </w:r>
      <w:r>
        <w:t xml:space="preserve"> therefore</w:t>
      </w:r>
      <w:r w:rsidR="00152077">
        <w:t>,</w:t>
      </w:r>
      <w:r>
        <w:t xml:space="preserve"> likely to depend </w:t>
      </w:r>
      <w:r w:rsidR="00C1712C">
        <w:t xml:space="preserve">significantly </w:t>
      </w:r>
      <w:r>
        <w:t xml:space="preserve">on how accessible they are under the patents system, especially when owned by non-residents. </w:t>
      </w:r>
      <w:r w:rsidR="00793BC6">
        <w:t>The Commission has</w:t>
      </w:r>
      <w:r>
        <w:t xml:space="preserve"> reviewed Australian and overseas evidence to identify what, if any, problems arise with accessing patented inventions.</w:t>
      </w:r>
    </w:p>
    <w:p w14:paraId="141BC626" w14:textId="5C7592E3" w:rsidR="004D565F" w:rsidRDefault="004D565F" w:rsidP="004D565F">
      <w:pPr>
        <w:pStyle w:val="FigureTitle"/>
      </w:pPr>
      <w:r>
        <w:rPr>
          <w:b w:val="0"/>
        </w:rPr>
        <w:t xml:space="preserve">Figure </w:t>
      </w:r>
      <w:bookmarkStart w:id="10" w:name="OLE_LINK4"/>
      <w:r>
        <w:rPr>
          <w:b w:val="0"/>
        </w:rPr>
        <w:t>1</w:t>
      </w:r>
      <w:bookmarkEnd w:id="10"/>
      <w:r>
        <w:tab/>
        <w:t xml:space="preserve">Patents granted in Australia, 1995 to </w:t>
      </w:r>
      <w:r w:rsidR="00B17A39">
        <w:t>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D565F" w14:paraId="34EB32D9" w14:textId="77777777" w:rsidTr="008D76FD">
        <w:tc>
          <w:tcPr>
            <w:tcW w:w="8777" w:type="dxa"/>
            <w:tcBorders>
              <w:top w:val="single" w:sz="6" w:space="0" w:color="auto"/>
              <w:bottom w:val="single" w:sz="6" w:space="0" w:color="auto"/>
            </w:tcBorders>
          </w:tcPr>
          <w:p w14:paraId="088D6F15" w14:textId="4A6F91F2" w:rsidR="004D565F" w:rsidRDefault="00B17A39" w:rsidP="0030229D">
            <w:pPr>
              <w:pStyle w:val="Figure"/>
              <w:keepNext w:val="0"/>
              <w:widowControl w:val="0"/>
            </w:pPr>
            <w:r>
              <w:rPr>
                <w:noProof/>
              </w:rPr>
              <w:drawing>
                <wp:inline distT="0" distB="0" distL="0" distR="0" wp14:anchorId="3F094B08" wp14:editId="1A2E639E">
                  <wp:extent cx="5400675" cy="2286000"/>
                  <wp:effectExtent l="0" t="0" r="0" b="0"/>
                  <wp:docPr id="3" name="Chart 3" descr="The number of patents granted in Australia remained at a little under 10 000 from 1995 to 1997. In 1998, the number of patents granted increased to nearly 15 000, before fluctuating at around 13 000 until 2004. In 2005, the number of grants declined to approximately 11 000, and fell again in 2006, to under 10 000. From 2007 onwards, the number of patents granted steadily rose, reaching nearly 18 000 in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tc>
      </w:tr>
    </w:tbl>
    <w:p w14:paraId="3E0A8DD7" w14:textId="42A08CD6" w:rsidR="004D565F" w:rsidRDefault="004D565F" w:rsidP="004D565F">
      <w:pPr>
        <w:pStyle w:val="TableTitle"/>
      </w:pPr>
      <w:r>
        <w:rPr>
          <w:b w:val="0"/>
        </w:rPr>
        <w:lastRenderedPageBreak/>
        <w:t>Table 1</w:t>
      </w:r>
      <w:r>
        <w:tab/>
        <w:t>Nationality of pa</w:t>
      </w:r>
      <w:r w:rsidR="001640FD">
        <w:t>rties granted</w:t>
      </w:r>
      <w:r>
        <w:t xml:space="preserve"> Australia</w:t>
      </w:r>
      <w:r w:rsidR="001640FD">
        <w:t>n patents</w:t>
      </w:r>
      <w:r>
        <w:t>, 1995 to 201</w:t>
      </w:r>
      <w:r w:rsidR="0034371A">
        <w:t>1</w:t>
      </w:r>
    </w:p>
    <w:tbl>
      <w:tblPr>
        <w:tblW w:w="4880" w:type="pct"/>
        <w:tblInd w:w="108" w:type="dxa"/>
        <w:tblLook w:val="0000" w:firstRow="0" w:lastRow="0" w:firstColumn="0" w:lastColumn="0" w:noHBand="0" w:noVBand="0"/>
      </w:tblPr>
      <w:tblGrid>
        <w:gridCol w:w="2586"/>
        <w:gridCol w:w="3640"/>
        <w:gridCol w:w="2563"/>
      </w:tblGrid>
      <w:tr w:rsidR="004D565F" w14:paraId="58C52394" w14:textId="77777777" w:rsidTr="008B4F4C">
        <w:tc>
          <w:tcPr>
            <w:tcW w:w="1471" w:type="pct"/>
            <w:tcBorders>
              <w:top w:val="single" w:sz="4" w:space="0" w:color="auto"/>
              <w:bottom w:val="single" w:sz="6" w:space="0" w:color="auto"/>
            </w:tcBorders>
            <w:shd w:val="clear" w:color="auto" w:fill="auto"/>
          </w:tcPr>
          <w:p w14:paraId="35F0573C" w14:textId="3D788F08" w:rsidR="004D565F" w:rsidRDefault="002B2283" w:rsidP="003A0612">
            <w:pPr>
              <w:pStyle w:val="TableColumnHeading"/>
              <w:jc w:val="left"/>
            </w:pPr>
            <w:r>
              <w:t>Nationality</w:t>
            </w:r>
          </w:p>
        </w:tc>
        <w:tc>
          <w:tcPr>
            <w:tcW w:w="2071" w:type="pct"/>
            <w:tcBorders>
              <w:top w:val="single" w:sz="4" w:space="0" w:color="auto"/>
              <w:bottom w:val="single" w:sz="6" w:space="0" w:color="auto"/>
            </w:tcBorders>
            <w:shd w:val="clear" w:color="auto" w:fill="auto"/>
          </w:tcPr>
          <w:p w14:paraId="604F6260" w14:textId="55140B0F" w:rsidR="004D565F" w:rsidRDefault="004D565F" w:rsidP="003A0612">
            <w:pPr>
              <w:pStyle w:val="TableColumnHeading"/>
            </w:pPr>
            <w:r>
              <w:t>201</w:t>
            </w:r>
            <w:r w:rsidR="0034371A">
              <w:t>1</w:t>
            </w:r>
          </w:p>
        </w:tc>
        <w:tc>
          <w:tcPr>
            <w:tcW w:w="1458" w:type="pct"/>
            <w:tcBorders>
              <w:top w:val="single" w:sz="4" w:space="0" w:color="auto"/>
              <w:bottom w:val="single" w:sz="6" w:space="0" w:color="auto"/>
            </w:tcBorders>
            <w:shd w:val="clear" w:color="auto" w:fill="auto"/>
          </w:tcPr>
          <w:p w14:paraId="607DE4F3" w14:textId="7CF92087" w:rsidR="004D565F" w:rsidRDefault="004D565F" w:rsidP="003A0612">
            <w:pPr>
              <w:pStyle w:val="TableColumnHeading"/>
              <w:ind w:right="28"/>
            </w:pPr>
            <w:r>
              <w:t>1995–201</w:t>
            </w:r>
            <w:r w:rsidR="0034371A">
              <w:t>1</w:t>
            </w:r>
            <w:r>
              <w:t xml:space="preserve"> average</w:t>
            </w:r>
          </w:p>
        </w:tc>
      </w:tr>
      <w:tr w:rsidR="004D565F" w14:paraId="3ED1C8A6" w14:textId="77777777" w:rsidTr="008B4F4C">
        <w:tblPrEx>
          <w:tblCellMar>
            <w:left w:w="0" w:type="dxa"/>
            <w:right w:w="0" w:type="dxa"/>
          </w:tblCellMar>
        </w:tblPrEx>
        <w:tc>
          <w:tcPr>
            <w:tcW w:w="1471" w:type="pct"/>
            <w:tcBorders>
              <w:top w:val="single" w:sz="6" w:space="0" w:color="auto"/>
            </w:tcBorders>
          </w:tcPr>
          <w:p w14:paraId="1DF2D4C9" w14:textId="77777777" w:rsidR="004D565F" w:rsidRDefault="004D565F" w:rsidP="003A0612">
            <w:pPr>
              <w:pStyle w:val="TableUnitsRow"/>
              <w:ind w:left="108"/>
              <w:jc w:val="left"/>
            </w:pPr>
          </w:p>
        </w:tc>
        <w:tc>
          <w:tcPr>
            <w:tcW w:w="2071" w:type="pct"/>
            <w:tcBorders>
              <w:top w:val="single" w:sz="6" w:space="0" w:color="auto"/>
            </w:tcBorders>
          </w:tcPr>
          <w:p w14:paraId="07D9EBB4" w14:textId="77777777" w:rsidR="004D565F" w:rsidRDefault="004D565F" w:rsidP="003A0612">
            <w:pPr>
              <w:pStyle w:val="TableUnitsRow"/>
              <w:ind w:right="227"/>
            </w:pPr>
            <w:r>
              <w:t>%</w:t>
            </w:r>
          </w:p>
        </w:tc>
        <w:tc>
          <w:tcPr>
            <w:tcW w:w="1458" w:type="pct"/>
            <w:tcBorders>
              <w:top w:val="single" w:sz="6" w:space="0" w:color="auto"/>
            </w:tcBorders>
          </w:tcPr>
          <w:p w14:paraId="4E341335" w14:textId="77777777" w:rsidR="004D565F" w:rsidRDefault="004D565F" w:rsidP="003A0612">
            <w:pPr>
              <w:pStyle w:val="TableUnitsRow"/>
              <w:ind w:right="142"/>
            </w:pPr>
            <w:r>
              <w:t>%</w:t>
            </w:r>
          </w:p>
        </w:tc>
      </w:tr>
      <w:tr w:rsidR="00F73612" w14:paraId="301AC3D4" w14:textId="77777777" w:rsidTr="00280714">
        <w:tc>
          <w:tcPr>
            <w:tcW w:w="1471" w:type="pct"/>
            <w:shd w:val="clear" w:color="auto" w:fill="auto"/>
          </w:tcPr>
          <w:p w14:paraId="5FE13AFA" w14:textId="56CBA9F3" w:rsidR="00F73612" w:rsidRPr="008F732D" w:rsidRDefault="00F73612" w:rsidP="00280714">
            <w:pPr>
              <w:pStyle w:val="TableBodyText"/>
              <w:ind w:left="0"/>
              <w:jc w:val="left"/>
            </w:pPr>
            <w:r w:rsidRPr="008F732D">
              <w:t>Australia</w:t>
            </w:r>
          </w:p>
        </w:tc>
        <w:tc>
          <w:tcPr>
            <w:tcW w:w="2071" w:type="pct"/>
            <w:shd w:val="clear" w:color="auto" w:fill="auto"/>
          </w:tcPr>
          <w:p w14:paraId="5EA07BD5" w14:textId="5E43BE65" w:rsidR="00F73612" w:rsidRPr="003515CF" w:rsidRDefault="00F73612" w:rsidP="00280714">
            <w:pPr>
              <w:pStyle w:val="TableBodyText"/>
              <w:ind w:left="142"/>
            </w:pPr>
            <w:r>
              <w:t>7</w:t>
            </w:r>
          </w:p>
        </w:tc>
        <w:tc>
          <w:tcPr>
            <w:tcW w:w="1458" w:type="pct"/>
            <w:shd w:val="clear" w:color="auto" w:fill="auto"/>
          </w:tcPr>
          <w:p w14:paraId="4DBB939D" w14:textId="7E01F2C5" w:rsidR="00F73612" w:rsidRPr="003515CF" w:rsidRDefault="00F73612" w:rsidP="00280714">
            <w:pPr>
              <w:pStyle w:val="TableBodyText"/>
              <w:ind w:left="142" w:right="34"/>
            </w:pPr>
            <w:r>
              <w:t>8</w:t>
            </w:r>
          </w:p>
        </w:tc>
      </w:tr>
      <w:tr w:rsidR="00F73612" w14:paraId="32AF2EA6" w14:textId="77777777" w:rsidTr="00280714">
        <w:tc>
          <w:tcPr>
            <w:tcW w:w="1471" w:type="pct"/>
            <w:shd w:val="clear" w:color="auto" w:fill="auto"/>
          </w:tcPr>
          <w:p w14:paraId="0DD77509" w14:textId="659DF2C7" w:rsidR="00F73612" w:rsidRPr="008F732D" w:rsidRDefault="00F73612" w:rsidP="00280714">
            <w:pPr>
              <w:pStyle w:val="TableBodyText"/>
              <w:ind w:left="0"/>
              <w:jc w:val="left"/>
            </w:pPr>
            <w:r w:rsidRPr="008F732D">
              <w:t>Canada</w:t>
            </w:r>
          </w:p>
        </w:tc>
        <w:tc>
          <w:tcPr>
            <w:tcW w:w="2071" w:type="pct"/>
            <w:shd w:val="clear" w:color="auto" w:fill="auto"/>
          </w:tcPr>
          <w:p w14:paraId="1DB185A8" w14:textId="67EC10D7" w:rsidR="00F73612" w:rsidRPr="003515CF" w:rsidRDefault="00F73612" w:rsidP="00280714">
            <w:pPr>
              <w:pStyle w:val="TableBodyText"/>
              <w:ind w:left="142"/>
            </w:pPr>
            <w:r>
              <w:t>2</w:t>
            </w:r>
          </w:p>
        </w:tc>
        <w:tc>
          <w:tcPr>
            <w:tcW w:w="1458" w:type="pct"/>
            <w:shd w:val="clear" w:color="auto" w:fill="auto"/>
          </w:tcPr>
          <w:p w14:paraId="3E613807" w14:textId="2BCB5EFD" w:rsidR="00F73612" w:rsidRPr="003515CF" w:rsidRDefault="00F73612" w:rsidP="00280714">
            <w:pPr>
              <w:pStyle w:val="TableBodyText"/>
              <w:ind w:left="142" w:right="34"/>
            </w:pPr>
            <w:r>
              <w:t>2</w:t>
            </w:r>
          </w:p>
        </w:tc>
      </w:tr>
      <w:tr w:rsidR="00F73612" w14:paraId="40CEFF38" w14:textId="77777777" w:rsidTr="00280714">
        <w:tc>
          <w:tcPr>
            <w:tcW w:w="1471" w:type="pct"/>
            <w:shd w:val="clear" w:color="auto" w:fill="auto"/>
          </w:tcPr>
          <w:p w14:paraId="059D6270" w14:textId="6429353F" w:rsidR="00F73612" w:rsidRPr="008F732D" w:rsidRDefault="00F73612" w:rsidP="00280714">
            <w:pPr>
              <w:pStyle w:val="TableBodyText"/>
              <w:ind w:left="0"/>
              <w:jc w:val="left"/>
            </w:pPr>
            <w:r w:rsidRPr="008F732D">
              <w:t>France</w:t>
            </w:r>
          </w:p>
        </w:tc>
        <w:tc>
          <w:tcPr>
            <w:tcW w:w="2071" w:type="pct"/>
            <w:shd w:val="clear" w:color="auto" w:fill="auto"/>
          </w:tcPr>
          <w:p w14:paraId="01D604C9" w14:textId="664EF460" w:rsidR="00F73612" w:rsidRPr="003515CF" w:rsidRDefault="00F73612" w:rsidP="00280714">
            <w:pPr>
              <w:pStyle w:val="TableBodyText"/>
              <w:ind w:left="142"/>
            </w:pPr>
            <w:r>
              <w:t>3</w:t>
            </w:r>
          </w:p>
        </w:tc>
        <w:tc>
          <w:tcPr>
            <w:tcW w:w="1458" w:type="pct"/>
            <w:shd w:val="clear" w:color="auto" w:fill="auto"/>
          </w:tcPr>
          <w:p w14:paraId="0A8238F0" w14:textId="3407C749" w:rsidR="00F73612" w:rsidRPr="003515CF" w:rsidRDefault="00F73612" w:rsidP="00280714">
            <w:pPr>
              <w:pStyle w:val="TableBodyText"/>
              <w:ind w:left="142" w:right="34"/>
            </w:pPr>
            <w:r>
              <w:t>4</w:t>
            </w:r>
          </w:p>
        </w:tc>
      </w:tr>
      <w:tr w:rsidR="00184675" w14:paraId="53D3AC89" w14:textId="77777777" w:rsidTr="002A3DCE">
        <w:tc>
          <w:tcPr>
            <w:tcW w:w="1471" w:type="pct"/>
            <w:shd w:val="clear" w:color="auto" w:fill="auto"/>
          </w:tcPr>
          <w:p w14:paraId="7BC7EF55" w14:textId="77777777" w:rsidR="00184675" w:rsidRDefault="00184675" w:rsidP="002A3DCE">
            <w:pPr>
              <w:pStyle w:val="TableBodyText"/>
              <w:ind w:left="0"/>
              <w:jc w:val="left"/>
              <w:rPr>
                <w:szCs w:val="24"/>
              </w:rPr>
            </w:pPr>
            <w:r w:rsidRPr="008F732D">
              <w:t>Germany</w:t>
            </w:r>
          </w:p>
        </w:tc>
        <w:tc>
          <w:tcPr>
            <w:tcW w:w="2071" w:type="pct"/>
            <w:shd w:val="clear" w:color="auto" w:fill="auto"/>
          </w:tcPr>
          <w:p w14:paraId="403580CC" w14:textId="77777777" w:rsidR="00184675" w:rsidRDefault="00184675" w:rsidP="002A3DCE">
            <w:pPr>
              <w:pStyle w:val="TableBodyText"/>
              <w:ind w:left="142"/>
              <w:rPr>
                <w:i/>
              </w:rPr>
            </w:pPr>
            <w:r w:rsidRPr="003515CF">
              <w:t>7</w:t>
            </w:r>
          </w:p>
        </w:tc>
        <w:tc>
          <w:tcPr>
            <w:tcW w:w="1458" w:type="pct"/>
            <w:shd w:val="clear" w:color="auto" w:fill="auto"/>
          </w:tcPr>
          <w:p w14:paraId="5F9AE1C2" w14:textId="77777777" w:rsidR="00184675" w:rsidRDefault="00184675" w:rsidP="002A3DCE">
            <w:pPr>
              <w:pStyle w:val="TableBodyText"/>
              <w:ind w:left="142" w:right="34"/>
              <w:rPr>
                <w:i/>
              </w:rPr>
            </w:pPr>
            <w:r w:rsidRPr="003515CF">
              <w:t>7</w:t>
            </w:r>
          </w:p>
        </w:tc>
      </w:tr>
      <w:tr w:rsidR="00184675" w14:paraId="40E54DB2" w14:textId="77777777" w:rsidTr="002A3DCE">
        <w:tc>
          <w:tcPr>
            <w:tcW w:w="1471" w:type="pct"/>
            <w:shd w:val="clear" w:color="auto" w:fill="auto"/>
          </w:tcPr>
          <w:p w14:paraId="7A8EF489" w14:textId="77777777" w:rsidR="00184675" w:rsidRDefault="00184675" w:rsidP="002A3DCE">
            <w:pPr>
              <w:pStyle w:val="TableBodyText"/>
              <w:ind w:left="0"/>
              <w:jc w:val="left"/>
            </w:pPr>
            <w:r w:rsidRPr="008F732D">
              <w:t>Japan</w:t>
            </w:r>
          </w:p>
        </w:tc>
        <w:tc>
          <w:tcPr>
            <w:tcW w:w="2071" w:type="pct"/>
            <w:shd w:val="clear" w:color="auto" w:fill="auto"/>
          </w:tcPr>
          <w:p w14:paraId="594813C5" w14:textId="77777777" w:rsidR="00184675" w:rsidRDefault="00184675" w:rsidP="002A3DCE">
            <w:pPr>
              <w:pStyle w:val="TableBodyText"/>
              <w:ind w:left="142"/>
            </w:pPr>
            <w:r w:rsidRPr="003515CF">
              <w:t>9</w:t>
            </w:r>
          </w:p>
        </w:tc>
        <w:tc>
          <w:tcPr>
            <w:tcW w:w="1458" w:type="pct"/>
            <w:shd w:val="clear" w:color="auto" w:fill="auto"/>
          </w:tcPr>
          <w:p w14:paraId="3D2B4AE7" w14:textId="77777777" w:rsidR="00184675" w:rsidRDefault="00184675" w:rsidP="002A3DCE">
            <w:pPr>
              <w:pStyle w:val="TableBodyText"/>
              <w:ind w:left="142" w:right="34"/>
            </w:pPr>
            <w:r w:rsidRPr="003515CF">
              <w:t>9</w:t>
            </w:r>
          </w:p>
        </w:tc>
      </w:tr>
      <w:tr w:rsidR="00184675" w14:paraId="00C831AD" w14:textId="77777777" w:rsidTr="002A3DCE">
        <w:tc>
          <w:tcPr>
            <w:tcW w:w="1471" w:type="pct"/>
            <w:shd w:val="clear" w:color="auto" w:fill="auto"/>
          </w:tcPr>
          <w:p w14:paraId="37E26DF8" w14:textId="77777777" w:rsidR="00184675" w:rsidRDefault="00184675" w:rsidP="002A3DCE">
            <w:pPr>
              <w:pStyle w:val="TableBodyText"/>
              <w:tabs>
                <w:tab w:val="right" w:pos="2257"/>
              </w:tabs>
              <w:ind w:left="0"/>
              <w:jc w:val="left"/>
            </w:pPr>
            <w:r w:rsidRPr="008F732D">
              <w:t>Netherlands</w:t>
            </w:r>
          </w:p>
        </w:tc>
        <w:tc>
          <w:tcPr>
            <w:tcW w:w="2071" w:type="pct"/>
            <w:shd w:val="clear" w:color="auto" w:fill="auto"/>
          </w:tcPr>
          <w:p w14:paraId="04A1A7CD" w14:textId="77777777" w:rsidR="00184675" w:rsidRDefault="00184675" w:rsidP="002A3DCE">
            <w:pPr>
              <w:pStyle w:val="TableBodyText"/>
              <w:ind w:left="142"/>
            </w:pPr>
            <w:r w:rsidRPr="003515CF">
              <w:t>3</w:t>
            </w:r>
          </w:p>
        </w:tc>
        <w:tc>
          <w:tcPr>
            <w:tcW w:w="1458" w:type="pct"/>
            <w:shd w:val="clear" w:color="auto" w:fill="auto"/>
          </w:tcPr>
          <w:p w14:paraId="48AF1BBE" w14:textId="77777777" w:rsidR="00184675" w:rsidRDefault="00184675" w:rsidP="002A3DCE">
            <w:pPr>
              <w:pStyle w:val="TableBodyText"/>
              <w:ind w:left="142" w:right="34"/>
            </w:pPr>
            <w:r w:rsidRPr="003515CF">
              <w:t>2</w:t>
            </w:r>
          </w:p>
        </w:tc>
      </w:tr>
      <w:tr w:rsidR="00184675" w14:paraId="23C29E22" w14:textId="77777777" w:rsidTr="002A3DCE">
        <w:tc>
          <w:tcPr>
            <w:tcW w:w="1471" w:type="pct"/>
            <w:shd w:val="clear" w:color="auto" w:fill="auto"/>
          </w:tcPr>
          <w:p w14:paraId="1B2671AC" w14:textId="77777777" w:rsidR="00184675" w:rsidRDefault="00184675" w:rsidP="002A3DCE">
            <w:pPr>
              <w:pStyle w:val="TableBodyText"/>
              <w:ind w:left="0"/>
              <w:jc w:val="left"/>
            </w:pPr>
            <w:r w:rsidRPr="008F732D">
              <w:t>Republic of Korea</w:t>
            </w:r>
          </w:p>
        </w:tc>
        <w:tc>
          <w:tcPr>
            <w:tcW w:w="2071" w:type="pct"/>
            <w:shd w:val="clear" w:color="auto" w:fill="auto"/>
          </w:tcPr>
          <w:p w14:paraId="2CE39353" w14:textId="77777777" w:rsidR="00184675" w:rsidRDefault="00184675" w:rsidP="002A3DCE">
            <w:pPr>
              <w:pStyle w:val="TableBodyText"/>
              <w:ind w:left="142"/>
            </w:pPr>
            <w:r w:rsidRPr="003515CF">
              <w:t>2</w:t>
            </w:r>
          </w:p>
        </w:tc>
        <w:tc>
          <w:tcPr>
            <w:tcW w:w="1458" w:type="pct"/>
            <w:shd w:val="clear" w:color="auto" w:fill="auto"/>
          </w:tcPr>
          <w:p w14:paraId="3197B334" w14:textId="77777777" w:rsidR="00184675" w:rsidRDefault="00184675" w:rsidP="002A3DCE">
            <w:pPr>
              <w:pStyle w:val="TableBodyText"/>
              <w:ind w:left="142" w:right="34"/>
            </w:pPr>
            <w:r w:rsidRPr="003515CF">
              <w:t>2</w:t>
            </w:r>
          </w:p>
        </w:tc>
      </w:tr>
      <w:tr w:rsidR="00184675" w14:paraId="4F337DD4" w14:textId="77777777" w:rsidTr="002A3DCE">
        <w:tc>
          <w:tcPr>
            <w:tcW w:w="1471" w:type="pct"/>
            <w:shd w:val="clear" w:color="auto" w:fill="auto"/>
          </w:tcPr>
          <w:p w14:paraId="7C393E13" w14:textId="77777777" w:rsidR="00184675" w:rsidRDefault="00184675" w:rsidP="002A3DCE">
            <w:pPr>
              <w:pStyle w:val="TableBodyText"/>
              <w:ind w:left="0"/>
              <w:jc w:val="left"/>
            </w:pPr>
            <w:r w:rsidRPr="008F732D">
              <w:t>Sweden</w:t>
            </w:r>
          </w:p>
        </w:tc>
        <w:tc>
          <w:tcPr>
            <w:tcW w:w="2071" w:type="pct"/>
            <w:shd w:val="clear" w:color="auto" w:fill="auto"/>
          </w:tcPr>
          <w:p w14:paraId="3B0F5E8B" w14:textId="77777777" w:rsidR="00184675" w:rsidRDefault="00184675" w:rsidP="002A3DCE">
            <w:pPr>
              <w:pStyle w:val="TableBodyText"/>
              <w:ind w:left="142"/>
            </w:pPr>
            <w:r w:rsidRPr="003515CF">
              <w:t>2</w:t>
            </w:r>
          </w:p>
        </w:tc>
        <w:tc>
          <w:tcPr>
            <w:tcW w:w="1458" w:type="pct"/>
            <w:shd w:val="clear" w:color="auto" w:fill="auto"/>
          </w:tcPr>
          <w:p w14:paraId="57AAD17D" w14:textId="77777777" w:rsidR="00184675" w:rsidRDefault="00184675" w:rsidP="002A3DCE">
            <w:pPr>
              <w:pStyle w:val="TableBodyText"/>
              <w:ind w:left="142" w:right="34"/>
            </w:pPr>
            <w:r w:rsidRPr="003515CF">
              <w:t>3</w:t>
            </w:r>
          </w:p>
        </w:tc>
      </w:tr>
      <w:tr w:rsidR="00184675" w14:paraId="63B7C22D" w14:textId="77777777" w:rsidTr="002A3DCE">
        <w:tc>
          <w:tcPr>
            <w:tcW w:w="1471" w:type="pct"/>
            <w:shd w:val="clear" w:color="auto" w:fill="auto"/>
          </w:tcPr>
          <w:p w14:paraId="056F0A8E" w14:textId="77777777" w:rsidR="00184675" w:rsidRDefault="00184675" w:rsidP="002A3DCE">
            <w:pPr>
              <w:pStyle w:val="TableBodyText"/>
              <w:ind w:left="0"/>
              <w:jc w:val="left"/>
              <w:rPr>
                <w:i/>
              </w:rPr>
            </w:pPr>
            <w:r w:rsidRPr="008F732D">
              <w:t>Switzerland</w:t>
            </w:r>
          </w:p>
        </w:tc>
        <w:tc>
          <w:tcPr>
            <w:tcW w:w="2071" w:type="pct"/>
            <w:shd w:val="clear" w:color="auto" w:fill="auto"/>
          </w:tcPr>
          <w:p w14:paraId="0FF4A994" w14:textId="77777777" w:rsidR="00184675" w:rsidRDefault="00184675" w:rsidP="002A3DCE">
            <w:pPr>
              <w:pStyle w:val="TableBodyText"/>
              <w:ind w:left="142"/>
              <w:rPr>
                <w:i/>
              </w:rPr>
            </w:pPr>
            <w:r w:rsidRPr="003515CF">
              <w:t>5</w:t>
            </w:r>
          </w:p>
        </w:tc>
        <w:tc>
          <w:tcPr>
            <w:tcW w:w="1458" w:type="pct"/>
            <w:shd w:val="clear" w:color="auto" w:fill="auto"/>
          </w:tcPr>
          <w:p w14:paraId="381A4AE3" w14:textId="77777777" w:rsidR="00184675" w:rsidRDefault="00184675" w:rsidP="002A3DCE">
            <w:pPr>
              <w:pStyle w:val="TableBodyText"/>
              <w:ind w:left="142" w:right="34"/>
              <w:rPr>
                <w:i/>
              </w:rPr>
            </w:pPr>
            <w:r w:rsidRPr="003515CF">
              <w:t>4</w:t>
            </w:r>
          </w:p>
        </w:tc>
      </w:tr>
      <w:tr w:rsidR="00184675" w14:paraId="1E2CB89B" w14:textId="77777777" w:rsidTr="002A3DCE">
        <w:tc>
          <w:tcPr>
            <w:tcW w:w="1471" w:type="pct"/>
            <w:shd w:val="clear" w:color="auto" w:fill="auto"/>
          </w:tcPr>
          <w:p w14:paraId="1BA11EC7" w14:textId="77777777" w:rsidR="00184675" w:rsidRDefault="00184675" w:rsidP="002A3DCE">
            <w:pPr>
              <w:pStyle w:val="TableBodyText"/>
              <w:ind w:left="0"/>
              <w:jc w:val="left"/>
              <w:rPr>
                <w:szCs w:val="24"/>
              </w:rPr>
            </w:pPr>
            <w:r>
              <w:t>UK</w:t>
            </w:r>
          </w:p>
        </w:tc>
        <w:tc>
          <w:tcPr>
            <w:tcW w:w="2071" w:type="pct"/>
            <w:shd w:val="clear" w:color="auto" w:fill="auto"/>
          </w:tcPr>
          <w:p w14:paraId="0F267763" w14:textId="77777777" w:rsidR="00184675" w:rsidRDefault="00184675" w:rsidP="002A3DCE">
            <w:pPr>
              <w:pStyle w:val="TableBodyText"/>
              <w:ind w:left="142"/>
              <w:rPr>
                <w:i/>
              </w:rPr>
            </w:pPr>
            <w:r w:rsidRPr="003515CF">
              <w:t>4</w:t>
            </w:r>
          </w:p>
        </w:tc>
        <w:tc>
          <w:tcPr>
            <w:tcW w:w="1458" w:type="pct"/>
            <w:shd w:val="clear" w:color="auto" w:fill="auto"/>
          </w:tcPr>
          <w:p w14:paraId="51BEC231" w14:textId="77777777" w:rsidR="00184675" w:rsidRDefault="00184675" w:rsidP="002A3DCE">
            <w:pPr>
              <w:pStyle w:val="TableBodyText"/>
              <w:ind w:left="142" w:right="34"/>
              <w:rPr>
                <w:i/>
              </w:rPr>
            </w:pPr>
            <w:r w:rsidRPr="003515CF">
              <w:t>6</w:t>
            </w:r>
          </w:p>
        </w:tc>
      </w:tr>
      <w:tr w:rsidR="00184675" w14:paraId="5D0CF66C" w14:textId="77777777" w:rsidTr="002A3DCE">
        <w:tc>
          <w:tcPr>
            <w:tcW w:w="1471" w:type="pct"/>
            <w:shd w:val="clear" w:color="auto" w:fill="auto"/>
          </w:tcPr>
          <w:p w14:paraId="34B2CDE1" w14:textId="77777777" w:rsidR="00184675" w:rsidRDefault="00184675" w:rsidP="002A3DCE">
            <w:pPr>
              <w:pStyle w:val="TableBodyText"/>
              <w:ind w:left="0"/>
              <w:jc w:val="left"/>
            </w:pPr>
            <w:r>
              <w:t>USA</w:t>
            </w:r>
          </w:p>
        </w:tc>
        <w:tc>
          <w:tcPr>
            <w:tcW w:w="2071" w:type="pct"/>
            <w:shd w:val="clear" w:color="auto" w:fill="auto"/>
          </w:tcPr>
          <w:p w14:paraId="4A90F3B9" w14:textId="77777777" w:rsidR="00184675" w:rsidRDefault="00184675" w:rsidP="002A3DCE">
            <w:pPr>
              <w:pStyle w:val="TableBodyText"/>
              <w:ind w:left="142"/>
            </w:pPr>
            <w:r w:rsidRPr="003515CF">
              <w:t>42</w:t>
            </w:r>
          </w:p>
        </w:tc>
        <w:tc>
          <w:tcPr>
            <w:tcW w:w="1458" w:type="pct"/>
            <w:shd w:val="clear" w:color="auto" w:fill="auto"/>
          </w:tcPr>
          <w:p w14:paraId="35E2E8E2" w14:textId="77777777" w:rsidR="00184675" w:rsidRDefault="00184675" w:rsidP="002A3DCE">
            <w:pPr>
              <w:pStyle w:val="TableBodyText"/>
              <w:ind w:left="142" w:right="34"/>
            </w:pPr>
            <w:r w:rsidRPr="003515CF">
              <w:t>43</w:t>
            </w:r>
          </w:p>
        </w:tc>
      </w:tr>
      <w:tr w:rsidR="00184675" w14:paraId="17C061AB" w14:textId="77777777" w:rsidTr="002A3DCE">
        <w:tc>
          <w:tcPr>
            <w:tcW w:w="1471" w:type="pct"/>
            <w:shd w:val="clear" w:color="auto" w:fill="auto"/>
          </w:tcPr>
          <w:p w14:paraId="555682A5" w14:textId="77777777" w:rsidR="00184675" w:rsidRDefault="00184675" w:rsidP="002A3DCE">
            <w:pPr>
              <w:pStyle w:val="TableBodyText"/>
              <w:ind w:left="0"/>
              <w:jc w:val="left"/>
              <w:rPr>
                <w:i/>
              </w:rPr>
            </w:pPr>
            <w:r>
              <w:t>Other</w:t>
            </w:r>
          </w:p>
        </w:tc>
        <w:tc>
          <w:tcPr>
            <w:tcW w:w="2071" w:type="pct"/>
            <w:shd w:val="clear" w:color="auto" w:fill="auto"/>
          </w:tcPr>
          <w:p w14:paraId="72DEE5FB" w14:textId="77777777" w:rsidR="00184675" w:rsidRDefault="00184675" w:rsidP="002A3DCE">
            <w:pPr>
              <w:pStyle w:val="TableBodyText"/>
              <w:ind w:left="142"/>
              <w:rPr>
                <w:i/>
              </w:rPr>
            </w:pPr>
            <w:r>
              <w:t>14</w:t>
            </w:r>
          </w:p>
        </w:tc>
        <w:tc>
          <w:tcPr>
            <w:tcW w:w="1458" w:type="pct"/>
            <w:shd w:val="clear" w:color="auto" w:fill="auto"/>
          </w:tcPr>
          <w:p w14:paraId="6C29B98E" w14:textId="1228DC07" w:rsidR="00184675" w:rsidRDefault="00F73612" w:rsidP="002A3DCE">
            <w:pPr>
              <w:pStyle w:val="TableBodyText"/>
              <w:ind w:left="142" w:right="34"/>
              <w:rPr>
                <w:i/>
              </w:rPr>
            </w:pPr>
            <w:r>
              <w:t>10</w:t>
            </w:r>
          </w:p>
        </w:tc>
      </w:tr>
      <w:tr w:rsidR="00184675" w14:paraId="64B9ED4E" w14:textId="77777777" w:rsidTr="002A3DCE">
        <w:tc>
          <w:tcPr>
            <w:tcW w:w="1471" w:type="pct"/>
            <w:tcBorders>
              <w:bottom w:val="single" w:sz="4" w:space="0" w:color="auto"/>
            </w:tcBorders>
            <w:shd w:val="clear" w:color="auto" w:fill="auto"/>
          </w:tcPr>
          <w:p w14:paraId="12F179EA" w14:textId="77777777" w:rsidR="00184675" w:rsidRDefault="00184675" w:rsidP="002A3DCE">
            <w:pPr>
              <w:pStyle w:val="TableBodyText"/>
              <w:keepNext w:val="0"/>
              <w:widowControl w:val="0"/>
              <w:spacing w:before="120" w:line="240" w:lineRule="auto"/>
              <w:ind w:left="34"/>
              <w:jc w:val="left"/>
            </w:pPr>
            <w:r>
              <w:t>Total</w:t>
            </w:r>
          </w:p>
        </w:tc>
        <w:tc>
          <w:tcPr>
            <w:tcW w:w="2071" w:type="pct"/>
            <w:tcBorders>
              <w:bottom w:val="single" w:sz="4" w:space="0" w:color="auto"/>
            </w:tcBorders>
            <w:shd w:val="clear" w:color="auto" w:fill="auto"/>
          </w:tcPr>
          <w:p w14:paraId="54DEAE78" w14:textId="77777777" w:rsidR="00184675" w:rsidRDefault="00184675" w:rsidP="002A3DCE">
            <w:pPr>
              <w:pStyle w:val="TableBodyText"/>
              <w:keepNext w:val="0"/>
              <w:widowControl w:val="0"/>
              <w:spacing w:before="120" w:line="240" w:lineRule="auto"/>
              <w:ind w:left="34"/>
              <w:rPr>
                <w:i/>
              </w:rPr>
            </w:pPr>
            <w:r>
              <w:t>100</w:t>
            </w:r>
          </w:p>
        </w:tc>
        <w:tc>
          <w:tcPr>
            <w:tcW w:w="1458" w:type="pct"/>
            <w:tcBorders>
              <w:bottom w:val="single" w:sz="4" w:space="0" w:color="auto"/>
            </w:tcBorders>
            <w:shd w:val="clear" w:color="auto" w:fill="auto"/>
          </w:tcPr>
          <w:p w14:paraId="7DD80EBA" w14:textId="77777777" w:rsidR="00184675" w:rsidRDefault="00184675" w:rsidP="002A3DCE">
            <w:pPr>
              <w:pStyle w:val="TableBodyText"/>
              <w:keepNext w:val="0"/>
              <w:widowControl w:val="0"/>
              <w:spacing w:before="120" w:line="240" w:lineRule="auto"/>
              <w:ind w:left="34" w:right="34"/>
              <w:rPr>
                <w:i/>
              </w:rPr>
            </w:pPr>
            <w:r>
              <w:t>100</w:t>
            </w:r>
          </w:p>
        </w:tc>
      </w:tr>
    </w:tbl>
    <w:p w14:paraId="0332A34B" w14:textId="77777777" w:rsidR="004D565F" w:rsidRPr="00BD32E3" w:rsidRDefault="004D565F" w:rsidP="00BD32E3">
      <w:pPr>
        <w:pStyle w:val="Heading3"/>
      </w:pPr>
      <w:r w:rsidRPr="00BD32E3">
        <w:t>General issues with accessing patented inventions</w:t>
      </w:r>
    </w:p>
    <w:p w14:paraId="48AF3522" w14:textId="32749F9A" w:rsidR="004D565F" w:rsidRDefault="004D565F" w:rsidP="004D565F">
      <w:pPr>
        <w:pStyle w:val="BodyText"/>
      </w:pPr>
      <w:r>
        <w:t xml:space="preserve">After a patent has been granted, the owner may decide to manufacture the product itself, or a product that uses the patented invention as an input, and market it accordingly. Alternatively, </w:t>
      </w:r>
      <w:r w:rsidR="00EE4882">
        <w:t xml:space="preserve">the owner </w:t>
      </w:r>
      <w:r>
        <w:t xml:space="preserve">could sell the patent to another party, as occurs with other property. Another option is </w:t>
      </w:r>
      <w:r w:rsidRPr="008A1583">
        <w:t xml:space="preserve">to license </w:t>
      </w:r>
      <w:r>
        <w:t xml:space="preserve">out </w:t>
      </w:r>
      <w:r w:rsidRPr="008A1583">
        <w:t xml:space="preserve">the patent, </w:t>
      </w:r>
      <w:r>
        <w:t>either on an exclusive or non-exclusive basis. An exclusive licence is more likely to raise concerns about accessing an invention</w:t>
      </w:r>
      <w:r w:rsidRPr="00E73A45">
        <w:t xml:space="preserve"> </w:t>
      </w:r>
      <w:r>
        <w:t>than a non-exclusive licence, but no more so than the original patent right itself.</w:t>
      </w:r>
    </w:p>
    <w:p w14:paraId="04963EBC" w14:textId="67BA035B" w:rsidR="004D565F" w:rsidRDefault="004D565F" w:rsidP="004D565F">
      <w:pPr>
        <w:pStyle w:val="BodyText"/>
      </w:pPr>
      <w:r w:rsidRPr="00B2771F">
        <w:t xml:space="preserve">Patent </w:t>
      </w:r>
      <w:r>
        <w:t>owners</w:t>
      </w:r>
      <w:r w:rsidRPr="00B2771F">
        <w:t xml:space="preserve"> </w:t>
      </w:r>
      <w:r>
        <w:t>may prefer to license a patent</w:t>
      </w:r>
      <w:r w:rsidR="0002681D">
        <w:t>, rather than work it themselves,</w:t>
      </w:r>
      <w:r>
        <w:t xml:space="preserve"> for a </w:t>
      </w:r>
      <w:r w:rsidRPr="00B2771F">
        <w:t>number of reasons.</w:t>
      </w:r>
      <w:r>
        <w:t xml:space="preserve"> T</w:t>
      </w:r>
      <w:r w:rsidRPr="00B2771F">
        <w:t>he</w:t>
      </w:r>
      <w:r>
        <w:t>y</w:t>
      </w:r>
      <w:r w:rsidRPr="00B2771F">
        <w:t xml:space="preserve"> </w:t>
      </w:r>
      <w:r>
        <w:t xml:space="preserve">might not have </w:t>
      </w:r>
      <w:r w:rsidRPr="00B2771F">
        <w:t xml:space="preserve">the </w:t>
      </w:r>
      <w:r>
        <w:t>capacity</w:t>
      </w:r>
      <w:r w:rsidRPr="00B2771F">
        <w:t xml:space="preserve"> to manufacture </w:t>
      </w:r>
      <w:r w:rsidR="003E64B2">
        <w:t xml:space="preserve">or use </w:t>
      </w:r>
      <w:r>
        <w:t>an</w:t>
      </w:r>
      <w:r w:rsidRPr="00B2771F">
        <w:t xml:space="preserve"> invention themselves, to supply </w:t>
      </w:r>
      <w:r>
        <w:t xml:space="preserve">it to </w:t>
      </w:r>
      <w:r w:rsidRPr="00B2771F">
        <w:t xml:space="preserve">customers in </w:t>
      </w:r>
      <w:r>
        <w:t xml:space="preserve">all </w:t>
      </w:r>
      <w:r w:rsidRPr="00B2771F">
        <w:t>geographic regions</w:t>
      </w:r>
      <w:r>
        <w:t xml:space="preserve">, to </w:t>
      </w:r>
      <w:r w:rsidRPr="00B2771F">
        <w:t xml:space="preserve">scale </w:t>
      </w:r>
      <w:r>
        <w:t>up</w:t>
      </w:r>
      <w:r w:rsidRPr="00B2771F">
        <w:t xml:space="preserve"> existing production facilities to meet increased demand</w:t>
      </w:r>
      <w:r>
        <w:t xml:space="preserve">, or to bear the risk associated with </w:t>
      </w:r>
      <w:r w:rsidRPr="00B2771F">
        <w:t>manufactur</w:t>
      </w:r>
      <w:r>
        <w:t>ing</w:t>
      </w:r>
      <w:r w:rsidRPr="00B2771F">
        <w:t xml:space="preserve"> and marketing</w:t>
      </w:r>
      <w:r>
        <w:t xml:space="preserve"> the invention</w:t>
      </w:r>
      <w:r w:rsidRPr="00B2771F">
        <w:t>.</w:t>
      </w:r>
      <w:r>
        <w:t xml:space="preserve"> </w:t>
      </w:r>
      <w:r w:rsidRPr="00B2771F">
        <w:t xml:space="preserve">There are </w:t>
      </w:r>
      <w:r>
        <w:t>also various</w:t>
      </w:r>
      <w:r w:rsidRPr="00B2771F">
        <w:t xml:space="preserve"> reasons </w:t>
      </w:r>
      <w:r>
        <w:t xml:space="preserve">why </w:t>
      </w:r>
      <w:r w:rsidRPr="00B2771F">
        <w:t xml:space="preserve">licensees enter into </w:t>
      </w:r>
      <w:r>
        <w:t xml:space="preserve">a </w:t>
      </w:r>
      <w:r w:rsidRPr="00B2771F">
        <w:t xml:space="preserve">licensing </w:t>
      </w:r>
      <w:r>
        <w:t xml:space="preserve">agreement, </w:t>
      </w:r>
      <w:r w:rsidRPr="00B2771F">
        <w:t xml:space="preserve">including a belief that they have the </w:t>
      </w:r>
      <w:r>
        <w:t>skills</w:t>
      </w:r>
      <w:r w:rsidRPr="00B2771F">
        <w:t xml:space="preserve"> to commercialise </w:t>
      </w:r>
      <w:r>
        <w:t>an invention</w:t>
      </w:r>
      <w:r w:rsidRPr="00B2771F">
        <w:t xml:space="preserve">, </w:t>
      </w:r>
      <w:r w:rsidR="00847D76">
        <w:t>or</w:t>
      </w:r>
      <w:r w:rsidR="00847D76" w:rsidRPr="00B2771F">
        <w:t xml:space="preserve"> </w:t>
      </w:r>
      <w:r w:rsidRPr="00B2771F">
        <w:t xml:space="preserve">that they need </w:t>
      </w:r>
      <w:r>
        <w:t>it as part of another product.</w:t>
      </w:r>
    </w:p>
    <w:p w14:paraId="12F17390" w14:textId="08113E5C" w:rsidR="004D565F" w:rsidRDefault="004D565F" w:rsidP="004D565F">
      <w:pPr>
        <w:pStyle w:val="BodyText"/>
      </w:pPr>
      <w:r>
        <w:t xml:space="preserve">Patent licences are commercially sensitive documents, and so their contents are rarely made public. Inquiry participants stressed that there is no such thing as </w:t>
      </w:r>
      <w:r w:rsidR="00DB55C9">
        <w:t xml:space="preserve">a </w:t>
      </w:r>
      <w:r>
        <w:t>typical licence agreement, as many different matters can be covered</w:t>
      </w:r>
      <w:r w:rsidR="004F006A">
        <w:t>,</w:t>
      </w:r>
      <w:r>
        <w:t xml:space="preserve"> and the agreed terms can be very case specific.</w:t>
      </w:r>
    </w:p>
    <w:p w14:paraId="53EB16CE" w14:textId="009DDFC1" w:rsidR="004D565F" w:rsidRDefault="004D565F" w:rsidP="004D565F">
      <w:pPr>
        <w:pStyle w:val="BodyText"/>
      </w:pPr>
      <w:r w:rsidRPr="00CE642D">
        <w:lastRenderedPageBreak/>
        <w:t>There is limited information on the extent to which inventors use their patents in</w:t>
      </w:r>
      <w:r>
        <w:noBreakHyphen/>
      </w:r>
      <w:r w:rsidRPr="00CE642D">
        <w:t xml:space="preserve">house, sell them to others, or license them out. Survey data from Europe, Japan, and the United States suggest that only a small proportion </w:t>
      </w:r>
      <w:r>
        <w:t>of patents (roughly 10 per </w:t>
      </w:r>
      <w:r w:rsidRPr="00CE642D">
        <w:t xml:space="preserve">cent) are licensed to others. These data also </w:t>
      </w:r>
      <w:r w:rsidR="00787DB6">
        <w:t>suggest</w:t>
      </w:r>
      <w:r w:rsidRPr="00CE642D">
        <w:t xml:space="preserve"> that around half of patents are used solely by their owner, and roughly 40 per cent are unused (with around half of these because the patent was </w:t>
      </w:r>
      <w:r w:rsidR="00152077">
        <w:t>used</w:t>
      </w:r>
      <w:r w:rsidRPr="00CE642D">
        <w:t xml:space="preserve"> to block a competitor). The magnitudes vary markedly across different types of organisations. For example, research bodies are more likely to license out patents, and less likely to use them internally.</w:t>
      </w:r>
      <w:r>
        <w:t xml:space="preserve"> </w:t>
      </w:r>
    </w:p>
    <w:p w14:paraId="7CD6BF37" w14:textId="77777777" w:rsidR="004D565F" w:rsidRPr="00BA1DB6" w:rsidRDefault="004D565F" w:rsidP="004D565F">
      <w:pPr>
        <w:pStyle w:val="BodyText"/>
      </w:pPr>
      <w:r>
        <w:t>A</w:t>
      </w:r>
      <w:r w:rsidRPr="00474F0D">
        <w:t xml:space="preserve"> low rate of licensing does not necessarily indicate that patent owners </w:t>
      </w:r>
      <w:r>
        <w:t>typically deny access to technologies on reasonable terms.</w:t>
      </w:r>
      <w:r w:rsidRPr="00474F0D">
        <w:t xml:space="preserve"> </w:t>
      </w:r>
      <w:r>
        <w:t xml:space="preserve">On the contrary, surveys of </w:t>
      </w:r>
      <w:r w:rsidRPr="00474F0D">
        <w:t xml:space="preserve">patent owners </w:t>
      </w:r>
      <w:r>
        <w:t xml:space="preserve">indicate that they </w:t>
      </w:r>
      <w:r w:rsidRPr="00474F0D">
        <w:t>do not license as much as they would like to.</w:t>
      </w:r>
      <w:r>
        <w:t xml:space="preserve"> The s</w:t>
      </w:r>
      <w:r w:rsidRPr="00474F0D">
        <w:t xml:space="preserve">urvey </w:t>
      </w:r>
      <w:r>
        <w:t xml:space="preserve">evidence shows that the primary reasons why patent owners license is to earn revenue, </w:t>
      </w:r>
      <w:r w:rsidR="00880A60">
        <w:t>have</w:t>
      </w:r>
      <w:r>
        <w:t xml:space="preserve"> a mutually beneficial exchange of technologies</w:t>
      </w:r>
      <w:r w:rsidR="00880A60">
        <w:t xml:space="preserve"> (through cross licensing)</w:t>
      </w:r>
      <w:r>
        <w:t>, and to establish their invention as a de facto industry standard.</w:t>
      </w:r>
    </w:p>
    <w:p w14:paraId="55728DC6" w14:textId="105C9ED8" w:rsidR="00DB55C9" w:rsidRDefault="00572CD1" w:rsidP="00DB55C9">
      <w:pPr>
        <w:pStyle w:val="BodyText"/>
      </w:pPr>
      <w:r>
        <w:t xml:space="preserve">There are many potential barriers </w:t>
      </w:r>
      <w:r w:rsidR="00DB55C9">
        <w:t xml:space="preserve">that patent owners face in licensing their inventions. </w:t>
      </w:r>
      <w:r>
        <w:t>Th</w:t>
      </w:r>
      <w:r w:rsidR="00C86B90">
        <w:t>ese</w:t>
      </w:r>
      <w:r w:rsidR="00DB55C9">
        <w:t xml:space="preserve"> include</w:t>
      </w:r>
      <w:r w:rsidR="00DB55C9" w:rsidRPr="00474F0D">
        <w:t xml:space="preserve"> difficulties in identifying licensing partners</w:t>
      </w:r>
      <w:r w:rsidR="00DB55C9">
        <w:t>;</w:t>
      </w:r>
      <w:r w:rsidR="00DB55C9" w:rsidRPr="00474F0D">
        <w:t xml:space="preserve"> </w:t>
      </w:r>
      <w:r w:rsidR="00DB55C9" w:rsidRPr="00793F61">
        <w:t>the cost and complexity of drafting and negotiating licence contracts</w:t>
      </w:r>
      <w:r w:rsidR="00DB55C9">
        <w:t>;</w:t>
      </w:r>
      <w:r w:rsidR="00DB55C9" w:rsidRPr="00474F0D">
        <w:t xml:space="preserve"> </w:t>
      </w:r>
      <w:r w:rsidR="00DB55C9">
        <w:t>an</w:t>
      </w:r>
      <w:r w:rsidR="00DB55C9" w:rsidRPr="00793F61">
        <w:t xml:space="preserve"> invention not being </w:t>
      </w:r>
      <w:r w:rsidR="00DB55C9">
        <w:t xml:space="preserve">a viable commercial proposition; </w:t>
      </w:r>
      <w:r w:rsidR="0068497B">
        <w:t xml:space="preserve">the cost of supporting a licensee; </w:t>
      </w:r>
      <w:r w:rsidR="00DB55C9">
        <w:t>and</w:t>
      </w:r>
      <w:r w:rsidR="00DB55C9" w:rsidRPr="00474F0D">
        <w:t xml:space="preserve"> concerns about reputational damage if </w:t>
      </w:r>
      <w:r w:rsidR="00DB55C9">
        <w:t xml:space="preserve">the licensee implements an </w:t>
      </w:r>
      <w:r w:rsidR="00DB55C9" w:rsidRPr="00474F0D">
        <w:t xml:space="preserve">invention poorly </w:t>
      </w:r>
      <w:r w:rsidR="00970017">
        <w:t xml:space="preserve">or discloses commercially </w:t>
      </w:r>
      <w:r w:rsidR="00DB55C9" w:rsidRPr="00474F0D">
        <w:t>sensitive information</w:t>
      </w:r>
      <w:r w:rsidR="00DB55C9" w:rsidRPr="00793F61">
        <w:t>.</w:t>
      </w:r>
      <w:r w:rsidR="00DB55C9">
        <w:t xml:space="preserve"> Compulsory licensing is not a solution to these problems.</w:t>
      </w:r>
    </w:p>
    <w:p w14:paraId="26B5DB3E" w14:textId="77777777" w:rsidR="004D565F" w:rsidRDefault="004D565F" w:rsidP="004D565F">
      <w:pPr>
        <w:pStyle w:val="Heading3"/>
      </w:pPr>
      <w:r>
        <w:t>Specific concerns about patent access</w:t>
      </w:r>
    </w:p>
    <w:p w14:paraId="29A8AC19" w14:textId="77777777" w:rsidR="004D565F" w:rsidRDefault="004D565F" w:rsidP="004D565F">
      <w:pPr>
        <w:pStyle w:val="BodyText"/>
      </w:pPr>
      <w:r>
        <w:t xml:space="preserve">The terms of reference identify several specific areas — genes, standard essential patents, food security, climate change mitigation and alternative energy technologies — where the existence of patents has raised sensitive issues that </w:t>
      </w:r>
      <w:r w:rsidR="008752AF">
        <w:t>could</w:t>
      </w:r>
      <w:r w:rsidR="00C42145">
        <w:t xml:space="preserve"> po</w:t>
      </w:r>
      <w:r w:rsidR="00C91D72">
        <w:t>t</w:t>
      </w:r>
      <w:r w:rsidR="00C42145">
        <w:t>entially</w:t>
      </w:r>
      <w:r>
        <w:t xml:space="preserve"> be addressed through compulsory licensing.</w:t>
      </w:r>
    </w:p>
    <w:p w14:paraId="46DEF500" w14:textId="77777777" w:rsidR="004D565F" w:rsidRDefault="004D565F" w:rsidP="004D565F">
      <w:pPr>
        <w:pStyle w:val="Heading4"/>
      </w:pPr>
      <w:bookmarkStart w:id="11" w:name="_Toc330545888"/>
      <w:bookmarkStart w:id="12" w:name="_Toc331427574"/>
      <w:bookmarkStart w:id="13" w:name="_Toc331605758"/>
      <w:bookmarkStart w:id="14" w:name="_Toc331775252"/>
      <w:r>
        <w:t>Gene patents</w:t>
      </w:r>
      <w:bookmarkEnd w:id="11"/>
      <w:r>
        <w:t xml:space="preserve"> and access to healthcare</w:t>
      </w:r>
      <w:bookmarkEnd w:id="12"/>
      <w:bookmarkEnd w:id="13"/>
      <w:bookmarkEnd w:id="14"/>
    </w:p>
    <w:p w14:paraId="6372CBF3" w14:textId="3F1B9B35" w:rsidR="006C7F24" w:rsidRDefault="00D053B7" w:rsidP="00D053B7">
      <w:pPr>
        <w:pStyle w:val="BodyText"/>
      </w:pPr>
      <w:r>
        <w:t xml:space="preserve">Australia, like other developed countries, has granted patents for ‘isolated and purified’ human genes, and associated testing methods. This has been criticised by some as restricting access to affordable </w:t>
      </w:r>
      <w:r w:rsidRPr="00C969A9">
        <w:t>healthcare</w:t>
      </w:r>
      <w:r>
        <w:t xml:space="preserve">. The behaviour of a US company and its Australian licensee with respect to patents over the BRCA1 and BRCA2 genes is typically cited as evidence (box 3). This prompted </w:t>
      </w:r>
      <w:r w:rsidR="00BB0926">
        <w:t>legal</w:t>
      </w:r>
      <w:r>
        <w:t xml:space="preserve"> challenges </w:t>
      </w:r>
      <w:r w:rsidR="00C47204">
        <w:t>to</w:t>
      </w:r>
      <w:r>
        <w:t xml:space="preserve"> the </w:t>
      </w:r>
      <w:r w:rsidR="00060BE6">
        <w:t xml:space="preserve">validity of the </w:t>
      </w:r>
      <w:r w:rsidR="00D02C7F">
        <w:t xml:space="preserve">BRCA </w:t>
      </w:r>
      <w:r>
        <w:t>patents</w:t>
      </w:r>
      <w:r w:rsidR="00060BE6">
        <w:t xml:space="preserve"> in Australia and the United States</w:t>
      </w:r>
      <w:r w:rsidR="00C94A91">
        <w:t xml:space="preserve">. </w:t>
      </w:r>
      <w:r w:rsidR="00D12B37">
        <w:t xml:space="preserve">In </w:t>
      </w:r>
      <w:r w:rsidR="00060BE6">
        <w:t>A</w:t>
      </w:r>
      <w:r>
        <w:t>ustralia</w:t>
      </w:r>
      <w:r w:rsidR="00D12B37">
        <w:t>, the</w:t>
      </w:r>
      <w:r>
        <w:t xml:space="preserve"> Federal Court recently </w:t>
      </w:r>
      <w:r w:rsidR="00063E29">
        <w:t xml:space="preserve">ruled </w:t>
      </w:r>
      <w:r w:rsidR="00964CCB">
        <w:t xml:space="preserve">that </w:t>
      </w:r>
      <w:r>
        <w:t>the BRCA1 patent</w:t>
      </w:r>
      <w:r w:rsidR="00063E29">
        <w:t xml:space="preserve"> </w:t>
      </w:r>
      <w:r w:rsidR="00BB0926">
        <w:t>met</w:t>
      </w:r>
      <w:r w:rsidR="00915174">
        <w:t xml:space="preserve"> </w:t>
      </w:r>
      <w:r w:rsidR="00646D49">
        <w:t xml:space="preserve">the </w:t>
      </w:r>
      <w:r w:rsidR="00063E29">
        <w:t xml:space="preserve">requirements of the </w:t>
      </w:r>
      <w:r w:rsidR="00063E29">
        <w:lastRenderedPageBreak/>
        <w:t>Patents Act</w:t>
      </w:r>
      <w:r w:rsidR="0024774C">
        <w:t xml:space="preserve"> because </w:t>
      </w:r>
      <w:r w:rsidR="006F7D7D">
        <w:t>an</w:t>
      </w:r>
      <w:r w:rsidR="0024774C">
        <w:t xml:space="preserve"> isolated gene is an artificially created state of affairs that has economic significance</w:t>
      </w:r>
      <w:r>
        <w:t xml:space="preserve">. </w:t>
      </w:r>
      <w:r w:rsidR="000600C8">
        <w:t xml:space="preserve">The </w:t>
      </w:r>
      <w:r w:rsidR="00D20AF3">
        <w:t xml:space="preserve">US </w:t>
      </w:r>
      <w:r w:rsidR="000600C8">
        <w:t xml:space="preserve">legal system </w:t>
      </w:r>
      <w:r w:rsidR="00D20AF3">
        <w:t>ha</w:t>
      </w:r>
      <w:r w:rsidR="000600C8">
        <w:t>s</w:t>
      </w:r>
      <w:r w:rsidR="00D20AF3">
        <w:t xml:space="preserve"> </w:t>
      </w:r>
      <w:r w:rsidR="0063739D">
        <w:t>similarly</w:t>
      </w:r>
      <w:r w:rsidR="00D20AF3">
        <w:t xml:space="preserve"> upheld p</w:t>
      </w:r>
      <w:r>
        <w:t xml:space="preserve">atents </w:t>
      </w:r>
      <w:r w:rsidR="007031EF" w:rsidRPr="00C26DC7">
        <w:t xml:space="preserve">on the processes used to isolate the </w:t>
      </w:r>
      <w:r w:rsidR="007031EF">
        <w:t>BRCA genes</w:t>
      </w:r>
      <w:r>
        <w:t xml:space="preserve">. </w:t>
      </w:r>
      <w:r w:rsidR="00A12E30">
        <w:t xml:space="preserve">However, </w:t>
      </w:r>
      <w:r w:rsidR="00300179">
        <w:t xml:space="preserve">appeals </w:t>
      </w:r>
      <w:r w:rsidR="004D5584">
        <w:t xml:space="preserve">have been lodged </w:t>
      </w:r>
      <w:r w:rsidR="006F7D7D">
        <w:t xml:space="preserve">in both countries </w:t>
      </w:r>
      <w:r w:rsidR="00300179">
        <w:t>against the</w:t>
      </w:r>
      <w:r w:rsidR="001B61CC">
        <w:t>se</w:t>
      </w:r>
      <w:r w:rsidR="006F7D7D">
        <w:t xml:space="preserve"> </w:t>
      </w:r>
      <w:r w:rsidR="00300179">
        <w:t>judgements.</w:t>
      </w:r>
    </w:p>
    <w:p w14:paraId="79C93ECC" w14:textId="77777777" w:rsidR="007D0962" w:rsidRDefault="007D0962" w:rsidP="007D0962">
      <w:pPr>
        <w:pStyle w:val="BodyText"/>
      </w:pPr>
      <w:r>
        <w:t>The BRCA case was also the catalyst for several reviews of gene patenting in Australia, all of which rejected calls to exclude isolated and purified human genetic material from the patents system. Instead, they concluded that any concerns that arise after a patent is granted would be better addressed by other measures, including provisions for compulsory licensing and Crown use.</w:t>
      </w:r>
    </w:p>
    <w:p w14:paraId="69BBD40C" w14:textId="728C302C" w:rsidR="004D565F" w:rsidRDefault="004D565F" w:rsidP="004D565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79FC61B1" w14:textId="77777777" w:rsidTr="003A0612">
        <w:tc>
          <w:tcPr>
            <w:tcW w:w="8771" w:type="dxa"/>
            <w:tcBorders>
              <w:top w:val="single" w:sz="6" w:space="0" w:color="auto"/>
              <w:bottom w:val="nil"/>
            </w:tcBorders>
          </w:tcPr>
          <w:p w14:paraId="65C2B73C" w14:textId="77777777" w:rsidR="004D565F" w:rsidRDefault="004D565F" w:rsidP="003A0612">
            <w:pPr>
              <w:pStyle w:val="BoxTitle"/>
            </w:pPr>
            <w:r>
              <w:rPr>
                <w:b w:val="0"/>
              </w:rPr>
              <w:t>Box 3</w:t>
            </w:r>
            <w:r>
              <w:tab/>
            </w:r>
            <w:r w:rsidRPr="00887110">
              <w:rPr>
                <w:bCs/>
              </w:rPr>
              <w:t>The BRCA1 and BRCA2 gene patents</w:t>
            </w:r>
          </w:p>
        </w:tc>
      </w:tr>
      <w:tr w:rsidR="004D565F" w14:paraId="15364095" w14:textId="77777777" w:rsidTr="003A0612">
        <w:trPr>
          <w:cantSplit/>
        </w:trPr>
        <w:tc>
          <w:tcPr>
            <w:tcW w:w="8771" w:type="dxa"/>
            <w:tcBorders>
              <w:top w:val="nil"/>
              <w:left w:val="single" w:sz="6" w:space="0" w:color="auto"/>
              <w:bottom w:val="nil"/>
              <w:right w:val="single" w:sz="6" w:space="0" w:color="auto"/>
            </w:tcBorders>
          </w:tcPr>
          <w:p w14:paraId="623CCEE4" w14:textId="77777777" w:rsidR="004D565F" w:rsidRPr="00C26DC7" w:rsidRDefault="004D565F" w:rsidP="003A0612">
            <w:pPr>
              <w:pStyle w:val="Box"/>
            </w:pPr>
            <w:r w:rsidRPr="00C26DC7">
              <w:t xml:space="preserve">The BRCA1 and BRCA2 genes belong to a class of genes known as tumour suppressors. The normal BRCA1 and BRCA2 genes help prevent uncontrolled cell growth. Mutation of these genes has been linked to the development of breast, prostate and ovarian cancer. A US company, Myriad Genetics Incorporated (Myriad), holds the patents relating to methods and processes used to isolate and detect mutations of the BRCA1 and BRCA2 genes. </w:t>
            </w:r>
            <w:r>
              <w:t xml:space="preserve">In 2002, </w:t>
            </w:r>
            <w:r w:rsidRPr="00C26DC7">
              <w:t>Genetic Technologies Limited (GTL) obtained an exclusive licence from Myriad to perform diagnostic testing for BRCA1 and BRCA2 genes</w:t>
            </w:r>
            <w:r>
              <w:t xml:space="preserve"> in Australia</w:t>
            </w:r>
            <w:r w:rsidRPr="00C26DC7">
              <w:t>.</w:t>
            </w:r>
          </w:p>
          <w:p w14:paraId="51D9E9F4" w14:textId="77777777" w:rsidR="004D565F" w:rsidRPr="00C26DC7" w:rsidRDefault="004D565F" w:rsidP="003A0612">
            <w:pPr>
              <w:pStyle w:val="Box"/>
            </w:pPr>
            <w:r>
              <w:t xml:space="preserve">In 2002-03 and 2008, </w:t>
            </w:r>
            <w:r w:rsidRPr="00C26DC7">
              <w:t xml:space="preserve">GTL attempted to enforce </w:t>
            </w:r>
            <w:r>
              <w:t>its</w:t>
            </w:r>
            <w:r w:rsidRPr="00C26DC7">
              <w:t xml:space="preserve"> rights over diagnostic testing of the BRCA1 and BRCA2 genes</w:t>
            </w:r>
            <w:r>
              <w:t xml:space="preserve"> in Australia</w:t>
            </w:r>
            <w:r w:rsidRPr="00C26DC7">
              <w:t xml:space="preserve">. However, </w:t>
            </w:r>
            <w:r>
              <w:t xml:space="preserve">following community opposition, </w:t>
            </w:r>
            <w:r w:rsidRPr="00C26DC7">
              <w:t xml:space="preserve">in </w:t>
            </w:r>
            <w:r>
              <w:t xml:space="preserve">both instances GTL subsequently </w:t>
            </w:r>
            <w:r w:rsidRPr="00C26DC7">
              <w:t xml:space="preserve">announced that it </w:t>
            </w:r>
            <w:r>
              <w:t>would</w:t>
            </w:r>
            <w:r w:rsidRPr="00C26DC7">
              <w:t xml:space="preserve"> no longer seek to enforce its rights and </w:t>
            </w:r>
            <w:r>
              <w:t>would</w:t>
            </w:r>
            <w:r w:rsidRPr="00C26DC7">
              <w:t xml:space="preserve"> allow other laboratories in Australia to freely perform testing. </w:t>
            </w:r>
          </w:p>
          <w:p w14:paraId="2FF10969" w14:textId="439D8EA9" w:rsidR="004D565F" w:rsidRDefault="004D565F" w:rsidP="003A0612">
            <w:pPr>
              <w:pStyle w:val="Box"/>
            </w:pPr>
            <w:r w:rsidRPr="00C26DC7">
              <w:t>The actions of Myriad and GTL have raised concern</w:t>
            </w:r>
            <w:r>
              <w:t>s</w:t>
            </w:r>
            <w:r w:rsidRPr="00C26DC7">
              <w:t xml:space="preserve"> in relation to access to affordable genetic testing</w:t>
            </w:r>
            <w:r w:rsidR="00152077">
              <w:t>,</w:t>
            </w:r>
            <w:r w:rsidRPr="00C26DC7">
              <w:t xml:space="preserve"> and </w:t>
            </w:r>
            <w:r>
              <w:t xml:space="preserve">prompted legal action </w:t>
            </w:r>
            <w:r w:rsidRPr="00C26DC7">
              <w:t>in both Australia and the U</w:t>
            </w:r>
            <w:r>
              <w:t xml:space="preserve">nited </w:t>
            </w:r>
            <w:r w:rsidRPr="00C26DC7">
              <w:t>S</w:t>
            </w:r>
            <w:r>
              <w:t>tates.</w:t>
            </w:r>
            <w:r w:rsidRPr="00C26DC7">
              <w:t xml:space="preserve"> </w:t>
            </w:r>
          </w:p>
          <w:p w14:paraId="4D02DDD5" w14:textId="0E408559" w:rsidR="004D565F" w:rsidRDefault="004D565F" w:rsidP="003A0612">
            <w:pPr>
              <w:pStyle w:val="Box"/>
            </w:pPr>
            <w:r w:rsidRPr="00C26DC7">
              <w:t>In the U</w:t>
            </w:r>
            <w:r>
              <w:t xml:space="preserve">nited </w:t>
            </w:r>
            <w:r w:rsidRPr="00C26DC7">
              <w:t>S</w:t>
            </w:r>
            <w:r>
              <w:t>tates</w:t>
            </w:r>
            <w:r w:rsidRPr="00C26DC7">
              <w:t>, court proceedings were initiated in 2009 by the American Civil Liberties Union (ACLU) and the Public Patent Foundation against several respondents, includ</w:t>
            </w:r>
            <w:r>
              <w:t>ing</w:t>
            </w:r>
            <w:r w:rsidRPr="00C26DC7">
              <w:t xml:space="preserve"> Myriad and the US Patent and Trademarks Office. The </w:t>
            </w:r>
            <w:r>
              <w:t xml:space="preserve">US District </w:t>
            </w:r>
            <w:r w:rsidRPr="00C26DC7">
              <w:t xml:space="preserve">Court </w:t>
            </w:r>
            <w:r>
              <w:t xml:space="preserve">for the Southern District of New York </w:t>
            </w:r>
            <w:r w:rsidRPr="00C26DC7">
              <w:t>ruled that the BRCA1 and BRCA2 patents were invalid as they represented discoveries and not inventions. An appeal was lodged to the US Federal Court by Myriad in 2010. The Federal Court ruled that the patents on the processes used to isolate the BRCA1 and BRCA2</w:t>
            </w:r>
            <w:r>
              <w:t xml:space="preserve"> genes</w:t>
            </w:r>
            <w:r w:rsidRPr="00C26DC7">
              <w:t xml:space="preserve"> w</w:t>
            </w:r>
            <w:r>
              <w:t>ere</w:t>
            </w:r>
            <w:r w:rsidRPr="00C26DC7">
              <w:t xml:space="preserve"> valid but the method claims to analysing</w:t>
            </w:r>
            <w:r>
              <w:t xml:space="preserve"> or comparing</w:t>
            </w:r>
            <w:r w:rsidRPr="00C26DC7">
              <w:t xml:space="preserve"> the </w:t>
            </w:r>
            <w:r>
              <w:t>genes</w:t>
            </w:r>
            <w:r w:rsidRPr="00C26DC7">
              <w:t xml:space="preserve"> w</w:t>
            </w:r>
            <w:r>
              <w:t>ere</w:t>
            </w:r>
            <w:r w:rsidRPr="00C26DC7">
              <w:t xml:space="preserve"> invalid (due to obviousness). In 2011, the ACLU appealed to the US Supreme Court, wh</w:t>
            </w:r>
            <w:r>
              <w:t>ich</w:t>
            </w:r>
            <w:r w:rsidRPr="00C26DC7">
              <w:t xml:space="preserve"> sent the case back to the Federal Court for review</w:t>
            </w:r>
            <w:r>
              <w:t xml:space="preserve"> because of the Supreme Court’s recent </w:t>
            </w:r>
            <w:r w:rsidRPr="00D23D67">
              <w:t>ruling in a related case (Mayo Collaborative Services v. Prometheus Laboratories Inc).</w:t>
            </w:r>
            <w:r>
              <w:t xml:space="preserve"> Following this hearing the Federal Court reaffirmed the validity of Myriad’s patents on the BRCA genes themselves. However, it invalidated a method patent based on comparing DNA sequences.</w:t>
            </w:r>
            <w:r w:rsidR="000A4E82">
              <w:t xml:space="preserve"> </w:t>
            </w:r>
            <w:r w:rsidR="000A4E82" w:rsidRPr="000A4E82">
              <w:t>This decision has again been appealed and the US Supreme Court will hear the case in its current session.</w:t>
            </w:r>
          </w:p>
          <w:p w14:paraId="0205024F" w14:textId="1EC32063" w:rsidR="004D565F" w:rsidRDefault="007D0962" w:rsidP="007D0962">
            <w:pPr>
              <w:pStyle w:val="Continued"/>
            </w:pPr>
            <w:r>
              <w:t>(Continued next page)</w:t>
            </w:r>
          </w:p>
        </w:tc>
      </w:tr>
      <w:tr w:rsidR="007D0962" w14:paraId="1716B1E6" w14:textId="77777777" w:rsidTr="002D3912">
        <w:trPr>
          <w:cantSplit/>
        </w:trPr>
        <w:tc>
          <w:tcPr>
            <w:tcW w:w="8771" w:type="dxa"/>
            <w:tcBorders>
              <w:top w:val="nil"/>
              <w:left w:val="single" w:sz="6" w:space="0" w:color="auto"/>
              <w:bottom w:val="single" w:sz="6" w:space="0" w:color="auto"/>
              <w:right w:val="single" w:sz="6" w:space="0" w:color="auto"/>
            </w:tcBorders>
          </w:tcPr>
          <w:p w14:paraId="1638AB77" w14:textId="77777777" w:rsidR="007D0962" w:rsidRDefault="007D0962" w:rsidP="002D3912">
            <w:pPr>
              <w:pStyle w:val="Box"/>
              <w:spacing w:before="0" w:line="120" w:lineRule="exact"/>
            </w:pPr>
          </w:p>
        </w:tc>
      </w:tr>
      <w:tr w:rsidR="007D0962" w:rsidRPr="000863A5" w14:paraId="6EE21C1D" w14:textId="77777777" w:rsidTr="002D3912">
        <w:tc>
          <w:tcPr>
            <w:tcW w:w="8771" w:type="dxa"/>
            <w:tcBorders>
              <w:top w:val="nil"/>
              <w:left w:val="nil"/>
              <w:bottom w:val="nil"/>
              <w:right w:val="nil"/>
            </w:tcBorders>
          </w:tcPr>
          <w:p w14:paraId="5CB38AD6" w14:textId="77777777" w:rsidR="007D0962" w:rsidRPr="00626D32" w:rsidRDefault="007D0962" w:rsidP="002D3912">
            <w:pPr>
              <w:pStyle w:val="BoxSpaceBelow"/>
            </w:pPr>
          </w:p>
        </w:tc>
      </w:tr>
      <w:tr w:rsidR="007D0962" w14:paraId="5D6EDC9C" w14:textId="77777777" w:rsidTr="002D3912">
        <w:tc>
          <w:tcPr>
            <w:tcW w:w="8771" w:type="dxa"/>
            <w:tcBorders>
              <w:top w:val="single" w:sz="6" w:space="0" w:color="auto"/>
              <w:bottom w:val="nil"/>
            </w:tcBorders>
          </w:tcPr>
          <w:p w14:paraId="7BBB59BF" w14:textId="2400CCAA" w:rsidR="007D0962" w:rsidRDefault="007D0962" w:rsidP="002D3912">
            <w:pPr>
              <w:pStyle w:val="BoxTitle"/>
            </w:pPr>
            <w:bookmarkStart w:id="15" w:name="_Toc330545889"/>
            <w:r>
              <w:rPr>
                <w:b w:val="0"/>
              </w:rPr>
              <w:lastRenderedPageBreak/>
              <w:t>Box 3</w:t>
            </w:r>
            <w:r>
              <w:tab/>
            </w:r>
            <w:r w:rsidRPr="00082EA9">
              <w:rPr>
                <w:b w:val="0"/>
                <w:sz w:val="18"/>
                <w:szCs w:val="18"/>
              </w:rPr>
              <w:t>(continued)</w:t>
            </w:r>
          </w:p>
        </w:tc>
      </w:tr>
      <w:tr w:rsidR="007D0962" w14:paraId="32B8B840" w14:textId="77777777" w:rsidTr="002D3912">
        <w:trPr>
          <w:cantSplit/>
        </w:trPr>
        <w:tc>
          <w:tcPr>
            <w:tcW w:w="8771" w:type="dxa"/>
            <w:tcBorders>
              <w:top w:val="nil"/>
              <w:left w:val="single" w:sz="6" w:space="0" w:color="auto"/>
              <w:bottom w:val="nil"/>
              <w:right w:val="single" w:sz="6" w:space="0" w:color="auto"/>
            </w:tcBorders>
          </w:tcPr>
          <w:p w14:paraId="54E6BB9F" w14:textId="005F8850" w:rsidR="007D0962" w:rsidRDefault="007D0962" w:rsidP="00152077">
            <w:pPr>
              <w:pStyle w:val="Box"/>
            </w:pPr>
            <w:r w:rsidRPr="00C26DC7">
              <w:t xml:space="preserve">In Australia, Cancer Voices </w:t>
            </w:r>
            <w:r w:rsidR="00A95606">
              <w:t xml:space="preserve">Australia </w:t>
            </w:r>
            <w:r w:rsidRPr="00C26DC7">
              <w:t>and Yvonne D’Arcy launched legal action against Myriad</w:t>
            </w:r>
            <w:r>
              <w:t xml:space="preserve"> and GTL</w:t>
            </w:r>
            <w:r w:rsidRPr="00C26DC7">
              <w:t xml:space="preserve"> over the legality of the BRCA1 patent in 2010. </w:t>
            </w:r>
            <w:r>
              <w:t xml:space="preserve">The lawyers for </w:t>
            </w:r>
            <w:r w:rsidRPr="00C26DC7">
              <w:t xml:space="preserve">Cancer Voices </w:t>
            </w:r>
            <w:r w:rsidR="00A95606">
              <w:t xml:space="preserve">Australia </w:t>
            </w:r>
            <w:r w:rsidRPr="00C26DC7">
              <w:t>and Yvonne D’Arcy</w:t>
            </w:r>
            <w:r>
              <w:t xml:space="preserve"> argued that an isolated and purified gene from the human body is a discovery, rather than an invention, and therefore is not patentable</w:t>
            </w:r>
            <w:r w:rsidRPr="006B0683">
              <w:t>.</w:t>
            </w:r>
            <w:r>
              <w:t xml:space="preserve"> In February 2013, the Federal Court ruled that Myriad’s patent was valid because the isolated BRCA gene involves a ‘manner of manufacture’ — that is, an artificially created state of affairs which has economic significance — and so is not a discovery in the manner argued. An application to appeal this decision has been lodged with the Federal Court.</w:t>
            </w:r>
          </w:p>
        </w:tc>
      </w:tr>
      <w:tr w:rsidR="007D0962" w14:paraId="40C9D571" w14:textId="77777777" w:rsidTr="002D3912">
        <w:trPr>
          <w:cantSplit/>
        </w:trPr>
        <w:tc>
          <w:tcPr>
            <w:tcW w:w="8771" w:type="dxa"/>
            <w:tcBorders>
              <w:top w:val="nil"/>
              <w:left w:val="single" w:sz="6" w:space="0" w:color="auto"/>
              <w:bottom w:val="single" w:sz="6" w:space="0" w:color="auto"/>
              <w:right w:val="single" w:sz="6" w:space="0" w:color="auto"/>
            </w:tcBorders>
          </w:tcPr>
          <w:p w14:paraId="738141E5" w14:textId="77777777" w:rsidR="007D0962" w:rsidRDefault="007D0962" w:rsidP="002D3912">
            <w:pPr>
              <w:pStyle w:val="Box"/>
              <w:spacing w:before="0" w:line="120" w:lineRule="exact"/>
            </w:pPr>
          </w:p>
        </w:tc>
      </w:tr>
      <w:tr w:rsidR="007D0962" w:rsidRPr="000863A5" w14:paraId="2E248D96" w14:textId="77777777" w:rsidTr="002D3912">
        <w:tc>
          <w:tcPr>
            <w:tcW w:w="8771" w:type="dxa"/>
            <w:tcBorders>
              <w:top w:val="nil"/>
              <w:left w:val="nil"/>
              <w:bottom w:val="nil"/>
              <w:right w:val="nil"/>
            </w:tcBorders>
          </w:tcPr>
          <w:p w14:paraId="1A0E356E" w14:textId="77777777" w:rsidR="007D0962" w:rsidRPr="000863A5" w:rsidRDefault="007D0962" w:rsidP="002D3912">
            <w:pPr>
              <w:pStyle w:val="Box"/>
              <w:keepNext w:val="0"/>
              <w:spacing w:before="60" w:after="60" w:line="80" w:lineRule="exact"/>
              <w:rPr>
                <w:b/>
                <w:sz w:val="14"/>
              </w:rPr>
            </w:pPr>
          </w:p>
        </w:tc>
      </w:tr>
    </w:tbl>
    <w:p w14:paraId="60BD057A" w14:textId="7A3071AB" w:rsidR="007D0962" w:rsidRDefault="007D0962" w:rsidP="007D0962">
      <w:pPr>
        <w:pStyle w:val="BodyText"/>
      </w:pPr>
      <w:r>
        <w:t xml:space="preserve">The BRCA </w:t>
      </w:r>
      <w:r w:rsidRPr="001A78F3">
        <w:t>case does not appear to be representative of the behaviour of gene patent owners. C</w:t>
      </w:r>
      <w:r w:rsidRPr="000D7BCC">
        <w:t xml:space="preserve">ritics rarely refer to any other examples, and </w:t>
      </w:r>
      <w:r>
        <w:t>p</w:t>
      </w:r>
      <w:r w:rsidRPr="0053657B">
        <w:t xml:space="preserve">reliminary results from a recent survey </w:t>
      </w:r>
      <w:r>
        <w:t>of testing laboratories suggest that patents are not currently hindering access to genetic tests.</w:t>
      </w:r>
      <w:r w:rsidR="007E5957">
        <w:t xml:space="preserve"> </w:t>
      </w:r>
      <w:r>
        <w:t>Furthermore, like other early gene patents, the BRCA patents will expire soon (from August 2015 to December 2016 in Australia).</w:t>
      </w:r>
    </w:p>
    <w:p w14:paraId="4E880165" w14:textId="77777777" w:rsidR="007D0962" w:rsidRDefault="007D0962" w:rsidP="007D0962">
      <w:pPr>
        <w:pStyle w:val="BodyText"/>
      </w:pPr>
      <w:r>
        <w:t>It is also notable that there appears to have been a significant decline in</w:t>
      </w:r>
      <w:r w:rsidRPr="00310B99">
        <w:t xml:space="preserve"> </w:t>
      </w:r>
      <w:r>
        <w:t xml:space="preserve">the number of broad patents granted over individual genes, reflecting a trend by patents offices to apply a more stringent novelty test as genetic technologies become more widespread. Moreover, the human genome project has made much information about genes freely available, thus ensuring it cannot satisfy the novelty requirement for a patent. These developments suggest that gene patenting has peaked as a concern. </w:t>
      </w:r>
    </w:p>
    <w:p w14:paraId="52AA64FE" w14:textId="03E8B115" w:rsidR="007D0962" w:rsidRDefault="007D0962" w:rsidP="007D0962">
      <w:pPr>
        <w:pStyle w:val="BodyText"/>
      </w:pPr>
      <w:r>
        <w:t xml:space="preserve">Nevertheless, the Commission supports the conclusion of past reviews that there </w:t>
      </w:r>
      <w:r w:rsidRPr="001A78F3">
        <w:t>is an in-principle case for compulsory licensing and other safeguards to address concerns such as those raised by the BRCA case.</w:t>
      </w:r>
      <w:r>
        <w:t xml:space="preserve"> While such cases are currently rare, concerns about gene patents may become more pronounced in the future if healthcare increasingly depends on emerging (newly patented) genetic technologies</w:t>
      </w:r>
      <w:r w:rsidR="009801D8">
        <w:t xml:space="preserve"> </w:t>
      </w:r>
      <w:r>
        <w:t>and personalised medicine that requires the testing of multiple genes.</w:t>
      </w:r>
    </w:p>
    <w:p w14:paraId="7F97C167" w14:textId="77777777" w:rsidR="004D565F" w:rsidRDefault="004D565F" w:rsidP="004D565F">
      <w:pPr>
        <w:pStyle w:val="Heading4"/>
      </w:pPr>
      <w:r>
        <w:t>Other specific concerns</w:t>
      </w:r>
    </w:p>
    <w:p w14:paraId="7BE37F81" w14:textId="0E6DB357" w:rsidR="004D565F" w:rsidRDefault="004D565F" w:rsidP="004D565F">
      <w:pPr>
        <w:pStyle w:val="BodyText"/>
      </w:pPr>
      <w:r>
        <w:t>Standard essential patents cover</w:t>
      </w:r>
      <w:r w:rsidRPr="004D0FC4">
        <w:t xml:space="preserve"> </w:t>
      </w:r>
      <w:r w:rsidRPr="00471FF9">
        <w:t>invention</w:t>
      </w:r>
      <w:r>
        <w:t>s</w:t>
      </w:r>
      <w:r w:rsidRPr="00471FF9">
        <w:t xml:space="preserve"> that </w:t>
      </w:r>
      <w:r>
        <w:t>are</w:t>
      </w:r>
      <w:r w:rsidRPr="00471FF9">
        <w:t xml:space="preserve"> </w:t>
      </w:r>
      <w:r>
        <w:t xml:space="preserve">used in an industry standard, such as </w:t>
      </w:r>
      <w:r w:rsidR="004C66D5">
        <w:t xml:space="preserve">the 3G standard </w:t>
      </w:r>
      <w:r>
        <w:t>for mobile phones</w:t>
      </w:r>
      <w:r w:rsidRPr="00471FF9">
        <w:t>.</w:t>
      </w:r>
      <w:r>
        <w:t xml:space="preserve"> Standard</w:t>
      </w:r>
      <w:r w:rsidR="00FC7CD6">
        <w:t xml:space="preserve">s development organisations </w:t>
      </w:r>
      <w:r>
        <w:t>typically secure a commitment from the owners of such patents to license on ‘fair, reasonable and non</w:t>
      </w:r>
      <w:r>
        <w:noBreakHyphen/>
        <w:t xml:space="preserve">discriminatory’ (FRAND) terms. However, disputes can arise over the interpretation of what constitutes FRAND, which in some cases may be due to the patent owner abusing its market power. If such anticompetitive behaviour </w:t>
      </w:r>
      <w:r>
        <w:lastRenderedPageBreak/>
        <w:t>were to occur in Australia, it could conceivably be addressed by granting a compulsory licence.</w:t>
      </w:r>
    </w:p>
    <w:p w14:paraId="619F7810" w14:textId="51B1A8A7" w:rsidR="006F465E" w:rsidRDefault="004D565F" w:rsidP="003410A9">
      <w:pPr>
        <w:pStyle w:val="BodyText"/>
      </w:pPr>
      <w:r w:rsidRPr="00354C4C">
        <w:t xml:space="preserve">Compulsory licensing has also been suggested as a means to address developing countries’ concerns about food security and access to technologies for climate change mitigation and alternative energy. </w:t>
      </w:r>
      <w:r w:rsidR="00652C91">
        <w:t>W</w:t>
      </w:r>
      <w:r w:rsidR="00652C91" w:rsidRPr="00354C4C">
        <w:t xml:space="preserve">hether a compulsory licence is granted in such cases is a matter for </w:t>
      </w:r>
      <w:r w:rsidR="00840424">
        <w:t xml:space="preserve">individual </w:t>
      </w:r>
      <w:r w:rsidR="00652C91" w:rsidRPr="00354C4C">
        <w:t>developing countries to determine</w:t>
      </w:r>
      <w:r w:rsidR="00652C91">
        <w:t xml:space="preserve">, </w:t>
      </w:r>
      <w:r w:rsidR="00300AA3">
        <w:t>since</w:t>
      </w:r>
      <w:r w:rsidR="006E6CBF">
        <w:t xml:space="preserve"> </w:t>
      </w:r>
      <w:r w:rsidR="00652C91">
        <w:t xml:space="preserve">international </w:t>
      </w:r>
      <w:r w:rsidR="00F6441A">
        <w:t xml:space="preserve">IP </w:t>
      </w:r>
      <w:r w:rsidR="00D7708E">
        <w:t xml:space="preserve">law </w:t>
      </w:r>
      <w:r w:rsidR="005A24B2">
        <w:t xml:space="preserve">requires </w:t>
      </w:r>
      <w:r w:rsidR="00357376">
        <w:t xml:space="preserve">a </w:t>
      </w:r>
      <w:r w:rsidR="0040308C">
        <w:t>compulsory licence</w:t>
      </w:r>
      <w:r w:rsidR="001B5CED">
        <w:t xml:space="preserve"> </w:t>
      </w:r>
      <w:r w:rsidR="005A24B2">
        <w:t>to be predominantly for the supply of a domestic market</w:t>
      </w:r>
      <w:r w:rsidR="007A798D">
        <w:t>.</w:t>
      </w:r>
      <w:r w:rsidR="00AA70CC">
        <w:t xml:space="preserve"> </w:t>
      </w:r>
      <w:r w:rsidR="00DC385E">
        <w:t>It</w:t>
      </w:r>
      <w:r w:rsidR="00C5551C">
        <w:t xml:space="preserve"> is unlikely to be an effective option for developing countries that do not have local capacity to exploit the relevant technology. </w:t>
      </w:r>
      <w:r w:rsidR="00506C54">
        <w:t>D</w:t>
      </w:r>
      <w:r w:rsidR="00FC0B85">
        <w:t>eveloped countrie</w:t>
      </w:r>
      <w:r w:rsidR="00A03802">
        <w:t>s</w:t>
      </w:r>
      <w:r w:rsidR="00152077">
        <w:t>,</w:t>
      </w:r>
      <w:r w:rsidR="00A03802">
        <w:t xml:space="preserve"> such as Australia</w:t>
      </w:r>
      <w:r w:rsidR="00152077">
        <w:t>,</w:t>
      </w:r>
      <w:r w:rsidR="00A03802">
        <w:t xml:space="preserve"> assist less</w:t>
      </w:r>
      <w:r w:rsidR="00152077">
        <w:t>-</w:t>
      </w:r>
      <w:r w:rsidR="00FC0B85">
        <w:t>developed nations through other mechanisms, including aid programs.</w:t>
      </w:r>
    </w:p>
    <w:bookmarkEnd w:id="15"/>
    <w:p w14:paraId="3DCDF5EC" w14:textId="77777777" w:rsidR="004D565F" w:rsidRDefault="004D565F" w:rsidP="004D565F">
      <w:pPr>
        <w:pStyle w:val="Heading2"/>
      </w:pPr>
      <w:r>
        <w:t>Reforming Australia’s compulsory licensing provisions</w:t>
      </w:r>
    </w:p>
    <w:p w14:paraId="4A4E4EC9" w14:textId="7A0C4006" w:rsidR="00B4414F" w:rsidRDefault="00FA1F48" w:rsidP="000D0694">
      <w:pPr>
        <w:pStyle w:val="BodyText"/>
      </w:pPr>
      <w:r>
        <w:t>I</w:t>
      </w:r>
      <w:r w:rsidR="00B4414F">
        <w:t xml:space="preserve">nquiry participants </w:t>
      </w:r>
      <w:r>
        <w:t xml:space="preserve">had differing views </w:t>
      </w:r>
      <w:r w:rsidR="00B4414F">
        <w:t>on why Australia’s compulsory licensing provisions have been rarely used.</w:t>
      </w:r>
      <w:r w:rsidR="00C45D01">
        <w:t xml:space="preserve"> </w:t>
      </w:r>
      <w:r w:rsidR="000D0694">
        <w:t xml:space="preserve">In essence, three </w:t>
      </w:r>
      <w:r w:rsidR="00537F25">
        <w:t>different</w:t>
      </w:r>
      <w:r w:rsidR="00696D67">
        <w:t xml:space="preserve"> </w:t>
      </w:r>
      <w:r w:rsidR="00C45D01">
        <w:t xml:space="preserve">reasons were </w:t>
      </w:r>
      <w:r w:rsidR="000D0694">
        <w:t>proposed</w:t>
      </w:r>
      <w:r w:rsidR="00D73407">
        <w:t>, and only one of these provide</w:t>
      </w:r>
      <w:r w:rsidR="00F273F3">
        <w:t>s</w:t>
      </w:r>
      <w:r w:rsidR="00D73407">
        <w:t xml:space="preserve"> a case for reform</w:t>
      </w:r>
      <w:r w:rsidR="000D0694">
        <w:t>.</w:t>
      </w:r>
    </w:p>
    <w:p w14:paraId="42FC79B4" w14:textId="5123680E" w:rsidR="00370898" w:rsidRDefault="00370898" w:rsidP="00370898">
      <w:pPr>
        <w:pStyle w:val="ListBullet"/>
      </w:pPr>
      <w:r>
        <w:t>The</w:t>
      </w:r>
      <w:r w:rsidR="004D565F" w:rsidRPr="00EF0DB4">
        <w:t xml:space="preserve"> </w:t>
      </w:r>
      <w:r w:rsidR="004D565F">
        <w:t>compulsory licensing</w:t>
      </w:r>
      <w:r w:rsidRPr="00EF0DB4">
        <w:t xml:space="preserve"> </w:t>
      </w:r>
      <w:r w:rsidRPr="004642C0">
        <w:t xml:space="preserve">provisions </w:t>
      </w:r>
      <w:r>
        <w:t xml:space="preserve">are such an effective </w:t>
      </w:r>
      <w:r w:rsidRPr="004642C0">
        <w:t xml:space="preserve">deterrent </w:t>
      </w:r>
      <w:r>
        <w:t xml:space="preserve">against </w:t>
      </w:r>
      <w:r w:rsidRPr="004642C0">
        <w:t>refus</w:t>
      </w:r>
      <w:r>
        <w:t>als</w:t>
      </w:r>
      <w:r w:rsidRPr="004642C0">
        <w:t xml:space="preserve"> to license</w:t>
      </w:r>
      <w:r>
        <w:t xml:space="preserve"> on reasonable terms that they almost never need to be invoked by a potential licensee.</w:t>
      </w:r>
    </w:p>
    <w:p w14:paraId="046145D4" w14:textId="29830D5A" w:rsidR="004D565F" w:rsidRPr="004642C0" w:rsidRDefault="004D565F" w:rsidP="004D565F">
      <w:pPr>
        <w:pStyle w:val="ListBullet"/>
      </w:pPr>
      <w:r>
        <w:t xml:space="preserve">Compulsory licensing </w:t>
      </w:r>
      <w:r w:rsidRPr="004642C0">
        <w:t xml:space="preserve">is a safeguard that is only needed in </w:t>
      </w:r>
      <w:r>
        <w:t>exceptional circumstances</w:t>
      </w:r>
      <w:r w:rsidRPr="004642C0">
        <w:t xml:space="preserve">, </w:t>
      </w:r>
      <w:r>
        <w:t>since</w:t>
      </w:r>
      <w:r w:rsidRPr="004642C0">
        <w:t xml:space="preserve"> it is generally in a patent owner</w:t>
      </w:r>
      <w:r>
        <w:t>’</w:t>
      </w:r>
      <w:r w:rsidRPr="004642C0">
        <w:t>s interest to license.</w:t>
      </w:r>
    </w:p>
    <w:p w14:paraId="4D59701D" w14:textId="40BDD697" w:rsidR="004D565F" w:rsidRDefault="004D565F" w:rsidP="004D565F">
      <w:pPr>
        <w:pStyle w:val="ListBullet"/>
      </w:pPr>
      <w:r>
        <w:t>The process for granting a compulsory licence is so costly and time consuming that a potential licensee rarely finds it a viable option.</w:t>
      </w:r>
    </w:p>
    <w:p w14:paraId="50180B57" w14:textId="0CD0CF29" w:rsidR="00370898" w:rsidRPr="00922B2C" w:rsidRDefault="00370898" w:rsidP="008E215C">
      <w:pPr>
        <w:pStyle w:val="BodyText"/>
      </w:pPr>
      <w:r>
        <w:t xml:space="preserve">It is </w:t>
      </w:r>
      <w:r w:rsidRPr="00922B2C">
        <w:t>almost impossible to ascertain</w:t>
      </w:r>
      <w:r>
        <w:t xml:space="preserve"> whether the </w:t>
      </w:r>
      <w:r w:rsidRPr="00922B2C">
        <w:t>compulsory licensing provisions</w:t>
      </w:r>
      <w:r>
        <w:t xml:space="preserve"> </w:t>
      </w:r>
      <w:r w:rsidRPr="00922B2C">
        <w:t xml:space="preserve">have been a deterrent against refusals to license, given that commercial negotiations are rarely made public. That said, the Law Council </w:t>
      </w:r>
      <w:r>
        <w:t xml:space="preserve">of Australia </w:t>
      </w:r>
      <w:r w:rsidRPr="00922B2C">
        <w:t xml:space="preserve">submitted three examples </w:t>
      </w:r>
      <w:r>
        <w:t xml:space="preserve">to support the deterrence effect, </w:t>
      </w:r>
      <w:r w:rsidRPr="00922B2C">
        <w:t>without naming the parties.</w:t>
      </w:r>
    </w:p>
    <w:p w14:paraId="7B2ED4CF" w14:textId="77777777" w:rsidR="004D565F" w:rsidRDefault="004D565F" w:rsidP="004D565F">
      <w:pPr>
        <w:pStyle w:val="BodyText"/>
      </w:pPr>
      <w:r w:rsidRPr="00922B2C">
        <w:t xml:space="preserve">The view that compulsory licensing is a safeguard only to be invoked in exceptional circumstances is consistent with the </w:t>
      </w:r>
      <w:r w:rsidR="00F97458">
        <w:t xml:space="preserve">previously mentioned </w:t>
      </w:r>
      <w:r w:rsidRPr="00922B2C">
        <w:t>evidence</w:t>
      </w:r>
      <w:r w:rsidR="00B01E01">
        <w:t>, which</w:t>
      </w:r>
      <w:r w:rsidRPr="00922B2C">
        <w:t xml:space="preserve"> </w:t>
      </w:r>
      <w:r w:rsidR="00B01E01">
        <w:t xml:space="preserve">suggests that </w:t>
      </w:r>
      <w:r w:rsidR="00F97458">
        <w:t xml:space="preserve">relatively few cases arise where a </w:t>
      </w:r>
      <w:r w:rsidRPr="00922B2C">
        <w:t>compulsory licence</w:t>
      </w:r>
      <w:r w:rsidR="00F97458">
        <w:t xml:space="preserve"> i</w:t>
      </w:r>
      <w:r w:rsidRPr="00922B2C">
        <w:t xml:space="preserve">s </w:t>
      </w:r>
      <w:r w:rsidR="00F97458">
        <w:t>warranted</w:t>
      </w:r>
      <w:r w:rsidRPr="00922B2C">
        <w:t>.</w:t>
      </w:r>
      <w:r>
        <w:t xml:space="preserve"> </w:t>
      </w:r>
    </w:p>
    <w:p w14:paraId="789C4C1C" w14:textId="7C58E8F8" w:rsidR="004D565F" w:rsidRDefault="004D565F" w:rsidP="004D565F">
      <w:pPr>
        <w:pStyle w:val="BodyText"/>
      </w:pPr>
      <w:r>
        <w:t xml:space="preserve">It is widely recognised that obtaining a compulsory licence would be costly and time consuming. This is largely because an application has to be made to the Federal Court for an order requiring the patent owner to grant a compulsory licence. The primary expense would be the </w:t>
      </w:r>
      <w:r w:rsidR="00D8758A">
        <w:t xml:space="preserve">legal </w:t>
      </w:r>
      <w:r>
        <w:t>cost</w:t>
      </w:r>
      <w:r w:rsidR="00D8758A">
        <w:t>s</w:t>
      </w:r>
      <w:r>
        <w:t xml:space="preserve"> to prepare and present a case to the court, rather than any fees charged by the court itself. Inquiry participants estimated </w:t>
      </w:r>
      <w:r>
        <w:lastRenderedPageBreak/>
        <w:t>that the cost could range from roughly $100 000 for a relatively straightforward application to more than $1 million for a pharmaceutical patent that is vigorously contested by the patent owner.</w:t>
      </w:r>
      <w:r w:rsidRPr="007D3708">
        <w:t xml:space="preserve"> </w:t>
      </w:r>
    </w:p>
    <w:p w14:paraId="1F20D2A6" w14:textId="0F456BAC" w:rsidR="008D36DB" w:rsidRDefault="004D565F" w:rsidP="004D565F">
      <w:pPr>
        <w:pStyle w:val="BodyText"/>
      </w:pPr>
      <w:r>
        <w:t xml:space="preserve">Federal Court statistics indicate that it is not uncommon for matters to take longer than 12 months to finalise (figure 2). </w:t>
      </w:r>
      <w:r w:rsidR="008D36DB" w:rsidRPr="008D36DB">
        <w:t xml:space="preserve">However, it should also be recognised that the Federal Court </w:t>
      </w:r>
      <w:r w:rsidR="003E450E">
        <w:t xml:space="preserve">has taken steps to </w:t>
      </w:r>
      <w:r w:rsidR="008D36DB" w:rsidRPr="008D36DB">
        <w:t xml:space="preserve">employ various case management strategies to improve the efficiency of its processes, and </w:t>
      </w:r>
      <w:r w:rsidR="008D36DB">
        <w:t xml:space="preserve">so </w:t>
      </w:r>
      <w:r w:rsidR="008D36DB" w:rsidRPr="008D36DB">
        <w:t xml:space="preserve">the high cost and time involved in resolving matters would, at least in part, </w:t>
      </w:r>
      <w:r w:rsidR="008D36DB">
        <w:t>ref</w:t>
      </w:r>
      <w:r w:rsidR="009A56EB">
        <w:t>l</w:t>
      </w:r>
      <w:r w:rsidR="008D36DB">
        <w:t>ect</w:t>
      </w:r>
      <w:r w:rsidR="008D36DB" w:rsidRPr="008D36DB">
        <w:t xml:space="preserve"> the complexity of cases that come before it.</w:t>
      </w:r>
    </w:p>
    <w:p w14:paraId="493DE32D" w14:textId="77777777" w:rsidR="004D565F" w:rsidRDefault="004D565F" w:rsidP="004D565F">
      <w:pPr>
        <w:pStyle w:val="FigureTitle"/>
      </w:pPr>
      <w:r>
        <w:rPr>
          <w:b w:val="0"/>
        </w:rPr>
        <w:t xml:space="preserve">Figure </w:t>
      </w:r>
      <w:bookmarkStart w:id="16" w:name="OLE_LINK3"/>
      <w:r>
        <w:rPr>
          <w:b w:val="0"/>
        </w:rPr>
        <w:t>2</w:t>
      </w:r>
      <w:bookmarkEnd w:id="16"/>
      <w:r>
        <w:tab/>
        <w:t>Timeliness of Federal Court judgments</w:t>
      </w:r>
      <w:r w:rsidRPr="00BF5BC9">
        <w:rPr>
          <w:rStyle w:val="NoteLabel"/>
          <w:b/>
        </w:rPr>
        <w:t>a</w:t>
      </w:r>
    </w:p>
    <w:p w14:paraId="66410A04" w14:textId="77777777" w:rsidR="004D565F" w:rsidRDefault="004D565F" w:rsidP="004D565F">
      <w:pPr>
        <w:pStyle w:val="Subtitle"/>
      </w:pPr>
      <w:r>
        <w:t xml:space="preserve">Per cent of outstanding matters aged over 12 months, at 30 June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D565F" w14:paraId="32F55F1B" w14:textId="77777777" w:rsidTr="00E371BB">
        <w:tc>
          <w:tcPr>
            <w:tcW w:w="8777" w:type="dxa"/>
          </w:tcPr>
          <w:p w14:paraId="682A1F08" w14:textId="353ECCED" w:rsidR="004D565F" w:rsidRDefault="00E371BB" w:rsidP="003A0612">
            <w:pPr>
              <w:pStyle w:val="Figure"/>
            </w:pPr>
            <w:r>
              <w:rPr>
                <w:noProof/>
              </w:rPr>
              <w:drawing>
                <wp:inline distT="0" distB="0" distL="0" distR="0" wp14:anchorId="5A80EF14" wp14:editId="3403F397">
                  <wp:extent cx="5419725" cy="2409825"/>
                  <wp:effectExtent l="0" t="0" r="0" b="0"/>
                  <wp:docPr id="5" name="Chart 5" descr="In 2005-06, the percentage of matters aged over 12 months that were outstanding at the Federal Court stood at nearly 35 per cent. By 2008-09, this had increased to a little over 40 per cent, before declining to less than 25 per cent by 2010-11. However, 2011-12 saw this proportion increase again, standing at approximately 35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tc>
      </w:tr>
    </w:tbl>
    <w:p w14:paraId="0A4E698D" w14:textId="77777777" w:rsidR="004D565F" w:rsidRDefault="004D565F" w:rsidP="004D565F">
      <w:pPr>
        <w:pStyle w:val="Note"/>
      </w:pPr>
      <w:r>
        <w:rPr>
          <w:rStyle w:val="NoteLabel"/>
        </w:rPr>
        <w:t>a</w:t>
      </w:r>
      <w:r>
        <w:t xml:space="preserve"> Excludes appeals and related matters.</w:t>
      </w:r>
    </w:p>
    <w:p w14:paraId="7D33F86C" w14:textId="77777777" w:rsidR="004D565F" w:rsidRDefault="004D565F" w:rsidP="004D565F">
      <w:pPr>
        <w:pStyle w:val="Heading3"/>
      </w:pPr>
      <w:r>
        <w:t>Alternatives to the Federal Court</w:t>
      </w:r>
    </w:p>
    <w:p w14:paraId="4DCE3BE6" w14:textId="72651116" w:rsidR="00A06F41" w:rsidRDefault="00EC0FFE" w:rsidP="004D565F">
      <w:pPr>
        <w:pStyle w:val="BodyText"/>
      </w:pPr>
      <w:r>
        <w:t xml:space="preserve">There are no </w:t>
      </w:r>
      <w:r w:rsidR="00EA5CD4">
        <w:t xml:space="preserve">clear </w:t>
      </w:r>
      <w:r>
        <w:t xml:space="preserve">alternatives to the Federal Court that would make </w:t>
      </w:r>
      <w:r w:rsidR="00466427">
        <w:t xml:space="preserve">compulsory licence </w:t>
      </w:r>
      <w:r>
        <w:t>applications significantly less costly and time consuming without also r</w:t>
      </w:r>
      <w:r w:rsidR="00314C06">
        <w:t xml:space="preserve">aising concerns about </w:t>
      </w:r>
      <w:r>
        <w:t>the quality of outcomes and scope for appeals.</w:t>
      </w:r>
      <w:r w:rsidR="00A06F41">
        <w:t xml:space="preserve"> </w:t>
      </w:r>
    </w:p>
    <w:p w14:paraId="7BDCB959" w14:textId="77777777" w:rsidR="00E413AB" w:rsidRDefault="004D565F" w:rsidP="00CA4D74">
      <w:pPr>
        <w:pStyle w:val="ListBullet"/>
      </w:pPr>
      <w:r>
        <w:t>A</w:t>
      </w:r>
      <w:r w:rsidRPr="00F673D7">
        <w:t xml:space="preserve">lternative dispute resolution </w:t>
      </w:r>
      <w:r>
        <w:t xml:space="preserve">involving mediation or conciliation </w:t>
      </w:r>
      <w:r w:rsidR="00314C06">
        <w:t xml:space="preserve">is unlikely to </w:t>
      </w:r>
      <w:r w:rsidR="00EA5CD4">
        <w:t xml:space="preserve">have </w:t>
      </w:r>
      <w:r w:rsidR="00314C06">
        <w:t xml:space="preserve">much impact </w:t>
      </w:r>
      <w:r>
        <w:t xml:space="preserve">because the Patents Act already requires applicants to attempt to negotiate for a ‘reasonable’ period before seeking a compulsory licence. </w:t>
      </w:r>
      <w:r w:rsidR="00EA5CD4">
        <w:t xml:space="preserve">Moreover, </w:t>
      </w:r>
      <w:r w:rsidR="004907E5">
        <w:t xml:space="preserve">Federal Court processes already include the option of referring cases to alternative dispute resolution. </w:t>
      </w:r>
    </w:p>
    <w:p w14:paraId="5DBF8085" w14:textId="71F698F0" w:rsidR="004D565F" w:rsidRDefault="001F6D32" w:rsidP="00CA4D74">
      <w:pPr>
        <w:pStyle w:val="ListBullet"/>
      </w:pPr>
      <w:r>
        <w:t xml:space="preserve">The </w:t>
      </w:r>
      <w:r w:rsidR="004D565F">
        <w:t>more interventionist</w:t>
      </w:r>
      <w:r w:rsidR="004907E5">
        <w:t xml:space="preserve"> approach</w:t>
      </w:r>
      <w:r w:rsidR="004D565F">
        <w:t xml:space="preserve"> of </w:t>
      </w:r>
      <w:r w:rsidR="00D0356F">
        <w:t xml:space="preserve">ordering binding arbitration by </w:t>
      </w:r>
      <w:r w:rsidR="008A27AA">
        <w:t>a private</w:t>
      </w:r>
      <w:r w:rsidR="004D565F">
        <w:t xml:space="preserve"> </w:t>
      </w:r>
      <w:r w:rsidR="008A27AA">
        <w:t xml:space="preserve">arbitrator </w:t>
      </w:r>
      <w:r w:rsidR="00E413AB">
        <w:t xml:space="preserve">depends on </w:t>
      </w:r>
      <w:r w:rsidR="00D0356F">
        <w:t>whether the</w:t>
      </w:r>
      <w:r w:rsidR="001932BE">
        <w:t xml:space="preserve"> arbitrator</w:t>
      </w:r>
      <w:r w:rsidR="00D0356F">
        <w:t xml:space="preserve"> </w:t>
      </w:r>
      <w:r w:rsidR="00CA4D74">
        <w:t>ha</w:t>
      </w:r>
      <w:r w:rsidR="001932BE">
        <w:t>s</w:t>
      </w:r>
      <w:r w:rsidR="00CA4D74">
        <w:t xml:space="preserve"> </w:t>
      </w:r>
      <w:r w:rsidR="004D565F">
        <w:t xml:space="preserve">sufficient expertise to minimise </w:t>
      </w:r>
      <w:r w:rsidR="004D565F">
        <w:lastRenderedPageBreak/>
        <w:t>successful appeals</w:t>
      </w:r>
      <w:r w:rsidR="00AC560B">
        <w:t>.</w:t>
      </w:r>
      <w:r w:rsidR="008A27AA">
        <w:t xml:space="preserve"> A further complication is that both the patent holder and prospective licensee </w:t>
      </w:r>
      <w:r w:rsidR="00487492">
        <w:t xml:space="preserve">would </w:t>
      </w:r>
      <w:r w:rsidR="008A27AA">
        <w:t xml:space="preserve">have to consent to </w:t>
      </w:r>
      <w:r w:rsidR="00D0356F">
        <w:t xml:space="preserve">binding arbitration by </w:t>
      </w:r>
      <w:r w:rsidR="008A27AA">
        <w:t>a private arbitrator.</w:t>
      </w:r>
      <w:r w:rsidR="009075D6">
        <w:t xml:space="preserve"> Moreover, the </w:t>
      </w:r>
      <w:r w:rsidR="001932BE">
        <w:t xml:space="preserve">costs </w:t>
      </w:r>
      <w:r w:rsidR="000B203C">
        <w:t xml:space="preserve">incurred by the </w:t>
      </w:r>
      <w:r w:rsidR="006153D2">
        <w:t xml:space="preserve">parties </w:t>
      </w:r>
      <w:r w:rsidR="001932BE">
        <w:t xml:space="preserve">may not be substantially less </w:t>
      </w:r>
      <w:r w:rsidR="006153D2">
        <w:t>than for an application to the Federal Court.</w:t>
      </w:r>
    </w:p>
    <w:p w14:paraId="16B24B75" w14:textId="7DC3AE74" w:rsidR="00916976" w:rsidRDefault="00916976" w:rsidP="00916976">
      <w:pPr>
        <w:pStyle w:val="ListBullet"/>
      </w:pPr>
      <w:r w:rsidRPr="0025179F">
        <w:t xml:space="preserve">Moving decision making to another body </w:t>
      </w:r>
      <w:r>
        <w:t>is difficult to justify</w:t>
      </w:r>
      <w:r w:rsidR="00C85586" w:rsidRPr="00C85586">
        <w:t xml:space="preserve"> </w:t>
      </w:r>
      <w:r w:rsidR="00C85586">
        <w:t xml:space="preserve">because existing alternatives have limitations. </w:t>
      </w:r>
      <w:r w:rsidRPr="0025179F">
        <w:t xml:space="preserve">For example, IP Australia does not have expertise in commercial dispute resolution or remedying anticompetitive behaviour; the Copyright Tribunal would find there is limited synergy between copyright and patent issues; </w:t>
      </w:r>
      <w:r>
        <w:t>the Administrative Appeals Tribunal lacks jurisdiction</w:t>
      </w:r>
      <w:r w:rsidRPr="0025179F">
        <w:t xml:space="preserve">; and the </w:t>
      </w:r>
      <w:r w:rsidRPr="00797F30">
        <w:t xml:space="preserve">Federal Magistrates Court </w:t>
      </w:r>
      <w:r w:rsidRPr="00F673D7">
        <w:t xml:space="preserve">may not have </w:t>
      </w:r>
      <w:r>
        <w:t xml:space="preserve">the </w:t>
      </w:r>
      <w:r w:rsidRPr="00F673D7">
        <w:t>necessary expertise</w:t>
      </w:r>
      <w:r w:rsidRPr="00CA0263">
        <w:t xml:space="preserve"> </w:t>
      </w:r>
      <w:r>
        <w:t xml:space="preserve">or be much less </w:t>
      </w:r>
      <w:r w:rsidRPr="00F673D7">
        <w:t>cost</w:t>
      </w:r>
      <w:r>
        <w:t>ly</w:t>
      </w:r>
      <w:r w:rsidRPr="00F673D7">
        <w:t xml:space="preserve"> and time</w:t>
      </w:r>
      <w:r>
        <w:t xml:space="preserve"> consuming.</w:t>
      </w:r>
      <w:r w:rsidR="00911C2D">
        <w:t xml:space="preserve"> The cost of </w:t>
      </w:r>
      <w:r w:rsidR="00911C2D" w:rsidRPr="0025179F">
        <w:t xml:space="preserve">creating a new body </w:t>
      </w:r>
      <w:r w:rsidR="00225327">
        <w:t>just</w:t>
      </w:r>
      <w:r w:rsidR="00911C2D" w:rsidRPr="0025179F">
        <w:t xml:space="preserve"> for compulsory licensing</w:t>
      </w:r>
      <w:r w:rsidR="00911C2D">
        <w:t xml:space="preserve"> would outweigh the benefits.</w:t>
      </w:r>
    </w:p>
    <w:p w14:paraId="51057283" w14:textId="28C27B31" w:rsidR="00416222" w:rsidRDefault="00F77408" w:rsidP="00416222">
      <w:pPr>
        <w:pStyle w:val="BodyText"/>
      </w:pPr>
      <w:r>
        <w:t xml:space="preserve">The benefit from such changes is likely to be small, given </w:t>
      </w:r>
      <w:r w:rsidR="004D565F">
        <w:t>that c</w:t>
      </w:r>
      <w:r w:rsidR="00970017">
        <w:t xml:space="preserve">ompulsory licensing is a rarely </w:t>
      </w:r>
      <w:r w:rsidR="004D565F">
        <w:t>needed safeguard</w:t>
      </w:r>
      <w:r w:rsidR="00143D71">
        <w:t xml:space="preserve">. </w:t>
      </w:r>
      <w:r w:rsidR="00416222">
        <w:t xml:space="preserve">The lack of jurisprudence on, and potential complexity of, compulsory licensing provides a further reason </w:t>
      </w:r>
      <w:r w:rsidR="00143D71">
        <w:t xml:space="preserve">for </w:t>
      </w:r>
      <w:r w:rsidR="00416222">
        <w:t>th</w:t>
      </w:r>
      <w:r w:rsidR="00143D71">
        <w:t>e</w:t>
      </w:r>
      <w:r w:rsidR="00416222">
        <w:t xml:space="preserve"> Federal Court </w:t>
      </w:r>
      <w:r w:rsidR="00845CA2">
        <w:t>to retain its current role</w:t>
      </w:r>
      <w:r w:rsidR="00416222">
        <w:t>.</w:t>
      </w:r>
    </w:p>
    <w:p w14:paraId="5906EF78" w14:textId="77777777" w:rsidR="004D565F" w:rsidRDefault="004D565F" w:rsidP="004D565F">
      <w:pPr>
        <w:pStyle w:val="Heading3"/>
      </w:pPr>
      <w:r>
        <w:t>Improving the criteria for granting a compulsory licence</w:t>
      </w:r>
    </w:p>
    <w:p w14:paraId="7A1DAD4D" w14:textId="7B2049B2" w:rsidR="004D565F" w:rsidRDefault="004D565F" w:rsidP="004D565F">
      <w:pPr>
        <w:pStyle w:val="BodyText"/>
      </w:pPr>
      <w:r>
        <w:t xml:space="preserve">There is a clear case to strengthen the criteria for granting a compulsory licence, and to remove overlap and inconsistency across different pieces of legislation. As noted above, there are essentially two grounds for </w:t>
      </w:r>
      <w:r w:rsidRPr="009D76B3">
        <w:t>a compulsory licence</w:t>
      </w:r>
      <w:r>
        <w:t xml:space="preserve"> — </w:t>
      </w:r>
      <w:r w:rsidRPr="00184CEF">
        <w:t>the reasonable requirements of the public have not been satisfied</w:t>
      </w:r>
      <w:r>
        <w:t xml:space="preserve">, or </w:t>
      </w:r>
      <w:r w:rsidRPr="00184CEF">
        <w:t>the</w:t>
      </w:r>
      <w:r>
        <w:t xml:space="preserve"> patent has been used to engage in unlawful </w:t>
      </w:r>
      <w:r w:rsidRPr="00184CEF">
        <w:t>anticompetitive behaviour</w:t>
      </w:r>
      <w:r>
        <w:t xml:space="preserve">. </w:t>
      </w:r>
    </w:p>
    <w:p w14:paraId="5F8E5397" w14:textId="28EE64B3" w:rsidR="004D565F" w:rsidRDefault="004D565F" w:rsidP="004D565F">
      <w:pPr>
        <w:pStyle w:val="BodyText"/>
      </w:pPr>
      <w:r w:rsidRPr="006500CD">
        <w:t xml:space="preserve">The Patents Act defines the reasonable requirements of the public in a way that focuses on promoting domestic trades and industries (box 4). This could potentially lead to a compulsory licence being issued when it is not in the interests of the community as a whole. </w:t>
      </w:r>
      <w:r w:rsidR="0060691F">
        <w:t>The Commission has</w:t>
      </w:r>
      <w:r w:rsidR="001D538F">
        <w:t>,</w:t>
      </w:r>
      <w:r w:rsidR="0060691F">
        <w:t xml:space="preserve"> </w:t>
      </w:r>
      <w:r w:rsidRPr="006500CD">
        <w:t>therefore</w:t>
      </w:r>
      <w:r w:rsidR="001D538F">
        <w:t>,</w:t>
      </w:r>
      <w:r w:rsidRPr="006500CD">
        <w:t xml:space="preserve"> </w:t>
      </w:r>
      <w:r w:rsidR="0060691F">
        <w:t>proposed</w:t>
      </w:r>
      <w:r w:rsidRPr="006500CD">
        <w:t xml:space="preserve"> that a public interest test be used instead. The intention is to provide an access regime for cases where </w:t>
      </w:r>
      <w:r w:rsidR="00783C03">
        <w:t xml:space="preserve">greater </w:t>
      </w:r>
      <w:r w:rsidR="00783C03" w:rsidRPr="00BB13EE">
        <w:t xml:space="preserve">use of a patented invention </w:t>
      </w:r>
      <w:r w:rsidR="00783C03">
        <w:t xml:space="preserve">would deliver a </w:t>
      </w:r>
      <w:r w:rsidR="00932AE2">
        <w:t xml:space="preserve">substantial </w:t>
      </w:r>
      <w:r w:rsidR="00783C03">
        <w:t xml:space="preserve">net benefit to the community, and this opportunity arises for </w:t>
      </w:r>
      <w:r w:rsidR="00783C03" w:rsidRPr="00BB13EE">
        <w:t>reasons other than unlawful anticompetitive conduct</w:t>
      </w:r>
      <w:r w:rsidRPr="006500CD">
        <w:t>.</w:t>
      </w:r>
    </w:p>
    <w:p w14:paraId="7229A1FE" w14:textId="2F2BBAAF" w:rsidR="004D565F" w:rsidRPr="00797F30" w:rsidRDefault="0060691F" w:rsidP="004D565F">
      <w:pPr>
        <w:pStyle w:val="BodyText"/>
      </w:pPr>
      <w:r>
        <w:t xml:space="preserve">There should be </w:t>
      </w:r>
      <w:r w:rsidR="004D565F" w:rsidRPr="00C410F5">
        <w:t xml:space="preserve">general pricing principles </w:t>
      </w:r>
      <w:r w:rsidR="00C632F8">
        <w:t>that</w:t>
      </w:r>
      <w:r w:rsidR="004D565F" w:rsidRPr="00C410F5">
        <w:t xml:space="preserve"> explicitly recognise the balance between providing access to inventions and ensuring patent owners receive a return commensurate with the commercial and regulatory risks they face.</w:t>
      </w:r>
    </w:p>
    <w:p w14:paraId="42387AD2" w14:textId="77777777" w:rsidR="006F71F5" w:rsidRDefault="004D565F" w:rsidP="004D565F">
      <w:pPr>
        <w:pStyle w:val="BodyText"/>
      </w:pPr>
      <w:r>
        <w:t>Introducing an objects clause into the Patents Act could also assist by clarifying the context for compulsory licensing and the considerations that should guide a court.</w:t>
      </w:r>
      <w:r w:rsidR="006F71F5">
        <w:t xml:space="preserve"> </w:t>
      </w:r>
      <w:r w:rsidR="006F71F5" w:rsidRPr="006F71F5">
        <w:lastRenderedPageBreak/>
        <w:t xml:space="preserve">The Australian Government has agreed to </w:t>
      </w:r>
      <w:r w:rsidR="005335AB">
        <w:t>introduce</w:t>
      </w:r>
      <w:r w:rsidR="006F71F5">
        <w:t xml:space="preserve"> such a clause in response to a </w:t>
      </w:r>
      <w:r w:rsidR="006F71F5" w:rsidRPr="006F71F5">
        <w:t>recommend</w:t>
      </w:r>
      <w:r w:rsidR="006F71F5">
        <w:t xml:space="preserve">ation </w:t>
      </w:r>
      <w:r w:rsidR="007C1636">
        <w:t xml:space="preserve">made </w:t>
      </w:r>
      <w:r w:rsidR="006F71F5" w:rsidRPr="006F71F5">
        <w:t>by the Advisory Council on Intellectual Property</w:t>
      </w:r>
      <w:r w:rsidR="006F71F5">
        <w:t xml:space="preserve"> (ACIP)</w:t>
      </w:r>
      <w:r w:rsidR="006F71F5" w:rsidRPr="006F71F5">
        <w:t>.</w:t>
      </w:r>
    </w:p>
    <w:p w14:paraId="0BCC9333" w14:textId="07210412" w:rsidR="004D565F" w:rsidRDefault="004D565F" w:rsidP="004D565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rsidRPr="002C3433" w14:paraId="6E234C7E" w14:textId="77777777" w:rsidTr="003A0612">
        <w:tc>
          <w:tcPr>
            <w:tcW w:w="8771" w:type="dxa"/>
            <w:tcBorders>
              <w:top w:val="single" w:sz="6" w:space="0" w:color="auto"/>
              <w:bottom w:val="nil"/>
            </w:tcBorders>
          </w:tcPr>
          <w:p w14:paraId="4237B4E3" w14:textId="77777777" w:rsidR="004D565F" w:rsidRPr="002C3433" w:rsidRDefault="004D565F" w:rsidP="003A0612">
            <w:pPr>
              <w:pStyle w:val="BoxTitle"/>
              <w:rPr>
                <w:color w:val="000000" w:themeColor="text1"/>
              </w:rPr>
            </w:pPr>
            <w:r w:rsidRPr="002C3433">
              <w:rPr>
                <w:b w:val="0"/>
                <w:color w:val="000000" w:themeColor="text1"/>
              </w:rPr>
              <w:t>Box</w:t>
            </w:r>
            <w:r>
              <w:rPr>
                <w:b w:val="0"/>
                <w:color w:val="000000" w:themeColor="text1"/>
              </w:rPr>
              <w:t xml:space="preserve"> 4</w:t>
            </w:r>
            <w:r w:rsidRPr="002C3433">
              <w:rPr>
                <w:color w:val="000000" w:themeColor="text1"/>
              </w:rPr>
              <w:tab/>
            </w:r>
            <w:r>
              <w:rPr>
                <w:color w:val="000000" w:themeColor="text1"/>
              </w:rPr>
              <w:t>The ‘</w:t>
            </w:r>
            <w:r w:rsidRPr="00CA10F7">
              <w:t>reasonable requirements of the public</w:t>
            </w:r>
            <w:r>
              <w:t>’</w:t>
            </w:r>
          </w:p>
        </w:tc>
      </w:tr>
      <w:tr w:rsidR="004D565F" w:rsidRPr="002C3433" w14:paraId="2EE456BA" w14:textId="77777777" w:rsidTr="003A0612">
        <w:trPr>
          <w:cantSplit/>
        </w:trPr>
        <w:tc>
          <w:tcPr>
            <w:tcW w:w="8771" w:type="dxa"/>
            <w:tcBorders>
              <w:top w:val="nil"/>
              <w:left w:val="single" w:sz="6" w:space="0" w:color="auto"/>
              <w:bottom w:val="nil"/>
              <w:right w:val="single" w:sz="6" w:space="0" w:color="auto"/>
            </w:tcBorders>
          </w:tcPr>
          <w:p w14:paraId="5B3A6A6B" w14:textId="77777777" w:rsidR="004D565F" w:rsidRPr="003C342C" w:rsidRDefault="004D565F" w:rsidP="003A0612">
            <w:pPr>
              <w:pStyle w:val="Box"/>
            </w:pPr>
            <w:r>
              <w:t xml:space="preserve">Section </w:t>
            </w:r>
            <w:r w:rsidRPr="00507B5E">
              <w:t>135(1)</w:t>
            </w:r>
            <w:r>
              <w:t xml:space="preserve"> of the </w:t>
            </w:r>
            <w:r>
              <w:rPr>
                <w:i/>
              </w:rPr>
              <w:t xml:space="preserve">Patents Act 1990 </w:t>
            </w:r>
            <w:r w:rsidRPr="003C342C">
              <w:t>(Cwlth)</w:t>
            </w:r>
            <w:r>
              <w:t xml:space="preserve"> states that</w:t>
            </w:r>
            <w:r w:rsidRPr="003C342C">
              <w:t>:</w:t>
            </w:r>
          </w:p>
          <w:p w14:paraId="6B11733E" w14:textId="77777777" w:rsidR="004D565F" w:rsidRPr="00CA10F7" w:rsidRDefault="004D565F" w:rsidP="003A0612">
            <w:pPr>
              <w:pStyle w:val="Quote"/>
              <w:spacing w:before="80"/>
              <w:ind w:left="687" w:hanging="347"/>
              <w:rPr>
                <w:rFonts w:ascii="Arial" w:hAnsi="Arial" w:cs="Arial"/>
                <w:color w:val="000000" w:themeColor="text1"/>
                <w:sz w:val="20"/>
              </w:rPr>
            </w:pPr>
            <w:r w:rsidRPr="00CA10F7">
              <w:rPr>
                <w:rFonts w:ascii="Arial" w:hAnsi="Arial" w:cs="Arial"/>
                <w:color w:val="000000" w:themeColor="text1"/>
                <w:sz w:val="20"/>
              </w:rPr>
              <w:t>(1)</w:t>
            </w:r>
            <w:r w:rsidRPr="00CA10F7">
              <w:rPr>
                <w:rFonts w:ascii="Arial" w:hAnsi="Arial" w:cs="Arial"/>
                <w:color w:val="000000" w:themeColor="text1"/>
                <w:sz w:val="20"/>
              </w:rPr>
              <w:tab/>
              <w:t>… the reasonable requirements of the public with respect to a patented invention are to be taken not to have been satisfied if:</w:t>
            </w:r>
          </w:p>
          <w:p w14:paraId="177F12B4" w14:textId="77777777" w:rsidR="004D565F" w:rsidRPr="00CA10F7" w:rsidRDefault="004D565F" w:rsidP="003A0612">
            <w:pPr>
              <w:pStyle w:val="QuoteIndent"/>
              <w:spacing w:before="80"/>
              <w:ind w:left="1112" w:hanging="392"/>
              <w:rPr>
                <w:rFonts w:ascii="Arial" w:hAnsi="Arial" w:cs="Arial"/>
                <w:color w:val="000000" w:themeColor="text1"/>
                <w:sz w:val="20"/>
              </w:rPr>
            </w:pPr>
            <w:r w:rsidRPr="00CA10F7">
              <w:rPr>
                <w:rFonts w:ascii="Arial" w:hAnsi="Arial" w:cs="Arial"/>
                <w:color w:val="000000" w:themeColor="text1"/>
                <w:sz w:val="20"/>
              </w:rPr>
              <w:t>(a)</w:t>
            </w:r>
            <w:r w:rsidRPr="00CA10F7">
              <w:rPr>
                <w:rFonts w:ascii="Arial" w:hAnsi="Arial" w:cs="Arial"/>
                <w:color w:val="000000" w:themeColor="text1"/>
                <w:sz w:val="20"/>
              </w:rPr>
              <w:tab/>
              <w:t>an existing trade or industry in Australia, or the establishment of a new trade or industry in Australia, is unfairly prejudiced, or the demand in Australia for the patented product, or for a product resulting from the patented process, is not reasonably met, because of the patentee’s failure:</w:t>
            </w:r>
          </w:p>
          <w:p w14:paraId="00FD3C91"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(i)</w:t>
            </w:r>
            <w:r w:rsidRPr="00CA10F7">
              <w:rPr>
                <w:rFonts w:ascii="Arial" w:hAnsi="Arial" w:cs="Arial"/>
                <w:color w:val="000000" w:themeColor="text1"/>
                <w:sz w:val="20"/>
              </w:rPr>
              <w:tab/>
              <w:t>to manufacture the patented product to an adequate extent, and supply it on reasonable terms; or</w:t>
            </w:r>
          </w:p>
          <w:p w14:paraId="0E092A7F"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(ii)</w:t>
            </w:r>
            <w:r w:rsidRPr="00CA10F7">
              <w:rPr>
                <w:rFonts w:ascii="Arial" w:hAnsi="Arial" w:cs="Arial"/>
                <w:color w:val="000000" w:themeColor="text1"/>
                <w:sz w:val="20"/>
              </w:rPr>
              <w:tab/>
              <w:t>to manufacture, to an adequate extent, a part of the patented product that is necessary for the efficient working of the product, and supply the part on reasonable terms; or</w:t>
            </w:r>
          </w:p>
          <w:p w14:paraId="10AFF6E0"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(iii)</w:t>
            </w:r>
            <w:r w:rsidRPr="00CA10F7">
              <w:rPr>
                <w:rFonts w:ascii="Arial" w:hAnsi="Arial" w:cs="Arial"/>
                <w:color w:val="000000" w:themeColor="text1"/>
                <w:sz w:val="20"/>
              </w:rPr>
              <w:tab/>
              <w:t>to carry on the patented process to a reasonable extent; or</w:t>
            </w:r>
          </w:p>
          <w:p w14:paraId="499E98D9"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(iv)</w:t>
            </w:r>
            <w:r w:rsidRPr="00CA10F7">
              <w:rPr>
                <w:rFonts w:ascii="Arial" w:hAnsi="Arial" w:cs="Arial"/>
                <w:color w:val="000000" w:themeColor="text1"/>
                <w:sz w:val="20"/>
              </w:rPr>
              <w:tab/>
              <w:t>to grant licences on reasonable terms; or</w:t>
            </w:r>
          </w:p>
          <w:p w14:paraId="645A9821" w14:textId="77777777" w:rsidR="004D565F" w:rsidRPr="00CA10F7" w:rsidRDefault="004D565F" w:rsidP="003A0612">
            <w:pPr>
              <w:pStyle w:val="QuoteIndent"/>
              <w:spacing w:before="80"/>
              <w:ind w:left="1112" w:hanging="392"/>
              <w:rPr>
                <w:rFonts w:ascii="Arial" w:hAnsi="Arial" w:cs="Arial"/>
                <w:color w:val="000000" w:themeColor="text1"/>
                <w:sz w:val="20"/>
              </w:rPr>
            </w:pPr>
            <w:r w:rsidRPr="00CA10F7">
              <w:rPr>
                <w:rFonts w:ascii="Arial" w:hAnsi="Arial" w:cs="Arial"/>
                <w:color w:val="000000" w:themeColor="text1"/>
                <w:sz w:val="20"/>
              </w:rPr>
              <w:t>(b)</w:t>
            </w:r>
            <w:r w:rsidRPr="00CA10F7">
              <w:rPr>
                <w:rFonts w:ascii="Arial" w:hAnsi="Arial" w:cs="Arial"/>
                <w:color w:val="000000" w:themeColor="text1"/>
                <w:sz w:val="20"/>
              </w:rPr>
              <w:tab/>
              <w:t>a trade or industry in Australia is unfairly prejudiced by the conditions attached by the patentee (whether before or after the commencing day) to the purchase, hire or use of the patented product, the use or working of the patented process; or</w:t>
            </w:r>
          </w:p>
          <w:p w14:paraId="028B23AD" w14:textId="77777777" w:rsidR="004D565F" w:rsidRPr="002C3433" w:rsidRDefault="004D565F" w:rsidP="003A0612">
            <w:pPr>
              <w:pStyle w:val="QuoteIndent"/>
              <w:spacing w:before="80"/>
              <w:ind w:left="1112" w:hanging="392"/>
              <w:rPr>
                <w:color w:val="000000" w:themeColor="text1"/>
                <w:szCs w:val="24"/>
              </w:rPr>
            </w:pPr>
            <w:r w:rsidRPr="00CA10F7">
              <w:rPr>
                <w:rFonts w:ascii="Arial" w:hAnsi="Arial" w:cs="Arial"/>
                <w:color w:val="000000" w:themeColor="text1"/>
                <w:sz w:val="20"/>
              </w:rPr>
              <w:t>(c)</w:t>
            </w:r>
            <w:r w:rsidRPr="00CA10F7">
              <w:rPr>
                <w:rFonts w:ascii="Arial" w:hAnsi="Arial" w:cs="Arial"/>
                <w:color w:val="000000" w:themeColor="text1"/>
                <w:sz w:val="20"/>
              </w:rPr>
              <w:tab/>
              <w:t>if the patented invention is not being worked in Australia on a commercial scale, but is capable of being worked in Australia.</w:t>
            </w:r>
          </w:p>
        </w:tc>
      </w:tr>
      <w:tr w:rsidR="004D565F" w:rsidRPr="002C3433" w14:paraId="0F4F2BEC" w14:textId="77777777" w:rsidTr="003A0612">
        <w:trPr>
          <w:cantSplit/>
        </w:trPr>
        <w:tc>
          <w:tcPr>
            <w:tcW w:w="8771" w:type="dxa"/>
            <w:tcBorders>
              <w:top w:val="nil"/>
              <w:left w:val="single" w:sz="6" w:space="0" w:color="auto"/>
              <w:bottom w:val="single" w:sz="6" w:space="0" w:color="auto"/>
              <w:right w:val="single" w:sz="6" w:space="0" w:color="auto"/>
            </w:tcBorders>
          </w:tcPr>
          <w:p w14:paraId="08DFDDDD" w14:textId="77777777" w:rsidR="004D565F" w:rsidRPr="002C3433" w:rsidRDefault="004D565F" w:rsidP="003A0612">
            <w:pPr>
              <w:pStyle w:val="Box"/>
              <w:spacing w:before="0" w:line="120" w:lineRule="exact"/>
              <w:rPr>
                <w:color w:val="000000" w:themeColor="text1"/>
              </w:rPr>
            </w:pPr>
          </w:p>
        </w:tc>
      </w:tr>
      <w:tr w:rsidR="004D565F" w:rsidRPr="002C3433" w14:paraId="2D2C3FF1" w14:textId="77777777" w:rsidTr="003A0612">
        <w:tc>
          <w:tcPr>
            <w:tcW w:w="8771" w:type="dxa"/>
            <w:tcBorders>
              <w:top w:val="nil"/>
              <w:left w:val="nil"/>
              <w:bottom w:val="nil"/>
              <w:right w:val="nil"/>
            </w:tcBorders>
          </w:tcPr>
          <w:p w14:paraId="6B54BEE5" w14:textId="77777777" w:rsidR="004D565F" w:rsidRPr="002C3433" w:rsidRDefault="004D565F" w:rsidP="003A0612">
            <w:pPr>
              <w:pStyle w:val="Box"/>
              <w:keepNext w:val="0"/>
              <w:spacing w:before="60" w:after="60" w:line="80" w:lineRule="exact"/>
              <w:rPr>
                <w:b/>
                <w:color w:val="000000" w:themeColor="text1"/>
                <w:sz w:val="14"/>
              </w:rPr>
            </w:pPr>
          </w:p>
        </w:tc>
      </w:tr>
    </w:tbl>
    <w:p w14:paraId="159DD7D8" w14:textId="0B71BB9A" w:rsidR="004D565F" w:rsidRDefault="004D565F" w:rsidP="004D565F">
      <w:pPr>
        <w:pStyle w:val="BodyText"/>
      </w:pPr>
      <w:r>
        <w:t>The Patents Act defines the other ground for a compulsory licence</w:t>
      </w:r>
      <w:r w:rsidR="00B937E2">
        <w:br/>
      </w:r>
      <w:r>
        <w:t xml:space="preserve"> — anticompetitive behaviour — as a contravention of Part IV of the </w:t>
      </w:r>
      <w:r w:rsidRPr="00951852">
        <w:rPr>
          <w:i/>
        </w:rPr>
        <w:t>Competition and Consumer Act 2010</w:t>
      </w:r>
      <w:r>
        <w:t xml:space="preserve"> (Cwlth) in connection with a patent</w:t>
      </w:r>
      <w:r w:rsidRPr="00E852BC">
        <w:t>. This creates overlap and</w:t>
      </w:r>
      <w:r>
        <w:t xml:space="preserve"> inconsistency because </w:t>
      </w:r>
      <w:r w:rsidR="00826C4E">
        <w:t xml:space="preserve">different </w:t>
      </w:r>
      <w:r>
        <w:t xml:space="preserve">remedies against such behaviour are also available </w:t>
      </w:r>
      <w:r w:rsidR="00826C4E">
        <w:t xml:space="preserve">in </w:t>
      </w:r>
      <w:r>
        <w:t xml:space="preserve">the </w:t>
      </w:r>
      <w:r w:rsidRPr="00832EE2">
        <w:t>Competition and Consumer Act</w:t>
      </w:r>
      <w:r>
        <w:t xml:space="preserve"> itself (including </w:t>
      </w:r>
      <w:r w:rsidR="00826C4E">
        <w:t>effectively</w:t>
      </w:r>
      <w:r>
        <w:t xml:space="preserve"> a compulsory licence). Moreover, there are differences between the two Acts in the rights afforded to prospective applicants and the potential litigation avenues and process. </w:t>
      </w:r>
      <w:r w:rsidR="00A9405F">
        <w:t>I</w:t>
      </w:r>
      <w:r w:rsidR="00F37877">
        <w:t>t is proposed</w:t>
      </w:r>
      <w:r w:rsidRPr="00561FBC">
        <w:t xml:space="preserve"> that the competition </w:t>
      </w:r>
      <w:r>
        <w:t>provisions</w:t>
      </w:r>
      <w:r w:rsidRPr="00561FBC">
        <w:t xml:space="preserve"> be taken out of the Patents Act</w:t>
      </w:r>
      <w:r>
        <w:t xml:space="preserve">, and that the </w:t>
      </w:r>
      <w:r w:rsidRPr="009F039B">
        <w:t>Competition and Consumer Act</w:t>
      </w:r>
      <w:r>
        <w:t xml:space="preserve"> be amended to explicitly state that compulsory licences are available as a remedy for breaches of Part IV. </w:t>
      </w:r>
    </w:p>
    <w:p w14:paraId="636E4465" w14:textId="749F9563" w:rsidR="002751AA" w:rsidRDefault="002751AA" w:rsidP="004D565F">
      <w:pPr>
        <w:pStyle w:val="BodyText"/>
      </w:pPr>
      <w:r w:rsidRPr="00180F2E">
        <w:t xml:space="preserve">Some aspects of </w:t>
      </w:r>
      <w:r>
        <w:t>IP</w:t>
      </w:r>
      <w:r w:rsidRPr="00180F2E">
        <w:t xml:space="preserve"> are exempted from </w:t>
      </w:r>
      <w:r>
        <w:t>certain</w:t>
      </w:r>
      <w:r w:rsidRPr="00180F2E">
        <w:t xml:space="preserve"> provisions of Part IV. The rationale for the exemption is unclear. </w:t>
      </w:r>
      <w:r w:rsidR="00E363C3">
        <w:t xml:space="preserve">It </w:t>
      </w:r>
      <w:r w:rsidRPr="00180F2E">
        <w:t>ha</w:t>
      </w:r>
      <w:r w:rsidR="00E363C3">
        <w:t>s</w:t>
      </w:r>
      <w:r w:rsidRPr="00180F2E">
        <w:t xml:space="preserve"> been scrutinised in past reviews, including by the National Competition Council, which effectively recommended removing </w:t>
      </w:r>
      <w:r w:rsidR="00E363C3">
        <w:t>it</w:t>
      </w:r>
      <w:r w:rsidRPr="00180F2E">
        <w:t>.</w:t>
      </w:r>
      <w:r w:rsidR="00217449">
        <w:t xml:space="preserve"> </w:t>
      </w:r>
      <w:r w:rsidR="004C711B">
        <w:t>The</w:t>
      </w:r>
      <w:r w:rsidR="00217449" w:rsidRPr="00180F2E">
        <w:t xml:space="preserve"> A</w:t>
      </w:r>
      <w:r w:rsidR="00217449">
        <w:t xml:space="preserve">ustralian Competition and Consumer Commission </w:t>
      </w:r>
      <w:r w:rsidR="00B66612">
        <w:t xml:space="preserve">(ACCC) </w:t>
      </w:r>
      <w:r w:rsidR="00217449">
        <w:t xml:space="preserve">has </w:t>
      </w:r>
      <w:r w:rsidR="00071B55">
        <w:t xml:space="preserve">also called for </w:t>
      </w:r>
      <w:r w:rsidR="00E363C3">
        <w:t>its</w:t>
      </w:r>
      <w:r w:rsidR="004C711B">
        <w:t xml:space="preserve"> removal on the grounds that </w:t>
      </w:r>
      <w:r w:rsidR="00D37077">
        <w:t xml:space="preserve">IP rights </w:t>
      </w:r>
      <w:r w:rsidR="004C711B">
        <w:t xml:space="preserve">should </w:t>
      </w:r>
      <w:r w:rsidR="00D37077">
        <w:t xml:space="preserve">be treated the same as other </w:t>
      </w:r>
      <w:r w:rsidR="00D37077">
        <w:lastRenderedPageBreak/>
        <w:t>property.</w:t>
      </w:r>
      <w:r w:rsidR="00C3797B">
        <w:t xml:space="preserve"> The Productivity Commission </w:t>
      </w:r>
      <w:r w:rsidR="00A6441F" w:rsidRPr="002F29A7">
        <w:t xml:space="preserve">is mindful that </w:t>
      </w:r>
      <w:r w:rsidR="00A6441F">
        <w:t>the exemption</w:t>
      </w:r>
      <w:r w:rsidR="00A6441F" w:rsidRPr="002F29A7">
        <w:t xml:space="preserve"> addresses a range of </w:t>
      </w:r>
      <w:r w:rsidR="00A6441F">
        <w:t>IP</w:t>
      </w:r>
      <w:r w:rsidR="00A6441F" w:rsidRPr="002F29A7">
        <w:t xml:space="preserve"> issues</w:t>
      </w:r>
      <w:r w:rsidR="00A6441F">
        <w:t>,</w:t>
      </w:r>
      <w:r w:rsidR="00A6441F" w:rsidRPr="002F29A7">
        <w:t xml:space="preserve"> but </w:t>
      </w:r>
      <w:r w:rsidR="00A6441F">
        <w:t>with</w:t>
      </w:r>
      <w:r w:rsidR="00A6441F" w:rsidRPr="002F29A7">
        <w:t xml:space="preserve"> respect to access to patents see</w:t>
      </w:r>
      <w:r w:rsidR="00A6441F">
        <w:t>s</w:t>
      </w:r>
      <w:r w:rsidR="00A6441F" w:rsidRPr="002F29A7">
        <w:t xml:space="preserve"> no reason why it should not be repealed</w:t>
      </w:r>
      <w:r w:rsidR="00C3797B">
        <w:t>.</w:t>
      </w:r>
    </w:p>
    <w:p w14:paraId="1842C91C" w14:textId="77777777" w:rsidR="004D565F" w:rsidRDefault="004D565F" w:rsidP="00BD32E3">
      <w:pPr>
        <w:pStyle w:val="Heading3"/>
      </w:pPr>
      <w:r>
        <w:t>Clarifying international treaty obligations</w:t>
      </w:r>
    </w:p>
    <w:p w14:paraId="5529F8A9" w14:textId="2362DC65" w:rsidR="004D565F" w:rsidRDefault="004D565F" w:rsidP="004D565F">
      <w:pPr>
        <w:pStyle w:val="BodyText"/>
      </w:pPr>
      <w:r>
        <w:t>Rather than incorporate all relevant international treaty obligations into the compulsory licensing provisions, the Patents Act simply states that a compulsory licence order must not be made if it ‘is inconsistent with a treaty between the Commonwealth and a foreign country’</w:t>
      </w:r>
      <w:r w:rsidR="001F1FB5">
        <w:t xml:space="preserve"> (s. 136)</w:t>
      </w:r>
      <w:r>
        <w:t xml:space="preserve">. This has led to a situation where the provisions </w:t>
      </w:r>
      <w:r w:rsidR="00826C4E">
        <w:t xml:space="preserve">of the Patents Act </w:t>
      </w:r>
      <w:r>
        <w:t xml:space="preserve">may no longer be consistent with international agreements. In particular, there is </w:t>
      </w:r>
      <w:r w:rsidR="001D7CBC">
        <w:t xml:space="preserve">a </w:t>
      </w:r>
      <w:r>
        <w:t>widely held view among interested parties that the Australia</w:t>
      </w:r>
      <w:r w:rsidR="00BD7089">
        <w:t>–</w:t>
      </w:r>
      <w:r>
        <w:t xml:space="preserve">United States Free Trade Agreement (AUSFTA) does not permit a compulsory licence to be granted on the grounds that the reasonable requirements of the public are unsatisfied. It could be similarly argued that </w:t>
      </w:r>
      <w:r w:rsidR="00ED6FBD">
        <w:t>the Commission’s</w:t>
      </w:r>
      <w:r>
        <w:t xml:space="preserve"> proposed alternative of a public interest test breaches AUSFTA.</w:t>
      </w:r>
    </w:p>
    <w:p w14:paraId="5D030507" w14:textId="176052B6" w:rsidR="004A4BAC" w:rsidRPr="006B63CE" w:rsidRDefault="004D565F" w:rsidP="00E27BDD">
      <w:pPr>
        <w:pStyle w:val="BodyText"/>
        <w:rPr>
          <w:b/>
        </w:rPr>
      </w:pPr>
      <w:r>
        <w:t xml:space="preserve">However, the Australian Government has publicly stated that the existing compulsory licensing provisions are compliant with AUSFTA (in which case, </w:t>
      </w:r>
      <w:r w:rsidR="00C906B8">
        <w:t>the Commission’s</w:t>
      </w:r>
      <w:r>
        <w:t xml:space="preserve"> proposed public interest test </w:t>
      </w:r>
      <w:r w:rsidR="00826C4E">
        <w:t>should</w:t>
      </w:r>
      <w:r>
        <w:t xml:space="preserve"> also </w:t>
      </w:r>
      <w:r w:rsidR="00826C4E">
        <w:t xml:space="preserve">be </w:t>
      </w:r>
      <w:r>
        <w:t xml:space="preserve">compliant). To remove any doubt, the clause in the Patents Act requiring </w:t>
      </w:r>
      <w:r w:rsidR="00345724">
        <w:t>compulsory lic</w:t>
      </w:r>
      <w:r w:rsidR="00534265">
        <w:t>e</w:t>
      </w:r>
      <w:r w:rsidR="00345724">
        <w:t xml:space="preserve">nce orders to be </w:t>
      </w:r>
      <w:r>
        <w:t>consisten</w:t>
      </w:r>
      <w:r w:rsidR="00345724">
        <w:t>t</w:t>
      </w:r>
      <w:r>
        <w:t xml:space="preserve"> with international treaties </w:t>
      </w:r>
      <w:r w:rsidR="00AC1BFF">
        <w:t xml:space="preserve">should </w:t>
      </w:r>
      <w:r>
        <w:t>be removed</w:t>
      </w:r>
      <w:r w:rsidR="008A6F0C">
        <w:t xml:space="preserve">. </w:t>
      </w:r>
      <w:r w:rsidR="00826C4E">
        <w:t>Current and f</w:t>
      </w:r>
      <w:r>
        <w:t xml:space="preserve">uture treaty obligations </w:t>
      </w:r>
      <w:r w:rsidR="00E451E7">
        <w:t xml:space="preserve">with respect to compulsory licensing </w:t>
      </w:r>
      <w:r w:rsidR="008A6F0C">
        <w:t xml:space="preserve">should </w:t>
      </w:r>
      <w:r>
        <w:t xml:space="preserve">be incorporated directly into the Patents Act </w:t>
      </w:r>
      <w:r w:rsidR="005C081E" w:rsidRPr="005C081E">
        <w:t>or its subordinate legislation</w:t>
      </w:r>
      <w:r>
        <w:t xml:space="preserve">. </w:t>
      </w:r>
      <w:r w:rsidR="00E27BDD">
        <w:t xml:space="preserve">While this </w:t>
      </w:r>
      <w:r w:rsidR="002D41EE">
        <w:t>could</w:t>
      </w:r>
      <w:r w:rsidR="005A049F">
        <w:t xml:space="preserve"> </w:t>
      </w:r>
      <w:r w:rsidR="00E04A04">
        <w:t>raise</w:t>
      </w:r>
      <w:r w:rsidR="005A049F">
        <w:t xml:space="preserve"> the cost of implementing treaties</w:t>
      </w:r>
      <w:r w:rsidR="00EE7BB6">
        <w:t xml:space="preserve"> on intellectual property</w:t>
      </w:r>
      <w:r w:rsidR="00E27BDD">
        <w:t xml:space="preserve">, it </w:t>
      </w:r>
      <w:r w:rsidR="00C57FFE">
        <w:t xml:space="preserve">will be </w:t>
      </w:r>
      <w:r w:rsidR="00C07E56">
        <w:t>outweighed by the benefit</w:t>
      </w:r>
      <w:r w:rsidR="00E27BDD">
        <w:t xml:space="preserve"> </w:t>
      </w:r>
      <w:r w:rsidR="00C25D6E">
        <w:t>of</w:t>
      </w:r>
      <w:r>
        <w:t xml:space="preserve"> </w:t>
      </w:r>
      <w:r w:rsidR="003A0E27">
        <w:t>having</w:t>
      </w:r>
      <w:r>
        <w:t xml:space="preserve"> </w:t>
      </w:r>
      <w:r w:rsidR="00A14EEF">
        <w:t xml:space="preserve">treaty terms </w:t>
      </w:r>
      <w:r w:rsidR="00D818C6">
        <w:t>translated into</w:t>
      </w:r>
      <w:r w:rsidR="00A14EEF">
        <w:t xml:space="preserve"> standard legislative language</w:t>
      </w:r>
      <w:r w:rsidR="00A14EEF" w:rsidDel="00A14EEF">
        <w:t xml:space="preserve"> </w:t>
      </w:r>
      <w:r w:rsidR="00A14EEF">
        <w:t xml:space="preserve">and </w:t>
      </w:r>
      <w:r w:rsidR="0017631F">
        <w:t xml:space="preserve">scrutinised </w:t>
      </w:r>
      <w:r w:rsidR="004A4BAC">
        <w:t xml:space="preserve">more thoroughly </w:t>
      </w:r>
      <w:r w:rsidR="00A14EEF">
        <w:t>by the Parliament</w:t>
      </w:r>
      <w:r w:rsidR="004A4BAC">
        <w:t>.</w:t>
      </w:r>
      <w:r w:rsidR="00EE7BB6">
        <w:t xml:space="preserve"> It would also be consistent with </w:t>
      </w:r>
      <w:r w:rsidR="00FB3AAE">
        <w:t xml:space="preserve">how </w:t>
      </w:r>
      <w:r w:rsidR="00B31998">
        <w:t>Australia has implemented treaties</w:t>
      </w:r>
      <w:r w:rsidR="00FB3AAE">
        <w:t xml:space="preserve"> </w:t>
      </w:r>
      <w:r w:rsidR="005559BA">
        <w:t>on other matters</w:t>
      </w:r>
      <w:r w:rsidR="00B31998">
        <w:t>,</w:t>
      </w:r>
      <w:r w:rsidR="005559BA">
        <w:t xml:space="preserve"> </w:t>
      </w:r>
      <w:r w:rsidR="00EE7BB6">
        <w:t xml:space="preserve">such as </w:t>
      </w:r>
      <w:r w:rsidR="005559BA">
        <w:t>the environment, human rights and arms control</w:t>
      </w:r>
      <w:r w:rsidR="00FB3AAE">
        <w:t>.</w:t>
      </w:r>
    </w:p>
    <w:p w14:paraId="251D32DD" w14:textId="77777777" w:rsidR="00E06A8D" w:rsidRDefault="00E06A8D" w:rsidP="00E06A8D">
      <w:pPr>
        <w:pStyle w:val="Heading3"/>
      </w:pPr>
      <w:r>
        <w:t>Dependent patents</w:t>
      </w:r>
    </w:p>
    <w:p w14:paraId="6138FDFB" w14:textId="21E87250" w:rsidR="00E06A8D" w:rsidRDefault="00E06A8D" w:rsidP="00C161F1">
      <w:pPr>
        <w:pStyle w:val="BodyText"/>
      </w:pPr>
      <w:r>
        <w:t>If a compulsory licence is granted for an invention that cannot be worked without infringing another (dependent) patent, the court can order the dependent pate</w:t>
      </w:r>
      <w:r w:rsidR="008C7164">
        <w:t>nt holder to also grant a licenc</w:t>
      </w:r>
      <w:r>
        <w:t xml:space="preserve">e. Some inquiry participants </w:t>
      </w:r>
      <w:r w:rsidR="00B77EF0">
        <w:t>argued that</w:t>
      </w:r>
      <w:r>
        <w:t xml:space="preserve"> </w:t>
      </w:r>
      <w:r w:rsidR="00290EAB">
        <w:t xml:space="preserve">the presence of a </w:t>
      </w:r>
      <w:r>
        <w:t xml:space="preserve">dependent patent </w:t>
      </w:r>
      <w:r w:rsidR="00B77EF0">
        <w:t xml:space="preserve">should </w:t>
      </w:r>
      <w:r w:rsidR="00C161F1">
        <w:t xml:space="preserve">be </w:t>
      </w:r>
      <w:r>
        <w:t xml:space="preserve">a standalone ground for </w:t>
      </w:r>
      <w:r w:rsidR="00290EAB">
        <w:t xml:space="preserve">a </w:t>
      </w:r>
      <w:r>
        <w:t>compulsory licen</w:t>
      </w:r>
      <w:r w:rsidR="00290EAB">
        <w:t>ce</w:t>
      </w:r>
      <w:r>
        <w:t xml:space="preserve">. The Australian Law Reform Commission </w:t>
      </w:r>
      <w:r w:rsidR="00484349">
        <w:t xml:space="preserve">considered this option </w:t>
      </w:r>
      <w:r w:rsidR="00C47BE2">
        <w:t xml:space="preserve">in a 2004 review </w:t>
      </w:r>
      <w:r w:rsidR="00484349">
        <w:t>and</w:t>
      </w:r>
      <w:r w:rsidR="00D522C9">
        <w:t xml:space="preserve"> concluded</w:t>
      </w:r>
      <w:r w:rsidR="007344A4">
        <w:t xml:space="preserve"> </w:t>
      </w:r>
      <w:r w:rsidR="00D522C9">
        <w:t xml:space="preserve">that </w:t>
      </w:r>
      <w:r w:rsidR="00484349">
        <w:t>it was</w:t>
      </w:r>
      <w:r w:rsidR="00D522C9">
        <w:t xml:space="preserve"> </w:t>
      </w:r>
      <w:r w:rsidR="007344A4">
        <w:t xml:space="preserve">unnecessary because </w:t>
      </w:r>
      <w:r w:rsidR="00C47BE2">
        <w:t xml:space="preserve">the circumstances in which a dependent patent situation may arise </w:t>
      </w:r>
      <w:r w:rsidR="000A137F">
        <w:t>a</w:t>
      </w:r>
      <w:r w:rsidR="00C47BE2">
        <w:t xml:space="preserve">re already covered by </w:t>
      </w:r>
      <w:r w:rsidR="00484349">
        <w:t>the reasonable requirements of the public test.</w:t>
      </w:r>
      <w:r w:rsidR="00037C41">
        <w:t xml:space="preserve"> Similarly, the Productivity Commission considers that its recommended </w:t>
      </w:r>
      <w:r w:rsidR="00037C41">
        <w:lastRenderedPageBreak/>
        <w:t xml:space="preserve">competition and public interest tests </w:t>
      </w:r>
      <w:r w:rsidR="00071302">
        <w:t xml:space="preserve">— in combination with the existing provisions on dependent patents — </w:t>
      </w:r>
      <w:r w:rsidR="00037C41">
        <w:t xml:space="preserve">would make a separate dependent patent ground redundant. </w:t>
      </w:r>
    </w:p>
    <w:p w14:paraId="0343B0C5" w14:textId="77777777" w:rsidR="004D565F" w:rsidRDefault="004D565F" w:rsidP="004D565F">
      <w:pPr>
        <w:pStyle w:val="Heading2"/>
      </w:pPr>
      <w:r>
        <w:t>Alternative mechanisms</w:t>
      </w:r>
    </w:p>
    <w:p w14:paraId="56E116C2" w14:textId="77777777" w:rsidR="004D565F" w:rsidRDefault="004D565F" w:rsidP="004D565F">
      <w:pPr>
        <w:pStyle w:val="BodyText"/>
      </w:pPr>
      <w:r>
        <w:t xml:space="preserve">As requested by the Government, </w:t>
      </w:r>
      <w:r w:rsidR="001A632C">
        <w:t>the Commission has</w:t>
      </w:r>
      <w:r>
        <w:t xml:space="preserve"> also considered existing and potential alternatives to compulsory licensing. </w:t>
      </w:r>
      <w:r w:rsidR="00300716">
        <w:t>T</w:t>
      </w:r>
      <w:r w:rsidR="00081EBB">
        <w:t xml:space="preserve">he </w:t>
      </w:r>
      <w:r>
        <w:t>focus</w:t>
      </w:r>
      <w:r w:rsidR="00081EBB">
        <w:t xml:space="preserve"> </w:t>
      </w:r>
      <w:r w:rsidR="00300716">
        <w:t xml:space="preserve">of this analysis </w:t>
      </w:r>
      <w:r w:rsidR="00081EBB">
        <w:t xml:space="preserve">has largely been </w:t>
      </w:r>
      <w:r>
        <w:t>on how to facilitate access to healthcare, as this is where the key concerns exist.</w:t>
      </w:r>
      <w:r w:rsidR="00300716">
        <w:t xml:space="preserve"> In its consideration of different options, </w:t>
      </w:r>
      <w:r w:rsidR="00081EBB">
        <w:t xml:space="preserve">the Commission </w:t>
      </w:r>
      <w:r w:rsidR="00300716">
        <w:t xml:space="preserve">has </w:t>
      </w:r>
      <w:r>
        <w:t>support</w:t>
      </w:r>
      <w:r w:rsidR="00300716">
        <w:t>ed</w:t>
      </w:r>
      <w:r>
        <w:t xml:space="preserve"> the </w:t>
      </w:r>
      <w:r w:rsidR="00483792">
        <w:t xml:space="preserve">long-held position of successive Australian Governments, and the </w:t>
      </w:r>
      <w:r>
        <w:t xml:space="preserve">view put by most </w:t>
      </w:r>
      <w:r w:rsidR="00483792">
        <w:t xml:space="preserve">inquiry </w:t>
      </w:r>
      <w:r>
        <w:t>participants</w:t>
      </w:r>
      <w:r w:rsidR="00483792">
        <w:t>,</w:t>
      </w:r>
      <w:r>
        <w:t xml:space="preserve"> that it is generally desirable for the patents system to be technology neutral.</w:t>
      </w:r>
    </w:p>
    <w:p w14:paraId="1432FC3B" w14:textId="77777777" w:rsidR="004D565F" w:rsidRDefault="004D565F" w:rsidP="00BD32E3">
      <w:pPr>
        <w:pStyle w:val="Heading3"/>
      </w:pPr>
      <w:r>
        <w:t>Crown use and acquisition</w:t>
      </w:r>
    </w:p>
    <w:p w14:paraId="591B552E" w14:textId="0667FBE8" w:rsidR="00076D2C" w:rsidRPr="00076D2C" w:rsidRDefault="004D565F" w:rsidP="00076D2C">
      <w:pPr>
        <w:pStyle w:val="BodyText"/>
      </w:pPr>
      <w:r w:rsidRPr="00256DF6">
        <w:t xml:space="preserve">The Patents Act contains specific provisions for the Australian and State Governments </w:t>
      </w:r>
      <w:r w:rsidR="000948F6">
        <w:t xml:space="preserve">and their agencies </w:t>
      </w:r>
      <w:r w:rsidR="00523B0C">
        <w:t xml:space="preserve">(including local governments) </w:t>
      </w:r>
      <w:r w:rsidRPr="00256DF6">
        <w:t xml:space="preserve">to use a patented invention (Crown use) or acquire it (Crown acquisition) without the owner’s authorisation. </w:t>
      </w:r>
      <w:r w:rsidRPr="00076D2C">
        <w:t xml:space="preserve">Only two cases of Crown use have been contested in a court, both of which were allowed — use of a central bearing structure for rail carriages by the NSW Government in 1964, and a water meter assembly by Brisbane City Council in 1994. </w:t>
      </w:r>
      <w:r w:rsidR="00AF16EA">
        <w:t xml:space="preserve">While governments may have acquired patents on a voluntary basis, to </w:t>
      </w:r>
      <w:r w:rsidR="009C43A6" w:rsidRPr="00076D2C">
        <w:t>the Commission’s knowledge</w:t>
      </w:r>
      <w:r w:rsidR="00AF16EA">
        <w:t xml:space="preserve"> they have never </w:t>
      </w:r>
      <w:r w:rsidR="0004468D">
        <w:t xml:space="preserve">compulsorily acquired </w:t>
      </w:r>
      <w:r w:rsidR="00904B0F">
        <w:t>a patent</w:t>
      </w:r>
      <w:r w:rsidR="00AF16EA">
        <w:t xml:space="preserve"> </w:t>
      </w:r>
      <w:r w:rsidR="00481A4C">
        <w:t>through</w:t>
      </w:r>
      <w:r w:rsidR="00860FFE">
        <w:t xml:space="preserve"> the</w:t>
      </w:r>
      <w:r w:rsidR="009C43A6" w:rsidRPr="00076D2C">
        <w:t xml:space="preserve"> </w:t>
      </w:r>
      <w:r w:rsidRPr="00076D2C">
        <w:t>Crown acquisition</w:t>
      </w:r>
      <w:r w:rsidR="00860FFE">
        <w:t xml:space="preserve"> provisions</w:t>
      </w:r>
      <w:r w:rsidR="00E413CE" w:rsidRPr="00076D2C">
        <w:t xml:space="preserve">. This </w:t>
      </w:r>
      <w:r w:rsidR="006B7D59" w:rsidRPr="00076D2C">
        <w:t xml:space="preserve">is probably because </w:t>
      </w:r>
      <w:r w:rsidRPr="00076D2C">
        <w:t>Crown use</w:t>
      </w:r>
      <w:r w:rsidR="00A40F6D" w:rsidRPr="00076D2C">
        <w:t xml:space="preserve"> is </w:t>
      </w:r>
      <w:r w:rsidR="00BA25D0" w:rsidRPr="00076D2C">
        <w:t xml:space="preserve">sufficient to exploit an invention and is </w:t>
      </w:r>
      <w:r w:rsidR="00A40F6D" w:rsidRPr="00076D2C">
        <w:t>less costly</w:t>
      </w:r>
      <w:r w:rsidR="00281C10" w:rsidRPr="00076D2C">
        <w:t xml:space="preserve">, since </w:t>
      </w:r>
      <w:r w:rsidR="006B7D59" w:rsidRPr="00076D2C">
        <w:t xml:space="preserve">the patent </w:t>
      </w:r>
      <w:r w:rsidR="00984442" w:rsidRPr="00076D2C">
        <w:t>holder</w:t>
      </w:r>
      <w:r w:rsidR="006B7D59" w:rsidRPr="00076D2C">
        <w:t xml:space="preserve"> </w:t>
      </w:r>
      <w:r w:rsidR="00A40F6D" w:rsidRPr="00076D2C">
        <w:t xml:space="preserve">does not </w:t>
      </w:r>
      <w:r w:rsidR="00984442" w:rsidRPr="00076D2C">
        <w:t xml:space="preserve">have to be compensated for </w:t>
      </w:r>
      <w:r w:rsidR="000F59C4">
        <w:t>a</w:t>
      </w:r>
      <w:r w:rsidR="00547AAA">
        <w:t xml:space="preserve"> loss of </w:t>
      </w:r>
      <w:r w:rsidR="00120BE6">
        <w:t xml:space="preserve">earnings from </w:t>
      </w:r>
      <w:r w:rsidR="00AE4A19">
        <w:t xml:space="preserve">using the patent itself </w:t>
      </w:r>
      <w:r w:rsidR="00120BE6">
        <w:t xml:space="preserve">and </w:t>
      </w:r>
      <w:r w:rsidR="00A93555">
        <w:t>licen</w:t>
      </w:r>
      <w:r w:rsidR="00AE4A19">
        <w:t xml:space="preserve">sing it to </w:t>
      </w:r>
      <w:r w:rsidR="00A93555">
        <w:t>third parties</w:t>
      </w:r>
      <w:r w:rsidR="00984442" w:rsidRPr="00076D2C">
        <w:t>.</w:t>
      </w:r>
      <w:r w:rsidR="00076D2C" w:rsidRPr="00076D2C">
        <w:t xml:space="preserve"> The Commission has</w:t>
      </w:r>
      <w:r w:rsidR="008210D8">
        <w:t>,</w:t>
      </w:r>
      <w:r w:rsidR="00076D2C" w:rsidRPr="00076D2C">
        <w:t xml:space="preserve"> therefore</w:t>
      </w:r>
      <w:r w:rsidR="008210D8">
        <w:t>,</w:t>
      </w:r>
      <w:r w:rsidR="00076D2C" w:rsidRPr="00076D2C">
        <w:t xml:space="preserve"> focused on Crown use.</w:t>
      </w:r>
    </w:p>
    <w:p w14:paraId="276AA7A4" w14:textId="77777777" w:rsidR="004D565F" w:rsidRDefault="004D565F" w:rsidP="004D565F">
      <w:pPr>
        <w:pStyle w:val="BodyText"/>
      </w:pPr>
      <w:r>
        <w:t>Governments will generally find Crown use to be a less costly and time-consuming option than compulsory licensing. There is currently no requirement to first attempt to negotiate with the patent owner and, if unsuccessful, apply to the Federal Court for authorisation to use an invention. A patent owner can apply for a court determination on the compensation it receives but, unlike</w:t>
      </w:r>
      <w:r w:rsidRPr="0021594E">
        <w:t xml:space="preserve"> </w:t>
      </w:r>
      <w:r>
        <w:t xml:space="preserve">compulsory licensing, there is </w:t>
      </w:r>
      <w:r w:rsidR="00C34892">
        <w:t xml:space="preserve">currently </w:t>
      </w:r>
      <w:r>
        <w:t>no explicit requirement for this to be ‘just and reasonable’.</w:t>
      </w:r>
    </w:p>
    <w:p w14:paraId="41ADF414" w14:textId="77777777" w:rsidR="000971C3" w:rsidRDefault="00454733" w:rsidP="004D565F">
      <w:pPr>
        <w:pStyle w:val="BodyText"/>
      </w:pPr>
      <w:r>
        <w:t>Moreover, it appears that Crown use can be applied to healthcare-related patents, given that governments have a major role in providing healthcare.</w:t>
      </w:r>
      <w:r w:rsidR="00323976">
        <w:t xml:space="preserve"> </w:t>
      </w:r>
      <w:r w:rsidR="00A056E4">
        <w:t xml:space="preserve">However, inquiry participants were uncertain about this </w:t>
      </w:r>
      <w:r w:rsidR="003F7CFB">
        <w:t>for several reasons</w:t>
      </w:r>
      <w:r w:rsidR="00A056E4">
        <w:t>.</w:t>
      </w:r>
    </w:p>
    <w:p w14:paraId="49798845" w14:textId="77777777" w:rsidR="00454733" w:rsidRDefault="00454733" w:rsidP="00454733">
      <w:pPr>
        <w:pStyle w:val="ListBullet"/>
      </w:pPr>
      <w:r>
        <w:t xml:space="preserve">The Patents Act states that Crown use can only be used ‘for the services of’ a government, which the courts could interpret narrowly to exclude healthcare. </w:t>
      </w:r>
      <w:r>
        <w:lastRenderedPageBreak/>
        <w:t>Conversely, it could be argued that this is unlikely, given that Crown use has previously been allowed for railways and domestic water supply.</w:t>
      </w:r>
    </w:p>
    <w:p w14:paraId="566D9336" w14:textId="2A79D4B2" w:rsidR="00454733" w:rsidRDefault="00454733" w:rsidP="00454733">
      <w:pPr>
        <w:pStyle w:val="ListBullet"/>
      </w:pPr>
      <w:r>
        <w:t xml:space="preserve">Healthcare services are sometimes </w:t>
      </w:r>
      <w:r w:rsidR="007910F2">
        <w:t xml:space="preserve">supplied </w:t>
      </w:r>
      <w:r>
        <w:t>by non-government o</w:t>
      </w:r>
      <w:r w:rsidR="00970017">
        <w:t>rganisations</w:t>
      </w:r>
      <w:r w:rsidR="007910F2">
        <w:t xml:space="preserve"> —</w:t>
      </w:r>
      <w:r w:rsidR="00970017">
        <w:t xml:space="preserve"> such as privately </w:t>
      </w:r>
      <w:r>
        <w:t>owned testing laboratories</w:t>
      </w:r>
      <w:r w:rsidR="007910F2">
        <w:t xml:space="preserve"> and not-for-profit bodies —</w:t>
      </w:r>
      <w:r w:rsidR="00B872DD">
        <w:t xml:space="preserve"> which some participants </w:t>
      </w:r>
      <w:r w:rsidR="00DA6CA5">
        <w:t>considered to be outside the scope of Crown use</w:t>
      </w:r>
      <w:r>
        <w:t xml:space="preserve">. </w:t>
      </w:r>
      <w:r w:rsidR="00DA6CA5">
        <w:t xml:space="preserve">An alternative view is that </w:t>
      </w:r>
      <w:r w:rsidR="008210D8">
        <w:t>non-</w:t>
      </w:r>
      <w:r w:rsidR="00672FA7">
        <w:t xml:space="preserve">government </w:t>
      </w:r>
      <w:r w:rsidR="00DA6CA5">
        <w:t xml:space="preserve">providers </w:t>
      </w:r>
      <w:r w:rsidR="009E5788">
        <w:t xml:space="preserve">can be included </w:t>
      </w:r>
      <w:r w:rsidR="00DA6CA5">
        <w:t xml:space="preserve">because </w:t>
      </w:r>
      <w:r>
        <w:t>the Patents Act allows a government to authorise other parties to und</w:t>
      </w:r>
      <w:r w:rsidR="007256FA">
        <w:t>ertake Crown use on behalf</w:t>
      </w:r>
      <w:r w:rsidR="007910F2">
        <w:t xml:space="preserve"> of th</w:t>
      </w:r>
      <w:r w:rsidR="00E368C4">
        <w:t>at</w:t>
      </w:r>
      <w:r w:rsidR="007910F2">
        <w:t xml:space="preserve"> government</w:t>
      </w:r>
      <w:r w:rsidR="007256FA">
        <w:t>.</w:t>
      </w:r>
    </w:p>
    <w:p w14:paraId="44B557C8" w14:textId="77777777" w:rsidR="007256FA" w:rsidRPr="005A7017" w:rsidRDefault="00072CE5" w:rsidP="00454733">
      <w:pPr>
        <w:pStyle w:val="ListBullet"/>
      </w:pPr>
      <w:r>
        <w:t>G</w:t>
      </w:r>
      <w:r w:rsidR="008A54EB" w:rsidRPr="00167255">
        <w:t xml:space="preserve">enetic </w:t>
      </w:r>
      <w:r w:rsidR="008A54EB">
        <w:t xml:space="preserve">samples taken in </w:t>
      </w:r>
      <w:r>
        <w:t>one</w:t>
      </w:r>
      <w:r w:rsidR="008A54EB">
        <w:t xml:space="preserve"> state </w:t>
      </w:r>
      <w:r>
        <w:t>are</w:t>
      </w:r>
      <w:r w:rsidR="008A54EB">
        <w:t xml:space="preserve"> sometimes </w:t>
      </w:r>
      <w:r>
        <w:t xml:space="preserve">tested by </w:t>
      </w:r>
      <w:r w:rsidR="008A54EB">
        <w:t>a laboratory in another state</w:t>
      </w:r>
      <w:r>
        <w:t xml:space="preserve">. </w:t>
      </w:r>
      <w:r w:rsidR="00D62D96">
        <w:t>Some p</w:t>
      </w:r>
      <w:r>
        <w:t xml:space="preserve">articipants questioned </w:t>
      </w:r>
      <w:r w:rsidR="00D62D96">
        <w:t>whether state</w:t>
      </w:r>
      <w:r w:rsidR="00DE4042">
        <w:t>s</w:t>
      </w:r>
      <w:r w:rsidR="00D62D96">
        <w:t xml:space="preserve"> can apply Crown use outside </w:t>
      </w:r>
      <w:r w:rsidR="00DE4042">
        <w:t>their</w:t>
      </w:r>
      <w:r w:rsidR="00D62D96">
        <w:t xml:space="preserve"> borders in such cases</w:t>
      </w:r>
      <w:r w:rsidR="00B47E8F">
        <w:t>.</w:t>
      </w:r>
      <w:r w:rsidR="009034B4">
        <w:t xml:space="preserve"> Some were </w:t>
      </w:r>
      <w:r w:rsidR="004E3523">
        <w:t xml:space="preserve">also </w:t>
      </w:r>
      <w:r w:rsidR="009034B4">
        <w:t xml:space="preserve">concerned that </w:t>
      </w:r>
      <w:r w:rsidR="004E3523">
        <w:t>states have to invoke Crown use individually, rather than coordinate their actions.</w:t>
      </w:r>
      <w:r w:rsidR="00F66510">
        <w:t xml:space="preserve"> An alternative view is that </w:t>
      </w:r>
      <w:r w:rsidR="00DD7CF5">
        <w:t>the Patents Act does not limit the geographic location of Crown use, or interju</w:t>
      </w:r>
      <w:r w:rsidR="00934043">
        <w:t>ri</w:t>
      </w:r>
      <w:r w:rsidR="00DD7CF5">
        <w:t>sdictional coordination.</w:t>
      </w:r>
    </w:p>
    <w:p w14:paraId="1F652407" w14:textId="77777777" w:rsidR="00FA5874" w:rsidRDefault="00A056E4" w:rsidP="00280714">
      <w:pPr>
        <w:pStyle w:val="BodyText"/>
      </w:pPr>
      <w:r>
        <w:t>The Commission propose</w:t>
      </w:r>
      <w:r w:rsidR="00C04AB7">
        <w:t>s</w:t>
      </w:r>
      <w:r>
        <w:t xml:space="preserve"> that such uncertainty be addressed by clarifying the scope of Crown use. In particular, the Patents Act should be amended </w:t>
      </w:r>
      <w:r w:rsidR="006F467D">
        <w:t xml:space="preserve">to make it clear </w:t>
      </w:r>
      <w:r w:rsidR="004D51AE" w:rsidRPr="00BB13EE">
        <w:t xml:space="preserve">that Crown use can be invoked for the provision of a service </w:t>
      </w:r>
      <w:r w:rsidR="004D51AE">
        <w:t>that t</w:t>
      </w:r>
      <w:r w:rsidR="004D51AE" w:rsidRPr="00A3561D">
        <w:t xml:space="preserve">he </w:t>
      </w:r>
      <w:r w:rsidR="004D51AE">
        <w:t xml:space="preserve">Australian, State and/or Territory Governments </w:t>
      </w:r>
      <w:r w:rsidR="004D51AE" w:rsidRPr="00BB13EE">
        <w:t>ha</w:t>
      </w:r>
      <w:r w:rsidR="004D51AE">
        <w:t>ve</w:t>
      </w:r>
      <w:r w:rsidR="004D51AE" w:rsidRPr="00BB13EE">
        <w:t xml:space="preserve"> </w:t>
      </w:r>
      <w:r w:rsidR="004D51AE">
        <w:t>primary responsibility for providing or funding</w:t>
      </w:r>
      <w:r w:rsidR="004D50B6">
        <w:t>.</w:t>
      </w:r>
      <w:r w:rsidR="00583791">
        <w:t xml:space="preserve"> </w:t>
      </w:r>
    </w:p>
    <w:p w14:paraId="4399CCCF" w14:textId="6D5CA762" w:rsidR="004F0C5E" w:rsidRDefault="004F0C5E" w:rsidP="00280714">
      <w:pPr>
        <w:pStyle w:val="BodyText"/>
      </w:pPr>
      <w:r w:rsidRPr="004F0C5E">
        <w:t>It is the Commission’s intention that the primary responsibility test would take account of all providers of similar services. This would, for example, mean that genetic testing undertaken by private providers for private patients would be included in an assessment of whether governments have primary responsibility for providing or funding such testing. Given that governments are responsible for providing or funding the vast majority of genetic tests, they would be found to have primary responsibility. As a result, genetic testing would be eligible for Crown use, including when it is undertaken by private providers for private patients. The private providers could be authorised to exercise Crown use on behalf of a government, as is already allowed under s. 163(1) of the Patents Act.</w:t>
      </w:r>
    </w:p>
    <w:p w14:paraId="43EFCA0C" w14:textId="530E02AE" w:rsidR="00AD4B91" w:rsidRPr="00FA5874" w:rsidRDefault="00381890" w:rsidP="00017907">
      <w:pPr>
        <w:pStyle w:val="BodyText"/>
      </w:pPr>
      <w:r>
        <w:t xml:space="preserve">The introduction of the primary responsibility test should not remove the existing right of </w:t>
      </w:r>
      <w:r w:rsidR="0080380E">
        <w:t xml:space="preserve">individual </w:t>
      </w:r>
      <w:r>
        <w:t>government bodies to exploit a patented invention under Crown use, regardless of</w:t>
      </w:r>
      <w:r w:rsidR="0036161D">
        <w:t xml:space="preserve"> </w:t>
      </w:r>
      <w:r w:rsidR="0080380E">
        <w:t>their share of the relevant market.</w:t>
      </w:r>
    </w:p>
    <w:p w14:paraId="46CB2235" w14:textId="188B6F3F" w:rsidR="009C3BD6" w:rsidRDefault="001456FB" w:rsidP="0037562B">
      <w:pPr>
        <w:pStyle w:val="BodyText"/>
      </w:pPr>
      <w:r>
        <w:t xml:space="preserve">There is </w:t>
      </w:r>
      <w:r w:rsidR="008F52CC">
        <w:t xml:space="preserve">also </w:t>
      </w:r>
      <w:r>
        <w:t xml:space="preserve">a case for improving the </w:t>
      </w:r>
      <w:r w:rsidRPr="002A1183">
        <w:t>protection of patentees’ rights under Crown use</w:t>
      </w:r>
      <w:r w:rsidR="00604D78">
        <w:t>.</w:t>
      </w:r>
      <w:r>
        <w:t xml:space="preserve"> </w:t>
      </w:r>
      <w:r w:rsidR="00604D78">
        <w:t>G</w:t>
      </w:r>
      <w:r>
        <w:t xml:space="preserve">overnments are currently subject </w:t>
      </w:r>
      <w:r w:rsidR="000E534A">
        <w:t xml:space="preserve">to a low </w:t>
      </w:r>
      <w:r w:rsidR="00EE584D">
        <w:t xml:space="preserve">standard </w:t>
      </w:r>
      <w:r w:rsidR="000E534A">
        <w:t xml:space="preserve">of </w:t>
      </w:r>
      <w:r w:rsidR="00EE584D">
        <w:t xml:space="preserve">transparency and accountability. </w:t>
      </w:r>
      <w:r w:rsidR="00D1023C">
        <w:t>A</w:t>
      </w:r>
      <w:r w:rsidR="00911B22">
        <w:t xml:space="preserve"> review by ACIP </w:t>
      </w:r>
      <w:r w:rsidR="00CB4A89">
        <w:t xml:space="preserve">in 2005 </w:t>
      </w:r>
      <w:r w:rsidR="00A94084">
        <w:t>received submission</w:t>
      </w:r>
      <w:r w:rsidR="003438FF">
        <w:t>s</w:t>
      </w:r>
      <w:r w:rsidR="00A94084">
        <w:t xml:space="preserve"> </w:t>
      </w:r>
      <w:r w:rsidR="00911B22">
        <w:t xml:space="preserve">that </w:t>
      </w:r>
      <w:r w:rsidR="00EE584D">
        <w:t xml:space="preserve">this </w:t>
      </w:r>
      <w:r w:rsidR="00D1023C">
        <w:t>ha</w:t>
      </w:r>
      <w:r w:rsidR="00231A52">
        <w:t>d</w:t>
      </w:r>
      <w:r w:rsidR="00D1023C">
        <w:t xml:space="preserve"> facilitated abuse</w:t>
      </w:r>
      <w:r w:rsidR="00C61B60">
        <w:t xml:space="preserve"> —</w:t>
      </w:r>
      <w:r w:rsidR="00D1023C">
        <w:t xml:space="preserve"> such as threat</w:t>
      </w:r>
      <w:r w:rsidR="00EB4594">
        <w:t>s</w:t>
      </w:r>
      <w:r w:rsidR="00E73FBF">
        <w:t xml:space="preserve"> to invoke</w:t>
      </w:r>
      <w:r w:rsidR="00D1023C">
        <w:t xml:space="preserve"> Crown use in order to </w:t>
      </w:r>
      <w:r w:rsidR="00E25689">
        <w:t xml:space="preserve">achieve </w:t>
      </w:r>
      <w:r w:rsidR="00727548">
        <w:br/>
      </w:r>
      <w:r w:rsidR="00E25689">
        <w:t xml:space="preserve">one-sided agreements unfavourable to </w:t>
      </w:r>
      <w:r w:rsidR="001A1E58">
        <w:t>a</w:t>
      </w:r>
      <w:r w:rsidR="00E25689">
        <w:t xml:space="preserve"> patent holder</w:t>
      </w:r>
      <w:r w:rsidR="00C61B60">
        <w:t xml:space="preserve"> —</w:t>
      </w:r>
      <w:r w:rsidR="00D1023C">
        <w:t xml:space="preserve"> </w:t>
      </w:r>
      <w:r w:rsidR="00EB4594">
        <w:t xml:space="preserve">and </w:t>
      </w:r>
      <w:r w:rsidR="00EC4FCC">
        <w:t xml:space="preserve">uncertainty about </w:t>
      </w:r>
      <w:r w:rsidR="00EC4FCC">
        <w:lastRenderedPageBreak/>
        <w:t xml:space="preserve">whether </w:t>
      </w:r>
      <w:r w:rsidR="00EE584D">
        <w:t xml:space="preserve">quasi-government </w:t>
      </w:r>
      <w:r w:rsidR="00CB14CF">
        <w:t xml:space="preserve">organisations </w:t>
      </w:r>
      <w:r w:rsidR="00B6100E">
        <w:t>ha</w:t>
      </w:r>
      <w:r w:rsidR="00231A52">
        <w:t>d</w:t>
      </w:r>
      <w:r w:rsidR="00B6100E">
        <w:t xml:space="preserve"> the authority to </w:t>
      </w:r>
      <w:r w:rsidR="004C200D">
        <w:t>invoke</w:t>
      </w:r>
      <w:r w:rsidR="00B6100E">
        <w:t xml:space="preserve"> Crown use</w:t>
      </w:r>
      <w:r w:rsidR="004C200D">
        <w:t xml:space="preserve"> themselves</w:t>
      </w:r>
      <w:r w:rsidR="00EE584D">
        <w:t>.</w:t>
      </w:r>
      <w:r w:rsidR="0037562B" w:rsidRPr="0037562B">
        <w:t xml:space="preserve"> </w:t>
      </w:r>
      <w:r w:rsidR="00B40101">
        <w:t xml:space="preserve">ACIP made various recommendations to address </w:t>
      </w:r>
      <w:r w:rsidR="000D52B8">
        <w:t>the concerns</w:t>
      </w:r>
      <w:r w:rsidR="00B40101">
        <w:t xml:space="preserve">, </w:t>
      </w:r>
      <w:r w:rsidR="00030A31">
        <w:t xml:space="preserve">but </w:t>
      </w:r>
      <w:r w:rsidR="00B40101">
        <w:t>t</w:t>
      </w:r>
      <w:r w:rsidR="0037562B">
        <w:t>he Australian Government chose not to implement the</w:t>
      </w:r>
      <w:r w:rsidR="00B40101">
        <w:t>m</w:t>
      </w:r>
      <w:r w:rsidR="009C3BD6">
        <w:t xml:space="preserve">, reflecting a lack of specific evidence and </w:t>
      </w:r>
      <w:r w:rsidR="00CE2651">
        <w:t>limited</w:t>
      </w:r>
      <w:r w:rsidR="009C3BD6">
        <w:t xml:space="preserve"> utilisation of Crown use.</w:t>
      </w:r>
    </w:p>
    <w:p w14:paraId="5F815E5E" w14:textId="7E334829" w:rsidR="00181228" w:rsidRDefault="0085472B" w:rsidP="002A1183">
      <w:pPr>
        <w:pStyle w:val="BodyText"/>
      </w:pPr>
      <w:r>
        <w:t xml:space="preserve">While there may be little specific evidence of </w:t>
      </w:r>
      <w:r w:rsidR="004E0B55">
        <w:t>abuse to</w:t>
      </w:r>
      <w:r w:rsidR="001008B1">
        <w:t xml:space="preserve"> date</w:t>
      </w:r>
      <w:r w:rsidR="00BE755C">
        <w:t xml:space="preserve">, </w:t>
      </w:r>
      <w:r w:rsidR="001008B1">
        <w:t xml:space="preserve">as a matter of principle governments should be </w:t>
      </w:r>
      <w:r w:rsidR="004D3B90">
        <w:t>held</w:t>
      </w:r>
      <w:r w:rsidR="001008B1">
        <w:t xml:space="preserve"> to high</w:t>
      </w:r>
      <w:r w:rsidR="004E0B55">
        <w:t>er</w:t>
      </w:r>
      <w:r w:rsidR="001008B1">
        <w:t xml:space="preserve"> standards </w:t>
      </w:r>
      <w:r w:rsidR="004E0B55">
        <w:t>than currently exist</w:t>
      </w:r>
      <w:r w:rsidR="00C133A0">
        <w:t>.</w:t>
      </w:r>
      <w:r w:rsidR="004D3B90">
        <w:t xml:space="preserve"> It could be argued that </w:t>
      </w:r>
      <w:r w:rsidR="00DD1FAF">
        <w:t xml:space="preserve">the cost of initiating reforms solely for the </w:t>
      </w:r>
      <w:r w:rsidR="00181228" w:rsidRPr="00181228">
        <w:t>Crown use provisions</w:t>
      </w:r>
      <w:r w:rsidR="004D3B90">
        <w:t xml:space="preserve"> is not justified</w:t>
      </w:r>
      <w:r w:rsidR="00181228" w:rsidRPr="00181228">
        <w:t xml:space="preserve">, given </w:t>
      </w:r>
      <w:r w:rsidR="004D3B90">
        <w:t xml:space="preserve">their limited use and lack of </w:t>
      </w:r>
      <w:r w:rsidR="00181228" w:rsidRPr="00181228">
        <w:t xml:space="preserve">evidence </w:t>
      </w:r>
      <w:r w:rsidR="004D3B90">
        <w:t xml:space="preserve">of </w:t>
      </w:r>
      <w:r w:rsidR="00181228" w:rsidRPr="00181228">
        <w:t>problem</w:t>
      </w:r>
      <w:r w:rsidR="004D3B90">
        <w:t>s</w:t>
      </w:r>
      <w:r w:rsidR="00181228" w:rsidRPr="00181228">
        <w:t xml:space="preserve">. However, in light of </w:t>
      </w:r>
      <w:r w:rsidR="00847BE9">
        <w:t xml:space="preserve">the previously mentioned </w:t>
      </w:r>
      <w:r w:rsidR="00181228" w:rsidRPr="00181228">
        <w:t xml:space="preserve">recommendations requiring changes to the Patents Act, the Commission considers that beneficial changes to the Crown use provisions could be made </w:t>
      </w:r>
      <w:r w:rsidR="00847BE9">
        <w:t xml:space="preserve">concurrently </w:t>
      </w:r>
      <w:r w:rsidR="00181228" w:rsidRPr="00181228">
        <w:t>at relatively low cost.</w:t>
      </w:r>
    </w:p>
    <w:p w14:paraId="3B799578" w14:textId="4CCFB31E" w:rsidR="001569F6" w:rsidRDefault="004555BF" w:rsidP="00282BF2">
      <w:pPr>
        <w:pStyle w:val="BodyText"/>
      </w:pPr>
      <w:r>
        <w:t>T</w:t>
      </w:r>
      <w:r w:rsidR="00240D15">
        <w:t xml:space="preserve">he Commission </w:t>
      </w:r>
      <w:r w:rsidR="00E15D96">
        <w:t>propose</w:t>
      </w:r>
      <w:r>
        <w:t>s</w:t>
      </w:r>
      <w:r w:rsidR="00E15D96">
        <w:t xml:space="preserve"> that, e</w:t>
      </w:r>
      <w:r w:rsidR="002A1183">
        <w:t>xcept in emergencies, g</w:t>
      </w:r>
      <w:r w:rsidR="002A1183" w:rsidRPr="002A1183">
        <w:t xml:space="preserve">overnments should be required to first seek a negotiated outcome, and publicly state the reasons </w:t>
      </w:r>
      <w:r w:rsidR="00252B6E">
        <w:t xml:space="preserve">for Crown use </w:t>
      </w:r>
      <w:r w:rsidR="002A1183">
        <w:t xml:space="preserve">no less than 14 days before </w:t>
      </w:r>
      <w:r w:rsidR="00252B6E">
        <w:t xml:space="preserve">it </w:t>
      </w:r>
      <w:r w:rsidR="002A1183">
        <w:t>occurs</w:t>
      </w:r>
      <w:r w:rsidR="002A1183" w:rsidRPr="002A1183">
        <w:t xml:space="preserve">. </w:t>
      </w:r>
      <w:r w:rsidR="001569F6" w:rsidRPr="001569F6">
        <w:t xml:space="preserve">In all cases, governments should be required to obtain Ministerial approval to invoke Crown use, and </w:t>
      </w:r>
      <w:r w:rsidR="00511549" w:rsidRPr="002A1183">
        <w:t>be subject to the same pricing principles as for compulsory licensing.</w:t>
      </w:r>
    </w:p>
    <w:p w14:paraId="0A579F0B" w14:textId="27806537" w:rsidR="00D2206C" w:rsidRDefault="00840091" w:rsidP="00282BF2">
      <w:pPr>
        <w:pStyle w:val="BodyText"/>
      </w:pPr>
      <w:r>
        <w:t xml:space="preserve">The proposed requirements would not significantly </w:t>
      </w:r>
      <w:r w:rsidR="00CF3A1D">
        <w:t>alter</w:t>
      </w:r>
      <w:r>
        <w:t xml:space="preserve"> the cost and time advantage of Crown </w:t>
      </w:r>
      <w:r w:rsidR="00F94FE4">
        <w:t xml:space="preserve">use </w:t>
      </w:r>
      <w:r>
        <w:t xml:space="preserve">over compulsory licensing. </w:t>
      </w:r>
      <w:r w:rsidR="00CA5C9A">
        <w:t xml:space="preserve">Governments are already obliged under the Patents Act to inform patent holders </w:t>
      </w:r>
      <w:r w:rsidR="00894C3D">
        <w:t>about Crown use as soon as practicable after</w:t>
      </w:r>
      <w:r w:rsidR="00CA5C9A">
        <w:t xml:space="preserve"> </w:t>
      </w:r>
      <w:r w:rsidR="00894C3D">
        <w:t xml:space="preserve">it </w:t>
      </w:r>
      <w:r w:rsidR="00CA5C9A">
        <w:t>occur</w:t>
      </w:r>
      <w:r w:rsidR="00894C3D">
        <w:t>s</w:t>
      </w:r>
      <w:r w:rsidR="00CA5C9A">
        <w:t xml:space="preserve">, and under administrative review legislation </w:t>
      </w:r>
      <w:r w:rsidR="009E3565">
        <w:t>can</w:t>
      </w:r>
      <w:r w:rsidR="00F07DFC">
        <w:t xml:space="preserve"> be directed </w:t>
      </w:r>
      <w:r w:rsidR="004E3297">
        <w:t xml:space="preserve">to </w:t>
      </w:r>
      <w:r w:rsidR="00CA5C9A">
        <w:t xml:space="preserve">provide the reasons for </w:t>
      </w:r>
      <w:r w:rsidR="004A39B5">
        <w:t>Crown</w:t>
      </w:r>
      <w:r w:rsidR="00CA5C9A">
        <w:t xml:space="preserve"> use</w:t>
      </w:r>
      <w:r w:rsidR="001C2843">
        <w:t>.</w:t>
      </w:r>
      <w:r w:rsidR="00397DE1">
        <w:t xml:space="preserve"> </w:t>
      </w:r>
      <w:r w:rsidR="00ED11C3">
        <w:t>With respect to compensation, p</w:t>
      </w:r>
      <w:r w:rsidR="00E40B01">
        <w:t xml:space="preserve">atent holders already have a right to </w:t>
      </w:r>
      <w:r w:rsidR="00ED11C3">
        <w:t>seek adjudication by</w:t>
      </w:r>
      <w:r w:rsidR="00E40B01">
        <w:t xml:space="preserve"> the Federal </w:t>
      </w:r>
      <w:r w:rsidR="00ED11C3">
        <w:t>Court.</w:t>
      </w:r>
      <w:r w:rsidR="008020F1" w:rsidRPr="008020F1">
        <w:t xml:space="preserve"> </w:t>
      </w:r>
      <w:r w:rsidR="008020F1">
        <w:t xml:space="preserve">Moreover, </w:t>
      </w:r>
      <w:r w:rsidR="00CF3A1D">
        <w:t xml:space="preserve">the proposed requirements would not remove the right of </w:t>
      </w:r>
      <w:r w:rsidR="008020F1">
        <w:t xml:space="preserve">governments to invoke Crown use without having to </w:t>
      </w:r>
      <w:r w:rsidR="00CF3A1D">
        <w:t>obtain</w:t>
      </w:r>
      <w:r w:rsidR="008020F1">
        <w:t xml:space="preserve"> authorisation from the Federal Court.</w:t>
      </w:r>
      <w:r w:rsidR="00282BF2">
        <w:t xml:space="preserve"> Finally, c</w:t>
      </w:r>
      <w:r w:rsidR="004D565F">
        <w:t xml:space="preserve">oncerns about timeliness </w:t>
      </w:r>
      <w:r w:rsidR="00282BF2">
        <w:t xml:space="preserve">would be </w:t>
      </w:r>
      <w:r w:rsidR="004D565F">
        <w:t xml:space="preserve">addressed by allowing the recommended requirements </w:t>
      </w:r>
      <w:r w:rsidR="00023B47">
        <w:t>(</w:t>
      </w:r>
      <w:r w:rsidR="00803258">
        <w:t>except for</w:t>
      </w:r>
      <w:r w:rsidR="00023B47">
        <w:t xml:space="preserve"> </w:t>
      </w:r>
      <w:r w:rsidR="00CD7566">
        <w:t xml:space="preserve">Ministerial approval and </w:t>
      </w:r>
      <w:r w:rsidR="00023B47">
        <w:t xml:space="preserve">compensation) </w:t>
      </w:r>
      <w:r w:rsidR="008D3E50">
        <w:t>to be waived in emergencies</w:t>
      </w:r>
      <w:r w:rsidR="004D565F">
        <w:t>.</w:t>
      </w:r>
    </w:p>
    <w:p w14:paraId="347106E6" w14:textId="609B3D7D" w:rsidR="004D565F" w:rsidRDefault="000B5CB8" w:rsidP="00BD32E3">
      <w:pPr>
        <w:pStyle w:val="Heading3"/>
      </w:pPr>
      <w:r>
        <w:t xml:space="preserve">Other </w:t>
      </w:r>
      <w:r w:rsidR="004D565F">
        <w:t>alternative mechanisms</w:t>
      </w:r>
    </w:p>
    <w:p w14:paraId="6F226B29" w14:textId="2EB015D7" w:rsidR="004D565F" w:rsidRDefault="009E3CED" w:rsidP="004D565F">
      <w:pPr>
        <w:pStyle w:val="BodyText"/>
      </w:pPr>
      <w:r>
        <w:t xml:space="preserve">The Commission </w:t>
      </w:r>
      <w:r w:rsidR="004D565F" w:rsidRPr="00DA08E1">
        <w:t>ha</w:t>
      </w:r>
      <w:r>
        <w:t>s</w:t>
      </w:r>
      <w:r w:rsidR="004D565F" w:rsidRPr="00DA08E1">
        <w:t xml:space="preserve"> </w:t>
      </w:r>
      <w:r w:rsidR="004D565F">
        <w:t>considered various</w:t>
      </w:r>
      <w:r w:rsidR="004D565F" w:rsidRPr="00DA08E1">
        <w:t xml:space="preserve"> </w:t>
      </w:r>
      <w:r w:rsidR="007C2D4C">
        <w:t>other</w:t>
      </w:r>
      <w:r w:rsidR="004D565F" w:rsidRPr="00DA08E1">
        <w:t xml:space="preserve"> </w:t>
      </w:r>
      <w:r w:rsidR="004D565F">
        <w:t>alternatives</w:t>
      </w:r>
      <w:r w:rsidR="004D565F" w:rsidRPr="00DA08E1">
        <w:t xml:space="preserve"> </w:t>
      </w:r>
      <w:r w:rsidR="004D565F">
        <w:t xml:space="preserve">to compulsory licensing and found that there is </w:t>
      </w:r>
      <w:r w:rsidR="00CF4217">
        <w:t>not</w:t>
      </w:r>
      <w:r w:rsidR="004D565F">
        <w:t xml:space="preserve"> a </w:t>
      </w:r>
      <w:r w:rsidR="004D565F" w:rsidRPr="00DA08E1">
        <w:t>compelling case</w:t>
      </w:r>
      <w:r w:rsidR="007C2D4C">
        <w:t xml:space="preserve"> to change existing arrangements</w:t>
      </w:r>
      <w:r w:rsidR="004D565F">
        <w:t>.</w:t>
      </w:r>
    </w:p>
    <w:p w14:paraId="1675FA49" w14:textId="535D1E3B" w:rsidR="004D565F" w:rsidRDefault="004D565F" w:rsidP="004D565F">
      <w:pPr>
        <w:pStyle w:val="ListBullet"/>
      </w:pPr>
      <w:r>
        <w:rPr>
          <w:i/>
        </w:rPr>
        <w:t>E</w:t>
      </w:r>
      <w:r w:rsidRPr="003B417B">
        <w:rPr>
          <w:i/>
        </w:rPr>
        <w:t>xclusions and exemptions for healthcare</w:t>
      </w:r>
      <w:r>
        <w:t xml:space="preserve"> — excluding healthcare</w:t>
      </w:r>
      <w:r w:rsidRPr="009A23B7">
        <w:t xml:space="preserve"> </w:t>
      </w:r>
      <w:r>
        <w:t>from the patents system, especially when it is based on genetic technologies, has been considered and rejected in several past reviews because it would reduce the incentives for health innovation, and there have been few cases where patents have been a barrier to healthcare. Similar concerns apply to medical</w:t>
      </w:r>
      <w:r>
        <w:noBreakHyphen/>
        <w:t xml:space="preserve">practitioner exemptions from patent infringement. </w:t>
      </w:r>
    </w:p>
    <w:p w14:paraId="470F75B2" w14:textId="35F0D572" w:rsidR="00AC7A69" w:rsidRDefault="004D565F" w:rsidP="004D565F">
      <w:pPr>
        <w:pStyle w:val="ListBullet"/>
      </w:pPr>
      <w:r w:rsidRPr="00AC7A69">
        <w:rPr>
          <w:i/>
        </w:rPr>
        <w:lastRenderedPageBreak/>
        <w:t>A compulsory licensing regime specifically for public health</w:t>
      </w:r>
      <w:r>
        <w:t xml:space="preserve"> — Belgium, France and Switzerland adopted this in response to concerns that their generic compulsory licensing provisions were ineffective in the BRCA case. </w:t>
      </w:r>
      <w:r w:rsidR="009E3CED">
        <w:t xml:space="preserve">It appears that </w:t>
      </w:r>
      <w:r>
        <w:t xml:space="preserve">the new regimes have never been used. It is difficult to justify creating a similar arrangement in Australia, as it would also rarely be needed, and </w:t>
      </w:r>
      <w:r w:rsidR="00AC7A69">
        <w:t xml:space="preserve">Crown use </w:t>
      </w:r>
      <w:r w:rsidR="00FA09CE">
        <w:t>c</w:t>
      </w:r>
      <w:r w:rsidR="000110A2">
        <w:t>an</w:t>
      </w:r>
      <w:r w:rsidR="00FA09CE">
        <w:t xml:space="preserve"> be </w:t>
      </w:r>
      <w:r w:rsidR="00AC7A69">
        <w:t>applied to healthcare</w:t>
      </w:r>
      <w:r w:rsidR="00204EB0">
        <w:t>. The</w:t>
      </w:r>
      <w:r w:rsidR="00AC7A69">
        <w:t xml:space="preserve"> Commission’s proposed </w:t>
      </w:r>
      <w:r w:rsidR="00204EB0">
        <w:t>changes</w:t>
      </w:r>
      <w:r w:rsidR="000110A2">
        <w:t xml:space="preserve"> to clarify </w:t>
      </w:r>
      <w:r w:rsidR="00204EB0">
        <w:t xml:space="preserve">the </w:t>
      </w:r>
      <w:r w:rsidR="000110A2">
        <w:t>scope</w:t>
      </w:r>
      <w:r w:rsidR="00204EB0">
        <w:t xml:space="preserve"> of Crown use should reduce any potential uncertainty about </w:t>
      </w:r>
      <w:r w:rsidR="008F6283">
        <w:t>where it can be applied</w:t>
      </w:r>
      <w:r w:rsidR="00204EB0">
        <w:t>.</w:t>
      </w:r>
    </w:p>
    <w:p w14:paraId="372309D4" w14:textId="1F30BA77" w:rsidR="00132613" w:rsidRPr="00385B68" w:rsidRDefault="004D565F" w:rsidP="00E22957">
      <w:pPr>
        <w:pStyle w:val="ListBullet"/>
      </w:pPr>
      <w:r w:rsidRPr="00132613">
        <w:rPr>
          <w:i/>
        </w:rPr>
        <w:t>Use of government purchasing power in health</w:t>
      </w:r>
      <w:r>
        <w:t xml:space="preserve"> — several inquiry participants and past reviews have called for governments to use their purchasing power to </w:t>
      </w:r>
      <w:r w:rsidRPr="00385B68">
        <w:t xml:space="preserve">ensure equitable and affordable access to gene-related healthcare. </w:t>
      </w:r>
      <w:r w:rsidR="000666C0">
        <w:t>The majority of</w:t>
      </w:r>
      <w:r w:rsidR="006A6B5F" w:rsidRPr="00385B68">
        <w:t xml:space="preserve"> genetic tests are provided and funded by state and territory health departments. </w:t>
      </w:r>
      <w:r w:rsidR="007845FB" w:rsidRPr="00385B68">
        <w:t xml:space="preserve">Only 23 </w:t>
      </w:r>
      <w:r w:rsidR="00944EA2">
        <w:t xml:space="preserve">distinct </w:t>
      </w:r>
      <w:r w:rsidR="009B3707" w:rsidRPr="00385B68">
        <w:t xml:space="preserve">genetic tests </w:t>
      </w:r>
      <w:r w:rsidR="007845FB" w:rsidRPr="00385B68">
        <w:t xml:space="preserve">are currently </w:t>
      </w:r>
      <w:r w:rsidR="009B3707" w:rsidRPr="00385B68">
        <w:t>listed on the Medicare Benefits Schedule (MBS). However,</w:t>
      </w:r>
      <w:r w:rsidR="005B19DB" w:rsidRPr="00385B68">
        <w:t xml:space="preserve"> </w:t>
      </w:r>
      <w:r w:rsidR="009B3707" w:rsidRPr="00385B68">
        <w:t>t</w:t>
      </w:r>
      <w:r w:rsidRPr="00385B68">
        <w:t xml:space="preserve">he latest available data </w:t>
      </w:r>
      <w:r w:rsidR="00B66389">
        <w:t>show</w:t>
      </w:r>
      <w:r w:rsidRPr="00385B68">
        <w:t xml:space="preserve"> that 40 per cent of</w:t>
      </w:r>
      <w:r w:rsidR="003C1EC8" w:rsidRPr="00385B68">
        <w:t xml:space="preserve"> </w:t>
      </w:r>
      <w:r w:rsidR="001903E9">
        <w:t xml:space="preserve">the volume of </w:t>
      </w:r>
      <w:r w:rsidR="003C1EC8" w:rsidRPr="00385B68">
        <w:t>genetic</w:t>
      </w:r>
      <w:r w:rsidRPr="00385B68">
        <w:t xml:space="preserve"> tests </w:t>
      </w:r>
      <w:r w:rsidR="00D94CE6">
        <w:t xml:space="preserve">undertaken in 2007 </w:t>
      </w:r>
      <w:r w:rsidR="00B34861">
        <w:t xml:space="preserve">attracted Commonwealth </w:t>
      </w:r>
      <w:r w:rsidR="00D94CE6">
        <w:t>fund</w:t>
      </w:r>
      <w:r w:rsidR="00B34861">
        <w:t>ing</w:t>
      </w:r>
      <w:r w:rsidR="00D94CE6">
        <w:t xml:space="preserve"> </w:t>
      </w:r>
      <w:r w:rsidR="003C1EC8" w:rsidRPr="00385B68">
        <w:t>through Medicare</w:t>
      </w:r>
      <w:r w:rsidRPr="00385B68">
        <w:t xml:space="preserve">. Moreover, it seems inevitable that the number of gene-related diagnostics and therapeutics covered by the MBS and Pharmaceutical Benefits Scheme (PBS) will increase over time. Indeed, </w:t>
      </w:r>
      <w:r w:rsidR="00E22957" w:rsidRPr="00385B68">
        <w:t xml:space="preserve">over one-third </w:t>
      </w:r>
      <w:r w:rsidRPr="00385B68">
        <w:t xml:space="preserve">of </w:t>
      </w:r>
      <w:r w:rsidR="00E22957" w:rsidRPr="00385B68">
        <w:t xml:space="preserve">current </w:t>
      </w:r>
      <w:r w:rsidRPr="00385B68">
        <w:t>applications for listing on the MBS</w:t>
      </w:r>
      <w:r w:rsidR="00E22957" w:rsidRPr="00385B68">
        <w:t xml:space="preserve"> relate to genetic tests and associated services. </w:t>
      </w:r>
      <w:r w:rsidRPr="00385B68">
        <w:t xml:space="preserve">Thus, </w:t>
      </w:r>
      <w:r w:rsidR="00DC59AA" w:rsidRPr="00385B68">
        <w:t>there</w:t>
      </w:r>
      <w:r w:rsidRPr="00385B68">
        <w:t xml:space="preserve"> </w:t>
      </w:r>
      <w:r w:rsidR="00DC59AA" w:rsidRPr="00385B68">
        <w:t xml:space="preserve">is </w:t>
      </w:r>
      <w:r w:rsidRPr="00385B68">
        <w:t xml:space="preserve">not a strong case for altering existing funding arrangements to address the very rare scenario where access to </w:t>
      </w:r>
      <w:r w:rsidR="00EF3EF3">
        <w:br/>
      </w:r>
      <w:r w:rsidRPr="00385B68">
        <w:t>gene-related healthcare has been an issue. Where the processes associated with listing on the MBS and PBS are considered too slow, governments can always resort to Crown use</w:t>
      </w:r>
      <w:r w:rsidR="00831689" w:rsidRPr="00385B68">
        <w:t>, particularly in emergencies</w:t>
      </w:r>
      <w:r w:rsidRPr="00385B68">
        <w:t>.</w:t>
      </w:r>
      <w:r w:rsidR="00132613" w:rsidRPr="00385B68">
        <w:t xml:space="preserve"> They </w:t>
      </w:r>
      <w:r w:rsidR="008030B3" w:rsidRPr="00385B68">
        <w:t>could</w:t>
      </w:r>
      <w:r w:rsidR="00132613" w:rsidRPr="00385B68">
        <w:t xml:space="preserve"> also consider changes to the approval and funding arrangements if necessary.</w:t>
      </w:r>
    </w:p>
    <w:p w14:paraId="76CE179B" w14:textId="58CF531A" w:rsidR="00B269A2" w:rsidRDefault="003C425A" w:rsidP="003C425A">
      <w:pPr>
        <w:pStyle w:val="ListBullet"/>
      </w:pPr>
      <w:r w:rsidRPr="006B63CE">
        <w:rPr>
          <w:i/>
        </w:rPr>
        <w:t>Legislating a right to personal genetic information</w:t>
      </w:r>
      <w:r w:rsidRPr="006420BF">
        <w:t xml:space="preserve"> —</w:t>
      </w:r>
      <w:r w:rsidRPr="003C425A">
        <w:t xml:space="preserve"> </w:t>
      </w:r>
      <w:r w:rsidRPr="006420BF">
        <w:t xml:space="preserve">this </w:t>
      </w:r>
      <w:r>
        <w:t xml:space="preserve">might be useful if </w:t>
      </w:r>
      <w:r w:rsidRPr="006420BF">
        <w:t xml:space="preserve">a person cannot be given the results of a genetic test because it was conducted without the patent owner’s authorisation under a research exemption. However, </w:t>
      </w:r>
      <w:r>
        <w:t xml:space="preserve">the Commission was not presented with any evidence of this </w:t>
      </w:r>
      <w:r w:rsidR="00990AEA">
        <w:t xml:space="preserve">having </w:t>
      </w:r>
      <w:r>
        <w:t>occurr</w:t>
      </w:r>
      <w:r w:rsidR="00990AEA">
        <w:t>ed</w:t>
      </w:r>
      <w:r w:rsidR="006C10E2">
        <w:t xml:space="preserve"> in Australia</w:t>
      </w:r>
      <w:r>
        <w:t xml:space="preserve">. Moreover, </w:t>
      </w:r>
      <w:r w:rsidRPr="006420BF">
        <w:t xml:space="preserve">existing privacy laws </w:t>
      </w:r>
      <w:r w:rsidR="00316D57">
        <w:t xml:space="preserve">may </w:t>
      </w:r>
      <w:r w:rsidRPr="006420BF">
        <w:t>already give people the right to see their test results</w:t>
      </w:r>
      <w:r w:rsidR="00316D57">
        <w:t xml:space="preserve"> if such a </w:t>
      </w:r>
      <w:r w:rsidR="007B0935">
        <w:t>situation</w:t>
      </w:r>
      <w:r w:rsidR="00316D57">
        <w:t xml:space="preserve"> was to arise</w:t>
      </w:r>
      <w:r w:rsidRPr="006420BF">
        <w:t>.</w:t>
      </w:r>
      <w:r w:rsidR="002C7981">
        <w:t xml:space="preserve"> If </w:t>
      </w:r>
      <w:r w:rsidR="001812E7">
        <w:t>privacy laws</w:t>
      </w:r>
      <w:r w:rsidR="002C7981">
        <w:t xml:space="preserve"> prove to </w:t>
      </w:r>
      <w:r w:rsidR="001812E7">
        <w:t>be inadequate</w:t>
      </w:r>
      <w:r w:rsidR="002C7981">
        <w:t>, then</w:t>
      </w:r>
      <w:r w:rsidR="00097D8E">
        <w:t xml:space="preserve"> </w:t>
      </w:r>
      <w:r w:rsidR="007A7FDF">
        <w:t xml:space="preserve">the most effective remedy is likely to </w:t>
      </w:r>
      <w:r w:rsidR="003F165A">
        <w:t>be to</w:t>
      </w:r>
      <w:r w:rsidR="007A7FDF">
        <w:t xml:space="preserve"> </w:t>
      </w:r>
      <w:r w:rsidR="000A3197">
        <w:t xml:space="preserve">reform those laws </w:t>
      </w:r>
      <w:r w:rsidR="001A35E4">
        <w:t>and/</w:t>
      </w:r>
      <w:r w:rsidR="007A7FDF">
        <w:t>or the research exemption</w:t>
      </w:r>
      <w:r w:rsidR="002C7981">
        <w:t xml:space="preserve">. </w:t>
      </w:r>
      <w:r w:rsidR="00F05A9B">
        <w:t xml:space="preserve">Few individuals have the capacity to obtain a licence to work a patent themselves, and so </w:t>
      </w:r>
      <w:r w:rsidR="00B269A2">
        <w:t xml:space="preserve">measures to encourage greater licensing of patents would not </w:t>
      </w:r>
      <w:r w:rsidR="00AB7A47">
        <w:t xml:space="preserve">give </w:t>
      </w:r>
      <w:r w:rsidR="00E346F0">
        <w:t>them</w:t>
      </w:r>
      <w:r w:rsidR="00AB7A47">
        <w:t xml:space="preserve"> a means </w:t>
      </w:r>
      <w:r w:rsidR="00B269A2">
        <w:t xml:space="preserve">to access their health records. </w:t>
      </w:r>
    </w:p>
    <w:p w14:paraId="75A580C4" w14:textId="20ED18DF" w:rsidR="004D565F" w:rsidRDefault="004D565F" w:rsidP="004D565F">
      <w:pPr>
        <w:pStyle w:val="ListBullet"/>
      </w:pPr>
      <w:r>
        <w:rPr>
          <w:i/>
        </w:rPr>
        <w:t>N</w:t>
      </w:r>
      <w:r w:rsidRPr="006A015B">
        <w:rPr>
          <w:i/>
        </w:rPr>
        <w:t>on-voluntary licensing by a ‘collecting society’</w:t>
      </w:r>
      <w:r>
        <w:t xml:space="preserve"> — this </w:t>
      </w:r>
      <w:r w:rsidRPr="002E6F28">
        <w:t xml:space="preserve">currently </w:t>
      </w:r>
      <w:r>
        <w:t xml:space="preserve">exists </w:t>
      </w:r>
      <w:r w:rsidRPr="002E6F28">
        <w:t xml:space="preserve">for copyrighted </w:t>
      </w:r>
      <w:r>
        <w:t>works, such as written material, with Copyright Australia Limited authorised to license, collect royalties from users, and distribute the proceeds to copyright owners. It is not a suitable option for patents</w:t>
      </w:r>
      <w:r w:rsidR="00655D48">
        <w:t>,</w:t>
      </w:r>
      <w:r>
        <w:t xml:space="preserve"> because their use is </w:t>
      </w:r>
      <w:r>
        <w:lastRenderedPageBreak/>
        <w:t>much more diverse</w:t>
      </w:r>
      <w:r w:rsidR="00655D48">
        <w:t>,</w:t>
      </w:r>
      <w:r>
        <w:t xml:space="preserve"> and so less amenable to standardised licensing by a central body.</w:t>
      </w:r>
    </w:p>
    <w:p w14:paraId="6949DF67" w14:textId="429A0976" w:rsidR="007C719D" w:rsidRDefault="004D565F" w:rsidP="00920D05">
      <w:pPr>
        <w:pStyle w:val="ListBullet"/>
      </w:pPr>
      <w:r w:rsidRPr="00F5622C">
        <w:rPr>
          <w:i/>
        </w:rPr>
        <w:t>Licence</w:t>
      </w:r>
      <w:r w:rsidR="00576CB6">
        <w:rPr>
          <w:i/>
        </w:rPr>
        <w:t>-</w:t>
      </w:r>
      <w:r w:rsidRPr="00F5622C">
        <w:rPr>
          <w:i/>
        </w:rPr>
        <w:t>of</w:t>
      </w:r>
      <w:r w:rsidR="00576CB6">
        <w:rPr>
          <w:i/>
        </w:rPr>
        <w:t>-</w:t>
      </w:r>
      <w:r w:rsidRPr="00F5622C">
        <w:rPr>
          <w:i/>
        </w:rPr>
        <w:t>right</w:t>
      </w:r>
      <w:r w:rsidR="00576CB6">
        <w:rPr>
          <w:i/>
        </w:rPr>
        <w:t xml:space="preserve"> mechanism</w:t>
      </w:r>
      <w:r>
        <w:t xml:space="preserve"> —</w:t>
      </w:r>
      <w:r w:rsidR="00576CB6">
        <w:t xml:space="preserve"> </w:t>
      </w:r>
      <w:r>
        <w:t>patent owner</w:t>
      </w:r>
      <w:r w:rsidR="00DD4E21">
        <w:t>s</w:t>
      </w:r>
      <w:r>
        <w:t xml:space="preserve"> </w:t>
      </w:r>
      <w:r w:rsidR="00383568">
        <w:t xml:space="preserve">can </w:t>
      </w:r>
      <w:r>
        <w:t xml:space="preserve">register a commitment with the patents authority to license to all parties who wish to do so. If the parties cannot agree on the terms of a licence, there is typically provision for this to be determined by arbitration. </w:t>
      </w:r>
      <w:r w:rsidR="007C719D">
        <w:t>A number of countries currently have licence</w:t>
      </w:r>
      <w:r w:rsidR="00576CB6">
        <w:t>-</w:t>
      </w:r>
      <w:r w:rsidR="007C719D">
        <w:t>of</w:t>
      </w:r>
      <w:r w:rsidR="00576CB6">
        <w:t>-</w:t>
      </w:r>
      <w:r w:rsidR="007C719D">
        <w:t xml:space="preserve">right provisions — including Germany, New Zealand, Singapore </w:t>
      </w:r>
      <w:r w:rsidR="00F16F05">
        <w:t xml:space="preserve">and </w:t>
      </w:r>
      <w:r w:rsidR="007C719D">
        <w:t>the United Kingdom — but it appears that the provisions are rarely used.</w:t>
      </w:r>
      <w:r w:rsidR="008B50B5">
        <w:t xml:space="preserve"> </w:t>
      </w:r>
      <w:r w:rsidR="00920D05">
        <w:t xml:space="preserve">Moreover, </w:t>
      </w:r>
      <w:r w:rsidR="001D2147">
        <w:t xml:space="preserve">the voluntary aspect of </w:t>
      </w:r>
      <w:r w:rsidR="00920D05">
        <w:t xml:space="preserve">such provisions </w:t>
      </w:r>
      <w:r w:rsidR="001D2147">
        <w:t>means that they would</w:t>
      </w:r>
      <w:r w:rsidR="00920D05">
        <w:t xml:space="preserve"> not address cases where patent owners are unwilling to license widely.</w:t>
      </w:r>
    </w:p>
    <w:p w14:paraId="520C6A87" w14:textId="002AEF2B" w:rsidR="004D565F" w:rsidRPr="002E6F28" w:rsidRDefault="004D565F" w:rsidP="004D565F">
      <w:pPr>
        <w:pStyle w:val="ListBullet"/>
      </w:pPr>
      <w:r>
        <w:rPr>
          <w:i/>
        </w:rPr>
        <w:t>O</w:t>
      </w:r>
      <w:r w:rsidRPr="006A015B">
        <w:rPr>
          <w:i/>
        </w:rPr>
        <w:t>ther measures to encourage voluntary licensing</w:t>
      </w:r>
      <w:r w:rsidR="00AE7F46">
        <w:t xml:space="preserve"> — patent </w:t>
      </w:r>
      <w:r>
        <w:t>fee discounts and model licences are unlikely to encourage much more licensing because patent fees are relatively small and licences need to be tailored to diverse circumstances.</w:t>
      </w:r>
    </w:p>
    <w:p w14:paraId="415F9D67" w14:textId="77777777" w:rsidR="004D565F" w:rsidRPr="004D565F" w:rsidRDefault="004D565F" w:rsidP="004D565F">
      <w:pPr>
        <w:pStyle w:val="Heading2"/>
      </w:pPr>
      <w:r w:rsidRPr="004D565F">
        <w:t>Awareness-raising measures</w:t>
      </w:r>
    </w:p>
    <w:p w14:paraId="0C264287" w14:textId="77777777" w:rsidR="004348CA" w:rsidRDefault="004348CA" w:rsidP="004D565F">
      <w:pPr>
        <w:pStyle w:val="BodyText"/>
      </w:pPr>
      <w:r>
        <w:t xml:space="preserve">The Commission has </w:t>
      </w:r>
      <w:r w:rsidRPr="000A1582">
        <w:t xml:space="preserve">been </w:t>
      </w:r>
      <w:r>
        <w:t>asked</w:t>
      </w:r>
      <w:r w:rsidRPr="000A1582">
        <w:t xml:space="preserve"> to recommend measures to raise awareness of the compulsory licensing provisions, </w:t>
      </w:r>
      <w:r w:rsidR="00903F32">
        <w:t xml:space="preserve">noting </w:t>
      </w:r>
      <w:r w:rsidRPr="000A1582">
        <w:t>the specific challenges of raising awareness among small businesses and the healthcare sector.</w:t>
      </w:r>
    </w:p>
    <w:p w14:paraId="32D2DACF" w14:textId="77777777" w:rsidR="004D565F" w:rsidRPr="004D565F" w:rsidRDefault="007A075D" w:rsidP="004D565F">
      <w:pPr>
        <w:pStyle w:val="BodyText"/>
      </w:pPr>
      <w:r>
        <w:t>The limited</w:t>
      </w:r>
      <w:r w:rsidR="004D565F" w:rsidRPr="004D565F">
        <w:t xml:space="preserve"> awareness of compulsory licensing in the community</w:t>
      </w:r>
      <w:r w:rsidR="000B0649">
        <w:t xml:space="preserve"> is likely to </w:t>
      </w:r>
      <w:r w:rsidR="004D565F" w:rsidRPr="004D565F">
        <w:t xml:space="preserve">reflect the fact that very few people have any substantial involvement or interest in patent licensing. However, </w:t>
      </w:r>
      <w:r w:rsidR="00660013">
        <w:t xml:space="preserve">the Commission has found </w:t>
      </w:r>
      <w:r w:rsidR="004D565F" w:rsidRPr="004D565F">
        <w:t>that people working in th</w:t>
      </w:r>
      <w:r w:rsidR="00660013">
        <w:t>e</w:t>
      </w:r>
      <w:r w:rsidR="004D565F" w:rsidRPr="004D565F">
        <w:t xml:space="preserve"> field are aware of the provisions</w:t>
      </w:r>
      <w:r w:rsidR="00660013">
        <w:t>,</w:t>
      </w:r>
      <w:r w:rsidR="004D565F" w:rsidRPr="004D565F">
        <w:t xml:space="preserve"> and professional service providers are available to assist in these matters.</w:t>
      </w:r>
    </w:p>
    <w:p w14:paraId="5E20FFA7" w14:textId="77777777" w:rsidR="004D565F" w:rsidRPr="004D565F" w:rsidRDefault="004D565F" w:rsidP="004D565F">
      <w:pPr>
        <w:pStyle w:val="BodyText"/>
      </w:pPr>
      <w:r w:rsidRPr="004D565F">
        <w:t>It would not be cost effective for awareness-raising measures to seek to engage directly with every small business and healthcare provider. Potential licensees will typically seek the advice of a patent attorney or other expert, who should be able to provide advice on compulsory licensing in the rare instances where this is warranted. Furthermore, many businesses may not have the capacity to ‘work’ a patent.</w:t>
      </w:r>
    </w:p>
    <w:p w14:paraId="32FC9C4F" w14:textId="4C06498D" w:rsidR="00AC614D" w:rsidRDefault="00AC614D" w:rsidP="004D565F">
      <w:pPr>
        <w:pStyle w:val="BodyText"/>
      </w:pPr>
      <w:r>
        <w:t xml:space="preserve">IP Australia is the main government body engaged in measures to raise awareness of </w:t>
      </w:r>
      <w:r w:rsidR="006C28DA">
        <w:t>the</w:t>
      </w:r>
      <w:r>
        <w:t xml:space="preserve"> patents system. This </w:t>
      </w:r>
      <w:r w:rsidR="00C865C9">
        <w:t xml:space="preserve">has </w:t>
      </w:r>
      <w:r>
        <w:t>include</w:t>
      </w:r>
      <w:r w:rsidR="00C865C9">
        <w:t>d</w:t>
      </w:r>
      <w:r>
        <w:t xml:space="preserve"> </w:t>
      </w:r>
      <w:r w:rsidR="006C28DA">
        <w:t xml:space="preserve">the provision of written </w:t>
      </w:r>
      <w:r>
        <w:t xml:space="preserve">guides on </w:t>
      </w:r>
      <w:r w:rsidR="002E25E3">
        <w:t xml:space="preserve">its website for </w:t>
      </w:r>
      <w:r>
        <w:t xml:space="preserve">issues such as </w:t>
      </w:r>
      <w:r w:rsidR="002D4587">
        <w:t xml:space="preserve">Crown use and </w:t>
      </w:r>
      <w:r>
        <w:t>the process for obtaining a patent.</w:t>
      </w:r>
      <w:r w:rsidR="0052049D">
        <w:t xml:space="preserve"> The ACCC </w:t>
      </w:r>
      <w:r w:rsidR="007B58EB">
        <w:t xml:space="preserve">has a similar role in informing the public </w:t>
      </w:r>
      <w:r w:rsidR="00C96A66">
        <w:t>about competition law</w:t>
      </w:r>
      <w:r w:rsidR="007B58EB">
        <w:t>.</w:t>
      </w:r>
    </w:p>
    <w:p w14:paraId="0504980C" w14:textId="5B2CADFE" w:rsidR="00CB2DCD" w:rsidRDefault="004D565F" w:rsidP="00AE1588">
      <w:pPr>
        <w:pStyle w:val="BodyText"/>
      </w:pPr>
      <w:r w:rsidRPr="004D565F">
        <w:t xml:space="preserve">In light of the above, </w:t>
      </w:r>
      <w:r w:rsidR="00522C9C">
        <w:t xml:space="preserve">it is </w:t>
      </w:r>
      <w:r w:rsidRPr="004D565F">
        <w:t>recommend</w:t>
      </w:r>
      <w:r w:rsidR="00522C9C">
        <w:t>ed</w:t>
      </w:r>
      <w:r w:rsidRPr="004D565F">
        <w:t xml:space="preserve"> that IP Australia </w:t>
      </w:r>
      <w:r w:rsidR="009455D5">
        <w:t xml:space="preserve">and the ACCC jointly </w:t>
      </w:r>
      <w:r w:rsidRPr="004D565F">
        <w:t xml:space="preserve">develop a plain English guide to the compulsory licensing provisions </w:t>
      </w:r>
      <w:r w:rsidR="003A5E25">
        <w:t xml:space="preserve">— reflecting </w:t>
      </w:r>
      <w:r w:rsidR="003A5E25">
        <w:lastRenderedPageBreak/>
        <w:t xml:space="preserve">the public interest </w:t>
      </w:r>
      <w:r w:rsidR="00767EC0">
        <w:t xml:space="preserve">and </w:t>
      </w:r>
      <w:r w:rsidR="003A5E25">
        <w:t xml:space="preserve">competition grounds </w:t>
      </w:r>
      <w:r w:rsidR="00767EC0">
        <w:t xml:space="preserve">for compulsory licensing </w:t>
      </w:r>
      <w:r w:rsidR="003A5E25">
        <w:t xml:space="preserve">— </w:t>
      </w:r>
      <w:r w:rsidRPr="004D565F">
        <w:t>and m</w:t>
      </w:r>
      <w:r w:rsidR="00AE1588">
        <w:t xml:space="preserve">ake it available on </w:t>
      </w:r>
      <w:r w:rsidR="009455D5">
        <w:t xml:space="preserve">their </w:t>
      </w:r>
      <w:r w:rsidR="00AE1588">
        <w:t>website</w:t>
      </w:r>
      <w:r w:rsidR="009455D5">
        <w:t>s</w:t>
      </w:r>
      <w:r w:rsidR="00AE1588">
        <w:t>.</w:t>
      </w:r>
    </w:p>
    <w:p w14:paraId="1C49B870" w14:textId="77777777" w:rsidR="00CB2DCD" w:rsidRDefault="00CB2DCD" w:rsidP="006C10E2">
      <w:pPr>
        <w:pStyle w:val="BodyText"/>
        <w:sectPr w:rsidR="00CB2DCD" w:rsidSect="006E2FF7">
          <w:headerReference w:type="even" r:id="rId91"/>
          <w:headerReference w:type="default" r:id="rId92"/>
          <w:footerReference w:type="even" r:id="rId93"/>
          <w:footerReference w:type="default" r:id="rId94"/>
          <w:footerReference w:type="first" r:id="rId95"/>
          <w:type w:val="oddPage"/>
          <w:pgSz w:w="11907" w:h="16840" w:code="9"/>
          <w:pgMar w:top="1985" w:right="1304" w:bottom="1418" w:left="1814" w:header="1701" w:footer="567" w:gutter="0"/>
          <w:pgNumType w:start="1" w:chapStyle="1" w:chapSep="period"/>
          <w:cols w:space="720"/>
          <w:titlePg/>
          <w:docGrid w:linePitch="354"/>
        </w:sectPr>
      </w:pPr>
    </w:p>
    <w:p w14:paraId="3783A781" w14:textId="282969AA" w:rsidR="00CB2DCD" w:rsidRDefault="00CB2DCD" w:rsidP="006C10E2">
      <w:pPr>
        <w:pStyle w:val="Chapter"/>
        <w:ind w:left="907" w:hanging="907"/>
      </w:pPr>
      <w:r>
        <w:lastRenderedPageBreak/>
        <w:t>R</w:t>
      </w:r>
      <w:r w:rsidRPr="00BD13AC">
        <w:t>ecommendations</w:t>
      </w:r>
      <w:r>
        <w:t xml:space="preserve"> and f</w:t>
      </w:r>
      <w:r w:rsidRPr="009B0932">
        <w:t>indings</w:t>
      </w:r>
    </w:p>
    <w:p w14:paraId="50BDBF40" w14:textId="77777777" w:rsidR="00CB2DCD" w:rsidRDefault="00CB2DCD" w:rsidP="00CB2DCD">
      <w:pPr>
        <w:pStyle w:val="Heading2"/>
      </w:pPr>
      <w:r>
        <w:t>Compulsory licensing provisions</w:t>
      </w:r>
    </w:p>
    <w:p w14:paraId="1A5EEDB8" w14:textId="7EA59D99" w:rsidR="00CB2DCD" w:rsidRPr="00B315F9" w:rsidRDefault="00CB2DCD" w:rsidP="00CB2DCD">
      <w:pPr>
        <w:pStyle w:val="FindingTitle"/>
        <w:framePr w:wrap="auto"/>
      </w:pPr>
      <w:r w:rsidRPr="00B315F9">
        <w:t>Finding 6.1</w:t>
      </w:r>
    </w:p>
    <w:p w14:paraId="46D25BCC" w14:textId="77777777" w:rsidR="00CB2DCD" w:rsidRPr="00C74001" w:rsidRDefault="00CB2DCD" w:rsidP="00CB2DCD">
      <w:pPr>
        <w:pStyle w:val="Finding"/>
      </w:pPr>
      <w:r>
        <w:t xml:space="preserve">While the cost and timeliness of the compulsory licensing process could be a barrier for its use by some parties, there are no clear alternatives that would significantly reduce its cost without also reducing the quality of the outcomes and increasing the scope for appeals. </w:t>
      </w:r>
    </w:p>
    <w:p w14:paraId="0F18848B" w14:textId="329BE4BA" w:rsidR="00CB2DCD" w:rsidRPr="00B315F9" w:rsidRDefault="00CB2DCD" w:rsidP="00CB2DCD">
      <w:pPr>
        <w:pStyle w:val="FindingTitle"/>
        <w:framePr w:wrap="auto"/>
      </w:pPr>
      <w:r w:rsidRPr="00B315F9">
        <w:t>Finding 6.2</w:t>
      </w:r>
    </w:p>
    <w:p w14:paraId="3AA17D65" w14:textId="77777777" w:rsidR="00CB2DCD" w:rsidRDefault="00CB2DCD" w:rsidP="00CB2DCD">
      <w:pPr>
        <w:pStyle w:val="Finding"/>
        <w:rPr>
          <w:rFonts w:ascii="Arial" w:hAnsi="Arial" w:cs="Arial"/>
          <w:i w:val="0"/>
          <w:color w:val="1F497D"/>
          <w:sz w:val="22"/>
          <w:szCs w:val="22"/>
        </w:rPr>
      </w:pPr>
      <w:r>
        <w:t>The Australian Government has agreed to introduce a general objects clause recommended by the Advisory Council on Intellectual Property into the Patents Act 1990 (Cwlth). This could assist in clarifying the context for compulsory licensing and the considerations that should guide a court.</w:t>
      </w:r>
    </w:p>
    <w:p w14:paraId="60546EAC" w14:textId="21A28DDC" w:rsidR="00CB2DCD" w:rsidRPr="00B315F9" w:rsidRDefault="00CB2DCD" w:rsidP="00CB2DCD">
      <w:pPr>
        <w:pStyle w:val="RecTitle"/>
      </w:pPr>
      <w:r w:rsidRPr="00B315F9">
        <w:t>Recommendation 6.1</w:t>
      </w:r>
    </w:p>
    <w:p w14:paraId="2226944D" w14:textId="5167E6FD" w:rsidR="00CB2DCD" w:rsidRPr="00863E91" w:rsidRDefault="00CB2DCD" w:rsidP="00CB2DCD">
      <w:pPr>
        <w:pStyle w:val="Rec"/>
      </w:pPr>
      <w:r w:rsidRPr="00863E91">
        <w:t xml:space="preserve">The Australian Government should seek to remove s. 133(2)(b) from the Patents Act 1990 (Cwlth), so that a compulsory licence order based on restrictive trade practices of the patent holder is only available under the Competition and Consumer Act 2010 (Cwlth). The remedy provisions in the Competition and Consumer Act should be amended to explicitly recognise compulsory licence orders to </w:t>
      </w:r>
      <w:r w:rsidR="00CC42D5">
        <w:t>exploit</w:t>
      </w:r>
      <w:r w:rsidRPr="00863E91">
        <w:t xml:space="preserve"> a patented invention as a remedy under the Act. The new remedy provision should specify that an order must:</w:t>
      </w:r>
    </w:p>
    <w:p w14:paraId="3D142351" w14:textId="4CB82B24" w:rsidR="00CB2DCD" w:rsidRDefault="00CB2DCD" w:rsidP="00CB2DCD">
      <w:pPr>
        <w:pStyle w:val="RecBullet"/>
      </w:pPr>
      <w:r>
        <w:t>not give the licensee</w:t>
      </w:r>
      <w:r w:rsidR="0071527D">
        <w:t>,</w:t>
      </w:r>
      <w:r>
        <w:t xml:space="preserve"> or a person authorised by the licensee, the exclusive right to work the </w:t>
      </w:r>
      <w:r w:rsidRPr="00CA3839">
        <w:t>patented</w:t>
      </w:r>
      <w:r>
        <w:t xml:space="preserve"> invention</w:t>
      </w:r>
    </w:p>
    <w:p w14:paraId="489BAFFE" w14:textId="77777777" w:rsidR="00CB2DCD" w:rsidRDefault="00CB2DCD" w:rsidP="00CB2DCD">
      <w:pPr>
        <w:pStyle w:val="RecBullet"/>
      </w:pPr>
      <w:r>
        <w:t>be assignable only in connection with an enterprise or goodwill in connection with which the licence is used.</w:t>
      </w:r>
    </w:p>
    <w:p w14:paraId="17BB8DC0" w14:textId="77777777" w:rsidR="00CB2DCD" w:rsidRDefault="00CB2DCD" w:rsidP="00CB2DCD">
      <w:pPr>
        <w:pStyle w:val="Rec"/>
      </w:pPr>
      <w:r>
        <w:t>The new provision should also contain a clause specifying the basis for determining remuneration, which is identical to the corresponding clause in the Patents Act.</w:t>
      </w:r>
    </w:p>
    <w:p w14:paraId="1139B680" w14:textId="7429060A" w:rsidR="00CB2DCD" w:rsidRPr="00B315F9" w:rsidRDefault="00CB2DCD" w:rsidP="00CB2DCD">
      <w:pPr>
        <w:pStyle w:val="FindingTitle"/>
        <w:framePr w:wrap="auto"/>
      </w:pPr>
      <w:r w:rsidRPr="00B315F9">
        <w:lastRenderedPageBreak/>
        <w:t>Finding 6.3</w:t>
      </w:r>
    </w:p>
    <w:p w14:paraId="6E1B055E" w14:textId="4907BC86" w:rsidR="00CB2DCD" w:rsidRPr="00B15B93" w:rsidRDefault="00CB2DCD" w:rsidP="00CB2DCD">
      <w:pPr>
        <w:pStyle w:val="Finding"/>
      </w:pPr>
      <w:r>
        <w:t xml:space="preserve">Section 51(3) of the Competition and Consumer Act 2010 (Cwlth) — which exempts certain types of conduct involving intellectual property from some provisions of the Act — is unlikely to promote efficient outcomes with respect to access to patented inventions. </w:t>
      </w:r>
      <w:r w:rsidR="00DA7DD5">
        <w:t>The Commission sees no reason why the exemption should continue to apply to patents, but any changes to s. 51(3) will need to be based on a consideration of the implications for all types of intellectual property, including those beyond this inquiry’s terms of reference</w:t>
      </w:r>
      <w:r>
        <w:t>.</w:t>
      </w:r>
    </w:p>
    <w:p w14:paraId="1DA9E22F" w14:textId="64D994A8" w:rsidR="00CB2DCD" w:rsidRPr="00B315F9" w:rsidRDefault="00CB2DCD" w:rsidP="00CB2DCD">
      <w:pPr>
        <w:pStyle w:val="FindingTitle"/>
        <w:framePr w:wrap="auto"/>
      </w:pPr>
      <w:r w:rsidRPr="00B315F9">
        <w:t>Finding 6.4</w:t>
      </w:r>
    </w:p>
    <w:p w14:paraId="1956E24B" w14:textId="77777777" w:rsidR="00CB2DCD" w:rsidRPr="000D3393" w:rsidRDefault="00CB2DCD" w:rsidP="00CB2DCD">
      <w:pPr>
        <w:pStyle w:val="Finding"/>
      </w:pPr>
      <w:r w:rsidRPr="000D3393">
        <w:t>The current language in s</w:t>
      </w:r>
      <w:r>
        <w:t>. </w:t>
      </w:r>
      <w:r w:rsidRPr="000D3393">
        <w:t>135 of the Patents Act</w:t>
      </w:r>
      <w:r>
        <w:t xml:space="preserve"> 1990 (Cwlth)</w:t>
      </w:r>
      <w:r w:rsidRPr="000D3393">
        <w:t>, which conflates the reasonable requirements of the public with the interests of Australian industry</w:t>
      </w:r>
      <w:r>
        <w:t>,</w:t>
      </w:r>
      <w:r w:rsidRPr="000D3393">
        <w:t xml:space="preserve"> is inconsistent with promoting </w:t>
      </w:r>
      <w:r>
        <w:t>community</w:t>
      </w:r>
      <w:r w:rsidRPr="000D3393">
        <w:t>-wide welfare.</w:t>
      </w:r>
    </w:p>
    <w:p w14:paraId="35341A15" w14:textId="0A28E7F2" w:rsidR="00CB2DCD" w:rsidRPr="00B315F9" w:rsidRDefault="00CB2DCD" w:rsidP="00CB2DCD">
      <w:pPr>
        <w:pStyle w:val="RecTitle"/>
      </w:pPr>
      <w:r w:rsidRPr="00B315F9">
        <w:t>Recommendation 6.2</w:t>
      </w:r>
    </w:p>
    <w:p w14:paraId="6CB7CFC2" w14:textId="63A21C21" w:rsidR="00947D39" w:rsidRPr="00B05476" w:rsidRDefault="00947D39" w:rsidP="00947D39">
      <w:pPr>
        <w:pStyle w:val="Rec"/>
      </w:pPr>
      <w:r w:rsidRPr="00B05476">
        <w:t xml:space="preserve">The </w:t>
      </w:r>
      <w:r>
        <w:t xml:space="preserve">Australian Government should seek to amend the Patents Act 1990 (Cwlth) to replace the </w:t>
      </w:r>
      <w:r w:rsidRPr="00B05476">
        <w:t xml:space="preserve">‘reasonable requirements of the public’ test </w:t>
      </w:r>
      <w:r>
        <w:t xml:space="preserve">for a compulsory licence with a new public interest </w:t>
      </w:r>
      <w:r w:rsidRPr="00B05476">
        <w:t xml:space="preserve">test. The new test should specify that a compulsory licence </w:t>
      </w:r>
      <w:r>
        <w:t>to exploit the patented invention</w:t>
      </w:r>
      <w:r w:rsidRPr="00B05476">
        <w:t xml:space="preserve"> </w:t>
      </w:r>
      <w:r>
        <w:t>w</w:t>
      </w:r>
      <w:r w:rsidRPr="00B05476">
        <w:t>ould be available if t</w:t>
      </w:r>
      <w:r>
        <w:t>he following conditions are met:</w:t>
      </w:r>
    </w:p>
    <w:p w14:paraId="62AA2A67" w14:textId="5D1E14C0" w:rsidR="00947D39" w:rsidRPr="00B90FA9" w:rsidRDefault="00947D39" w:rsidP="00135179">
      <w:pPr>
        <w:pStyle w:val="RecBullet"/>
        <w:spacing w:before="60"/>
      </w:pPr>
      <w:r w:rsidRPr="00B90FA9">
        <w:t>Australian demand for a product or service is not being met on reasonable terms, and access to the patented invention is essential for meeting this demand.</w:t>
      </w:r>
      <w:r w:rsidRPr="00B90FA9" w:rsidDel="00166BD6">
        <w:t xml:space="preserve"> </w:t>
      </w:r>
    </w:p>
    <w:p w14:paraId="3529A509" w14:textId="63AB501F" w:rsidR="00947D39" w:rsidRDefault="00947D39" w:rsidP="00135179">
      <w:pPr>
        <w:pStyle w:val="RecBullet"/>
        <w:spacing w:before="60"/>
      </w:pPr>
      <w:r>
        <w:t>The applicant has tried for a reasonable period, but without success, to obtain access from the patentee on reasonable terms and conditions.</w:t>
      </w:r>
    </w:p>
    <w:p w14:paraId="19AD082A" w14:textId="7786AB35" w:rsidR="00947D39" w:rsidRDefault="00947D39" w:rsidP="00135179">
      <w:pPr>
        <w:pStyle w:val="RecBullet"/>
        <w:spacing w:before="60"/>
      </w:pPr>
      <w:r>
        <w:t>There is a substantial public interest in providing access to the applicant, having regard to:</w:t>
      </w:r>
    </w:p>
    <w:p w14:paraId="2E7B22F8" w14:textId="671D083D" w:rsidR="005936D1" w:rsidRDefault="005936D1" w:rsidP="00135179">
      <w:pPr>
        <w:pStyle w:val="RecBullet"/>
        <w:numPr>
          <w:ilvl w:val="0"/>
          <w:numId w:val="31"/>
        </w:numPr>
        <w:spacing w:before="60"/>
        <w:ind w:left="822" w:hanging="425"/>
      </w:pPr>
      <w:r>
        <w:t>benefits to the community from meeting the relevant unmet demand</w:t>
      </w:r>
    </w:p>
    <w:p w14:paraId="1E1EE816" w14:textId="2B46C69C" w:rsidR="00947D39" w:rsidRDefault="005936D1" w:rsidP="00135179">
      <w:pPr>
        <w:pStyle w:val="RecBullet"/>
        <w:numPr>
          <w:ilvl w:val="0"/>
          <w:numId w:val="31"/>
        </w:numPr>
        <w:spacing w:before="60"/>
        <w:ind w:left="822" w:hanging="425"/>
      </w:pPr>
      <w:r>
        <w:t xml:space="preserve">commercial costs and benefits </w:t>
      </w:r>
      <w:r w:rsidR="00947D39">
        <w:t>to the patent</w:t>
      </w:r>
      <w:r>
        <w:t xml:space="preserve"> holder and licensee </w:t>
      </w:r>
      <w:r w:rsidR="00947D39">
        <w:t>from granting access to the patented invention</w:t>
      </w:r>
    </w:p>
    <w:p w14:paraId="5FA7F483" w14:textId="6AD1A0C0" w:rsidR="00947D39" w:rsidRDefault="005936D1" w:rsidP="00135179">
      <w:pPr>
        <w:pStyle w:val="RecBullet"/>
        <w:numPr>
          <w:ilvl w:val="0"/>
          <w:numId w:val="31"/>
        </w:numPr>
        <w:spacing w:before="60"/>
        <w:ind w:left="822" w:hanging="425"/>
      </w:pPr>
      <w:r>
        <w:t>other</w:t>
      </w:r>
      <w:r w:rsidR="00947D39">
        <w:t xml:space="preserve"> impacts on community wellbeing</w:t>
      </w:r>
      <w:r>
        <w:t xml:space="preserve">, including those resulting from greater competition and </w:t>
      </w:r>
      <w:r w:rsidR="00D3481C" w:rsidRPr="00D3481C">
        <w:t>from the overall effect on innovation</w:t>
      </w:r>
      <w:r w:rsidR="00947D39">
        <w:t>.</w:t>
      </w:r>
    </w:p>
    <w:p w14:paraId="495C40EC" w14:textId="1E343D76" w:rsidR="00947D39" w:rsidRPr="006B63CE" w:rsidRDefault="00947D39" w:rsidP="006B63CE">
      <w:pPr>
        <w:pStyle w:val="Rec"/>
        <w:rPr>
          <w:i w:val="0"/>
        </w:rPr>
      </w:pPr>
      <w:r>
        <w:t xml:space="preserve">The new provisions should require the Federal Court to set the terms of the licence, including — where the parties cannot reach agreement — any remuneration, consistent with the </w:t>
      </w:r>
      <w:r w:rsidRPr="00166BD6">
        <w:t>public interest, having regard to</w:t>
      </w:r>
      <w:r>
        <w:t xml:space="preserve"> the rights of:</w:t>
      </w:r>
    </w:p>
    <w:p w14:paraId="733376D2" w14:textId="552689FE" w:rsidR="00947D39" w:rsidRDefault="00947D39" w:rsidP="00135179">
      <w:pPr>
        <w:pStyle w:val="RecBullet"/>
        <w:spacing w:before="60"/>
      </w:pPr>
      <w:r>
        <w:t xml:space="preserve">the patentee to obtain </w:t>
      </w:r>
      <w:r w:rsidRPr="00EF5A63">
        <w:t>a return on investment commensurate with the regulatory and commercial risks involved</w:t>
      </w:r>
    </w:p>
    <w:p w14:paraId="57B2C1C4" w14:textId="4288C2F8" w:rsidR="00031862" w:rsidRPr="00CF0DC5" w:rsidRDefault="00947D39" w:rsidP="00135179">
      <w:pPr>
        <w:pStyle w:val="RecBullet"/>
        <w:spacing w:before="60"/>
      </w:pPr>
      <w:r>
        <w:t xml:space="preserve">the public to the efficient exploitation of the invention. </w:t>
      </w:r>
    </w:p>
    <w:p w14:paraId="085DF201" w14:textId="77AAF126" w:rsidR="00CB2DCD" w:rsidRDefault="00CB2DCD" w:rsidP="00CB2DCD">
      <w:pPr>
        <w:pStyle w:val="RecTitle"/>
      </w:pPr>
      <w:r>
        <w:lastRenderedPageBreak/>
        <w:t>Recommendation 6.3</w:t>
      </w:r>
    </w:p>
    <w:p w14:paraId="1719B95A" w14:textId="7BEEED7A" w:rsidR="00CB2DCD" w:rsidRDefault="00CB2DCD" w:rsidP="00CB2DCD">
      <w:pPr>
        <w:pStyle w:val="Rec"/>
      </w:pPr>
      <w:r>
        <w:t>The Australian Government should seek to repeal s. 136 of the Patents Act 1990 (Cwlth). Current and future international treaty obligations should be incorporated directly into the</w:t>
      </w:r>
      <w:r w:rsidRPr="00C37D08">
        <w:t xml:space="preserve"> </w:t>
      </w:r>
      <w:r>
        <w:t>Patents Act or its subordinate legislation.</w:t>
      </w:r>
    </w:p>
    <w:p w14:paraId="1B272A6A" w14:textId="77777777" w:rsidR="00CB2DCD" w:rsidRPr="00FC3AE4" w:rsidRDefault="00CB2DCD" w:rsidP="00B95934">
      <w:pPr>
        <w:pStyle w:val="Heading2"/>
        <w:spacing w:before="480" w:line="240" w:lineRule="auto"/>
      </w:pPr>
      <w:r w:rsidRPr="00FC3AE4">
        <w:t>Crown use provisions</w:t>
      </w:r>
    </w:p>
    <w:p w14:paraId="4892EA91" w14:textId="3025B8F0" w:rsidR="00CB2DCD" w:rsidRDefault="00CB2DCD" w:rsidP="00CB2DCD">
      <w:pPr>
        <w:pStyle w:val="RecTitle"/>
      </w:pPr>
      <w:r>
        <w:t>Recommendation 7.1</w:t>
      </w:r>
    </w:p>
    <w:p w14:paraId="473D9BA6" w14:textId="77777777" w:rsidR="00CB2DCD" w:rsidRDefault="00CB2DCD" w:rsidP="00CB2DCD">
      <w:pPr>
        <w:pStyle w:val="Rec"/>
        <w:rPr>
          <w:caps/>
          <w:sz w:val="20"/>
        </w:rPr>
      </w:pPr>
      <w:r>
        <w:t>The Australian Government should seek to amend s. 163 of the Patents Act 1990 (Cwlth) to make it clear that Crown use can be invoked for the provision of a service that t</w:t>
      </w:r>
      <w:r w:rsidRPr="00A3561D">
        <w:t xml:space="preserve">he </w:t>
      </w:r>
      <w:r>
        <w:t>Australian, State and/or Territory Governments have the primary responsibility for providing or funding.</w:t>
      </w:r>
    </w:p>
    <w:p w14:paraId="2188FECE" w14:textId="3234AC2D" w:rsidR="00CB2DCD" w:rsidRDefault="00CB2DCD" w:rsidP="00CB2DCD">
      <w:pPr>
        <w:pStyle w:val="RecTitle"/>
      </w:pPr>
      <w:r>
        <w:t>Recommendation 7.2</w:t>
      </w:r>
    </w:p>
    <w:p w14:paraId="732624C5" w14:textId="77777777" w:rsidR="00B95934" w:rsidRDefault="00B95934" w:rsidP="00B95934">
      <w:pPr>
        <w:pStyle w:val="Rec"/>
        <w:keepNext/>
      </w:pPr>
      <w:r>
        <w:t>The Australian Government should seek to amend the Patents Act 1990 (Cwlth) to require:</w:t>
      </w:r>
    </w:p>
    <w:p w14:paraId="195D8E88" w14:textId="77777777" w:rsidR="00B95934" w:rsidRDefault="00B95934" w:rsidP="00B95934">
      <w:pPr>
        <w:pStyle w:val="RecBullet"/>
      </w:pPr>
      <w:r>
        <w:t>the Crown to attempt to negotiate</w:t>
      </w:r>
      <w:r w:rsidRPr="00DB05C3">
        <w:t xml:space="preserve"> </w:t>
      </w:r>
      <w:r>
        <w:t>use of the patented invention prior to invoking Crown use</w:t>
      </w:r>
    </w:p>
    <w:p w14:paraId="3531BFB7" w14:textId="77777777" w:rsidR="00B95934" w:rsidRDefault="00B95934" w:rsidP="00B95934">
      <w:pPr>
        <w:pStyle w:val="RecBullet"/>
      </w:pPr>
      <w:r>
        <w:t>the Crown to provide the patentee with a statement of reasons no less than 14 days before such use occurs</w:t>
      </w:r>
    </w:p>
    <w:p w14:paraId="50948DD2" w14:textId="73C7DF31" w:rsidR="00B95934" w:rsidRDefault="00B95934" w:rsidP="00B95934">
      <w:pPr>
        <w:pStyle w:val="RecBullet"/>
      </w:pPr>
      <w:r>
        <w:t>Crown use to be approved by a Minister (the relevant Fede</w:t>
      </w:r>
      <w:r w:rsidR="00E417CC">
        <w:t>ral Minister or State Attorneys-</w:t>
      </w:r>
      <w:r>
        <w:t>General)</w:t>
      </w:r>
    </w:p>
    <w:p w14:paraId="6E118FEC" w14:textId="77777777" w:rsidR="00B95934" w:rsidRDefault="00B95934" w:rsidP="00B95934">
      <w:pPr>
        <w:pStyle w:val="RecBullet"/>
      </w:pPr>
      <w:r>
        <w:t>that in instances of Crown use, the patentee is entitled to remuneration</w:t>
      </w:r>
      <w:r w:rsidRPr="004B0743">
        <w:t xml:space="preserve"> </w:t>
      </w:r>
      <w:r>
        <w:t>determined on the same basis as that for a compulsory licence.</w:t>
      </w:r>
    </w:p>
    <w:p w14:paraId="20F6872C" w14:textId="436A6032" w:rsidR="00CB2DCD" w:rsidRPr="005B73F7" w:rsidRDefault="00E417CC" w:rsidP="00CB2DCD">
      <w:pPr>
        <w:pStyle w:val="Rec"/>
        <w:keepLines w:val="0"/>
        <w:widowControl w:val="0"/>
      </w:pPr>
      <w:r>
        <w:t>The</w:t>
      </w:r>
      <w:r w:rsidR="00CB2DCD">
        <w:t xml:space="preserve"> first two requirements should be able to be waived in emergencies. However, in all cases patentees should be provided with immediate notice that their patents have been used, and a statement of reasons as soon as practical thereafter.</w:t>
      </w:r>
    </w:p>
    <w:p w14:paraId="6BF4A8CE" w14:textId="77777777" w:rsidR="00CB2DCD" w:rsidRDefault="00CB2DCD" w:rsidP="00B95934">
      <w:pPr>
        <w:pStyle w:val="Heading2"/>
        <w:spacing w:before="480" w:line="240" w:lineRule="auto"/>
      </w:pPr>
      <w:r>
        <w:t>Awareness raising</w:t>
      </w:r>
    </w:p>
    <w:p w14:paraId="23FCCD44" w14:textId="6D9D80B5" w:rsidR="00CB2DCD" w:rsidRDefault="00CB2DCD" w:rsidP="00CB2DCD">
      <w:pPr>
        <w:pStyle w:val="RecTitle"/>
      </w:pPr>
      <w:r>
        <w:t>Recommendation 10.1</w:t>
      </w:r>
    </w:p>
    <w:p w14:paraId="4689559B" w14:textId="501B7A5D" w:rsidR="00501A7F" w:rsidRPr="001E3850" w:rsidRDefault="001D0F52" w:rsidP="00184675">
      <w:pPr>
        <w:pStyle w:val="Rec"/>
      </w:pPr>
      <w:r>
        <w:t xml:space="preserve">IP Australia </w:t>
      </w:r>
      <w:r w:rsidR="00CC6C40">
        <w:t xml:space="preserve">and the Australian Competition and Consumer Commission (ACCC) </w:t>
      </w:r>
      <w:r>
        <w:t xml:space="preserve">should </w:t>
      </w:r>
      <w:r w:rsidR="00CC6C40">
        <w:t xml:space="preserve">jointly </w:t>
      </w:r>
      <w:r>
        <w:t xml:space="preserve">develop a plain English guide on the compulsory licensing provisions. The guide should be available on </w:t>
      </w:r>
      <w:r w:rsidR="00CC6C40">
        <w:t xml:space="preserve">both </w:t>
      </w:r>
      <w:r>
        <w:t xml:space="preserve">the IP Australia </w:t>
      </w:r>
      <w:r w:rsidR="00CC6C40">
        <w:t xml:space="preserve">and ACCC </w:t>
      </w:r>
      <w:r>
        <w:t>website</w:t>
      </w:r>
      <w:r w:rsidR="00CC6C40">
        <w:t>s</w:t>
      </w:r>
      <w:r>
        <w:t>.</w:t>
      </w:r>
    </w:p>
    <w:sectPr w:rsidR="00501A7F" w:rsidRPr="001E3850" w:rsidSect="00B315F9">
      <w:footerReference w:type="default" r:id="rId96"/>
      <w:headerReference w:type="first" r:id="rId97"/>
      <w:footerReference w:type="first" r:id="rId98"/>
      <w:type w:val="oddPage"/>
      <w:pgSz w:w="11907" w:h="16840" w:code="9"/>
      <w:pgMar w:top="1985" w:right="1304" w:bottom="1418" w:left="1814" w:header="1701" w:footer="567" w:gutter="0"/>
      <w:pgNumType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7DA96" w14:textId="77777777" w:rsidR="00C6438F" w:rsidRDefault="00C6438F">
      <w:r>
        <w:separator/>
      </w:r>
    </w:p>
  </w:endnote>
  <w:endnote w:type="continuationSeparator" w:id="0">
    <w:p w14:paraId="5E394D29" w14:textId="77777777" w:rsidR="00C6438F" w:rsidRDefault="00C6438F">
      <w:r>
        <w:continuationSeparator/>
      </w:r>
    </w:p>
  </w:endnote>
  <w:endnote w:type="continuationNotice" w:id="1">
    <w:p w14:paraId="7FCA6B42" w14:textId="77777777" w:rsidR="00C6438F" w:rsidRDefault="00C64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6438F" w14:paraId="7D202DE2" w14:textId="77777777">
      <w:trPr>
        <w:trHeight w:hRule="exact" w:val="740"/>
      </w:trPr>
      <w:tc>
        <w:tcPr>
          <w:tcW w:w="510" w:type="dxa"/>
          <w:tcBorders>
            <w:top w:val="single" w:sz="6" w:space="0" w:color="auto"/>
          </w:tcBorders>
        </w:tcPr>
        <w:p w14:paraId="5C920CA0" w14:textId="77777777" w:rsidR="00C6438F" w:rsidRDefault="00C6438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10812">
            <w:rPr>
              <w:rStyle w:val="PageNumber"/>
              <w:noProof/>
            </w:rPr>
            <w:t>2</w:t>
          </w:r>
          <w:r>
            <w:rPr>
              <w:rStyle w:val="PageNumber"/>
            </w:rPr>
            <w:fldChar w:fldCharType="end"/>
          </w:r>
        </w:p>
      </w:tc>
      <w:tc>
        <w:tcPr>
          <w:tcW w:w="1644" w:type="dxa"/>
          <w:tcBorders>
            <w:top w:val="single" w:sz="6" w:space="0" w:color="auto"/>
          </w:tcBorders>
        </w:tcPr>
        <w:p w14:paraId="69FB3355" w14:textId="77777777" w:rsidR="00C6438F" w:rsidRDefault="00910812" w:rsidP="0019293B">
          <w:pPr>
            <w:pStyle w:val="Footer"/>
          </w:pPr>
          <w:r>
            <w:fldChar w:fldCharType="begin"/>
          </w:r>
          <w:r>
            <w:instrText xml:space="preserve"> SUBJECT  \* MERGEFORMAT </w:instrText>
          </w:r>
          <w:r>
            <w:fldChar w:fldCharType="separate"/>
          </w:r>
          <w:r w:rsidR="00D62313">
            <w:t>Compulsory licensing of patents</w:t>
          </w:r>
          <w:r>
            <w:fldChar w:fldCharType="end"/>
          </w:r>
        </w:p>
      </w:tc>
      <w:tc>
        <w:tcPr>
          <w:tcW w:w="6634" w:type="dxa"/>
        </w:tcPr>
        <w:p w14:paraId="64ED4295" w14:textId="3E5E59F7" w:rsidR="00C6438F" w:rsidRDefault="00C6438F" w:rsidP="006C10E2">
          <w:pPr>
            <w:pStyle w:val="Footer"/>
            <w:jc w:val="center"/>
          </w:pPr>
        </w:p>
      </w:tc>
    </w:tr>
  </w:tbl>
  <w:p w14:paraId="568D3C8C" w14:textId="77777777" w:rsidR="00C6438F" w:rsidRDefault="00C6438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6438F" w14:paraId="6A5372FB" w14:textId="77777777">
      <w:trPr>
        <w:trHeight w:hRule="exact" w:val="740"/>
      </w:trPr>
      <w:tc>
        <w:tcPr>
          <w:tcW w:w="6634" w:type="dxa"/>
        </w:tcPr>
        <w:p w14:paraId="7CFF6354" w14:textId="62A711AF" w:rsidR="00C6438F" w:rsidRDefault="00C6438F" w:rsidP="006C10E2">
          <w:pPr>
            <w:pStyle w:val="Footer"/>
            <w:ind w:right="360" w:firstLine="360"/>
            <w:jc w:val="center"/>
          </w:pPr>
        </w:p>
      </w:tc>
      <w:tc>
        <w:tcPr>
          <w:tcW w:w="1644" w:type="dxa"/>
          <w:tcBorders>
            <w:top w:val="single" w:sz="6" w:space="0" w:color="auto"/>
          </w:tcBorders>
        </w:tcPr>
        <w:p w14:paraId="6C929835" w14:textId="77777777" w:rsidR="00C6438F" w:rsidRDefault="00910812">
          <w:pPr>
            <w:pStyle w:val="Footer"/>
          </w:pPr>
          <w:r>
            <w:fldChar w:fldCharType="begin"/>
          </w:r>
          <w:r>
            <w:instrText xml:space="preserve"> TITLE  \* MERGEFORMAT </w:instrText>
          </w:r>
          <w:r>
            <w:fldChar w:fldCharType="separate"/>
          </w:r>
          <w:r w:rsidR="00D62313">
            <w:t>Overview</w:t>
          </w:r>
          <w:r>
            <w:fldChar w:fldCharType="end"/>
          </w:r>
        </w:p>
      </w:tc>
      <w:tc>
        <w:tcPr>
          <w:tcW w:w="510" w:type="dxa"/>
          <w:tcBorders>
            <w:top w:val="single" w:sz="6" w:space="0" w:color="auto"/>
          </w:tcBorders>
        </w:tcPr>
        <w:p w14:paraId="4EE60B7C" w14:textId="77777777" w:rsidR="00C6438F" w:rsidRDefault="00C6438F">
          <w:pPr>
            <w:pStyle w:val="Footer"/>
            <w:jc w:val="right"/>
          </w:pPr>
          <w:r>
            <w:rPr>
              <w:rStyle w:val="PageNumber"/>
            </w:rPr>
            <w:fldChar w:fldCharType="begin"/>
          </w:r>
          <w:r>
            <w:rPr>
              <w:rStyle w:val="PageNumber"/>
            </w:rPr>
            <w:instrText xml:space="preserve">PAGE  </w:instrText>
          </w:r>
          <w:r>
            <w:rPr>
              <w:rStyle w:val="PageNumber"/>
            </w:rPr>
            <w:fldChar w:fldCharType="separate"/>
          </w:r>
          <w:r w:rsidR="00910812">
            <w:rPr>
              <w:rStyle w:val="PageNumber"/>
              <w:noProof/>
            </w:rPr>
            <w:t>21</w:t>
          </w:r>
          <w:r>
            <w:rPr>
              <w:rStyle w:val="PageNumber"/>
            </w:rPr>
            <w:fldChar w:fldCharType="end"/>
          </w:r>
        </w:p>
      </w:tc>
    </w:tr>
  </w:tbl>
  <w:p w14:paraId="1E6EE658" w14:textId="77777777" w:rsidR="00C6438F" w:rsidRDefault="00C6438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606D3" w14:textId="77777777" w:rsidR="00C6438F" w:rsidRDefault="00C6438F" w:rsidP="00731596">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6438F" w14:paraId="3656D9A1" w14:textId="77777777">
      <w:trPr>
        <w:trHeight w:hRule="exact" w:val="740"/>
      </w:trPr>
      <w:tc>
        <w:tcPr>
          <w:tcW w:w="6634" w:type="dxa"/>
        </w:tcPr>
        <w:p w14:paraId="72A49252" w14:textId="77777777" w:rsidR="00C6438F" w:rsidRDefault="00C6438F">
          <w:pPr>
            <w:pStyle w:val="Footer"/>
            <w:ind w:right="360" w:firstLine="360"/>
          </w:pPr>
        </w:p>
      </w:tc>
      <w:tc>
        <w:tcPr>
          <w:tcW w:w="1644" w:type="dxa"/>
          <w:tcBorders>
            <w:top w:val="single" w:sz="6" w:space="0" w:color="auto"/>
          </w:tcBorders>
        </w:tcPr>
        <w:p w14:paraId="2E8E3845" w14:textId="1930FAF5" w:rsidR="00C6438F" w:rsidRDefault="00C6438F" w:rsidP="00CB2DCD">
          <w:pPr>
            <w:pStyle w:val="Footer"/>
          </w:pPr>
          <w:r>
            <w:t>Recommendations and findings</w:t>
          </w:r>
        </w:p>
      </w:tc>
      <w:tc>
        <w:tcPr>
          <w:tcW w:w="510" w:type="dxa"/>
          <w:tcBorders>
            <w:top w:val="single" w:sz="6" w:space="0" w:color="auto"/>
          </w:tcBorders>
        </w:tcPr>
        <w:p w14:paraId="211178DF" w14:textId="77777777" w:rsidR="00C6438F" w:rsidRDefault="00C6438F">
          <w:pPr>
            <w:pStyle w:val="Footer"/>
            <w:jc w:val="right"/>
          </w:pPr>
          <w:r>
            <w:rPr>
              <w:rStyle w:val="PageNumber"/>
            </w:rPr>
            <w:fldChar w:fldCharType="begin"/>
          </w:r>
          <w:r>
            <w:rPr>
              <w:rStyle w:val="PageNumber"/>
            </w:rPr>
            <w:instrText xml:space="preserve">PAGE  </w:instrText>
          </w:r>
          <w:r>
            <w:rPr>
              <w:rStyle w:val="PageNumber"/>
            </w:rPr>
            <w:fldChar w:fldCharType="separate"/>
          </w:r>
          <w:r w:rsidR="00910812">
            <w:rPr>
              <w:rStyle w:val="PageNumber"/>
              <w:noProof/>
            </w:rPr>
            <w:t>25</w:t>
          </w:r>
          <w:r>
            <w:rPr>
              <w:rStyle w:val="PageNumber"/>
            </w:rPr>
            <w:fldChar w:fldCharType="end"/>
          </w:r>
        </w:p>
      </w:tc>
    </w:tr>
  </w:tbl>
  <w:p w14:paraId="3CE7CE6E" w14:textId="77777777" w:rsidR="00C6438F" w:rsidRDefault="00C6438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6438F" w14:paraId="793D2AE3" w14:textId="77777777" w:rsidTr="00847D76">
      <w:trPr>
        <w:trHeight w:hRule="exact" w:val="740"/>
      </w:trPr>
      <w:tc>
        <w:tcPr>
          <w:tcW w:w="510" w:type="dxa"/>
          <w:tcBorders>
            <w:top w:val="single" w:sz="6" w:space="0" w:color="auto"/>
          </w:tcBorders>
        </w:tcPr>
        <w:p w14:paraId="775BD7F1" w14:textId="77777777" w:rsidR="00C6438F" w:rsidRDefault="00C6438F" w:rsidP="00847D76">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tc>
      <w:tc>
        <w:tcPr>
          <w:tcW w:w="1644" w:type="dxa"/>
          <w:tcBorders>
            <w:top w:val="single" w:sz="6" w:space="0" w:color="auto"/>
          </w:tcBorders>
        </w:tcPr>
        <w:p w14:paraId="197830E3" w14:textId="77777777" w:rsidR="00C6438F" w:rsidRDefault="00910812" w:rsidP="00847D76">
          <w:pPr>
            <w:pStyle w:val="Footer"/>
          </w:pPr>
          <w:r>
            <w:fldChar w:fldCharType="begin"/>
          </w:r>
          <w:r>
            <w:instrText xml:space="preserve"> SUBJECT  \* MERGEFORMAT </w:instrText>
          </w:r>
          <w:r>
            <w:fldChar w:fldCharType="separate"/>
          </w:r>
          <w:r w:rsidR="00D62313">
            <w:t>Compulsory licensing of patents</w:t>
          </w:r>
          <w:r>
            <w:fldChar w:fldCharType="end"/>
          </w:r>
        </w:p>
      </w:tc>
      <w:tc>
        <w:tcPr>
          <w:tcW w:w="6634" w:type="dxa"/>
        </w:tcPr>
        <w:p w14:paraId="32F8435E" w14:textId="77777777" w:rsidR="00C6438F" w:rsidRDefault="00C6438F" w:rsidP="00847D76">
          <w:pPr>
            <w:pStyle w:val="Footer"/>
          </w:pPr>
        </w:p>
      </w:tc>
    </w:tr>
  </w:tbl>
  <w:p w14:paraId="3AA33A14" w14:textId="77777777" w:rsidR="00C6438F" w:rsidRPr="00195A84" w:rsidRDefault="00C6438F" w:rsidP="00195A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F93F2" w14:textId="77777777" w:rsidR="00C6438F" w:rsidRDefault="00C6438F">
      <w:r>
        <w:separator/>
      </w:r>
    </w:p>
  </w:footnote>
  <w:footnote w:type="continuationSeparator" w:id="0">
    <w:p w14:paraId="164391A9" w14:textId="77777777" w:rsidR="00C6438F" w:rsidRDefault="00C6438F">
      <w:r>
        <w:continuationSeparator/>
      </w:r>
    </w:p>
  </w:footnote>
  <w:footnote w:type="continuationNotice" w:id="1">
    <w:p w14:paraId="284CEB93" w14:textId="77777777" w:rsidR="00C6438F" w:rsidRDefault="00C643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6438F" w14:paraId="0CFF26D2" w14:textId="77777777">
      <w:tc>
        <w:tcPr>
          <w:tcW w:w="2155" w:type="dxa"/>
          <w:tcBorders>
            <w:top w:val="single" w:sz="24" w:space="0" w:color="auto"/>
          </w:tcBorders>
        </w:tcPr>
        <w:p w14:paraId="0577E4ED" w14:textId="77777777" w:rsidR="00C6438F" w:rsidRDefault="00C6438F" w:rsidP="0019293B">
          <w:pPr>
            <w:pStyle w:val="HeaderEven"/>
          </w:pPr>
        </w:p>
      </w:tc>
      <w:tc>
        <w:tcPr>
          <w:tcW w:w="6634" w:type="dxa"/>
          <w:tcBorders>
            <w:top w:val="single" w:sz="6" w:space="0" w:color="auto"/>
          </w:tcBorders>
        </w:tcPr>
        <w:p w14:paraId="63960308" w14:textId="77777777" w:rsidR="00C6438F" w:rsidRDefault="00C6438F" w:rsidP="0019293B">
          <w:pPr>
            <w:pStyle w:val="HeaderEven"/>
          </w:pPr>
        </w:p>
      </w:tc>
    </w:tr>
  </w:tbl>
  <w:p w14:paraId="338102C2" w14:textId="77777777" w:rsidR="00C6438F" w:rsidRDefault="00C6438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6438F" w14:paraId="3D10EA93" w14:textId="77777777" w:rsidTr="00BE10D7">
      <w:tc>
        <w:tcPr>
          <w:tcW w:w="6634" w:type="dxa"/>
          <w:tcBorders>
            <w:top w:val="single" w:sz="6" w:space="0" w:color="auto"/>
          </w:tcBorders>
        </w:tcPr>
        <w:p w14:paraId="08C1FCD6" w14:textId="77777777" w:rsidR="00C6438F" w:rsidRDefault="00C6438F" w:rsidP="00BE10D7">
          <w:pPr>
            <w:pStyle w:val="HeaderOdd"/>
          </w:pPr>
        </w:p>
      </w:tc>
      <w:tc>
        <w:tcPr>
          <w:tcW w:w="2155" w:type="dxa"/>
          <w:tcBorders>
            <w:top w:val="single" w:sz="24" w:space="0" w:color="auto"/>
          </w:tcBorders>
        </w:tcPr>
        <w:p w14:paraId="150D5F62" w14:textId="77777777" w:rsidR="00C6438F" w:rsidRDefault="00C6438F" w:rsidP="00BE10D7">
          <w:pPr>
            <w:pStyle w:val="HeaderOdd"/>
          </w:pPr>
        </w:p>
      </w:tc>
    </w:tr>
  </w:tbl>
  <w:p w14:paraId="11B73DE2" w14:textId="77777777" w:rsidR="00C6438F" w:rsidRPr="00CB2DCD" w:rsidRDefault="00C6438F" w:rsidP="00CB2DC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6438F" w14:paraId="68933BDE" w14:textId="77777777" w:rsidTr="00847D76">
      <w:tc>
        <w:tcPr>
          <w:tcW w:w="2155" w:type="dxa"/>
          <w:tcBorders>
            <w:top w:val="single" w:sz="24" w:space="0" w:color="auto"/>
          </w:tcBorders>
        </w:tcPr>
        <w:p w14:paraId="5C83F7BB" w14:textId="77777777" w:rsidR="00C6438F" w:rsidRDefault="00C6438F" w:rsidP="00847D76">
          <w:pPr>
            <w:pStyle w:val="HeaderEven"/>
          </w:pPr>
        </w:p>
      </w:tc>
      <w:tc>
        <w:tcPr>
          <w:tcW w:w="6634" w:type="dxa"/>
          <w:tcBorders>
            <w:top w:val="single" w:sz="6" w:space="0" w:color="auto"/>
          </w:tcBorders>
        </w:tcPr>
        <w:p w14:paraId="4DC3B8BE" w14:textId="77777777" w:rsidR="00C6438F" w:rsidRDefault="00C6438F" w:rsidP="00847D76">
          <w:pPr>
            <w:pStyle w:val="HeaderEven"/>
          </w:pPr>
        </w:p>
      </w:tc>
    </w:tr>
  </w:tbl>
  <w:p w14:paraId="736CB499" w14:textId="77777777" w:rsidR="00C6438F" w:rsidRDefault="00C643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8CCDFE8"/>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C0F2A5B6"/>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E4F407E8"/>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04AC77A2"/>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2FFC0078"/>
    <w:multiLevelType w:val="hybridMultilevel"/>
    <w:tmpl w:val="46C69704"/>
    <w:lvl w:ilvl="0" w:tplc="1506E74C">
      <w:start w:val="1"/>
      <w:numFmt w:val="bullet"/>
      <w:lvlText w:val="─"/>
      <w:lvlJc w:val="left"/>
      <w:pPr>
        <w:ind w:left="360" w:hanging="360"/>
      </w:pPr>
      <w:rPr>
        <w:rFonts w:ascii="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4">
    <w:nsid w:val="3F5A2AD0"/>
    <w:multiLevelType w:val="hybridMultilevel"/>
    <w:tmpl w:val="6ADAC136"/>
    <w:lvl w:ilvl="0" w:tplc="5FD0229E">
      <w:start w:val="1"/>
      <w:numFmt w:val="bullet"/>
      <w:lvlText w:val="–"/>
      <w:lvlJc w:val="left"/>
      <w:pPr>
        <w:ind w:left="360" w:hanging="360"/>
      </w:pPr>
      <w:rPr>
        <w:rFonts w:ascii="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3D1047E"/>
    <w:multiLevelType w:val="hybridMultilevel"/>
    <w:tmpl w:val="228EF1FA"/>
    <w:lvl w:ilvl="0" w:tplc="52F61D9A">
      <w:start w:val="1"/>
      <w:numFmt w:val="bullet"/>
      <w:lvlText w:val=""/>
      <w:lvlJc w:val="left"/>
      <w:pPr>
        <w:ind w:left="360" w:hanging="360"/>
      </w:pPr>
      <w:rPr>
        <w:rFonts w:ascii="Symbol" w:hAnsi="Symbol" w:hint="default"/>
        <w:sz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2"/>
  </w:num>
  <w:num w:numId="3">
    <w:abstractNumId w:val="4"/>
  </w:num>
  <w:num w:numId="4">
    <w:abstractNumId w:val="16"/>
  </w:num>
  <w:num w:numId="5">
    <w:abstractNumId w:val="5"/>
  </w:num>
  <w:num w:numId="6">
    <w:abstractNumId w:val="21"/>
  </w:num>
  <w:num w:numId="7">
    <w:abstractNumId w:val="18"/>
  </w:num>
  <w:num w:numId="8">
    <w:abstractNumId w:val="23"/>
  </w:num>
  <w:num w:numId="9">
    <w:abstractNumId w:val="9"/>
  </w:num>
  <w:num w:numId="10">
    <w:abstractNumId w:val="17"/>
  </w:num>
  <w:num w:numId="11">
    <w:abstractNumId w:val="8"/>
  </w:num>
  <w:num w:numId="12">
    <w:abstractNumId w:val="7"/>
  </w:num>
  <w:num w:numId="13">
    <w:abstractNumId w:val="10"/>
  </w:num>
  <w:num w:numId="14">
    <w:abstractNumId w:val="11"/>
  </w:num>
  <w:num w:numId="15">
    <w:abstractNumId w:val="15"/>
  </w:num>
  <w:num w:numId="16">
    <w:abstractNumId w:val="6"/>
  </w:num>
  <w:num w:numId="17">
    <w:abstractNumId w:val="19"/>
  </w:num>
  <w:num w:numId="18">
    <w:abstractNumId w:val="6"/>
  </w:num>
  <w:num w:numId="19">
    <w:abstractNumId w:val="2"/>
  </w:num>
  <w:num w:numId="20">
    <w:abstractNumId w:val="20"/>
  </w:num>
  <w:num w:numId="21">
    <w:abstractNumId w:val="0"/>
  </w:num>
  <w:num w:numId="22">
    <w:abstractNumId w:val="1"/>
  </w:num>
  <w:num w:numId="23">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4">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3"/>
  </w:num>
  <w:num w:numId="26">
    <w:abstractNumId w:val="23"/>
  </w:num>
  <w:num w:numId="27">
    <w:abstractNumId w:val="23"/>
  </w:num>
  <w:num w:numId="28">
    <w:abstractNumId w:val="23"/>
  </w:num>
  <w:num w:numId="29">
    <w:abstractNumId w:val="23"/>
  </w:num>
  <w:num w:numId="30">
    <w:abstractNumId w:val="12"/>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Compulsory licensing of patents"/>
  </w:docVars>
  <w:rsids>
    <w:rsidRoot w:val="00117140"/>
    <w:rsid w:val="00000042"/>
    <w:rsid w:val="0000080E"/>
    <w:rsid w:val="00000B77"/>
    <w:rsid w:val="00002182"/>
    <w:rsid w:val="0000241C"/>
    <w:rsid w:val="000026AC"/>
    <w:rsid w:val="00002D15"/>
    <w:rsid w:val="00002E16"/>
    <w:rsid w:val="00003224"/>
    <w:rsid w:val="00003F0D"/>
    <w:rsid w:val="00003FF2"/>
    <w:rsid w:val="0000416A"/>
    <w:rsid w:val="00004D12"/>
    <w:rsid w:val="0000593D"/>
    <w:rsid w:val="00005BD9"/>
    <w:rsid w:val="000069CB"/>
    <w:rsid w:val="00006BBC"/>
    <w:rsid w:val="00006DB6"/>
    <w:rsid w:val="00007397"/>
    <w:rsid w:val="00007A35"/>
    <w:rsid w:val="0001002A"/>
    <w:rsid w:val="000102A1"/>
    <w:rsid w:val="00010BD8"/>
    <w:rsid w:val="000110A2"/>
    <w:rsid w:val="00011A29"/>
    <w:rsid w:val="00012546"/>
    <w:rsid w:val="00012DB2"/>
    <w:rsid w:val="00012F34"/>
    <w:rsid w:val="0001355D"/>
    <w:rsid w:val="00014239"/>
    <w:rsid w:val="000142EF"/>
    <w:rsid w:val="000144BC"/>
    <w:rsid w:val="000144D3"/>
    <w:rsid w:val="000147E1"/>
    <w:rsid w:val="00014955"/>
    <w:rsid w:val="00014A3B"/>
    <w:rsid w:val="00014E55"/>
    <w:rsid w:val="0001566F"/>
    <w:rsid w:val="00015841"/>
    <w:rsid w:val="000159B2"/>
    <w:rsid w:val="00015FBC"/>
    <w:rsid w:val="00016664"/>
    <w:rsid w:val="00016B9E"/>
    <w:rsid w:val="00017389"/>
    <w:rsid w:val="0001755E"/>
    <w:rsid w:val="00017907"/>
    <w:rsid w:val="00017A7F"/>
    <w:rsid w:val="00020313"/>
    <w:rsid w:val="00021455"/>
    <w:rsid w:val="00021D13"/>
    <w:rsid w:val="00021DD7"/>
    <w:rsid w:val="000223C1"/>
    <w:rsid w:val="000227D5"/>
    <w:rsid w:val="00023295"/>
    <w:rsid w:val="0002384C"/>
    <w:rsid w:val="00023B47"/>
    <w:rsid w:val="00023BF6"/>
    <w:rsid w:val="00023C3F"/>
    <w:rsid w:val="00023C59"/>
    <w:rsid w:val="000244B7"/>
    <w:rsid w:val="000245AA"/>
    <w:rsid w:val="000245AE"/>
    <w:rsid w:val="000247AA"/>
    <w:rsid w:val="000247DA"/>
    <w:rsid w:val="00025096"/>
    <w:rsid w:val="0002594D"/>
    <w:rsid w:val="00025B17"/>
    <w:rsid w:val="00026167"/>
    <w:rsid w:val="00026415"/>
    <w:rsid w:val="0002677B"/>
    <w:rsid w:val="000267DC"/>
    <w:rsid w:val="0002681D"/>
    <w:rsid w:val="00027878"/>
    <w:rsid w:val="000308F2"/>
    <w:rsid w:val="000308FC"/>
    <w:rsid w:val="00030A31"/>
    <w:rsid w:val="00030F35"/>
    <w:rsid w:val="00031862"/>
    <w:rsid w:val="00031D9D"/>
    <w:rsid w:val="00031E63"/>
    <w:rsid w:val="00032F43"/>
    <w:rsid w:val="00034328"/>
    <w:rsid w:val="00034740"/>
    <w:rsid w:val="0003597A"/>
    <w:rsid w:val="000360EB"/>
    <w:rsid w:val="000363B5"/>
    <w:rsid w:val="00036487"/>
    <w:rsid w:val="0003664B"/>
    <w:rsid w:val="00037097"/>
    <w:rsid w:val="000374E6"/>
    <w:rsid w:val="00037C41"/>
    <w:rsid w:val="00040CE1"/>
    <w:rsid w:val="00040D4B"/>
    <w:rsid w:val="00040D7B"/>
    <w:rsid w:val="00040DB1"/>
    <w:rsid w:val="0004111F"/>
    <w:rsid w:val="00041318"/>
    <w:rsid w:val="00041617"/>
    <w:rsid w:val="0004210D"/>
    <w:rsid w:val="00043ACF"/>
    <w:rsid w:val="000443CB"/>
    <w:rsid w:val="00044622"/>
    <w:rsid w:val="0004468D"/>
    <w:rsid w:val="00045035"/>
    <w:rsid w:val="000458C1"/>
    <w:rsid w:val="000459EC"/>
    <w:rsid w:val="00045A86"/>
    <w:rsid w:val="00045AD4"/>
    <w:rsid w:val="000462A0"/>
    <w:rsid w:val="00046B05"/>
    <w:rsid w:val="00046CF6"/>
    <w:rsid w:val="00046E30"/>
    <w:rsid w:val="00046FC2"/>
    <w:rsid w:val="0004742C"/>
    <w:rsid w:val="0004795F"/>
    <w:rsid w:val="000479A5"/>
    <w:rsid w:val="00047F3C"/>
    <w:rsid w:val="00050368"/>
    <w:rsid w:val="00050A35"/>
    <w:rsid w:val="00051170"/>
    <w:rsid w:val="00051303"/>
    <w:rsid w:val="000519CD"/>
    <w:rsid w:val="00051BF6"/>
    <w:rsid w:val="000537A5"/>
    <w:rsid w:val="000538B6"/>
    <w:rsid w:val="00053B05"/>
    <w:rsid w:val="00053C82"/>
    <w:rsid w:val="00054251"/>
    <w:rsid w:val="000546B2"/>
    <w:rsid w:val="00054820"/>
    <w:rsid w:val="00055282"/>
    <w:rsid w:val="000555D4"/>
    <w:rsid w:val="0005570B"/>
    <w:rsid w:val="000565B3"/>
    <w:rsid w:val="00056AE9"/>
    <w:rsid w:val="00056B57"/>
    <w:rsid w:val="000600C8"/>
    <w:rsid w:val="00060B19"/>
    <w:rsid w:val="00060BE6"/>
    <w:rsid w:val="00060DF3"/>
    <w:rsid w:val="000616F0"/>
    <w:rsid w:val="00061A1F"/>
    <w:rsid w:val="00062C80"/>
    <w:rsid w:val="000639CF"/>
    <w:rsid w:val="00063E29"/>
    <w:rsid w:val="00065E58"/>
    <w:rsid w:val="00065E67"/>
    <w:rsid w:val="00065F6A"/>
    <w:rsid w:val="00066062"/>
    <w:rsid w:val="000666C0"/>
    <w:rsid w:val="00066F40"/>
    <w:rsid w:val="0006745A"/>
    <w:rsid w:val="00067F06"/>
    <w:rsid w:val="00070BB7"/>
    <w:rsid w:val="00070BD1"/>
    <w:rsid w:val="00070EDE"/>
    <w:rsid w:val="00071302"/>
    <w:rsid w:val="00071366"/>
    <w:rsid w:val="00071404"/>
    <w:rsid w:val="0007150B"/>
    <w:rsid w:val="0007191E"/>
    <w:rsid w:val="00071B55"/>
    <w:rsid w:val="00071C36"/>
    <w:rsid w:val="000724AC"/>
    <w:rsid w:val="00072CE5"/>
    <w:rsid w:val="00072EAE"/>
    <w:rsid w:val="00072F4B"/>
    <w:rsid w:val="000731F4"/>
    <w:rsid w:val="000738FD"/>
    <w:rsid w:val="0007403F"/>
    <w:rsid w:val="00074494"/>
    <w:rsid w:val="000744A5"/>
    <w:rsid w:val="000744C6"/>
    <w:rsid w:val="000746E9"/>
    <w:rsid w:val="00074C57"/>
    <w:rsid w:val="00074E7D"/>
    <w:rsid w:val="00075455"/>
    <w:rsid w:val="00075AD3"/>
    <w:rsid w:val="00075C42"/>
    <w:rsid w:val="00076647"/>
    <w:rsid w:val="00076D2C"/>
    <w:rsid w:val="0007733D"/>
    <w:rsid w:val="000776F6"/>
    <w:rsid w:val="000778A5"/>
    <w:rsid w:val="0008024F"/>
    <w:rsid w:val="00080261"/>
    <w:rsid w:val="00080C7D"/>
    <w:rsid w:val="0008115A"/>
    <w:rsid w:val="00081EBB"/>
    <w:rsid w:val="000827F5"/>
    <w:rsid w:val="000828C4"/>
    <w:rsid w:val="00082B12"/>
    <w:rsid w:val="00082E3B"/>
    <w:rsid w:val="00082EA9"/>
    <w:rsid w:val="000832D3"/>
    <w:rsid w:val="00083382"/>
    <w:rsid w:val="00083B1C"/>
    <w:rsid w:val="00083BE2"/>
    <w:rsid w:val="000841A1"/>
    <w:rsid w:val="000843ED"/>
    <w:rsid w:val="000845AA"/>
    <w:rsid w:val="00084852"/>
    <w:rsid w:val="00084B32"/>
    <w:rsid w:val="00084DE2"/>
    <w:rsid w:val="00084E7B"/>
    <w:rsid w:val="000858D5"/>
    <w:rsid w:val="00085EAC"/>
    <w:rsid w:val="00086019"/>
    <w:rsid w:val="00086598"/>
    <w:rsid w:val="000900B6"/>
    <w:rsid w:val="000904E8"/>
    <w:rsid w:val="00090ABF"/>
    <w:rsid w:val="00090C0D"/>
    <w:rsid w:val="00091734"/>
    <w:rsid w:val="00091978"/>
    <w:rsid w:val="00091AFE"/>
    <w:rsid w:val="000924D0"/>
    <w:rsid w:val="000938F5"/>
    <w:rsid w:val="000941A9"/>
    <w:rsid w:val="000948F6"/>
    <w:rsid w:val="00094C10"/>
    <w:rsid w:val="00095C24"/>
    <w:rsid w:val="00096E55"/>
    <w:rsid w:val="00096EF9"/>
    <w:rsid w:val="0009711D"/>
    <w:rsid w:val="000971C3"/>
    <w:rsid w:val="00097A91"/>
    <w:rsid w:val="00097D8E"/>
    <w:rsid w:val="00097EE3"/>
    <w:rsid w:val="000A0791"/>
    <w:rsid w:val="000A137F"/>
    <w:rsid w:val="000A1582"/>
    <w:rsid w:val="000A18FE"/>
    <w:rsid w:val="000A1B43"/>
    <w:rsid w:val="000A22C6"/>
    <w:rsid w:val="000A3197"/>
    <w:rsid w:val="000A3238"/>
    <w:rsid w:val="000A3DAC"/>
    <w:rsid w:val="000A4740"/>
    <w:rsid w:val="000A4D78"/>
    <w:rsid w:val="000A4E82"/>
    <w:rsid w:val="000A50D9"/>
    <w:rsid w:val="000A6643"/>
    <w:rsid w:val="000A721A"/>
    <w:rsid w:val="000A737E"/>
    <w:rsid w:val="000A7918"/>
    <w:rsid w:val="000B0649"/>
    <w:rsid w:val="000B1F02"/>
    <w:rsid w:val="000B203C"/>
    <w:rsid w:val="000B29F8"/>
    <w:rsid w:val="000B2CB4"/>
    <w:rsid w:val="000B2E84"/>
    <w:rsid w:val="000B3F03"/>
    <w:rsid w:val="000B499C"/>
    <w:rsid w:val="000B4A56"/>
    <w:rsid w:val="000B5CB8"/>
    <w:rsid w:val="000B601B"/>
    <w:rsid w:val="000B64CB"/>
    <w:rsid w:val="000B66E0"/>
    <w:rsid w:val="000B6E01"/>
    <w:rsid w:val="000C08CE"/>
    <w:rsid w:val="000C0A8B"/>
    <w:rsid w:val="000C0D24"/>
    <w:rsid w:val="000C10E1"/>
    <w:rsid w:val="000C16EF"/>
    <w:rsid w:val="000C1703"/>
    <w:rsid w:val="000C207E"/>
    <w:rsid w:val="000C2151"/>
    <w:rsid w:val="000C2261"/>
    <w:rsid w:val="000C2D34"/>
    <w:rsid w:val="000C357F"/>
    <w:rsid w:val="000C3B9E"/>
    <w:rsid w:val="000C40D4"/>
    <w:rsid w:val="000C439C"/>
    <w:rsid w:val="000C55A0"/>
    <w:rsid w:val="000C60B2"/>
    <w:rsid w:val="000C6674"/>
    <w:rsid w:val="000C66B7"/>
    <w:rsid w:val="000C6C86"/>
    <w:rsid w:val="000C7273"/>
    <w:rsid w:val="000C7558"/>
    <w:rsid w:val="000C7926"/>
    <w:rsid w:val="000C7FF5"/>
    <w:rsid w:val="000D0694"/>
    <w:rsid w:val="000D0CE6"/>
    <w:rsid w:val="000D130E"/>
    <w:rsid w:val="000D16C5"/>
    <w:rsid w:val="000D20B4"/>
    <w:rsid w:val="000D2EC6"/>
    <w:rsid w:val="000D35DA"/>
    <w:rsid w:val="000D3885"/>
    <w:rsid w:val="000D38F1"/>
    <w:rsid w:val="000D3F88"/>
    <w:rsid w:val="000D4DAE"/>
    <w:rsid w:val="000D52B8"/>
    <w:rsid w:val="000D596B"/>
    <w:rsid w:val="000D5A38"/>
    <w:rsid w:val="000D5CCD"/>
    <w:rsid w:val="000D5F5D"/>
    <w:rsid w:val="000D66B3"/>
    <w:rsid w:val="000D6B45"/>
    <w:rsid w:val="000D701B"/>
    <w:rsid w:val="000D7BCC"/>
    <w:rsid w:val="000E07E4"/>
    <w:rsid w:val="000E084E"/>
    <w:rsid w:val="000E0BB3"/>
    <w:rsid w:val="000E0EC9"/>
    <w:rsid w:val="000E1221"/>
    <w:rsid w:val="000E27BE"/>
    <w:rsid w:val="000E2AC6"/>
    <w:rsid w:val="000E3231"/>
    <w:rsid w:val="000E33BB"/>
    <w:rsid w:val="000E3AE4"/>
    <w:rsid w:val="000E3F6A"/>
    <w:rsid w:val="000E4130"/>
    <w:rsid w:val="000E4369"/>
    <w:rsid w:val="000E4749"/>
    <w:rsid w:val="000E5006"/>
    <w:rsid w:val="000E50CF"/>
    <w:rsid w:val="000E5107"/>
    <w:rsid w:val="000E534A"/>
    <w:rsid w:val="000E56C8"/>
    <w:rsid w:val="000E581F"/>
    <w:rsid w:val="000E5F4F"/>
    <w:rsid w:val="000E6207"/>
    <w:rsid w:val="000E6A98"/>
    <w:rsid w:val="000E6E00"/>
    <w:rsid w:val="000E6ED0"/>
    <w:rsid w:val="000E7069"/>
    <w:rsid w:val="000E7080"/>
    <w:rsid w:val="000F0035"/>
    <w:rsid w:val="000F031B"/>
    <w:rsid w:val="000F0492"/>
    <w:rsid w:val="000F0673"/>
    <w:rsid w:val="000F13C0"/>
    <w:rsid w:val="000F18E4"/>
    <w:rsid w:val="000F21F0"/>
    <w:rsid w:val="000F242E"/>
    <w:rsid w:val="000F24A1"/>
    <w:rsid w:val="000F2652"/>
    <w:rsid w:val="000F2C29"/>
    <w:rsid w:val="000F34A8"/>
    <w:rsid w:val="000F3C3F"/>
    <w:rsid w:val="000F3EFA"/>
    <w:rsid w:val="000F420B"/>
    <w:rsid w:val="000F468C"/>
    <w:rsid w:val="000F46A3"/>
    <w:rsid w:val="000F46BE"/>
    <w:rsid w:val="000F474C"/>
    <w:rsid w:val="000F4C5E"/>
    <w:rsid w:val="000F5136"/>
    <w:rsid w:val="000F59C4"/>
    <w:rsid w:val="000F5A17"/>
    <w:rsid w:val="000F5F30"/>
    <w:rsid w:val="000F669B"/>
    <w:rsid w:val="000F6C28"/>
    <w:rsid w:val="000F6EBD"/>
    <w:rsid w:val="000F72C6"/>
    <w:rsid w:val="001005EC"/>
    <w:rsid w:val="00100860"/>
    <w:rsid w:val="001008B1"/>
    <w:rsid w:val="00100D88"/>
    <w:rsid w:val="001013AA"/>
    <w:rsid w:val="0010159D"/>
    <w:rsid w:val="00101B19"/>
    <w:rsid w:val="001022AE"/>
    <w:rsid w:val="00102B26"/>
    <w:rsid w:val="0010349C"/>
    <w:rsid w:val="00103D54"/>
    <w:rsid w:val="00104705"/>
    <w:rsid w:val="0010473A"/>
    <w:rsid w:val="001047EC"/>
    <w:rsid w:val="00104E08"/>
    <w:rsid w:val="0010509B"/>
    <w:rsid w:val="00105276"/>
    <w:rsid w:val="00105336"/>
    <w:rsid w:val="001055E8"/>
    <w:rsid w:val="00105B49"/>
    <w:rsid w:val="00105F9B"/>
    <w:rsid w:val="00106331"/>
    <w:rsid w:val="00106C94"/>
    <w:rsid w:val="00106FDA"/>
    <w:rsid w:val="0010781A"/>
    <w:rsid w:val="00107A41"/>
    <w:rsid w:val="00107C79"/>
    <w:rsid w:val="00110116"/>
    <w:rsid w:val="00110262"/>
    <w:rsid w:val="001102FE"/>
    <w:rsid w:val="0011043C"/>
    <w:rsid w:val="00110518"/>
    <w:rsid w:val="00110C3E"/>
    <w:rsid w:val="0011183C"/>
    <w:rsid w:val="001118F1"/>
    <w:rsid w:val="001118F7"/>
    <w:rsid w:val="00111E77"/>
    <w:rsid w:val="0011271A"/>
    <w:rsid w:val="0011288E"/>
    <w:rsid w:val="00112F2D"/>
    <w:rsid w:val="00113517"/>
    <w:rsid w:val="0011376D"/>
    <w:rsid w:val="00113A2F"/>
    <w:rsid w:val="00113A7F"/>
    <w:rsid w:val="00113FE8"/>
    <w:rsid w:val="001146ED"/>
    <w:rsid w:val="00114F7A"/>
    <w:rsid w:val="00114F91"/>
    <w:rsid w:val="00115672"/>
    <w:rsid w:val="00115901"/>
    <w:rsid w:val="00115B72"/>
    <w:rsid w:val="00115F9C"/>
    <w:rsid w:val="00116649"/>
    <w:rsid w:val="00116B07"/>
    <w:rsid w:val="00116F2F"/>
    <w:rsid w:val="00117140"/>
    <w:rsid w:val="00117318"/>
    <w:rsid w:val="0011736F"/>
    <w:rsid w:val="00117B70"/>
    <w:rsid w:val="00120072"/>
    <w:rsid w:val="00120BE6"/>
    <w:rsid w:val="00121A08"/>
    <w:rsid w:val="00121AFE"/>
    <w:rsid w:val="00121C5A"/>
    <w:rsid w:val="001223ED"/>
    <w:rsid w:val="001224C7"/>
    <w:rsid w:val="00122B29"/>
    <w:rsid w:val="00123335"/>
    <w:rsid w:val="00123553"/>
    <w:rsid w:val="00123889"/>
    <w:rsid w:val="001239F8"/>
    <w:rsid w:val="00123BFA"/>
    <w:rsid w:val="001243AF"/>
    <w:rsid w:val="0012510D"/>
    <w:rsid w:val="00125A13"/>
    <w:rsid w:val="00126D50"/>
    <w:rsid w:val="00126EB8"/>
    <w:rsid w:val="00126F78"/>
    <w:rsid w:val="001274D4"/>
    <w:rsid w:val="00127D81"/>
    <w:rsid w:val="00127ECA"/>
    <w:rsid w:val="0013019F"/>
    <w:rsid w:val="00130C87"/>
    <w:rsid w:val="00131815"/>
    <w:rsid w:val="00131B34"/>
    <w:rsid w:val="00132042"/>
    <w:rsid w:val="00132613"/>
    <w:rsid w:val="0013290C"/>
    <w:rsid w:val="00132C3D"/>
    <w:rsid w:val="00132E2C"/>
    <w:rsid w:val="0013366A"/>
    <w:rsid w:val="0013399A"/>
    <w:rsid w:val="00134277"/>
    <w:rsid w:val="00134874"/>
    <w:rsid w:val="00134D57"/>
    <w:rsid w:val="00134E94"/>
    <w:rsid w:val="00135179"/>
    <w:rsid w:val="0013521C"/>
    <w:rsid w:val="001352DA"/>
    <w:rsid w:val="00135EEB"/>
    <w:rsid w:val="001363AA"/>
    <w:rsid w:val="001366ED"/>
    <w:rsid w:val="00136833"/>
    <w:rsid w:val="0013684C"/>
    <w:rsid w:val="00136AB9"/>
    <w:rsid w:val="00136F4D"/>
    <w:rsid w:val="00136F84"/>
    <w:rsid w:val="001375A9"/>
    <w:rsid w:val="001376E4"/>
    <w:rsid w:val="00137738"/>
    <w:rsid w:val="00140BCD"/>
    <w:rsid w:val="00140CEA"/>
    <w:rsid w:val="001410F1"/>
    <w:rsid w:val="001414F6"/>
    <w:rsid w:val="00141A3D"/>
    <w:rsid w:val="001424A6"/>
    <w:rsid w:val="00142906"/>
    <w:rsid w:val="0014325B"/>
    <w:rsid w:val="001437B0"/>
    <w:rsid w:val="001437D9"/>
    <w:rsid w:val="00143D47"/>
    <w:rsid w:val="00143D71"/>
    <w:rsid w:val="00143DEC"/>
    <w:rsid w:val="00143F45"/>
    <w:rsid w:val="001443B7"/>
    <w:rsid w:val="0014564E"/>
    <w:rsid w:val="001456FB"/>
    <w:rsid w:val="00145A9E"/>
    <w:rsid w:val="001468B0"/>
    <w:rsid w:val="001469D2"/>
    <w:rsid w:val="00146C55"/>
    <w:rsid w:val="0015013C"/>
    <w:rsid w:val="001510C9"/>
    <w:rsid w:val="00151700"/>
    <w:rsid w:val="001519FC"/>
    <w:rsid w:val="00152077"/>
    <w:rsid w:val="0015285A"/>
    <w:rsid w:val="001529BB"/>
    <w:rsid w:val="001529FA"/>
    <w:rsid w:val="001543F5"/>
    <w:rsid w:val="00155480"/>
    <w:rsid w:val="0015592D"/>
    <w:rsid w:val="00155EB0"/>
    <w:rsid w:val="00155EE9"/>
    <w:rsid w:val="00155EEB"/>
    <w:rsid w:val="0015618A"/>
    <w:rsid w:val="001566C3"/>
    <w:rsid w:val="001567B4"/>
    <w:rsid w:val="00156997"/>
    <w:rsid w:val="001569F6"/>
    <w:rsid w:val="00160345"/>
    <w:rsid w:val="0016043B"/>
    <w:rsid w:val="00160589"/>
    <w:rsid w:val="001606CF"/>
    <w:rsid w:val="00160BC5"/>
    <w:rsid w:val="00160E6B"/>
    <w:rsid w:val="001612F1"/>
    <w:rsid w:val="0016184C"/>
    <w:rsid w:val="001618FE"/>
    <w:rsid w:val="00161AD3"/>
    <w:rsid w:val="00161CB1"/>
    <w:rsid w:val="001622BB"/>
    <w:rsid w:val="00162D4C"/>
    <w:rsid w:val="0016366C"/>
    <w:rsid w:val="001640FD"/>
    <w:rsid w:val="001641CE"/>
    <w:rsid w:val="001648ED"/>
    <w:rsid w:val="00164A19"/>
    <w:rsid w:val="00165E4D"/>
    <w:rsid w:val="00165FFC"/>
    <w:rsid w:val="0016634A"/>
    <w:rsid w:val="0016644F"/>
    <w:rsid w:val="001665C1"/>
    <w:rsid w:val="0016664A"/>
    <w:rsid w:val="00166D19"/>
    <w:rsid w:val="00167255"/>
    <w:rsid w:val="001675D5"/>
    <w:rsid w:val="0016776F"/>
    <w:rsid w:val="00170789"/>
    <w:rsid w:val="00170AAF"/>
    <w:rsid w:val="001721BC"/>
    <w:rsid w:val="001724EF"/>
    <w:rsid w:val="00172F72"/>
    <w:rsid w:val="001732D1"/>
    <w:rsid w:val="00173527"/>
    <w:rsid w:val="00173926"/>
    <w:rsid w:val="00173CAF"/>
    <w:rsid w:val="00173E8B"/>
    <w:rsid w:val="00174FDC"/>
    <w:rsid w:val="00175817"/>
    <w:rsid w:val="00175B37"/>
    <w:rsid w:val="00175C42"/>
    <w:rsid w:val="0017631F"/>
    <w:rsid w:val="001765B5"/>
    <w:rsid w:val="00176640"/>
    <w:rsid w:val="00176F02"/>
    <w:rsid w:val="0017754E"/>
    <w:rsid w:val="00177D27"/>
    <w:rsid w:val="00177EB0"/>
    <w:rsid w:val="00180560"/>
    <w:rsid w:val="001805A9"/>
    <w:rsid w:val="00180765"/>
    <w:rsid w:val="00180812"/>
    <w:rsid w:val="0018085A"/>
    <w:rsid w:val="00180F19"/>
    <w:rsid w:val="00180F2E"/>
    <w:rsid w:val="00180F72"/>
    <w:rsid w:val="00181171"/>
    <w:rsid w:val="00181228"/>
    <w:rsid w:val="001812E7"/>
    <w:rsid w:val="00181661"/>
    <w:rsid w:val="00182162"/>
    <w:rsid w:val="001828B3"/>
    <w:rsid w:val="0018296A"/>
    <w:rsid w:val="00182A4D"/>
    <w:rsid w:val="00183270"/>
    <w:rsid w:val="001832CE"/>
    <w:rsid w:val="001833F2"/>
    <w:rsid w:val="001834F7"/>
    <w:rsid w:val="00183844"/>
    <w:rsid w:val="00183AE3"/>
    <w:rsid w:val="00183E82"/>
    <w:rsid w:val="00183FC7"/>
    <w:rsid w:val="001841A4"/>
    <w:rsid w:val="00184327"/>
    <w:rsid w:val="0018455C"/>
    <w:rsid w:val="001845C1"/>
    <w:rsid w:val="00184675"/>
    <w:rsid w:val="00184C2F"/>
    <w:rsid w:val="00184CEF"/>
    <w:rsid w:val="00185059"/>
    <w:rsid w:val="001853AA"/>
    <w:rsid w:val="00185742"/>
    <w:rsid w:val="00186254"/>
    <w:rsid w:val="0018709E"/>
    <w:rsid w:val="0018762D"/>
    <w:rsid w:val="001877F8"/>
    <w:rsid w:val="001878BB"/>
    <w:rsid w:val="001900F2"/>
    <w:rsid w:val="001903E9"/>
    <w:rsid w:val="00190B4C"/>
    <w:rsid w:val="00190B9E"/>
    <w:rsid w:val="00191686"/>
    <w:rsid w:val="00191AE0"/>
    <w:rsid w:val="001924E4"/>
    <w:rsid w:val="0019293B"/>
    <w:rsid w:val="00192FE7"/>
    <w:rsid w:val="001931AA"/>
    <w:rsid w:val="001932BE"/>
    <w:rsid w:val="00193472"/>
    <w:rsid w:val="0019375E"/>
    <w:rsid w:val="001937D7"/>
    <w:rsid w:val="001937F2"/>
    <w:rsid w:val="00193DCD"/>
    <w:rsid w:val="00194052"/>
    <w:rsid w:val="001943D3"/>
    <w:rsid w:val="00194802"/>
    <w:rsid w:val="00194878"/>
    <w:rsid w:val="00194A82"/>
    <w:rsid w:val="00194B74"/>
    <w:rsid w:val="001950D3"/>
    <w:rsid w:val="00195372"/>
    <w:rsid w:val="0019569A"/>
    <w:rsid w:val="00195A84"/>
    <w:rsid w:val="00195B15"/>
    <w:rsid w:val="00195B56"/>
    <w:rsid w:val="00195DF0"/>
    <w:rsid w:val="00195F13"/>
    <w:rsid w:val="001961A4"/>
    <w:rsid w:val="0019631A"/>
    <w:rsid w:val="00196380"/>
    <w:rsid w:val="00196479"/>
    <w:rsid w:val="00197CB3"/>
    <w:rsid w:val="001A02B2"/>
    <w:rsid w:val="001A0525"/>
    <w:rsid w:val="001A110C"/>
    <w:rsid w:val="001A13AA"/>
    <w:rsid w:val="001A171A"/>
    <w:rsid w:val="001A1AFC"/>
    <w:rsid w:val="001A1E58"/>
    <w:rsid w:val="001A1F02"/>
    <w:rsid w:val="001A2681"/>
    <w:rsid w:val="001A289C"/>
    <w:rsid w:val="001A2E39"/>
    <w:rsid w:val="001A3554"/>
    <w:rsid w:val="001A35E4"/>
    <w:rsid w:val="001A4396"/>
    <w:rsid w:val="001A4DCB"/>
    <w:rsid w:val="001A5169"/>
    <w:rsid w:val="001A525D"/>
    <w:rsid w:val="001A5F0B"/>
    <w:rsid w:val="001A632C"/>
    <w:rsid w:val="001A6B71"/>
    <w:rsid w:val="001A6F9B"/>
    <w:rsid w:val="001A7796"/>
    <w:rsid w:val="001A78F3"/>
    <w:rsid w:val="001A7C31"/>
    <w:rsid w:val="001B00A0"/>
    <w:rsid w:val="001B05D0"/>
    <w:rsid w:val="001B0BE4"/>
    <w:rsid w:val="001B114B"/>
    <w:rsid w:val="001B1154"/>
    <w:rsid w:val="001B2545"/>
    <w:rsid w:val="001B25E6"/>
    <w:rsid w:val="001B2691"/>
    <w:rsid w:val="001B33F6"/>
    <w:rsid w:val="001B35EB"/>
    <w:rsid w:val="001B35FA"/>
    <w:rsid w:val="001B3916"/>
    <w:rsid w:val="001B398D"/>
    <w:rsid w:val="001B3A84"/>
    <w:rsid w:val="001B4099"/>
    <w:rsid w:val="001B41E3"/>
    <w:rsid w:val="001B43F7"/>
    <w:rsid w:val="001B496D"/>
    <w:rsid w:val="001B5591"/>
    <w:rsid w:val="001B5CED"/>
    <w:rsid w:val="001B6166"/>
    <w:rsid w:val="001B61CC"/>
    <w:rsid w:val="001B6408"/>
    <w:rsid w:val="001B6BF2"/>
    <w:rsid w:val="001B7183"/>
    <w:rsid w:val="001B7382"/>
    <w:rsid w:val="001B7876"/>
    <w:rsid w:val="001B7F18"/>
    <w:rsid w:val="001C0004"/>
    <w:rsid w:val="001C042B"/>
    <w:rsid w:val="001C04FB"/>
    <w:rsid w:val="001C0865"/>
    <w:rsid w:val="001C11EC"/>
    <w:rsid w:val="001C170F"/>
    <w:rsid w:val="001C236A"/>
    <w:rsid w:val="001C2641"/>
    <w:rsid w:val="001C2843"/>
    <w:rsid w:val="001C2979"/>
    <w:rsid w:val="001C2BF2"/>
    <w:rsid w:val="001C321C"/>
    <w:rsid w:val="001C383E"/>
    <w:rsid w:val="001C3ABA"/>
    <w:rsid w:val="001C593A"/>
    <w:rsid w:val="001C634A"/>
    <w:rsid w:val="001C6697"/>
    <w:rsid w:val="001C6CB4"/>
    <w:rsid w:val="001C736F"/>
    <w:rsid w:val="001C7460"/>
    <w:rsid w:val="001D086C"/>
    <w:rsid w:val="001D0F52"/>
    <w:rsid w:val="001D103B"/>
    <w:rsid w:val="001D2074"/>
    <w:rsid w:val="001D2147"/>
    <w:rsid w:val="001D2CE5"/>
    <w:rsid w:val="001D399E"/>
    <w:rsid w:val="001D3E0B"/>
    <w:rsid w:val="001D3FC5"/>
    <w:rsid w:val="001D46A6"/>
    <w:rsid w:val="001D4990"/>
    <w:rsid w:val="001D538F"/>
    <w:rsid w:val="001D579F"/>
    <w:rsid w:val="001D5C2D"/>
    <w:rsid w:val="001D707C"/>
    <w:rsid w:val="001D7CA2"/>
    <w:rsid w:val="001D7CBC"/>
    <w:rsid w:val="001E0241"/>
    <w:rsid w:val="001E0997"/>
    <w:rsid w:val="001E09DB"/>
    <w:rsid w:val="001E0A42"/>
    <w:rsid w:val="001E0FD7"/>
    <w:rsid w:val="001E15E5"/>
    <w:rsid w:val="001E19C9"/>
    <w:rsid w:val="001E1B04"/>
    <w:rsid w:val="001E1EC1"/>
    <w:rsid w:val="001E2044"/>
    <w:rsid w:val="001E20CC"/>
    <w:rsid w:val="001E2A7E"/>
    <w:rsid w:val="001E315C"/>
    <w:rsid w:val="001E321D"/>
    <w:rsid w:val="001E3779"/>
    <w:rsid w:val="001E3850"/>
    <w:rsid w:val="001E40B1"/>
    <w:rsid w:val="001E43C3"/>
    <w:rsid w:val="001E4604"/>
    <w:rsid w:val="001E564B"/>
    <w:rsid w:val="001E5D32"/>
    <w:rsid w:val="001E5FD1"/>
    <w:rsid w:val="001E655B"/>
    <w:rsid w:val="001E6E98"/>
    <w:rsid w:val="001E74F0"/>
    <w:rsid w:val="001E7730"/>
    <w:rsid w:val="001E7BE8"/>
    <w:rsid w:val="001E7F82"/>
    <w:rsid w:val="001F0098"/>
    <w:rsid w:val="001F0248"/>
    <w:rsid w:val="001F0318"/>
    <w:rsid w:val="001F04F6"/>
    <w:rsid w:val="001F06CB"/>
    <w:rsid w:val="001F0C9C"/>
    <w:rsid w:val="001F15EC"/>
    <w:rsid w:val="001F17E8"/>
    <w:rsid w:val="001F1ACC"/>
    <w:rsid w:val="001F1C30"/>
    <w:rsid w:val="001F1FB5"/>
    <w:rsid w:val="001F286C"/>
    <w:rsid w:val="001F28D9"/>
    <w:rsid w:val="001F2F91"/>
    <w:rsid w:val="001F3138"/>
    <w:rsid w:val="001F334D"/>
    <w:rsid w:val="001F3B89"/>
    <w:rsid w:val="001F3C13"/>
    <w:rsid w:val="001F3EB3"/>
    <w:rsid w:val="001F3F0C"/>
    <w:rsid w:val="001F4235"/>
    <w:rsid w:val="001F4511"/>
    <w:rsid w:val="001F46BC"/>
    <w:rsid w:val="001F4F86"/>
    <w:rsid w:val="001F628C"/>
    <w:rsid w:val="001F6949"/>
    <w:rsid w:val="001F69A0"/>
    <w:rsid w:val="001F6D32"/>
    <w:rsid w:val="001F6E4A"/>
    <w:rsid w:val="001F790B"/>
    <w:rsid w:val="002005E1"/>
    <w:rsid w:val="00200C82"/>
    <w:rsid w:val="0020141A"/>
    <w:rsid w:val="002015E1"/>
    <w:rsid w:val="002017E4"/>
    <w:rsid w:val="00201AA1"/>
    <w:rsid w:val="00201E1F"/>
    <w:rsid w:val="00202567"/>
    <w:rsid w:val="002027FE"/>
    <w:rsid w:val="00202C2C"/>
    <w:rsid w:val="00203195"/>
    <w:rsid w:val="0020335F"/>
    <w:rsid w:val="00203D35"/>
    <w:rsid w:val="0020486E"/>
    <w:rsid w:val="00204D5E"/>
    <w:rsid w:val="00204EB0"/>
    <w:rsid w:val="00205149"/>
    <w:rsid w:val="0020559F"/>
    <w:rsid w:val="002057D1"/>
    <w:rsid w:val="002065F3"/>
    <w:rsid w:val="00206623"/>
    <w:rsid w:val="00206FCD"/>
    <w:rsid w:val="002070A0"/>
    <w:rsid w:val="00207288"/>
    <w:rsid w:val="0020782B"/>
    <w:rsid w:val="00210F75"/>
    <w:rsid w:val="002118C0"/>
    <w:rsid w:val="00211F4D"/>
    <w:rsid w:val="00211FCE"/>
    <w:rsid w:val="0021205D"/>
    <w:rsid w:val="0021232F"/>
    <w:rsid w:val="00212368"/>
    <w:rsid w:val="00212897"/>
    <w:rsid w:val="002135AB"/>
    <w:rsid w:val="002136CC"/>
    <w:rsid w:val="00213738"/>
    <w:rsid w:val="002138F9"/>
    <w:rsid w:val="00213A19"/>
    <w:rsid w:val="0021403C"/>
    <w:rsid w:val="002144BE"/>
    <w:rsid w:val="00214936"/>
    <w:rsid w:val="00214CCB"/>
    <w:rsid w:val="00215767"/>
    <w:rsid w:val="0021594E"/>
    <w:rsid w:val="00215978"/>
    <w:rsid w:val="00215FF5"/>
    <w:rsid w:val="00216AF0"/>
    <w:rsid w:val="00216F6A"/>
    <w:rsid w:val="00217449"/>
    <w:rsid w:val="0021747D"/>
    <w:rsid w:val="00217A22"/>
    <w:rsid w:val="00220330"/>
    <w:rsid w:val="002204F9"/>
    <w:rsid w:val="00220911"/>
    <w:rsid w:val="00221695"/>
    <w:rsid w:val="002217BB"/>
    <w:rsid w:val="00222730"/>
    <w:rsid w:val="002227BB"/>
    <w:rsid w:val="002232DF"/>
    <w:rsid w:val="002239BE"/>
    <w:rsid w:val="00223CE8"/>
    <w:rsid w:val="00223D93"/>
    <w:rsid w:val="0022422D"/>
    <w:rsid w:val="00224C0B"/>
    <w:rsid w:val="00225327"/>
    <w:rsid w:val="0022595C"/>
    <w:rsid w:val="002259CA"/>
    <w:rsid w:val="00225F8A"/>
    <w:rsid w:val="0022617A"/>
    <w:rsid w:val="00226CFB"/>
    <w:rsid w:val="00226E85"/>
    <w:rsid w:val="00226EBC"/>
    <w:rsid w:val="00226F54"/>
    <w:rsid w:val="00227864"/>
    <w:rsid w:val="00227DFF"/>
    <w:rsid w:val="002303B2"/>
    <w:rsid w:val="00230D43"/>
    <w:rsid w:val="00230D9D"/>
    <w:rsid w:val="00231724"/>
    <w:rsid w:val="00231A52"/>
    <w:rsid w:val="0023290E"/>
    <w:rsid w:val="00232C4B"/>
    <w:rsid w:val="00232F63"/>
    <w:rsid w:val="00233068"/>
    <w:rsid w:val="00233DE0"/>
    <w:rsid w:val="0023421E"/>
    <w:rsid w:val="00234A27"/>
    <w:rsid w:val="00234B8C"/>
    <w:rsid w:val="002352F2"/>
    <w:rsid w:val="002355D0"/>
    <w:rsid w:val="002356B9"/>
    <w:rsid w:val="0023588F"/>
    <w:rsid w:val="00235A4B"/>
    <w:rsid w:val="00236D3F"/>
    <w:rsid w:val="0023706A"/>
    <w:rsid w:val="00237092"/>
    <w:rsid w:val="00237B4A"/>
    <w:rsid w:val="00240925"/>
    <w:rsid w:val="00240A47"/>
    <w:rsid w:val="00240D15"/>
    <w:rsid w:val="00240D4A"/>
    <w:rsid w:val="002412D5"/>
    <w:rsid w:val="002412FC"/>
    <w:rsid w:val="00241777"/>
    <w:rsid w:val="00242003"/>
    <w:rsid w:val="00242279"/>
    <w:rsid w:val="0024287C"/>
    <w:rsid w:val="00242BD1"/>
    <w:rsid w:val="00242C11"/>
    <w:rsid w:val="00242FE7"/>
    <w:rsid w:val="002433C3"/>
    <w:rsid w:val="00243676"/>
    <w:rsid w:val="00243D6A"/>
    <w:rsid w:val="002446D9"/>
    <w:rsid w:val="00244A8D"/>
    <w:rsid w:val="00244F4F"/>
    <w:rsid w:val="00245A30"/>
    <w:rsid w:val="00245C82"/>
    <w:rsid w:val="00245CEE"/>
    <w:rsid w:val="00245EFA"/>
    <w:rsid w:val="0024623C"/>
    <w:rsid w:val="002476B7"/>
    <w:rsid w:val="0024774C"/>
    <w:rsid w:val="002500F1"/>
    <w:rsid w:val="00250358"/>
    <w:rsid w:val="0025089D"/>
    <w:rsid w:val="00250A4D"/>
    <w:rsid w:val="00250E94"/>
    <w:rsid w:val="0025179F"/>
    <w:rsid w:val="00251AFA"/>
    <w:rsid w:val="00251FF0"/>
    <w:rsid w:val="002520BB"/>
    <w:rsid w:val="002521DA"/>
    <w:rsid w:val="00252304"/>
    <w:rsid w:val="00252500"/>
    <w:rsid w:val="00252997"/>
    <w:rsid w:val="00252B6E"/>
    <w:rsid w:val="00252BEF"/>
    <w:rsid w:val="00252CEE"/>
    <w:rsid w:val="00252E6F"/>
    <w:rsid w:val="00252EEB"/>
    <w:rsid w:val="00254155"/>
    <w:rsid w:val="002542B1"/>
    <w:rsid w:val="00254E8D"/>
    <w:rsid w:val="00254EC5"/>
    <w:rsid w:val="00255014"/>
    <w:rsid w:val="002550C0"/>
    <w:rsid w:val="0025534E"/>
    <w:rsid w:val="002553AD"/>
    <w:rsid w:val="002555EE"/>
    <w:rsid w:val="0025587A"/>
    <w:rsid w:val="00255B02"/>
    <w:rsid w:val="00256DF6"/>
    <w:rsid w:val="00256F51"/>
    <w:rsid w:val="002576C6"/>
    <w:rsid w:val="002577C3"/>
    <w:rsid w:val="002577F7"/>
    <w:rsid w:val="00257C1E"/>
    <w:rsid w:val="00257D30"/>
    <w:rsid w:val="00257E4B"/>
    <w:rsid w:val="0026009C"/>
    <w:rsid w:val="002600AF"/>
    <w:rsid w:val="00260322"/>
    <w:rsid w:val="002603F9"/>
    <w:rsid w:val="0026069C"/>
    <w:rsid w:val="00260728"/>
    <w:rsid w:val="00260919"/>
    <w:rsid w:val="00260D32"/>
    <w:rsid w:val="00261FDA"/>
    <w:rsid w:val="00262068"/>
    <w:rsid w:val="002620DC"/>
    <w:rsid w:val="00262729"/>
    <w:rsid w:val="00262996"/>
    <w:rsid w:val="002629E1"/>
    <w:rsid w:val="00262BD2"/>
    <w:rsid w:val="00262BE2"/>
    <w:rsid w:val="00262EEC"/>
    <w:rsid w:val="00263046"/>
    <w:rsid w:val="00263C98"/>
    <w:rsid w:val="00263E2E"/>
    <w:rsid w:val="0026405E"/>
    <w:rsid w:val="002640F5"/>
    <w:rsid w:val="00264475"/>
    <w:rsid w:val="00265222"/>
    <w:rsid w:val="00266069"/>
    <w:rsid w:val="002660FE"/>
    <w:rsid w:val="002666D1"/>
    <w:rsid w:val="00270106"/>
    <w:rsid w:val="00270389"/>
    <w:rsid w:val="00270CB5"/>
    <w:rsid w:val="002717C1"/>
    <w:rsid w:val="0027225D"/>
    <w:rsid w:val="002725F9"/>
    <w:rsid w:val="00272B11"/>
    <w:rsid w:val="00273153"/>
    <w:rsid w:val="00273AFE"/>
    <w:rsid w:val="00274701"/>
    <w:rsid w:val="00274712"/>
    <w:rsid w:val="002749F3"/>
    <w:rsid w:val="00274D8B"/>
    <w:rsid w:val="002751AA"/>
    <w:rsid w:val="00275251"/>
    <w:rsid w:val="002754E9"/>
    <w:rsid w:val="00275AC7"/>
    <w:rsid w:val="002766A6"/>
    <w:rsid w:val="00276BF5"/>
    <w:rsid w:val="00276FEA"/>
    <w:rsid w:val="00277551"/>
    <w:rsid w:val="00277833"/>
    <w:rsid w:val="002802D5"/>
    <w:rsid w:val="00280714"/>
    <w:rsid w:val="00280B4B"/>
    <w:rsid w:val="00280B6A"/>
    <w:rsid w:val="00281248"/>
    <w:rsid w:val="00281C10"/>
    <w:rsid w:val="00281C98"/>
    <w:rsid w:val="002822BB"/>
    <w:rsid w:val="00282BF2"/>
    <w:rsid w:val="00282E13"/>
    <w:rsid w:val="002832D9"/>
    <w:rsid w:val="00283FD6"/>
    <w:rsid w:val="00284384"/>
    <w:rsid w:val="00284886"/>
    <w:rsid w:val="002849AD"/>
    <w:rsid w:val="00284B91"/>
    <w:rsid w:val="00284CA1"/>
    <w:rsid w:val="00285BF7"/>
    <w:rsid w:val="00286DC8"/>
    <w:rsid w:val="0028740A"/>
    <w:rsid w:val="002877D7"/>
    <w:rsid w:val="00287CDA"/>
    <w:rsid w:val="00287ECA"/>
    <w:rsid w:val="00290A04"/>
    <w:rsid w:val="00290CC3"/>
    <w:rsid w:val="00290EAB"/>
    <w:rsid w:val="00290FD2"/>
    <w:rsid w:val="00291720"/>
    <w:rsid w:val="002917AD"/>
    <w:rsid w:val="002919C0"/>
    <w:rsid w:val="00291A2E"/>
    <w:rsid w:val="00291B40"/>
    <w:rsid w:val="002923A4"/>
    <w:rsid w:val="00292534"/>
    <w:rsid w:val="00292B13"/>
    <w:rsid w:val="00293097"/>
    <w:rsid w:val="002931CF"/>
    <w:rsid w:val="002944B9"/>
    <w:rsid w:val="002944C6"/>
    <w:rsid w:val="00294A91"/>
    <w:rsid w:val="00295C23"/>
    <w:rsid w:val="00295C95"/>
    <w:rsid w:val="00295D6C"/>
    <w:rsid w:val="00296D08"/>
    <w:rsid w:val="0029715F"/>
    <w:rsid w:val="00297213"/>
    <w:rsid w:val="00297B96"/>
    <w:rsid w:val="00297F08"/>
    <w:rsid w:val="002A0461"/>
    <w:rsid w:val="002A09D2"/>
    <w:rsid w:val="002A0C1C"/>
    <w:rsid w:val="002A0DA9"/>
    <w:rsid w:val="002A1183"/>
    <w:rsid w:val="002A1474"/>
    <w:rsid w:val="002A1AC9"/>
    <w:rsid w:val="002A2348"/>
    <w:rsid w:val="002A2858"/>
    <w:rsid w:val="002A28FE"/>
    <w:rsid w:val="002A296F"/>
    <w:rsid w:val="002A320C"/>
    <w:rsid w:val="002A399B"/>
    <w:rsid w:val="002A3BFC"/>
    <w:rsid w:val="002A3DCE"/>
    <w:rsid w:val="002A43E4"/>
    <w:rsid w:val="002A443F"/>
    <w:rsid w:val="002A47AB"/>
    <w:rsid w:val="002A485B"/>
    <w:rsid w:val="002A4BF8"/>
    <w:rsid w:val="002A51BC"/>
    <w:rsid w:val="002A5739"/>
    <w:rsid w:val="002A58E4"/>
    <w:rsid w:val="002A5FD4"/>
    <w:rsid w:val="002A6E0F"/>
    <w:rsid w:val="002A756B"/>
    <w:rsid w:val="002A7A8B"/>
    <w:rsid w:val="002B0671"/>
    <w:rsid w:val="002B0943"/>
    <w:rsid w:val="002B0A3A"/>
    <w:rsid w:val="002B1044"/>
    <w:rsid w:val="002B1267"/>
    <w:rsid w:val="002B13D6"/>
    <w:rsid w:val="002B165C"/>
    <w:rsid w:val="002B1968"/>
    <w:rsid w:val="002B1BFC"/>
    <w:rsid w:val="002B1D62"/>
    <w:rsid w:val="002B2283"/>
    <w:rsid w:val="002B2325"/>
    <w:rsid w:val="002B2421"/>
    <w:rsid w:val="002B2790"/>
    <w:rsid w:val="002B29C6"/>
    <w:rsid w:val="002B3244"/>
    <w:rsid w:val="002B361A"/>
    <w:rsid w:val="002B3ECA"/>
    <w:rsid w:val="002B4008"/>
    <w:rsid w:val="002B42FC"/>
    <w:rsid w:val="002B44E6"/>
    <w:rsid w:val="002B4DAD"/>
    <w:rsid w:val="002B5748"/>
    <w:rsid w:val="002B5B42"/>
    <w:rsid w:val="002B5B6F"/>
    <w:rsid w:val="002B654D"/>
    <w:rsid w:val="002B6B0D"/>
    <w:rsid w:val="002B6DC0"/>
    <w:rsid w:val="002B75BE"/>
    <w:rsid w:val="002C022B"/>
    <w:rsid w:val="002C09AA"/>
    <w:rsid w:val="002C0DD8"/>
    <w:rsid w:val="002C102D"/>
    <w:rsid w:val="002C16A1"/>
    <w:rsid w:val="002C1767"/>
    <w:rsid w:val="002C1782"/>
    <w:rsid w:val="002C17C4"/>
    <w:rsid w:val="002C1A42"/>
    <w:rsid w:val="002C232C"/>
    <w:rsid w:val="002C2689"/>
    <w:rsid w:val="002C2BBA"/>
    <w:rsid w:val="002C2D83"/>
    <w:rsid w:val="002C2DA4"/>
    <w:rsid w:val="002C3045"/>
    <w:rsid w:val="002C3433"/>
    <w:rsid w:val="002C34AC"/>
    <w:rsid w:val="002C367B"/>
    <w:rsid w:val="002C3784"/>
    <w:rsid w:val="002C3B57"/>
    <w:rsid w:val="002C409C"/>
    <w:rsid w:val="002C40C8"/>
    <w:rsid w:val="002C43C6"/>
    <w:rsid w:val="002C43E6"/>
    <w:rsid w:val="002C464E"/>
    <w:rsid w:val="002C4A87"/>
    <w:rsid w:val="002C5743"/>
    <w:rsid w:val="002C5AEA"/>
    <w:rsid w:val="002C5CC7"/>
    <w:rsid w:val="002C661D"/>
    <w:rsid w:val="002C68C1"/>
    <w:rsid w:val="002C6F31"/>
    <w:rsid w:val="002C7805"/>
    <w:rsid w:val="002C7813"/>
    <w:rsid w:val="002C7842"/>
    <w:rsid w:val="002C7981"/>
    <w:rsid w:val="002C7E3E"/>
    <w:rsid w:val="002D0E8E"/>
    <w:rsid w:val="002D1245"/>
    <w:rsid w:val="002D1806"/>
    <w:rsid w:val="002D1ABE"/>
    <w:rsid w:val="002D228D"/>
    <w:rsid w:val="002D25A1"/>
    <w:rsid w:val="002D2608"/>
    <w:rsid w:val="002D2700"/>
    <w:rsid w:val="002D32FC"/>
    <w:rsid w:val="002D3912"/>
    <w:rsid w:val="002D41EE"/>
    <w:rsid w:val="002D4567"/>
    <w:rsid w:val="002D4587"/>
    <w:rsid w:val="002D4DEF"/>
    <w:rsid w:val="002D513A"/>
    <w:rsid w:val="002D580B"/>
    <w:rsid w:val="002D65A5"/>
    <w:rsid w:val="002D6FB3"/>
    <w:rsid w:val="002D704F"/>
    <w:rsid w:val="002D7213"/>
    <w:rsid w:val="002D739E"/>
    <w:rsid w:val="002E0134"/>
    <w:rsid w:val="002E013B"/>
    <w:rsid w:val="002E05A4"/>
    <w:rsid w:val="002E086D"/>
    <w:rsid w:val="002E0E6B"/>
    <w:rsid w:val="002E0F7C"/>
    <w:rsid w:val="002E183F"/>
    <w:rsid w:val="002E1868"/>
    <w:rsid w:val="002E19FA"/>
    <w:rsid w:val="002E23D0"/>
    <w:rsid w:val="002E2465"/>
    <w:rsid w:val="002E25E3"/>
    <w:rsid w:val="002E2671"/>
    <w:rsid w:val="002E36A2"/>
    <w:rsid w:val="002E3813"/>
    <w:rsid w:val="002E4342"/>
    <w:rsid w:val="002E4785"/>
    <w:rsid w:val="002E5246"/>
    <w:rsid w:val="002E5DC5"/>
    <w:rsid w:val="002E64BC"/>
    <w:rsid w:val="002E6E92"/>
    <w:rsid w:val="002E6F28"/>
    <w:rsid w:val="002E7208"/>
    <w:rsid w:val="002E7575"/>
    <w:rsid w:val="002E75AA"/>
    <w:rsid w:val="002F05D8"/>
    <w:rsid w:val="002F0971"/>
    <w:rsid w:val="002F1050"/>
    <w:rsid w:val="002F11CA"/>
    <w:rsid w:val="002F136E"/>
    <w:rsid w:val="002F14E8"/>
    <w:rsid w:val="002F1577"/>
    <w:rsid w:val="002F18FA"/>
    <w:rsid w:val="002F1A39"/>
    <w:rsid w:val="002F1E93"/>
    <w:rsid w:val="002F21F1"/>
    <w:rsid w:val="002F2587"/>
    <w:rsid w:val="002F277C"/>
    <w:rsid w:val="002F278C"/>
    <w:rsid w:val="002F29A7"/>
    <w:rsid w:val="002F2D27"/>
    <w:rsid w:val="002F2EE1"/>
    <w:rsid w:val="002F3162"/>
    <w:rsid w:val="002F368B"/>
    <w:rsid w:val="002F396F"/>
    <w:rsid w:val="002F3F2D"/>
    <w:rsid w:val="002F4412"/>
    <w:rsid w:val="002F4C6C"/>
    <w:rsid w:val="002F523B"/>
    <w:rsid w:val="002F5274"/>
    <w:rsid w:val="002F556A"/>
    <w:rsid w:val="002F55D1"/>
    <w:rsid w:val="002F5C6A"/>
    <w:rsid w:val="002F6373"/>
    <w:rsid w:val="002F6DCF"/>
    <w:rsid w:val="002F6EBD"/>
    <w:rsid w:val="002F7012"/>
    <w:rsid w:val="002F7CF4"/>
    <w:rsid w:val="00300179"/>
    <w:rsid w:val="00300716"/>
    <w:rsid w:val="00300AA3"/>
    <w:rsid w:val="00300CFA"/>
    <w:rsid w:val="00301189"/>
    <w:rsid w:val="00301680"/>
    <w:rsid w:val="00301B63"/>
    <w:rsid w:val="00301C9E"/>
    <w:rsid w:val="00301E79"/>
    <w:rsid w:val="0030229D"/>
    <w:rsid w:val="00302CB6"/>
    <w:rsid w:val="0030378A"/>
    <w:rsid w:val="00303ACC"/>
    <w:rsid w:val="00303AE3"/>
    <w:rsid w:val="00303DEA"/>
    <w:rsid w:val="00304A77"/>
    <w:rsid w:val="00304BC3"/>
    <w:rsid w:val="003056A3"/>
    <w:rsid w:val="00305799"/>
    <w:rsid w:val="00305C42"/>
    <w:rsid w:val="00305D6C"/>
    <w:rsid w:val="0030643E"/>
    <w:rsid w:val="003069E5"/>
    <w:rsid w:val="003070A1"/>
    <w:rsid w:val="00307A14"/>
    <w:rsid w:val="00310139"/>
    <w:rsid w:val="0031034B"/>
    <w:rsid w:val="00310642"/>
    <w:rsid w:val="0031065D"/>
    <w:rsid w:val="00310B99"/>
    <w:rsid w:val="00311F1A"/>
    <w:rsid w:val="00312234"/>
    <w:rsid w:val="00312280"/>
    <w:rsid w:val="0031291B"/>
    <w:rsid w:val="00312A36"/>
    <w:rsid w:val="00312D11"/>
    <w:rsid w:val="00312DB6"/>
    <w:rsid w:val="00314C06"/>
    <w:rsid w:val="00314F5A"/>
    <w:rsid w:val="00315391"/>
    <w:rsid w:val="00315462"/>
    <w:rsid w:val="0031587F"/>
    <w:rsid w:val="00315B7A"/>
    <w:rsid w:val="00315C5A"/>
    <w:rsid w:val="00316B87"/>
    <w:rsid w:val="00316D57"/>
    <w:rsid w:val="0031780A"/>
    <w:rsid w:val="00317A95"/>
    <w:rsid w:val="003200DD"/>
    <w:rsid w:val="00320154"/>
    <w:rsid w:val="0032021D"/>
    <w:rsid w:val="003205B5"/>
    <w:rsid w:val="00320B56"/>
    <w:rsid w:val="00320C69"/>
    <w:rsid w:val="003214D6"/>
    <w:rsid w:val="003216BF"/>
    <w:rsid w:val="00322A4E"/>
    <w:rsid w:val="003230FA"/>
    <w:rsid w:val="00323420"/>
    <w:rsid w:val="00323976"/>
    <w:rsid w:val="00323B35"/>
    <w:rsid w:val="00323B6A"/>
    <w:rsid w:val="00323C46"/>
    <w:rsid w:val="00323D47"/>
    <w:rsid w:val="00323E09"/>
    <w:rsid w:val="00324D32"/>
    <w:rsid w:val="0032519B"/>
    <w:rsid w:val="00325690"/>
    <w:rsid w:val="00325A33"/>
    <w:rsid w:val="0032607F"/>
    <w:rsid w:val="00326B72"/>
    <w:rsid w:val="00326DC0"/>
    <w:rsid w:val="00327607"/>
    <w:rsid w:val="0032782E"/>
    <w:rsid w:val="0032797C"/>
    <w:rsid w:val="00327A81"/>
    <w:rsid w:val="00330D4A"/>
    <w:rsid w:val="00331A3A"/>
    <w:rsid w:val="00331B8E"/>
    <w:rsid w:val="00331F79"/>
    <w:rsid w:val="00332673"/>
    <w:rsid w:val="003329BA"/>
    <w:rsid w:val="00332EF0"/>
    <w:rsid w:val="00333130"/>
    <w:rsid w:val="00333174"/>
    <w:rsid w:val="003331D5"/>
    <w:rsid w:val="00333932"/>
    <w:rsid w:val="00333F06"/>
    <w:rsid w:val="003346A6"/>
    <w:rsid w:val="00334846"/>
    <w:rsid w:val="00334CAC"/>
    <w:rsid w:val="00334D5D"/>
    <w:rsid w:val="00335BAC"/>
    <w:rsid w:val="00336010"/>
    <w:rsid w:val="003362CA"/>
    <w:rsid w:val="0033635A"/>
    <w:rsid w:val="00336482"/>
    <w:rsid w:val="003368AC"/>
    <w:rsid w:val="00336AB6"/>
    <w:rsid w:val="00336EFD"/>
    <w:rsid w:val="00337220"/>
    <w:rsid w:val="00337223"/>
    <w:rsid w:val="00337ABA"/>
    <w:rsid w:val="00337B37"/>
    <w:rsid w:val="00340161"/>
    <w:rsid w:val="00340774"/>
    <w:rsid w:val="003409E8"/>
    <w:rsid w:val="003410A9"/>
    <w:rsid w:val="003412A7"/>
    <w:rsid w:val="0034179B"/>
    <w:rsid w:val="00341899"/>
    <w:rsid w:val="003419A1"/>
    <w:rsid w:val="00342C35"/>
    <w:rsid w:val="00342F30"/>
    <w:rsid w:val="0034371A"/>
    <w:rsid w:val="003438FF"/>
    <w:rsid w:val="00343911"/>
    <w:rsid w:val="00343A2D"/>
    <w:rsid w:val="00343FDB"/>
    <w:rsid w:val="00344752"/>
    <w:rsid w:val="003447A0"/>
    <w:rsid w:val="00344D03"/>
    <w:rsid w:val="00344E6F"/>
    <w:rsid w:val="00345154"/>
    <w:rsid w:val="00345724"/>
    <w:rsid w:val="00345C1A"/>
    <w:rsid w:val="00345CB9"/>
    <w:rsid w:val="00345F5A"/>
    <w:rsid w:val="0034662E"/>
    <w:rsid w:val="00347138"/>
    <w:rsid w:val="003476CC"/>
    <w:rsid w:val="00347709"/>
    <w:rsid w:val="00347825"/>
    <w:rsid w:val="00347A71"/>
    <w:rsid w:val="0035029F"/>
    <w:rsid w:val="00350D4B"/>
    <w:rsid w:val="00350E0F"/>
    <w:rsid w:val="00350EA6"/>
    <w:rsid w:val="003518AA"/>
    <w:rsid w:val="00351A99"/>
    <w:rsid w:val="00351C41"/>
    <w:rsid w:val="00351C9E"/>
    <w:rsid w:val="00351FAE"/>
    <w:rsid w:val="00352165"/>
    <w:rsid w:val="0035237B"/>
    <w:rsid w:val="00353182"/>
    <w:rsid w:val="003536A9"/>
    <w:rsid w:val="00354AD4"/>
    <w:rsid w:val="00354B28"/>
    <w:rsid w:val="00354C4C"/>
    <w:rsid w:val="0035574A"/>
    <w:rsid w:val="0035587B"/>
    <w:rsid w:val="0035591D"/>
    <w:rsid w:val="003563C9"/>
    <w:rsid w:val="003565D9"/>
    <w:rsid w:val="00357008"/>
    <w:rsid w:val="00357376"/>
    <w:rsid w:val="00357405"/>
    <w:rsid w:val="00357A70"/>
    <w:rsid w:val="003601C1"/>
    <w:rsid w:val="003602DA"/>
    <w:rsid w:val="003602E1"/>
    <w:rsid w:val="0036038C"/>
    <w:rsid w:val="0036060B"/>
    <w:rsid w:val="00360A10"/>
    <w:rsid w:val="00361084"/>
    <w:rsid w:val="0036161D"/>
    <w:rsid w:val="003628FB"/>
    <w:rsid w:val="00363614"/>
    <w:rsid w:val="00363649"/>
    <w:rsid w:val="003637C8"/>
    <w:rsid w:val="003638CF"/>
    <w:rsid w:val="00363E95"/>
    <w:rsid w:val="00364273"/>
    <w:rsid w:val="003645D1"/>
    <w:rsid w:val="00364BB8"/>
    <w:rsid w:val="00364D61"/>
    <w:rsid w:val="00365470"/>
    <w:rsid w:val="00365753"/>
    <w:rsid w:val="00365B05"/>
    <w:rsid w:val="00365F70"/>
    <w:rsid w:val="00366AEE"/>
    <w:rsid w:val="003675C1"/>
    <w:rsid w:val="0037026F"/>
    <w:rsid w:val="0037037B"/>
    <w:rsid w:val="003707B2"/>
    <w:rsid w:val="00370898"/>
    <w:rsid w:val="00370AE0"/>
    <w:rsid w:val="00370F75"/>
    <w:rsid w:val="00370FC5"/>
    <w:rsid w:val="00371240"/>
    <w:rsid w:val="0037136A"/>
    <w:rsid w:val="00371A96"/>
    <w:rsid w:val="00371ABB"/>
    <w:rsid w:val="0037236B"/>
    <w:rsid w:val="003723DC"/>
    <w:rsid w:val="003725D2"/>
    <w:rsid w:val="003728B9"/>
    <w:rsid w:val="00372AEA"/>
    <w:rsid w:val="00373011"/>
    <w:rsid w:val="00373166"/>
    <w:rsid w:val="00373A2A"/>
    <w:rsid w:val="00374731"/>
    <w:rsid w:val="003748E8"/>
    <w:rsid w:val="00374ACF"/>
    <w:rsid w:val="00374D46"/>
    <w:rsid w:val="00375604"/>
    <w:rsid w:val="0037562B"/>
    <w:rsid w:val="0037567C"/>
    <w:rsid w:val="00375874"/>
    <w:rsid w:val="00375BDC"/>
    <w:rsid w:val="00376E59"/>
    <w:rsid w:val="00376EC0"/>
    <w:rsid w:val="00377588"/>
    <w:rsid w:val="00377687"/>
    <w:rsid w:val="00380125"/>
    <w:rsid w:val="003805AB"/>
    <w:rsid w:val="00380BF6"/>
    <w:rsid w:val="00380DE4"/>
    <w:rsid w:val="003811FD"/>
    <w:rsid w:val="00381890"/>
    <w:rsid w:val="00381901"/>
    <w:rsid w:val="00382695"/>
    <w:rsid w:val="00383157"/>
    <w:rsid w:val="003833EB"/>
    <w:rsid w:val="00383568"/>
    <w:rsid w:val="0038381C"/>
    <w:rsid w:val="00383E97"/>
    <w:rsid w:val="00383FE3"/>
    <w:rsid w:val="00384228"/>
    <w:rsid w:val="0038467C"/>
    <w:rsid w:val="00384F3F"/>
    <w:rsid w:val="0038513C"/>
    <w:rsid w:val="00385334"/>
    <w:rsid w:val="0038540F"/>
    <w:rsid w:val="003856D6"/>
    <w:rsid w:val="00385B68"/>
    <w:rsid w:val="00385F92"/>
    <w:rsid w:val="003866D6"/>
    <w:rsid w:val="003875DC"/>
    <w:rsid w:val="003876DA"/>
    <w:rsid w:val="0038786E"/>
    <w:rsid w:val="00387C56"/>
    <w:rsid w:val="00390764"/>
    <w:rsid w:val="00390904"/>
    <w:rsid w:val="00390B9B"/>
    <w:rsid w:val="00390ED3"/>
    <w:rsid w:val="0039101D"/>
    <w:rsid w:val="003910D4"/>
    <w:rsid w:val="003919F9"/>
    <w:rsid w:val="0039244B"/>
    <w:rsid w:val="003924C3"/>
    <w:rsid w:val="0039359D"/>
    <w:rsid w:val="003936C1"/>
    <w:rsid w:val="00393D4F"/>
    <w:rsid w:val="0039478D"/>
    <w:rsid w:val="00394C6B"/>
    <w:rsid w:val="00394FBA"/>
    <w:rsid w:val="003950BB"/>
    <w:rsid w:val="0039524E"/>
    <w:rsid w:val="00395681"/>
    <w:rsid w:val="00395FBE"/>
    <w:rsid w:val="00396112"/>
    <w:rsid w:val="0039641D"/>
    <w:rsid w:val="00396777"/>
    <w:rsid w:val="00397145"/>
    <w:rsid w:val="0039725F"/>
    <w:rsid w:val="00397DE1"/>
    <w:rsid w:val="003A0612"/>
    <w:rsid w:val="003A0A47"/>
    <w:rsid w:val="003A0E27"/>
    <w:rsid w:val="003A106E"/>
    <w:rsid w:val="003A1786"/>
    <w:rsid w:val="003A1ACC"/>
    <w:rsid w:val="003A1F64"/>
    <w:rsid w:val="003A205D"/>
    <w:rsid w:val="003A2099"/>
    <w:rsid w:val="003A21D5"/>
    <w:rsid w:val="003A2DA1"/>
    <w:rsid w:val="003A2E54"/>
    <w:rsid w:val="003A2EA5"/>
    <w:rsid w:val="003A2FCF"/>
    <w:rsid w:val="003A33A4"/>
    <w:rsid w:val="003A363B"/>
    <w:rsid w:val="003A363D"/>
    <w:rsid w:val="003A4D4E"/>
    <w:rsid w:val="003A4D62"/>
    <w:rsid w:val="003A563A"/>
    <w:rsid w:val="003A5B68"/>
    <w:rsid w:val="003A5E25"/>
    <w:rsid w:val="003A6400"/>
    <w:rsid w:val="003A7410"/>
    <w:rsid w:val="003A762A"/>
    <w:rsid w:val="003A7E8C"/>
    <w:rsid w:val="003B05EA"/>
    <w:rsid w:val="003B0FF2"/>
    <w:rsid w:val="003B166F"/>
    <w:rsid w:val="003B1DFF"/>
    <w:rsid w:val="003B2251"/>
    <w:rsid w:val="003B2333"/>
    <w:rsid w:val="003B276B"/>
    <w:rsid w:val="003B3962"/>
    <w:rsid w:val="003B3ABC"/>
    <w:rsid w:val="003B3FAC"/>
    <w:rsid w:val="003B417B"/>
    <w:rsid w:val="003B44BC"/>
    <w:rsid w:val="003B459B"/>
    <w:rsid w:val="003B46AC"/>
    <w:rsid w:val="003B4A19"/>
    <w:rsid w:val="003B4BB3"/>
    <w:rsid w:val="003B5324"/>
    <w:rsid w:val="003B54C8"/>
    <w:rsid w:val="003B6385"/>
    <w:rsid w:val="003B64CB"/>
    <w:rsid w:val="003B672F"/>
    <w:rsid w:val="003B6DD5"/>
    <w:rsid w:val="003B6F12"/>
    <w:rsid w:val="003B72DE"/>
    <w:rsid w:val="003B7DD6"/>
    <w:rsid w:val="003C0345"/>
    <w:rsid w:val="003C0386"/>
    <w:rsid w:val="003C1003"/>
    <w:rsid w:val="003C1EC8"/>
    <w:rsid w:val="003C1F61"/>
    <w:rsid w:val="003C22A6"/>
    <w:rsid w:val="003C23C9"/>
    <w:rsid w:val="003C286B"/>
    <w:rsid w:val="003C2F11"/>
    <w:rsid w:val="003C31A1"/>
    <w:rsid w:val="003C32EA"/>
    <w:rsid w:val="003C342C"/>
    <w:rsid w:val="003C38B5"/>
    <w:rsid w:val="003C425A"/>
    <w:rsid w:val="003C50E1"/>
    <w:rsid w:val="003C5698"/>
    <w:rsid w:val="003C5D99"/>
    <w:rsid w:val="003C604C"/>
    <w:rsid w:val="003C60E4"/>
    <w:rsid w:val="003C6B9D"/>
    <w:rsid w:val="003C7191"/>
    <w:rsid w:val="003C78F2"/>
    <w:rsid w:val="003C7CD1"/>
    <w:rsid w:val="003D073B"/>
    <w:rsid w:val="003D0B75"/>
    <w:rsid w:val="003D117E"/>
    <w:rsid w:val="003D13FD"/>
    <w:rsid w:val="003D176B"/>
    <w:rsid w:val="003D1ADF"/>
    <w:rsid w:val="003D1F35"/>
    <w:rsid w:val="003D246E"/>
    <w:rsid w:val="003D25BA"/>
    <w:rsid w:val="003D26BC"/>
    <w:rsid w:val="003D28D6"/>
    <w:rsid w:val="003D28D7"/>
    <w:rsid w:val="003D2C3D"/>
    <w:rsid w:val="003D3465"/>
    <w:rsid w:val="003D3C4C"/>
    <w:rsid w:val="003D4452"/>
    <w:rsid w:val="003D46DF"/>
    <w:rsid w:val="003D49C2"/>
    <w:rsid w:val="003D5730"/>
    <w:rsid w:val="003D592B"/>
    <w:rsid w:val="003D6545"/>
    <w:rsid w:val="003D6CB8"/>
    <w:rsid w:val="003D6DDD"/>
    <w:rsid w:val="003D6EFD"/>
    <w:rsid w:val="003D72A2"/>
    <w:rsid w:val="003D7CF8"/>
    <w:rsid w:val="003D7DF4"/>
    <w:rsid w:val="003D7F25"/>
    <w:rsid w:val="003E0319"/>
    <w:rsid w:val="003E0702"/>
    <w:rsid w:val="003E1341"/>
    <w:rsid w:val="003E142F"/>
    <w:rsid w:val="003E1C41"/>
    <w:rsid w:val="003E24E4"/>
    <w:rsid w:val="003E2F59"/>
    <w:rsid w:val="003E37D6"/>
    <w:rsid w:val="003E3AF9"/>
    <w:rsid w:val="003E450E"/>
    <w:rsid w:val="003E4BE5"/>
    <w:rsid w:val="003E4C1C"/>
    <w:rsid w:val="003E50A4"/>
    <w:rsid w:val="003E50CF"/>
    <w:rsid w:val="003E50D7"/>
    <w:rsid w:val="003E51B6"/>
    <w:rsid w:val="003E523E"/>
    <w:rsid w:val="003E534C"/>
    <w:rsid w:val="003E54B9"/>
    <w:rsid w:val="003E5E87"/>
    <w:rsid w:val="003E61CA"/>
    <w:rsid w:val="003E6350"/>
    <w:rsid w:val="003E64B2"/>
    <w:rsid w:val="003E664E"/>
    <w:rsid w:val="003E7AC6"/>
    <w:rsid w:val="003F006F"/>
    <w:rsid w:val="003F0789"/>
    <w:rsid w:val="003F099D"/>
    <w:rsid w:val="003F0E1D"/>
    <w:rsid w:val="003F14A3"/>
    <w:rsid w:val="003F1592"/>
    <w:rsid w:val="003F1654"/>
    <w:rsid w:val="003F165A"/>
    <w:rsid w:val="003F1B08"/>
    <w:rsid w:val="003F2986"/>
    <w:rsid w:val="003F2D67"/>
    <w:rsid w:val="003F2F82"/>
    <w:rsid w:val="003F2FBD"/>
    <w:rsid w:val="003F330F"/>
    <w:rsid w:val="003F35F5"/>
    <w:rsid w:val="003F3D27"/>
    <w:rsid w:val="003F408B"/>
    <w:rsid w:val="003F4399"/>
    <w:rsid w:val="003F46F1"/>
    <w:rsid w:val="003F48DE"/>
    <w:rsid w:val="003F496D"/>
    <w:rsid w:val="003F524D"/>
    <w:rsid w:val="003F539B"/>
    <w:rsid w:val="003F56DD"/>
    <w:rsid w:val="003F5B43"/>
    <w:rsid w:val="003F5FA3"/>
    <w:rsid w:val="003F60C5"/>
    <w:rsid w:val="003F6110"/>
    <w:rsid w:val="003F64BA"/>
    <w:rsid w:val="003F6645"/>
    <w:rsid w:val="003F6CF4"/>
    <w:rsid w:val="003F7CFB"/>
    <w:rsid w:val="00400158"/>
    <w:rsid w:val="00400193"/>
    <w:rsid w:val="004003E4"/>
    <w:rsid w:val="004008DD"/>
    <w:rsid w:val="00400B98"/>
    <w:rsid w:val="00400DB5"/>
    <w:rsid w:val="00401244"/>
    <w:rsid w:val="004015F1"/>
    <w:rsid w:val="00401882"/>
    <w:rsid w:val="004018D3"/>
    <w:rsid w:val="00401EC8"/>
    <w:rsid w:val="004028FF"/>
    <w:rsid w:val="00402B05"/>
    <w:rsid w:val="0040308C"/>
    <w:rsid w:val="00403160"/>
    <w:rsid w:val="00403E41"/>
    <w:rsid w:val="00403E4F"/>
    <w:rsid w:val="004040A3"/>
    <w:rsid w:val="0040435B"/>
    <w:rsid w:val="00404477"/>
    <w:rsid w:val="00404B22"/>
    <w:rsid w:val="00404EEA"/>
    <w:rsid w:val="004051D5"/>
    <w:rsid w:val="0040534C"/>
    <w:rsid w:val="004053D8"/>
    <w:rsid w:val="00405581"/>
    <w:rsid w:val="00405713"/>
    <w:rsid w:val="004058D5"/>
    <w:rsid w:val="00405B33"/>
    <w:rsid w:val="00406241"/>
    <w:rsid w:val="004064EB"/>
    <w:rsid w:val="00406718"/>
    <w:rsid w:val="00406E18"/>
    <w:rsid w:val="00407D0E"/>
    <w:rsid w:val="004100C8"/>
    <w:rsid w:val="0041014B"/>
    <w:rsid w:val="004103B4"/>
    <w:rsid w:val="00410766"/>
    <w:rsid w:val="004108E8"/>
    <w:rsid w:val="00410F14"/>
    <w:rsid w:val="00411186"/>
    <w:rsid w:val="004117DC"/>
    <w:rsid w:val="0041199B"/>
    <w:rsid w:val="00411BAE"/>
    <w:rsid w:val="00411DBD"/>
    <w:rsid w:val="00412286"/>
    <w:rsid w:val="00412ACE"/>
    <w:rsid w:val="00412BCA"/>
    <w:rsid w:val="004138EE"/>
    <w:rsid w:val="0041421F"/>
    <w:rsid w:val="00414CD8"/>
    <w:rsid w:val="004150BB"/>
    <w:rsid w:val="004155BF"/>
    <w:rsid w:val="004161BB"/>
    <w:rsid w:val="00416222"/>
    <w:rsid w:val="00416291"/>
    <w:rsid w:val="0041654E"/>
    <w:rsid w:val="00416791"/>
    <w:rsid w:val="00417157"/>
    <w:rsid w:val="0041726D"/>
    <w:rsid w:val="004174A7"/>
    <w:rsid w:val="00417C1B"/>
    <w:rsid w:val="00417C54"/>
    <w:rsid w:val="0042083F"/>
    <w:rsid w:val="00420B34"/>
    <w:rsid w:val="00420CEA"/>
    <w:rsid w:val="00420E3F"/>
    <w:rsid w:val="0042188C"/>
    <w:rsid w:val="00421A7D"/>
    <w:rsid w:val="004222E8"/>
    <w:rsid w:val="00422A9F"/>
    <w:rsid w:val="00422B37"/>
    <w:rsid w:val="00422B8D"/>
    <w:rsid w:val="004231FF"/>
    <w:rsid w:val="0042392E"/>
    <w:rsid w:val="00423BBB"/>
    <w:rsid w:val="00424558"/>
    <w:rsid w:val="00424D06"/>
    <w:rsid w:val="00425337"/>
    <w:rsid w:val="00425688"/>
    <w:rsid w:val="00425A9E"/>
    <w:rsid w:val="0042640B"/>
    <w:rsid w:val="0042651C"/>
    <w:rsid w:val="004266C1"/>
    <w:rsid w:val="00426A7F"/>
    <w:rsid w:val="004301F2"/>
    <w:rsid w:val="0043035E"/>
    <w:rsid w:val="00430429"/>
    <w:rsid w:val="00430825"/>
    <w:rsid w:val="00430B99"/>
    <w:rsid w:val="00431249"/>
    <w:rsid w:val="00431642"/>
    <w:rsid w:val="004319BC"/>
    <w:rsid w:val="0043363A"/>
    <w:rsid w:val="00433E75"/>
    <w:rsid w:val="004345F8"/>
    <w:rsid w:val="004348CA"/>
    <w:rsid w:val="00434C19"/>
    <w:rsid w:val="00434C3A"/>
    <w:rsid w:val="00434C6E"/>
    <w:rsid w:val="004364AF"/>
    <w:rsid w:val="004367F3"/>
    <w:rsid w:val="00436AEF"/>
    <w:rsid w:val="00436DFF"/>
    <w:rsid w:val="00436E2E"/>
    <w:rsid w:val="00437487"/>
    <w:rsid w:val="004378F1"/>
    <w:rsid w:val="004400C5"/>
    <w:rsid w:val="00440C48"/>
    <w:rsid w:val="00441163"/>
    <w:rsid w:val="00441218"/>
    <w:rsid w:val="004412A3"/>
    <w:rsid w:val="0044177A"/>
    <w:rsid w:val="0044291B"/>
    <w:rsid w:val="00442B4D"/>
    <w:rsid w:val="00443DDA"/>
    <w:rsid w:val="00443DF0"/>
    <w:rsid w:val="004441DF"/>
    <w:rsid w:val="00444904"/>
    <w:rsid w:val="00445255"/>
    <w:rsid w:val="00445BC8"/>
    <w:rsid w:val="00446138"/>
    <w:rsid w:val="00446D5B"/>
    <w:rsid w:val="0044722F"/>
    <w:rsid w:val="00447625"/>
    <w:rsid w:val="0044783A"/>
    <w:rsid w:val="004503A6"/>
    <w:rsid w:val="00450588"/>
    <w:rsid w:val="00450810"/>
    <w:rsid w:val="0045089F"/>
    <w:rsid w:val="004510C0"/>
    <w:rsid w:val="00451297"/>
    <w:rsid w:val="004514B9"/>
    <w:rsid w:val="004516DD"/>
    <w:rsid w:val="0045195A"/>
    <w:rsid w:val="004522A8"/>
    <w:rsid w:val="00452330"/>
    <w:rsid w:val="00453015"/>
    <w:rsid w:val="004530DE"/>
    <w:rsid w:val="0045321F"/>
    <w:rsid w:val="0045347E"/>
    <w:rsid w:val="004536EB"/>
    <w:rsid w:val="0045394A"/>
    <w:rsid w:val="00453C9C"/>
    <w:rsid w:val="004540E7"/>
    <w:rsid w:val="0045426D"/>
    <w:rsid w:val="00454717"/>
    <w:rsid w:val="00454733"/>
    <w:rsid w:val="004555BF"/>
    <w:rsid w:val="00455C4F"/>
    <w:rsid w:val="0045651C"/>
    <w:rsid w:val="004568C7"/>
    <w:rsid w:val="00456AA7"/>
    <w:rsid w:val="0045710E"/>
    <w:rsid w:val="004574AF"/>
    <w:rsid w:val="00457E8C"/>
    <w:rsid w:val="00460FD0"/>
    <w:rsid w:val="00462CC1"/>
    <w:rsid w:val="00462D8E"/>
    <w:rsid w:val="00462E10"/>
    <w:rsid w:val="004631B1"/>
    <w:rsid w:val="004634E7"/>
    <w:rsid w:val="00463774"/>
    <w:rsid w:val="00463C4B"/>
    <w:rsid w:val="00463F20"/>
    <w:rsid w:val="004642C0"/>
    <w:rsid w:val="00464703"/>
    <w:rsid w:val="00464A88"/>
    <w:rsid w:val="00464CF3"/>
    <w:rsid w:val="0046528F"/>
    <w:rsid w:val="00465718"/>
    <w:rsid w:val="0046576C"/>
    <w:rsid w:val="004657BE"/>
    <w:rsid w:val="004658A5"/>
    <w:rsid w:val="00465B85"/>
    <w:rsid w:val="00465D12"/>
    <w:rsid w:val="0046631A"/>
    <w:rsid w:val="00466427"/>
    <w:rsid w:val="00467B03"/>
    <w:rsid w:val="00467C91"/>
    <w:rsid w:val="004706DF"/>
    <w:rsid w:val="0047165D"/>
    <w:rsid w:val="004721E5"/>
    <w:rsid w:val="0047225E"/>
    <w:rsid w:val="00472D3C"/>
    <w:rsid w:val="004732A7"/>
    <w:rsid w:val="0047354C"/>
    <w:rsid w:val="004737AF"/>
    <w:rsid w:val="00474039"/>
    <w:rsid w:val="004742AF"/>
    <w:rsid w:val="00474F0D"/>
    <w:rsid w:val="004750A6"/>
    <w:rsid w:val="00475918"/>
    <w:rsid w:val="00476486"/>
    <w:rsid w:val="0047684B"/>
    <w:rsid w:val="00476BD3"/>
    <w:rsid w:val="00476FF8"/>
    <w:rsid w:val="00477144"/>
    <w:rsid w:val="00477902"/>
    <w:rsid w:val="004801BE"/>
    <w:rsid w:val="00480ED1"/>
    <w:rsid w:val="00481101"/>
    <w:rsid w:val="00481803"/>
    <w:rsid w:val="00481A4C"/>
    <w:rsid w:val="00481D51"/>
    <w:rsid w:val="00481FC2"/>
    <w:rsid w:val="0048210A"/>
    <w:rsid w:val="004823D6"/>
    <w:rsid w:val="00482A2E"/>
    <w:rsid w:val="00483792"/>
    <w:rsid w:val="00483A43"/>
    <w:rsid w:val="00483AF2"/>
    <w:rsid w:val="00484349"/>
    <w:rsid w:val="004847FC"/>
    <w:rsid w:val="00484B7A"/>
    <w:rsid w:val="00485729"/>
    <w:rsid w:val="00487231"/>
    <w:rsid w:val="00487492"/>
    <w:rsid w:val="0049042B"/>
    <w:rsid w:val="004906B8"/>
    <w:rsid w:val="004906E7"/>
    <w:rsid w:val="004907E5"/>
    <w:rsid w:val="00490F26"/>
    <w:rsid w:val="004910D5"/>
    <w:rsid w:val="00491380"/>
    <w:rsid w:val="00491606"/>
    <w:rsid w:val="00491739"/>
    <w:rsid w:val="00491AF5"/>
    <w:rsid w:val="00491B13"/>
    <w:rsid w:val="00491C4C"/>
    <w:rsid w:val="00492A32"/>
    <w:rsid w:val="00493730"/>
    <w:rsid w:val="00493A1D"/>
    <w:rsid w:val="00493D78"/>
    <w:rsid w:val="004941DE"/>
    <w:rsid w:val="0049459F"/>
    <w:rsid w:val="00494ECB"/>
    <w:rsid w:val="004961AD"/>
    <w:rsid w:val="0049642B"/>
    <w:rsid w:val="00496792"/>
    <w:rsid w:val="004967C1"/>
    <w:rsid w:val="00496FD6"/>
    <w:rsid w:val="00497311"/>
    <w:rsid w:val="00497402"/>
    <w:rsid w:val="00497411"/>
    <w:rsid w:val="004A0448"/>
    <w:rsid w:val="004A11C7"/>
    <w:rsid w:val="004A1C45"/>
    <w:rsid w:val="004A1DEB"/>
    <w:rsid w:val="004A211B"/>
    <w:rsid w:val="004A2BCC"/>
    <w:rsid w:val="004A2FDD"/>
    <w:rsid w:val="004A3505"/>
    <w:rsid w:val="004A36A5"/>
    <w:rsid w:val="004A37BA"/>
    <w:rsid w:val="004A38DD"/>
    <w:rsid w:val="004A39B5"/>
    <w:rsid w:val="004A403F"/>
    <w:rsid w:val="004A4112"/>
    <w:rsid w:val="004A4BAC"/>
    <w:rsid w:val="004A4D76"/>
    <w:rsid w:val="004A5014"/>
    <w:rsid w:val="004A676E"/>
    <w:rsid w:val="004A7488"/>
    <w:rsid w:val="004A75F7"/>
    <w:rsid w:val="004A76D5"/>
    <w:rsid w:val="004B030E"/>
    <w:rsid w:val="004B03DC"/>
    <w:rsid w:val="004B04AC"/>
    <w:rsid w:val="004B04F9"/>
    <w:rsid w:val="004B0BA3"/>
    <w:rsid w:val="004B13D7"/>
    <w:rsid w:val="004B1C46"/>
    <w:rsid w:val="004B216B"/>
    <w:rsid w:val="004B22B3"/>
    <w:rsid w:val="004B2395"/>
    <w:rsid w:val="004B25F4"/>
    <w:rsid w:val="004B339B"/>
    <w:rsid w:val="004B383E"/>
    <w:rsid w:val="004B38B8"/>
    <w:rsid w:val="004B3929"/>
    <w:rsid w:val="004B3D97"/>
    <w:rsid w:val="004B4391"/>
    <w:rsid w:val="004B43AE"/>
    <w:rsid w:val="004B4634"/>
    <w:rsid w:val="004B4906"/>
    <w:rsid w:val="004B56F8"/>
    <w:rsid w:val="004B6B76"/>
    <w:rsid w:val="004B76B0"/>
    <w:rsid w:val="004B7763"/>
    <w:rsid w:val="004B776F"/>
    <w:rsid w:val="004B7F54"/>
    <w:rsid w:val="004C0254"/>
    <w:rsid w:val="004C0B4F"/>
    <w:rsid w:val="004C0D92"/>
    <w:rsid w:val="004C0FC2"/>
    <w:rsid w:val="004C1205"/>
    <w:rsid w:val="004C1617"/>
    <w:rsid w:val="004C168F"/>
    <w:rsid w:val="004C1946"/>
    <w:rsid w:val="004C1A55"/>
    <w:rsid w:val="004C1D73"/>
    <w:rsid w:val="004C1FCF"/>
    <w:rsid w:val="004C200D"/>
    <w:rsid w:val="004C27DE"/>
    <w:rsid w:val="004C2DCC"/>
    <w:rsid w:val="004C2EB9"/>
    <w:rsid w:val="004C2F01"/>
    <w:rsid w:val="004C30ED"/>
    <w:rsid w:val="004C325E"/>
    <w:rsid w:val="004C34C8"/>
    <w:rsid w:val="004C39FD"/>
    <w:rsid w:val="004C3E76"/>
    <w:rsid w:val="004C4380"/>
    <w:rsid w:val="004C4CCB"/>
    <w:rsid w:val="004C4D60"/>
    <w:rsid w:val="004C5241"/>
    <w:rsid w:val="004C56CA"/>
    <w:rsid w:val="004C5B1E"/>
    <w:rsid w:val="004C5CC6"/>
    <w:rsid w:val="004C6073"/>
    <w:rsid w:val="004C630D"/>
    <w:rsid w:val="004C65DA"/>
    <w:rsid w:val="004C66D5"/>
    <w:rsid w:val="004C6708"/>
    <w:rsid w:val="004C6B58"/>
    <w:rsid w:val="004C711B"/>
    <w:rsid w:val="004D0ABB"/>
    <w:rsid w:val="004D0FC4"/>
    <w:rsid w:val="004D11F9"/>
    <w:rsid w:val="004D2473"/>
    <w:rsid w:val="004D277B"/>
    <w:rsid w:val="004D2E35"/>
    <w:rsid w:val="004D2E9B"/>
    <w:rsid w:val="004D3594"/>
    <w:rsid w:val="004D36C8"/>
    <w:rsid w:val="004D372A"/>
    <w:rsid w:val="004D37D2"/>
    <w:rsid w:val="004D3B90"/>
    <w:rsid w:val="004D3DA4"/>
    <w:rsid w:val="004D43F3"/>
    <w:rsid w:val="004D45F8"/>
    <w:rsid w:val="004D48A7"/>
    <w:rsid w:val="004D50B6"/>
    <w:rsid w:val="004D51AE"/>
    <w:rsid w:val="004D51FB"/>
    <w:rsid w:val="004D5584"/>
    <w:rsid w:val="004D565F"/>
    <w:rsid w:val="004D5675"/>
    <w:rsid w:val="004D6406"/>
    <w:rsid w:val="004D6654"/>
    <w:rsid w:val="004D69BA"/>
    <w:rsid w:val="004D6F08"/>
    <w:rsid w:val="004D71C4"/>
    <w:rsid w:val="004D7886"/>
    <w:rsid w:val="004D7E70"/>
    <w:rsid w:val="004E08AF"/>
    <w:rsid w:val="004E0A75"/>
    <w:rsid w:val="004E0B55"/>
    <w:rsid w:val="004E0DD0"/>
    <w:rsid w:val="004E187D"/>
    <w:rsid w:val="004E1D83"/>
    <w:rsid w:val="004E1DC5"/>
    <w:rsid w:val="004E1E12"/>
    <w:rsid w:val="004E1EFA"/>
    <w:rsid w:val="004E227E"/>
    <w:rsid w:val="004E22E6"/>
    <w:rsid w:val="004E2B9B"/>
    <w:rsid w:val="004E3297"/>
    <w:rsid w:val="004E3523"/>
    <w:rsid w:val="004E3FEA"/>
    <w:rsid w:val="004E4168"/>
    <w:rsid w:val="004E4323"/>
    <w:rsid w:val="004E45D7"/>
    <w:rsid w:val="004E48A2"/>
    <w:rsid w:val="004E4915"/>
    <w:rsid w:val="004E4A0C"/>
    <w:rsid w:val="004E5148"/>
    <w:rsid w:val="004E53B2"/>
    <w:rsid w:val="004E5F81"/>
    <w:rsid w:val="004E7210"/>
    <w:rsid w:val="004E796B"/>
    <w:rsid w:val="004E7B1C"/>
    <w:rsid w:val="004F006A"/>
    <w:rsid w:val="004F0371"/>
    <w:rsid w:val="004F072B"/>
    <w:rsid w:val="004F0777"/>
    <w:rsid w:val="004F0BBB"/>
    <w:rsid w:val="004F0C0E"/>
    <w:rsid w:val="004F0C5E"/>
    <w:rsid w:val="004F0DEA"/>
    <w:rsid w:val="004F1F88"/>
    <w:rsid w:val="004F250E"/>
    <w:rsid w:val="004F25CF"/>
    <w:rsid w:val="004F28B0"/>
    <w:rsid w:val="004F298E"/>
    <w:rsid w:val="004F2E05"/>
    <w:rsid w:val="004F2FAA"/>
    <w:rsid w:val="004F31AC"/>
    <w:rsid w:val="004F3408"/>
    <w:rsid w:val="004F3711"/>
    <w:rsid w:val="004F37B3"/>
    <w:rsid w:val="004F4626"/>
    <w:rsid w:val="004F4D9C"/>
    <w:rsid w:val="004F56C1"/>
    <w:rsid w:val="004F5DED"/>
    <w:rsid w:val="004F663F"/>
    <w:rsid w:val="004F688D"/>
    <w:rsid w:val="004F6956"/>
    <w:rsid w:val="004F6A34"/>
    <w:rsid w:val="004F6BEC"/>
    <w:rsid w:val="004F6CAA"/>
    <w:rsid w:val="004F7224"/>
    <w:rsid w:val="004F7861"/>
    <w:rsid w:val="00500A9D"/>
    <w:rsid w:val="00500E15"/>
    <w:rsid w:val="0050137D"/>
    <w:rsid w:val="00501A7F"/>
    <w:rsid w:val="005020CA"/>
    <w:rsid w:val="005024DA"/>
    <w:rsid w:val="00502A6D"/>
    <w:rsid w:val="00502D5A"/>
    <w:rsid w:val="00503B9E"/>
    <w:rsid w:val="00503D81"/>
    <w:rsid w:val="005040FB"/>
    <w:rsid w:val="0050421F"/>
    <w:rsid w:val="005046C6"/>
    <w:rsid w:val="00504A58"/>
    <w:rsid w:val="00504CB0"/>
    <w:rsid w:val="00504D21"/>
    <w:rsid w:val="0050540A"/>
    <w:rsid w:val="0050543B"/>
    <w:rsid w:val="005066A7"/>
    <w:rsid w:val="0050695C"/>
    <w:rsid w:val="005069F5"/>
    <w:rsid w:val="00506C54"/>
    <w:rsid w:val="00507ABB"/>
    <w:rsid w:val="00507B5E"/>
    <w:rsid w:val="00507E4F"/>
    <w:rsid w:val="00510628"/>
    <w:rsid w:val="00510AA0"/>
    <w:rsid w:val="00510EF6"/>
    <w:rsid w:val="00511549"/>
    <w:rsid w:val="00511A17"/>
    <w:rsid w:val="00511F9D"/>
    <w:rsid w:val="00512776"/>
    <w:rsid w:val="00513745"/>
    <w:rsid w:val="00513A1D"/>
    <w:rsid w:val="0051415F"/>
    <w:rsid w:val="00514437"/>
    <w:rsid w:val="00514508"/>
    <w:rsid w:val="00514A5C"/>
    <w:rsid w:val="00515146"/>
    <w:rsid w:val="005156D5"/>
    <w:rsid w:val="00515834"/>
    <w:rsid w:val="005164DC"/>
    <w:rsid w:val="00516532"/>
    <w:rsid w:val="0051654D"/>
    <w:rsid w:val="00516BDC"/>
    <w:rsid w:val="005175EA"/>
    <w:rsid w:val="0051798B"/>
    <w:rsid w:val="00520393"/>
    <w:rsid w:val="0052049D"/>
    <w:rsid w:val="00520CC1"/>
    <w:rsid w:val="00521441"/>
    <w:rsid w:val="005217C6"/>
    <w:rsid w:val="00522C9C"/>
    <w:rsid w:val="00522FB4"/>
    <w:rsid w:val="00523548"/>
    <w:rsid w:val="00523639"/>
    <w:rsid w:val="005236C7"/>
    <w:rsid w:val="00523B0C"/>
    <w:rsid w:val="00523C26"/>
    <w:rsid w:val="00524453"/>
    <w:rsid w:val="00524606"/>
    <w:rsid w:val="00524BF0"/>
    <w:rsid w:val="00524D0E"/>
    <w:rsid w:val="00525319"/>
    <w:rsid w:val="00526322"/>
    <w:rsid w:val="005264E4"/>
    <w:rsid w:val="0052688C"/>
    <w:rsid w:val="00526A55"/>
    <w:rsid w:val="00526D38"/>
    <w:rsid w:val="00527336"/>
    <w:rsid w:val="0052786B"/>
    <w:rsid w:val="0052788A"/>
    <w:rsid w:val="00527903"/>
    <w:rsid w:val="00527FBE"/>
    <w:rsid w:val="0053045E"/>
    <w:rsid w:val="0053086E"/>
    <w:rsid w:val="0053088D"/>
    <w:rsid w:val="0053109E"/>
    <w:rsid w:val="00531FE5"/>
    <w:rsid w:val="005331C9"/>
    <w:rsid w:val="005335AB"/>
    <w:rsid w:val="00533DD9"/>
    <w:rsid w:val="00533E74"/>
    <w:rsid w:val="00534265"/>
    <w:rsid w:val="005344C2"/>
    <w:rsid w:val="005347FA"/>
    <w:rsid w:val="00534C3C"/>
    <w:rsid w:val="00535A50"/>
    <w:rsid w:val="00536547"/>
    <w:rsid w:val="0053657B"/>
    <w:rsid w:val="00537A5E"/>
    <w:rsid w:val="00537B34"/>
    <w:rsid w:val="00537F25"/>
    <w:rsid w:val="005402FA"/>
    <w:rsid w:val="00540A14"/>
    <w:rsid w:val="00540F4E"/>
    <w:rsid w:val="005412AC"/>
    <w:rsid w:val="00542274"/>
    <w:rsid w:val="00542937"/>
    <w:rsid w:val="005436CD"/>
    <w:rsid w:val="00543B1F"/>
    <w:rsid w:val="00545098"/>
    <w:rsid w:val="00545747"/>
    <w:rsid w:val="005464C2"/>
    <w:rsid w:val="00546712"/>
    <w:rsid w:val="005468A6"/>
    <w:rsid w:val="00546A07"/>
    <w:rsid w:val="00546E51"/>
    <w:rsid w:val="005472DF"/>
    <w:rsid w:val="005474E1"/>
    <w:rsid w:val="005475C5"/>
    <w:rsid w:val="00547983"/>
    <w:rsid w:val="00547AAA"/>
    <w:rsid w:val="005508E4"/>
    <w:rsid w:val="00550BFE"/>
    <w:rsid w:val="005513EF"/>
    <w:rsid w:val="00551D5E"/>
    <w:rsid w:val="00551E93"/>
    <w:rsid w:val="00552062"/>
    <w:rsid w:val="0055217F"/>
    <w:rsid w:val="00552578"/>
    <w:rsid w:val="00552896"/>
    <w:rsid w:val="00552CD7"/>
    <w:rsid w:val="00552F94"/>
    <w:rsid w:val="005533C2"/>
    <w:rsid w:val="00553DD0"/>
    <w:rsid w:val="00554101"/>
    <w:rsid w:val="00554148"/>
    <w:rsid w:val="005542B3"/>
    <w:rsid w:val="00554B9C"/>
    <w:rsid w:val="0055503E"/>
    <w:rsid w:val="00555372"/>
    <w:rsid w:val="0055573A"/>
    <w:rsid w:val="005559BA"/>
    <w:rsid w:val="00556139"/>
    <w:rsid w:val="005562F6"/>
    <w:rsid w:val="005564BF"/>
    <w:rsid w:val="00556682"/>
    <w:rsid w:val="005570C7"/>
    <w:rsid w:val="00557310"/>
    <w:rsid w:val="00557CCE"/>
    <w:rsid w:val="00560014"/>
    <w:rsid w:val="00560178"/>
    <w:rsid w:val="00560AED"/>
    <w:rsid w:val="00560BD0"/>
    <w:rsid w:val="00560CEA"/>
    <w:rsid w:val="00561310"/>
    <w:rsid w:val="00561475"/>
    <w:rsid w:val="005617F7"/>
    <w:rsid w:val="00561FBC"/>
    <w:rsid w:val="00562653"/>
    <w:rsid w:val="00562AFF"/>
    <w:rsid w:val="00563643"/>
    <w:rsid w:val="0056425E"/>
    <w:rsid w:val="005644E6"/>
    <w:rsid w:val="005647CA"/>
    <w:rsid w:val="00564A03"/>
    <w:rsid w:val="00564EC6"/>
    <w:rsid w:val="0056511A"/>
    <w:rsid w:val="0056585D"/>
    <w:rsid w:val="0056625E"/>
    <w:rsid w:val="005678AB"/>
    <w:rsid w:val="00567F8E"/>
    <w:rsid w:val="00570CEF"/>
    <w:rsid w:val="00571E18"/>
    <w:rsid w:val="00571E90"/>
    <w:rsid w:val="00571F6F"/>
    <w:rsid w:val="00572604"/>
    <w:rsid w:val="00572CD1"/>
    <w:rsid w:val="00573460"/>
    <w:rsid w:val="0057348D"/>
    <w:rsid w:val="00573662"/>
    <w:rsid w:val="0057384A"/>
    <w:rsid w:val="00573955"/>
    <w:rsid w:val="00573BE3"/>
    <w:rsid w:val="005742EA"/>
    <w:rsid w:val="00574418"/>
    <w:rsid w:val="00574A11"/>
    <w:rsid w:val="00574A8C"/>
    <w:rsid w:val="00574F75"/>
    <w:rsid w:val="0057516F"/>
    <w:rsid w:val="005751D0"/>
    <w:rsid w:val="00576A1A"/>
    <w:rsid w:val="00576CB6"/>
    <w:rsid w:val="00576ED4"/>
    <w:rsid w:val="00577628"/>
    <w:rsid w:val="00581E4C"/>
    <w:rsid w:val="00581F2D"/>
    <w:rsid w:val="00582284"/>
    <w:rsid w:val="0058302E"/>
    <w:rsid w:val="005832BA"/>
    <w:rsid w:val="00583791"/>
    <w:rsid w:val="00583C39"/>
    <w:rsid w:val="00583CB0"/>
    <w:rsid w:val="00584152"/>
    <w:rsid w:val="005848B2"/>
    <w:rsid w:val="005849A2"/>
    <w:rsid w:val="00585757"/>
    <w:rsid w:val="00585E67"/>
    <w:rsid w:val="005861D9"/>
    <w:rsid w:val="005874E6"/>
    <w:rsid w:val="00587766"/>
    <w:rsid w:val="005878C7"/>
    <w:rsid w:val="00587F28"/>
    <w:rsid w:val="00590915"/>
    <w:rsid w:val="005909CF"/>
    <w:rsid w:val="00590F67"/>
    <w:rsid w:val="00591319"/>
    <w:rsid w:val="00591638"/>
    <w:rsid w:val="00591CE6"/>
    <w:rsid w:val="00591E2D"/>
    <w:rsid w:val="00591E71"/>
    <w:rsid w:val="00591E7B"/>
    <w:rsid w:val="00591F66"/>
    <w:rsid w:val="005923A4"/>
    <w:rsid w:val="00592B7D"/>
    <w:rsid w:val="00592C94"/>
    <w:rsid w:val="00592DDE"/>
    <w:rsid w:val="005936D1"/>
    <w:rsid w:val="00593799"/>
    <w:rsid w:val="005940A9"/>
    <w:rsid w:val="00594B7C"/>
    <w:rsid w:val="00594EA9"/>
    <w:rsid w:val="00594FDB"/>
    <w:rsid w:val="0059577E"/>
    <w:rsid w:val="00595E87"/>
    <w:rsid w:val="00595EB5"/>
    <w:rsid w:val="00596228"/>
    <w:rsid w:val="0059654E"/>
    <w:rsid w:val="00596674"/>
    <w:rsid w:val="00596C5F"/>
    <w:rsid w:val="00596C6F"/>
    <w:rsid w:val="00597B19"/>
    <w:rsid w:val="00597C89"/>
    <w:rsid w:val="005A02C8"/>
    <w:rsid w:val="005A049F"/>
    <w:rsid w:val="005A0BA2"/>
    <w:rsid w:val="005A0BFE"/>
    <w:rsid w:val="005A0D41"/>
    <w:rsid w:val="005A11F0"/>
    <w:rsid w:val="005A1A60"/>
    <w:rsid w:val="005A1B5E"/>
    <w:rsid w:val="005A1B7F"/>
    <w:rsid w:val="005A23B6"/>
    <w:rsid w:val="005A24B2"/>
    <w:rsid w:val="005A24CE"/>
    <w:rsid w:val="005A268B"/>
    <w:rsid w:val="005A3274"/>
    <w:rsid w:val="005A34E3"/>
    <w:rsid w:val="005A403F"/>
    <w:rsid w:val="005A4F9A"/>
    <w:rsid w:val="005A52C6"/>
    <w:rsid w:val="005A5349"/>
    <w:rsid w:val="005A5CA8"/>
    <w:rsid w:val="005A5E68"/>
    <w:rsid w:val="005A60F4"/>
    <w:rsid w:val="005A69C8"/>
    <w:rsid w:val="005A6ECF"/>
    <w:rsid w:val="005A6F77"/>
    <w:rsid w:val="005A7017"/>
    <w:rsid w:val="005A7352"/>
    <w:rsid w:val="005A7A72"/>
    <w:rsid w:val="005B0350"/>
    <w:rsid w:val="005B06FA"/>
    <w:rsid w:val="005B08D6"/>
    <w:rsid w:val="005B098A"/>
    <w:rsid w:val="005B1588"/>
    <w:rsid w:val="005B19DB"/>
    <w:rsid w:val="005B20D6"/>
    <w:rsid w:val="005B215F"/>
    <w:rsid w:val="005B23A0"/>
    <w:rsid w:val="005B2817"/>
    <w:rsid w:val="005B2F2F"/>
    <w:rsid w:val="005B3085"/>
    <w:rsid w:val="005B352C"/>
    <w:rsid w:val="005B3E06"/>
    <w:rsid w:val="005B4565"/>
    <w:rsid w:val="005B4DB5"/>
    <w:rsid w:val="005B69A3"/>
    <w:rsid w:val="005B6E65"/>
    <w:rsid w:val="005B7288"/>
    <w:rsid w:val="005B7367"/>
    <w:rsid w:val="005B78FF"/>
    <w:rsid w:val="005B7B11"/>
    <w:rsid w:val="005B7DAF"/>
    <w:rsid w:val="005C0445"/>
    <w:rsid w:val="005C06EA"/>
    <w:rsid w:val="005C081E"/>
    <w:rsid w:val="005C122F"/>
    <w:rsid w:val="005C17F7"/>
    <w:rsid w:val="005C23FA"/>
    <w:rsid w:val="005C2960"/>
    <w:rsid w:val="005C2FE6"/>
    <w:rsid w:val="005C358A"/>
    <w:rsid w:val="005C396B"/>
    <w:rsid w:val="005C3BDE"/>
    <w:rsid w:val="005C3F74"/>
    <w:rsid w:val="005C42DA"/>
    <w:rsid w:val="005C438D"/>
    <w:rsid w:val="005C4393"/>
    <w:rsid w:val="005C4733"/>
    <w:rsid w:val="005C4A8A"/>
    <w:rsid w:val="005C4CE0"/>
    <w:rsid w:val="005C52FB"/>
    <w:rsid w:val="005C561B"/>
    <w:rsid w:val="005C6819"/>
    <w:rsid w:val="005C6C1A"/>
    <w:rsid w:val="005C72A0"/>
    <w:rsid w:val="005C768F"/>
    <w:rsid w:val="005C7B91"/>
    <w:rsid w:val="005C7EC7"/>
    <w:rsid w:val="005D001D"/>
    <w:rsid w:val="005D101B"/>
    <w:rsid w:val="005D2034"/>
    <w:rsid w:val="005D2390"/>
    <w:rsid w:val="005D2D2C"/>
    <w:rsid w:val="005D34A4"/>
    <w:rsid w:val="005D39E0"/>
    <w:rsid w:val="005D3B38"/>
    <w:rsid w:val="005D3BD5"/>
    <w:rsid w:val="005D489A"/>
    <w:rsid w:val="005D4AB1"/>
    <w:rsid w:val="005D5448"/>
    <w:rsid w:val="005D5CDB"/>
    <w:rsid w:val="005D66DF"/>
    <w:rsid w:val="005D71CE"/>
    <w:rsid w:val="005D7861"/>
    <w:rsid w:val="005D7D42"/>
    <w:rsid w:val="005E00DC"/>
    <w:rsid w:val="005E0F07"/>
    <w:rsid w:val="005E1FBA"/>
    <w:rsid w:val="005E2DC3"/>
    <w:rsid w:val="005E3466"/>
    <w:rsid w:val="005E3A0C"/>
    <w:rsid w:val="005E3ABA"/>
    <w:rsid w:val="005E3DDE"/>
    <w:rsid w:val="005E3E0E"/>
    <w:rsid w:val="005E4611"/>
    <w:rsid w:val="005E4E41"/>
    <w:rsid w:val="005E5093"/>
    <w:rsid w:val="005E52A1"/>
    <w:rsid w:val="005E5A80"/>
    <w:rsid w:val="005E6482"/>
    <w:rsid w:val="005E6A57"/>
    <w:rsid w:val="005E72C8"/>
    <w:rsid w:val="005E7573"/>
    <w:rsid w:val="005E7865"/>
    <w:rsid w:val="005E7925"/>
    <w:rsid w:val="005E79AC"/>
    <w:rsid w:val="005E7F70"/>
    <w:rsid w:val="005F04ED"/>
    <w:rsid w:val="005F0594"/>
    <w:rsid w:val="005F062B"/>
    <w:rsid w:val="005F1738"/>
    <w:rsid w:val="005F1759"/>
    <w:rsid w:val="005F1A36"/>
    <w:rsid w:val="005F1A8A"/>
    <w:rsid w:val="005F1B37"/>
    <w:rsid w:val="005F1F06"/>
    <w:rsid w:val="005F26B7"/>
    <w:rsid w:val="005F2A7B"/>
    <w:rsid w:val="005F2DE6"/>
    <w:rsid w:val="005F37D9"/>
    <w:rsid w:val="005F38F7"/>
    <w:rsid w:val="005F3B82"/>
    <w:rsid w:val="005F50EA"/>
    <w:rsid w:val="005F551C"/>
    <w:rsid w:val="005F7048"/>
    <w:rsid w:val="005F70C6"/>
    <w:rsid w:val="0060028D"/>
    <w:rsid w:val="006002B1"/>
    <w:rsid w:val="0060041D"/>
    <w:rsid w:val="0060044C"/>
    <w:rsid w:val="006008BA"/>
    <w:rsid w:val="006008DA"/>
    <w:rsid w:val="00600BA8"/>
    <w:rsid w:val="00600E83"/>
    <w:rsid w:val="006034A7"/>
    <w:rsid w:val="00604C59"/>
    <w:rsid w:val="00604D78"/>
    <w:rsid w:val="00605655"/>
    <w:rsid w:val="00605FCC"/>
    <w:rsid w:val="0060671D"/>
    <w:rsid w:val="0060691F"/>
    <w:rsid w:val="00606A75"/>
    <w:rsid w:val="00606F2E"/>
    <w:rsid w:val="00607261"/>
    <w:rsid w:val="00607439"/>
    <w:rsid w:val="0060748F"/>
    <w:rsid w:val="0060760E"/>
    <w:rsid w:val="00607A5F"/>
    <w:rsid w:val="00607BF1"/>
    <w:rsid w:val="006103BF"/>
    <w:rsid w:val="006104C6"/>
    <w:rsid w:val="006105FC"/>
    <w:rsid w:val="006109F9"/>
    <w:rsid w:val="00610AE3"/>
    <w:rsid w:val="006110AF"/>
    <w:rsid w:val="00611818"/>
    <w:rsid w:val="00611B06"/>
    <w:rsid w:val="00613467"/>
    <w:rsid w:val="00614190"/>
    <w:rsid w:val="006141AC"/>
    <w:rsid w:val="00614A73"/>
    <w:rsid w:val="006153D2"/>
    <w:rsid w:val="006154C1"/>
    <w:rsid w:val="006157B0"/>
    <w:rsid w:val="0061580D"/>
    <w:rsid w:val="00616003"/>
    <w:rsid w:val="00616844"/>
    <w:rsid w:val="00616A36"/>
    <w:rsid w:val="00616D18"/>
    <w:rsid w:val="00616F8C"/>
    <w:rsid w:val="00617606"/>
    <w:rsid w:val="00617ABF"/>
    <w:rsid w:val="00617BC0"/>
    <w:rsid w:val="00617F73"/>
    <w:rsid w:val="0062017B"/>
    <w:rsid w:val="00620300"/>
    <w:rsid w:val="006203D9"/>
    <w:rsid w:val="00620732"/>
    <w:rsid w:val="00620B44"/>
    <w:rsid w:val="00621E53"/>
    <w:rsid w:val="00622998"/>
    <w:rsid w:val="00622DBD"/>
    <w:rsid w:val="00622F20"/>
    <w:rsid w:val="00622F6D"/>
    <w:rsid w:val="0062316C"/>
    <w:rsid w:val="0062463E"/>
    <w:rsid w:val="0062466E"/>
    <w:rsid w:val="00624725"/>
    <w:rsid w:val="0062519E"/>
    <w:rsid w:val="00626395"/>
    <w:rsid w:val="00626A49"/>
    <w:rsid w:val="00626E08"/>
    <w:rsid w:val="00626FA8"/>
    <w:rsid w:val="00627017"/>
    <w:rsid w:val="006271B2"/>
    <w:rsid w:val="00627289"/>
    <w:rsid w:val="00630207"/>
    <w:rsid w:val="006305D0"/>
    <w:rsid w:val="00630D4D"/>
    <w:rsid w:val="00630E2D"/>
    <w:rsid w:val="0063250E"/>
    <w:rsid w:val="00632A74"/>
    <w:rsid w:val="00633B51"/>
    <w:rsid w:val="0063412D"/>
    <w:rsid w:val="00634C6E"/>
    <w:rsid w:val="0063529A"/>
    <w:rsid w:val="006355EA"/>
    <w:rsid w:val="0063725F"/>
    <w:rsid w:val="006372E7"/>
    <w:rsid w:val="0063739D"/>
    <w:rsid w:val="006409BC"/>
    <w:rsid w:val="00641679"/>
    <w:rsid w:val="00641F36"/>
    <w:rsid w:val="0064246E"/>
    <w:rsid w:val="0064289C"/>
    <w:rsid w:val="00642A7B"/>
    <w:rsid w:val="0064370C"/>
    <w:rsid w:val="0064374E"/>
    <w:rsid w:val="00643A6B"/>
    <w:rsid w:val="0064449D"/>
    <w:rsid w:val="0064489C"/>
    <w:rsid w:val="00645322"/>
    <w:rsid w:val="00645FA9"/>
    <w:rsid w:val="0064693C"/>
    <w:rsid w:val="00646D49"/>
    <w:rsid w:val="00647059"/>
    <w:rsid w:val="006474E2"/>
    <w:rsid w:val="0064758E"/>
    <w:rsid w:val="006500CD"/>
    <w:rsid w:val="00650638"/>
    <w:rsid w:val="00650AC7"/>
    <w:rsid w:val="00650B05"/>
    <w:rsid w:val="00650B4E"/>
    <w:rsid w:val="006513AB"/>
    <w:rsid w:val="00651710"/>
    <w:rsid w:val="00651B61"/>
    <w:rsid w:val="00652518"/>
    <w:rsid w:val="006529AE"/>
    <w:rsid w:val="00652C91"/>
    <w:rsid w:val="0065329D"/>
    <w:rsid w:val="0065368A"/>
    <w:rsid w:val="00653FC1"/>
    <w:rsid w:val="00654128"/>
    <w:rsid w:val="006543C7"/>
    <w:rsid w:val="00654896"/>
    <w:rsid w:val="00654B09"/>
    <w:rsid w:val="00655A2D"/>
    <w:rsid w:val="00655D48"/>
    <w:rsid w:val="00655E72"/>
    <w:rsid w:val="00655E93"/>
    <w:rsid w:val="0065675D"/>
    <w:rsid w:val="006568D7"/>
    <w:rsid w:val="00656A39"/>
    <w:rsid w:val="00656D7C"/>
    <w:rsid w:val="006579C1"/>
    <w:rsid w:val="00657D95"/>
    <w:rsid w:val="00660013"/>
    <w:rsid w:val="0066029E"/>
    <w:rsid w:val="00660E46"/>
    <w:rsid w:val="00662617"/>
    <w:rsid w:val="00662DE7"/>
    <w:rsid w:val="006634C3"/>
    <w:rsid w:val="006636F6"/>
    <w:rsid w:val="00663A7E"/>
    <w:rsid w:val="00663B78"/>
    <w:rsid w:val="00663E9E"/>
    <w:rsid w:val="00664447"/>
    <w:rsid w:val="00664F61"/>
    <w:rsid w:val="006652D7"/>
    <w:rsid w:val="006656DE"/>
    <w:rsid w:val="006659CA"/>
    <w:rsid w:val="00665AB1"/>
    <w:rsid w:val="00665F91"/>
    <w:rsid w:val="006660FA"/>
    <w:rsid w:val="00666394"/>
    <w:rsid w:val="00667D9F"/>
    <w:rsid w:val="00670759"/>
    <w:rsid w:val="00670A37"/>
    <w:rsid w:val="00670EAB"/>
    <w:rsid w:val="0067147E"/>
    <w:rsid w:val="006714CA"/>
    <w:rsid w:val="0067249E"/>
    <w:rsid w:val="00672911"/>
    <w:rsid w:val="00672BA3"/>
    <w:rsid w:val="00672FA7"/>
    <w:rsid w:val="0067356D"/>
    <w:rsid w:val="00673A3E"/>
    <w:rsid w:val="00673BD1"/>
    <w:rsid w:val="00673CAC"/>
    <w:rsid w:val="00673D8B"/>
    <w:rsid w:val="00673F74"/>
    <w:rsid w:val="00674478"/>
    <w:rsid w:val="00674D2F"/>
    <w:rsid w:val="0067589F"/>
    <w:rsid w:val="00675AFD"/>
    <w:rsid w:val="006768B5"/>
    <w:rsid w:val="00676A89"/>
    <w:rsid w:val="00677AB1"/>
    <w:rsid w:val="00680254"/>
    <w:rsid w:val="00680354"/>
    <w:rsid w:val="00680718"/>
    <w:rsid w:val="00680A29"/>
    <w:rsid w:val="00680B90"/>
    <w:rsid w:val="00680EBD"/>
    <w:rsid w:val="0068112B"/>
    <w:rsid w:val="00681394"/>
    <w:rsid w:val="00681797"/>
    <w:rsid w:val="006817D4"/>
    <w:rsid w:val="00681834"/>
    <w:rsid w:val="00681F43"/>
    <w:rsid w:val="00682C2B"/>
    <w:rsid w:val="00683083"/>
    <w:rsid w:val="00683223"/>
    <w:rsid w:val="00683AAF"/>
    <w:rsid w:val="00684932"/>
    <w:rsid w:val="0068494D"/>
    <w:rsid w:val="0068497B"/>
    <w:rsid w:val="00684C4B"/>
    <w:rsid w:val="00684C8C"/>
    <w:rsid w:val="006858E7"/>
    <w:rsid w:val="0068631C"/>
    <w:rsid w:val="00686324"/>
    <w:rsid w:val="00686B3D"/>
    <w:rsid w:val="006873D0"/>
    <w:rsid w:val="00687904"/>
    <w:rsid w:val="006879ED"/>
    <w:rsid w:val="00687B10"/>
    <w:rsid w:val="00687D33"/>
    <w:rsid w:val="006901AE"/>
    <w:rsid w:val="0069033C"/>
    <w:rsid w:val="006905FA"/>
    <w:rsid w:val="00690F1C"/>
    <w:rsid w:val="006913A5"/>
    <w:rsid w:val="00691F35"/>
    <w:rsid w:val="00692187"/>
    <w:rsid w:val="006921E8"/>
    <w:rsid w:val="006928E5"/>
    <w:rsid w:val="00692C9F"/>
    <w:rsid w:val="00692FD7"/>
    <w:rsid w:val="00693073"/>
    <w:rsid w:val="00693AF9"/>
    <w:rsid w:val="00693C43"/>
    <w:rsid w:val="0069415E"/>
    <w:rsid w:val="0069436C"/>
    <w:rsid w:val="00694523"/>
    <w:rsid w:val="00694586"/>
    <w:rsid w:val="00694B4F"/>
    <w:rsid w:val="00694D7C"/>
    <w:rsid w:val="00694E1D"/>
    <w:rsid w:val="0069527E"/>
    <w:rsid w:val="00695354"/>
    <w:rsid w:val="00695820"/>
    <w:rsid w:val="00696102"/>
    <w:rsid w:val="0069679A"/>
    <w:rsid w:val="00696979"/>
    <w:rsid w:val="00696D67"/>
    <w:rsid w:val="006973F1"/>
    <w:rsid w:val="00697431"/>
    <w:rsid w:val="00697ADE"/>
    <w:rsid w:val="006A0066"/>
    <w:rsid w:val="006A015B"/>
    <w:rsid w:val="006A1B34"/>
    <w:rsid w:val="006A1C1E"/>
    <w:rsid w:val="006A1E2C"/>
    <w:rsid w:val="006A3A73"/>
    <w:rsid w:val="006A3D25"/>
    <w:rsid w:val="006A4626"/>
    <w:rsid w:val="006A4655"/>
    <w:rsid w:val="006A5A54"/>
    <w:rsid w:val="006A5B9B"/>
    <w:rsid w:val="006A5D4E"/>
    <w:rsid w:val="006A5E43"/>
    <w:rsid w:val="006A5E9B"/>
    <w:rsid w:val="006A621C"/>
    <w:rsid w:val="006A6B5F"/>
    <w:rsid w:val="006A7566"/>
    <w:rsid w:val="006A78E1"/>
    <w:rsid w:val="006A7A49"/>
    <w:rsid w:val="006A7DC8"/>
    <w:rsid w:val="006B014C"/>
    <w:rsid w:val="006B0B35"/>
    <w:rsid w:val="006B0E1D"/>
    <w:rsid w:val="006B13A8"/>
    <w:rsid w:val="006B14D8"/>
    <w:rsid w:val="006B1724"/>
    <w:rsid w:val="006B1AC8"/>
    <w:rsid w:val="006B1F93"/>
    <w:rsid w:val="006B2694"/>
    <w:rsid w:val="006B2B3C"/>
    <w:rsid w:val="006B2FB0"/>
    <w:rsid w:val="006B328D"/>
    <w:rsid w:val="006B3967"/>
    <w:rsid w:val="006B3F66"/>
    <w:rsid w:val="006B42D0"/>
    <w:rsid w:val="006B43A8"/>
    <w:rsid w:val="006B4A9D"/>
    <w:rsid w:val="006B4B26"/>
    <w:rsid w:val="006B4B58"/>
    <w:rsid w:val="006B543E"/>
    <w:rsid w:val="006B5C37"/>
    <w:rsid w:val="006B608E"/>
    <w:rsid w:val="006B63CE"/>
    <w:rsid w:val="006B6483"/>
    <w:rsid w:val="006B67F0"/>
    <w:rsid w:val="006B69CE"/>
    <w:rsid w:val="006B70E8"/>
    <w:rsid w:val="006B7D59"/>
    <w:rsid w:val="006C075A"/>
    <w:rsid w:val="006C097D"/>
    <w:rsid w:val="006C0B33"/>
    <w:rsid w:val="006C10E2"/>
    <w:rsid w:val="006C17D5"/>
    <w:rsid w:val="006C1AA8"/>
    <w:rsid w:val="006C1D81"/>
    <w:rsid w:val="006C2013"/>
    <w:rsid w:val="006C222B"/>
    <w:rsid w:val="006C28BD"/>
    <w:rsid w:val="006C28DA"/>
    <w:rsid w:val="006C3436"/>
    <w:rsid w:val="006C3A1C"/>
    <w:rsid w:val="006C408A"/>
    <w:rsid w:val="006C458D"/>
    <w:rsid w:val="006C4733"/>
    <w:rsid w:val="006C47E3"/>
    <w:rsid w:val="006C4B9F"/>
    <w:rsid w:val="006C52E3"/>
    <w:rsid w:val="006C5461"/>
    <w:rsid w:val="006C5653"/>
    <w:rsid w:val="006C5D61"/>
    <w:rsid w:val="006C6607"/>
    <w:rsid w:val="006C66E0"/>
    <w:rsid w:val="006C68F4"/>
    <w:rsid w:val="006C7038"/>
    <w:rsid w:val="006C7391"/>
    <w:rsid w:val="006C76BA"/>
    <w:rsid w:val="006C7B39"/>
    <w:rsid w:val="006C7DFF"/>
    <w:rsid w:val="006C7F10"/>
    <w:rsid w:val="006C7F24"/>
    <w:rsid w:val="006D066B"/>
    <w:rsid w:val="006D06D0"/>
    <w:rsid w:val="006D1AC7"/>
    <w:rsid w:val="006D1DDE"/>
    <w:rsid w:val="006D23DE"/>
    <w:rsid w:val="006D289E"/>
    <w:rsid w:val="006D29EF"/>
    <w:rsid w:val="006D2B2B"/>
    <w:rsid w:val="006D2C5A"/>
    <w:rsid w:val="006D363D"/>
    <w:rsid w:val="006D4455"/>
    <w:rsid w:val="006D4729"/>
    <w:rsid w:val="006D4BA9"/>
    <w:rsid w:val="006D52A8"/>
    <w:rsid w:val="006D5E07"/>
    <w:rsid w:val="006D5F1F"/>
    <w:rsid w:val="006D6064"/>
    <w:rsid w:val="006D6993"/>
    <w:rsid w:val="006D69A6"/>
    <w:rsid w:val="006D6A19"/>
    <w:rsid w:val="006D7406"/>
    <w:rsid w:val="006D77AF"/>
    <w:rsid w:val="006D7CFF"/>
    <w:rsid w:val="006E01A6"/>
    <w:rsid w:val="006E024C"/>
    <w:rsid w:val="006E0402"/>
    <w:rsid w:val="006E07B7"/>
    <w:rsid w:val="006E11A3"/>
    <w:rsid w:val="006E18BE"/>
    <w:rsid w:val="006E1D06"/>
    <w:rsid w:val="006E270D"/>
    <w:rsid w:val="006E2935"/>
    <w:rsid w:val="006E2EBC"/>
    <w:rsid w:val="006E2FF7"/>
    <w:rsid w:val="006E3327"/>
    <w:rsid w:val="006E37EB"/>
    <w:rsid w:val="006E3E8F"/>
    <w:rsid w:val="006E4252"/>
    <w:rsid w:val="006E45CA"/>
    <w:rsid w:val="006E5685"/>
    <w:rsid w:val="006E6BBF"/>
    <w:rsid w:val="006E6CBF"/>
    <w:rsid w:val="006E73EF"/>
    <w:rsid w:val="006E7B7F"/>
    <w:rsid w:val="006E7CAA"/>
    <w:rsid w:val="006E7FFB"/>
    <w:rsid w:val="006F050A"/>
    <w:rsid w:val="006F0B50"/>
    <w:rsid w:val="006F1270"/>
    <w:rsid w:val="006F1325"/>
    <w:rsid w:val="006F18A0"/>
    <w:rsid w:val="006F1E41"/>
    <w:rsid w:val="006F207B"/>
    <w:rsid w:val="006F21BE"/>
    <w:rsid w:val="006F22F3"/>
    <w:rsid w:val="006F247E"/>
    <w:rsid w:val="006F29B4"/>
    <w:rsid w:val="006F2D2B"/>
    <w:rsid w:val="006F2D51"/>
    <w:rsid w:val="006F37C0"/>
    <w:rsid w:val="006F3B2D"/>
    <w:rsid w:val="006F3E7F"/>
    <w:rsid w:val="006F465E"/>
    <w:rsid w:val="006F467D"/>
    <w:rsid w:val="006F4886"/>
    <w:rsid w:val="006F4FF3"/>
    <w:rsid w:val="006F5DEF"/>
    <w:rsid w:val="006F6B01"/>
    <w:rsid w:val="006F6C2C"/>
    <w:rsid w:val="006F6F6F"/>
    <w:rsid w:val="006F707F"/>
    <w:rsid w:val="006F71F5"/>
    <w:rsid w:val="006F7925"/>
    <w:rsid w:val="006F7D7D"/>
    <w:rsid w:val="0070072A"/>
    <w:rsid w:val="007009DE"/>
    <w:rsid w:val="00700E05"/>
    <w:rsid w:val="00701646"/>
    <w:rsid w:val="00701695"/>
    <w:rsid w:val="00701CB8"/>
    <w:rsid w:val="00701E1A"/>
    <w:rsid w:val="00702E0C"/>
    <w:rsid w:val="00702EA5"/>
    <w:rsid w:val="007031EF"/>
    <w:rsid w:val="00703702"/>
    <w:rsid w:val="00703C63"/>
    <w:rsid w:val="0070413B"/>
    <w:rsid w:val="007041D2"/>
    <w:rsid w:val="0070449A"/>
    <w:rsid w:val="00705108"/>
    <w:rsid w:val="0070581B"/>
    <w:rsid w:val="0070659C"/>
    <w:rsid w:val="00706814"/>
    <w:rsid w:val="00706DC0"/>
    <w:rsid w:val="00706E0A"/>
    <w:rsid w:val="00707D1F"/>
    <w:rsid w:val="00707DF7"/>
    <w:rsid w:val="0071064D"/>
    <w:rsid w:val="00710C87"/>
    <w:rsid w:val="0071191C"/>
    <w:rsid w:val="007119BD"/>
    <w:rsid w:val="0071219F"/>
    <w:rsid w:val="007122DE"/>
    <w:rsid w:val="00712381"/>
    <w:rsid w:val="00712560"/>
    <w:rsid w:val="007127C3"/>
    <w:rsid w:val="007127D4"/>
    <w:rsid w:val="00712E45"/>
    <w:rsid w:val="00712F22"/>
    <w:rsid w:val="0071422B"/>
    <w:rsid w:val="0071439F"/>
    <w:rsid w:val="007147BC"/>
    <w:rsid w:val="00714B57"/>
    <w:rsid w:val="00714CEF"/>
    <w:rsid w:val="00714D4D"/>
    <w:rsid w:val="00714E0B"/>
    <w:rsid w:val="007151DD"/>
    <w:rsid w:val="0071527D"/>
    <w:rsid w:val="0071598F"/>
    <w:rsid w:val="00716B34"/>
    <w:rsid w:val="00716B47"/>
    <w:rsid w:val="00716EC9"/>
    <w:rsid w:val="007174EB"/>
    <w:rsid w:val="00717688"/>
    <w:rsid w:val="00717FE3"/>
    <w:rsid w:val="0072033E"/>
    <w:rsid w:val="007205F1"/>
    <w:rsid w:val="0072072B"/>
    <w:rsid w:val="00720821"/>
    <w:rsid w:val="00720A24"/>
    <w:rsid w:val="00720CDB"/>
    <w:rsid w:val="007212F2"/>
    <w:rsid w:val="00721596"/>
    <w:rsid w:val="007217D4"/>
    <w:rsid w:val="007219CF"/>
    <w:rsid w:val="00721DF9"/>
    <w:rsid w:val="00721F60"/>
    <w:rsid w:val="007226C4"/>
    <w:rsid w:val="00722EFC"/>
    <w:rsid w:val="007239F7"/>
    <w:rsid w:val="00724381"/>
    <w:rsid w:val="00724787"/>
    <w:rsid w:val="00724A50"/>
    <w:rsid w:val="00724AC2"/>
    <w:rsid w:val="00724AFE"/>
    <w:rsid w:val="00724B84"/>
    <w:rsid w:val="007256FA"/>
    <w:rsid w:val="00726663"/>
    <w:rsid w:val="007267E6"/>
    <w:rsid w:val="00726D44"/>
    <w:rsid w:val="00727548"/>
    <w:rsid w:val="007275F2"/>
    <w:rsid w:val="00727AEE"/>
    <w:rsid w:val="007308AC"/>
    <w:rsid w:val="00730A2E"/>
    <w:rsid w:val="00731596"/>
    <w:rsid w:val="00731D42"/>
    <w:rsid w:val="00732005"/>
    <w:rsid w:val="00732499"/>
    <w:rsid w:val="007324DA"/>
    <w:rsid w:val="00732881"/>
    <w:rsid w:val="00732F42"/>
    <w:rsid w:val="0073304A"/>
    <w:rsid w:val="00733A48"/>
    <w:rsid w:val="007344A4"/>
    <w:rsid w:val="0073472C"/>
    <w:rsid w:val="00734AAE"/>
    <w:rsid w:val="0073564A"/>
    <w:rsid w:val="0073785C"/>
    <w:rsid w:val="00737A73"/>
    <w:rsid w:val="00737C9E"/>
    <w:rsid w:val="0074057B"/>
    <w:rsid w:val="0074059A"/>
    <w:rsid w:val="00741DE8"/>
    <w:rsid w:val="007420CE"/>
    <w:rsid w:val="00742865"/>
    <w:rsid w:val="007429E8"/>
    <w:rsid w:val="007429FE"/>
    <w:rsid w:val="00743063"/>
    <w:rsid w:val="0074310C"/>
    <w:rsid w:val="0074373E"/>
    <w:rsid w:val="00745AEE"/>
    <w:rsid w:val="00745CBF"/>
    <w:rsid w:val="0074661C"/>
    <w:rsid w:val="00746F25"/>
    <w:rsid w:val="00747255"/>
    <w:rsid w:val="00750451"/>
    <w:rsid w:val="007504AC"/>
    <w:rsid w:val="00750675"/>
    <w:rsid w:val="00750D3E"/>
    <w:rsid w:val="00750E01"/>
    <w:rsid w:val="00750E52"/>
    <w:rsid w:val="00751499"/>
    <w:rsid w:val="0075165D"/>
    <w:rsid w:val="007517EA"/>
    <w:rsid w:val="00752114"/>
    <w:rsid w:val="00752681"/>
    <w:rsid w:val="00752C08"/>
    <w:rsid w:val="00752EC3"/>
    <w:rsid w:val="00753514"/>
    <w:rsid w:val="00753AE0"/>
    <w:rsid w:val="00753BB3"/>
    <w:rsid w:val="00754008"/>
    <w:rsid w:val="00754584"/>
    <w:rsid w:val="00754706"/>
    <w:rsid w:val="00754890"/>
    <w:rsid w:val="00754EAB"/>
    <w:rsid w:val="0075530B"/>
    <w:rsid w:val="007557D6"/>
    <w:rsid w:val="00756022"/>
    <w:rsid w:val="00756EC9"/>
    <w:rsid w:val="00757014"/>
    <w:rsid w:val="007572D4"/>
    <w:rsid w:val="00757582"/>
    <w:rsid w:val="007578D0"/>
    <w:rsid w:val="00757D6D"/>
    <w:rsid w:val="007604BB"/>
    <w:rsid w:val="00760B5A"/>
    <w:rsid w:val="00761DA5"/>
    <w:rsid w:val="00762202"/>
    <w:rsid w:val="00763102"/>
    <w:rsid w:val="007634F2"/>
    <w:rsid w:val="00763502"/>
    <w:rsid w:val="007644D6"/>
    <w:rsid w:val="007648FE"/>
    <w:rsid w:val="00764E7A"/>
    <w:rsid w:val="00765427"/>
    <w:rsid w:val="0076563C"/>
    <w:rsid w:val="00766381"/>
    <w:rsid w:val="00766540"/>
    <w:rsid w:val="00766CEB"/>
    <w:rsid w:val="00766E21"/>
    <w:rsid w:val="00766FCB"/>
    <w:rsid w:val="00767183"/>
    <w:rsid w:val="0076795D"/>
    <w:rsid w:val="00767EC0"/>
    <w:rsid w:val="0077064D"/>
    <w:rsid w:val="00770963"/>
    <w:rsid w:val="00770B48"/>
    <w:rsid w:val="00770EBB"/>
    <w:rsid w:val="00771BB1"/>
    <w:rsid w:val="007722FC"/>
    <w:rsid w:val="00772BE6"/>
    <w:rsid w:val="00772FF1"/>
    <w:rsid w:val="00773FB3"/>
    <w:rsid w:val="007747D0"/>
    <w:rsid w:val="00774822"/>
    <w:rsid w:val="00774AD5"/>
    <w:rsid w:val="00774E4F"/>
    <w:rsid w:val="00775525"/>
    <w:rsid w:val="007757C3"/>
    <w:rsid w:val="00775836"/>
    <w:rsid w:val="00775C71"/>
    <w:rsid w:val="00776414"/>
    <w:rsid w:val="00776A75"/>
    <w:rsid w:val="00776C06"/>
    <w:rsid w:val="00776DFA"/>
    <w:rsid w:val="00777611"/>
    <w:rsid w:val="00777D26"/>
    <w:rsid w:val="00780402"/>
    <w:rsid w:val="007804EF"/>
    <w:rsid w:val="00780540"/>
    <w:rsid w:val="00780674"/>
    <w:rsid w:val="007806FA"/>
    <w:rsid w:val="007808FC"/>
    <w:rsid w:val="00780A56"/>
    <w:rsid w:val="00780D2E"/>
    <w:rsid w:val="00781046"/>
    <w:rsid w:val="00781577"/>
    <w:rsid w:val="00781D4B"/>
    <w:rsid w:val="0078283A"/>
    <w:rsid w:val="00783805"/>
    <w:rsid w:val="00783951"/>
    <w:rsid w:val="00783C03"/>
    <w:rsid w:val="00783D06"/>
    <w:rsid w:val="007845FB"/>
    <w:rsid w:val="00784EB3"/>
    <w:rsid w:val="007851D5"/>
    <w:rsid w:val="00785232"/>
    <w:rsid w:val="0078538D"/>
    <w:rsid w:val="0078559F"/>
    <w:rsid w:val="0078640A"/>
    <w:rsid w:val="00786AAA"/>
    <w:rsid w:val="00787030"/>
    <w:rsid w:val="0078762F"/>
    <w:rsid w:val="00787C74"/>
    <w:rsid w:val="00787DB6"/>
    <w:rsid w:val="00790226"/>
    <w:rsid w:val="00790B12"/>
    <w:rsid w:val="00790BD8"/>
    <w:rsid w:val="007910F2"/>
    <w:rsid w:val="007913D1"/>
    <w:rsid w:val="0079143D"/>
    <w:rsid w:val="007917A7"/>
    <w:rsid w:val="0079194C"/>
    <w:rsid w:val="00792075"/>
    <w:rsid w:val="0079244E"/>
    <w:rsid w:val="00792B7C"/>
    <w:rsid w:val="00792B80"/>
    <w:rsid w:val="00792E06"/>
    <w:rsid w:val="00792E12"/>
    <w:rsid w:val="00792FB6"/>
    <w:rsid w:val="00793349"/>
    <w:rsid w:val="007934CA"/>
    <w:rsid w:val="00793B7B"/>
    <w:rsid w:val="00793B89"/>
    <w:rsid w:val="00793BC6"/>
    <w:rsid w:val="00793C3C"/>
    <w:rsid w:val="00793D34"/>
    <w:rsid w:val="00793F61"/>
    <w:rsid w:val="0079415E"/>
    <w:rsid w:val="007941F6"/>
    <w:rsid w:val="00794CE1"/>
    <w:rsid w:val="007952CE"/>
    <w:rsid w:val="007954A6"/>
    <w:rsid w:val="007954F9"/>
    <w:rsid w:val="00795CAE"/>
    <w:rsid w:val="00796500"/>
    <w:rsid w:val="00796B39"/>
    <w:rsid w:val="00796C07"/>
    <w:rsid w:val="00796F41"/>
    <w:rsid w:val="007975F3"/>
    <w:rsid w:val="00797F30"/>
    <w:rsid w:val="007A075D"/>
    <w:rsid w:val="007A0ADA"/>
    <w:rsid w:val="007A0EFD"/>
    <w:rsid w:val="007A142D"/>
    <w:rsid w:val="007A14F6"/>
    <w:rsid w:val="007A16FA"/>
    <w:rsid w:val="007A1A2A"/>
    <w:rsid w:val="007A21EB"/>
    <w:rsid w:val="007A266E"/>
    <w:rsid w:val="007A27DE"/>
    <w:rsid w:val="007A4EDA"/>
    <w:rsid w:val="007A5596"/>
    <w:rsid w:val="007A5AC3"/>
    <w:rsid w:val="007A5C58"/>
    <w:rsid w:val="007A5E6D"/>
    <w:rsid w:val="007A5F2B"/>
    <w:rsid w:val="007A6EB0"/>
    <w:rsid w:val="007A701D"/>
    <w:rsid w:val="007A78A4"/>
    <w:rsid w:val="007A798D"/>
    <w:rsid w:val="007A7FDF"/>
    <w:rsid w:val="007B08BE"/>
    <w:rsid w:val="007B0935"/>
    <w:rsid w:val="007B0A78"/>
    <w:rsid w:val="007B0B45"/>
    <w:rsid w:val="007B113D"/>
    <w:rsid w:val="007B1261"/>
    <w:rsid w:val="007B1A93"/>
    <w:rsid w:val="007B2FCA"/>
    <w:rsid w:val="007B3861"/>
    <w:rsid w:val="007B39AC"/>
    <w:rsid w:val="007B3BA1"/>
    <w:rsid w:val="007B44EB"/>
    <w:rsid w:val="007B4FC2"/>
    <w:rsid w:val="007B58EB"/>
    <w:rsid w:val="007B6105"/>
    <w:rsid w:val="007B720C"/>
    <w:rsid w:val="007B75AD"/>
    <w:rsid w:val="007B79B2"/>
    <w:rsid w:val="007B7E95"/>
    <w:rsid w:val="007C0455"/>
    <w:rsid w:val="007C0A51"/>
    <w:rsid w:val="007C1238"/>
    <w:rsid w:val="007C13DD"/>
    <w:rsid w:val="007C1636"/>
    <w:rsid w:val="007C1669"/>
    <w:rsid w:val="007C1902"/>
    <w:rsid w:val="007C1A9D"/>
    <w:rsid w:val="007C1D47"/>
    <w:rsid w:val="007C1E7A"/>
    <w:rsid w:val="007C2459"/>
    <w:rsid w:val="007C2530"/>
    <w:rsid w:val="007C2D4C"/>
    <w:rsid w:val="007C3697"/>
    <w:rsid w:val="007C36C9"/>
    <w:rsid w:val="007C3E0E"/>
    <w:rsid w:val="007C3F6F"/>
    <w:rsid w:val="007C4933"/>
    <w:rsid w:val="007C5087"/>
    <w:rsid w:val="007C5163"/>
    <w:rsid w:val="007C5A83"/>
    <w:rsid w:val="007C66EC"/>
    <w:rsid w:val="007C66FC"/>
    <w:rsid w:val="007C6A4B"/>
    <w:rsid w:val="007C6D75"/>
    <w:rsid w:val="007C6DCB"/>
    <w:rsid w:val="007C719D"/>
    <w:rsid w:val="007C72FE"/>
    <w:rsid w:val="007C76F0"/>
    <w:rsid w:val="007C7700"/>
    <w:rsid w:val="007C7F7F"/>
    <w:rsid w:val="007D003C"/>
    <w:rsid w:val="007D01F7"/>
    <w:rsid w:val="007D0603"/>
    <w:rsid w:val="007D0962"/>
    <w:rsid w:val="007D0AE0"/>
    <w:rsid w:val="007D0ED6"/>
    <w:rsid w:val="007D10BC"/>
    <w:rsid w:val="007D1A3B"/>
    <w:rsid w:val="007D1B72"/>
    <w:rsid w:val="007D1E60"/>
    <w:rsid w:val="007D331B"/>
    <w:rsid w:val="007D3708"/>
    <w:rsid w:val="007D4151"/>
    <w:rsid w:val="007D43A0"/>
    <w:rsid w:val="007D4458"/>
    <w:rsid w:val="007D4543"/>
    <w:rsid w:val="007D4DFD"/>
    <w:rsid w:val="007D6401"/>
    <w:rsid w:val="007D64CE"/>
    <w:rsid w:val="007D6CAA"/>
    <w:rsid w:val="007D7173"/>
    <w:rsid w:val="007D73C4"/>
    <w:rsid w:val="007D7633"/>
    <w:rsid w:val="007D7744"/>
    <w:rsid w:val="007D7C48"/>
    <w:rsid w:val="007E003F"/>
    <w:rsid w:val="007E01E4"/>
    <w:rsid w:val="007E01EA"/>
    <w:rsid w:val="007E03F8"/>
    <w:rsid w:val="007E046A"/>
    <w:rsid w:val="007E0663"/>
    <w:rsid w:val="007E13F3"/>
    <w:rsid w:val="007E149E"/>
    <w:rsid w:val="007E16E1"/>
    <w:rsid w:val="007E22CA"/>
    <w:rsid w:val="007E2A34"/>
    <w:rsid w:val="007E376C"/>
    <w:rsid w:val="007E39A3"/>
    <w:rsid w:val="007E46FB"/>
    <w:rsid w:val="007E4BA6"/>
    <w:rsid w:val="007E4BEA"/>
    <w:rsid w:val="007E5166"/>
    <w:rsid w:val="007E5957"/>
    <w:rsid w:val="007E6098"/>
    <w:rsid w:val="007E61B0"/>
    <w:rsid w:val="007E6BF7"/>
    <w:rsid w:val="007F0213"/>
    <w:rsid w:val="007F0313"/>
    <w:rsid w:val="007F03CD"/>
    <w:rsid w:val="007F0847"/>
    <w:rsid w:val="007F17FD"/>
    <w:rsid w:val="007F1B07"/>
    <w:rsid w:val="007F1ED3"/>
    <w:rsid w:val="007F203E"/>
    <w:rsid w:val="007F21F2"/>
    <w:rsid w:val="007F242C"/>
    <w:rsid w:val="007F2967"/>
    <w:rsid w:val="007F358F"/>
    <w:rsid w:val="007F3E5F"/>
    <w:rsid w:val="007F3FED"/>
    <w:rsid w:val="007F5939"/>
    <w:rsid w:val="007F5D3E"/>
    <w:rsid w:val="007F5E2A"/>
    <w:rsid w:val="007F68E4"/>
    <w:rsid w:val="007F7107"/>
    <w:rsid w:val="007F7196"/>
    <w:rsid w:val="007F74FF"/>
    <w:rsid w:val="007F796D"/>
    <w:rsid w:val="00800314"/>
    <w:rsid w:val="0080089C"/>
    <w:rsid w:val="00800D4C"/>
    <w:rsid w:val="008015E3"/>
    <w:rsid w:val="00801734"/>
    <w:rsid w:val="00801B87"/>
    <w:rsid w:val="008020F1"/>
    <w:rsid w:val="0080271A"/>
    <w:rsid w:val="00802729"/>
    <w:rsid w:val="00802778"/>
    <w:rsid w:val="00802BF3"/>
    <w:rsid w:val="00802DFD"/>
    <w:rsid w:val="008030AB"/>
    <w:rsid w:val="008030B3"/>
    <w:rsid w:val="00803256"/>
    <w:rsid w:val="00803258"/>
    <w:rsid w:val="008034A8"/>
    <w:rsid w:val="0080380E"/>
    <w:rsid w:val="00803E19"/>
    <w:rsid w:val="0080427F"/>
    <w:rsid w:val="00804B00"/>
    <w:rsid w:val="00805434"/>
    <w:rsid w:val="00805641"/>
    <w:rsid w:val="0080601B"/>
    <w:rsid w:val="00807A75"/>
    <w:rsid w:val="008101C9"/>
    <w:rsid w:val="0081030F"/>
    <w:rsid w:val="00810840"/>
    <w:rsid w:val="008109C3"/>
    <w:rsid w:val="00810B58"/>
    <w:rsid w:val="00810BF9"/>
    <w:rsid w:val="00810D77"/>
    <w:rsid w:val="00810FC3"/>
    <w:rsid w:val="008115CE"/>
    <w:rsid w:val="00812D81"/>
    <w:rsid w:val="00812E7C"/>
    <w:rsid w:val="00813020"/>
    <w:rsid w:val="00813F4B"/>
    <w:rsid w:val="008143A4"/>
    <w:rsid w:val="00814645"/>
    <w:rsid w:val="0081474A"/>
    <w:rsid w:val="008148C9"/>
    <w:rsid w:val="00814BAA"/>
    <w:rsid w:val="008151A1"/>
    <w:rsid w:val="008151A9"/>
    <w:rsid w:val="00815CB0"/>
    <w:rsid w:val="00816377"/>
    <w:rsid w:val="00816D1F"/>
    <w:rsid w:val="00816F0D"/>
    <w:rsid w:val="008178DA"/>
    <w:rsid w:val="00817FEA"/>
    <w:rsid w:val="0082087D"/>
    <w:rsid w:val="0082092F"/>
    <w:rsid w:val="008210D8"/>
    <w:rsid w:val="008214EA"/>
    <w:rsid w:val="00821D81"/>
    <w:rsid w:val="008229D2"/>
    <w:rsid w:val="00823AC1"/>
    <w:rsid w:val="00823F9D"/>
    <w:rsid w:val="00823FE4"/>
    <w:rsid w:val="00824ADD"/>
    <w:rsid w:val="00824BAC"/>
    <w:rsid w:val="00824C05"/>
    <w:rsid w:val="00825897"/>
    <w:rsid w:val="00825EEA"/>
    <w:rsid w:val="00826156"/>
    <w:rsid w:val="00826318"/>
    <w:rsid w:val="00826C4E"/>
    <w:rsid w:val="008274FA"/>
    <w:rsid w:val="0082759F"/>
    <w:rsid w:val="00830165"/>
    <w:rsid w:val="00830FC5"/>
    <w:rsid w:val="008310FA"/>
    <w:rsid w:val="0083139C"/>
    <w:rsid w:val="00831689"/>
    <w:rsid w:val="00832AC4"/>
    <w:rsid w:val="00832DC6"/>
    <w:rsid w:val="00832EE2"/>
    <w:rsid w:val="00832F39"/>
    <w:rsid w:val="008330FB"/>
    <w:rsid w:val="00833508"/>
    <w:rsid w:val="00833A6D"/>
    <w:rsid w:val="00833F3F"/>
    <w:rsid w:val="00833F8D"/>
    <w:rsid w:val="00834078"/>
    <w:rsid w:val="00834A2C"/>
    <w:rsid w:val="00834B23"/>
    <w:rsid w:val="00834E61"/>
    <w:rsid w:val="00835275"/>
    <w:rsid w:val="00835547"/>
    <w:rsid w:val="0083559B"/>
    <w:rsid w:val="00835771"/>
    <w:rsid w:val="0083585A"/>
    <w:rsid w:val="0083596C"/>
    <w:rsid w:val="00835BFC"/>
    <w:rsid w:val="00835D6F"/>
    <w:rsid w:val="008365B8"/>
    <w:rsid w:val="00836CC1"/>
    <w:rsid w:val="00836CC6"/>
    <w:rsid w:val="008370FD"/>
    <w:rsid w:val="00837FB1"/>
    <w:rsid w:val="00837FBF"/>
    <w:rsid w:val="00840091"/>
    <w:rsid w:val="008402B9"/>
    <w:rsid w:val="00840424"/>
    <w:rsid w:val="008405FE"/>
    <w:rsid w:val="008424DD"/>
    <w:rsid w:val="00842933"/>
    <w:rsid w:val="00844894"/>
    <w:rsid w:val="00844E84"/>
    <w:rsid w:val="00845344"/>
    <w:rsid w:val="0084538A"/>
    <w:rsid w:val="008457AC"/>
    <w:rsid w:val="00845CA2"/>
    <w:rsid w:val="00845CBE"/>
    <w:rsid w:val="00845F9C"/>
    <w:rsid w:val="00846228"/>
    <w:rsid w:val="008477D6"/>
    <w:rsid w:val="00847AAB"/>
    <w:rsid w:val="00847BE9"/>
    <w:rsid w:val="00847D76"/>
    <w:rsid w:val="008501D2"/>
    <w:rsid w:val="0085071F"/>
    <w:rsid w:val="00850AB8"/>
    <w:rsid w:val="0085150B"/>
    <w:rsid w:val="00851B34"/>
    <w:rsid w:val="00851C42"/>
    <w:rsid w:val="00852614"/>
    <w:rsid w:val="00852942"/>
    <w:rsid w:val="00853838"/>
    <w:rsid w:val="008538E1"/>
    <w:rsid w:val="00853C40"/>
    <w:rsid w:val="0085460F"/>
    <w:rsid w:val="0085472B"/>
    <w:rsid w:val="0085480D"/>
    <w:rsid w:val="00854BF6"/>
    <w:rsid w:val="00854FEA"/>
    <w:rsid w:val="008555AB"/>
    <w:rsid w:val="0085650A"/>
    <w:rsid w:val="00856D03"/>
    <w:rsid w:val="00857064"/>
    <w:rsid w:val="00857101"/>
    <w:rsid w:val="0086082C"/>
    <w:rsid w:val="00860F85"/>
    <w:rsid w:val="00860FFE"/>
    <w:rsid w:val="00861563"/>
    <w:rsid w:val="0086162B"/>
    <w:rsid w:val="008616B5"/>
    <w:rsid w:val="00861EBF"/>
    <w:rsid w:val="0086324F"/>
    <w:rsid w:val="00863883"/>
    <w:rsid w:val="00863D48"/>
    <w:rsid w:val="00863E91"/>
    <w:rsid w:val="00864276"/>
    <w:rsid w:val="00864ADC"/>
    <w:rsid w:val="0086572D"/>
    <w:rsid w:val="00865F22"/>
    <w:rsid w:val="00866AA2"/>
    <w:rsid w:val="0086725F"/>
    <w:rsid w:val="008677B7"/>
    <w:rsid w:val="00867D0A"/>
    <w:rsid w:val="00867E8B"/>
    <w:rsid w:val="00870454"/>
    <w:rsid w:val="008712A8"/>
    <w:rsid w:val="008719E4"/>
    <w:rsid w:val="008720A9"/>
    <w:rsid w:val="008720F2"/>
    <w:rsid w:val="00872823"/>
    <w:rsid w:val="0087310B"/>
    <w:rsid w:val="00873155"/>
    <w:rsid w:val="008741FA"/>
    <w:rsid w:val="00874C3F"/>
    <w:rsid w:val="00874CAA"/>
    <w:rsid w:val="00875026"/>
    <w:rsid w:val="008752AF"/>
    <w:rsid w:val="00875ED7"/>
    <w:rsid w:val="00876E5B"/>
    <w:rsid w:val="00877457"/>
    <w:rsid w:val="008775EE"/>
    <w:rsid w:val="00877B5A"/>
    <w:rsid w:val="00877C55"/>
    <w:rsid w:val="00880059"/>
    <w:rsid w:val="00880153"/>
    <w:rsid w:val="008802DC"/>
    <w:rsid w:val="00880366"/>
    <w:rsid w:val="0088056A"/>
    <w:rsid w:val="00880A60"/>
    <w:rsid w:val="00880B56"/>
    <w:rsid w:val="00880E21"/>
    <w:rsid w:val="00880F97"/>
    <w:rsid w:val="008810B5"/>
    <w:rsid w:val="0088133A"/>
    <w:rsid w:val="00881341"/>
    <w:rsid w:val="00881C01"/>
    <w:rsid w:val="00882F50"/>
    <w:rsid w:val="00883210"/>
    <w:rsid w:val="008832C1"/>
    <w:rsid w:val="00884361"/>
    <w:rsid w:val="00884B4D"/>
    <w:rsid w:val="008873D4"/>
    <w:rsid w:val="00887691"/>
    <w:rsid w:val="008907AE"/>
    <w:rsid w:val="008911C5"/>
    <w:rsid w:val="0089285E"/>
    <w:rsid w:val="0089325F"/>
    <w:rsid w:val="00893A98"/>
    <w:rsid w:val="0089436C"/>
    <w:rsid w:val="00894AD4"/>
    <w:rsid w:val="00894C3D"/>
    <w:rsid w:val="00895642"/>
    <w:rsid w:val="00895A22"/>
    <w:rsid w:val="00895BCE"/>
    <w:rsid w:val="0089666C"/>
    <w:rsid w:val="0089679E"/>
    <w:rsid w:val="008974E6"/>
    <w:rsid w:val="00897F35"/>
    <w:rsid w:val="008A0264"/>
    <w:rsid w:val="008A0F84"/>
    <w:rsid w:val="008A10C3"/>
    <w:rsid w:val="008A1583"/>
    <w:rsid w:val="008A18B0"/>
    <w:rsid w:val="008A217A"/>
    <w:rsid w:val="008A27AA"/>
    <w:rsid w:val="008A31AD"/>
    <w:rsid w:val="008A3B2C"/>
    <w:rsid w:val="008A3B7C"/>
    <w:rsid w:val="008A4173"/>
    <w:rsid w:val="008A41ED"/>
    <w:rsid w:val="008A439F"/>
    <w:rsid w:val="008A49F5"/>
    <w:rsid w:val="008A4BB3"/>
    <w:rsid w:val="008A4E25"/>
    <w:rsid w:val="008A54EB"/>
    <w:rsid w:val="008A62E2"/>
    <w:rsid w:val="008A66DA"/>
    <w:rsid w:val="008A6729"/>
    <w:rsid w:val="008A6F0C"/>
    <w:rsid w:val="008A6FFD"/>
    <w:rsid w:val="008A7304"/>
    <w:rsid w:val="008A732E"/>
    <w:rsid w:val="008A735E"/>
    <w:rsid w:val="008A756C"/>
    <w:rsid w:val="008A7E00"/>
    <w:rsid w:val="008B0BD4"/>
    <w:rsid w:val="008B0DDD"/>
    <w:rsid w:val="008B1659"/>
    <w:rsid w:val="008B233C"/>
    <w:rsid w:val="008B2484"/>
    <w:rsid w:val="008B2EDC"/>
    <w:rsid w:val="008B2F67"/>
    <w:rsid w:val="008B31BF"/>
    <w:rsid w:val="008B3499"/>
    <w:rsid w:val="008B34D1"/>
    <w:rsid w:val="008B3BE1"/>
    <w:rsid w:val="008B3E8D"/>
    <w:rsid w:val="008B432F"/>
    <w:rsid w:val="008B4F4C"/>
    <w:rsid w:val="008B50B5"/>
    <w:rsid w:val="008B5568"/>
    <w:rsid w:val="008B59ED"/>
    <w:rsid w:val="008B6341"/>
    <w:rsid w:val="008B66F7"/>
    <w:rsid w:val="008B6B2E"/>
    <w:rsid w:val="008B6ECD"/>
    <w:rsid w:val="008B71D8"/>
    <w:rsid w:val="008B72D7"/>
    <w:rsid w:val="008B7475"/>
    <w:rsid w:val="008B7551"/>
    <w:rsid w:val="008B79C2"/>
    <w:rsid w:val="008B7CFB"/>
    <w:rsid w:val="008C02B7"/>
    <w:rsid w:val="008C0443"/>
    <w:rsid w:val="008C12CE"/>
    <w:rsid w:val="008C1804"/>
    <w:rsid w:val="008C2040"/>
    <w:rsid w:val="008C266A"/>
    <w:rsid w:val="008C29F3"/>
    <w:rsid w:val="008C41AD"/>
    <w:rsid w:val="008C41C6"/>
    <w:rsid w:val="008C46CC"/>
    <w:rsid w:val="008C48A6"/>
    <w:rsid w:val="008C48F4"/>
    <w:rsid w:val="008C4A56"/>
    <w:rsid w:val="008C4DC8"/>
    <w:rsid w:val="008C5C84"/>
    <w:rsid w:val="008C5CD0"/>
    <w:rsid w:val="008C5F89"/>
    <w:rsid w:val="008C632F"/>
    <w:rsid w:val="008C6CF4"/>
    <w:rsid w:val="008C70CB"/>
    <w:rsid w:val="008C7164"/>
    <w:rsid w:val="008C75A9"/>
    <w:rsid w:val="008C7947"/>
    <w:rsid w:val="008D059B"/>
    <w:rsid w:val="008D0790"/>
    <w:rsid w:val="008D0C61"/>
    <w:rsid w:val="008D0CD1"/>
    <w:rsid w:val="008D156E"/>
    <w:rsid w:val="008D198F"/>
    <w:rsid w:val="008D1A7E"/>
    <w:rsid w:val="008D1C10"/>
    <w:rsid w:val="008D1E18"/>
    <w:rsid w:val="008D20BE"/>
    <w:rsid w:val="008D28E1"/>
    <w:rsid w:val="008D3005"/>
    <w:rsid w:val="008D3376"/>
    <w:rsid w:val="008D365C"/>
    <w:rsid w:val="008D36DB"/>
    <w:rsid w:val="008D3AED"/>
    <w:rsid w:val="008D3E50"/>
    <w:rsid w:val="008D4363"/>
    <w:rsid w:val="008D57A9"/>
    <w:rsid w:val="008D6207"/>
    <w:rsid w:val="008D6464"/>
    <w:rsid w:val="008D7464"/>
    <w:rsid w:val="008D76FD"/>
    <w:rsid w:val="008D7ED8"/>
    <w:rsid w:val="008E06D7"/>
    <w:rsid w:val="008E0B88"/>
    <w:rsid w:val="008E12AB"/>
    <w:rsid w:val="008E1D01"/>
    <w:rsid w:val="008E215C"/>
    <w:rsid w:val="008E23C5"/>
    <w:rsid w:val="008E2B8F"/>
    <w:rsid w:val="008E335B"/>
    <w:rsid w:val="008E3374"/>
    <w:rsid w:val="008E3572"/>
    <w:rsid w:val="008E3B08"/>
    <w:rsid w:val="008E3BE9"/>
    <w:rsid w:val="008E40AA"/>
    <w:rsid w:val="008E4F21"/>
    <w:rsid w:val="008E53EA"/>
    <w:rsid w:val="008E602C"/>
    <w:rsid w:val="008E619C"/>
    <w:rsid w:val="008E6429"/>
    <w:rsid w:val="008E6600"/>
    <w:rsid w:val="008E66BA"/>
    <w:rsid w:val="008E6B98"/>
    <w:rsid w:val="008E6D5A"/>
    <w:rsid w:val="008E6E08"/>
    <w:rsid w:val="008E78A3"/>
    <w:rsid w:val="008E7C69"/>
    <w:rsid w:val="008F0282"/>
    <w:rsid w:val="008F08DC"/>
    <w:rsid w:val="008F174D"/>
    <w:rsid w:val="008F2411"/>
    <w:rsid w:val="008F2A95"/>
    <w:rsid w:val="008F2FF2"/>
    <w:rsid w:val="008F35F2"/>
    <w:rsid w:val="008F36A2"/>
    <w:rsid w:val="008F4661"/>
    <w:rsid w:val="008F4E50"/>
    <w:rsid w:val="008F52CC"/>
    <w:rsid w:val="008F5C25"/>
    <w:rsid w:val="008F5DD1"/>
    <w:rsid w:val="008F6283"/>
    <w:rsid w:val="008F646D"/>
    <w:rsid w:val="008F671F"/>
    <w:rsid w:val="008F7155"/>
    <w:rsid w:val="008F73EE"/>
    <w:rsid w:val="008F7417"/>
    <w:rsid w:val="008F7DC2"/>
    <w:rsid w:val="00900597"/>
    <w:rsid w:val="00900BDD"/>
    <w:rsid w:val="00900CB5"/>
    <w:rsid w:val="009015AC"/>
    <w:rsid w:val="00901642"/>
    <w:rsid w:val="00902209"/>
    <w:rsid w:val="009025C0"/>
    <w:rsid w:val="00902942"/>
    <w:rsid w:val="00902EF1"/>
    <w:rsid w:val="009030BF"/>
    <w:rsid w:val="009031E7"/>
    <w:rsid w:val="0090349D"/>
    <w:rsid w:val="009034B4"/>
    <w:rsid w:val="009034CC"/>
    <w:rsid w:val="00903A8C"/>
    <w:rsid w:val="00903F32"/>
    <w:rsid w:val="0090486A"/>
    <w:rsid w:val="00904B0F"/>
    <w:rsid w:val="00904FA4"/>
    <w:rsid w:val="00904FF2"/>
    <w:rsid w:val="0090540E"/>
    <w:rsid w:val="009075D6"/>
    <w:rsid w:val="00907977"/>
    <w:rsid w:val="00907DD0"/>
    <w:rsid w:val="009101D6"/>
    <w:rsid w:val="009102E4"/>
    <w:rsid w:val="0091032F"/>
    <w:rsid w:val="00910812"/>
    <w:rsid w:val="009108A8"/>
    <w:rsid w:val="0091097B"/>
    <w:rsid w:val="00911A20"/>
    <w:rsid w:val="00911A39"/>
    <w:rsid w:val="00911B22"/>
    <w:rsid w:val="00911C2D"/>
    <w:rsid w:val="009120D3"/>
    <w:rsid w:val="00912432"/>
    <w:rsid w:val="00912928"/>
    <w:rsid w:val="00913519"/>
    <w:rsid w:val="00913E46"/>
    <w:rsid w:val="00914343"/>
    <w:rsid w:val="00914368"/>
    <w:rsid w:val="00914F60"/>
    <w:rsid w:val="00915174"/>
    <w:rsid w:val="00915348"/>
    <w:rsid w:val="00915601"/>
    <w:rsid w:val="00915940"/>
    <w:rsid w:val="00915BCA"/>
    <w:rsid w:val="00916848"/>
    <w:rsid w:val="00916976"/>
    <w:rsid w:val="00916E0A"/>
    <w:rsid w:val="009205E4"/>
    <w:rsid w:val="00920820"/>
    <w:rsid w:val="00920893"/>
    <w:rsid w:val="009208A7"/>
    <w:rsid w:val="00920BE3"/>
    <w:rsid w:val="00920D05"/>
    <w:rsid w:val="0092126C"/>
    <w:rsid w:val="0092128B"/>
    <w:rsid w:val="00921739"/>
    <w:rsid w:val="0092180F"/>
    <w:rsid w:val="00922B2C"/>
    <w:rsid w:val="00922D76"/>
    <w:rsid w:val="009234E8"/>
    <w:rsid w:val="00923A5A"/>
    <w:rsid w:val="009240D9"/>
    <w:rsid w:val="00924529"/>
    <w:rsid w:val="00924B00"/>
    <w:rsid w:val="00924C23"/>
    <w:rsid w:val="00925F45"/>
    <w:rsid w:val="00926979"/>
    <w:rsid w:val="00926A69"/>
    <w:rsid w:val="00927478"/>
    <w:rsid w:val="00927663"/>
    <w:rsid w:val="00927773"/>
    <w:rsid w:val="00927B6B"/>
    <w:rsid w:val="00927DB8"/>
    <w:rsid w:val="00927DC2"/>
    <w:rsid w:val="00930377"/>
    <w:rsid w:val="00930B1C"/>
    <w:rsid w:val="00930DC2"/>
    <w:rsid w:val="00931076"/>
    <w:rsid w:val="00932869"/>
    <w:rsid w:val="009329C6"/>
    <w:rsid w:val="00932AE2"/>
    <w:rsid w:val="00933C81"/>
    <w:rsid w:val="00933F9B"/>
    <w:rsid w:val="00934043"/>
    <w:rsid w:val="009345D9"/>
    <w:rsid w:val="00934B15"/>
    <w:rsid w:val="00934B96"/>
    <w:rsid w:val="0093552C"/>
    <w:rsid w:val="00935FD5"/>
    <w:rsid w:val="009360AF"/>
    <w:rsid w:val="00936655"/>
    <w:rsid w:val="00936E21"/>
    <w:rsid w:val="00937196"/>
    <w:rsid w:val="009371EC"/>
    <w:rsid w:val="00937371"/>
    <w:rsid w:val="00940C87"/>
    <w:rsid w:val="00940EDC"/>
    <w:rsid w:val="00941437"/>
    <w:rsid w:val="009414BE"/>
    <w:rsid w:val="009419B8"/>
    <w:rsid w:val="00941EAC"/>
    <w:rsid w:val="00941FF9"/>
    <w:rsid w:val="00942261"/>
    <w:rsid w:val="00942B62"/>
    <w:rsid w:val="00942EFB"/>
    <w:rsid w:val="00943CF6"/>
    <w:rsid w:val="00943FDE"/>
    <w:rsid w:val="009443DE"/>
    <w:rsid w:val="00944D8A"/>
    <w:rsid w:val="00944DD3"/>
    <w:rsid w:val="00944EA2"/>
    <w:rsid w:val="00944F3A"/>
    <w:rsid w:val="009455D5"/>
    <w:rsid w:val="009462BD"/>
    <w:rsid w:val="0094652D"/>
    <w:rsid w:val="00946756"/>
    <w:rsid w:val="00946778"/>
    <w:rsid w:val="0094686F"/>
    <w:rsid w:val="00946991"/>
    <w:rsid w:val="00947D39"/>
    <w:rsid w:val="00950533"/>
    <w:rsid w:val="00950C4C"/>
    <w:rsid w:val="00950D7F"/>
    <w:rsid w:val="0095159B"/>
    <w:rsid w:val="00951AEF"/>
    <w:rsid w:val="00951B1B"/>
    <w:rsid w:val="00952987"/>
    <w:rsid w:val="00952DA6"/>
    <w:rsid w:val="0095323B"/>
    <w:rsid w:val="00953646"/>
    <w:rsid w:val="009545FA"/>
    <w:rsid w:val="00954F39"/>
    <w:rsid w:val="00955147"/>
    <w:rsid w:val="009551E2"/>
    <w:rsid w:val="00955FC1"/>
    <w:rsid w:val="00956547"/>
    <w:rsid w:val="00956A0C"/>
    <w:rsid w:val="00956BD9"/>
    <w:rsid w:val="009576DD"/>
    <w:rsid w:val="0095795B"/>
    <w:rsid w:val="00957F69"/>
    <w:rsid w:val="00960837"/>
    <w:rsid w:val="00961683"/>
    <w:rsid w:val="00961BB7"/>
    <w:rsid w:val="00961E6B"/>
    <w:rsid w:val="00962489"/>
    <w:rsid w:val="009625D6"/>
    <w:rsid w:val="00962861"/>
    <w:rsid w:val="00962CDE"/>
    <w:rsid w:val="00962FAE"/>
    <w:rsid w:val="00963076"/>
    <w:rsid w:val="00963999"/>
    <w:rsid w:val="00963A7F"/>
    <w:rsid w:val="00963B83"/>
    <w:rsid w:val="00964881"/>
    <w:rsid w:val="009648E8"/>
    <w:rsid w:val="00964CCB"/>
    <w:rsid w:val="00964D59"/>
    <w:rsid w:val="00964F08"/>
    <w:rsid w:val="009651D6"/>
    <w:rsid w:val="00965202"/>
    <w:rsid w:val="00965287"/>
    <w:rsid w:val="00965514"/>
    <w:rsid w:val="009655F5"/>
    <w:rsid w:val="00965617"/>
    <w:rsid w:val="009659AD"/>
    <w:rsid w:val="00966120"/>
    <w:rsid w:val="00966D4A"/>
    <w:rsid w:val="00966E7C"/>
    <w:rsid w:val="009670D0"/>
    <w:rsid w:val="00967367"/>
    <w:rsid w:val="0096738D"/>
    <w:rsid w:val="009674FD"/>
    <w:rsid w:val="00967801"/>
    <w:rsid w:val="00967D8C"/>
    <w:rsid w:val="00967E18"/>
    <w:rsid w:val="00970017"/>
    <w:rsid w:val="009704E7"/>
    <w:rsid w:val="00970814"/>
    <w:rsid w:val="0097094A"/>
    <w:rsid w:val="00970EB3"/>
    <w:rsid w:val="00971B9E"/>
    <w:rsid w:val="00971E7B"/>
    <w:rsid w:val="00971F01"/>
    <w:rsid w:val="00972084"/>
    <w:rsid w:val="009723FA"/>
    <w:rsid w:val="0097257A"/>
    <w:rsid w:val="00972BCF"/>
    <w:rsid w:val="00972BFA"/>
    <w:rsid w:val="00972CF5"/>
    <w:rsid w:val="009735EA"/>
    <w:rsid w:val="00973D4A"/>
    <w:rsid w:val="00973FA9"/>
    <w:rsid w:val="009747BC"/>
    <w:rsid w:val="009748EE"/>
    <w:rsid w:val="00974A04"/>
    <w:rsid w:val="00974C0D"/>
    <w:rsid w:val="0097524E"/>
    <w:rsid w:val="00975ABA"/>
    <w:rsid w:val="00976AAF"/>
    <w:rsid w:val="00976E17"/>
    <w:rsid w:val="00977E33"/>
    <w:rsid w:val="00980064"/>
    <w:rsid w:val="009801D8"/>
    <w:rsid w:val="0098092D"/>
    <w:rsid w:val="00980B0D"/>
    <w:rsid w:val="00980EA3"/>
    <w:rsid w:val="00981C0B"/>
    <w:rsid w:val="009829CD"/>
    <w:rsid w:val="00982CC6"/>
    <w:rsid w:val="00983087"/>
    <w:rsid w:val="0098330C"/>
    <w:rsid w:val="00983679"/>
    <w:rsid w:val="00983BE4"/>
    <w:rsid w:val="00983E60"/>
    <w:rsid w:val="00984442"/>
    <w:rsid w:val="009844BB"/>
    <w:rsid w:val="0098458C"/>
    <w:rsid w:val="00984A80"/>
    <w:rsid w:val="00985074"/>
    <w:rsid w:val="00985C67"/>
    <w:rsid w:val="00985CBD"/>
    <w:rsid w:val="00986A72"/>
    <w:rsid w:val="00986C6D"/>
    <w:rsid w:val="00987F9C"/>
    <w:rsid w:val="0099020A"/>
    <w:rsid w:val="00990606"/>
    <w:rsid w:val="00990AEA"/>
    <w:rsid w:val="00990C2C"/>
    <w:rsid w:val="0099135B"/>
    <w:rsid w:val="009919F8"/>
    <w:rsid w:val="00991DB6"/>
    <w:rsid w:val="0099224D"/>
    <w:rsid w:val="009924CA"/>
    <w:rsid w:val="00992F97"/>
    <w:rsid w:val="0099377A"/>
    <w:rsid w:val="0099391F"/>
    <w:rsid w:val="00993D60"/>
    <w:rsid w:val="0099427C"/>
    <w:rsid w:val="009944CF"/>
    <w:rsid w:val="009953BB"/>
    <w:rsid w:val="00996B48"/>
    <w:rsid w:val="009A0290"/>
    <w:rsid w:val="009A0A46"/>
    <w:rsid w:val="009A1445"/>
    <w:rsid w:val="009A1E1A"/>
    <w:rsid w:val="009A23B7"/>
    <w:rsid w:val="009A32F0"/>
    <w:rsid w:val="009A3963"/>
    <w:rsid w:val="009A3990"/>
    <w:rsid w:val="009A3B6F"/>
    <w:rsid w:val="009A3C43"/>
    <w:rsid w:val="009A3D0F"/>
    <w:rsid w:val="009A41BC"/>
    <w:rsid w:val="009A4345"/>
    <w:rsid w:val="009A4688"/>
    <w:rsid w:val="009A4B3C"/>
    <w:rsid w:val="009A56EB"/>
    <w:rsid w:val="009A5EAA"/>
    <w:rsid w:val="009A5EF7"/>
    <w:rsid w:val="009A608A"/>
    <w:rsid w:val="009A68C4"/>
    <w:rsid w:val="009A6A44"/>
    <w:rsid w:val="009A6C13"/>
    <w:rsid w:val="009A6CC2"/>
    <w:rsid w:val="009A6F0B"/>
    <w:rsid w:val="009A70C6"/>
    <w:rsid w:val="009A7137"/>
    <w:rsid w:val="009A7510"/>
    <w:rsid w:val="009A7876"/>
    <w:rsid w:val="009A78B9"/>
    <w:rsid w:val="009B044B"/>
    <w:rsid w:val="009B110F"/>
    <w:rsid w:val="009B11F6"/>
    <w:rsid w:val="009B140F"/>
    <w:rsid w:val="009B231F"/>
    <w:rsid w:val="009B2BAA"/>
    <w:rsid w:val="009B3707"/>
    <w:rsid w:val="009B4B70"/>
    <w:rsid w:val="009B4C82"/>
    <w:rsid w:val="009B5584"/>
    <w:rsid w:val="009B575A"/>
    <w:rsid w:val="009B585D"/>
    <w:rsid w:val="009B5B39"/>
    <w:rsid w:val="009B5E6C"/>
    <w:rsid w:val="009B5FD7"/>
    <w:rsid w:val="009B6961"/>
    <w:rsid w:val="009B6D41"/>
    <w:rsid w:val="009B6EAD"/>
    <w:rsid w:val="009C0EB1"/>
    <w:rsid w:val="009C0EF0"/>
    <w:rsid w:val="009C116F"/>
    <w:rsid w:val="009C187C"/>
    <w:rsid w:val="009C211D"/>
    <w:rsid w:val="009C2212"/>
    <w:rsid w:val="009C3491"/>
    <w:rsid w:val="009C3BD6"/>
    <w:rsid w:val="009C3D08"/>
    <w:rsid w:val="009C43A6"/>
    <w:rsid w:val="009C465C"/>
    <w:rsid w:val="009C47D4"/>
    <w:rsid w:val="009C4EB7"/>
    <w:rsid w:val="009C4F6A"/>
    <w:rsid w:val="009C55DD"/>
    <w:rsid w:val="009C6DE5"/>
    <w:rsid w:val="009C736D"/>
    <w:rsid w:val="009C76E8"/>
    <w:rsid w:val="009D03C5"/>
    <w:rsid w:val="009D098F"/>
    <w:rsid w:val="009D1091"/>
    <w:rsid w:val="009D1BAA"/>
    <w:rsid w:val="009D1EC5"/>
    <w:rsid w:val="009D2490"/>
    <w:rsid w:val="009D3115"/>
    <w:rsid w:val="009D35BF"/>
    <w:rsid w:val="009D360F"/>
    <w:rsid w:val="009D37A1"/>
    <w:rsid w:val="009D3900"/>
    <w:rsid w:val="009D4201"/>
    <w:rsid w:val="009D47A2"/>
    <w:rsid w:val="009D4991"/>
    <w:rsid w:val="009D4B8E"/>
    <w:rsid w:val="009D4CA9"/>
    <w:rsid w:val="009D5A01"/>
    <w:rsid w:val="009D6048"/>
    <w:rsid w:val="009D62E7"/>
    <w:rsid w:val="009D6363"/>
    <w:rsid w:val="009D6C2E"/>
    <w:rsid w:val="009D6C90"/>
    <w:rsid w:val="009D76B3"/>
    <w:rsid w:val="009D7A13"/>
    <w:rsid w:val="009D7CFB"/>
    <w:rsid w:val="009E0364"/>
    <w:rsid w:val="009E069D"/>
    <w:rsid w:val="009E073C"/>
    <w:rsid w:val="009E0B2A"/>
    <w:rsid w:val="009E0E7E"/>
    <w:rsid w:val="009E0FBA"/>
    <w:rsid w:val="009E1056"/>
    <w:rsid w:val="009E1308"/>
    <w:rsid w:val="009E1844"/>
    <w:rsid w:val="009E2557"/>
    <w:rsid w:val="009E2F80"/>
    <w:rsid w:val="009E3118"/>
    <w:rsid w:val="009E3565"/>
    <w:rsid w:val="009E36DB"/>
    <w:rsid w:val="009E3CED"/>
    <w:rsid w:val="009E44B3"/>
    <w:rsid w:val="009E5548"/>
    <w:rsid w:val="009E5788"/>
    <w:rsid w:val="009E71CE"/>
    <w:rsid w:val="009E7388"/>
    <w:rsid w:val="009E7849"/>
    <w:rsid w:val="009F007F"/>
    <w:rsid w:val="009F039B"/>
    <w:rsid w:val="009F0D1B"/>
    <w:rsid w:val="009F0EFD"/>
    <w:rsid w:val="009F1031"/>
    <w:rsid w:val="009F108B"/>
    <w:rsid w:val="009F12F0"/>
    <w:rsid w:val="009F1CDC"/>
    <w:rsid w:val="009F1E18"/>
    <w:rsid w:val="009F22CB"/>
    <w:rsid w:val="009F24FD"/>
    <w:rsid w:val="009F2A22"/>
    <w:rsid w:val="009F2BC6"/>
    <w:rsid w:val="009F2D40"/>
    <w:rsid w:val="009F3DFB"/>
    <w:rsid w:val="009F3F67"/>
    <w:rsid w:val="009F4116"/>
    <w:rsid w:val="009F45CF"/>
    <w:rsid w:val="009F4A53"/>
    <w:rsid w:val="009F4ABD"/>
    <w:rsid w:val="009F4B2D"/>
    <w:rsid w:val="009F4FA1"/>
    <w:rsid w:val="009F5279"/>
    <w:rsid w:val="009F53DE"/>
    <w:rsid w:val="009F696D"/>
    <w:rsid w:val="009F6BC6"/>
    <w:rsid w:val="009F6D45"/>
    <w:rsid w:val="009F76F7"/>
    <w:rsid w:val="009F77A9"/>
    <w:rsid w:val="00A010D5"/>
    <w:rsid w:val="00A01A7C"/>
    <w:rsid w:val="00A026AA"/>
    <w:rsid w:val="00A0357D"/>
    <w:rsid w:val="00A03802"/>
    <w:rsid w:val="00A049B6"/>
    <w:rsid w:val="00A04BFA"/>
    <w:rsid w:val="00A04C63"/>
    <w:rsid w:val="00A052F6"/>
    <w:rsid w:val="00A056E4"/>
    <w:rsid w:val="00A05972"/>
    <w:rsid w:val="00A069F7"/>
    <w:rsid w:val="00A06C9D"/>
    <w:rsid w:val="00A06F41"/>
    <w:rsid w:val="00A07F35"/>
    <w:rsid w:val="00A1075C"/>
    <w:rsid w:val="00A1117F"/>
    <w:rsid w:val="00A1126F"/>
    <w:rsid w:val="00A11371"/>
    <w:rsid w:val="00A12238"/>
    <w:rsid w:val="00A125DA"/>
    <w:rsid w:val="00A12710"/>
    <w:rsid w:val="00A1298D"/>
    <w:rsid w:val="00A12E30"/>
    <w:rsid w:val="00A12E59"/>
    <w:rsid w:val="00A1430A"/>
    <w:rsid w:val="00A14EEF"/>
    <w:rsid w:val="00A14FD8"/>
    <w:rsid w:val="00A15180"/>
    <w:rsid w:val="00A15E89"/>
    <w:rsid w:val="00A167DC"/>
    <w:rsid w:val="00A16908"/>
    <w:rsid w:val="00A16C47"/>
    <w:rsid w:val="00A16FF7"/>
    <w:rsid w:val="00A17328"/>
    <w:rsid w:val="00A17EDF"/>
    <w:rsid w:val="00A202A9"/>
    <w:rsid w:val="00A203E1"/>
    <w:rsid w:val="00A204E7"/>
    <w:rsid w:val="00A20F6D"/>
    <w:rsid w:val="00A2211A"/>
    <w:rsid w:val="00A22A16"/>
    <w:rsid w:val="00A22AC5"/>
    <w:rsid w:val="00A23459"/>
    <w:rsid w:val="00A238CF"/>
    <w:rsid w:val="00A23A20"/>
    <w:rsid w:val="00A23C3D"/>
    <w:rsid w:val="00A25027"/>
    <w:rsid w:val="00A254D9"/>
    <w:rsid w:val="00A255A9"/>
    <w:rsid w:val="00A25F9A"/>
    <w:rsid w:val="00A264A4"/>
    <w:rsid w:val="00A26758"/>
    <w:rsid w:val="00A268B9"/>
    <w:rsid w:val="00A26BA7"/>
    <w:rsid w:val="00A2703A"/>
    <w:rsid w:val="00A2739B"/>
    <w:rsid w:val="00A27832"/>
    <w:rsid w:val="00A30277"/>
    <w:rsid w:val="00A30576"/>
    <w:rsid w:val="00A31354"/>
    <w:rsid w:val="00A32577"/>
    <w:rsid w:val="00A328A8"/>
    <w:rsid w:val="00A33959"/>
    <w:rsid w:val="00A33DFF"/>
    <w:rsid w:val="00A34A4F"/>
    <w:rsid w:val="00A35115"/>
    <w:rsid w:val="00A352B2"/>
    <w:rsid w:val="00A35571"/>
    <w:rsid w:val="00A359B8"/>
    <w:rsid w:val="00A36276"/>
    <w:rsid w:val="00A36403"/>
    <w:rsid w:val="00A36D9A"/>
    <w:rsid w:val="00A3718A"/>
    <w:rsid w:val="00A374C0"/>
    <w:rsid w:val="00A400F3"/>
    <w:rsid w:val="00A40F6D"/>
    <w:rsid w:val="00A414BA"/>
    <w:rsid w:val="00A4169E"/>
    <w:rsid w:val="00A41866"/>
    <w:rsid w:val="00A4191F"/>
    <w:rsid w:val="00A42711"/>
    <w:rsid w:val="00A429C8"/>
    <w:rsid w:val="00A4337A"/>
    <w:rsid w:val="00A440DE"/>
    <w:rsid w:val="00A44BF0"/>
    <w:rsid w:val="00A45219"/>
    <w:rsid w:val="00A458D7"/>
    <w:rsid w:val="00A467E6"/>
    <w:rsid w:val="00A46B2B"/>
    <w:rsid w:val="00A46D9D"/>
    <w:rsid w:val="00A46DEB"/>
    <w:rsid w:val="00A470C2"/>
    <w:rsid w:val="00A50CD8"/>
    <w:rsid w:val="00A51856"/>
    <w:rsid w:val="00A51966"/>
    <w:rsid w:val="00A519F1"/>
    <w:rsid w:val="00A51A95"/>
    <w:rsid w:val="00A51B1F"/>
    <w:rsid w:val="00A521BF"/>
    <w:rsid w:val="00A525DB"/>
    <w:rsid w:val="00A526CB"/>
    <w:rsid w:val="00A527E4"/>
    <w:rsid w:val="00A528A1"/>
    <w:rsid w:val="00A52C22"/>
    <w:rsid w:val="00A5374C"/>
    <w:rsid w:val="00A53825"/>
    <w:rsid w:val="00A53923"/>
    <w:rsid w:val="00A540C7"/>
    <w:rsid w:val="00A5415C"/>
    <w:rsid w:val="00A541A0"/>
    <w:rsid w:val="00A54C8C"/>
    <w:rsid w:val="00A5515E"/>
    <w:rsid w:val="00A554AB"/>
    <w:rsid w:val="00A55835"/>
    <w:rsid w:val="00A5593A"/>
    <w:rsid w:val="00A55F02"/>
    <w:rsid w:val="00A56625"/>
    <w:rsid w:val="00A568EB"/>
    <w:rsid w:val="00A56FBA"/>
    <w:rsid w:val="00A57062"/>
    <w:rsid w:val="00A60200"/>
    <w:rsid w:val="00A60DC2"/>
    <w:rsid w:val="00A60EB9"/>
    <w:rsid w:val="00A61DD9"/>
    <w:rsid w:val="00A61F51"/>
    <w:rsid w:val="00A623CD"/>
    <w:rsid w:val="00A6269C"/>
    <w:rsid w:val="00A63134"/>
    <w:rsid w:val="00A63E0E"/>
    <w:rsid w:val="00A64246"/>
    <w:rsid w:val="00A642AA"/>
    <w:rsid w:val="00A6441F"/>
    <w:rsid w:val="00A64949"/>
    <w:rsid w:val="00A64AC6"/>
    <w:rsid w:val="00A65017"/>
    <w:rsid w:val="00A66FC6"/>
    <w:rsid w:val="00A67EF2"/>
    <w:rsid w:val="00A67FB9"/>
    <w:rsid w:val="00A7039E"/>
    <w:rsid w:val="00A706D9"/>
    <w:rsid w:val="00A7083E"/>
    <w:rsid w:val="00A70BAF"/>
    <w:rsid w:val="00A70C7D"/>
    <w:rsid w:val="00A71102"/>
    <w:rsid w:val="00A712E3"/>
    <w:rsid w:val="00A713BE"/>
    <w:rsid w:val="00A7144D"/>
    <w:rsid w:val="00A71B4D"/>
    <w:rsid w:val="00A71D67"/>
    <w:rsid w:val="00A7257F"/>
    <w:rsid w:val="00A726E4"/>
    <w:rsid w:val="00A72EEA"/>
    <w:rsid w:val="00A7364D"/>
    <w:rsid w:val="00A7398A"/>
    <w:rsid w:val="00A73B61"/>
    <w:rsid w:val="00A741E1"/>
    <w:rsid w:val="00A74610"/>
    <w:rsid w:val="00A74AB7"/>
    <w:rsid w:val="00A74D20"/>
    <w:rsid w:val="00A7501B"/>
    <w:rsid w:val="00A75183"/>
    <w:rsid w:val="00A7552B"/>
    <w:rsid w:val="00A75CFB"/>
    <w:rsid w:val="00A77BD1"/>
    <w:rsid w:val="00A8041D"/>
    <w:rsid w:val="00A8083D"/>
    <w:rsid w:val="00A80970"/>
    <w:rsid w:val="00A80A61"/>
    <w:rsid w:val="00A80E0F"/>
    <w:rsid w:val="00A80F16"/>
    <w:rsid w:val="00A819C3"/>
    <w:rsid w:val="00A81DF8"/>
    <w:rsid w:val="00A82941"/>
    <w:rsid w:val="00A829E6"/>
    <w:rsid w:val="00A83327"/>
    <w:rsid w:val="00A8445D"/>
    <w:rsid w:val="00A846A4"/>
    <w:rsid w:val="00A852B6"/>
    <w:rsid w:val="00A859C7"/>
    <w:rsid w:val="00A862FA"/>
    <w:rsid w:val="00A8651E"/>
    <w:rsid w:val="00A868DB"/>
    <w:rsid w:val="00A87108"/>
    <w:rsid w:val="00A877FE"/>
    <w:rsid w:val="00A87847"/>
    <w:rsid w:val="00A879BA"/>
    <w:rsid w:val="00A90696"/>
    <w:rsid w:val="00A913F0"/>
    <w:rsid w:val="00A91827"/>
    <w:rsid w:val="00A92191"/>
    <w:rsid w:val="00A925B3"/>
    <w:rsid w:val="00A92A8F"/>
    <w:rsid w:val="00A92B53"/>
    <w:rsid w:val="00A92F23"/>
    <w:rsid w:val="00A93255"/>
    <w:rsid w:val="00A93555"/>
    <w:rsid w:val="00A9405F"/>
    <w:rsid w:val="00A94084"/>
    <w:rsid w:val="00A940D1"/>
    <w:rsid w:val="00A944F8"/>
    <w:rsid w:val="00A945E7"/>
    <w:rsid w:val="00A9493B"/>
    <w:rsid w:val="00A94F17"/>
    <w:rsid w:val="00A94FA6"/>
    <w:rsid w:val="00A95384"/>
    <w:rsid w:val="00A95606"/>
    <w:rsid w:val="00A956D1"/>
    <w:rsid w:val="00A957B3"/>
    <w:rsid w:val="00A95A67"/>
    <w:rsid w:val="00A95FE7"/>
    <w:rsid w:val="00A9642E"/>
    <w:rsid w:val="00A96539"/>
    <w:rsid w:val="00A9655D"/>
    <w:rsid w:val="00A967C4"/>
    <w:rsid w:val="00A97CC4"/>
    <w:rsid w:val="00AA0047"/>
    <w:rsid w:val="00AA0426"/>
    <w:rsid w:val="00AA08CD"/>
    <w:rsid w:val="00AA1466"/>
    <w:rsid w:val="00AA14F2"/>
    <w:rsid w:val="00AA1503"/>
    <w:rsid w:val="00AA1738"/>
    <w:rsid w:val="00AA1845"/>
    <w:rsid w:val="00AA18EB"/>
    <w:rsid w:val="00AA1A58"/>
    <w:rsid w:val="00AA241A"/>
    <w:rsid w:val="00AA278F"/>
    <w:rsid w:val="00AA2906"/>
    <w:rsid w:val="00AA2A03"/>
    <w:rsid w:val="00AA3723"/>
    <w:rsid w:val="00AA3C96"/>
    <w:rsid w:val="00AA3F2D"/>
    <w:rsid w:val="00AA4004"/>
    <w:rsid w:val="00AA416F"/>
    <w:rsid w:val="00AA49A0"/>
    <w:rsid w:val="00AA581F"/>
    <w:rsid w:val="00AA60C2"/>
    <w:rsid w:val="00AA612D"/>
    <w:rsid w:val="00AA61AB"/>
    <w:rsid w:val="00AA6566"/>
    <w:rsid w:val="00AA6710"/>
    <w:rsid w:val="00AA6CCC"/>
    <w:rsid w:val="00AA6F1F"/>
    <w:rsid w:val="00AA70CC"/>
    <w:rsid w:val="00AA7711"/>
    <w:rsid w:val="00AA7862"/>
    <w:rsid w:val="00AB0681"/>
    <w:rsid w:val="00AB0AF9"/>
    <w:rsid w:val="00AB0EFC"/>
    <w:rsid w:val="00AB12F7"/>
    <w:rsid w:val="00AB164D"/>
    <w:rsid w:val="00AB2882"/>
    <w:rsid w:val="00AB2899"/>
    <w:rsid w:val="00AB29AE"/>
    <w:rsid w:val="00AB3610"/>
    <w:rsid w:val="00AB39B5"/>
    <w:rsid w:val="00AB3C1E"/>
    <w:rsid w:val="00AB4BB7"/>
    <w:rsid w:val="00AB4DBA"/>
    <w:rsid w:val="00AB4E36"/>
    <w:rsid w:val="00AB67FA"/>
    <w:rsid w:val="00AB6994"/>
    <w:rsid w:val="00AB69A8"/>
    <w:rsid w:val="00AB6C12"/>
    <w:rsid w:val="00AB6E3F"/>
    <w:rsid w:val="00AB6E41"/>
    <w:rsid w:val="00AB7106"/>
    <w:rsid w:val="00AB7880"/>
    <w:rsid w:val="00AB7A47"/>
    <w:rsid w:val="00AB7CB3"/>
    <w:rsid w:val="00AC06FF"/>
    <w:rsid w:val="00AC135D"/>
    <w:rsid w:val="00AC17F3"/>
    <w:rsid w:val="00AC1BFF"/>
    <w:rsid w:val="00AC2E72"/>
    <w:rsid w:val="00AC41C7"/>
    <w:rsid w:val="00AC4CBF"/>
    <w:rsid w:val="00AC4CE0"/>
    <w:rsid w:val="00AC4ED3"/>
    <w:rsid w:val="00AC560B"/>
    <w:rsid w:val="00AC5653"/>
    <w:rsid w:val="00AC5A3C"/>
    <w:rsid w:val="00AC5A47"/>
    <w:rsid w:val="00AC614D"/>
    <w:rsid w:val="00AC6348"/>
    <w:rsid w:val="00AC643A"/>
    <w:rsid w:val="00AC6A32"/>
    <w:rsid w:val="00AC6F5F"/>
    <w:rsid w:val="00AC70AA"/>
    <w:rsid w:val="00AC763D"/>
    <w:rsid w:val="00AC7944"/>
    <w:rsid w:val="00AC7969"/>
    <w:rsid w:val="00AC7A69"/>
    <w:rsid w:val="00AD022D"/>
    <w:rsid w:val="00AD0BF4"/>
    <w:rsid w:val="00AD0E40"/>
    <w:rsid w:val="00AD0F4B"/>
    <w:rsid w:val="00AD1345"/>
    <w:rsid w:val="00AD13A2"/>
    <w:rsid w:val="00AD13D3"/>
    <w:rsid w:val="00AD1AE7"/>
    <w:rsid w:val="00AD2B33"/>
    <w:rsid w:val="00AD338D"/>
    <w:rsid w:val="00AD454C"/>
    <w:rsid w:val="00AD4B3B"/>
    <w:rsid w:val="00AD4B91"/>
    <w:rsid w:val="00AD510A"/>
    <w:rsid w:val="00AD520B"/>
    <w:rsid w:val="00AD53AC"/>
    <w:rsid w:val="00AD5978"/>
    <w:rsid w:val="00AD5A64"/>
    <w:rsid w:val="00AD6048"/>
    <w:rsid w:val="00AD607B"/>
    <w:rsid w:val="00AD628D"/>
    <w:rsid w:val="00AD64FC"/>
    <w:rsid w:val="00AD6703"/>
    <w:rsid w:val="00AD7528"/>
    <w:rsid w:val="00AD766A"/>
    <w:rsid w:val="00AD7978"/>
    <w:rsid w:val="00AE012C"/>
    <w:rsid w:val="00AE0510"/>
    <w:rsid w:val="00AE0DEF"/>
    <w:rsid w:val="00AE0ECC"/>
    <w:rsid w:val="00AE1588"/>
    <w:rsid w:val="00AE1A34"/>
    <w:rsid w:val="00AE4298"/>
    <w:rsid w:val="00AE4846"/>
    <w:rsid w:val="00AE48D2"/>
    <w:rsid w:val="00AE4A19"/>
    <w:rsid w:val="00AE4B30"/>
    <w:rsid w:val="00AE4BBB"/>
    <w:rsid w:val="00AE4BF7"/>
    <w:rsid w:val="00AE4C0F"/>
    <w:rsid w:val="00AE4F1D"/>
    <w:rsid w:val="00AE58F3"/>
    <w:rsid w:val="00AE5E2F"/>
    <w:rsid w:val="00AE66B2"/>
    <w:rsid w:val="00AE6A85"/>
    <w:rsid w:val="00AE6AED"/>
    <w:rsid w:val="00AE6EAF"/>
    <w:rsid w:val="00AE7866"/>
    <w:rsid w:val="00AE7F46"/>
    <w:rsid w:val="00AF115F"/>
    <w:rsid w:val="00AF133E"/>
    <w:rsid w:val="00AF16EA"/>
    <w:rsid w:val="00AF1C02"/>
    <w:rsid w:val="00AF1FBE"/>
    <w:rsid w:val="00AF20CA"/>
    <w:rsid w:val="00AF24E9"/>
    <w:rsid w:val="00AF24EC"/>
    <w:rsid w:val="00AF272B"/>
    <w:rsid w:val="00AF28E7"/>
    <w:rsid w:val="00AF29B3"/>
    <w:rsid w:val="00AF2D25"/>
    <w:rsid w:val="00AF3874"/>
    <w:rsid w:val="00AF3E8A"/>
    <w:rsid w:val="00AF409B"/>
    <w:rsid w:val="00AF41C4"/>
    <w:rsid w:val="00AF4D7C"/>
    <w:rsid w:val="00AF5409"/>
    <w:rsid w:val="00AF5AA8"/>
    <w:rsid w:val="00AF5BF3"/>
    <w:rsid w:val="00AF62A1"/>
    <w:rsid w:val="00AF7491"/>
    <w:rsid w:val="00B008B4"/>
    <w:rsid w:val="00B01256"/>
    <w:rsid w:val="00B0133E"/>
    <w:rsid w:val="00B01A9D"/>
    <w:rsid w:val="00B01D7E"/>
    <w:rsid w:val="00B01E01"/>
    <w:rsid w:val="00B01EBA"/>
    <w:rsid w:val="00B02B81"/>
    <w:rsid w:val="00B030FD"/>
    <w:rsid w:val="00B03608"/>
    <w:rsid w:val="00B038E6"/>
    <w:rsid w:val="00B03E6C"/>
    <w:rsid w:val="00B051FA"/>
    <w:rsid w:val="00B053CB"/>
    <w:rsid w:val="00B058FA"/>
    <w:rsid w:val="00B05B21"/>
    <w:rsid w:val="00B05D31"/>
    <w:rsid w:val="00B065E1"/>
    <w:rsid w:val="00B0692E"/>
    <w:rsid w:val="00B06C27"/>
    <w:rsid w:val="00B06E53"/>
    <w:rsid w:val="00B06F7C"/>
    <w:rsid w:val="00B070AE"/>
    <w:rsid w:val="00B0782B"/>
    <w:rsid w:val="00B079BD"/>
    <w:rsid w:val="00B07BDD"/>
    <w:rsid w:val="00B10007"/>
    <w:rsid w:val="00B10B0F"/>
    <w:rsid w:val="00B10C2E"/>
    <w:rsid w:val="00B1148C"/>
    <w:rsid w:val="00B11E2B"/>
    <w:rsid w:val="00B11E93"/>
    <w:rsid w:val="00B12E8E"/>
    <w:rsid w:val="00B136C2"/>
    <w:rsid w:val="00B13D2C"/>
    <w:rsid w:val="00B13F0D"/>
    <w:rsid w:val="00B1430E"/>
    <w:rsid w:val="00B14864"/>
    <w:rsid w:val="00B14C49"/>
    <w:rsid w:val="00B14F67"/>
    <w:rsid w:val="00B14F93"/>
    <w:rsid w:val="00B15309"/>
    <w:rsid w:val="00B1623A"/>
    <w:rsid w:val="00B163B2"/>
    <w:rsid w:val="00B1654C"/>
    <w:rsid w:val="00B169DB"/>
    <w:rsid w:val="00B16A14"/>
    <w:rsid w:val="00B16AB4"/>
    <w:rsid w:val="00B17300"/>
    <w:rsid w:val="00B17A39"/>
    <w:rsid w:val="00B204BF"/>
    <w:rsid w:val="00B2055A"/>
    <w:rsid w:val="00B2059A"/>
    <w:rsid w:val="00B21113"/>
    <w:rsid w:val="00B222A3"/>
    <w:rsid w:val="00B234E3"/>
    <w:rsid w:val="00B23FF5"/>
    <w:rsid w:val="00B24777"/>
    <w:rsid w:val="00B24B35"/>
    <w:rsid w:val="00B24BA0"/>
    <w:rsid w:val="00B24C0E"/>
    <w:rsid w:val="00B2524B"/>
    <w:rsid w:val="00B2524F"/>
    <w:rsid w:val="00B25493"/>
    <w:rsid w:val="00B254CC"/>
    <w:rsid w:val="00B25549"/>
    <w:rsid w:val="00B25620"/>
    <w:rsid w:val="00B260E6"/>
    <w:rsid w:val="00B269A2"/>
    <w:rsid w:val="00B26B23"/>
    <w:rsid w:val="00B26C0A"/>
    <w:rsid w:val="00B27358"/>
    <w:rsid w:val="00B2771F"/>
    <w:rsid w:val="00B30370"/>
    <w:rsid w:val="00B30951"/>
    <w:rsid w:val="00B311BF"/>
    <w:rsid w:val="00B31290"/>
    <w:rsid w:val="00B31291"/>
    <w:rsid w:val="00B315D7"/>
    <w:rsid w:val="00B315F9"/>
    <w:rsid w:val="00B31778"/>
    <w:rsid w:val="00B31926"/>
    <w:rsid w:val="00B31998"/>
    <w:rsid w:val="00B31C2E"/>
    <w:rsid w:val="00B31F03"/>
    <w:rsid w:val="00B3204B"/>
    <w:rsid w:val="00B3288E"/>
    <w:rsid w:val="00B32F4F"/>
    <w:rsid w:val="00B332FA"/>
    <w:rsid w:val="00B3357D"/>
    <w:rsid w:val="00B33AA7"/>
    <w:rsid w:val="00B34092"/>
    <w:rsid w:val="00B34232"/>
    <w:rsid w:val="00B3473E"/>
    <w:rsid w:val="00B34861"/>
    <w:rsid w:val="00B34944"/>
    <w:rsid w:val="00B34F34"/>
    <w:rsid w:val="00B35A1E"/>
    <w:rsid w:val="00B36BA1"/>
    <w:rsid w:val="00B36E1D"/>
    <w:rsid w:val="00B370B7"/>
    <w:rsid w:val="00B37B59"/>
    <w:rsid w:val="00B37C53"/>
    <w:rsid w:val="00B37CC8"/>
    <w:rsid w:val="00B400E5"/>
    <w:rsid w:val="00B40101"/>
    <w:rsid w:val="00B40285"/>
    <w:rsid w:val="00B40E49"/>
    <w:rsid w:val="00B4133B"/>
    <w:rsid w:val="00B417AF"/>
    <w:rsid w:val="00B4194F"/>
    <w:rsid w:val="00B41D44"/>
    <w:rsid w:val="00B425C3"/>
    <w:rsid w:val="00B42C9A"/>
    <w:rsid w:val="00B43794"/>
    <w:rsid w:val="00B43DA3"/>
    <w:rsid w:val="00B440AD"/>
    <w:rsid w:val="00B4414F"/>
    <w:rsid w:val="00B4420E"/>
    <w:rsid w:val="00B444B9"/>
    <w:rsid w:val="00B45781"/>
    <w:rsid w:val="00B45B3E"/>
    <w:rsid w:val="00B45FC8"/>
    <w:rsid w:val="00B46484"/>
    <w:rsid w:val="00B4667B"/>
    <w:rsid w:val="00B47D2B"/>
    <w:rsid w:val="00B47E8F"/>
    <w:rsid w:val="00B505E2"/>
    <w:rsid w:val="00B50990"/>
    <w:rsid w:val="00B50DAA"/>
    <w:rsid w:val="00B51432"/>
    <w:rsid w:val="00B52CA2"/>
    <w:rsid w:val="00B53276"/>
    <w:rsid w:val="00B53876"/>
    <w:rsid w:val="00B53E7E"/>
    <w:rsid w:val="00B546A0"/>
    <w:rsid w:val="00B546C5"/>
    <w:rsid w:val="00B54C4B"/>
    <w:rsid w:val="00B54CC9"/>
    <w:rsid w:val="00B54FFA"/>
    <w:rsid w:val="00B55466"/>
    <w:rsid w:val="00B55585"/>
    <w:rsid w:val="00B5576F"/>
    <w:rsid w:val="00B55B05"/>
    <w:rsid w:val="00B55B06"/>
    <w:rsid w:val="00B55ED6"/>
    <w:rsid w:val="00B57CD4"/>
    <w:rsid w:val="00B57E21"/>
    <w:rsid w:val="00B6014D"/>
    <w:rsid w:val="00B6066E"/>
    <w:rsid w:val="00B606D7"/>
    <w:rsid w:val="00B60BCB"/>
    <w:rsid w:val="00B60D41"/>
    <w:rsid w:val="00B6100E"/>
    <w:rsid w:val="00B61594"/>
    <w:rsid w:val="00B6190D"/>
    <w:rsid w:val="00B61B22"/>
    <w:rsid w:val="00B625C6"/>
    <w:rsid w:val="00B6306A"/>
    <w:rsid w:val="00B632CD"/>
    <w:rsid w:val="00B6342E"/>
    <w:rsid w:val="00B63447"/>
    <w:rsid w:val="00B63914"/>
    <w:rsid w:val="00B63CF0"/>
    <w:rsid w:val="00B64407"/>
    <w:rsid w:val="00B66389"/>
    <w:rsid w:val="00B66612"/>
    <w:rsid w:val="00B6725A"/>
    <w:rsid w:val="00B70F01"/>
    <w:rsid w:val="00B7113F"/>
    <w:rsid w:val="00B71518"/>
    <w:rsid w:val="00B71738"/>
    <w:rsid w:val="00B71DFF"/>
    <w:rsid w:val="00B736BB"/>
    <w:rsid w:val="00B7410F"/>
    <w:rsid w:val="00B741D2"/>
    <w:rsid w:val="00B75201"/>
    <w:rsid w:val="00B7552A"/>
    <w:rsid w:val="00B7582B"/>
    <w:rsid w:val="00B7615C"/>
    <w:rsid w:val="00B76431"/>
    <w:rsid w:val="00B764A3"/>
    <w:rsid w:val="00B766CB"/>
    <w:rsid w:val="00B77450"/>
    <w:rsid w:val="00B775F8"/>
    <w:rsid w:val="00B77EF0"/>
    <w:rsid w:val="00B77F13"/>
    <w:rsid w:val="00B802CB"/>
    <w:rsid w:val="00B802E9"/>
    <w:rsid w:val="00B8090A"/>
    <w:rsid w:val="00B80A21"/>
    <w:rsid w:val="00B80C52"/>
    <w:rsid w:val="00B81295"/>
    <w:rsid w:val="00B8145E"/>
    <w:rsid w:val="00B82572"/>
    <w:rsid w:val="00B82E86"/>
    <w:rsid w:val="00B82F3D"/>
    <w:rsid w:val="00B83231"/>
    <w:rsid w:val="00B8339F"/>
    <w:rsid w:val="00B835FE"/>
    <w:rsid w:val="00B83DEC"/>
    <w:rsid w:val="00B848D1"/>
    <w:rsid w:val="00B84F2A"/>
    <w:rsid w:val="00B857B6"/>
    <w:rsid w:val="00B85939"/>
    <w:rsid w:val="00B85B47"/>
    <w:rsid w:val="00B85C0B"/>
    <w:rsid w:val="00B8625A"/>
    <w:rsid w:val="00B8670B"/>
    <w:rsid w:val="00B867A9"/>
    <w:rsid w:val="00B872DD"/>
    <w:rsid w:val="00B87435"/>
    <w:rsid w:val="00B87A27"/>
    <w:rsid w:val="00B87D61"/>
    <w:rsid w:val="00B905A3"/>
    <w:rsid w:val="00B9075B"/>
    <w:rsid w:val="00B90A1F"/>
    <w:rsid w:val="00B90FA9"/>
    <w:rsid w:val="00B91834"/>
    <w:rsid w:val="00B91844"/>
    <w:rsid w:val="00B91A9E"/>
    <w:rsid w:val="00B91CDF"/>
    <w:rsid w:val="00B923EA"/>
    <w:rsid w:val="00B925A0"/>
    <w:rsid w:val="00B925DB"/>
    <w:rsid w:val="00B93264"/>
    <w:rsid w:val="00B937E2"/>
    <w:rsid w:val="00B93DF9"/>
    <w:rsid w:val="00B943EF"/>
    <w:rsid w:val="00B947EE"/>
    <w:rsid w:val="00B956CC"/>
    <w:rsid w:val="00B958A0"/>
    <w:rsid w:val="00B95934"/>
    <w:rsid w:val="00B96A0E"/>
    <w:rsid w:val="00B96C7A"/>
    <w:rsid w:val="00B97B56"/>
    <w:rsid w:val="00BA01C0"/>
    <w:rsid w:val="00BA0BCA"/>
    <w:rsid w:val="00BA1324"/>
    <w:rsid w:val="00BA1970"/>
    <w:rsid w:val="00BA1DB6"/>
    <w:rsid w:val="00BA1E05"/>
    <w:rsid w:val="00BA23F5"/>
    <w:rsid w:val="00BA245B"/>
    <w:rsid w:val="00BA25D0"/>
    <w:rsid w:val="00BA267B"/>
    <w:rsid w:val="00BA2D0C"/>
    <w:rsid w:val="00BA2E19"/>
    <w:rsid w:val="00BA305D"/>
    <w:rsid w:val="00BA324C"/>
    <w:rsid w:val="00BA3D00"/>
    <w:rsid w:val="00BA41E6"/>
    <w:rsid w:val="00BA42A4"/>
    <w:rsid w:val="00BA449A"/>
    <w:rsid w:val="00BA4792"/>
    <w:rsid w:val="00BA4C73"/>
    <w:rsid w:val="00BA58BB"/>
    <w:rsid w:val="00BA5BD2"/>
    <w:rsid w:val="00BA5D6C"/>
    <w:rsid w:val="00BA69C9"/>
    <w:rsid w:val="00BA6A9D"/>
    <w:rsid w:val="00BA6FBB"/>
    <w:rsid w:val="00BA70DC"/>
    <w:rsid w:val="00BA7366"/>
    <w:rsid w:val="00BA73B6"/>
    <w:rsid w:val="00BA75BD"/>
    <w:rsid w:val="00BA7D79"/>
    <w:rsid w:val="00BA7E27"/>
    <w:rsid w:val="00BB0221"/>
    <w:rsid w:val="00BB02E6"/>
    <w:rsid w:val="00BB03AE"/>
    <w:rsid w:val="00BB0879"/>
    <w:rsid w:val="00BB0926"/>
    <w:rsid w:val="00BB0DA2"/>
    <w:rsid w:val="00BB13EE"/>
    <w:rsid w:val="00BB190F"/>
    <w:rsid w:val="00BB1B79"/>
    <w:rsid w:val="00BB2060"/>
    <w:rsid w:val="00BB2247"/>
    <w:rsid w:val="00BB2603"/>
    <w:rsid w:val="00BB2AFB"/>
    <w:rsid w:val="00BB2C79"/>
    <w:rsid w:val="00BB2CA6"/>
    <w:rsid w:val="00BB2D46"/>
    <w:rsid w:val="00BB2F8D"/>
    <w:rsid w:val="00BB2FE4"/>
    <w:rsid w:val="00BB367E"/>
    <w:rsid w:val="00BB3A66"/>
    <w:rsid w:val="00BB3B37"/>
    <w:rsid w:val="00BB3D2E"/>
    <w:rsid w:val="00BB3DB4"/>
    <w:rsid w:val="00BB3DD9"/>
    <w:rsid w:val="00BB415D"/>
    <w:rsid w:val="00BB4B85"/>
    <w:rsid w:val="00BB4FCD"/>
    <w:rsid w:val="00BB505D"/>
    <w:rsid w:val="00BB5180"/>
    <w:rsid w:val="00BB591D"/>
    <w:rsid w:val="00BB593C"/>
    <w:rsid w:val="00BB5A6C"/>
    <w:rsid w:val="00BB5C24"/>
    <w:rsid w:val="00BB61BD"/>
    <w:rsid w:val="00BB656D"/>
    <w:rsid w:val="00BB6A1A"/>
    <w:rsid w:val="00BB6A3D"/>
    <w:rsid w:val="00BB6C55"/>
    <w:rsid w:val="00BB6CC4"/>
    <w:rsid w:val="00BB6E9B"/>
    <w:rsid w:val="00BB74BB"/>
    <w:rsid w:val="00BB76F8"/>
    <w:rsid w:val="00BB7F70"/>
    <w:rsid w:val="00BC04E9"/>
    <w:rsid w:val="00BC1297"/>
    <w:rsid w:val="00BC12F8"/>
    <w:rsid w:val="00BC1379"/>
    <w:rsid w:val="00BC13CD"/>
    <w:rsid w:val="00BC1E75"/>
    <w:rsid w:val="00BC1F1A"/>
    <w:rsid w:val="00BC2928"/>
    <w:rsid w:val="00BC33AA"/>
    <w:rsid w:val="00BC3449"/>
    <w:rsid w:val="00BC3466"/>
    <w:rsid w:val="00BC3599"/>
    <w:rsid w:val="00BC384F"/>
    <w:rsid w:val="00BC3EAC"/>
    <w:rsid w:val="00BC46F0"/>
    <w:rsid w:val="00BC4F7B"/>
    <w:rsid w:val="00BC559A"/>
    <w:rsid w:val="00BC5E0E"/>
    <w:rsid w:val="00BC7699"/>
    <w:rsid w:val="00BC7A49"/>
    <w:rsid w:val="00BC7FD6"/>
    <w:rsid w:val="00BD00EE"/>
    <w:rsid w:val="00BD09E2"/>
    <w:rsid w:val="00BD0D90"/>
    <w:rsid w:val="00BD0F8D"/>
    <w:rsid w:val="00BD13DB"/>
    <w:rsid w:val="00BD13EA"/>
    <w:rsid w:val="00BD1462"/>
    <w:rsid w:val="00BD1561"/>
    <w:rsid w:val="00BD18E5"/>
    <w:rsid w:val="00BD2A61"/>
    <w:rsid w:val="00BD2AA5"/>
    <w:rsid w:val="00BD32E3"/>
    <w:rsid w:val="00BD40F1"/>
    <w:rsid w:val="00BD42A0"/>
    <w:rsid w:val="00BD4B8E"/>
    <w:rsid w:val="00BD524B"/>
    <w:rsid w:val="00BD52E7"/>
    <w:rsid w:val="00BD56B5"/>
    <w:rsid w:val="00BD5A5E"/>
    <w:rsid w:val="00BD5D89"/>
    <w:rsid w:val="00BD5DC5"/>
    <w:rsid w:val="00BD5F7B"/>
    <w:rsid w:val="00BD6479"/>
    <w:rsid w:val="00BD64CD"/>
    <w:rsid w:val="00BD67C3"/>
    <w:rsid w:val="00BD67EF"/>
    <w:rsid w:val="00BD7076"/>
    <w:rsid w:val="00BD7089"/>
    <w:rsid w:val="00BD7B40"/>
    <w:rsid w:val="00BD7EAB"/>
    <w:rsid w:val="00BE0487"/>
    <w:rsid w:val="00BE0C03"/>
    <w:rsid w:val="00BE10D7"/>
    <w:rsid w:val="00BE130C"/>
    <w:rsid w:val="00BE1479"/>
    <w:rsid w:val="00BE1774"/>
    <w:rsid w:val="00BE1A2F"/>
    <w:rsid w:val="00BE2587"/>
    <w:rsid w:val="00BE2661"/>
    <w:rsid w:val="00BE2A5C"/>
    <w:rsid w:val="00BE2D43"/>
    <w:rsid w:val="00BE2DD3"/>
    <w:rsid w:val="00BE3808"/>
    <w:rsid w:val="00BE4046"/>
    <w:rsid w:val="00BE4412"/>
    <w:rsid w:val="00BE4537"/>
    <w:rsid w:val="00BE5336"/>
    <w:rsid w:val="00BE5994"/>
    <w:rsid w:val="00BE5BE3"/>
    <w:rsid w:val="00BE66D5"/>
    <w:rsid w:val="00BE6F8E"/>
    <w:rsid w:val="00BE755C"/>
    <w:rsid w:val="00BE7D70"/>
    <w:rsid w:val="00BE7E4F"/>
    <w:rsid w:val="00BE7F5B"/>
    <w:rsid w:val="00BF03D8"/>
    <w:rsid w:val="00BF12BC"/>
    <w:rsid w:val="00BF136F"/>
    <w:rsid w:val="00BF14DC"/>
    <w:rsid w:val="00BF18BA"/>
    <w:rsid w:val="00BF191C"/>
    <w:rsid w:val="00BF224C"/>
    <w:rsid w:val="00BF242B"/>
    <w:rsid w:val="00BF4EB2"/>
    <w:rsid w:val="00BF5026"/>
    <w:rsid w:val="00BF55DE"/>
    <w:rsid w:val="00BF585E"/>
    <w:rsid w:val="00BF5B13"/>
    <w:rsid w:val="00BF5BC9"/>
    <w:rsid w:val="00BF5CBF"/>
    <w:rsid w:val="00BF602F"/>
    <w:rsid w:val="00BF6A68"/>
    <w:rsid w:val="00BF7BE2"/>
    <w:rsid w:val="00BF7BFB"/>
    <w:rsid w:val="00BF7DBA"/>
    <w:rsid w:val="00C00776"/>
    <w:rsid w:val="00C00F75"/>
    <w:rsid w:val="00C01208"/>
    <w:rsid w:val="00C0167D"/>
    <w:rsid w:val="00C02193"/>
    <w:rsid w:val="00C02B73"/>
    <w:rsid w:val="00C02C59"/>
    <w:rsid w:val="00C02D30"/>
    <w:rsid w:val="00C045B3"/>
    <w:rsid w:val="00C045D1"/>
    <w:rsid w:val="00C04AB7"/>
    <w:rsid w:val="00C04B81"/>
    <w:rsid w:val="00C05059"/>
    <w:rsid w:val="00C05B99"/>
    <w:rsid w:val="00C062E9"/>
    <w:rsid w:val="00C06AE8"/>
    <w:rsid w:val="00C06CFF"/>
    <w:rsid w:val="00C07052"/>
    <w:rsid w:val="00C07848"/>
    <w:rsid w:val="00C07B64"/>
    <w:rsid w:val="00C07E56"/>
    <w:rsid w:val="00C07FC9"/>
    <w:rsid w:val="00C10F1E"/>
    <w:rsid w:val="00C113AC"/>
    <w:rsid w:val="00C115BD"/>
    <w:rsid w:val="00C12D8D"/>
    <w:rsid w:val="00C133A0"/>
    <w:rsid w:val="00C13721"/>
    <w:rsid w:val="00C13C74"/>
    <w:rsid w:val="00C143D5"/>
    <w:rsid w:val="00C14612"/>
    <w:rsid w:val="00C147A4"/>
    <w:rsid w:val="00C148D1"/>
    <w:rsid w:val="00C14FE4"/>
    <w:rsid w:val="00C15BE7"/>
    <w:rsid w:val="00C15D60"/>
    <w:rsid w:val="00C161F1"/>
    <w:rsid w:val="00C1675E"/>
    <w:rsid w:val="00C16767"/>
    <w:rsid w:val="00C16B46"/>
    <w:rsid w:val="00C1712C"/>
    <w:rsid w:val="00C203E5"/>
    <w:rsid w:val="00C20599"/>
    <w:rsid w:val="00C2137F"/>
    <w:rsid w:val="00C217CA"/>
    <w:rsid w:val="00C21A4C"/>
    <w:rsid w:val="00C21DB0"/>
    <w:rsid w:val="00C22243"/>
    <w:rsid w:val="00C22C50"/>
    <w:rsid w:val="00C23546"/>
    <w:rsid w:val="00C237EC"/>
    <w:rsid w:val="00C23A43"/>
    <w:rsid w:val="00C23BBC"/>
    <w:rsid w:val="00C23C10"/>
    <w:rsid w:val="00C23E60"/>
    <w:rsid w:val="00C24300"/>
    <w:rsid w:val="00C24653"/>
    <w:rsid w:val="00C252BC"/>
    <w:rsid w:val="00C25485"/>
    <w:rsid w:val="00C25727"/>
    <w:rsid w:val="00C25800"/>
    <w:rsid w:val="00C25BE0"/>
    <w:rsid w:val="00C25D6E"/>
    <w:rsid w:val="00C25D84"/>
    <w:rsid w:val="00C25F47"/>
    <w:rsid w:val="00C26505"/>
    <w:rsid w:val="00C269D1"/>
    <w:rsid w:val="00C26FE7"/>
    <w:rsid w:val="00C27434"/>
    <w:rsid w:val="00C27473"/>
    <w:rsid w:val="00C302D6"/>
    <w:rsid w:val="00C302DE"/>
    <w:rsid w:val="00C30330"/>
    <w:rsid w:val="00C3066D"/>
    <w:rsid w:val="00C3108C"/>
    <w:rsid w:val="00C3114A"/>
    <w:rsid w:val="00C3144B"/>
    <w:rsid w:val="00C31847"/>
    <w:rsid w:val="00C31A76"/>
    <w:rsid w:val="00C329AE"/>
    <w:rsid w:val="00C32A23"/>
    <w:rsid w:val="00C32D68"/>
    <w:rsid w:val="00C32F14"/>
    <w:rsid w:val="00C339E2"/>
    <w:rsid w:val="00C34275"/>
    <w:rsid w:val="00C34892"/>
    <w:rsid w:val="00C34E20"/>
    <w:rsid w:val="00C34F82"/>
    <w:rsid w:val="00C34F87"/>
    <w:rsid w:val="00C356F6"/>
    <w:rsid w:val="00C360A4"/>
    <w:rsid w:val="00C3648C"/>
    <w:rsid w:val="00C36570"/>
    <w:rsid w:val="00C3667D"/>
    <w:rsid w:val="00C366AF"/>
    <w:rsid w:val="00C36931"/>
    <w:rsid w:val="00C36A8F"/>
    <w:rsid w:val="00C36C54"/>
    <w:rsid w:val="00C36EA1"/>
    <w:rsid w:val="00C375D8"/>
    <w:rsid w:val="00C3797B"/>
    <w:rsid w:val="00C3797C"/>
    <w:rsid w:val="00C37BF5"/>
    <w:rsid w:val="00C37E37"/>
    <w:rsid w:val="00C40827"/>
    <w:rsid w:val="00C40DC0"/>
    <w:rsid w:val="00C410F5"/>
    <w:rsid w:val="00C414ED"/>
    <w:rsid w:val="00C418B5"/>
    <w:rsid w:val="00C41C73"/>
    <w:rsid w:val="00C41FB9"/>
    <w:rsid w:val="00C42145"/>
    <w:rsid w:val="00C4289C"/>
    <w:rsid w:val="00C428F2"/>
    <w:rsid w:val="00C4299C"/>
    <w:rsid w:val="00C42C3E"/>
    <w:rsid w:val="00C42C4C"/>
    <w:rsid w:val="00C42D1D"/>
    <w:rsid w:val="00C436DA"/>
    <w:rsid w:val="00C4376A"/>
    <w:rsid w:val="00C43940"/>
    <w:rsid w:val="00C43951"/>
    <w:rsid w:val="00C43994"/>
    <w:rsid w:val="00C44280"/>
    <w:rsid w:val="00C443D2"/>
    <w:rsid w:val="00C452B6"/>
    <w:rsid w:val="00C45A75"/>
    <w:rsid w:val="00C45BEA"/>
    <w:rsid w:val="00C45D01"/>
    <w:rsid w:val="00C4697D"/>
    <w:rsid w:val="00C470E9"/>
    <w:rsid w:val="00C47204"/>
    <w:rsid w:val="00C47400"/>
    <w:rsid w:val="00C47BE2"/>
    <w:rsid w:val="00C47F17"/>
    <w:rsid w:val="00C506BC"/>
    <w:rsid w:val="00C50900"/>
    <w:rsid w:val="00C50B06"/>
    <w:rsid w:val="00C50C71"/>
    <w:rsid w:val="00C50EAC"/>
    <w:rsid w:val="00C514BB"/>
    <w:rsid w:val="00C51615"/>
    <w:rsid w:val="00C51630"/>
    <w:rsid w:val="00C5191C"/>
    <w:rsid w:val="00C5232E"/>
    <w:rsid w:val="00C52416"/>
    <w:rsid w:val="00C52684"/>
    <w:rsid w:val="00C52A19"/>
    <w:rsid w:val="00C52DAF"/>
    <w:rsid w:val="00C534B2"/>
    <w:rsid w:val="00C53C69"/>
    <w:rsid w:val="00C54184"/>
    <w:rsid w:val="00C542E8"/>
    <w:rsid w:val="00C543F4"/>
    <w:rsid w:val="00C54505"/>
    <w:rsid w:val="00C5551C"/>
    <w:rsid w:val="00C55D07"/>
    <w:rsid w:val="00C55E69"/>
    <w:rsid w:val="00C5624F"/>
    <w:rsid w:val="00C574BF"/>
    <w:rsid w:val="00C57BB6"/>
    <w:rsid w:val="00C57F98"/>
    <w:rsid w:val="00C57FF3"/>
    <w:rsid w:val="00C57FFE"/>
    <w:rsid w:val="00C60635"/>
    <w:rsid w:val="00C61132"/>
    <w:rsid w:val="00C6132C"/>
    <w:rsid w:val="00C61B60"/>
    <w:rsid w:val="00C61D74"/>
    <w:rsid w:val="00C62224"/>
    <w:rsid w:val="00C625AD"/>
    <w:rsid w:val="00C625CF"/>
    <w:rsid w:val="00C628E9"/>
    <w:rsid w:val="00C6291C"/>
    <w:rsid w:val="00C62B7A"/>
    <w:rsid w:val="00C632F8"/>
    <w:rsid w:val="00C633CB"/>
    <w:rsid w:val="00C6406A"/>
    <w:rsid w:val="00C6414B"/>
    <w:rsid w:val="00C64167"/>
    <w:rsid w:val="00C641DF"/>
    <w:rsid w:val="00C6432F"/>
    <w:rsid w:val="00C6438F"/>
    <w:rsid w:val="00C64548"/>
    <w:rsid w:val="00C64DEB"/>
    <w:rsid w:val="00C64EDE"/>
    <w:rsid w:val="00C64F09"/>
    <w:rsid w:val="00C65141"/>
    <w:rsid w:val="00C652A5"/>
    <w:rsid w:val="00C65337"/>
    <w:rsid w:val="00C655BC"/>
    <w:rsid w:val="00C6576C"/>
    <w:rsid w:val="00C65FCB"/>
    <w:rsid w:val="00C6709D"/>
    <w:rsid w:val="00C670E4"/>
    <w:rsid w:val="00C7012A"/>
    <w:rsid w:val="00C70A97"/>
    <w:rsid w:val="00C71B35"/>
    <w:rsid w:val="00C7215E"/>
    <w:rsid w:val="00C72789"/>
    <w:rsid w:val="00C72806"/>
    <w:rsid w:val="00C72A9B"/>
    <w:rsid w:val="00C72BBC"/>
    <w:rsid w:val="00C72C65"/>
    <w:rsid w:val="00C730D7"/>
    <w:rsid w:val="00C736B7"/>
    <w:rsid w:val="00C7410F"/>
    <w:rsid w:val="00C74138"/>
    <w:rsid w:val="00C74597"/>
    <w:rsid w:val="00C74A8A"/>
    <w:rsid w:val="00C74C2F"/>
    <w:rsid w:val="00C74EA1"/>
    <w:rsid w:val="00C75545"/>
    <w:rsid w:val="00C758A0"/>
    <w:rsid w:val="00C75C6F"/>
    <w:rsid w:val="00C75CC5"/>
    <w:rsid w:val="00C75E8D"/>
    <w:rsid w:val="00C75F6F"/>
    <w:rsid w:val="00C767AF"/>
    <w:rsid w:val="00C76DE8"/>
    <w:rsid w:val="00C76F01"/>
    <w:rsid w:val="00C77116"/>
    <w:rsid w:val="00C777E8"/>
    <w:rsid w:val="00C77A04"/>
    <w:rsid w:val="00C77CBE"/>
    <w:rsid w:val="00C80548"/>
    <w:rsid w:val="00C808F5"/>
    <w:rsid w:val="00C81118"/>
    <w:rsid w:val="00C8114E"/>
    <w:rsid w:val="00C81843"/>
    <w:rsid w:val="00C81C1C"/>
    <w:rsid w:val="00C81D3E"/>
    <w:rsid w:val="00C81D4A"/>
    <w:rsid w:val="00C82389"/>
    <w:rsid w:val="00C82A34"/>
    <w:rsid w:val="00C8353C"/>
    <w:rsid w:val="00C83AA8"/>
    <w:rsid w:val="00C84315"/>
    <w:rsid w:val="00C844C5"/>
    <w:rsid w:val="00C84B1C"/>
    <w:rsid w:val="00C84CB9"/>
    <w:rsid w:val="00C85093"/>
    <w:rsid w:val="00C85586"/>
    <w:rsid w:val="00C85D3F"/>
    <w:rsid w:val="00C86224"/>
    <w:rsid w:val="00C862EA"/>
    <w:rsid w:val="00C865C9"/>
    <w:rsid w:val="00C86B90"/>
    <w:rsid w:val="00C86FFF"/>
    <w:rsid w:val="00C870DB"/>
    <w:rsid w:val="00C875B8"/>
    <w:rsid w:val="00C8762C"/>
    <w:rsid w:val="00C87930"/>
    <w:rsid w:val="00C87FC1"/>
    <w:rsid w:val="00C9013F"/>
    <w:rsid w:val="00C906B8"/>
    <w:rsid w:val="00C90754"/>
    <w:rsid w:val="00C90C7E"/>
    <w:rsid w:val="00C90C90"/>
    <w:rsid w:val="00C91144"/>
    <w:rsid w:val="00C917D5"/>
    <w:rsid w:val="00C91927"/>
    <w:rsid w:val="00C91D72"/>
    <w:rsid w:val="00C9225F"/>
    <w:rsid w:val="00C92A2C"/>
    <w:rsid w:val="00C93333"/>
    <w:rsid w:val="00C93B65"/>
    <w:rsid w:val="00C940A4"/>
    <w:rsid w:val="00C940B8"/>
    <w:rsid w:val="00C9432B"/>
    <w:rsid w:val="00C943DC"/>
    <w:rsid w:val="00C94A91"/>
    <w:rsid w:val="00C94CC4"/>
    <w:rsid w:val="00C94E98"/>
    <w:rsid w:val="00C950F3"/>
    <w:rsid w:val="00C95321"/>
    <w:rsid w:val="00C953AA"/>
    <w:rsid w:val="00C953F5"/>
    <w:rsid w:val="00C954A4"/>
    <w:rsid w:val="00C959F1"/>
    <w:rsid w:val="00C95DA2"/>
    <w:rsid w:val="00C95DBD"/>
    <w:rsid w:val="00C96238"/>
    <w:rsid w:val="00C96325"/>
    <w:rsid w:val="00C96A66"/>
    <w:rsid w:val="00C96F35"/>
    <w:rsid w:val="00C9760F"/>
    <w:rsid w:val="00C977E0"/>
    <w:rsid w:val="00C97C8C"/>
    <w:rsid w:val="00C97D65"/>
    <w:rsid w:val="00CA00F9"/>
    <w:rsid w:val="00CA0263"/>
    <w:rsid w:val="00CA10F7"/>
    <w:rsid w:val="00CA247F"/>
    <w:rsid w:val="00CA274C"/>
    <w:rsid w:val="00CA2961"/>
    <w:rsid w:val="00CA2A27"/>
    <w:rsid w:val="00CA2FD4"/>
    <w:rsid w:val="00CA4D74"/>
    <w:rsid w:val="00CA5C9A"/>
    <w:rsid w:val="00CA6771"/>
    <w:rsid w:val="00CA68DA"/>
    <w:rsid w:val="00CA74ED"/>
    <w:rsid w:val="00CB0B4F"/>
    <w:rsid w:val="00CB13A2"/>
    <w:rsid w:val="00CB14CF"/>
    <w:rsid w:val="00CB16C4"/>
    <w:rsid w:val="00CB23D2"/>
    <w:rsid w:val="00CB2C22"/>
    <w:rsid w:val="00CB2DCD"/>
    <w:rsid w:val="00CB329F"/>
    <w:rsid w:val="00CB3385"/>
    <w:rsid w:val="00CB3647"/>
    <w:rsid w:val="00CB3E0C"/>
    <w:rsid w:val="00CB3EBB"/>
    <w:rsid w:val="00CB46DD"/>
    <w:rsid w:val="00CB4A89"/>
    <w:rsid w:val="00CB5097"/>
    <w:rsid w:val="00CB50D7"/>
    <w:rsid w:val="00CB5850"/>
    <w:rsid w:val="00CB58A2"/>
    <w:rsid w:val="00CB6A58"/>
    <w:rsid w:val="00CB7177"/>
    <w:rsid w:val="00CB79DB"/>
    <w:rsid w:val="00CB79E6"/>
    <w:rsid w:val="00CB7B1D"/>
    <w:rsid w:val="00CB7CED"/>
    <w:rsid w:val="00CC02FC"/>
    <w:rsid w:val="00CC0635"/>
    <w:rsid w:val="00CC0A7D"/>
    <w:rsid w:val="00CC1478"/>
    <w:rsid w:val="00CC1968"/>
    <w:rsid w:val="00CC1998"/>
    <w:rsid w:val="00CC1DDC"/>
    <w:rsid w:val="00CC2570"/>
    <w:rsid w:val="00CC2833"/>
    <w:rsid w:val="00CC2957"/>
    <w:rsid w:val="00CC2EC4"/>
    <w:rsid w:val="00CC30B8"/>
    <w:rsid w:val="00CC30DE"/>
    <w:rsid w:val="00CC42D5"/>
    <w:rsid w:val="00CC466B"/>
    <w:rsid w:val="00CC4672"/>
    <w:rsid w:val="00CC4713"/>
    <w:rsid w:val="00CC4848"/>
    <w:rsid w:val="00CC4946"/>
    <w:rsid w:val="00CC53B7"/>
    <w:rsid w:val="00CC588D"/>
    <w:rsid w:val="00CC5895"/>
    <w:rsid w:val="00CC58A1"/>
    <w:rsid w:val="00CC59E3"/>
    <w:rsid w:val="00CC66AB"/>
    <w:rsid w:val="00CC66E9"/>
    <w:rsid w:val="00CC6A5F"/>
    <w:rsid w:val="00CC6C40"/>
    <w:rsid w:val="00CC6DB9"/>
    <w:rsid w:val="00CC70B0"/>
    <w:rsid w:val="00CC71D2"/>
    <w:rsid w:val="00CC7BBC"/>
    <w:rsid w:val="00CD0CCD"/>
    <w:rsid w:val="00CD1186"/>
    <w:rsid w:val="00CD14F8"/>
    <w:rsid w:val="00CD1880"/>
    <w:rsid w:val="00CD1954"/>
    <w:rsid w:val="00CD21EF"/>
    <w:rsid w:val="00CD286C"/>
    <w:rsid w:val="00CD3001"/>
    <w:rsid w:val="00CD3164"/>
    <w:rsid w:val="00CD36F2"/>
    <w:rsid w:val="00CD3D4A"/>
    <w:rsid w:val="00CD3EDD"/>
    <w:rsid w:val="00CD4062"/>
    <w:rsid w:val="00CD4344"/>
    <w:rsid w:val="00CD4B77"/>
    <w:rsid w:val="00CD531B"/>
    <w:rsid w:val="00CD54FE"/>
    <w:rsid w:val="00CD57BB"/>
    <w:rsid w:val="00CD58A9"/>
    <w:rsid w:val="00CD6904"/>
    <w:rsid w:val="00CD6C23"/>
    <w:rsid w:val="00CD6E1E"/>
    <w:rsid w:val="00CD6ECF"/>
    <w:rsid w:val="00CD71FC"/>
    <w:rsid w:val="00CD7488"/>
    <w:rsid w:val="00CD7566"/>
    <w:rsid w:val="00CE051D"/>
    <w:rsid w:val="00CE0DA6"/>
    <w:rsid w:val="00CE0DC0"/>
    <w:rsid w:val="00CE1D1D"/>
    <w:rsid w:val="00CE257E"/>
    <w:rsid w:val="00CE2651"/>
    <w:rsid w:val="00CE2F4A"/>
    <w:rsid w:val="00CE3F8F"/>
    <w:rsid w:val="00CE436E"/>
    <w:rsid w:val="00CE446B"/>
    <w:rsid w:val="00CE459F"/>
    <w:rsid w:val="00CE47BC"/>
    <w:rsid w:val="00CE4CE6"/>
    <w:rsid w:val="00CE51BC"/>
    <w:rsid w:val="00CE5267"/>
    <w:rsid w:val="00CE5D75"/>
    <w:rsid w:val="00CE5DB9"/>
    <w:rsid w:val="00CE642D"/>
    <w:rsid w:val="00CE64F2"/>
    <w:rsid w:val="00CE6548"/>
    <w:rsid w:val="00CE7229"/>
    <w:rsid w:val="00CE77F0"/>
    <w:rsid w:val="00CE7D6E"/>
    <w:rsid w:val="00CE7F39"/>
    <w:rsid w:val="00CF02BA"/>
    <w:rsid w:val="00CF0C73"/>
    <w:rsid w:val="00CF0D05"/>
    <w:rsid w:val="00CF0DA5"/>
    <w:rsid w:val="00CF239D"/>
    <w:rsid w:val="00CF27B6"/>
    <w:rsid w:val="00CF283A"/>
    <w:rsid w:val="00CF288A"/>
    <w:rsid w:val="00CF2E4C"/>
    <w:rsid w:val="00CF2F9E"/>
    <w:rsid w:val="00CF3575"/>
    <w:rsid w:val="00CF3A0F"/>
    <w:rsid w:val="00CF3A1D"/>
    <w:rsid w:val="00CF4217"/>
    <w:rsid w:val="00CF45F2"/>
    <w:rsid w:val="00CF4C52"/>
    <w:rsid w:val="00CF5003"/>
    <w:rsid w:val="00CF549C"/>
    <w:rsid w:val="00CF5E68"/>
    <w:rsid w:val="00CF6F77"/>
    <w:rsid w:val="00CF71F7"/>
    <w:rsid w:val="00CF7A05"/>
    <w:rsid w:val="00D0053D"/>
    <w:rsid w:val="00D005C0"/>
    <w:rsid w:val="00D00A79"/>
    <w:rsid w:val="00D00AC2"/>
    <w:rsid w:val="00D00F47"/>
    <w:rsid w:val="00D013E1"/>
    <w:rsid w:val="00D02236"/>
    <w:rsid w:val="00D022C4"/>
    <w:rsid w:val="00D02354"/>
    <w:rsid w:val="00D02844"/>
    <w:rsid w:val="00D02C7F"/>
    <w:rsid w:val="00D02DDE"/>
    <w:rsid w:val="00D02E4A"/>
    <w:rsid w:val="00D0356F"/>
    <w:rsid w:val="00D03851"/>
    <w:rsid w:val="00D03923"/>
    <w:rsid w:val="00D039C8"/>
    <w:rsid w:val="00D03EBE"/>
    <w:rsid w:val="00D0410B"/>
    <w:rsid w:val="00D04759"/>
    <w:rsid w:val="00D04C4C"/>
    <w:rsid w:val="00D053B7"/>
    <w:rsid w:val="00D05522"/>
    <w:rsid w:val="00D05EFC"/>
    <w:rsid w:val="00D062FD"/>
    <w:rsid w:val="00D06B3A"/>
    <w:rsid w:val="00D0790D"/>
    <w:rsid w:val="00D1023C"/>
    <w:rsid w:val="00D102AC"/>
    <w:rsid w:val="00D103B8"/>
    <w:rsid w:val="00D10A96"/>
    <w:rsid w:val="00D10B7A"/>
    <w:rsid w:val="00D10CB8"/>
    <w:rsid w:val="00D10E9B"/>
    <w:rsid w:val="00D11053"/>
    <w:rsid w:val="00D1229A"/>
    <w:rsid w:val="00D12B37"/>
    <w:rsid w:val="00D12CFF"/>
    <w:rsid w:val="00D1320E"/>
    <w:rsid w:val="00D132F9"/>
    <w:rsid w:val="00D1354C"/>
    <w:rsid w:val="00D13D44"/>
    <w:rsid w:val="00D14850"/>
    <w:rsid w:val="00D149C9"/>
    <w:rsid w:val="00D149CD"/>
    <w:rsid w:val="00D15060"/>
    <w:rsid w:val="00D15203"/>
    <w:rsid w:val="00D155E7"/>
    <w:rsid w:val="00D1605B"/>
    <w:rsid w:val="00D16F43"/>
    <w:rsid w:val="00D175C3"/>
    <w:rsid w:val="00D1779B"/>
    <w:rsid w:val="00D17A46"/>
    <w:rsid w:val="00D17CB5"/>
    <w:rsid w:val="00D20125"/>
    <w:rsid w:val="00D2053D"/>
    <w:rsid w:val="00D20AF3"/>
    <w:rsid w:val="00D20C3A"/>
    <w:rsid w:val="00D20DA7"/>
    <w:rsid w:val="00D21726"/>
    <w:rsid w:val="00D2206C"/>
    <w:rsid w:val="00D224DC"/>
    <w:rsid w:val="00D2316B"/>
    <w:rsid w:val="00D2327E"/>
    <w:rsid w:val="00D234AA"/>
    <w:rsid w:val="00D23645"/>
    <w:rsid w:val="00D236E3"/>
    <w:rsid w:val="00D239CB"/>
    <w:rsid w:val="00D23C40"/>
    <w:rsid w:val="00D24142"/>
    <w:rsid w:val="00D244E6"/>
    <w:rsid w:val="00D2487B"/>
    <w:rsid w:val="00D24B6D"/>
    <w:rsid w:val="00D257B4"/>
    <w:rsid w:val="00D2584D"/>
    <w:rsid w:val="00D25941"/>
    <w:rsid w:val="00D25B2E"/>
    <w:rsid w:val="00D26723"/>
    <w:rsid w:val="00D2685D"/>
    <w:rsid w:val="00D26BD8"/>
    <w:rsid w:val="00D26C7D"/>
    <w:rsid w:val="00D27086"/>
    <w:rsid w:val="00D270A4"/>
    <w:rsid w:val="00D27986"/>
    <w:rsid w:val="00D3044B"/>
    <w:rsid w:val="00D310A3"/>
    <w:rsid w:val="00D310FA"/>
    <w:rsid w:val="00D31A7C"/>
    <w:rsid w:val="00D31D75"/>
    <w:rsid w:val="00D31FE9"/>
    <w:rsid w:val="00D320A8"/>
    <w:rsid w:val="00D323F0"/>
    <w:rsid w:val="00D328C0"/>
    <w:rsid w:val="00D3481C"/>
    <w:rsid w:val="00D34E1B"/>
    <w:rsid w:val="00D37077"/>
    <w:rsid w:val="00D3730A"/>
    <w:rsid w:val="00D37601"/>
    <w:rsid w:val="00D376BA"/>
    <w:rsid w:val="00D377B4"/>
    <w:rsid w:val="00D377F9"/>
    <w:rsid w:val="00D37BD6"/>
    <w:rsid w:val="00D37CA5"/>
    <w:rsid w:val="00D40353"/>
    <w:rsid w:val="00D405C1"/>
    <w:rsid w:val="00D40BE9"/>
    <w:rsid w:val="00D40C4A"/>
    <w:rsid w:val="00D40D5A"/>
    <w:rsid w:val="00D40EA7"/>
    <w:rsid w:val="00D41075"/>
    <w:rsid w:val="00D41152"/>
    <w:rsid w:val="00D413E7"/>
    <w:rsid w:val="00D4206D"/>
    <w:rsid w:val="00D42431"/>
    <w:rsid w:val="00D42632"/>
    <w:rsid w:val="00D42D8B"/>
    <w:rsid w:val="00D435FB"/>
    <w:rsid w:val="00D437F2"/>
    <w:rsid w:val="00D440CA"/>
    <w:rsid w:val="00D446CD"/>
    <w:rsid w:val="00D44ECF"/>
    <w:rsid w:val="00D45607"/>
    <w:rsid w:val="00D45634"/>
    <w:rsid w:val="00D45A00"/>
    <w:rsid w:val="00D45B2A"/>
    <w:rsid w:val="00D45F14"/>
    <w:rsid w:val="00D46A3F"/>
    <w:rsid w:val="00D46BE9"/>
    <w:rsid w:val="00D47345"/>
    <w:rsid w:val="00D4761B"/>
    <w:rsid w:val="00D47ACF"/>
    <w:rsid w:val="00D47D3A"/>
    <w:rsid w:val="00D50973"/>
    <w:rsid w:val="00D5146A"/>
    <w:rsid w:val="00D51695"/>
    <w:rsid w:val="00D51D81"/>
    <w:rsid w:val="00D51F17"/>
    <w:rsid w:val="00D522C9"/>
    <w:rsid w:val="00D52545"/>
    <w:rsid w:val="00D5393A"/>
    <w:rsid w:val="00D53F54"/>
    <w:rsid w:val="00D5459E"/>
    <w:rsid w:val="00D5568A"/>
    <w:rsid w:val="00D55857"/>
    <w:rsid w:val="00D563E2"/>
    <w:rsid w:val="00D56922"/>
    <w:rsid w:val="00D569C6"/>
    <w:rsid w:val="00D56E0B"/>
    <w:rsid w:val="00D57198"/>
    <w:rsid w:val="00D57C4E"/>
    <w:rsid w:val="00D60AB9"/>
    <w:rsid w:val="00D60E5C"/>
    <w:rsid w:val="00D60E61"/>
    <w:rsid w:val="00D6118C"/>
    <w:rsid w:val="00D613E8"/>
    <w:rsid w:val="00D61969"/>
    <w:rsid w:val="00D621DA"/>
    <w:rsid w:val="00D62313"/>
    <w:rsid w:val="00D62383"/>
    <w:rsid w:val="00D623D8"/>
    <w:rsid w:val="00D6276F"/>
    <w:rsid w:val="00D62CDA"/>
    <w:rsid w:val="00D62D96"/>
    <w:rsid w:val="00D62EE0"/>
    <w:rsid w:val="00D635A1"/>
    <w:rsid w:val="00D638CB"/>
    <w:rsid w:val="00D63D73"/>
    <w:rsid w:val="00D63E4E"/>
    <w:rsid w:val="00D63E9A"/>
    <w:rsid w:val="00D63F08"/>
    <w:rsid w:val="00D640B9"/>
    <w:rsid w:val="00D64452"/>
    <w:rsid w:val="00D65279"/>
    <w:rsid w:val="00D65341"/>
    <w:rsid w:val="00D66B8B"/>
    <w:rsid w:val="00D66D19"/>
    <w:rsid w:val="00D66E1E"/>
    <w:rsid w:val="00D67028"/>
    <w:rsid w:val="00D672C4"/>
    <w:rsid w:val="00D70586"/>
    <w:rsid w:val="00D707A4"/>
    <w:rsid w:val="00D70A9C"/>
    <w:rsid w:val="00D70E84"/>
    <w:rsid w:val="00D72586"/>
    <w:rsid w:val="00D72667"/>
    <w:rsid w:val="00D73407"/>
    <w:rsid w:val="00D73AA3"/>
    <w:rsid w:val="00D73F6C"/>
    <w:rsid w:val="00D74348"/>
    <w:rsid w:val="00D74CF8"/>
    <w:rsid w:val="00D7547C"/>
    <w:rsid w:val="00D75599"/>
    <w:rsid w:val="00D75722"/>
    <w:rsid w:val="00D75FEE"/>
    <w:rsid w:val="00D76548"/>
    <w:rsid w:val="00D76A9C"/>
    <w:rsid w:val="00D7708E"/>
    <w:rsid w:val="00D77693"/>
    <w:rsid w:val="00D7799A"/>
    <w:rsid w:val="00D77E30"/>
    <w:rsid w:val="00D80293"/>
    <w:rsid w:val="00D8065A"/>
    <w:rsid w:val="00D80CF5"/>
    <w:rsid w:val="00D81247"/>
    <w:rsid w:val="00D814C4"/>
    <w:rsid w:val="00D818C6"/>
    <w:rsid w:val="00D81E19"/>
    <w:rsid w:val="00D824CF"/>
    <w:rsid w:val="00D827F4"/>
    <w:rsid w:val="00D82A2A"/>
    <w:rsid w:val="00D82B86"/>
    <w:rsid w:val="00D83032"/>
    <w:rsid w:val="00D83D4E"/>
    <w:rsid w:val="00D855B5"/>
    <w:rsid w:val="00D86112"/>
    <w:rsid w:val="00D86327"/>
    <w:rsid w:val="00D86C5D"/>
    <w:rsid w:val="00D8758A"/>
    <w:rsid w:val="00D90464"/>
    <w:rsid w:val="00D90700"/>
    <w:rsid w:val="00D90E63"/>
    <w:rsid w:val="00D90F4B"/>
    <w:rsid w:val="00D9110D"/>
    <w:rsid w:val="00D91385"/>
    <w:rsid w:val="00D915B0"/>
    <w:rsid w:val="00D91ABA"/>
    <w:rsid w:val="00D920F7"/>
    <w:rsid w:val="00D9244C"/>
    <w:rsid w:val="00D92DF3"/>
    <w:rsid w:val="00D932B9"/>
    <w:rsid w:val="00D93D3F"/>
    <w:rsid w:val="00D947F3"/>
    <w:rsid w:val="00D94CE6"/>
    <w:rsid w:val="00D9555B"/>
    <w:rsid w:val="00D95953"/>
    <w:rsid w:val="00D95BFE"/>
    <w:rsid w:val="00D95EF1"/>
    <w:rsid w:val="00D95F87"/>
    <w:rsid w:val="00D95FD3"/>
    <w:rsid w:val="00D96749"/>
    <w:rsid w:val="00D9696B"/>
    <w:rsid w:val="00D969B1"/>
    <w:rsid w:val="00D96EFB"/>
    <w:rsid w:val="00D973C8"/>
    <w:rsid w:val="00DA06BF"/>
    <w:rsid w:val="00DA08E1"/>
    <w:rsid w:val="00DA1149"/>
    <w:rsid w:val="00DA1326"/>
    <w:rsid w:val="00DA13A0"/>
    <w:rsid w:val="00DA17F0"/>
    <w:rsid w:val="00DA1823"/>
    <w:rsid w:val="00DA1B73"/>
    <w:rsid w:val="00DA24A2"/>
    <w:rsid w:val="00DA3749"/>
    <w:rsid w:val="00DA3B01"/>
    <w:rsid w:val="00DA3CEC"/>
    <w:rsid w:val="00DA4041"/>
    <w:rsid w:val="00DA446A"/>
    <w:rsid w:val="00DA4AEC"/>
    <w:rsid w:val="00DA4AF6"/>
    <w:rsid w:val="00DA5260"/>
    <w:rsid w:val="00DA5829"/>
    <w:rsid w:val="00DA5B08"/>
    <w:rsid w:val="00DA5BBA"/>
    <w:rsid w:val="00DA5C09"/>
    <w:rsid w:val="00DA6416"/>
    <w:rsid w:val="00DA6791"/>
    <w:rsid w:val="00DA68DE"/>
    <w:rsid w:val="00DA6CA5"/>
    <w:rsid w:val="00DA6CF3"/>
    <w:rsid w:val="00DA6EDB"/>
    <w:rsid w:val="00DA707C"/>
    <w:rsid w:val="00DA73B4"/>
    <w:rsid w:val="00DA7DD5"/>
    <w:rsid w:val="00DB0903"/>
    <w:rsid w:val="00DB0D93"/>
    <w:rsid w:val="00DB11D0"/>
    <w:rsid w:val="00DB22B0"/>
    <w:rsid w:val="00DB22FF"/>
    <w:rsid w:val="00DB26D2"/>
    <w:rsid w:val="00DB3872"/>
    <w:rsid w:val="00DB3B1E"/>
    <w:rsid w:val="00DB3D1B"/>
    <w:rsid w:val="00DB3DDC"/>
    <w:rsid w:val="00DB3EFD"/>
    <w:rsid w:val="00DB3FA1"/>
    <w:rsid w:val="00DB4B26"/>
    <w:rsid w:val="00DB52E6"/>
    <w:rsid w:val="00DB5563"/>
    <w:rsid w:val="00DB55C9"/>
    <w:rsid w:val="00DB5AF2"/>
    <w:rsid w:val="00DB67C9"/>
    <w:rsid w:val="00DB74D6"/>
    <w:rsid w:val="00DB76BE"/>
    <w:rsid w:val="00DB77F6"/>
    <w:rsid w:val="00DB7CDB"/>
    <w:rsid w:val="00DB7ECB"/>
    <w:rsid w:val="00DB7F89"/>
    <w:rsid w:val="00DC02E3"/>
    <w:rsid w:val="00DC0AE0"/>
    <w:rsid w:val="00DC0B1F"/>
    <w:rsid w:val="00DC0C95"/>
    <w:rsid w:val="00DC10C2"/>
    <w:rsid w:val="00DC1618"/>
    <w:rsid w:val="00DC26DE"/>
    <w:rsid w:val="00DC2895"/>
    <w:rsid w:val="00DC329D"/>
    <w:rsid w:val="00DC34E9"/>
    <w:rsid w:val="00DC364D"/>
    <w:rsid w:val="00DC37B3"/>
    <w:rsid w:val="00DC385E"/>
    <w:rsid w:val="00DC3C64"/>
    <w:rsid w:val="00DC4358"/>
    <w:rsid w:val="00DC55BA"/>
    <w:rsid w:val="00DC592E"/>
    <w:rsid w:val="00DC59AA"/>
    <w:rsid w:val="00DC5C6C"/>
    <w:rsid w:val="00DD00FB"/>
    <w:rsid w:val="00DD0FBE"/>
    <w:rsid w:val="00DD1270"/>
    <w:rsid w:val="00DD17CD"/>
    <w:rsid w:val="00DD1AC7"/>
    <w:rsid w:val="00DD1FAF"/>
    <w:rsid w:val="00DD2407"/>
    <w:rsid w:val="00DD3A1B"/>
    <w:rsid w:val="00DD3C8F"/>
    <w:rsid w:val="00DD428C"/>
    <w:rsid w:val="00DD447D"/>
    <w:rsid w:val="00DD46E1"/>
    <w:rsid w:val="00DD470B"/>
    <w:rsid w:val="00DD4843"/>
    <w:rsid w:val="00DD4E21"/>
    <w:rsid w:val="00DD54F4"/>
    <w:rsid w:val="00DD5E18"/>
    <w:rsid w:val="00DD637C"/>
    <w:rsid w:val="00DD6539"/>
    <w:rsid w:val="00DD6580"/>
    <w:rsid w:val="00DD680D"/>
    <w:rsid w:val="00DD6EA2"/>
    <w:rsid w:val="00DD71A8"/>
    <w:rsid w:val="00DD730D"/>
    <w:rsid w:val="00DD7521"/>
    <w:rsid w:val="00DD75BE"/>
    <w:rsid w:val="00DD768A"/>
    <w:rsid w:val="00DD7878"/>
    <w:rsid w:val="00DD791F"/>
    <w:rsid w:val="00DD7CF5"/>
    <w:rsid w:val="00DE0ECA"/>
    <w:rsid w:val="00DE1AF8"/>
    <w:rsid w:val="00DE1F80"/>
    <w:rsid w:val="00DE20A3"/>
    <w:rsid w:val="00DE227B"/>
    <w:rsid w:val="00DE2767"/>
    <w:rsid w:val="00DE2D81"/>
    <w:rsid w:val="00DE2E01"/>
    <w:rsid w:val="00DE2E24"/>
    <w:rsid w:val="00DE2F37"/>
    <w:rsid w:val="00DE3447"/>
    <w:rsid w:val="00DE3498"/>
    <w:rsid w:val="00DE3B2F"/>
    <w:rsid w:val="00DE3D46"/>
    <w:rsid w:val="00DE3DB9"/>
    <w:rsid w:val="00DE3F3B"/>
    <w:rsid w:val="00DE3F97"/>
    <w:rsid w:val="00DE4042"/>
    <w:rsid w:val="00DE4668"/>
    <w:rsid w:val="00DE49D8"/>
    <w:rsid w:val="00DE4A84"/>
    <w:rsid w:val="00DE4BBB"/>
    <w:rsid w:val="00DE4CBA"/>
    <w:rsid w:val="00DE4D35"/>
    <w:rsid w:val="00DE4E40"/>
    <w:rsid w:val="00DE5165"/>
    <w:rsid w:val="00DE54FA"/>
    <w:rsid w:val="00DE6126"/>
    <w:rsid w:val="00DE61C0"/>
    <w:rsid w:val="00DE689B"/>
    <w:rsid w:val="00DE6A1E"/>
    <w:rsid w:val="00DE6C8D"/>
    <w:rsid w:val="00DE6E28"/>
    <w:rsid w:val="00DE6E54"/>
    <w:rsid w:val="00DE7587"/>
    <w:rsid w:val="00DE79D3"/>
    <w:rsid w:val="00DE7AB3"/>
    <w:rsid w:val="00DE7CE1"/>
    <w:rsid w:val="00DE7F10"/>
    <w:rsid w:val="00DF0395"/>
    <w:rsid w:val="00DF0A76"/>
    <w:rsid w:val="00DF0E90"/>
    <w:rsid w:val="00DF1161"/>
    <w:rsid w:val="00DF143B"/>
    <w:rsid w:val="00DF1446"/>
    <w:rsid w:val="00DF1520"/>
    <w:rsid w:val="00DF196F"/>
    <w:rsid w:val="00DF1B4D"/>
    <w:rsid w:val="00DF1BAB"/>
    <w:rsid w:val="00DF1DF6"/>
    <w:rsid w:val="00DF207C"/>
    <w:rsid w:val="00DF248B"/>
    <w:rsid w:val="00DF2590"/>
    <w:rsid w:val="00DF2C09"/>
    <w:rsid w:val="00DF2D37"/>
    <w:rsid w:val="00DF2D68"/>
    <w:rsid w:val="00DF3687"/>
    <w:rsid w:val="00DF3756"/>
    <w:rsid w:val="00DF5F7F"/>
    <w:rsid w:val="00DF6360"/>
    <w:rsid w:val="00DF64F1"/>
    <w:rsid w:val="00DF67E5"/>
    <w:rsid w:val="00DF6DA0"/>
    <w:rsid w:val="00DF7496"/>
    <w:rsid w:val="00DF7C72"/>
    <w:rsid w:val="00E003E3"/>
    <w:rsid w:val="00E012FB"/>
    <w:rsid w:val="00E02CA4"/>
    <w:rsid w:val="00E0411D"/>
    <w:rsid w:val="00E04156"/>
    <w:rsid w:val="00E04944"/>
    <w:rsid w:val="00E04A04"/>
    <w:rsid w:val="00E05145"/>
    <w:rsid w:val="00E05255"/>
    <w:rsid w:val="00E05616"/>
    <w:rsid w:val="00E05B83"/>
    <w:rsid w:val="00E066CF"/>
    <w:rsid w:val="00E067B6"/>
    <w:rsid w:val="00E06978"/>
    <w:rsid w:val="00E06A8D"/>
    <w:rsid w:val="00E06BAB"/>
    <w:rsid w:val="00E07290"/>
    <w:rsid w:val="00E077B1"/>
    <w:rsid w:val="00E079AF"/>
    <w:rsid w:val="00E07ECE"/>
    <w:rsid w:val="00E10C49"/>
    <w:rsid w:val="00E10D13"/>
    <w:rsid w:val="00E112C6"/>
    <w:rsid w:val="00E11F41"/>
    <w:rsid w:val="00E12121"/>
    <w:rsid w:val="00E1244F"/>
    <w:rsid w:val="00E12753"/>
    <w:rsid w:val="00E12788"/>
    <w:rsid w:val="00E12FD8"/>
    <w:rsid w:val="00E14472"/>
    <w:rsid w:val="00E15999"/>
    <w:rsid w:val="00E15A3D"/>
    <w:rsid w:val="00E15D39"/>
    <w:rsid w:val="00E15D96"/>
    <w:rsid w:val="00E16371"/>
    <w:rsid w:val="00E167B8"/>
    <w:rsid w:val="00E168FF"/>
    <w:rsid w:val="00E16992"/>
    <w:rsid w:val="00E16BE7"/>
    <w:rsid w:val="00E16EE0"/>
    <w:rsid w:val="00E16FDB"/>
    <w:rsid w:val="00E1707F"/>
    <w:rsid w:val="00E17815"/>
    <w:rsid w:val="00E17B96"/>
    <w:rsid w:val="00E17C72"/>
    <w:rsid w:val="00E17D67"/>
    <w:rsid w:val="00E20053"/>
    <w:rsid w:val="00E201A0"/>
    <w:rsid w:val="00E205A8"/>
    <w:rsid w:val="00E20FDA"/>
    <w:rsid w:val="00E20FEE"/>
    <w:rsid w:val="00E214D6"/>
    <w:rsid w:val="00E21B39"/>
    <w:rsid w:val="00E21FC6"/>
    <w:rsid w:val="00E22240"/>
    <w:rsid w:val="00E22400"/>
    <w:rsid w:val="00E22957"/>
    <w:rsid w:val="00E22D31"/>
    <w:rsid w:val="00E232C2"/>
    <w:rsid w:val="00E234A9"/>
    <w:rsid w:val="00E23B38"/>
    <w:rsid w:val="00E23B4C"/>
    <w:rsid w:val="00E23E8E"/>
    <w:rsid w:val="00E23EBE"/>
    <w:rsid w:val="00E25597"/>
    <w:rsid w:val="00E25689"/>
    <w:rsid w:val="00E258F3"/>
    <w:rsid w:val="00E25E00"/>
    <w:rsid w:val="00E266CC"/>
    <w:rsid w:val="00E267B9"/>
    <w:rsid w:val="00E269AA"/>
    <w:rsid w:val="00E26A49"/>
    <w:rsid w:val="00E27124"/>
    <w:rsid w:val="00E271DF"/>
    <w:rsid w:val="00E2798D"/>
    <w:rsid w:val="00E27BDD"/>
    <w:rsid w:val="00E27C64"/>
    <w:rsid w:val="00E27CD3"/>
    <w:rsid w:val="00E27ED2"/>
    <w:rsid w:val="00E30151"/>
    <w:rsid w:val="00E30BD9"/>
    <w:rsid w:val="00E30D94"/>
    <w:rsid w:val="00E30EF7"/>
    <w:rsid w:val="00E31664"/>
    <w:rsid w:val="00E316AC"/>
    <w:rsid w:val="00E31745"/>
    <w:rsid w:val="00E31911"/>
    <w:rsid w:val="00E31A84"/>
    <w:rsid w:val="00E31AA5"/>
    <w:rsid w:val="00E32DE7"/>
    <w:rsid w:val="00E32FFB"/>
    <w:rsid w:val="00E33232"/>
    <w:rsid w:val="00E346F0"/>
    <w:rsid w:val="00E3473F"/>
    <w:rsid w:val="00E3485D"/>
    <w:rsid w:val="00E349CF"/>
    <w:rsid w:val="00E34A0F"/>
    <w:rsid w:val="00E35261"/>
    <w:rsid w:val="00E3536F"/>
    <w:rsid w:val="00E35607"/>
    <w:rsid w:val="00E35CC2"/>
    <w:rsid w:val="00E3608E"/>
    <w:rsid w:val="00E363C3"/>
    <w:rsid w:val="00E363E3"/>
    <w:rsid w:val="00E368C4"/>
    <w:rsid w:val="00E371BB"/>
    <w:rsid w:val="00E3763D"/>
    <w:rsid w:val="00E37EC6"/>
    <w:rsid w:val="00E402D2"/>
    <w:rsid w:val="00E40589"/>
    <w:rsid w:val="00E406E0"/>
    <w:rsid w:val="00E40A37"/>
    <w:rsid w:val="00E40B01"/>
    <w:rsid w:val="00E413AB"/>
    <w:rsid w:val="00E413CE"/>
    <w:rsid w:val="00E417CC"/>
    <w:rsid w:val="00E42670"/>
    <w:rsid w:val="00E42D52"/>
    <w:rsid w:val="00E431A9"/>
    <w:rsid w:val="00E43C7E"/>
    <w:rsid w:val="00E440BB"/>
    <w:rsid w:val="00E444AE"/>
    <w:rsid w:val="00E44A80"/>
    <w:rsid w:val="00E44E5B"/>
    <w:rsid w:val="00E451E7"/>
    <w:rsid w:val="00E453C7"/>
    <w:rsid w:val="00E4561D"/>
    <w:rsid w:val="00E46B5C"/>
    <w:rsid w:val="00E472E3"/>
    <w:rsid w:val="00E4731B"/>
    <w:rsid w:val="00E5052B"/>
    <w:rsid w:val="00E50D6C"/>
    <w:rsid w:val="00E510E3"/>
    <w:rsid w:val="00E51868"/>
    <w:rsid w:val="00E51910"/>
    <w:rsid w:val="00E5192E"/>
    <w:rsid w:val="00E523DC"/>
    <w:rsid w:val="00E52632"/>
    <w:rsid w:val="00E5404B"/>
    <w:rsid w:val="00E54298"/>
    <w:rsid w:val="00E54479"/>
    <w:rsid w:val="00E548BA"/>
    <w:rsid w:val="00E54C8E"/>
    <w:rsid w:val="00E54F70"/>
    <w:rsid w:val="00E54F88"/>
    <w:rsid w:val="00E55211"/>
    <w:rsid w:val="00E55838"/>
    <w:rsid w:val="00E55849"/>
    <w:rsid w:val="00E55DFF"/>
    <w:rsid w:val="00E5600F"/>
    <w:rsid w:val="00E56B0B"/>
    <w:rsid w:val="00E56EEF"/>
    <w:rsid w:val="00E57031"/>
    <w:rsid w:val="00E57211"/>
    <w:rsid w:val="00E601DC"/>
    <w:rsid w:val="00E60642"/>
    <w:rsid w:val="00E60CEE"/>
    <w:rsid w:val="00E616B7"/>
    <w:rsid w:val="00E62691"/>
    <w:rsid w:val="00E63132"/>
    <w:rsid w:val="00E63335"/>
    <w:rsid w:val="00E6380C"/>
    <w:rsid w:val="00E6385D"/>
    <w:rsid w:val="00E63A3F"/>
    <w:rsid w:val="00E63A87"/>
    <w:rsid w:val="00E64129"/>
    <w:rsid w:val="00E64971"/>
    <w:rsid w:val="00E654C5"/>
    <w:rsid w:val="00E65A6B"/>
    <w:rsid w:val="00E65F55"/>
    <w:rsid w:val="00E668D7"/>
    <w:rsid w:val="00E669E2"/>
    <w:rsid w:val="00E66D71"/>
    <w:rsid w:val="00E67190"/>
    <w:rsid w:val="00E67649"/>
    <w:rsid w:val="00E677C6"/>
    <w:rsid w:val="00E701D3"/>
    <w:rsid w:val="00E707CD"/>
    <w:rsid w:val="00E71F75"/>
    <w:rsid w:val="00E72311"/>
    <w:rsid w:val="00E72D93"/>
    <w:rsid w:val="00E72E56"/>
    <w:rsid w:val="00E73251"/>
    <w:rsid w:val="00E732E1"/>
    <w:rsid w:val="00E734A3"/>
    <w:rsid w:val="00E735C5"/>
    <w:rsid w:val="00E73A45"/>
    <w:rsid w:val="00E73E04"/>
    <w:rsid w:val="00E73FBF"/>
    <w:rsid w:val="00E74522"/>
    <w:rsid w:val="00E74681"/>
    <w:rsid w:val="00E7483B"/>
    <w:rsid w:val="00E749A0"/>
    <w:rsid w:val="00E74E14"/>
    <w:rsid w:val="00E75217"/>
    <w:rsid w:val="00E75252"/>
    <w:rsid w:val="00E7535E"/>
    <w:rsid w:val="00E75427"/>
    <w:rsid w:val="00E75601"/>
    <w:rsid w:val="00E75652"/>
    <w:rsid w:val="00E757E4"/>
    <w:rsid w:val="00E75BCA"/>
    <w:rsid w:val="00E76135"/>
    <w:rsid w:val="00E764E0"/>
    <w:rsid w:val="00E765E5"/>
    <w:rsid w:val="00E76913"/>
    <w:rsid w:val="00E770A1"/>
    <w:rsid w:val="00E772E1"/>
    <w:rsid w:val="00E77647"/>
    <w:rsid w:val="00E77960"/>
    <w:rsid w:val="00E77981"/>
    <w:rsid w:val="00E809CF"/>
    <w:rsid w:val="00E81253"/>
    <w:rsid w:val="00E81B8D"/>
    <w:rsid w:val="00E82963"/>
    <w:rsid w:val="00E82D1A"/>
    <w:rsid w:val="00E82F4F"/>
    <w:rsid w:val="00E833D4"/>
    <w:rsid w:val="00E83793"/>
    <w:rsid w:val="00E8402A"/>
    <w:rsid w:val="00E84528"/>
    <w:rsid w:val="00E84BD1"/>
    <w:rsid w:val="00E84C47"/>
    <w:rsid w:val="00E852BC"/>
    <w:rsid w:val="00E86FB3"/>
    <w:rsid w:val="00E872FA"/>
    <w:rsid w:val="00E8754B"/>
    <w:rsid w:val="00E87CAC"/>
    <w:rsid w:val="00E87E5B"/>
    <w:rsid w:val="00E902BF"/>
    <w:rsid w:val="00E902CB"/>
    <w:rsid w:val="00E90CFF"/>
    <w:rsid w:val="00E91982"/>
    <w:rsid w:val="00E91CD7"/>
    <w:rsid w:val="00E92F99"/>
    <w:rsid w:val="00E932CB"/>
    <w:rsid w:val="00E9391F"/>
    <w:rsid w:val="00E93BFA"/>
    <w:rsid w:val="00E93DD6"/>
    <w:rsid w:val="00E9451B"/>
    <w:rsid w:val="00E9456C"/>
    <w:rsid w:val="00E94B33"/>
    <w:rsid w:val="00E954FC"/>
    <w:rsid w:val="00E96955"/>
    <w:rsid w:val="00E9696E"/>
    <w:rsid w:val="00E96ADD"/>
    <w:rsid w:val="00E971A9"/>
    <w:rsid w:val="00E97272"/>
    <w:rsid w:val="00E97273"/>
    <w:rsid w:val="00E978A9"/>
    <w:rsid w:val="00EA0479"/>
    <w:rsid w:val="00EA0832"/>
    <w:rsid w:val="00EA09E4"/>
    <w:rsid w:val="00EA1572"/>
    <w:rsid w:val="00EA1724"/>
    <w:rsid w:val="00EA1AAC"/>
    <w:rsid w:val="00EA1BA4"/>
    <w:rsid w:val="00EA1D61"/>
    <w:rsid w:val="00EA2366"/>
    <w:rsid w:val="00EA263A"/>
    <w:rsid w:val="00EA2BDC"/>
    <w:rsid w:val="00EA2D8F"/>
    <w:rsid w:val="00EA3495"/>
    <w:rsid w:val="00EA3717"/>
    <w:rsid w:val="00EA38B1"/>
    <w:rsid w:val="00EA39A0"/>
    <w:rsid w:val="00EA4305"/>
    <w:rsid w:val="00EA439E"/>
    <w:rsid w:val="00EA4586"/>
    <w:rsid w:val="00EA4694"/>
    <w:rsid w:val="00EA5CD4"/>
    <w:rsid w:val="00EA6C98"/>
    <w:rsid w:val="00EA6EC2"/>
    <w:rsid w:val="00EA7D47"/>
    <w:rsid w:val="00EB002E"/>
    <w:rsid w:val="00EB0A54"/>
    <w:rsid w:val="00EB0AEA"/>
    <w:rsid w:val="00EB113C"/>
    <w:rsid w:val="00EB1363"/>
    <w:rsid w:val="00EB18AB"/>
    <w:rsid w:val="00EB1B0A"/>
    <w:rsid w:val="00EB2818"/>
    <w:rsid w:val="00EB2829"/>
    <w:rsid w:val="00EB38D2"/>
    <w:rsid w:val="00EB4594"/>
    <w:rsid w:val="00EB465A"/>
    <w:rsid w:val="00EB4F73"/>
    <w:rsid w:val="00EB5AC5"/>
    <w:rsid w:val="00EB5BBF"/>
    <w:rsid w:val="00EB6273"/>
    <w:rsid w:val="00EB66A1"/>
    <w:rsid w:val="00EB6915"/>
    <w:rsid w:val="00EB6B39"/>
    <w:rsid w:val="00EB70BF"/>
    <w:rsid w:val="00EB7115"/>
    <w:rsid w:val="00EB736A"/>
    <w:rsid w:val="00EC05EA"/>
    <w:rsid w:val="00EC0834"/>
    <w:rsid w:val="00EC0881"/>
    <w:rsid w:val="00EC0EBB"/>
    <w:rsid w:val="00EC0FFE"/>
    <w:rsid w:val="00EC1FA1"/>
    <w:rsid w:val="00EC2020"/>
    <w:rsid w:val="00EC206E"/>
    <w:rsid w:val="00EC2379"/>
    <w:rsid w:val="00EC2844"/>
    <w:rsid w:val="00EC2A4B"/>
    <w:rsid w:val="00EC2C33"/>
    <w:rsid w:val="00EC2D80"/>
    <w:rsid w:val="00EC2EF1"/>
    <w:rsid w:val="00EC387C"/>
    <w:rsid w:val="00EC3CF9"/>
    <w:rsid w:val="00EC3D0F"/>
    <w:rsid w:val="00EC4043"/>
    <w:rsid w:val="00EC4373"/>
    <w:rsid w:val="00EC4EFF"/>
    <w:rsid w:val="00EC4F73"/>
    <w:rsid w:val="00EC4FCC"/>
    <w:rsid w:val="00EC5500"/>
    <w:rsid w:val="00EC59D4"/>
    <w:rsid w:val="00EC64FD"/>
    <w:rsid w:val="00EC6C51"/>
    <w:rsid w:val="00EC7270"/>
    <w:rsid w:val="00EC7AD6"/>
    <w:rsid w:val="00EC7CE8"/>
    <w:rsid w:val="00ED07A6"/>
    <w:rsid w:val="00ED0D6F"/>
    <w:rsid w:val="00ED11C3"/>
    <w:rsid w:val="00ED1278"/>
    <w:rsid w:val="00ED1AC0"/>
    <w:rsid w:val="00ED1CF9"/>
    <w:rsid w:val="00ED2C2F"/>
    <w:rsid w:val="00ED2CF4"/>
    <w:rsid w:val="00ED31EB"/>
    <w:rsid w:val="00ED36F2"/>
    <w:rsid w:val="00ED39B6"/>
    <w:rsid w:val="00ED408E"/>
    <w:rsid w:val="00ED40AA"/>
    <w:rsid w:val="00ED4EB3"/>
    <w:rsid w:val="00ED5891"/>
    <w:rsid w:val="00ED5B45"/>
    <w:rsid w:val="00ED62A5"/>
    <w:rsid w:val="00ED63F1"/>
    <w:rsid w:val="00ED6701"/>
    <w:rsid w:val="00ED679A"/>
    <w:rsid w:val="00ED69E0"/>
    <w:rsid w:val="00ED6FBD"/>
    <w:rsid w:val="00EE0237"/>
    <w:rsid w:val="00EE032F"/>
    <w:rsid w:val="00EE0593"/>
    <w:rsid w:val="00EE08ED"/>
    <w:rsid w:val="00EE1598"/>
    <w:rsid w:val="00EE1CFD"/>
    <w:rsid w:val="00EE2299"/>
    <w:rsid w:val="00EE372F"/>
    <w:rsid w:val="00EE3B97"/>
    <w:rsid w:val="00EE3E43"/>
    <w:rsid w:val="00EE4532"/>
    <w:rsid w:val="00EE471B"/>
    <w:rsid w:val="00EE4882"/>
    <w:rsid w:val="00EE49FE"/>
    <w:rsid w:val="00EE4FCB"/>
    <w:rsid w:val="00EE5261"/>
    <w:rsid w:val="00EE584D"/>
    <w:rsid w:val="00EE588B"/>
    <w:rsid w:val="00EE6F3D"/>
    <w:rsid w:val="00EE71DB"/>
    <w:rsid w:val="00EE75F2"/>
    <w:rsid w:val="00EE7BB6"/>
    <w:rsid w:val="00EE7C07"/>
    <w:rsid w:val="00EE7F6A"/>
    <w:rsid w:val="00EE7FB0"/>
    <w:rsid w:val="00EF05A9"/>
    <w:rsid w:val="00EF0BBF"/>
    <w:rsid w:val="00EF0DB4"/>
    <w:rsid w:val="00EF0DE6"/>
    <w:rsid w:val="00EF24AD"/>
    <w:rsid w:val="00EF3003"/>
    <w:rsid w:val="00EF33D0"/>
    <w:rsid w:val="00EF3615"/>
    <w:rsid w:val="00EF3EF3"/>
    <w:rsid w:val="00EF4062"/>
    <w:rsid w:val="00EF43D8"/>
    <w:rsid w:val="00EF4428"/>
    <w:rsid w:val="00EF4441"/>
    <w:rsid w:val="00EF4FCB"/>
    <w:rsid w:val="00EF53AF"/>
    <w:rsid w:val="00EF5B1E"/>
    <w:rsid w:val="00EF61A3"/>
    <w:rsid w:val="00EF647A"/>
    <w:rsid w:val="00EF6636"/>
    <w:rsid w:val="00EF6AF3"/>
    <w:rsid w:val="00EF6C6C"/>
    <w:rsid w:val="00EF7490"/>
    <w:rsid w:val="00F0091A"/>
    <w:rsid w:val="00F01271"/>
    <w:rsid w:val="00F031A4"/>
    <w:rsid w:val="00F03243"/>
    <w:rsid w:val="00F03446"/>
    <w:rsid w:val="00F03475"/>
    <w:rsid w:val="00F035F2"/>
    <w:rsid w:val="00F03B5F"/>
    <w:rsid w:val="00F0413E"/>
    <w:rsid w:val="00F042C1"/>
    <w:rsid w:val="00F043CD"/>
    <w:rsid w:val="00F04DDE"/>
    <w:rsid w:val="00F056FC"/>
    <w:rsid w:val="00F059DB"/>
    <w:rsid w:val="00F05A6E"/>
    <w:rsid w:val="00F05A9B"/>
    <w:rsid w:val="00F06260"/>
    <w:rsid w:val="00F06775"/>
    <w:rsid w:val="00F06802"/>
    <w:rsid w:val="00F07415"/>
    <w:rsid w:val="00F07B40"/>
    <w:rsid w:val="00F07DFC"/>
    <w:rsid w:val="00F100AD"/>
    <w:rsid w:val="00F10461"/>
    <w:rsid w:val="00F10476"/>
    <w:rsid w:val="00F104DB"/>
    <w:rsid w:val="00F10A6E"/>
    <w:rsid w:val="00F10CC9"/>
    <w:rsid w:val="00F11171"/>
    <w:rsid w:val="00F1122D"/>
    <w:rsid w:val="00F11512"/>
    <w:rsid w:val="00F1215A"/>
    <w:rsid w:val="00F122B5"/>
    <w:rsid w:val="00F12402"/>
    <w:rsid w:val="00F13440"/>
    <w:rsid w:val="00F135D8"/>
    <w:rsid w:val="00F13BDD"/>
    <w:rsid w:val="00F13EDE"/>
    <w:rsid w:val="00F148DD"/>
    <w:rsid w:val="00F14963"/>
    <w:rsid w:val="00F1565D"/>
    <w:rsid w:val="00F15928"/>
    <w:rsid w:val="00F1660E"/>
    <w:rsid w:val="00F16C7A"/>
    <w:rsid w:val="00F16F05"/>
    <w:rsid w:val="00F16F9E"/>
    <w:rsid w:val="00F1727F"/>
    <w:rsid w:val="00F17520"/>
    <w:rsid w:val="00F17679"/>
    <w:rsid w:val="00F176BD"/>
    <w:rsid w:val="00F1785C"/>
    <w:rsid w:val="00F17AC0"/>
    <w:rsid w:val="00F207FE"/>
    <w:rsid w:val="00F20AA2"/>
    <w:rsid w:val="00F20FB9"/>
    <w:rsid w:val="00F213AB"/>
    <w:rsid w:val="00F22029"/>
    <w:rsid w:val="00F224BC"/>
    <w:rsid w:val="00F225D6"/>
    <w:rsid w:val="00F238E6"/>
    <w:rsid w:val="00F242E1"/>
    <w:rsid w:val="00F24677"/>
    <w:rsid w:val="00F24CE7"/>
    <w:rsid w:val="00F2507C"/>
    <w:rsid w:val="00F250FC"/>
    <w:rsid w:val="00F251E0"/>
    <w:rsid w:val="00F251FD"/>
    <w:rsid w:val="00F2542C"/>
    <w:rsid w:val="00F2631D"/>
    <w:rsid w:val="00F266A7"/>
    <w:rsid w:val="00F26F44"/>
    <w:rsid w:val="00F273F3"/>
    <w:rsid w:val="00F27837"/>
    <w:rsid w:val="00F278FC"/>
    <w:rsid w:val="00F27B22"/>
    <w:rsid w:val="00F27DDE"/>
    <w:rsid w:val="00F30518"/>
    <w:rsid w:val="00F30934"/>
    <w:rsid w:val="00F30AD3"/>
    <w:rsid w:val="00F30C84"/>
    <w:rsid w:val="00F30CED"/>
    <w:rsid w:val="00F31299"/>
    <w:rsid w:val="00F31642"/>
    <w:rsid w:val="00F320B7"/>
    <w:rsid w:val="00F32C59"/>
    <w:rsid w:val="00F32FC8"/>
    <w:rsid w:val="00F33000"/>
    <w:rsid w:val="00F33213"/>
    <w:rsid w:val="00F3336B"/>
    <w:rsid w:val="00F341C0"/>
    <w:rsid w:val="00F344F2"/>
    <w:rsid w:val="00F3534A"/>
    <w:rsid w:val="00F3559D"/>
    <w:rsid w:val="00F356E8"/>
    <w:rsid w:val="00F3576D"/>
    <w:rsid w:val="00F361F5"/>
    <w:rsid w:val="00F3694F"/>
    <w:rsid w:val="00F37406"/>
    <w:rsid w:val="00F376A5"/>
    <w:rsid w:val="00F3780A"/>
    <w:rsid w:val="00F37877"/>
    <w:rsid w:val="00F37A46"/>
    <w:rsid w:val="00F37D29"/>
    <w:rsid w:val="00F404E0"/>
    <w:rsid w:val="00F40823"/>
    <w:rsid w:val="00F409B4"/>
    <w:rsid w:val="00F40DC2"/>
    <w:rsid w:val="00F42071"/>
    <w:rsid w:val="00F4252F"/>
    <w:rsid w:val="00F42724"/>
    <w:rsid w:val="00F429BE"/>
    <w:rsid w:val="00F42E06"/>
    <w:rsid w:val="00F43052"/>
    <w:rsid w:val="00F43D3F"/>
    <w:rsid w:val="00F43D43"/>
    <w:rsid w:val="00F43EA6"/>
    <w:rsid w:val="00F44104"/>
    <w:rsid w:val="00F44182"/>
    <w:rsid w:val="00F443A6"/>
    <w:rsid w:val="00F444E1"/>
    <w:rsid w:val="00F44524"/>
    <w:rsid w:val="00F4522D"/>
    <w:rsid w:val="00F4531F"/>
    <w:rsid w:val="00F453A7"/>
    <w:rsid w:val="00F455C4"/>
    <w:rsid w:val="00F4568C"/>
    <w:rsid w:val="00F45A93"/>
    <w:rsid w:val="00F45BAB"/>
    <w:rsid w:val="00F45F7B"/>
    <w:rsid w:val="00F4644D"/>
    <w:rsid w:val="00F470B5"/>
    <w:rsid w:val="00F471A5"/>
    <w:rsid w:val="00F475B5"/>
    <w:rsid w:val="00F50241"/>
    <w:rsid w:val="00F5030A"/>
    <w:rsid w:val="00F503EE"/>
    <w:rsid w:val="00F50A52"/>
    <w:rsid w:val="00F51609"/>
    <w:rsid w:val="00F52E6D"/>
    <w:rsid w:val="00F52E7B"/>
    <w:rsid w:val="00F53045"/>
    <w:rsid w:val="00F534C1"/>
    <w:rsid w:val="00F53565"/>
    <w:rsid w:val="00F542F3"/>
    <w:rsid w:val="00F54863"/>
    <w:rsid w:val="00F5538E"/>
    <w:rsid w:val="00F55393"/>
    <w:rsid w:val="00F553E0"/>
    <w:rsid w:val="00F55716"/>
    <w:rsid w:val="00F5622C"/>
    <w:rsid w:val="00F56878"/>
    <w:rsid w:val="00F56D66"/>
    <w:rsid w:val="00F57004"/>
    <w:rsid w:val="00F578E7"/>
    <w:rsid w:val="00F579B2"/>
    <w:rsid w:val="00F57ECE"/>
    <w:rsid w:val="00F6025F"/>
    <w:rsid w:val="00F60742"/>
    <w:rsid w:val="00F61475"/>
    <w:rsid w:val="00F6151C"/>
    <w:rsid w:val="00F615BD"/>
    <w:rsid w:val="00F61904"/>
    <w:rsid w:val="00F63ACD"/>
    <w:rsid w:val="00F641F3"/>
    <w:rsid w:val="00F6441A"/>
    <w:rsid w:val="00F64464"/>
    <w:rsid w:val="00F64632"/>
    <w:rsid w:val="00F64C6E"/>
    <w:rsid w:val="00F65459"/>
    <w:rsid w:val="00F6635C"/>
    <w:rsid w:val="00F66510"/>
    <w:rsid w:val="00F66C5E"/>
    <w:rsid w:val="00F67361"/>
    <w:rsid w:val="00F673BC"/>
    <w:rsid w:val="00F673D7"/>
    <w:rsid w:val="00F676EF"/>
    <w:rsid w:val="00F679C0"/>
    <w:rsid w:val="00F70D43"/>
    <w:rsid w:val="00F710F0"/>
    <w:rsid w:val="00F714EF"/>
    <w:rsid w:val="00F71AF6"/>
    <w:rsid w:val="00F73612"/>
    <w:rsid w:val="00F7371D"/>
    <w:rsid w:val="00F73A76"/>
    <w:rsid w:val="00F73C6D"/>
    <w:rsid w:val="00F7400B"/>
    <w:rsid w:val="00F7438B"/>
    <w:rsid w:val="00F743C3"/>
    <w:rsid w:val="00F7443C"/>
    <w:rsid w:val="00F74567"/>
    <w:rsid w:val="00F74EF5"/>
    <w:rsid w:val="00F75116"/>
    <w:rsid w:val="00F769E5"/>
    <w:rsid w:val="00F76A00"/>
    <w:rsid w:val="00F77408"/>
    <w:rsid w:val="00F7749D"/>
    <w:rsid w:val="00F77B96"/>
    <w:rsid w:val="00F8021F"/>
    <w:rsid w:val="00F80726"/>
    <w:rsid w:val="00F81006"/>
    <w:rsid w:val="00F810A7"/>
    <w:rsid w:val="00F81238"/>
    <w:rsid w:val="00F81DA2"/>
    <w:rsid w:val="00F82C43"/>
    <w:rsid w:val="00F840D2"/>
    <w:rsid w:val="00F844AA"/>
    <w:rsid w:val="00F8504E"/>
    <w:rsid w:val="00F85153"/>
    <w:rsid w:val="00F85325"/>
    <w:rsid w:val="00F85938"/>
    <w:rsid w:val="00F863AC"/>
    <w:rsid w:val="00F86A1E"/>
    <w:rsid w:val="00F870A9"/>
    <w:rsid w:val="00F87448"/>
    <w:rsid w:val="00F877D4"/>
    <w:rsid w:val="00F878DA"/>
    <w:rsid w:val="00F87D40"/>
    <w:rsid w:val="00F87F5D"/>
    <w:rsid w:val="00F90681"/>
    <w:rsid w:val="00F906AC"/>
    <w:rsid w:val="00F908A5"/>
    <w:rsid w:val="00F90BCD"/>
    <w:rsid w:val="00F91756"/>
    <w:rsid w:val="00F919A2"/>
    <w:rsid w:val="00F91B2E"/>
    <w:rsid w:val="00F91F7E"/>
    <w:rsid w:val="00F93886"/>
    <w:rsid w:val="00F94A73"/>
    <w:rsid w:val="00F94B13"/>
    <w:rsid w:val="00F94FE4"/>
    <w:rsid w:val="00F95339"/>
    <w:rsid w:val="00F96EA1"/>
    <w:rsid w:val="00F97458"/>
    <w:rsid w:val="00F97504"/>
    <w:rsid w:val="00F976DA"/>
    <w:rsid w:val="00FA0372"/>
    <w:rsid w:val="00FA094E"/>
    <w:rsid w:val="00FA09CE"/>
    <w:rsid w:val="00FA1874"/>
    <w:rsid w:val="00FA1F48"/>
    <w:rsid w:val="00FA1F50"/>
    <w:rsid w:val="00FA206B"/>
    <w:rsid w:val="00FA2383"/>
    <w:rsid w:val="00FA241C"/>
    <w:rsid w:val="00FA265D"/>
    <w:rsid w:val="00FA2916"/>
    <w:rsid w:val="00FA2BAB"/>
    <w:rsid w:val="00FA2D9C"/>
    <w:rsid w:val="00FA2F0E"/>
    <w:rsid w:val="00FA33D1"/>
    <w:rsid w:val="00FA34EB"/>
    <w:rsid w:val="00FA3529"/>
    <w:rsid w:val="00FA36F2"/>
    <w:rsid w:val="00FA37BD"/>
    <w:rsid w:val="00FA428F"/>
    <w:rsid w:val="00FA47EB"/>
    <w:rsid w:val="00FA4EB0"/>
    <w:rsid w:val="00FA583B"/>
    <w:rsid w:val="00FA5874"/>
    <w:rsid w:val="00FA5F94"/>
    <w:rsid w:val="00FA61A7"/>
    <w:rsid w:val="00FA63E5"/>
    <w:rsid w:val="00FA6794"/>
    <w:rsid w:val="00FA68F3"/>
    <w:rsid w:val="00FA68FC"/>
    <w:rsid w:val="00FA6C16"/>
    <w:rsid w:val="00FA6D9A"/>
    <w:rsid w:val="00FA7217"/>
    <w:rsid w:val="00FA722B"/>
    <w:rsid w:val="00FA779C"/>
    <w:rsid w:val="00FA7FED"/>
    <w:rsid w:val="00FB092C"/>
    <w:rsid w:val="00FB1353"/>
    <w:rsid w:val="00FB1570"/>
    <w:rsid w:val="00FB1857"/>
    <w:rsid w:val="00FB196F"/>
    <w:rsid w:val="00FB1DD1"/>
    <w:rsid w:val="00FB2043"/>
    <w:rsid w:val="00FB2091"/>
    <w:rsid w:val="00FB2B61"/>
    <w:rsid w:val="00FB2DD4"/>
    <w:rsid w:val="00FB33E2"/>
    <w:rsid w:val="00FB39F5"/>
    <w:rsid w:val="00FB3AAE"/>
    <w:rsid w:val="00FB3B85"/>
    <w:rsid w:val="00FB3E50"/>
    <w:rsid w:val="00FB44AE"/>
    <w:rsid w:val="00FB476D"/>
    <w:rsid w:val="00FB478B"/>
    <w:rsid w:val="00FB4876"/>
    <w:rsid w:val="00FB4B91"/>
    <w:rsid w:val="00FB6322"/>
    <w:rsid w:val="00FB6C6B"/>
    <w:rsid w:val="00FB6DA3"/>
    <w:rsid w:val="00FB768C"/>
    <w:rsid w:val="00FB7C3B"/>
    <w:rsid w:val="00FB7DEF"/>
    <w:rsid w:val="00FC08C2"/>
    <w:rsid w:val="00FC09F0"/>
    <w:rsid w:val="00FC0B85"/>
    <w:rsid w:val="00FC1A6C"/>
    <w:rsid w:val="00FC1B01"/>
    <w:rsid w:val="00FC2B4C"/>
    <w:rsid w:val="00FC30F3"/>
    <w:rsid w:val="00FC3466"/>
    <w:rsid w:val="00FC37F6"/>
    <w:rsid w:val="00FC3AE4"/>
    <w:rsid w:val="00FC3F39"/>
    <w:rsid w:val="00FC4182"/>
    <w:rsid w:val="00FC4CDA"/>
    <w:rsid w:val="00FC5179"/>
    <w:rsid w:val="00FC51C0"/>
    <w:rsid w:val="00FC5559"/>
    <w:rsid w:val="00FC5AC3"/>
    <w:rsid w:val="00FC630A"/>
    <w:rsid w:val="00FC6BB7"/>
    <w:rsid w:val="00FC7391"/>
    <w:rsid w:val="00FC73EF"/>
    <w:rsid w:val="00FC7CD6"/>
    <w:rsid w:val="00FD093F"/>
    <w:rsid w:val="00FD1817"/>
    <w:rsid w:val="00FD22B1"/>
    <w:rsid w:val="00FD2CFC"/>
    <w:rsid w:val="00FD3AD3"/>
    <w:rsid w:val="00FD3DE9"/>
    <w:rsid w:val="00FD4318"/>
    <w:rsid w:val="00FD515E"/>
    <w:rsid w:val="00FD52F7"/>
    <w:rsid w:val="00FD531D"/>
    <w:rsid w:val="00FD557D"/>
    <w:rsid w:val="00FD5A37"/>
    <w:rsid w:val="00FD5AFD"/>
    <w:rsid w:val="00FD64B2"/>
    <w:rsid w:val="00FD6969"/>
    <w:rsid w:val="00FD7180"/>
    <w:rsid w:val="00FD71C9"/>
    <w:rsid w:val="00FD78AB"/>
    <w:rsid w:val="00FE004B"/>
    <w:rsid w:val="00FE0F95"/>
    <w:rsid w:val="00FE157E"/>
    <w:rsid w:val="00FE249F"/>
    <w:rsid w:val="00FE258C"/>
    <w:rsid w:val="00FE259E"/>
    <w:rsid w:val="00FE26DB"/>
    <w:rsid w:val="00FE3190"/>
    <w:rsid w:val="00FE3608"/>
    <w:rsid w:val="00FE3826"/>
    <w:rsid w:val="00FE491C"/>
    <w:rsid w:val="00FE4AEC"/>
    <w:rsid w:val="00FE514D"/>
    <w:rsid w:val="00FE5397"/>
    <w:rsid w:val="00FE53E9"/>
    <w:rsid w:val="00FE5662"/>
    <w:rsid w:val="00FE61ED"/>
    <w:rsid w:val="00FE68A5"/>
    <w:rsid w:val="00FE7798"/>
    <w:rsid w:val="00FE7A6A"/>
    <w:rsid w:val="00FE7AE1"/>
    <w:rsid w:val="00FE7D31"/>
    <w:rsid w:val="00FF02E6"/>
    <w:rsid w:val="00FF0395"/>
    <w:rsid w:val="00FF03D7"/>
    <w:rsid w:val="00FF0557"/>
    <w:rsid w:val="00FF05C7"/>
    <w:rsid w:val="00FF12B0"/>
    <w:rsid w:val="00FF1571"/>
    <w:rsid w:val="00FF21D5"/>
    <w:rsid w:val="00FF2461"/>
    <w:rsid w:val="00FF29FE"/>
    <w:rsid w:val="00FF2EFF"/>
    <w:rsid w:val="00FF3BD3"/>
    <w:rsid w:val="00FF407A"/>
    <w:rsid w:val="00FF4AF8"/>
    <w:rsid w:val="00FF4F79"/>
    <w:rsid w:val="00FF54EB"/>
    <w:rsid w:val="00FF5D02"/>
    <w:rsid w:val="00FF5F64"/>
    <w:rsid w:val="00FF70CF"/>
    <w:rsid w:val="00FF75B4"/>
    <w:rsid w:val="00FF7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844"/>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D565F"/>
    <w:pPr>
      <w:keepNext/>
      <w:spacing w:before="360" w:line="80" w:lineRule="exact"/>
      <w:jc w:val="left"/>
    </w:pPr>
  </w:style>
  <w:style w:type="character" w:customStyle="1" w:styleId="BodyTextChar">
    <w:name w:val="Body Text Char"/>
    <w:basedOn w:val="DefaultParagraphFont"/>
    <w:link w:val="BodyText"/>
    <w:rsid w:val="004D565F"/>
    <w:rPr>
      <w:sz w:val="26"/>
    </w:rPr>
  </w:style>
  <w:style w:type="character" w:customStyle="1" w:styleId="Heading3Char">
    <w:name w:val="Heading 3 Char"/>
    <w:basedOn w:val="DefaultParagraphFont"/>
    <w:link w:val="Heading3"/>
    <w:rsid w:val="004D565F"/>
    <w:rPr>
      <w:rFonts w:ascii="Arial" w:hAnsi="Arial"/>
      <w:b/>
      <w:sz w:val="26"/>
    </w:rPr>
  </w:style>
  <w:style w:type="character" w:customStyle="1" w:styleId="FootnoteTextChar">
    <w:name w:val="Footnote Text Char"/>
    <w:basedOn w:val="DefaultParagraphFont"/>
    <w:link w:val="FootnoteText"/>
    <w:rsid w:val="004D565F"/>
    <w:rPr>
      <w:sz w:val="22"/>
    </w:rPr>
  </w:style>
  <w:style w:type="character" w:customStyle="1" w:styleId="QuoteChar">
    <w:name w:val="Quote Char"/>
    <w:basedOn w:val="DefaultParagraphFont"/>
    <w:link w:val="Quote"/>
    <w:uiPriority w:val="99"/>
    <w:rsid w:val="004D565F"/>
    <w:rPr>
      <w:sz w:val="24"/>
    </w:rPr>
  </w:style>
  <w:style w:type="character" w:customStyle="1" w:styleId="Heading4Char">
    <w:name w:val="Heading 4 Char"/>
    <w:basedOn w:val="DefaultParagraphFont"/>
    <w:link w:val="Heading4"/>
    <w:rsid w:val="004D565F"/>
    <w:rPr>
      <w:rFonts w:ascii="Arial" w:hAnsi="Arial"/>
      <w:i/>
      <w:sz w:val="24"/>
    </w:rPr>
  </w:style>
  <w:style w:type="paragraph" w:customStyle="1" w:styleId="Question">
    <w:name w:val="Question"/>
    <w:basedOn w:val="BodyText"/>
    <w:next w:val="BodyText"/>
    <w:rsid w:val="004D565F"/>
    <w:pPr>
      <w:spacing w:before="180"/>
    </w:pPr>
    <w:rPr>
      <w:i/>
    </w:rPr>
  </w:style>
  <w:style w:type="paragraph" w:customStyle="1" w:styleId="QuoteIndent">
    <w:name w:val="Quote Indent"/>
    <w:basedOn w:val="QuoteBullet"/>
    <w:rsid w:val="004D565F"/>
    <w:pPr>
      <w:numPr>
        <w:numId w:val="0"/>
      </w:numPr>
      <w:ind w:left="720"/>
    </w:pPr>
  </w:style>
  <w:style w:type="paragraph" w:customStyle="1" w:styleId="QuoteIndent2">
    <w:name w:val="Quote Indent 2"/>
    <w:basedOn w:val="QuoteIndent"/>
    <w:rsid w:val="004D565F"/>
    <w:pPr>
      <w:ind w:left="1537" w:hanging="425"/>
    </w:pPr>
  </w:style>
  <w:style w:type="character" w:customStyle="1" w:styleId="Heading1Char">
    <w:name w:val="Heading 1 Char"/>
    <w:basedOn w:val="DefaultParagraphFont"/>
    <w:link w:val="Heading1"/>
    <w:uiPriority w:val="99"/>
    <w:locked/>
    <w:rsid w:val="004D565F"/>
    <w:rPr>
      <w:sz w:val="52"/>
    </w:rPr>
  </w:style>
  <w:style w:type="character" w:customStyle="1" w:styleId="BoxListBulletChar">
    <w:name w:val="Box List Bullet Char"/>
    <w:link w:val="BoxListBullet"/>
    <w:locked/>
    <w:rsid w:val="004D565F"/>
    <w:rPr>
      <w:rFonts w:ascii="Arial" w:hAnsi="Arial"/>
      <w:sz w:val="22"/>
    </w:rPr>
  </w:style>
  <w:style w:type="paragraph" w:styleId="CommentSubject">
    <w:name w:val="annotation subject"/>
    <w:basedOn w:val="CommentText"/>
    <w:next w:val="CommentText"/>
    <w:link w:val="CommentSubjectChar"/>
    <w:rsid w:val="004D565F"/>
    <w:pPr>
      <w:spacing w:before="0" w:line="240" w:lineRule="auto"/>
      <w:ind w:left="0" w:firstLine="0"/>
    </w:pPr>
    <w:rPr>
      <w:rFonts w:ascii="Calibri" w:eastAsiaTheme="minorHAnsi" w:hAnsi="Calibri" w:cs="Calibri"/>
      <w:b/>
      <w:bCs/>
      <w:szCs w:val="20"/>
      <w:lang w:eastAsia="en-US"/>
    </w:rPr>
  </w:style>
  <w:style w:type="character" w:customStyle="1" w:styleId="CommentTextChar">
    <w:name w:val="Comment Text Char"/>
    <w:basedOn w:val="DefaultParagraphFont"/>
    <w:link w:val="CommentText"/>
    <w:semiHidden/>
    <w:rsid w:val="004D565F"/>
    <w:rPr>
      <w:szCs w:val="24"/>
    </w:rPr>
  </w:style>
  <w:style w:type="character" w:customStyle="1" w:styleId="CommentSubjectChar">
    <w:name w:val="Comment Subject Char"/>
    <w:basedOn w:val="CommentTextChar"/>
    <w:link w:val="CommentSubject"/>
    <w:rsid w:val="004D565F"/>
    <w:rPr>
      <w:rFonts w:ascii="Calibri" w:eastAsiaTheme="minorHAnsi" w:hAnsi="Calibri" w:cs="Calibri"/>
      <w:b/>
      <w:bCs/>
      <w:szCs w:val="24"/>
      <w:lang w:eastAsia="en-US"/>
    </w:rPr>
  </w:style>
  <w:style w:type="character" w:styleId="Hyperlink">
    <w:name w:val="Hyperlink"/>
    <w:basedOn w:val="DefaultParagraphFont"/>
    <w:uiPriority w:val="99"/>
    <w:unhideWhenUsed/>
    <w:rsid w:val="00464703"/>
    <w:rPr>
      <w:color w:val="0000FF"/>
      <w:u w:val="single"/>
    </w:rPr>
  </w:style>
  <w:style w:type="paragraph" w:customStyle="1" w:styleId="Informationrequestbullet0">
    <w:name w:val="Information request bullet"/>
    <w:basedOn w:val="FindingBullet"/>
    <w:link w:val="InformationrequestbulletChar"/>
    <w:qFormat/>
    <w:rsid w:val="00C574BF"/>
    <w:pPr>
      <w:numPr>
        <w:numId w:val="0"/>
      </w:numPr>
      <w:tabs>
        <w:tab w:val="num" w:pos="340"/>
      </w:tabs>
      <w:ind w:left="340" w:hanging="340"/>
    </w:pPr>
    <w:rPr>
      <w:rFonts w:ascii="Arial" w:hAnsi="Arial" w:cs="Arial"/>
      <w:sz w:val="24"/>
      <w:szCs w:val="24"/>
    </w:rPr>
  </w:style>
  <w:style w:type="character" w:customStyle="1" w:styleId="InformationrequestbulletChar">
    <w:name w:val="Information request bullet Char"/>
    <w:basedOn w:val="DefaultParagraphFont"/>
    <w:link w:val="Informationrequestbullet0"/>
    <w:rsid w:val="00C574BF"/>
    <w:rPr>
      <w:rFonts w:ascii="Arial" w:hAnsi="Arial" w:cs="Arial"/>
      <w:i/>
      <w:sz w:val="24"/>
      <w:szCs w:val="24"/>
    </w:rPr>
  </w:style>
  <w:style w:type="paragraph" w:styleId="Revision">
    <w:name w:val="Revision"/>
    <w:hidden/>
    <w:uiPriority w:val="99"/>
    <w:semiHidden/>
    <w:rsid w:val="008A217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844"/>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D565F"/>
    <w:pPr>
      <w:keepNext/>
      <w:spacing w:before="360" w:line="80" w:lineRule="exact"/>
      <w:jc w:val="left"/>
    </w:pPr>
  </w:style>
  <w:style w:type="character" w:customStyle="1" w:styleId="BodyTextChar">
    <w:name w:val="Body Text Char"/>
    <w:basedOn w:val="DefaultParagraphFont"/>
    <w:link w:val="BodyText"/>
    <w:rsid w:val="004D565F"/>
    <w:rPr>
      <w:sz w:val="26"/>
    </w:rPr>
  </w:style>
  <w:style w:type="character" w:customStyle="1" w:styleId="Heading3Char">
    <w:name w:val="Heading 3 Char"/>
    <w:basedOn w:val="DefaultParagraphFont"/>
    <w:link w:val="Heading3"/>
    <w:rsid w:val="004D565F"/>
    <w:rPr>
      <w:rFonts w:ascii="Arial" w:hAnsi="Arial"/>
      <w:b/>
      <w:sz w:val="26"/>
    </w:rPr>
  </w:style>
  <w:style w:type="character" w:customStyle="1" w:styleId="FootnoteTextChar">
    <w:name w:val="Footnote Text Char"/>
    <w:basedOn w:val="DefaultParagraphFont"/>
    <w:link w:val="FootnoteText"/>
    <w:rsid w:val="004D565F"/>
    <w:rPr>
      <w:sz w:val="22"/>
    </w:rPr>
  </w:style>
  <w:style w:type="character" w:customStyle="1" w:styleId="QuoteChar">
    <w:name w:val="Quote Char"/>
    <w:basedOn w:val="DefaultParagraphFont"/>
    <w:link w:val="Quote"/>
    <w:uiPriority w:val="99"/>
    <w:rsid w:val="004D565F"/>
    <w:rPr>
      <w:sz w:val="24"/>
    </w:rPr>
  </w:style>
  <w:style w:type="character" w:customStyle="1" w:styleId="Heading4Char">
    <w:name w:val="Heading 4 Char"/>
    <w:basedOn w:val="DefaultParagraphFont"/>
    <w:link w:val="Heading4"/>
    <w:rsid w:val="004D565F"/>
    <w:rPr>
      <w:rFonts w:ascii="Arial" w:hAnsi="Arial"/>
      <w:i/>
      <w:sz w:val="24"/>
    </w:rPr>
  </w:style>
  <w:style w:type="paragraph" w:customStyle="1" w:styleId="Question">
    <w:name w:val="Question"/>
    <w:basedOn w:val="BodyText"/>
    <w:next w:val="BodyText"/>
    <w:rsid w:val="004D565F"/>
    <w:pPr>
      <w:spacing w:before="180"/>
    </w:pPr>
    <w:rPr>
      <w:i/>
    </w:rPr>
  </w:style>
  <w:style w:type="paragraph" w:customStyle="1" w:styleId="QuoteIndent">
    <w:name w:val="Quote Indent"/>
    <w:basedOn w:val="QuoteBullet"/>
    <w:rsid w:val="004D565F"/>
    <w:pPr>
      <w:numPr>
        <w:numId w:val="0"/>
      </w:numPr>
      <w:ind w:left="720"/>
    </w:pPr>
  </w:style>
  <w:style w:type="paragraph" w:customStyle="1" w:styleId="QuoteIndent2">
    <w:name w:val="Quote Indent 2"/>
    <w:basedOn w:val="QuoteIndent"/>
    <w:rsid w:val="004D565F"/>
    <w:pPr>
      <w:ind w:left="1537" w:hanging="425"/>
    </w:pPr>
  </w:style>
  <w:style w:type="character" w:customStyle="1" w:styleId="Heading1Char">
    <w:name w:val="Heading 1 Char"/>
    <w:basedOn w:val="DefaultParagraphFont"/>
    <w:link w:val="Heading1"/>
    <w:uiPriority w:val="99"/>
    <w:locked/>
    <w:rsid w:val="004D565F"/>
    <w:rPr>
      <w:sz w:val="52"/>
    </w:rPr>
  </w:style>
  <w:style w:type="character" w:customStyle="1" w:styleId="BoxListBulletChar">
    <w:name w:val="Box List Bullet Char"/>
    <w:link w:val="BoxListBullet"/>
    <w:locked/>
    <w:rsid w:val="004D565F"/>
    <w:rPr>
      <w:rFonts w:ascii="Arial" w:hAnsi="Arial"/>
      <w:sz w:val="22"/>
    </w:rPr>
  </w:style>
  <w:style w:type="paragraph" w:styleId="CommentSubject">
    <w:name w:val="annotation subject"/>
    <w:basedOn w:val="CommentText"/>
    <w:next w:val="CommentText"/>
    <w:link w:val="CommentSubjectChar"/>
    <w:rsid w:val="004D565F"/>
    <w:pPr>
      <w:spacing w:before="0" w:line="240" w:lineRule="auto"/>
      <w:ind w:left="0" w:firstLine="0"/>
    </w:pPr>
    <w:rPr>
      <w:rFonts w:ascii="Calibri" w:eastAsiaTheme="minorHAnsi" w:hAnsi="Calibri" w:cs="Calibri"/>
      <w:b/>
      <w:bCs/>
      <w:szCs w:val="20"/>
      <w:lang w:eastAsia="en-US"/>
    </w:rPr>
  </w:style>
  <w:style w:type="character" w:customStyle="1" w:styleId="CommentTextChar">
    <w:name w:val="Comment Text Char"/>
    <w:basedOn w:val="DefaultParagraphFont"/>
    <w:link w:val="CommentText"/>
    <w:semiHidden/>
    <w:rsid w:val="004D565F"/>
    <w:rPr>
      <w:szCs w:val="24"/>
    </w:rPr>
  </w:style>
  <w:style w:type="character" w:customStyle="1" w:styleId="CommentSubjectChar">
    <w:name w:val="Comment Subject Char"/>
    <w:basedOn w:val="CommentTextChar"/>
    <w:link w:val="CommentSubject"/>
    <w:rsid w:val="004D565F"/>
    <w:rPr>
      <w:rFonts w:ascii="Calibri" w:eastAsiaTheme="minorHAnsi" w:hAnsi="Calibri" w:cs="Calibri"/>
      <w:b/>
      <w:bCs/>
      <w:szCs w:val="24"/>
      <w:lang w:eastAsia="en-US"/>
    </w:rPr>
  </w:style>
  <w:style w:type="character" w:styleId="Hyperlink">
    <w:name w:val="Hyperlink"/>
    <w:basedOn w:val="DefaultParagraphFont"/>
    <w:uiPriority w:val="99"/>
    <w:unhideWhenUsed/>
    <w:rsid w:val="00464703"/>
    <w:rPr>
      <w:color w:val="0000FF"/>
      <w:u w:val="single"/>
    </w:rPr>
  </w:style>
  <w:style w:type="paragraph" w:customStyle="1" w:styleId="Informationrequestbullet0">
    <w:name w:val="Information request bullet"/>
    <w:basedOn w:val="FindingBullet"/>
    <w:link w:val="InformationrequestbulletChar"/>
    <w:qFormat/>
    <w:rsid w:val="00C574BF"/>
    <w:pPr>
      <w:numPr>
        <w:numId w:val="0"/>
      </w:numPr>
      <w:tabs>
        <w:tab w:val="num" w:pos="340"/>
      </w:tabs>
      <w:ind w:left="340" w:hanging="340"/>
    </w:pPr>
    <w:rPr>
      <w:rFonts w:ascii="Arial" w:hAnsi="Arial" w:cs="Arial"/>
      <w:sz w:val="24"/>
      <w:szCs w:val="24"/>
    </w:rPr>
  </w:style>
  <w:style w:type="character" w:customStyle="1" w:styleId="InformationrequestbulletChar">
    <w:name w:val="Information request bullet Char"/>
    <w:basedOn w:val="DefaultParagraphFont"/>
    <w:link w:val="Informationrequestbullet0"/>
    <w:rsid w:val="00C574BF"/>
    <w:rPr>
      <w:rFonts w:ascii="Arial" w:hAnsi="Arial" w:cs="Arial"/>
      <w:i/>
      <w:sz w:val="24"/>
      <w:szCs w:val="24"/>
    </w:rPr>
  </w:style>
  <w:style w:type="paragraph" w:styleId="Revision">
    <w:name w:val="Revision"/>
    <w:hidden/>
    <w:uiPriority w:val="99"/>
    <w:semiHidden/>
    <w:rsid w:val="008A217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59686">
      <w:bodyDiv w:val="1"/>
      <w:marLeft w:val="0"/>
      <w:marRight w:val="0"/>
      <w:marTop w:val="0"/>
      <w:marBottom w:val="0"/>
      <w:divBdr>
        <w:top w:val="none" w:sz="0" w:space="0" w:color="auto"/>
        <w:left w:val="none" w:sz="0" w:space="0" w:color="auto"/>
        <w:bottom w:val="none" w:sz="0" w:space="0" w:color="auto"/>
        <w:right w:val="none" w:sz="0" w:space="0" w:color="auto"/>
      </w:divBdr>
    </w:div>
    <w:div w:id="136802443">
      <w:bodyDiv w:val="1"/>
      <w:marLeft w:val="0"/>
      <w:marRight w:val="0"/>
      <w:marTop w:val="0"/>
      <w:marBottom w:val="0"/>
      <w:divBdr>
        <w:top w:val="none" w:sz="0" w:space="0" w:color="auto"/>
        <w:left w:val="none" w:sz="0" w:space="0" w:color="auto"/>
        <w:bottom w:val="none" w:sz="0" w:space="0" w:color="auto"/>
        <w:right w:val="none" w:sz="0" w:space="0" w:color="auto"/>
      </w:divBdr>
    </w:div>
    <w:div w:id="242102856">
      <w:bodyDiv w:val="1"/>
      <w:marLeft w:val="0"/>
      <w:marRight w:val="0"/>
      <w:marTop w:val="0"/>
      <w:marBottom w:val="0"/>
      <w:divBdr>
        <w:top w:val="none" w:sz="0" w:space="0" w:color="auto"/>
        <w:left w:val="none" w:sz="0" w:space="0" w:color="auto"/>
        <w:bottom w:val="none" w:sz="0" w:space="0" w:color="auto"/>
        <w:right w:val="none" w:sz="0" w:space="0" w:color="auto"/>
      </w:divBdr>
    </w:div>
    <w:div w:id="397826455">
      <w:bodyDiv w:val="1"/>
      <w:marLeft w:val="0"/>
      <w:marRight w:val="0"/>
      <w:marTop w:val="0"/>
      <w:marBottom w:val="0"/>
      <w:divBdr>
        <w:top w:val="none" w:sz="0" w:space="0" w:color="auto"/>
        <w:left w:val="none" w:sz="0" w:space="0" w:color="auto"/>
        <w:bottom w:val="none" w:sz="0" w:space="0" w:color="auto"/>
        <w:right w:val="none" w:sz="0" w:space="0" w:color="auto"/>
      </w:divBdr>
    </w:div>
    <w:div w:id="645011434">
      <w:bodyDiv w:val="1"/>
      <w:marLeft w:val="0"/>
      <w:marRight w:val="0"/>
      <w:marTop w:val="0"/>
      <w:marBottom w:val="0"/>
      <w:divBdr>
        <w:top w:val="none" w:sz="0" w:space="0" w:color="auto"/>
        <w:left w:val="none" w:sz="0" w:space="0" w:color="auto"/>
        <w:bottom w:val="none" w:sz="0" w:space="0" w:color="auto"/>
        <w:right w:val="none" w:sz="0" w:space="0" w:color="auto"/>
      </w:divBdr>
    </w:div>
    <w:div w:id="705757235">
      <w:bodyDiv w:val="1"/>
      <w:marLeft w:val="0"/>
      <w:marRight w:val="0"/>
      <w:marTop w:val="0"/>
      <w:marBottom w:val="0"/>
      <w:divBdr>
        <w:top w:val="none" w:sz="0" w:space="0" w:color="auto"/>
        <w:left w:val="none" w:sz="0" w:space="0" w:color="auto"/>
        <w:bottom w:val="none" w:sz="0" w:space="0" w:color="auto"/>
        <w:right w:val="none" w:sz="0" w:space="0" w:color="auto"/>
      </w:divBdr>
    </w:div>
    <w:div w:id="820079766">
      <w:bodyDiv w:val="1"/>
      <w:marLeft w:val="0"/>
      <w:marRight w:val="0"/>
      <w:marTop w:val="0"/>
      <w:marBottom w:val="0"/>
      <w:divBdr>
        <w:top w:val="none" w:sz="0" w:space="0" w:color="auto"/>
        <w:left w:val="none" w:sz="0" w:space="0" w:color="auto"/>
        <w:bottom w:val="none" w:sz="0" w:space="0" w:color="auto"/>
        <w:right w:val="none" w:sz="0" w:space="0" w:color="auto"/>
      </w:divBdr>
    </w:div>
    <w:div w:id="931742010">
      <w:bodyDiv w:val="1"/>
      <w:marLeft w:val="0"/>
      <w:marRight w:val="0"/>
      <w:marTop w:val="0"/>
      <w:marBottom w:val="0"/>
      <w:divBdr>
        <w:top w:val="none" w:sz="0" w:space="0" w:color="auto"/>
        <w:left w:val="none" w:sz="0" w:space="0" w:color="auto"/>
        <w:bottom w:val="none" w:sz="0" w:space="0" w:color="auto"/>
        <w:right w:val="none" w:sz="0" w:space="0" w:color="auto"/>
      </w:divBdr>
    </w:div>
    <w:div w:id="1059596775">
      <w:bodyDiv w:val="1"/>
      <w:marLeft w:val="0"/>
      <w:marRight w:val="0"/>
      <w:marTop w:val="0"/>
      <w:marBottom w:val="0"/>
      <w:divBdr>
        <w:top w:val="none" w:sz="0" w:space="0" w:color="auto"/>
        <w:left w:val="none" w:sz="0" w:space="0" w:color="auto"/>
        <w:bottom w:val="none" w:sz="0" w:space="0" w:color="auto"/>
        <w:right w:val="none" w:sz="0" w:space="0" w:color="auto"/>
      </w:divBdr>
    </w:div>
    <w:div w:id="1066148601">
      <w:bodyDiv w:val="1"/>
      <w:marLeft w:val="0"/>
      <w:marRight w:val="0"/>
      <w:marTop w:val="0"/>
      <w:marBottom w:val="0"/>
      <w:divBdr>
        <w:top w:val="none" w:sz="0" w:space="0" w:color="auto"/>
        <w:left w:val="none" w:sz="0" w:space="0" w:color="auto"/>
        <w:bottom w:val="none" w:sz="0" w:space="0" w:color="auto"/>
        <w:right w:val="none" w:sz="0" w:space="0" w:color="auto"/>
      </w:divBdr>
    </w:div>
    <w:div w:id="1141728778">
      <w:bodyDiv w:val="1"/>
      <w:marLeft w:val="0"/>
      <w:marRight w:val="0"/>
      <w:marTop w:val="0"/>
      <w:marBottom w:val="0"/>
      <w:divBdr>
        <w:top w:val="none" w:sz="0" w:space="0" w:color="auto"/>
        <w:left w:val="none" w:sz="0" w:space="0" w:color="auto"/>
        <w:bottom w:val="none" w:sz="0" w:space="0" w:color="auto"/>
        <w:right w:val="none" w:sz="0" w:space="0" w:color="auto"/>
      </w:divBdr>
    </w:div>
    <w:div w:id="1186165837">
      <w:bodyDiv w:val="1"/>
      <w:marLeft w:val="0"/>
      <w:marRight w:val="0"/>
      <w:marTop w:val="0"/>
      <w:marBottom w:val="0"/>
      <w:divBdr>
        <w:top w:val="none" w:sz="0" w:space="0" w:color="auto"/>
        <w:left w:val="none" w:sz="0" w:space="0" w:color="auto"/>
        <w:bottom w:val="none" w:sz="0" w:space="0" w:color="auto"/>
        <w:right w:val="none" w:sz="0" w:space="0" w:color="auto"/>
      </w:divBdr>
    </w:div>
    <w:div w:id="1479765748">
      <w:bodyDiv w:val="1"/>
      <w:marLeft w:val="0"/>
      <w:marRight w:val="0"/>
      <w:marTop w:val="0"/>
      <w:marBottom w:val="0"/>
      <w:divBdr>
        <w:top w:val="none" w:sz="0" w:space="0" w:color="auto"/>
        <w:left w:val="none" w:sz="0" w:space="0" w:color="auto"/>
        <w:bottom w:val="none" w:sz="0" w:space="0" w:color="auto"/>
        <w:right w:val="none" w:sz="0" w:space="0" w:color="auto"/>
      </w:divBdr>
    </w:div>
    <w:div w:id="1704557174">
      <w:bodyDiv w:val="1"/>
      <w:marLeft w:val="0"/>
      <w:marRight w:val="0"/>
      <w:marTop w:val="0"/>
      <w:marBottom w:val="0"/>
      <w:divBdr>
        <w:top w:val="none" w:sz="0" w:space="0" w:color="auto"/>
        <w:left w:val="none" w:sz="0" w:space="0" w:color="auto"/>
        <w:bottom w:val="none" w:sz="0" w:space="0" w:color="auto"/>
        <w:right w:val="none" w:sz="0" w:space="0" w:color="auto"/>
      </w:divBdr>
    </w:div>
    <w:div w:id="185808259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48463660">
      <w:bodyDiv w:val="1"/>
      <w:marLeft w:val="0"/>
      <w:marRight w:val="0"/>
      <w:marTop w:val="0"/>
      <w:marBottom w:val="0"/>
      <w:divBdr>
        <w:top w:val="none" w:sz="0" w:space="0" w:color="auto"/>
        <w:left w:val="none" w:sz="0" w:space="0" w:color="auto"/>
        <w:bottom w:val="none" w:sz="0" w:space="0" w:color="auto"/>
        <w:right w:val="none" w:sz="0" w:space="0" w:color="auto"/>
      </w:divBdr>
    </w:div>
    <w:div w:id="204617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customXml" Target="../customXml/item55.xml"/><Relationship Id="rId63" Type="http://schemas.openxmlformats.org/officeDocument/2006/relationships/customXml" Target="../customXml/item63.xml"/><Relationship Id="rId68" Type="http://schemas.openxmlformats.org/officeDocument/2006/relationships/customXml" Target="../customXml/item68.xml"/><Relationship Id="rId76" Type="http://schemas.openxmlformats.org/officeDocument/2006/relationships/customXml" Target="../customXml/item76.xml"/><Relationship Id="rId84" Type="http://schemas.microsoft.com/office/2007/relationships/stylesWithEffects" Target="stylesWithEffects.xml"/><Relationship Id="rId89" Type="http://schemas.openxmlformats.org/officeDocument/2006/relationships/chart" Target="charts/chart1.xml"/><Relationship Id="rId97" Type="http://schemas.openxmlformats.org/officeDocument/2006/relationships/header" Target="header3.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customXml" Target="../customXml/item66.xml"/><Relationship Id="rId74" Type="http://schemas.openxmlformats.org/officeDocument/2006/relationships/customXml" Target="../customXml/item74.xml"/><Relationship Id="rId79" Type="http://schemas.openxmlformats.org/officeDocument/2006/relationships/customXml" Target="../customXml/item79.xml"/><Relationship Id="rId87" Type="http://schemas.openxmlformats.org/officeDocument/2006/relationships/footnotes" Target="footnotes.xml"/><Relationship Id="rId5" Type="http://schemas.openxmlformats.org/officeDocument/2006/relationships/customXml" Target="../customXml/item5.xml"/><Relationship Id="rId61" Type="http://schemas.openxmlformats.org/officeDocument/2006/relationships/customXml" Target="../customXml/item61.xml"/><Relationship Id="rId82" Type="http://schemas.openxmlformats.org/officeDocument/2006/relationships/numbering" Target="numbering.xml"/><Relationship Id="rId90" Type="http://schemas.openxmlformats.org/officeDocument/2006/relationships/chart" Target="charts/chart2.xml"/><Relationship Id="rId95" Type="http://schemas.openxmlformats.org/officeDocument/2006/relationships/footer" Target="footer3.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100"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customXml" Target="../customXml/item80.xml"/><Relationship Id="rId85" Type="http://schemas.openxmlformats.org/officeDocument/2006/relationships/settings" Target="settings.xml"/><Relationship Id="rId93" Type="http://schemas.openxmlformats.org/officeDocument/2006/relationships/footer" Target="footer1.xml"/><Relationship Id="rId98"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styles" Target="styles.xml"/><Relationship Id="rId88" Type="http://schemas.openxmlformats.org/officeDocument/2006/relationships/endnotes" Target="endnotes.xml"/><Relationship Id="rId91" Type="http://schemas.openxmlformats.org/officeDocument/2006/relationships/header" Target="header1.xml"/><Relationship Id="rId9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customXml" Target="../customXml/item81.xml"/><Relationship Id="rId86" Type="http://schemas.openxmlformats.org/officeDocument/2006/relationships/webSettings" Target="webSettings.xml"/><Relationship Id="rId94" Type="http://schemas.openxmlformats.org/officeDocument/2006/relationships/footer" Target="footer2.xml"/><Relationship Id="rId9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s>
</file>

<file path=word/charts/_rels/chart1.xml.rels><?xml version="1.0" encoding="UTF-8" standalone="yes"?>
<Relationships xmlns="http://schemas.openxmlformats.org/package/2006/relationships"><Relationship Id="rId1" Type="http://schemas.openxmlformats.org/officeDocument/2006/relationships/oleObject" Target="file:///\\mel_1\groups\InquiryC\Patents\Work\Greg%20T\New%20data\WIPO%202012%20patent%20statistic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el_1\groups\InquiryC\Patents\Work\Alex\fed%20court%20statist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5663298366701593E-2"/>
          <c:y val="3.0161837057817165E-2"/>
          <c:w val="0.90346341905945038"/>
          <c:h val="0.73656060733001272"/>
        </c:manualLayout>
      </c:layout>
      <c:barChart>
        <c:barDir val="col"/>
        <c:grouping val="clustered"/>
        <c:varyColors val="0"/>
        <c:ser>
          <c:idx val="0"/>
          <c:order val="0"/>
          <c:spPr>
            <a:solidFill>
              <a:schemeClr val="tx1">
                <a:lumMod val="50000"/>
                <a:lumOff val="50000"/>
              </a:schemeClr>
            </a:solidFill>
          </c:spPr>
          <c:invertIfNegative val="0"/>
          <c:cat>
            <c:numRef>
              <c:f>'Australia grants &amp; applications'!$H$51:$X$51</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'Australia grants &amp; applications'!$D$29:$T$29</c:f>
              <c:numCache>
                <c:formatCode>General</c:formatCode>
                <c:ptCount val="17"/>
                <c:pt idx="0">
                  <c:v>9406</c:v>
                </c:pt>
                <c:pt idx="1">
                  <c:v>8754</c:v>
                </c:pt>
                <c:pt idx="2">
                  <c:v>9204</c:v>
                </c:pt>
                <c:pt idx="3">
                  <c:v>14450</c:v>
                </c:pt>
                <c:pt idx="4">
                  <c:v>13203</c:v>
                </c:pt>
                <c:pt idx="5">
                  <c:v>13548</c:v>
                </c:pt>
                <c:pt idx="6">
                  <c:v>13703</c:v>
                </c:pt>
                <c:pt idx="7">
                  <c:v>13612</c:v>
                </c:pt>
                <c:pt idx="8">
                  <c:v>13056</c:v>
                </c:pt>
                <c:pt idx="9">
                  <c:v>12739</c:v>
                </c:pt>
                <c:pt idx="10">
                  <c:v>10979</c:v>
                </c:pt>
                <c:pt idx="11">
                  <c:v>9426</c:v>
                </c:pt>
                <c:pt idx="12">
                  <c:v>11236</c:v>
                </c:pt>
                <c:pt idx="13">
                  <c:v>11863</c:v>
                </c:pt>
                <c:pt idx="14">
                  <c:v>12410</c:v>
                </c:pt>
                <c:pt idx="15">
                  <c:v>14557</c:v>
                </c:pt>
                <c:pt idx="16">
                  <c:v>17877</c:v>
                </c:pt>
              </c:numCache>
            </c:numRef>
          </c:val>
        </c:ser>
        <c:dLbls>
          <c:showLegendKey val="0"/>
          <c:showVal val="0"/>
          <c:showCatName val="0"/>
          <c:showSerName val="0"/>
          <c:showPercent val="0"/>
          <c:showBubbleSize val="0"/>
        </c:dLbls>
        <c:gapWidth val="100"/>
        <c:axId val="180932608"/>
        <c:axId val="180934144"/>
      </c:barChart>
      <c:catAx>
        <c:axId val="180932608"/>
        <c:scaling>
          <c:orientation val="minMax"/>
        </c:scaling>
        <c:delete val="0"/>
        <c:axPos val="b"/>
        <c:numFmt formatCode="General" sourceLinked="1"/>
        <c:majorTickMark val="out"/>
        <c:minorTickMark val="none"/>
        <c:tickLblPos val="nextTo"/>
        <c:spPr>
          <a:ln w="12700">
            <a:solidFill>
              <a:schemeClr val="tx1"/>
            </a:solidFill>
          </a:ln>
        </c:spPr>
        <c:txPr>
          <a:bodyPr rot="-3120000" vert="horz"/>
          <a:lstStyle/>
          <a:p>
            <a:pPr>
              <a:defRPr/>
            </a:pPr>
            <a:endParaRPr lang="en-US"/>
          </a:p>
        </c:txPr>
        <c:crossAx val="180934144"/>
        <c:crosses val="autoZero"/>
        <c:auto val="1"/>
        <c:lblAlgn val="ctr"/>
        <c:lblOffset val="100"/>
        <c:noMultiLvlLbl val="0"/>
      </c:catAx>
      <c:valAx>
        <c:axId val="180934144"/>
        <c:scaling>
          <c:orientation val="minMax"/>
        </c:scaling>
        <c:delete val="0"/>
        <c:axPos val="l"/>
        <c:majorGridlines/>
        <c:numFmt formatCode="##\ ##0" sourceLinked="0"/>
        <c:majorTickMark val="in"/>
        <c:minorTickMark val="none"/>
        <c:tickLblPos val="nextTo"/>
        <c:spPr>
          <a:ln w="12700">
            <a:solidFill>
              <a:schemeClr val="tx1"/>
            </a:solidFill>
          </a:ln>
        </c:spPr>
        <c:crossAx val="180932608"/>
        <c:crosses val="autoZero"/>
        <c:crossBetween val="between"/>
        <c:majorUnit val="5000"/>
      </c:valAx>
      <c:spPr>
        <a:ln w="12700">
          <a:solidFill>
            <a:schemeClr val="tx1"/>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77227988619489"/>
          <c:y val="5.3677008978672405E-2"/>
          <c:w val="0.86595159034093683"/>
          <c:h val="0.79938688147933168"/>
        </c:manualLayout>
      </c:layout>
      <c:barChart>
        <c:barDir val="col"/>
        <c:grouping val="clustered"/>
        <c:varyColors val="0"/>
        <c:ser>
          <c:idx val="0"/>
          <c:order val="0"/>
          <c:spPr>
            <a:solidFill>
              <a:schemeClr val="tx1">
                <a:lumMod val="50000"/>
                <a:lumOff val="50000"/>
              </a:schemeClr>
            </a:solidFill>
          </c:spPr>
          <c:invertIfNegative val="0"/>
          <c:cat>
            <c:strRef>
              <c:f>Sheet1!$C$22:$C$28</c:f>
              <c:strCache>
                <c:ptCount val="7"/>
                <c:pt idx="0">
                  <c:v>2005-06</c:v>
                </c:pt>
                <c:pt idx="1">
                  <c:v>2006-07</c:v>
                </c:pt>
                <c:pt idx="2">
                  <c:v>2007-08</c:v>
                </c:pt>
                <c:pt idx="3">
                  <c:v>2008-09</c:v>
                </c:pt>
                <c:pt idx="4">
                  <c:v>2009-10</c:v>
                </c:pt>
                <c:pt idx="5">
                  <c:v>2010-11</c:v>
                </c:pt>
                <c:pt idx="6">
                  <c:v>2011-12</c:v>
                </c:pt>
              </c:strCache>
            </c:strRef>
          </c:cat>
          <c:val>
            <c:numRef>
              <c:f>Sheet1!$G$22:$G$28</c:f>
              <c:numCache>
                <c:formatCode>General</c:formatCode>
                <c:ptCount val="7"/>
                <c:pt idx="0">
                  <c:v>34.555827220863897</c:v>
                </c:pt>
                <c:pt idx="1">
                  <c:v>38.512869399428027</c:v>
                </c:pt>
                <c:pt idx="2">
                  <c:v>37.823834196891191</c:v>
                </c:pt>
                <c:pt idx="3">
                  <c:v>42.994350282485875</c:v>
                </c:pt>
                <c:pt idx="4">
                  <c:v>32.153392330383483</c:v>
                </c:pt>
                <c:pt idx="5">
                  <c:v>23.060061376589214</c:v>
                </c:pt>
                <c:pt idx="6">
                  <c:v>36.213333333333331</c:v>
                </c:pt>
              </c:numCache>
            </c:numRef>
          </c:val>
        </c:ser>
        <c:dLbls>
          <c:showLegendKey val="0"/>
          <c:showVal val="0"/>
          <c:showCatName val="0"/>
          <c:showSerName val="0"/>
          <c:showPercent val="0"/>
          <c:showBubbleSize val="0"/>
        </c:dLbls>
        <c:gapWidth val="150"/>
        <c:axId val="180844032"/>
        <c:axId val="180845568"/>
      </c:barChart>
      <c:catAx>
        <c:axId val="180844032"/>
        <c:scaling>
          <c:orientation val="minMax"/>
        </c:scaling>
        <c:delete val="0"/>
        <c:axPos val="b"/>
        <c:majorTickMark val="out"/>
        <c:minorTickMark val="none"/>
        <c:tickLblPos val="nextTo"/>
        <c:spPr>
          <a:ln>
            <a:solidFill>
              <a:schemeClr val="tx1"/>
            </a:solidFill>
          </a:ln>
        </c:spPr>
        <c:txPr>
          <a:bodyPr/>
          <a:lstStyle/>
          <a:p>
            <a:pPr>
              <a:defRPr sz="1000"/>
            </a:pPr>
            <a:endParaRPr lang="en-US"/>
          </a:p>
        </c:txPr>
        <c:crossAx val="180845568"/>
        <c:crosses val="autoZero"/>
        <c:auto val="1"/>
        <c:lblAlgn val="ctr"/>
        <c:lblOffset val="100"/>
        <c:noMultiLvlLbl val="0"/>
      </c:catAx>
      <c:valAx>
        <c:axId val="180845568"/>
        <c:scaling>
          <c:orientation val="minMax"/>
        </c:scaling>
        <c:delete val="0"/>
        <c:axPos val="l"/>
        <c:majorGridlines/>
        <c:title>
          <c:tx>
            <c:rich>
              <a:bodyPr rot="-5400000" vert="horz"/>
              <a:lstStyle/>
              <a:p>
                <a:pPr>
                  <a:defRPr sz="1100"/>
                </a:pPr>
                <a:r>
                  <a:rPr lang="en-US" sz="1100"/>
                  <a:t>per cent</a:t>
                </a:r>
              </a:p>
            </c:rich>
          </c:tx>
          <c:layout>
            <c:manualLayout>
              <c:xMode val="edge"/>
              <c:yMode val="edge"/>
              <c:x val="2.1786580764518301E-3"/>
              <c:y val="0.26525465962324329"/>
            </c:manualLayout>
          </c:layout>
          <c:overlay val="0"/>
        </c:title>
        <c:numFmt formatCode="General" sourceLinked="1"/>
        <c:majorTickMark val="none"/>
        <c:minorTickMark val="none"/>
        <c:tickLblPos val="nextTo"/>
        <c:spPr>
          <a:ln>
            <a:solidFill>
              <a:schemeClr val="tx1"/>
            </a:solidFill>
          </a:ln>
        </c:spPr>
        <c:txPr>
          <a:bodyPr/>
          <a:lstStyle/>
          <a:p>
            <a:pPr>
              <a:defRPr sz="1000"/>
            </a:pPr>
            <a:endParaRPr lang="en-US"/>
          </a:p>
        </c:txPr>
        <c:crossAx val="180844032"/>
        <c:crosses val="autoZero"/>
        <c:crossBetween val="between"/>
        <c:majorUnit val="10"/>
      </c:valAx>
      <c:spPr>
        <a:ln w="6350">
          <a:solidFill>
            <a:schemeClr val="tx1"/>
          </a:solidFill>
        </a:ln>
      </c:spPr>
    </c:plotArea>
    <c:plotVisOnly val="1"/>
    <c:dispBlanksAs val="gap"/>
    <c:showDLblsOverMax val="0"/>
  </c:chart>
  <c:spPr>
    <a:ln w="6350">
      <a:noFill/>
    </a:ln>
  </c:spPr>
  <c:txPr>
    <a:bodyPr/>
    <a:lstStyle/>
    <a:p>
      <a:pPr>
        <a:defRPr sz="1200" baseline="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62.xml><?xml version="1.0" encoding="utf-8"?>
<b:Sources xmlns:b="http://schemas.openxmlformats.org/officeDocument/2006/bibliography" xmlns="http://schemas.openxmlformats.org/officeDocument/2006/bibliography" SelectedStyle="\APA.XSL" StyleName="APA"/>
</file>

<file path=customXml/item63.xml><?xml version="1.0" encoding="utf-8"?>
<b:Sources xmlns:b="http://schemas.openxmlformats.org/officeDocument/2006/bibliography" xmlns="http://schemas.openxmlformats.org/officeDocument/2006/bibliography" SelectedStyle="\APA.XSL" StyleName="APA"/>
</file>

<file path=customXml/item64.xml><?xml version="1.0" encoding="utf-8"?>
<b:Sources xmlns:b="http://schemas.openxmlformats.org/officeDocument/2006/bibliography" xmlns="http://schemas.openxmlformats.org/officeDocument/2006/bibliography" SelectedStyle="\APA.XSL" StyleName="APA"/>
</file>

<file path=customXml/item65.xml><?xml version="1.0" encoding="utf-8"?>
<b:Sources xmlns:b="http://schemas.openxmlformats.org/officeDocument/2006/bibliography" xmlns="http://schemas.openxmlformats.org/officeDocument/2006/bibliography" SelectedStyle="\APA.XSL" StyleName="APA"/>
</file>

<file path=customXml/item66.xml><?xml version="1.0" encoding="utf-8"?>
<b:Sources xmlns:b="http://schemas.openxmlformats.org/officeDocument/2006/bibliography" xmlns="http://schemas.openxmlformats.org/officeDocument/2006/bibliography" SelectedStyle="\APA.XSL" StyleName="APA"/>
</file>

<file path=customXml/item67.xml><?xml version="1.0" encoding="utf-8"?>
<b:Sources xmlns:b="http://schemas.openxmlformats.org/officeDocument/2006/bibliography" xmlns="http://schemas.openxmlformats.org/officeDocument/2006/bibliography" SelectedStyle="\APA.XSL" StyleName="APA"/>
</file>

<file path=customXml/item68.xml><?xml version="1.0" encoding="utf-8"?>
<b:Sources xmlns:b="http://schemas.openxmlformats.org/officeDocument/2006/bibliography" xmlns="http://schemas.openxmlformats.org/officeDocument/2006/bibliography" SelectedStyle="\APA.XSL" StyleName="APA"/>
</file>

<file path=customXml/item69.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70.xml><?xml version="1.0" encoding="utf-8"?>
<b:Sources xmlns:b="http://schemas.openxmlformats.org/officeDocument/2006/bibliography" xmlns="http://schemas.openxmlformats.org/officeDocument/2006/bibliography" SelectedStyle="\APA.XSL" StyleName="APA"/>
</file>

<file path=customXml/item71.xml><?xml version="1.0" encoding="utf-8"?>
<b:Sources xmlns:b="http://schemas.openxmlformats.org/officeDocument/2006/bibliography" xmlns="http://schemas.openxmlformats.org/officeDocument/2006/bibliography" SelectedStyle="\APA.XSL" StyleName="APA"/>
</file>

<file path=customXml/item72.xml><?xml version="1.0" encoding="utf-8"?>
<b:Sources xmlns:b="http://schemas.openxmlformats.org/officeDocument/2006/bibliography" xmlns="http://schemas.openxmlformats.org/officeDocument/2006/bibliography" SelectedStyle="\APA.XSL" StyleName="APA"/>
</file>

<file path=customXml/item73.xml><?xml version="1.0" encoding="utf-8"?>
<b:Sources xmlns:b="http://schemas.openxmlformats.org/officeDocument/2006/bibliography" xmlns="http://schemas.openxmlformats.org/officeDocument/2006/bibliography" SelectedStyle="\APA.XSL" StyleName="APA"/>
</file>

<file path=customXml/item74.xml><?xml version="1.0" encoding="utf-8"?>
<b:Sources xmlns:b="http://schemas.openxmlformats.org/officeDocument/2006/bibliography" xmlns="http://schemas.openxmlformats.org/officeDocument/2006/bibliography" SelectedStyle="\APA.XSL" StyleName="APA"/>
</file>

<file path=customXml/item75.xml><?xml version="1.0" encoding="utf-8"?>
<b:Sources xmlns:b="http://schemas.openxmlformats.org/officeDocument/2006/bibliography" xmlns="http://schemas.openxmlformats.org/officeDocument/2006/bibliography" SelectedStyle="\APA.XSL" StyleName="APA"/>
</file>

<file path=customXml/item76.xml><?xml version="1.0" encoding="utf-8"?>
<b:Sources xmlns:b="http://schemas.openxmlformats.org/officeDocument/2006/bibliography" xmlns="http://schemas.openxmlformats.org/officeDocument/2006/bibliography" SelectedStyle="\APA.XSL" StyleName="APA"/>
</file>

<file path=customXml/item77.xml><?xml version="1.0" encoding="utf-8"?>
<b:Sources xmlns:b="http://schemas.openxmlformats.org/officeDocument/2006/bibliography" xmlns="http://schemas.openxmlformats.org/officeDocument/2006/bibliography" SelectedStyle="\APA.XSL" StyleName="APA"/>
</file>

<file path=customXml/item78.xml><?xml version="1.0" encoding="utf-8"?>
<b:Sources xmlns:b="http://schemas.openxmlformats.org/officeDocument/2006/bibliography" xmlns="http://schemas.openxmlformats.org/officeDocument/2006/bibliography" SelectedStyle="\APA.XSL" StyleName="APA"/>
</file>

<file path=customXml/item79.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80.xml><?xml version="1.0" encoding="utf-8"?>
<b:Sources xmlns:b="http://schemas.openxmlformats.org/officeDocument/2006/bibliography" xmlns="http://schemas.openxmlformats.org/officeDocument/2006/bibliography" SelectedStyle="\APA.XSL" StyleName="APA"/>
</file>

<file path=customXml/item81.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F9B77-12EA-497F-8F3E-B88AF7E1234D}">
  <ds:schemaRefs>
    <ds:schemaRef ds:uri="http://schemas.openxmlformats.org/officeDocument/2006/bibliography"/>
  </ds:schemaRefs>
</ds:datastoreItem>
</file>

<file path=customXml/itemProps10.xml><?xml version="1.0" encoding="utf-8"?>
<ds:datastoreItem xmlns:ds="http://schemas.openxmlformats.org/officeDocument/2006/customXml" ds:itemID="{93E160D7-593E-4E37-B1A4-9324E261BFB0}">
  <ds:schemaRefs>
    <ds:schemaRef ds:uri="http://schemas.openxmlformats.org/officeDocument/2006/bibliography"/>
  </ds:schemaRefs>
</ds:datastoreItem>
</file>

<file path=customXml/itemProps11.xml><?xml version="1.0" encoding="utf-8"?>
<ds:datastoreItem xmlns:ds="http://schemas.openxmlformats.org/officeDocument/2006/customXml" ds:itemID="{2F865E41-95E2-4B3B-8DC8-C1B355EC273D}">
  <ds:schemaRefs>
    <ds:schemaRef ds:uri="http://schemas.openxmlformats.org/officeDocument/2006/bibliography"/>
  </ds:schemaRefs>
</ds:datastoreItem>
</file>

<file path=customXml/itemProps12.xml><?xml version="1.0" encoding="utf-8"?>
<ds:datastoreItem xmlns:ds="http://schemas.openxmlformats.org/officeDocument/2006/customXml" ds:itemID="{26A7F775-C445-4947-9F54-7645F589FA3F}">
  <ds:schemaRefs>
    <ds:schemaRef ds:uri="http://schemas.openxmlformats.org/officeDocument/2006/bibliography"/>
  </ds:schemaRefs>
</ds:datastoreItem>
</file>

<file path=customXml/itemProps13.xml><?xml version="1.0" encoding="utf-8"?>
<ds:datastoreItem xmlns:ds="http://schemas.openxmlformats.org/officeDocument/2006/customXml" ds:itemID="{B16F63AF-0385-4819-9614-F21C87D69AD7}">
  <ds:schemaRefs>
    <ds:schemaRef ds:uri="http://schemas.openxmlformats.org/officeDocument/2006/bibliography"/>
  </ds:schemaRefs>
</ds:datastoreItem>
</file>

<file path=customXml/itemProps14.xml><?xml version="1.0" encoding="utf-8"?>
<ds:datastoreItem xmlns:ds="http://schemas.openxmlformats.org/officeDocument/2006/customXml" ds:itemID="{C22B832E-5E5E-4D2F-B374-638D28CFBA92}">
  <ds:schemaRefs>
    <ds:schemaRef ds:uri="http://schemas.openxmlformats.org/officeDocument/2006/bibliography"/>
  </ds:schemaRefs>
</ds:datastoreItem>
</file>

<file path=customXml/itemProps15.xml><?xml version="1.0" encoding="utf-8"?>
<ds:datastoreItem xmlns:ds="http://schemas.openxmlformats.org/officeDocument/2006/customXml" ds:itemID="{9F1F1132-D9E4-4392-8107-040934B2C602}">
  <ds:schemaRefs>
    <ds:schemaRef ds:uri="http://schemas.openxmlformats.org/officeDocument/2006/bibliography"/>
  </ds:schemaRefs>
</ds:datastoreItem>
</file>

<file path=customXml/itemProps16.xml><?xml version="1.0" encoding="utf-8"?>
<ds:datastoreItem xmlns:ds="http://schemas.openxmlformats.org/officeDocument/2006/customXml" ds:itemID="{957B7CD4-D32D-4F3D-BD7B-5B7EF7B30D9D}">
  <ds:schemaRefs>
    <ds:schemaRef ds:uri="http://schemas.openxmlformats.org/officeDocument/2006/bibliography"/>
  </ds:schemaRefs>
</ds:datastoreItem>
</file>

<file path=customXml/itemProps17.xml><?xml version="1.0" encoding="utf-8"?>
<ds:datastoreItem xmlns:ds="http://schemas.openxmlformats.org/officeDocument/2006/customXml" ds:itemID="{49450718-1E23-4B7B-BB4F-E6B4C52EFD06}">
  <ds:schemaRefs>
    <ds:schemaRef ds:uri="http://schemas.openxmlformats.org/officeDocument/2006/bibliography"/>
  </ds:schemaRefs>
</ds:datastoreItem>
</file>

<file path=customXml/itemProps18.xml><?xml version="1.0" encoding="utf-8"?>
<ds:datastoreItem xmlns:ds="http://schemas.openxmlformats.org/officeDocument/2006/customXml" ds:itemID="{3DA87ECF-14C7-40BD-AFB5-AFAC2A754146}">
  <ds:schemaRefs>
    <ds:schemaRef ds:uri="http://schemas.openxmlformats.org/officeDocument/2006/bibliography"/>
  </ds:schemaRefs>
</ds:datastoreItem>
</file>

<file path=customXml/itemProps19.xml><?xml version="1.0" encoding="utf-8"?>
<ds:datastoreItem xmlns:ds="http://schemas.openxmlformats.org/officeDocument/2006/customXml" ds:itemID="{5A21C24B-E27D-41BF-BF8E-7B3E5FB149B8}">
  <ds:schemaRefs>
    <ds:schemaRef ds:uri="http://schemas.openxmlformats.org/officeDocument/2006/bibliography"/>
  </ds:schemaRefs>
</ds:datastoreItem>
</file>

<file path=customXml/itemProps2.xml><?xml version="1.0" encoding="utf-8"?>
<ds:datastoreItem xmlns:ds="http://schemas.openxmlformats.org/officeDocument/2006/customXml" ds:itemID="{86371E41-5AAB-4CF0-AEDC-5C632E728956}">
  <ds:schemaRefs>
    <ds:schemaRef ds:uri="http://schemas.openxmlformats.org/officeDocument/2006/bibliography"/>
  </ds:schemaRefs>
</ds:datastoreItem>
</file>

<file path=customXml/itemProps20.xml><?xml version="1.0" encoding="utf-8"?>
<ds:datastoreItem xmlns:ds="http://schemas.openxmlformats.org/officeDocument/2006/customXml" ds:itemID="{8D37F383-9B7D-416F-9974-6F696F653862}">
  <ds:schemaRefs>
    <ds:schemaRef ds:uri="http://schemas.openxmlformats.org/officeDocument/2006/bibliography"/>
  </ds:schemaRefs>
</ds:datastoreItem>
</file>

<file path=customXml/itemProps21.xml><?xml version="1.0" encoding="utf-8"?>
<ds:datastoreItem xmlns:ds="http://schemas.openxmlformats.org/officeDocument/2006/customXml" ds:itemID="{848AC196-FA22-4B47-B83E-ECAF7EE6CA05}">
  <ds:schemaRefs>
    <ds:schemaRef ds:uri="http://schemas.openxmlformats.org/officeDocument/2006/bibliography"/>
  </ds:schemaRefs>
</ds:datastoreItem>
</file>

<file path=customXml/itemProps22.xml><?xml version="1.0" encoding="utf-8"?>
<ds:datastoreItem xmlns:ds="http://schemas.openxmlformats.org/officeDocument/2006/customXml" ds:itemID="{E34A715C-CC1C-4ADE-A63B-094851018043}">
  <ds:schemaRefs>
    <ds:schemaRef ds:uri="http://schemas.openxmlformats.org/officeDocument/2006/bibliography"/>
  </ds:schemaRefs>
</ds:datastoreItem>
</file>

<file path=customXml/itemProps23.xml><?xml version="1.0" encoding="utf-8"?>
<ds:datastoreItem xmlns:ds="http://schemas.openxmlformats.org/officeDocument/2006/customXml" ds:itemID="{D056D04B-95E7-44ED-9DD2-F294891008CE}">
  <ds:schemaRefs>
    <ds:schemaRef ds:uri="http://schemas.openxmlformats.org/officeDocument/2006/bibliography"/>
  </ds:schemaRefs>
</ds:datastoreItem>
</file>

<file path=customXml/itemProps24.xml><?xml version="1.0" encoding="utf-8"?>
<ds:datastoreItem xmlns:ds="http://schemas.openxmlformats.org/officeDocument/2006/customXml" ds:itemID="{31E78696-001B-4B4D-BF9D-45BCE702CD86}">
  <ds:schemaRefs>
    <ds:schemaRef ds:uri="http://schemas.openxmlformats.org/officeDocument/2006/bibliography"/>
  </ds:schemaRefs>
</ds:datastoreItem>
</file>

<file path=customXml/itemProps25.xml><?xml version="1.0" encoding="utf-8"?>
<ds:datastoreItem xmlns:ds="http://schemas.openxmlformats.org/officeDocument/2006/customXml" ds:itemID="{6A6B8E6E-5A85-48AC-99BA-193D6EE79BD8}">
  <ds:schemaRefs>
    <ds:schemaRef ds:uri="http://schemas.openxmlformats.org/officeDocument/2006/bibliography"/>
  </ds:schemaRefs>
</ds:datastoreItem>
</file>

<file path=customXml/itemProps26.xml><?xml version="1.0" encoding="utf-8"?>
<ds:datastoreItem xmlns:ds="http://schemas.openxmlformats.org/officeDocument/2006/customXml" ds:itemID="{29783211-279C-4021-8514-86BE8ED4396D}">
  <ds:schemaRefs>
    <ds:schemaRef ds:uri="http://schemas.openxmlformats.org/officeDocument/2006/bibliography"/>
  </ds:schemaRefs>
</ds:datastoreItem>
</file>

<file path=customXml/itemProps27.xml><?xml version="1.0" encoding="utf-8"?>
<ds:datastoreItem xmlns:ds="http://schemas.openxmlformats.org/officeDocument/2006/customXml" ds:itemID="{792EBB71-04A1-4554-B681-B7B06C30BAB1}">
  <ds:schemaRefs>
    <ds:schemaRef ds:uri="http://schemas.openxmlformats.org/officeDocument/2006/bibliography"/>
  </ds:schemaRefs>
</ds:datastoreItem>
</file>

<file path=customXml/itemProps28.xml><?xml version="1.0" encoding="utf-8"?>
<ds:datastoreItem xmlns:ds="http://schemas.openxmlformats.org/officeDocument/2006/customXml" ds:itemID="{F8CFA847-031D-47AD-AEC9-EC55EE72008D}">
  <ds:schemaRefs>
    <ds:schemaRef ds:uri="http://schemas.openxmlformats.org/officeDocument/2006/bibliography"/>
  </ds:schemaRefs>
</ds:datastoreItem>
</file>

<file path=customXml/itemProps29.xml><?xml version="1.0" encoding="utf-8"?>
<ds:datastoreItem xmlns:ds="http://schemas.openxmlformats.org/officeDocument/2006/customXml" ds:itemID="{EBD7E86E-1FC0-4937-AD18-2E29E1E7E46B}">
  <ds:schemaRefs>
    <ds:schemaRef ds:uri="http://schemas.openxmlformats.org/officeDocument/2006/bibliography"/>
  </ds:schemaRefs>
</ds:datastoreItem>
</file>

<file path=customXml/itemProps3.xml><?xml version="1.0" encoding="utf-8"?>
<ds:datastoreItem xmlns:ds="http://schemas.openxmlformats.org/officeDocument/2006/customXml" ds:itemID="{9A1E7D9C-5232-4428-9909-E5C947C4FAFB}">
  <ds:schemaRefs>
    <ds:schemaRef ds:uri="http://schemas.openxmlformats.org/officeDocument/2006/bibliography"/>
  </ds:schemaRefs>
</ds:datastoreItem>
</file>

<file path=customXml/itemProps30.xml><?xml version="1.0" encoding="utf-8"?>
<ds:datastoreItem xmlns:ds="http://schemas.openxmlformats.org/officeDocument/2006/customXml" ds:itemID="{FCC656EA-4975-410D-BBB6-E5C0408CF6C5}">
  <ds:schemaRefs>
    <ds:schemaRef ds:uri="http://schemas.openxmlformats.org/officeDocument/2006/bibliography"/>
  </ds:schemaRefs>
</ds:datastoreItem>
</file>

<file path=customXml/itemProps31.xml><?xml version="1.0" encoding="utf-8"?>
<ds:datastoreItem xmlns:ds="http://schemas.openxmlformats.org/officeDocument/2006/customXml" ds:itemID="{1F49F15A-B94B-41F8-9E84-30475319B2DC}">
  <ds:schemaRefs>
    <ds:schemaRef ds:uri="http://schemas.openxmlformats.org/officeDocument/2006/bibliography"/>
  </ds:schemaRefs>
</ds:datastoreItem>
</file>

<file path=customXml/itemProps32.xml><?xml version="1.0" encoding="utf-8"?>
<ds:datastoreItem xmlns:ds="http://schemas.openxmlformats.org/officeDocument/2006/customXml" ds:itemID="{AB11C0DC-0DD0-4AEA-B276-FCE705420FF9}">
  <ds:schemaRefs>
    <ds:schemaRef ds:uri="http://schemas.openxmlformats.org/officeDocument/2006/bibliography"/>
  </ds:schemaRefs>
</ds:datastoreItem>
</file>

<file path=customXml/itemProps33.xml><?xml version="1.0" encoding="utf-8"?>
<ds:datastoreItem xmlns:ds="http://schemas.openxmlformats.org/officeDocument/2006/customXml" ds:itemID="{D2BABB7E-B599-43CE-9A37-6AA2BFC0B420}">
  <ds:schemaRefs>
    <ds:schemaRef ds:uri="http://schemas.openxmlformats.org/officeDocument/2006/bibliography"/>
  </ds:schemaRefs>
</ds:datastoreItem>
</file>

<file path=customXml/itemProps34.xml><?xml version="1.0" encoding="utf-8"?>
<ds:datastoreItem xmlns:ds="http://schemas.openxmlformats.org/officeDocument/2006/customXml" ds:itemID="{74F3D1EB-8120-4C62-A0E5-C7683E77915E}">
  <ds:schemaRefs>
    <ds:schemaRef ds:uri="http://schemas.openxmlformats.org/officeDocument/2006/bibliography"/>
  </ds:schemaRefs>
</ds:datastoreItem>
</file>

<file path=customXml/itemProps35.xml><?xml version="1.0" encoding="utf-8"?>
<ds:datastoreItem xmlns:ds="http://schemas.openxmlformats.org/officeDocument/2006/customXml" ds:itemID="{42DB4634-EB13-49AF-9DF7-F7D905B8D82C}">
  <ds:schemaRefs>
    <ds:schemaRef ds:uri="http://schemas.openxmlformats.org/officeDocument/2006/bibliography"/>
  </ds:schemaRefs>
</ds:datastoreItem>
</file>

<file path=customXml/itemProps36.xml><?xml version="1.0" encoding="utf-8"?>
<ds:datastoreItem xmlns:ds="http://schemas.openxmlformats.org/officeDocument/2006/customXml" ds:itemID="{614BEAD9-5019-40B1-80A3-AF451999369E}">
  <ds:schemaRefs>
    <ds:schemaRef ds:uri="http://schemas.openxmlformats.org/officeDocument/2006/bibliography"/>
  </ds:schemaRefs>
</ds:datastoreItem>
</file>

<file path=customXml/itemProps37.xml><?xml version="1.0" encoding="utf-8"?>
<ds:datastoreItem xmlns:ds="http://schemas.openxmlformats.org/officeDocument/2006/customXml" ds:itemID="{DC64DA10-610B-4093-9EF8-3B1AC15452F2}">
  <ds:schemaRefs>
    <ds:schemaRef ds:uri="http://schemas.openxmlformats.org/officeDocument/2006/bibliography"/>
  </ds:schemaRefs>
</ds:datastoreItem>
</file>

<file path=customXml/itemProps38.xml><?xml version="1.0" encoding="utf-8"?>
<ds:datastoreItem xmlns:ds="http://schemas.openxmlformats.org/officeDocument/2006/customXml" ds:itemID="{BF80921E-6D1E-494D-968F-857B9A82FA04}">
  <ds:schemaRefs>
    <ds:schemaRef ds:uri="http://schemas.openxmlformats.org/officeDocument/2006/bibliography"/>
  </ds:schemaRefs>
</ds:datastoreItem>
</file>

<file path=customXml/itemProps39.xml><?xml version="1.0" encoding="utf-8"?>
<ds:datastoreItem xmlns:ds="http://schemas.openxmlformats.org/officeDocument/2006/customXml" ds:itemID="{9791C413-1848-439A-AA3A-A83AA3368B14}">
  <ds:schemaRefs>
    <ds:schemaRef ds:uri="http://schemas.openxmlformats.org/officeDocument/2006/bibliography"/>
  </ds:schemaRefs>
</ds:datastoreItem>
</file>

<file path=customXml/itemProps4.xml><?xml version="1.0" encoding="utf-8"?>
<ds:datastoreItem xmlns:ds="http://schemas.openxmlformats.org/officeDocument/2006/customXml" ds:itemID="{14721970-00DB-41A9-9888-1813B1FF5C27}">
  <ds:schemaRefs>
    <ds:schemaRef ds:uri="http://schemas.openxmlformats.org/officeDocument/2006/bibliography"/>
  </ds:schemaRefs>
</ds:datastoreItem>
</file>

<file path=customXml/itemProps40.xml><?xml version="1.0" encoding="utf-8"?>
<ds:datastoreItem xmlns:ds="http://schemas.openxmlformats.org/officeDocument/2006/customXml" ds:itemID="{2BCA8A19-3ABE-4618-BD47-3D2EF1F8AD9F}">
  <ds:schemaRefs>
    <ds:schemaRef ds:uri="http://schemas.openxmlformats.org/officeDocument/2006/bibliography"/>
  </ds:schemaRefs>
</ds:datastoreItem>
</file>

<file path=customXml/itemProps41.xml><?xml version="1.0" encoding="utf-8"?>
<ds:datastoreItem xmlns:ds="http://schemas.openxmlformats.org/officeDocument/2006/customXml" ds:itemID="{64520BC6-691C-4FDA-8383-85A483A48C02}">
  <ds:schemaRefs>
    <ds:schemaRef ds:uri="http://schemas.openxmlformats.org/officeDocument/2006/bibliography"/>
  </ds:schemaRefs>
</ds:datastoreItem>
</file>

<file path=customXml/itemProps42.xml><?xml version="1.0" encoding="utf-8"?>
<ds:datastoreItem xmlns:ds="http://schemas.openxmlformats.org/officeDocument/2006/customXml" ds:itemID="{4596AB05-DDA4-408D-B191-B993B04A54C6}">
  <ds:schemaRefs>
    <ds:schemaRef ds:uri="http://schemas.openxmlformats.org/officeDocument/2006/bibliography"/>
  </ds:schemaRefs>
</ds:datastoreItem>
</file>

<file path=customXml/itemProps43.xml><?xml version="1.0" encoding="utf-8"?>
<ds:datastoreItem xmlns:ds="http://schemas.openxmlformats.org/officeDocument/2006/customXml" ds:itemID="{DEF14C7D-55E4-4025-AED6-F79ECA34F97B}">
  <ds:schemaRefs>
    <ds:schemaRef ds:uri="http://schemas.openxmlformats.org/officeDocument/2006/bibliography"/>
  </ds:schemaRefs>
</ds:datastoreItem>
</file>

<file path=customXml/itemProps44.xml><?xml version="1.0" encoding="utf-8"?>
<ds:datastoreItem xmlns:ds="http://schemas.openxmlformats.org/officeDocument/2006/customXml" ds:itemID="{6DA0F9B3-60A7-4AB6-ACE6-65F6818188B6}">
  <ds:schemaRefs>
    <ds:schemaRef ds:uri="http://schemas.openxmlformats.org/officeDocument/2006/bibliography"/>
  </ds:schemaRefs>
</ds:datastoreItem>
</file>

<file path=customXml/itemProps45.xml><?xml version="1.0" encoding="utf-8"?>
<ds:datastoreItem xmlns:ds="http://schemas.openxmlformats.org/officeDocument/2006/customXml" ds:itemID="{856754FB-A787-49A3-A732-A7A0CB44C8DE}">
  <ds:schemaRefs>
    <ds:schemaRef ds:uri="http://schemas.openxmlformats.org/officeDocument/2006/bibliography"/>
  </ds:schemaRefs>
</ds:datastoreItem>
</file>

<file path=customXml/itemProps46.xml><?xml version="1.0" encoding="utf-8"?>
<ds:datastoreItem xmlns:ds="http://schemas.openxmlformats.org/officeDocument/2006/customXml" ds:itemID="{B34574AB-EDEF-4E30-B63B-964917F3D6D3}">
  <ds:schemaRefs>
    <ds:schemaRef ds:uri="http://schemas.openxmlformats.org/officeDocument/2006/bibliography"/>
  </ds:schemaRefs>
</ds:datastoreItem>
</file>

<file path=customXml/itemProps47.xml><?xml version="1.0" encoding="utf-8"?>
<ds:datastoreItem xmlns:ds="http://schemas.openxmlformats.org/officeDocument/2006/customXml" ds:itemID="{0598CE52-2C16-4588-98BB-42504E8CEAF3}">
  <ds:schemaRefs>
    <ds:schemaRef ds:uri="http://schemas.openxmlformats.org/officeDocument/2006/bibliography"/>
  </ds:schemaRefs>
</ds:datastoreItem>
</file>

<file path=customXml/itemProps48.xml><?xml version="1.0" encoding="utf-8"?>
<ds:datastoreItem xmlns:ds="http://schemas.openxmlformats.org/officeDocument/2006/customXml" ds:itemID="{4A3F691D-D698-4D21-B173-971283137E76}">
  <ds:schemaRefs>
    <ds:schemaRef ds:uri="http://schemas.openxmlformats.org/officeDocument/2006/bibliography"/>
  </ds:schemaRefs>
</ds:datastoreItem>
</file>

<file path=customXml/itemProps49.xml><?xml version="1.0" encoding="utf-8"?>
<ds:datastoreItem xmlns:ds="http://schemas.openxmlformats.org/officeDocument/2006/customXml" ds:itemID="{FD8FB55E-E64C-41B1-BB7A-C69D83E54679}">
  <ds:schemaRefs>
    <ds:schemaRef ds:uri="http://schemas.openxmlformats.org/officeDocument/2006/bibliography"/>
  </ds:schemaRefs>
</ds:datastoreItem>
</file>

<file path=customXml/itemProps5.xml><?xml version="1.0" encoding="utf-8"?>
<ds:datastoreItem xmlns:ds="http://schemas.openxmlformats.org/officeDocument/2006/customXml" ds:itemID="{A1268365-6327-4C01-B9AE-9982A5FBBEE5}">
  <ds:schemaRefs>
    <ds:schemaRef ds:uri="http://schemas.openxmlformats.org/officeDocument/2006/bibliography"/>
  </ds:schemaRefs>
</ds:datastoreItem>
</file>

<file path=customXml/itemProps50.xml><?xml version="1.0" encoding="utf-8"?>
<ds:datastoreItem xmlns:ds="http://schemas.openxmlformats.org/officeDocument/2006/customXml" ds:itemID="{1AC5FFA8-0185-44C1-AB35-8040DCD4D804}">
  <ds:schemaRefs>
    <ds:schemaRef ds:uri="http://schemas.openxmlformats.org/officeDocument/2006/bibliography"/>
  </ds:schemaRefs>
</ds:datastoreItem>
</file>

<file path=customXml/itemProps51.xml><?xml version="1.0" encoding="utf-8"?>
<ds:datastoreItem xmlns:ds="http://schemas.openxmlformats.org/officeDocument/2006/customXml" ds:itemID="{BFE1C812-AA63-4642-AF56-41EEEDD9BC0E}">
  <ds:schemaRefs>
    <ds:schemaRef ds:uri="http://schemas.openxmlformats.org/officeDocument/2006/bibliography"/>
  </ds:schemaRefs>
</ds:datastoreItem>
</file>

<file path=customXml/itemProps52.xml><?xml version="1.0" encoding="utf-8"?>
<ds:datastoreItem xmlns:ds="http://schemas.openxmlformats.org/officeDocument/2006/customXml" ds:itemID="{12B0F153-AE3E-407D-A0CA-EEF9934539C4}">
  <ds:schemaRefs>
    <ds:schemaRef ds:uri="http://schemas.openxmlformats.org/officeDocument/2006/bibliography"/>
  </ds:schemaRefs>
</ds:datastoreItem>
</file>

<file path=customXml/itemProps53.xml><?xml version="1.0" encoding="utf-8"?>
<ds:datastoreItem xmlns:ds="http://schemas.openxmlformats.org/officeDocument/2006/customXml" ds:itemID="{DD868337-3E22-44D7-B28F-3E147195705F}">
  <ds:schemaRefs>
    <ds:schemaRef ds:uri="http://schemas.openxmlformats.org/officeDocument/2006/bibliography"/>
  </ds:schemaRefs>
</ds:datastoreItem>
</file>

<file path=customXml/itemProps54.xml><?xml version="1.0" encoding="utf-8"?>
<ds:datastoreItem xmlns:ds="http://schemas.openxmlformats.org/officeDocument/2006/customXml" ds:itemID="{DC67B7EB-5115-4035-898F-4CB4EBE19854}">
  <ds:schemaRefs>
    <ds:schemaRef ds:uri="http://schemas.openxmlformats.org/officeDocument/2006/bibliography"/>
  </ds:schemaRefs>
</ds:datastoreItem>
</file>

<file path=customXml/itemProps55.xml><?xml version="1.0" encoding="utf-8"?>
<ds:datastoreItem xmlns:ds="http://schemas.openxmlformats.org/officeDocument/2006/customXml" ds:itemID="{51168B6C-8847-49E1-A4AD-5C4638428F72}">
  <ds:schemaRefs>
    <ds:schemaRef ds:uri="http://schemas.openxmlformats.org/officeDocument/2006/bibliography"/>
  </ds:schemaRefs>
</ds:datastoreItem>
</file>

<file path=customXml/itemProps56.xml><?xml version="1.0" encoding="utf-8"?>
<ds:datastoreItem xmlns:ds="http://schemas.openxmlformats.org/officeDocument/2006/customXml" ds:itemID="{51675C45-29C0-48E2-B4F8-3526FE8F4AEA}">
  <ds:schemaRefs>
    <ds:schemaRef ds:uri="http://schemas.openxmlformats.org/officeDocument/2006/bibliography"/>
  </ds:schemaRefs>
</ds:datastoreItem>
</file>

<file path=customXml/itemProps57.xml><?xml version="1.0" encoding="utf-8"?>
<ds:datastoreItem xmlns:ds="http://schemas.openxmlformats.org/officeDocument/2006/customXml" ds:itemID="{AF45C70C-81EC-46F0-8D86-E510783C8C6B}">
  <ds:schemaRefs>
    <ds:schemaRef ds:uri="http://schemas.openxmlformats.org/officeDocument/2006/bibliography"/>
  </ds:schemaRefs>
</ds:datastoreItem>
</file>

<file path=customXml/itemProps58.xml><?xml version="1.0" encoding="utf-8"?>
<ds:datastoreItem xmlns:ds="http://schemas.openxmlformats.org/officeDocument/2006/customXml" ds:itemID="{B3434319-9F45-4537-A94F-099443EBE7FB}">
  <ds:schemaRefs>
    <ds:schemaRef ds:uri="http://schemas.openxmlformats.org/officeDocument/2006/bibliography"/>
  </ds:schemaRefs>
</ds:datastoreItem>
</file>

<file path=customXml/itemProps59.xml><?xml version="1.0" encoding="utf-8"?>
<ds:datastoreItem xmlns:ds="http://schemas.openxmlformats.org/officeDocument/2006/customXml" ds:itemID="{5607DE83-5995-48F6-A6F9-94201E492A83}">
  <ds:schemaRefs>
    <ds:schemaRef ds:uri="http://schemas.openxmlformats.org/officeDocument/2006/bibliography"/>
  </ds:schemaRefs>
</ds:datastoreItem>
</file>

<file path=customXml/itemProps6.xml><?xml version="1.0" encoding="utf-8"?>
<ds:datastoreItem xmlns:ds="http://schemas.openxmlformats.org/officeDocument/2006/customXml" ds:itemID="{5DA65B52-F6B5-4925-B9ED-3F7BF4E162D1}">
  <ds:schemaRefs>
    <ds:schemaRef ds:uri="http://schemas.openxmlformats.org/officeDocument/2006/bibliography"/>
  </ds:schemaRefs>
</ds:datastoreItem>
</file>

<file path=customXml/itemProps60.xml><?xml version="1.0" encoding="utf-8"?>
<ds:datastoreItem xmlns:ds="http://schemas.openxmlformats.org/officeDocument/2006/customXml" ds:itemID="{27408155-4FF5-4972-881C-3AB6EBD69581}">
  <ds:schemaRefs>
    <ds:schemaRef ds:uri="http://schemas.openxmlformats.org/officeDocument/2006/bibliography"/>
  </ds:schemaRefs>
</ds:datastoreItem>
</file>

<file path=customXml/itemProps61.xml><?xml version="1.0" encoding="utf-8"?>
<ds:datastoreItem xmlns:ds="http://schemas.openxmlformats.org/officeDocument/2006/customXml" ds:itemID="{E14B63E9-16DC-45B4-922E-D508F68F8AA4}">
  <ds:schemaRefs>
    <ds:schemaRef ds:uri="http://schemas.openxmlformats.org/officeDocument/2006/bibliography"/>
  </ds:schemaRefs>
</ds:datastoreItem>
</file>

<file path=customXml/itemProps62.xml><?xml version="1.0" encoding="utf-8"?>
<ds:datastoreItem xmlns:ds="http://schemas.openxmlformats.org/officeDocument/2006/customXml" ds:itemID="{4E796DB9-3844-45AA-801E-A834EB25604B}">
  <ds:schemaRefs>
    <ds:schemaRef ds:uri="http://schemas.openxmlformats.org/officeDocument/2006/bibliography"/>
  </ds:schemaRefs>
</ds:datastoreItem>
</file>

<file path=customXml/itemProps63.xml><?xml version="1.0" encoding="utf-8"?>
<ds:datastoreItem xmlns:ds="http://schemas.openxmlformats.org/officeDocument/2006/customXml" ds:itemID="{74D2AD82-C122-4A19-8E30-0F27B3C6B3C4}">
  <ds:schemaRefs>
    <ds:schemaRef ds:uri="http://schemas.openxmlformats.org/officeDocument/2006/bibliography"/>
  </ds:schemaRefs>
</ds:datastoreItem>
</file>

<file path=customXml/itemProps64.xml><?xml version="1.0" encoding="utf-8"?>
<ds:datastoreItem xmlns:ds="http://schemas.openxmlformats.org/officeDocument/2006/customXml" ds:itemID="{FD0C1A0F-E3AE-4C55-A13F-FC9FE729E9AD}">
  <ds:schemaRefs>
    <ds:schemaRef ds:uri="http://schemas.openxmlformats.org/officeDocument/2006/bibliography"/>
  </ds:schemaRefs>
</ds:datastoreItem>
</file>

<file path=customXml/itemProps65.xml><?xml version="1.0" encoding="utf-8"?>
<ds:datastoreItem xmlns:ds="http://schemas.openxmlformats.org/officeDocument/2006/customXml" ds:itemID="{C3153CC7-C98C-43E3-8438-492765C92391}">
  <ds:schemaRefs>
    <ds:schemaRef ds:uri="http://schemas.openxmlformats.org/officeDocument/2006/bibliography"/>
  </ds:schemaRefs>
</ds:datastoreItem>
</file>

<file path=customXml/itemProps66.xml><?xml version="1.0" encoding="utf-8"?>
<ds:datastoreItem xmlns:ds="http://schemas.openxmlformats.org/officeDocument/2006/customXml" ds:itemID="{4555D1B5-9B78-44AC-AB2D-8B513F216958}">
  <ds:schemaRefs>
    <ds:schemaRef ds:uri="http://schemas.openxmlformats.org/officeDocument/2006/bibliography"/>
  </ds:schemaRefs>
</ds:datastoreItem>
</file>

<file path=customXml/itemProps67.xml><?xml version="1.0" encoding="utf-8"?>
<ds:datastoreItem xmlns:ds="http://schemas.openxmlformats.org/officeDocument/2006/customXml" ds:itemID="{C06B3A45-D8EA-4A89-BDE0-66C5CC7F256B}">
  <ds:schemaRefs>
    <ds:schemaRef ds:uri="http://schemas.openxmlformats.org/officeDocument/2006/bibliography"/>
  </ds:schemaRefs>
</ds:datastoreItem>
</file>

<file path=customXml/itemProps68.xml><?xml version="1.0" encoding="utf-8"?>
<ds:datastoreItem xmlns:ds="http://schemas.openxmlformats.org/officeDocument/2006/customXml" ds:itemID="{A87CFF32-FA58-4017-B3AB-36FBEE56E255}">
  <ds:schemaRefs>
    <ds:schemaRef ds:uri="http://schemas.openxmlformats.org/officeDocument/2006/bibliography"/>
  </ds:schemaRefs>
</ds:datastoreItem>
</file>

<file path=customXml/itemProps69.xml><?xml version="1.0" encoding="utf-8"?>
<ds:datastoreItem xmlns:ds="http://schemas.openxmlformats.org/officeDocument/2006/customXml" ds:itemID="{14023DC8-9669-4AF3-A4CA-55580EF15C8E}">
  <ds:schemaRefs>
    <ds:schemaRef ds:uri="http://schemas.openxmlformats.org/officeDocument/2006/bibliography"/>
  </ds:schemaRefs>
</ds:datastoreItem>
</file>

<file path=customXml/itemProps7.xml><?xml version="1.0" encoding="utf-8"?>
<ds:datastoreItem xmlns:ds="http://schemas.openxmlformats.org/officeDocument/2006/customXml" ds:itemID="{5899B1E6-01AD-472D-A880-0A41D141E0F6}">
  <ds:schemaRefs>
    <ds:schemaRef ds:uri="http://schemas.openxmlformats.org/officeDocument/2006/bibliography"/>
  </ds:schemaRefs>
</ds:datastoreItem>
</file>

<file path=customXml/itemProps70.xml><?xml version="1.0" encoding="utf-8"?>
<ds:datastoreItem xmlns:ds="http://schemas.openxmlformats.org/officeDocument/2006/customXml" ds:itemID="{0FEB8BD6-1FD7-4D38-ACA7-CDAE18DF1961}">
  <ds:schemaRefs>
    <ds:schemaRef ds:uri="http://schemas.openxmlformats.org/officeDocument/2006/bibliography"/>
  </ds:schemaRefs>
</ds:datastoreItem>
</file>

<file path=customXml/itemProps71.xml><?xml version="1.0" encoding="utf-8"?>
<ds:datastoreItem xmlns:ds="http://schemas.openxmlformats.org/officeDocument/2006/customXml" ds:itemID="{005F1683-C937-4E39-AF1B-1CC48D3B42FE}">
  <ds:schemaRefs>
    <ds:schemaRef ds:uri="http://schemas.openxmlformats.org/officeDocument/2006/bibliography"/>
  </ds:schemaRefs>
</ds:datastoreItem>
</file>

<file path=customXml/itemProps72.xml><?xml version="1.0" encoding="utf-8"?>
<ds:datastoreItem xmlns:ds="http://schemas.openxmlformats.org/officeDocument/2006/customXml" ds:itemID="{69E77428-A013-4673-AC78-E0EC8CD77863}">
  <ds:schemaRefs>
    <ds:schemaRef ds:uri="http://schemas.openxmlformats.org/officeDocument/2006/bibliography"/>
  </ds:schemaRefs>
</ds:datastoreItem>
</file>

<file path=customXml/itemProps73.xml><?xml version="1.0" encoding="utf-8"?>
<ds:datastoreItem xmlns:ds="http://schemas.openxmlformats.org/officeDocument/2006/customXml" ds:itemID="{7D376EB6-1BC7-4A81-8838-BF089002DAB8}">
  <ds:schemaRefs>
    <ds:schemaRef ds:uri="http://schemas.openxmlformats.org/officeDocument/2006/bibliography"/>
  </ds:schemaRefs>
</ds:datastoreItem>
</file>

<file path=customXml/itemProps74.xml><?xml version="1.0" encoding="utf-8"?>
<ds:datastoreItem xmlns:ds="http://schemas.openxmlformats.org/officeDocument/2006/customXml" ds:itemID="{E853A9DC-5D94-4DE8-AD08-03F45B243340}">
  <ds:schemaRefs>
    <ds:schemaRef ds:uri="http://schemas.openxmlformats.org/officeDocument/2006/bibliography"/>
  </ds:schemaRefs>
</ds:datastoreItem>
</file>

<file path=customXml/itemProps75.xml><?xml version="1.0" encoding="utf-8"?>
<ds:datastoreItem xmlns:ds="http://schemas.openxmlformats.org/officeDocument/2006/customXml" ds:itemID="{58B6ED2E-E6D0-42B1-9A4B-B4B27B237B7F}">
  <ds:schemaRefs>
    <ds:schemaRef ds:uri="http://schemas.openxmlformats.org/officeDocument/2006/bibliography"/>
  </ds:schemaRefs>
</ds:datastoreItem>
</file>

<file path=customXml/itemProps76.xml><?xml version="1.0" encoding="utf-8"?>
<ds:datastoreItem xmlns:ds="http://schemas.openxmlformats.org/officeDocument/2006/customXml" ds:itemID="{A18E0AB9-1EE9-42A5-8D40-4DCB4D1B71C7}">
  <ds:schemaRefs>
    <ds:schemaRef ds:uri="http://schemas.openxmlformats.org/officeDocument/2006/bibliography"/>
  </ds:schemaRefs>
</ds:datastoreItem>
</file>

<file path=customXml/itemProps77.xml><?xml version="1.0" encoding="utf-8"?>
<ds:datastoreItem xmlns:ds="http://schemas.openxmlformats.org/officeDocument/2006/customXml" ds:itemID="{F28DFF0D-C0EF-43A3-ABFB-1454A90CD924}">
  <ds:schemaRefs>
    <ds:schemaRef ds:uri="http://schemas.openxmlformats.org/officeDocument/2006/bibliography"/>
  </ds:schemaRefs>
</ds:datastoreItem>
</file>

<file path=customXml/itemProps78.xml><?xml version="1.0" encoding="utf-8"?>
<ds:datastoreItem xmlns:ds="http://schemas.openxmlformats.org/officeDocument/2006/customXml" ds:itemID="{FFE373D8-37C9-47E1-BFDA-5D51C240BC87}">
  <ds:schemaRefs>
    <ds:schemaRef ds:uri="http://schemas.openxmlformats.org/officeDocument/2006/bibliography"/>
  </ds:schemaRefs>
</ds:datastoreItem>
</file>

<file path=customXml/itemProps79.xml><?xml version="1.0" encoding="utf-8"?>
<ds:datastoreItem xmlns:ds="http://schemas.openxmlformats.org/officeDocument/2006/customXml" ds:itemID="{92C6F743-DB21-45E9-ABC4-F873817EB0E8}">
  <ds:schemaRefs>
    <ds:schemaRef ds:uri="http://schemas.openxmlformats.org/officeDocument/2006/bibliography"/>
  </ds:schemaRefs>
</ds:datastoreItem>
</file>

<file path=customXml/itemProps8.xml><?xml version="1.0" encoding="utf-8"?>
<ds:datastoreItem xmlns:ds="http://schemas.openxmlformats.org/officeDocument/2006/customXml" ds:itemID="{E87C787E-2776-4954-8B9A-5DB788669164}">
  <ds:schemaRefs>
    <ds:schemaRef ds:uri="http://schemas.openxmlformats.org/officeDocument/2006/bibliography"/>
  </ds:schemaRefs>
</ds:datastoreItem>
</file>

<file path=customXml/itemProps80.xml><?xml version="1.0" encoding="utf-8"?>
<ds:datastoreItem xmlns:ds="http://schemas.openxmlformats.org/officeDocument/2006/customXml" ds:itemID="{34778D8C-CB7C-421C-8DE2-C0A008263A00}">
  <ds:schemaRefs>
    <ds:schemaRef ds:uri="http://schemas.openxmlformats.org/officeDocument/2006/bibliography"/>
  </ds:schemaRefs>
</ds:datastoreItem>
</file>

<file path=customXml/itemProps81.xml><?xml version="1.0" encoding="utf-8"?>
<ds:datastoreItem xmlns:ds="http://schemas.openxmlformats.org/officeDocument/2006/customXml" ds:itemID="{206AFE04-A539-4A1A-A389-6377C76DBB0A}">
  <ds:schemaRefs>
    <ds:schemaRef ds:uri="http://schemas.openxmlformats.org/officeDocument/2006/bibliography"/>
  </ds:schemaRefs>
</ds:datastoreItem>
</file>

<file path=customXml/itemProps9.xml><?xml version="1.0" encoding="utf-8"?>
<ds:datastoreItem xmlns:ds="http://schemas.openxmlformats.org/officeDocument/2006/customXml" ds:itemID="{98000DF1-D0DF-4344-AB50-5FC2F6487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8556</Words>
  <Characters>46729</Characters>
  <Application>Microsoft Office Word</Application>
  <DocSecurity>0</DocSecurity>
  <Lines>389</Lines>
  <Paragraphs>110</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55175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Compulsory licensing of patents</dc:subject>
  <dc:creator>Productivity Commission</dc:creator>
  <dc:description>1.</dc:description>
  <cp:lastModifiedBy>Productivity Commission</cp:lastModifiedBy>
  <cp:revision>3</cp:revision>
  <cp:lastPrinted>2013-03-25T23:11:00Z</cp:lastPrinted>
  <dcterms:created xsi:type="dcterms:W3CDTF">2013-03-26T00:36:00Z</dcterms:created>
  <dcterms:modified xsi:type="dcterms:W3CDTF">2013-04-02T23:16:00Z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-402890876</vt:i4>
  </property>
  <property fmtid="{D5CDD505-2E9C-101B-9397-08002B2CF9AE}" pid="4" name="_EmailSubject">
    <vt:lpwstr>web files - patents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