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214543" w14:textId="77777777" w:rsidR="00A33DFF" w:rsidRDefault="00091448" w:rsidP="00091448">
      <w:pPr>
        <w:pStyle w:val="Heading1"/>
        <w:spacing w:before="0"/>
      </w:pPr>
      <w:bookmarkStart w:id="0" w:name="ChapterNumber"/>
      <w:r>
        <w:t>1</w:t>
      </w:r>
      <w:bookmarkEnd w:id="0"/>
      <w:r>
        <w:tab/>
      </w:r>
      <w:bookmarkStart w:id="1" w:name="ChapterTitle"/>
      <w:r>
        <w:t>Introduction</w:t>
      </w:r>
      <w:bookmarkEnd w:id="1"/>
    </w:p>
    <w:p w14:paraId="136AD9D5" w14:textId="7ABBDC21" w:rsidR="005959F8" w:rsidRDefault="005959F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959F8" w14:paraId="24BF09E7" w14:textId="77777777">
        <w:tc>
          <w:tcPr>
            <w:tcW w:w="8771" w:type="dxa"/>
            <w:tcBorders>
              <w:top w:val="single" w:sz="6" w:space="0" w:color="auto"/>
              <w:bottom w:val="nil"/>
            </w:tcBorders>
          </w:tcPr>
          <w:p w14:paraId="05338697" w14:textId="77777777" w:rsidR="005959F8" w:rsidRDefault="005959F8" w:rsidP="005959F8">
            <w:pPr>
              <w:pStyle w:val="BoxTitle"/>
            </w:pPr>
            <w:r>
              <w:t>Key points</w:t>
            </w:r>
          </w:p>
        </w:tc>
      </w:tr>
      <w:tr w:rsidR="005959F8" w14:paraId="6305EF3F" w14:textId="77777777">
        <w:trPr>
          <w:cantSplit/>
        </w:trPr>
        <w:tc>
          <w:tcPr>
            <w:tcW w:w="8771" w:type="dxa"/>
            <w:tcBorders>
              <w:top w:val="nil"/>
              <w:left w:val="single" w:sz="6" w:space="0" w:color="auto"/>
              <w:bottom w:val="nil"/>
              <w:right w:val="single" w:sz="6" w:space="0" w:color="auto"/>
            </w:tcBorders>
          </w:tcPr>
          <w:p w14:paraId="4FEB9B7D" w14:textId="77777777" w:rsidR="00FD54AF" w:rsidRDefault="00FD54AF" w:rsidP="00FD54AF">
            <w:pPr>
              <w:pStyle w:val="BoxListBullet"/>
            </w:pPr>
            <w:r w:rsidRPr="00FD54AF">
              <w:t xml:space="preserve">Compulsory licensing is one of several </w:t>
            </w:r>
            <w:r w:rsidR="00550017">
              <w:t>safeguards</w:t>
            </w:r>
            <w:r w:rsidRPr="00FD54AF">
              <w:t xml:space="preserve"> in the </w:t>
            </w:r>
            <w:r w:rsidR="0073401C" w:rsidRPr="00733CED">
              <w:rPr>
                <w:i/>
              </w:rPr>
              <w:t>Patents Act 1990</w:t>
            </w:r>
            <w:r w:rsidR="0073401C" w:rsidRPr="00FD54AF">
              <w:t xml:space="preserve"> (Cwlth)</w:t>
            </w:r>
            <w:r w:rsidR="0073401C">
              <w:t xml:space="preserve"> </w:t>
            </w:r>
            <w:r w:rsidRPr="00FD54AF">
              <w:t xml:space="preserve">that allow a patented invention to be </w:t>
            </w:r>
            <w:r w:rsidR="00825B36">
              <w:t>exploited</w:t>
            </w:r>
            <w:r w:rsidRPr="00FD54AF">
              <w:t xml:space="preserve"> without the authorisation of its owner.</w:t>
            </w:r>
          </w:p>
          <w:p w14:paraId="1CB8E992" w14:textId="341B1E47" w:rsidR="003B1AB3" w:rsidRDefault="003B1AB3" w:rsidP="003B1AB3">
            <w:pPr>
              <w:pStyle w:val="BoxListBullet"/>
            </w:pPr>
            <w:r w:rsidRPr="00FD54AF">
              <w:t xml:space="preserve">The Commission </w:t>
            </w:r>
            <w:r w:rsidR="00A14CB4">
              <w:t>has been</w:t>
            </w:r>
            <w:r w:rsidRPr="00FD54AF">
              <w:t xml:space="preserve"> asked to </w:t>
            </w:r>
            <w:r w:rsidR="002B7527">
              <w:t xml:space="preserve">assess </w:t>
            </w:r>
            <w:r w:rsidR="000F41FE">
              <w:t>current</w:t>
            </w:r>
            <w:r w:rsidRPr="00FD54AF">
              <w:t xml:space="preserve"> compulsory licensing</w:t>
            </w:r>
            <w:r w:rsidR="002B7527">
              <w:t xml:space="preserve"> arrangements and, if </w:t>
            </w:r>
            <w:r w:rsidR="008B761F">
              <w:t>necessary</w:t>
            </w:r>
            <w:r w:rsidR="002B7527">
              <w:t xml:space="preserve">, recommend </w:t>
            </w:r>
            <w:r w:rsidR="00656450">
              <w:t>improvements and</w:t>
            </w:r>
            <w:r w:rsidR="002B7527">
              <w:t xml:space="preserve"> alternative</w:t>
            </w:r>
            <w:r w:rsidR="00171CB9">
              <w:t>s</w:t>
            </w:r>
            <w:r w:rsidR="00DD1A91">
              <w:t>.</w:t>
            </w:r>
          </w:p>
          <w:p w14:paraId="7CE553BC" w14:textId="1D2161C3" w:rsidR="00FD54AF" w:rsidRDefault="00DD1A91" w:rsidP="00FD54AF">
            <w:pPr>
              <w:pStyle w:val="BoxListBullet"/>
            </w:pPr>
            <w:r>
              <w:t>While this</w:t>
            </w:r>
            <w:r w:rsidR="00FD54AF">
              <w:t xml:space="preserve"> inquiry was largely initiated in response to past </w:t>
            </w:r>
            <w:r>
              <w:t>reviews of gene</w:t>
            </w:r>
            <w:r w:rsidR="00FD54AF">
              <w:t xml:space="preserve"> patenting, the </w:t>
            </w:r>
            <w:r w:rsidR="000C4F2F">
              <w:t>inquiry</w:t>
            </w:r>
            <w:r w:rsidR="00FD54AF">
              <w:t xml:space="preserve"> </w:t>
            </w:r>
            <w:r w:rsidR="00755716">
              <w:t>focus</w:t>
            </w:r>
            <w:r w:rsidR="000C4F2F">
              <w:t>es</w:t>
            </w:r>
            <w:r w:rsidR="00755716">
              <w:t xml:space="preserve"> </w:t>
            </w:r>
            <w:r w:rsidR="00FD54AF">
              <w:t>on the operation of compulsory licensing</w:t>
            </w:r>
            <w:r w:rsidR="00E973DA">
              <w:t xml:space="preserve"> more generally</w:t>
            </w:r>
            <w:r w:rsidR="00FD54AF">
              <w:t>.</w:t>
            </w:r>
          </w:p>
          <w:p w14:paraId="04CA615D" w14:textId="37B5C9C1" w:rsidR="00095E57" w:rsidRPr="005959F8" w:rsidRDefault="00B34FFD" w:rsidP="00211D03">
            <w:pPr>
              <w:pStyle w:val="BoxListBullet"/>
            </w:pPr>
            <w:r>
              <w:t xml:space="preserve">The Commission has taken account of a range of factors mentioned in the </w:t>
            </w:r>
            <w:r w:rsidRPr="00BE49C0">
              <w:t xml:space="preserve">terms of reference, including the </w:t>
            </w:r>
            <w:r>
              <w:t xml:space="preserve">need to strike a balance between providing incentives to innovate and making inventions accessible, the </w:t>
            </w:r>
            <w:r w:rsidRPr="00BE49C0">
              <w:t>goal of affordable and equitable access to healthcare</w:t>
            </w:r>
            <w:r>
              <w:t xml:space="preserve">, </w:t>
            </w:r>
            <w:r w:rsidR="00537198">
              <w:t>and lessons from international approaches</w:t>
            </w:r>
            <w:r>
              <w:t xml:space="preserve">. </w:t>
            </w:r>
            <w:r w:rsidR="00EF7C71">
              <w:t>The</w:t>
            </w:r>
            <w:r>
              <w:t xml:space="preserve"> </w:t>
            </w:r>
            <w:r w:rsidR="00F00289">
              <w:t xml:space="preserve">Commission’s </w:t>
            </w:r>
            <w:r w:rsidRPr="00BE49C0">
              <w:t xml:space="preserve">overall assessment </w:t>
            </w:r>
            <w:r>
              <w:t xml:space="preserve">is based on </w:t>
            </w:r>
            <w:r w:rsidR="00A65B91" w:rsidRPr="00C16141">
              <w:t xml:space="preserve">what set of arrangements would give the best outcomes for the </w:t>
            </w:r>
            <w:r w:rsidR="00A65B91">
              <w:t>Australian community as a whole</w:t>
            </w:r>
            <w:r w:rsidR="00211D03">
              <w:t>.</w:t>
            </w:r>
          </w:p>
        </w:tc>
      </w:tr>
      <w:tr w:rsidR="005959F8" w14:paraId="3402D29D" w14:textId="77777777">
        <w:trPr>
          <w:cantSplit/>
        </w:trPr>
        <w:tc>
          <w:tcPr>
            <w:tcW w:w="8771" w:type="dxa"/>
            <w:tcBorders>
              <w:top w:val="nil"/>
              <w:left w:val="single" w:sz="6" w:space="0" w:color="auto"/>
              <w:bottom w:val="single" w:sz="6" w:space="0" w:color="auto"/>
              <w:right w:val="single" w:sz="6" w:space="0" w:color="auto"/>
            </w:tcBorders>
          </w:tcPr>
          <w:p w14:paraId="75B82225" w14:textId="77777777" w:rsidR="005959F8" w:rsidRDefault="005959F8">
            <w:pPr>
              <w:pStyle w:val="Box"/>
              <w:spacing w:before="0" w:line="120" w:lineRule="exact"/>
            </w:pPr>
          </w:p>
        </w:tc>
      </w:tr>
      <w:tr w:rsidR="005959F8" w14:paraId="74E67C10" w14:textId="77777777">
        <w:tc>
          <w:tcPr>
            <w:tcW w:w="8771" w:type="dxa"/>
            <w:tcBorders>
              <w:top w:val="nil"/>
              <w:left w:val="nil"/>
              <w:bottom w:val="nil"/>
              <w:right w:val="nil"/>
            </w:tcBorders>
          </w:tcPr>
          <w:p w14:paraId="6B569D89" w14:textId="77777777" w:rsidR="005959F8" w:rsidRDefault="005959F8">
            <w:pPr>
              <w:pStyle w:val="Box"/>
              <w:keepNext w:val="0"/>
              <w:spacing w:before="60" w:after="60" w:line="80" w:lineRule="exact"/>
              <w:rPr>
                <w:b/>
                <w:color w:val="FF00FF"/>
                <w:sz w:val="14"/>
              </w:rPr>
            </w:pPr>
          </w:p>
        </w:tc>
      </w:tr>
    </w:tbl>
    <w:bookmarkStart w:id="2" w:name="begin"/>
    <w:bookmarkStart w:id="3" w:name="_Toc331605743"/>
    <w:bookmarkStart w:id="4" w:name="_Toc331775237"/>
    <w:bookmarkEnd w:id="2"/>
    <w:p w14:paraId="49327636" w14:textId="136EAA56" w:rsidR="00286BED" w:rsidRDefault="00A507C8" w:rsidP="00A507C8">
      <w:pPr>
        <w:pStyle w:val="Heading2"/>
      </w:pPr>
      <w:r>
        <w:fldChar w:fldCharType="begin"/>
      </w:r>
      <w:r>
        <w:instrText xml:space="preserve"> COMMENTS  \* MERGEFORMAT </w:instrText>
      </w:r>
      <w:r>
        <w:fldChar w:fldCharType="separate"/>
      </w:r>
      <w:r w:rsidR="00175862">
        <w:t>1.</w:t>
      </w:r>
      <w:r>
        <w:fldChar w:fldCharType="end"/>
      </w:r>
      <w:fldSimple w:instr=" SEQ Heading2 ">
        <w:r w:rsidR="00165B10">
          <w:rPr>
            <w:noProof/>
          </w:rPr>
          <w:t>1</w:t>
        </w:r>
      </w:fldSimple>
      <w:r>
        <w:tab/>
      </w:r>
      <w:r w:rsidR="00211D03">
        <w:t>Focus of the inquiry</w:t>
      </w:r>
      <w:bookmarkEnd w:id="3"/>
      <w:bookmarkEnd w:id="4"/>
    </w:p>
    <w:p w14:paraId="2FEDCDF5" w14:textId="47CE66D5" w:rsidR="000256C9" w:rsidRPr="00405DEC" w:rsidRDefault="00286BED" w:rsidP="000256C9">
      <w:pPr>
        <w:pStyle w:val="BodyText"/>
      </w:pPr>
      <w:r w:rsidRPr="0037379F">
        <w:t xml:space="preserve">The Commission has been asked to </w:t>
      </w:r>
      <w:r w:rsidR="00BF3AD5">
        <w:t>review</w:t>
      </w:r>
      <w:r w:rsidRPr="0037379F">
        <w:t xml:space="preserve"> the compulsory licensing provisions </w:t>
      </w:r>
      <w:r w:rsidR="004503FB">
        <w:t>in</w:t>
      </w:r>
      <w:r w:rsidRPr="0037379F">
        <w:t xml:space="preserve"> the </w:t>
      </w:r>
      <w:r w:rsidRPr="00110432">
        <w:rPr>
          <w:i/>
        </w:rPr>
        <w:t>Patents Act 1990</w:t>
      </w:r>
      <w:r>
        <w:t xml:space="preserve"> (</w:t>
      </w:r>
      <w:proofErr w:type="spellStart"/>
      <w:r>
        <w:t>Cwlth</w:t>
      </w:r>
      <w:proofErr w:type="spellEnd"/>
      <w:r>
        <w:t>)</w:t>
      </w:r>
      <w:r w:rsidRPr="0037379F">
        <w:t xml:space="preserve">. Compulsory licensing is </w:t>
      </w:r>
      <w:r w:rsidR="00C3233B">
        <w:t xml:space="preserve">one of several </w:t>
      </w:r>
      <w:r w:rsidR="000256C9">
        <w:t xml:space="preserve">mechanisms in the Patents Act that allow </w:t>
      </w:r>
      <w:r w:rsidR="00A82B03">
        <w:t xml:space="preserve">a patented invention to be </w:t>
      </w:r>
      <w:r w:rsidR="00C426F6">
        <w:t>used</w:t>
      </w:r>
      <w:r w:rsidR="00A82B03">
        <w:t xml:space="preserve"> without the authorisation of </w:t>
      </w:r>
      <w:r w:rsidR="00BD246E">
        <w:t>its</w:t>
      </w:r>
      <w:r w:rsidR="00C426F6">
        <w:t xml:space="preserve"> owner</w:t>
      </w:r>
      <w:r w:rsidR="00A82B03">
        <w:t xml:space="preserve"> </w:t>
      </w:r>
      <w:r w:rsidR="000256C9">
        <w:t>(box </w:t>
      </w:r>
      <w:r w:rsidR="000256C9">
        <w:fldChar w:fldCharType="begin"/>
      </w:r>
      <w:r w:rsidR="000256C9">
        <w:instrText xml:space="preserve"> LINK </w:instrText>
      </w:r>
      <w:r w:rsidR="009229DC">
        <w:instrText xml:space="preserve">Word.Document.12 "\\\\mel_1\\groups\\InquiryC\\Patents\\Draft Report\\Chapter 1 (Introduction).docx" OLE_LINK1 </w:instrText>
      </w:r>
      <w:r w:rsidR="000256C9">
        <w:instrText xml:space="preserve">\a \t </w:instrText>
      </w:r>
      <w:r w:rsidR="000256C9">
        <w:fldChar w:fldCharType="separate"/>
      </w:r>
      <w:r w:rsidR="00175862">
        <w:t>1.1</w:t>
      </w:r>
      <w:r w:rsidR="000256C9">
        <w:fldChar w:fldCharType="end"/>
      </w:r>
      <w:r w:rsidR="00AB4BCA">
        <w:t xml:space="preserve"> and detailed further in later chapters</w:t>
      </w:r>
      <w:r w:rsidR="000256C9">
        <w:t>).</w:t>
      </w:r>
      <w:r w:rsidR="00FD4C62" w:rsidRPr="00FD4C62">
        <w:t xml:space="preserve"> </w:t>
      </w:r>
      <w:r w:rsidR="00FD4C62">
        <w:t xml:space="preserve">It is </w:t>
      </w:r>
      <w:r w:rsidR="00B64D3E">
        <w:t xml:space="preserve">intended to be </w:t>
      </w:r>
      <w:r w:rsidR="00FD4C62" w:rsidRPr="0037379F">
        <w:t>a safeguard that may be invoked whe</w:t>
      </w:r>
      <w:r w:rsidR="00FD4C62" w:rsidRPr="00BE61B1">
        <w:t>n the exclusive rights conferred by a patent are not meeting the reasonable requirements of the public</w:t>
      </w:r>
      <w:r w:rsidR="00A66043">
        <w:t>,</w:t>
      </w:r>
      <w:r w:rsidR="00FD4C62" w:rsidRPr="00BE61B1">
        <w:t xml:space="preserve"> or </w:t>
      </w:r>
      <w:r w:rsidR="00A66043">
        <w:t xml:space="preserve">are being used to </w:t>
      </w:r>
      <w:r w:rsidR="005809A8">
        <w:t>facilitate</w:t>
      </w:r>
      <w:r w:rsidR="00FD4C62" w:rsidRPr="00BE61B1">
        <w:t xml:space="preserve"> anticompetitive conduct</w:t>
      </w:r>
      <w:r w:rsidR="00FD4C62" w:rsidRPr="0037379F">
        <w:t>.</w:t>
      </w:r>
    </w:p>
    <w:p w14:paraId="51030FC3" w14:textId="77777777" w:rsidR="00BC206E" w:rsidRPr="00756D50" w:rsidRDefault="00BC206E" w:rsidP="00BC206E">
      <w:pPr>
        <w:pStyle w:val="BodyText"/>
        <w:keepNext/>
      </w:pPr>
      <w:bookmarkStart w:id="5" w:name="_Toc331427554"/>
      <w:bookmarkStart w:id="6" w:name="_Toc331605744"/>
      <w:bookmarkStart w:id="7" w:name="_Toc331775238"/>
      <w:bookmarkStart w:id="8" w:name="_Toc305675880"/>
      <w:bookmarkStart w:id="9" w:name="_Toc329937315"/>
      <w:r w:rsidRPr="00026F4C">
        <w:t xml:space="preserve">The full terms of reference </w:t>
      </w:r>
      <w:r>
        <w:t xml:space="preserve">for the inquiry </w:t>
      </w:r>
      <w:r w:rsidRPr="00026F4C">
        <w:t xml:space="preserve">are provided </w:t>
      </w:r>
      <w:r>
        <w:t>at the front of this report</w:t>
      </w:r>
      <w:r w:rsidRPr="00026F4C">
        <w:t>.</w:t>
      </w:r>
      <w:r>
        <w:t xml:space="preserve"> In summary, t</w:t>
      </w:r>
      <w:r w:rsidRPr="00026F4C">
        <w:t xml:space="preserve">he Commission </w:t>
      </w:r>
      <w:r>
        <w:t>has been asked to</w:t>
      </w:r>
      <w:r w:rsidRPr="00756D50">
        <w:t>:</w:t>
      </w:r>
    </w:p>
    <w:p w14:paraId="7D808AEC" w14:textId="77777777" w:rsidR="00BC206E" w:rsidRPr="00BE61B1" w:rsidRDefault="00BC206E" w:rsidP="00BC206E">
      <w:pPr>
        <w:pStyle w:val="ListBullet"/>
      </w:pPr>
      <w:r w:rsidRPr="0037379F">
        <w:t>assess whether the current compulsory licensing provisions can be invoked efficiently and effectively</w:t>
      </w:r>
    </w:p>
    <w:p w14:paraId="475E6CD4" w14:textId="77777777" w:rsidR="00BC206E" w:rsidRPr="00951FF2" w:rsidRDefault="00BC206E" w:rsidP="00BC206E">
      <w:pPr>
        <w:pStyle w:val="ListBullet"/>
      </w:pPr>
      <w:r w:rsidRPr="00186D7F">
        <w:t>advise on the frequency, and impact, of compulsory licences in comparable markets and the common feature</w:t>
      </w:r>
      <w:r w:rsidRPr="00951FF2">
        <w:t>s of such licen</w:t>
      </w:r>
      <w:r>
        <w:t>c</w:t>
      </w:r>
      <w:r w:rsidRPr="00951FF2">
        <w:t>es</w:t>
      </w:r>
    </w:p>
    <w:p w14:paraId="0C81ECD7" w14:textId="77777777" w:rsidR="00BC206E" w:rsidRPr="00186D7F" w:rsidRDefault="00BC206E" w:rsidP="00BC206E">
      <w:pPr>
        <w:pStyle w:val="ListBullet"/>
      </w:pPr>
      <w:r w:rsidRPr="008F0190">
        <w:t xml:space="preserve">recommend </w:t>
      </w:r>
      <w:r w:rsidRPr="002E6531">
        <w:t>any</w:t>
      </w:r>
      <w:r w:rsidRPr="0037379F">
        <w:t xml:space="preserve"> measures </w:t>
      </w:r>
      <w:r w:rsidRPr="002E6531">
        <w:t>that may be required</w:t>
      </w:r>
      <w:r w:rsidRPr="0037379F">
        <w:t xml:space="preserve"> to efficiently and effectively exercise </w:t>
      </w:r>
      <w:r w:rsidRPr="00BE61B1">
        <w:t xml:space="preserve">Australia’s </w:t>
      </w:r>
      <w:r w:rsidRPr="00186D7F">
        <w:t>compulsory licensing provisions</w:t>
      </w:r>
    </w:p>
    <w:p w14:paraId="6F67B631" w14:textId="77777777" w:rsidR="00BC206E" w:rsidRPr="00951FF2" w:rsidRDefault="00BC206E" w:rsidP="00BC206E">
      <w:pPr>
        <w:pStyle w:val="ListBullet"/>
      </w:pPr>
      <w:r w:rsidRPr="00186D7F">
        <w:lastRenderedPageBreak/>
        <w:t xml:space="preserve">recommend </w:t>
      </w:r>
      <w:r w:rsidRPr="002E6531">
        <w:t>any</w:t>
      </w:r>
      <w:r w:rsidRPr="0037379F">
        <w:t xml:space="preserve"> alternative mechanisms </w:t>
      </w:r>
      <w:r w:rsidRPr="002E6531">
        <w:t>deemed necessary</w:t>
      </w:r>
      <w:r w:rsidRPr="0037379F">
        <w:t xml:space="preserve"> to ensure that the </w:t>
      </w:r>
      <w:bookmarkStart w:id="10" w:name="_GoBack"/>
      <w:bookmarkEnd w:id="10"/>
      <w:r w:rsidRPr="0037379F">
        <w:t xml:space="preserve">balance between incentives to innovate and </w:t>
      </w:r>
      <w:r w:rsidRPr="00BE61B1">
        <w:t xml:space="preserve">to </w:t>
      </w:r>
      <w:r w:rsidRPr="00186D7F">
        <w:t>access technology best reflects the objectives of reasonable access to health care, maximising economic growth and growing the Au</w:t>
      </w:r>
      <w:r w:rsidRPr="00951FF2">
        <w:t>stralian manufacturing industry</w:t>
      </w:r>
    </w:p>
    <w:p w14:paraId="78C55794" w14:textId="77777777" w:rsidR="00BC206E" w:rsidRPr="00670A35" w:rsidRDefault="00BC206E" w:rsidP="00BC206E">
      <w:pPr>
        <w:pStyle w:val="ListBullet"/>
      </w:pPr>
      <w:r w:rsidRPr="00951FF2">
        <w:t>recommend measures to raise awareness of the compulsory licensing provisions</w:t>
      </w:r>
      <w:r>
        <w:t>.</w:t>
      </w:r>
    </w:p>
    <w:p w14:paraId="45BDCA9E" w14:textId="13F8E670" w:rsidR="00B7149C" w:rsidRDefault="00B7149C" w:rsidP="00B7149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7149C" w14:paraId="784E690E" w14:textId="77777777" w:rsidTr="00422D70">
        <w:tc>
          <w:tcPr>
            <w:tcW w:w="8771" w:type="dxa"/>
            <w:tcBorders>
              <w:top w:val="single" w:sz="6" w:space="0" w:color="auto"/>
              <w:bottom w:val="nil"/>
            </w:tcBorders>
          </w:tcPr>
          <w:p w14:paraId="1D12E0FF" w14:textId="77777777" w:rsidR="00B7149C" w:rsidRDefault="00B7149C" w:rsidP="00422D70">
            <w:pPr>
              <w:pStyle w:val="BoxTitle"/>
            </w:pPr>
            <w:r>
              <w:rPr>
                <w:b w:val="0"/>
              </w:rPr>
              <w:t xml:space="preserve">Box </w:t>
            </w:r>
            <w:bookmarkStart w:id="11" w:name="OLE_LINK1"/>
            <w:r>
              <w:rPr>
                <w:b w:val="0"/>
              </w:rPr>
              <w:fldChar w:fldCharType="begin"/>
            </w:r>
            <w:r>
              <w:rPr>
                <w:b w:val="0"/>
              </w:rPr>
              <w:instrText xml:space="preserve"> COMMENTS  \* MERGEFORMAT </w:instrText>
            </w:r>
            <w:r>
              <w:rPr>
                <w:b w:val="0"/>
              </w:rPr>
              <w:fldChar w:fldCharType="separate"/>
            </w:r>
            <w:r w:rsidR="00175862">
              <w:rPr>
                <w:b w:val="0"/>
              </w:rPr>
              <w:t>1.</w:t>
            </w:r>
            <w:r>
              <w:rPr>
                <w:b w:val="0"/>
              </w:rPr>
              <w:fldChar w:fldCharType="end"/>
            </w:r>
            <w:r>
              <w:rPr>
                <w:b w:val="0"/>
              </w:rPr>
              <w:fldChar w:fldCharType="begin"/>
            </w:r>
            <w:r>
              <w:rPr>
                <w:b w:val="0"/>
              </w:rPr>
              <w:instrText xml:space="preserve"> SEQ Box \* ARABIC </w:instrText>
            </w:r>
            <w:r>
              <w:rPr>
                <w:b w:val="0"/>
              </w:rPr>
              <w:fldChar w:fldCharType="separate"/>
            </w:r>
            <w:r w:rsidR="00165B10">
              <w:rPr>
                <w:b w:val="0"/>
                <w:noProof/>
              </w:rPr>
              <w:t>1</w:t>
            </w:r>
            <w:r>
              <w:rPr>
                <w:b w:val="0"/>
              </w:rPr>
              <w:fldChar w:fldCharType="end"/>
            </w:r>
            <w:bookmarkEnd w:id="11"/>
            <w:r>
              <w:tab/>
              <w:t>Non-voluntary access to patents</w:t>
            </w:r>
          </w:p>
        </w:tc>
      </w:tr>
      <w:tr w:rsidR="00B7149C" w14:paraId="571B701C" w14:textId="77777777" w:rsidTr="00422D70">
        <w:trPr>
          <w:cantSplit/>
        </w:trPr>
        <w:tc>
          <w:tcPr>
            <w:tcW w:w="8771" w:type="dxa"/>
            <w:tcBorders>
              <w:top w:val="nil"/>
              <w:left w:val="single" w:sz="6" w:space="0" w:color="auto"/>
              <w:bottom w:val="nil"/>
              <w:right w:val="single" w:sz="6" w:space="0" w:color="auto"/>
            </w:tcBorders>
          </w:tcPr>
          <w:p w14:paraId="732136CB" w14:textId="77777777" w:rsidR="00B7149C" w:rsidRPr="00F620A2" w:rsidRDefault="00B7149C" w:rsidP="00422D70">
            <w:pPr>
              <w:pStyle w:val="Box"/>
            </w:pPr>
            <w:r w:rsidRPr="00F620A2">
              <w:t xml:space="preserve">There are </w:t>
            </w:r>
            <w:r w:rsidR="00F66365">
              <w:t xml:space="preserve">currently </w:t>
            </w:r>
            <w:r w:rsidR="00AD1418">
              <w:t>seven</w:t>
            </w:r>
            <w:r w:rsidRPr="00F620A2">
              <w:t xml:space="preserve"> </w:t>
            </w:r>
            <w:r w:rsidR="000058C5">
              <w:t xml:space="preserve">mechanisms in </w:t>
            </w:r>
            <w:r w:rsidRPr="00F620A2">
              <w:t xml:space="preserve">the </w:t>
            </w:r>
            <w:r w:rsidRPr="00F620A2">
              <w:rPr>
                <w:i/>
              </w:rPr>
              <w:t>Patents Act 1990</w:t>
            </w:r>
            <w:r w:rsidRPr="00F620A2">
              <w:t xml:space="preserve"> (Cwlth) </w:t>
            </w:r>
            <w:r w:rsidR="000058C5">
              <w:t xml:space="preserve">that </w:t>
            </w:r>
            <w:r w:rsidRPr="00F620A2">
              <w:t>allow a patented invention to be exploited without the patentee’s authorisation:</w:t>
            </w:r>
          </w:p>
          <w:p w14:paraId="5C3FFB90" w14:textId="77777777" w:rsidR="00B7149C" w:rsidRPr="009B3537" w:rsidRDefault="00B7149C" w:rsidP="00422D70">
            <w:pPr>
              <w:pStyle w:val="BoxListBullet"/>
            </w:pPr>
            <w:r w:rsidRPr="009B3537">
              <w:t>compulsory licensing (ss.</w:t>
            </w:r>
            <w:r w:rsidR="008A69AA">
              <w:t> </w:t>
            </w:r>
            <w:r w:rsidRPr="009B3537">
              <w:t>133–140)</w:t>
            </w:r>
          </w:p>
          <w:p w14:paraId="1DA299DB" w14:textId="77777777" w:rsidR="00B7149C" w:rsidRPr="009B3537" w:rsidRDefault="00B7149C" w:rsidP="00422D70">
            <w:pPr>
              <w:pStyle w:val="BoxListBullet"/>
            </w:pPr>
            <w:r w:rsidRPr="009B3537">
              <w:t>Crown use (ss.</w:t>
            </w:r>
            <w:r w:rsidR="008A69AA">
              <w:t> </w:t>
            </w:r>
            <w:r w:rsidRPr="009B3537">
              <w:t>163–170)</w:t>
            </w:r>
          </w:p>
          <w:p w14:paraId="01F53889" w14:textId="77777777" w:rsidR="00B7149C" w:rsidRPr="009B3537" w:rsidRDefault="00B7149C" w:rsidP="00422D70">
            <w:pPr>
              <w:pStyle w:val="BoxListBullet"/>
            </w:pPr>
            <w:r w:rsidRPr="009B3537">
              <w:t>Crown acquisition (s.</w:t>
            </w:r>
            <w:r w:rsidR="008A69AA">
              <w:t> </w:t>
            </w:r>
            <w:r w:rsidRPr="009B3537">
              <w:t>171)</w:t>
            </w:r>
          </w:p>
          <w:p w14:paraId="3786884E" w14:textId="77777777" w:rsidR="00B7149C" w:rsidRPr="00F620A2" w:rsidRDefault="00B7149C" w:rsidP="00422D70">
            <w:pPr>
              <w:pStyle w:val="BoxListBullet"/>
            </w:pPr>
            <w:r w:rsidRPr="00F620A2">
              <w:t>for the purpose of obtaining regulatory approval (ss.</w:t>
            </w:r>
            <w:r w:rsidR="008A69AA">
              <w:t> </w:t>
            </w:r>
            <w:r w:rsidRPr="00F620A2">
              <w:t>119A–119B)</w:t>
            </w:r>
          </w:p>
          <w:p w14:paraId="3F27FC71" w14:textId="77777777" w:rsidR="00B7149C" w:rsidRPr="00F620A2" w:rsidRDefault="00B7149C" w:rsidP="00422D70">
            <w:pPr>
              <w:pStyle w:val="BoxListBullet"/>
            </w:pPr>
            <w:r w:rsidRPr="00F620A2">
              <w:t>for experimental purposes related to the subject matter of the invention (s.</w:t>
            </w:r>
            <w:r w:rsidR="008A69AA">
              <w:t> </w:t>
            </w:r>
            <w:r w:rsidRPr="00F620A2">
              <w:t>119C)</w:t>
            </w:r>
          </w:p>
          <w:p w14:paraId="3F0BA87D" w14:textId="6AF5B6DD" w:rsidR="00021322" w:rsidRPr="008B34D1" w:rsidRDefault="00021322" w:rsidP="00021322">
            <w:pPr>
              <w:pStyle w:val="BoxListBullet"/>
            </w:pPr>
            <w:r w:rsidRPr="008B34D1">
              <w:t>when exploitation, or ‘definite steps’ (contractually or otherwise) to exploit, occurred immediately before the ‘priority date’ (</w:t>
            </w:r>
            <w:r>
              <w:t xml:space="preserve">date the patent </w:t>
            </w:r>
            <w:r w:rsidR="000B5DC6">
              <w:t xml:space="preserve">became </w:t>
            </w:r>
            <w:r>
              <w:t>effective</w:t>
            </w:r>
            <w:r w:rsidRPr="008B34D1">
              <w:t>) (s. 119)</w:t>
            </w:r>
          </w:p>
          <w:p w14:paraId="01B10E87" w14:textId="77777777" w:rsidR="00B7149C" w:rsidRPr="00F620A2" w:rsidRDefault="00B7149C" w:rsidP="00422D70">
            <w:pPr>
              <w:pStyle w:val="BoxListBullet"/>
            </w:pPr>
            <w:r w:rsidRPr="00F620A2">
              <w:t>use in or on foreign vessels, aircraft or vehicles temporarily in Australia (s.</w:t>
            </w:r>
            <w:r w:rsidR="008A69AA">
              <w:t> </w:t>
            </w:r>
            <w:r w:rsidRPr="00F620A2">
              <w:t>118).</w:t>
            </w:r>
          </w:p>
          <w:p w14:paraId="008706C5" w14:textId="37E7BD97" w:rsidR="00B7149C" w:rsidRPr="00921B34" w:rsidRDefault="00BA1CD6" w:rsidP="00BA1CD6">
            <w:pPr>
              <w:pStyle w:val="Box"/>
              <w:rPr>
                <w:rStyle w:val="DraftingNote"/>
              </w:rPr>
            </w:pPr>
            <w:r w:rsidRPr="00BA1CD6">
              <w:t xml:space="preserve">The </w:t>
            </w:r>
            <w:r w:rsidR="009567E3">
              <w:t xml:space="preserve">Australian </w:t>
            </w:r>
            <w:r w:rsidRPr="00BA1CD6">
              <w:t>Government has foreshadowed amendments to the Patents Act that would add a further mechanism for the manufacture and export of patented pharmaceutical inventions to developing countries experiencing health crises.</w:t>
            </w:r>
          </w:p>
        </w:tc>
      </w:tr>
      <w:tr w:rsidR="00B7149C" w14:paraId="305ADF1C" w14:textId="77777777" w:rsidTr="00422D70">
        <w:trPr>
          <w:cantSplit/>
        </w:trPr>
        <w:tc>
          <w:tcPr>
            <w:tcW w:w="8771" w:type="dxa"/>
            <w:tcBorders>
              <w:top w:val="nil"/>
              <w:left w:val="single" w:sz="6" w:space="0" w:color="auto"/>
              <w:bottom w:val="single" w:sz="6" w:space="0" w:color="auto"/>
              <w:right w:val="single" w:sz="6" w:space="0" w:color="auto"/>
            </w:tcBorders>
          </w:tcPr>
          <w:p w14:paraId="52A8CA04" w14:textId="77777777" w:rsidR="00B7149C" w:rsidRDefault="00B7149C" w:rsidP="00422D70">
            <w:pPr>
              <w:pStyle w:val="Box"/>
              <w:spacing w:before="0" w:line="120" w:lineRule="exact"/>
            </w:pPr>
          </w:p>
        </w:tc>
      </w:tr>
      <w:tr w:rsidR="00B7149C" w14:paraId="649B936F" w14:textId="77777777" w:rsidTr="00422D70">
        <w:tc>
          <w:tcPr>
            <w:tcW w:w="8771" w:type="dxa"/>
            <w:tcBorders>
              <w:top w:val="nil"/>
              <w:left w:val="nil"/>
              <w:bottom w:val="nil"/>
              <w:right w:val="nil"/>
            </w:tcBorders>
          </w:tcPr>
          <w:p w14:paraId="292DFEFA" w14:textId="77777777" w:rsidR="00B7149C" w:rsidRDefault="00B7149C" w:rsidP="00422D70">
            <w:pPr>
              <w:pStyle w:val="Box"/>
              <w:keepNext w:val="0"/>
              <w:spacing w:before="60" w:after="60" w:line="80" w:lineRule="exact"/>
              <w:rPr>
                <w:b/>
                <w:color w:val="FF00FF"/>
                <w:sz w:val="14"/>
              </w:rPr>
            </w:pPr>
          </w:p>
        </w:tc>
      </w:tr>
    </w:tbl>
    <w:bookmarkEnd w:id="5"/>
    <w:bookmarkEnd w:id="6"/>
    <w:bookmarkEnd w:id="7"/>
    <w:p w14:paraId="3F7408A1" w14:textId="79F70DA2" w:rsidR="00B80B46" w:rsidRDefault="00B80B46" w:rsidP="00842585">
      <w:pPr>
        <w:pStyle w:val="BodyText"/>
        <w:keepNext/>
      </w:pPr>
      <w:r>
        <w:t xml:space="preserve">The </w:t>
      </w:r>
      <w:r w:rsidR="00C67085">
        <w:t>origin</w:t>
      </w:r>
      <w:r w:rsidR="00C05A47">
        <w:t>s</w:t>
      </w:r>
      <w:r w:rsidR="00C67085">
        <w:t xml:space="preserve"> of this inquiry can be traced back to several p</w:t>
      </w:r>
      <w:r w:rsidR="000B14E0">
        <w:t>ast</w:t>
      </w:r>
      <w:r w:rsidR="00C67085">
        <w:t xml:space="preserve"> reviews of the patents system.</w:t>
      </w:r>
      <w:r w:rsidR="000B14E0">
        <w:t xml:space="preserve"> In particular, the A</w:t>
      </w:r>
      <w:r>
        <w:t>ustralian Government (2011</w:t>
      </w:r>
      <w:r w:rsidR="00A27918">
        <w:t>a</w:t>
      </w:r>
      <w:r>
        <w:t xml:space="preserve">) agreed to a review of compulsory licensing </w:t>
      </w:r>
      <w:r w:rsidR="009F7468">
        <w:t>as part of its</w:t>
      </w:r>
      <w:r w:rsidR="00DB3155">
        <w:t xml:space="preserve"> </w:t>
      </w:r>
      <w:r w:rsidR="00B00EAD">
        <w:t xml:space="preserve">combined </w:t>
      </w:r>
      <w:r>
        <w:t>response to</w:t>
      </w:r>
      <w:r w:rsidR="00FB6469">
        <w:t xml:space="preserve"> three </w:t>
      </w:r>
      <w:r>
        <w:t>reports.</w:t>
      </w:r>
    </w:p>
    <w:p w14:paraId="617BD344" w14:textId="4346D8FC" w:rsidR="00FB6D3F" w:rsidRDefault="007E62C1" w:rsidP="00FB6D3F">
      <w:pPr>
        <w:pStyle w:val="ListBullet"/>
      </w:pPr>
      <w:r w:rsidRPr="00A979E7">
        <w:t xml:space="preserve">Two of the reports — prepared by the Australian Law Reform Commission (ALRC 2004) and </w:t>
      </w:r>
      <w:r w:rsidR="00FB469B">
        <w:t xml:space="preserve">the </w:t>
      </w:r>
      <w:r w:rsidRPr="00A979E7">
        <w:t xml:space="preserve">Senate Community Affairs References Committee (SCARC 2010) — </w:t>
      </w:r>
      <w:r w:rsidR="006A1C42" w:rsidRPr="00A979E7">
        <w:t xml:space="preserve">examined the </w:t>
      </w:r>
      <w:r w:rsidR="00967DFD">
        <w:t>issue</w:t>
      </w:r>
      <w:r w:rsidR="006A1C42" w:rsidRPr="00A979E7">
        <w:t xml:space="preserve"> of gene patenting. </w:t>
      </w:r>
    </w:p>
    <w:p w14:paraId="6664BC2E" w14:textId="15D2F7D1" w:rsidR="00FB6D3F" w:rsidRDefault="006A1C42" w:rsidP="00FB6D3F">
      <w:pPr>
        <w:pStyle w:val="ListBullet"/>
      </w:pPr>
      <w:r w:rsidRPr="00A979E7">
        <w:t>The other report — by the Advisory Council on Intellectual Property (ACIP</w:t>
      </w:r>
      <w:r w:rsidR="00FB6D3F">
        <w:t> </w:t>
      </w:r>
      <w:r w:rsidRPr="00A979E7">
        <w:t>2010</w:t>
      </w:r>
      <w:r w:rsidR="00A27918">
        <w:t>c</w:t>
      </w:r>
      <w:r w:rsidRPr="00A979E7">
        <w:t>) — looked at the scope of patentable subject matter</w:t>
      </w:r>
      <w:r w:rsidR="00D108E4">
        <w:t xml:space="preserve"> more </w:t>
      </w:r>
      <w:r w:rsidR="009F7ADB">
        <w:t>broadly</w:t>
      </w:r>
      <w:r w:rsidRPr="00A979E7">
        <w:t>.</w:t>
      </w:r>
    </w:p>
    <w:p w14:paraId="550CE6FC" w14:textId="1F02A9B1" w:rsidR="00E81193" w:rsidRDefault="00A979E7" w:rsidP="00286BED">
      <w:pPr>
        <w:pStyle w:val="BodyText"/>
      </w:pPr>
      <w:r w:rsidRPr="00967DFD">
        <w:t>All three reports rejected calls to exclude human gene</w:t>
      </w:r>
      <w:r w:rsidR="000D1D4C">
        <w:t>s</w:t>
      </w:r>
      <w:r w:rsidRPr="00967DFD">
        <w:t xml:space="preserve"> from the patents system. </w:t>
      </w:r>
      <w:r w:rsidR="00C866C3" w:rsidRPr="00967DFD">
        <w:t>The</w:t>
      </w:r>
      <w:r w:rsidR="00CA366B">
        <w:t>y</w:t>
      </w:r>
      <w:r w:rsidR="00C866C3" w:rsidRPr="00967DFD">
        <w:t xml:space="preserve"> concluded that concerns about accessing patented inventions </w:t>
      </w:r>
      <w:r w:rsidR="00C34AE2" w:rsidRPr="00967DFD">
        <w:t>are better dealt with through other mechanisms, including compulsory licensing.</w:t>
      </w:r>
      <w:r w:rsidR="008B5048" w:rsidRPr="00967DFD">
        <w:t xml:space="preserve"> However, the ALRC and SCARC </w:t>
      </w:r>
      <w:r w:rsidR="004D42C4">
        <w:t>also</w:t>
      </w:r>
      <w:r w:rsidR="008B5048" w:rsidRPr="00967DFD">
        <w:t xml:space="preserve"> </w:t>
      </w:r>
      <w:r w:rsidR="004D42C4">
        <w:t>concluded</w:t>
      </w:r>
      <w:r w:rsidR="008B5048" w:rsidRPr="00967DFD">
        <w:t xml:space="preserve"> that the patents legislation </w:t>
      </w:r>
      <w:r w:rsidR="004D42C4">
        <w:t xml:space="preserve">needed to </w:t>
      </w:r>
      <w:r w:rsidR="008B5048" w:rsidRPr="00967DFD">
        <w:t xml:space="preserve">be </w:t>
      </w:r>
      <w:r w:rsidR="004D42C4">
        <w:t>amended</w:t>
      </w:r>
      <w:r w:rsidR="008B5048" w:rsidRPr="00967DFD">
        <w:t xml:space="preserve"> to clarify the conditions under which a compulsory licence would be granted, noting that the provisions had rarely been used. </w:t>
      </w:r>
      <w:r w:rsidR="003E471D">
        <w:t>In addition, the</w:t>
      </w:r>
      <w:r w:rsidR="00F61CBD">
        <w:t xml:space="preserve"> ALRC recommended </w:t>
      </w:r>
      <w:r w:rsidR="00E81193">
        <w:t xml:space="preserve">that a competition test proposed by </w:t>
      </w:r>
      <w:r w:rsidR="00FB469B">
        <w:t xml:space="preserve">the </w:t>
      </w:r>
      <w:r w:rsidR="00FB469B" w:rsidRPr="00891683">
        <w:t xml:space="preserve">Intellectual Property and </w:t>
      </w:r>
      <w:r w:rsidR="00FB469B" w:rsidRPr="00891683">
        <w:lastRenderedPageBreak/>
        <w:t>Competition Review Committee</w:t>
      </w:r>
      <w:r w:rsidR="00FB469B">
        <w:t xml:space="preserve"> (</w:t>
      </w:r>
      <w:r w:rsidR="00E81193">
        <w:t xml:space="preserve">IPCRC 2000) be adopted as an additional ground for granting </w:t>
      </w:r>
      <w:r w:rsidR="00F61CBD">
        <w:t xml:space="preserve">a compulsory licence. </w:t>
      </w:r>
      <w:r w:rsidR="00E81193">
        <w:t>The Australian Government chose to implement a different type of competition test (detailed in chapter 6), which the SCARC subsequently recommended be reviewed.</w:t>
      </w:r>
    </w:p>
    <w:p w14:paraId="6ABB4E7C" w14:textId="316A036E" w:rsidR="00D64D80" w:rsidRDefault="00B32BF3" w:rsidP="00402650">
      <w:pPr>
        <w:pStyle w:val="BodyText"/>
      </w:pPr>
      <w:r>
        <w:t>A</w:t>
      </w:r>
      <w:r w:rsidR="00D64D80">
        <w:t xml:space="preserve"> number of </w:t>
      </w:r>
      <w:r w:rsidR="00F74D20">
        <w:t xml:space="preserve">other </w:t>
      </w:r>
      <w:r w:rsidR="00C938B5">
        <w:t xml:space="preserve">developments </w:t>
      </w:r>
      <w:r w:rsidR="00247F7F">
        <w:t>have</w:t>
      </w:r>
      <w:r w:rsidR="00172ED5">
        <w:t xml:space="preserve"> </w:t>
      </w:r>
      <w:r w:rsidR="0067356F">
        <w:t xml:space="preserve">also </w:t>
      </w:r>
      <w:r w:rsidR="00247F7F">
        <w:t xml:space="preserve">been </w:t>
      </w:r>
      <w:r w:rsidR="00C938B5">
        <w:t>relevant to the inquiry</w:t>
      </w:r>
      <w:r>
        <w:t>,</w:t>
      </w:r>
      <w:r w:rsidR="00C938B5">
        <w:t xml:space="preserve"> includ</w:t>
      </w:r>
      <w:r>
        <w:t>ing</w:t>
      </w:r>
      <w:r w:rsidR="00C938B5">
        <w:t>:</w:t>
      </w:r>
    </w:p>
    <w:p w14:paraId="2EBEC81C" w14:textId="43158256" w:rsidR="00172ED5" w:rsidRPr="00873C00" w:rsidRDefault="00432FE1" w:rsidP="00172ED5">
      <w:pPr>
        <w:pStyle w:val="ListBullet"/>
      </w:pPr>
      <w:r>
        <w:t xml:space="preserve">concurrent </w:t>
      </w:r>
      <w:r w:rsidR="00775B82">
        <w:t>review</w:t>
      </w:r>
      <w:r w:rsidR="00EF6AA1">
        <w:t>s</w:t>
      </w:r>
      <w:r w:rsidR="00775B82">
        <w:t xml:space="preserve"> of </w:t>
      </w:r>
      <w:r w:rsidR="005534E8">
        <w:t xml:space="preserve">Australia’s system of </w:t>
      </w:r>
      <w:r w:rsidR="00775B82">
        <w:t xml:space="preserve">innovation patents </w:t>
      </w:r>
      <w:r w:rsidR="00587B2A">
        <w:t>(</w:t>
      </w:r>
      <w:r w:rsidR="00235FE7">
        <w:t>ACIP</w:t>
      </w:r>
      <w:r w:rsidR="00F175B3">
        <w:t xml:space="preserve"> </w:t>
      </w:r>
      <w:r w:rsidR="00235FE7">
        <w:t>2011</w:t>
      </w:r>
      <w:r w:rsidR="00F175B3">
        <w:t>)</w:t>
      </w:r>
      <w:r w:rsidR="00B24E8C">
        <w:t xml:space="preserve"> and pharmaceutical patents (IP Australia</w:t>
      </w:r>
      <w:r w:rsidR="00B24E8C" w:rsidRPr="00873C00">
        <w:t xml:space="preserve"> </w:t>
      </w:r>
      <w:proofErr w:type="spellStart"/>
      <w:r w:rsidR="00B24E8C" w:rsidRPr="00873C00">
        <w:t>2012</w:t>
      </w:r>
      <w:r w:rsidR="009C5DEA">
        <w:t>k</w:t>
      </w:r>
      <w:proofErr w:type="spellEnd"/>
      <w:r w:rsidR="00B24E8C">
        <w:t>)</w:t>
      </w:r>
    </w:p>
    <w:p w14:paraId="680FA493" w14:textId="77777777" w:rsidR="007E62C1" w:rsidRPr="00681A1A" w:rsidRDefault="00172ED5" w:rsidP="00172ED5">
      <w:pPr>
        <w:pStyle w:val="ListBullet"/>
      </w:pPr>
      <w:r w:rsidRPr="00681A1A">
        <w:t xml:space="preserve">court cases in Australia and the United States regarding the patentability of </w:t>
      </w:r>
      <w:r w:rsidR="00FA047C" w:rsidRPr="00681A1A">
        <w:t xml:space="preserve">genes </w:t>
      </w:r>
      <w:r w:rsidRPr="00681A1A">
        <w:t xml:space="preserve">associated with </w:t>
      </w:r>
      <w:r w:rsidR="008224CC" w:rsidRPr="00681A1A">
        <w:t>specific types of</w:t>
      </w:r>
      <w:r w:rsidR="00FA047C" w:rsidRPr="00681A1A">
        <w:t xml:space="preserve"> cancer</w:t>
      </w:r>
      <w:r w:rsidR="00383DEA" w:rsidRPr="00681A1A">
        <w:t xml:space="preserve"> (chapter 5)</w:t>
      </w:r>
    </w:p>
    <w:p w14:paraId="3B298367" w14:textId="77777777" w:rsidR="00A36450" w:rsidRPr="00681A1A" w:rsidRDefault="00E04965" w:rsidP="00172ED5">
      <w:pPr>
        <w:pStyle w:val="ListBullet"/>
      </w:pPr>
      <w:r w:rsidRPr="00681A1A">
        <w:t xml:space="preserve">a Bill to amend the Patents Act </w:t>
      </w:r>
      <w:r w:rsidR="007641C2" w:rsidRPr="00681A1A">
        <w:t xml:space="preserve">so that patented pharmaceutical inventions can be manufactured and exported to developing countries experiencing health crises </w:t>
      </w:r>
      <w:r w:rsidR="007F1D6B" w:rsidRPr="00681A1A">
        <w:t>without a patentee’s authorisation</w:t>
      </w:r>
      <w:r w:rsidR="00552F34" w:rsidRPr="00681A1A">
        <w:t xml:space="preserve"> </w:t>
      </w:r>
      <w:r w:rsidR="00BC4608" w:rsidRPr="00681A1A">
        <w:t xml:space="preserve">(chapter </w:t>
      </w:r>
      <w:r w:rsidR="007725B7" w:rsidRPr="00681A1A">
        <w:t>8</w:t>
      </w:r>
      <w:r w:rsidR="00BC4608" w:rsidRPr="00681A1A">
        <w:t>).</w:t>
      </w:r>
    </w:p>
    <w:p w14:paraId="42A2E4C1" w14:textId="5061196E" w:rsidR="00685C19" w:rsidRPr="00681A1A" w:rsidRDefault="00685C19" w:rsidP="000B78E7">
      <w:pPr>
        <w:pStyle w:val="BodyText"/>
      </w:pPr>
      <w:bookmarkStart w:id="12" w:name="_Toc331427555"/>
      <w:bookmarkStart w:id="13" w:name="_Toc331605745"/>
      <w:bookmarkStart w:id="14" w:name="_Toc331775239"/>
      <w:r w:rsidRPr="00681A1A">
        <w:t xml:space="preserve">While this inquiry was largely initiated in response to past debates about the patenting of genes, the focus </w:t>
      </w:r>
      <w:r w:rsidR="00A6140D" w:rsidRPr="00681A1A">
        <w:t xml:space="preserve">of the inquiry is </w:t>
      </w:r>
      <w:r w:rsidRPr="00681A1A">
        <w:t xml:space="preserve">on the </w:t>
      </w:r>
      <w:r w:rsidR="00B93C6B" w:rsidRPr="00681A1A">
        <w:t>operation</w:t>
      </w:r>
      <w:r w:rsidRPr="00681A1A">
        <w:t xml:space="preserve"> of compulsory licensing</w:t>
      </w:r>
      <w:r w:rsidR="00BF3AD5" w:rsidRPr="00BF3AD5">
        <w:t xml:space="preserve"> </w:t>
      </w:r>
      <w:r w:rsidR="00BF3AD5">
        <w:t>more generally</w:t>
      </w:r>
      <w:r w:rsidRPr="00681A1A">
        <w:t xml:space="preserve">. As noted in the terms of reference, compulsory licensing </w:t>
      </w:r>
      <w:r w:rsidR="00916384" w:rsidRPr="00681A1A">
        <w:t>could</w:t>
      </w:r>
      <w:r w:rsidRPr="00681A1A">
        <w:t xml:space="preserve"> also </w:t>
      </w:r>
      <w:r w:rsidR="00916384" w:rsidRPr="00681A1A">
        <w:t xml:space="preserve">be </w:t>
      </w:r>
      <w:r w:rsidRPr="00681A1A">
        <w:t>relevant to a number of other areas, including climate change mitigation and alternative energy technologies, food security, and standard essential patents</w:t>
      </w:r>
      <w:r w:rsidR="008D5D52" w:rsidRPr="00681A1A">
        <w:t xml:space="preserve"> (chapter 5)</w:t>
      </w:r>
      <w:r w:rsidRPr="00681A1A">
        <w:t>.</w:t>
      </w:r>
    </w:p>
    <w:p w14:paraId="7E2E8DE3" w14:textId="30D94633" w:rsidR="00286BED" w:rsidRDefault="009D0B20" w:rsidP="00D91033">
      <w:pPr>
        <w:pStyle w:val="Heading2"/>
        <w:spacing w:before="500"/>
      </w:pPr>
      <w:fldSimple w:instr=" COMMENTS  \* MERGEFORMAT ">
        <w:r w:rsidR="00175862">
          <w:t>1.</w:t>
        </w:r>
      </w:fldSimple>
      <w:fldSimple w:instr=" SEQ Heading2 ">
        <w:r w:rsidR="00165B10">
          <w:rPr>
            <w:noProof/>
          </w:rPr>
          <w:t>2</w:t>
        </w:r>
      </w:fldSimple>
      <w:r w:rsidR="00A810CE">
        <w:tab/>
      </w:r>
      <w:r w:rsidR="00EC30C1">
        <w:t xml:space="preserve">Report structure and </w:t>
      </w:r>
      <w:r w:rsidR="00F31E01">
        <w:t xml:space="preserve">the </w:t>
      </w:r>
      <w:r w:rsidR="00286BED">
        <w:t>Commission’s approach</w:t>
      </w:r>
      <w:bookmarkEnd w:id="8"/>
      <w:bookmarkEnd w:id="9"/>
      <w:bookmarkEnd w:id="12"/>
      <w:bookmarkEnd w:id="13"/>
      <w:bookmarkEnd w:id="14"/>
    </w:p>
    <w:p w14:paraId="5B062C22" w14:textId="48F3CBEC" w:rsidR="00D34469" w:rsidRDefault="001E3E4A" w:rsidP="00842585">
      <w:pPr>
        <w:pStyle w:val="BodyText"/>
        <w:keepNext/>
      </w:pPr>
      <w:r>
        <w:t xml:space="preserve">This report is </w:t>
      </w:r>
      <w:r w:rsidR="007D71AB">
        <w:t xml:space="preserve">structured </w:t>
      </w:r>
      <w:r w:rsidR="0073332D">
        <w:t>as</w:t>
      </w:r>
      <w:r>
        <w:t xml:space="preserve"> </w:t>
      </w:r>
      <w:r w:rsidR="0093054A">
        <w:t>follow</w:t>
      </w:r>
      <w:r w:rsidR="0073332D">
        <w:t>s</w:t>
      </w:r>
      <w:r w:rsidR="00D34469">
        <w:t>:</w:t>
      </w:r>
    </w:p>
    <w:p w14:paraId="16D7F922" w14:textId="77777777" w:rsidR="00D34469" w:rsidRPr="00681A1A" w:rsidRDefault="001B191E" w:rsidP="00D34469">
      <w:pPr>
        <w:pStyle w:val="ListBullet"/>
      </w:pPr>
      <w:r w:rsidRPr="00681A1A">
        <w:t xml:space="preserve">relevant </w:t>
      </w:r>
      <w:r w:rsidR="00D34469" w:rsidRPr="00681A1A">
        <w:t>background</w:t>
      </w:r>
      <w:r w:rsidRPr="00681A1A">
        <w:t xml:space="preserve"> </w:t>
      </w:r>
      <w:r w:rsidR="0043595D" w:rsidRPr="00681A1A">
        <w:t xml:space="preserve">— </w:t>
      </w:r>
      <w:r w:rsidR="00EB539A" w:rsidRPr="00681A1A">
        <w:t xml:space="preserve">the </w:t>
      </w:r>
      <w:r w:rsidR="00D34469" w:rsidRPr="00681A1A">
        <w:t>rationale for patents and associated safeguards</w:t>
      </w:r>
      <w:r w:rsidR="007662FC" w:rsidRPr="00681A1A">
        <w:t>,</w:t>
      </w:r>
      <w:r w:rsidR="00A84E92" w:rsidRPr="00681A1A">
        <w:t xml:space="preserve"> </w:t>
      </w:r>
      <w:r w:rsidR="00767CDE" w:rsidRPr="00681A1A">
        <w:t>including</w:t>
      </w:r>
      <w:r w:rsidR="00A84E92" w:rsidRPr="00681A1A">
        <w:t xml:space="preserve"> compulsory licensing </w:t>
      </w:r>
      <w:r w:rsidR="00D34469" w:rsidRPr="00681A1A">
        <w:t>(chapter 2)</w:t>
      </w:r>
      <w:r w:rsidR="004E248E" w:rsidRPr="00681A1A">
        <w:t>;</w:t>
      </w:r>
      <w:r w:rsidR="0043595D" w:rsidRPr="00681A1A">
        <w:t xml:space="preserve"> </w:t>
      </w:r>
      <w:r w:rsidR="00D34469" w:rsidRPr="00681A1A">
        <w:t>key features of the patents system in Australia and comparable markets (chapter 3)</w:t>
      </w:r>
    </w:p>
    <w:p w14:paraId="767D4C97" w14:textId="77777777" w:rsidR="00D34469" w:rsidRPr="00681A1A" w:rsidRDefault="002B37C3" w:rsidP="00D34469">
      <w:pPr>
        <w:pStyle w:val="ListBullet"/>
      </w:pPr>
      <w:r w:rsidRPr="00681A1A">
        <w:t>examination</w:t>
      </w:r>
      <w:r w:rsidR="00916E92" w:rsidRPr="00681A1A">
        <w:t xml:space="preserve"> of </w:t>
      </w:r>
      <w:r w:rsidR="003F6AF7" w:rsidRPr="00681A1A">
        <w:t xml:space="preserve">whether patent access has been a problem </w:t>
      </w:r>
      <w:r w:rsidR="0043595D" w:rsidRPr="00681A1A">
        <w:t xml:space="preserve">— </w:t>
      </w:r>
      <w:r w:rsidR="00D34469" w:rsidRPr="00681A1A">
        <w:t>current utilisation of patents in Australia and comparable markets</w:t>
      </w:r>
      <w:r w:rsidR="00C71D42" w:rsidRPr="00681A1A">
        <w:t xml:space="preserve">, including </w:t>
      </w:r>
      <w:r w:rsidR="00845738" w:rsidRPr="00681A1A">
        <w:t>through</w:t>
      </w:r>
      <w:r w:rsidR="00D34469" w:rsidRPr="00681A1A">
        <w:t xml:space="preserve"> voluntary licences and non-voluntary mechanisms (chapter 4)</w:t>
      </w:r>
      <w:r w:rsidR="00C71D42" w:rsidRPr="00681A1A">
        <w:t>;</w:t>
      </w:r>
      <w:r w:rsidR="0043595D" w:rsidRPr="00681A1A">
        <w:t xml:space="preserve"> </w:t>
      </w:r>
      <w:r w:rsidR="00D34469" w:rsidRPr="00681A1A">
        <w:t>specific concerns about access</w:t>
      </w:r>
      <w:r w:rsidR="00C71D42" w:rsidRPr="00681A1A">
        <w:t>ing patent</w:t>
      </w:r>
      <w:r w:rsidR="00256C70" w:rsidRPr="00681A1A">
        <w:t>ed invention</w:t>
      </w:r>
      <w:r w:rsidR="00C71D42" w:rsidRPr="00681A1A">
        <w:t xml:space="preserve">s related to </w:t>
      </w:r>
      <w:r w:rsidR="00D34469" w:rsidRPr="00681A1A">
        <w:t>gene</w:t>
      </w:r>
      <w:r w:rsidR="00C71D42" w:rsidRPr="00681A1A">
        <w:t>s,</w:t>
      </w:r>
      <w:r w:rsidR="00D34469" w:rsidRPr="00681A1A">
        <w:t xml:space="preserve"> </w:t>
      </w:r>
      <w:r w:rsidR="00C71D42" w:rsidRPr="00681A1A">
        <w:t xml:space="preserve">climate </w:t>
      </w:r>
      <w:r w:rsidR="00D34469" w:rsidRPr="00681A1A">
        <w:t>change mitigation and alternative energy, food security</w:t>
      </w:r>
      <w:r w:rsidR="00C71D42" w:rsidRPr="00681A1A">
        <w:t>,</w:t>
      </w:r>
      <w:r w:rsidR="00D34469" w:rsidRPr="00681A1A">
        <w:t xml:space="preserve"> and standard essential patents (chapter 5)</w:t>
      </w:r>
    </w:p>
    <w:p w14:paraId="3FF02262" w14:textId="77777777" w:rsidR="00D34469" w:rsidRPr="00681A1A" w:rsidRDefault="00D34469" w:rsidP="00D34469">
      <w:pPr>
        <w:pStyle w:val="ListBullet"/>
      </w:pPr>
      <w:r w:rsidRPr="00681A1A">
        <w:t>assessment of current mechanisms</w:t>
      </w:r>
      <w:r w:rsidR="0043595D" w:rsidRPr="00681A1A">
        <w:t xml:space="preserve"> </w:t>
      </w:r>
      <w:r w:rsidR="000400ED" w:rsidRPr="00681A1A">
        <w:t>for accessing patent</w:t>
      </w:r>
      <w:r w:rsidR="00256C70" w:rsidRPr="00681A1A">
        <w:t>ed invention</w:t>
      </w:r>
      <w:r w:rsidR="000400ED" w:rsidRPr="00681A1A">
        <w:t>s with</w:t>
      </w:r>
      <w:r w:rsidR="008A787B" w:rsidRPr="00681A1A">
        <w:t>out</w:t>
      </w:r>
      <w:r w:rsidR="000400ED" w:rsidRPr="00681A1A">
        <w:t xml:space="preserve"> the owner’s authorisation </w:t>
      </w:r>
      <w:r w:rsidR="0043595D" w:rsidRPr="00681A1A">
        <w:t xml:space="preserve">— </w:t>
      </w:r>
      <w:r w:rsidRPr="00681A1A">
        <w:t>compulsory licensing</w:t>
      </w:r>
      <w:r w:rsidR="0043595D" w:rsidRPr="00681A1A">
        <w:t xml:space="preserve"> </w:t>
      </w:r>
      <w:r w:rsidR="00F731CA" w:rsidRPr="00681A1A">
        <w:t>(</w:t>
      </w:r>
      <w:r w:rsidRPr="00681A1A">
        <w:t>chapter </w:t>
      </w:r>
      <w:r w:rsidR="0050205C" w:rsidRPr="00681A1A">
        <w:t>6</w:t>
      </w:r>
      <w:r w:rsidRPr="00681A1A">
        <w:t>)</w:t>
      </w:r>
      <w:r w:rsidR="002D2D83" w:rsidRPr="00681A1A">
        <w:t>;</w:t>
      </w:r>
      <w:r w:rsidRPr="00681A1A">
        <w:t xml:space="preserve"> Crown use and acquisition (chapter </w:t>
      </w:r>
      <w:r w:rsidR="0050205C" w:rsidRPr="00681A1A">
        <w:t>7</w:t>
      </w:r>
      <w:r w:rsidRPr="00681A1A">
        <w:t>)</w:t>
      </w:r>
      <w:r w:rsidR="002D2D83" w:rsidRPr="00681A1A">
        <w:t>;</w:t>
      </w:r>
      <w:r w:rsidR="0043595D" w:rsidRPr="00681A1A">
        <w:t xml:space="preserve"> </w:t>
      </w:r>
      <w:r w:rsidRPr="00681A1A">
        <w:t xml:space="preserve">other forms of non-voluntary access </w:t>
      </w:r>
      <w:r w:rsidR="0043595D" w:rsidRPr="00681A1A">
        <w:t>to patented inventions</w:t>
      </w:r>
      <w:r w:rsidRPr="00681A1A">
        <w:t xml:space="preserve"> (chapter </w:t>
      </w:r>
      <w:r w:rsidR="0050205C" w:rsidRPr="00681A1A">
        <w:t>8</w:t>
      </w:r>
      <w:r w:rsidRPr="00681A1A">
        <w:t>)</w:t>
      </w:r>
    </w:p>
    <w:p w14:paraId="7A63E83C" w14:textId="77777777" w:rsidR="00D34469" w:rsidRPr="00681A1A" w:rsidRDefault="00D34469" w:rsidP="00D34469">
      <w:pPr>
        <w:pStyle w:val="ListBullet"/>
      </w:pPr>
      <w:r w:rsidRPr="00681A1A">
        <w:t xml:space="preserve">consideration of new </w:t>
      </w:r>
      <w:r w:rsidR="002C1DF5" w:rsidRPr="00681A1A">
        <w:t>initiatives</w:t>
      </w:r>
      <w:r w:rsidR="00E53424" w:rsidRPr="00681A1A">
        <w:t xml:space="preserve"> —</w:t>
      </w:r>
      <w:r w:rsidR="003139AA" w:rsidRPr="00681A1A">
        <w:t xml:space="preserve"> </w:t>
      </w:r>
      <w:r w:rsidRPr="00681A1A">
        <w:t>new alternative mechanisms (chapter </w:t>
      </w:r>
      <w:r w:rsidR="003139AA" w:rsidRPr="00681A1A">
        <w:t>9</w:t>
      </w:r>
      <w:r w:rsidRPr="00681A1A">
        <w:t>)</w:t>
      </w:r>
      <w:r w:rsidR="003139AA" w:rsidRPr="00681A1A">
        <w:t xml:space="preserve">; </w:t>
      </w:r>
      <w:r w:rsidR="001027A0" w:rsidRPr="00681A1A">
        <w:t xml:space="preserve">and </w:t>
      </w:r>
      <w:r w:rsidR="003139AA" w:rsidRPr="00681A1A">
        <w:t>awareness-raising measures (chapter 10)</w:t>
      </w:r>
      <w:r w:rsidR="008C56E4" w:rsidRPr="00681A1A">
        <w:t>.</w:t>
      </w:r>
    </w:p>
    <w:p w14:paraId="65D12F72" w14:textId="77777777" w:rsidR="00EC30C1" w:rsidRPr="00117664" w:rsidRDefault="00EC30C1" w:rsidP="00117664">
      <w:pPr>
        <w:pStyle w:val="Heading3"/>
      </w:pPr>
      <w:r w:rsidRPr="00117664">
        <w:lastRenderedPageBreak/>
        <w:t>Matters the Commission was asked to have regard to</w:t>
      </w:r>
    </w:p>
    <w:p w14:paraId="2516069A" w14:textId="77777777" w:rsidR="005F0D0D" w:rsidRPr="006B5FD3" w:rsidRDefault="001E621F" w:rsidP="00842585">
      <w:pPr>
        <w:pStyle w:val="BodyText"/>
        <w:keepNext/>
      </w:pPr>
      <w:r>
        <w:t xml:space="preserve">The </w:t>
      </w:r>
      <w:r w:rsidR="005F0D0D">
        <w:t>terms of reference</w:t>
      </w:r>
      <w:r>
        <w:t xml:space="preserve"> requested </w:t>
      </w:r>
      <w:r w:rsidR="005F0D0D">
        <w:t xml:space="preserve">the Commission </w:t>
      </w:r>
      <w:r>
        <w:t xml:space="preserve">to have </w:t>
      </w:r>
      <w:r w:rsidR="005F0D0D">
        <w:t>regard to:</w:t>
      </w:r>
    </w:p>
    <w:p w14:paraId="590801C8" w14:textId="77777777" w:rsidR="005F0D0D" w:rsidRPr="00681A1A" w:rsidRDefault="005F0D0D" w:rsidP="005F0D0D">
      <w:pPr>
        <w:pStyle w:val="ListBullet"/>
      </w:pPr>
      <w:r>
        <w:t xml:space="preserve">the </w:t>
      </w:r>
      <w:r w:rsidR="00B114E0">
        <w:t xml:space="preserve">need to strike a </w:t>
      </w:r>
      <w:r>
        <w:t xml:space="preserve">balance between providing incentives for innovation </w:t>
      </w:r>
      <w:r w:rsidR="00B114E0">
        <w:t xml:space="preserve">on the one hand, </w:t>
      </w:r>
      <w:r>
        <w:t>and facilitating access to, and transfer of, technology</w:t>
      </w:r>
      <w:r w:rsidR="00B114E0">
        <w:t xml:space="preserve"> on the other</w:t>
      </w:r>
      <w:r w:rsidR="00B550F4">
        <w:t xml:space="preserve"> </w:t>
      </w:r>
      <w:r w:rsidR="00B550F4" w:rsidRPr="00681A1A">
        <w:t>(</w:t>
      </w:r>
      <w:r w:rsidR="00BF67B9" w:rsidRPr="00681A1A">
        <w:t xml:space="preserve">discussed in </w:t>
      </w:r>
      <w:r w:rsidR="00B550F4" w:rsidRPr="00681A1A">
        <w:t>chapter 2)</w:t>
      </w:r>
    </w:p>
    <w:p w14:paraId="23394C92" w14:textId="46C6744D" w:rsidR="00A949FE" w:rsidRPr="00681A1A" w:rsidRDefault="00A949FE" w:rsidP="00A949FE">
      <w:pPr>
        <w:pStyle w:val="ListBullet"/>
      </w:pPr>
      <w:r>
        <w:t xml:space="preserve">recent </w:t>
      </w:r>
      <w:r w:rsidR="005A35F2">
        <w:t>changes</w:t>
      </w:r>
      <w:r w:rsidR="00AF0E36">
        <w:t xml:space="preserve"> </w:t>
      </w:r>
      <w:r w:rsidR="005A35F2">
        <w:t xml:space="preserve">made in the </w:t>
      </w:r>
      <w:r w:rsidR="00167861" w:rsidRPr="00167861">
        <w:rPr>
          <w:i/>
        </w:rPr>
        <w:t xml:space="preserve">Intellectual Property Laws Amendment (Raising the Bar) Act 2012 </w:t>
      </w:r>
      <w:r w:rsidR="00167861">
        <w:t xml:space="preserve">(Cwlth), </w:t>
      </w:r>
      <w:r w:rsidR="00AF0E36">
        <w:t>including broade</w:t>
      </w:r>
      <w:r w:rsidR="005A35F2">
        <w:t>ning</w:t>
      </w:r>
      <w:r w:rsidR="00AF0E36">
        <w:t xml:space="preserve"> </w:t>
      </w:r>
      <w:r w:rsidR="005A35F2">
        <w:t xml:space="preserve">the extent to which </w:t>
      </w:r>
      <w:r w:rsidR="00AF0E36">
        <w:t xml:space="preserve">research </w:t>
      </w:r>
      <w:r w:rsidR="005A35F2">
        <w:t>can be conducted with</w:t>
      </w:r>
      <w:r w:rsidR="00CF738E">
        <w:t xml:space="preserve">out the permission of patent </w:t>
      </w:r>
      <w:r w:rsidR="00CF738E" w:rsidRPr="00681A1A">
        <w:t>owners</w:t>
      </w:r>
      <w:r w:rsidR="005A35F2" w:rsidRPr="00681A1A">
        <w:t xml:space="preserve"> </w:t>
      </w:r>
      <w:r w:rsidRPr="00681A1A">
        <w:t>(chapter</w:t>
      </w:r>
      <w:r w:rsidR="009D1A79" w:rsidRPr="00681A1A">
        <w:t>s</w:t>
      </w:r>
      <w:r w:rsidRPr="00681A1A">
        <w:t> 3</w:t>
      </w:r>
      <w:r w:rsidR="009D1A79" w:rsidRPr="00681A1A">
        <w:t xml:space="preserve"> and 8</w:t>
      </w:r>
      <w:r w:rsidRPr="00681A1A">
        <w:t>)</w:t>
      </w:r>
    </w:p>
    <w:p w14:paraId="683B3AA1" w14:textId="77777777" w:rsidR="006706D1" w:rsidRPr="00681A1A" w:rsidRDefault="006706D1" w:rsidP="006706D1">
      <w:pPr>
        <w:pStyle w:val="ListBullet"/>
      </w:pPr>
      <w:r>
        <w:t>the goals of affordable and equitable access to healthcare</w:t>
      </w:r>
      <w:r w:rsidR="009D46FE">
        <w:rPr>
          <w:rStyle w:val="FootnoteReference"/>
        </w:rPr>
        <w:footnoteReference w:id="2"/>
      </w:r>
      <w:r>
        <w:t xml:space="preserve">, maximising economic growth, and growing the </w:t>
      </w:r>
      <w:r w:rsidRPr="00681A1A">
        <w:t xml:space="preserve">manufacturing industry </w:t>
      </w:r>
      <w:r w:rsidR="007E02DF" w:rsidRPr="00681A1A">
        <w:t>(chapter 5</w:t>
      </w:r>
      <w:r w:rsidR="001E1957" w:rsidRPr="00681A1A">
        <w:t xml:space="preserve"> onwards</w:t>
      </w:r>
      <w:r w:rsidR="007E02DF" w:rsidRPr="00681A1A">
        <w:t>)</w:t>
      </w:r>
    </w:p>
    <w:p w14:paraId="4345182B" w14:textId="77777777" w:rsidR="00B114E0" w:rsidRPr="00681A1A" w:rsidRDefault="005F0D0D" w:rsidP="005F0D0D">
      <w:pPr>
        <w:pStyle w:val="ListBullet"/>
      </w:pPr>
      <w:r>
        <w:t xml:space="preserve">other </w:t>
      </w:r>
      <w:r w:rsidR="00A949FE">
        <w:t xml:space="preserve">relevant </w:t>
      </w:r>
      <w:r>
        <w:t>parts of the intellectual property system</w:t>
      </w:r>
      <w:r w:rsidR="00A949FE">
        <w:t>, such as Crown use provisions</w:t>
      </w:r>
      <w:r w:rsidR="00851C54">
        <w:t xml:space="preserve"> (</w:t>
      </w:r>
      <w:r w:rsidR="00357D08" w:rsidRPr="00681A1A">
        <w:t xml:space="preserve">particularly </w:t>
      </w:r>
      <w:r w:rsidR="00851C54" w:rsidRPr="00681A1A">
        <w:t>chapters </w:t>
      </w:r>
      <w:r w:rsidR="003F5855" w:rsidRPr="00681A1A">
        <w:t>7</w:t>
      </w:r>
      <w:r w:rsidR="00851C54" w:rsidRPr="00681A1A">
        <w:t xml:space="preserve"> and </w:t>
      </w:r>
      <w:r w:rsidR="003F5855" w:rsidRPr="00681A1A">
        <w:t>8</w:t>
      </w:r>
      <w:r w:rsidR="00851C54" w:rsidRPr="00681A1A">
        <w:t>)</w:t>
      </w:r>
    </w:p>
    <w:p w14:paraId="4CBCEFC1" w14:textId="64D1933B" w:rsidR="005F0D0D" w:rsidRDefault="005F0D0D" w:rsidP="005F0D0D">
      <w:pPr>
        <w:pStyle w:val="ListBullet"/>
      </w:pPr>
      <w:r>
        <w:t xml:space="preserve">international </w:t>
      </w:r>
      <w:r w:rsidRPr="00681A1A">
        <w:t>approaches</w:t>
      </w:r>
      <w:r w:rsidR="00863D09" w:rsidRPr="00681A1A">
        <w:t xml:space="preserve"> (chapter</w:t>
      </w:r>
      <w:r w:rsidR="004711FC" w:rsidRPr="00681A1A">
        <w:t>s</w:t>
      </w:r>
      <w:r w:rsidR="00863D09" w:rsidRPr="00681A1A">
        <w:t xml:space="preserve"> 3</w:t>
      </w:r>
      <w:r w:rsidR="004711FC" w:rsidRPr="00681A1A">
        <w:t>–9</w:t>
      </w:r>
      <w:r w:rsidR="00B81719" w:rsidRPr="00681A1A">
        <w:t xml:space="preserve"> </w:t>
      </w:r>
      <w:r w:rsidR="004711FC" w:rsidRPr="00681A1A">
        <w:t>and appendices B–C</w:t>
      </w:r>
      <w:r w:rsidR="00863D09" w:rsidRPr="00681A1A">
        <w:t>)</w:t>
      </w:r>
      <w:r w:rsidR="00477D92" w:rsidRPr="00681A1A">
        <w:t>.</w:t>
      </w:r>
    </w:p>
    <w:p w14:paraId="0746998E" w14:textId="4FFDF40A" w:rsidR="005F0D0D" w:rsidRDefault="00161847" w:rsidP="005F0D0D">
      <w:pPr>
        <w:pStyle w:val="BodyText"/>
      </w:pPr>
      <w:r>
        <w:t>Th</w:t>
      </w:r>
      <w:r w:rsidR="00CF1879">
        <w:t>e above</w:t>
      </w:r>
      <w:r>
        <w:t xml:space="preserve"> included</w:t>
      </w:r>
      <w:r w:rsidR="00857069">
        <w:t xml:space="preserve"> </w:t>
      </w:r>
      <w:r w:rsidR="008776CE">
        <w:t xml:space="preserve">consideration </w:t>
      </w:r>
      <w:r w:rsidR="00857069">
        <w:t>of</w:t>
      </w:r>
      <w:r w:rsidR="002403CE">
        <w:t xml:space="preserve"> t</w:t>
      </w:r>
      <w:r w:rsidR="00475E3B">
        <w:t xml:space="preserve">he </w:t>
      </w:r>
      <w:r w:rsidR="00475E3B" w:rsidRPr="00C16141">
        <w:t xml:space="preserve">interests of </w:t>
      </w:r>
      <w:r w:rsidR="00475E3B">
        <w:t>specific groups and industries</w:t>
      </w:r>
      <w:r w:rsidR="009A2A73">
        <w:t>,</w:t>
      </w:r>
      <w:r w:rsidR="003014E2">
        <w:t xml:space="preserve"> particularly those </w:t>
      </w:r>
      <w:r w:rsidR="00143CE1">
        <w:t>that</w:t>
      </w:r>
      <w:r w:rsidR="00501553">
        <w:t xml:space="preserve"> </w:t>
      </w:r>
      <w:r w:rsidR="003014E2">
        <w:t xml:space="preserve">patent inventions </w:t>
      </w:r>
      <w:r w:rsidR="00455E17">
        <w:t>or</w:t>
      </w:r>
      <w:r w:rsidR="00501553">
        <w:t xml:space="preserve"> wish to </w:t>
      </w:r>
      <w:r w:rsidR="00933524">
        <w:t>access</w:t>
      </w:r>
      <w:r w:rsidR="00501553">
        <w:t xml:space="preserve"> them</w:t>
      </w:r>
      <w:r w:rsidR="002403CE">
        <w:t>. That said</w:t>
      </w:r>
      <w:r w:rsidR="00475E3B">
        <w:t xml:space="preserve">, </w:t>
      </w:r>
      <w:r w:rsidR="001D4DC8" w:rsidRPr="00C16141">
        <w:t xml:space="preserve">the Commission </w:t>
      </w:r>
      <w:r w:rsidR="00B550F4">
        <w:t>ultimately</w:t>
      </w:r>
      <w:r w:rsidR="00987399">
        <w:t xml:space="preserve"> </w:t>
      </w:r>
      <w:r w:rsidR="001D4DC8">
        <w:t xml:space="preserve">sought to take account of </w:t>
      </w:r>
      <w:r w:rsidR="001D4DC8" w:rsidRPr="00C16141">
        <w:t>the</w:t>
      </w:r>
      <w:r w:rsidR="001D4DC8">
        <w:t xml:space="preserve"> community</w:t>
      </w:r>
      <w:r w:rsidR="009F31C2">
        <w:t>-</w:t>
      </w:r>
      <w:r w:rsidR="001D4DC8" w:rsidRPr="00C16141">
        <w:t xml:space="preserve">wide impacts, including </w:t>
      </w:r>
      <w:r w:rsidR="001D4DC8">
        <w:t>the effects</w:t>
      </w:r>
      <w:r w:rsidR="001D4DC8" w:rsidRPr="00C16141">
        <w:t xml:space="preserve"> on other businesses, consumers, and the broader Australian community.</w:t>
      </w:r>
      <w:r w:rsidR="001D4DC8">
        <w:t xml:space="preserve"> </w:t>
      </w:r>
      <w:r w:rsidR="000E4EDA">
        <w:t>Hence</w:t>
      </w:r>
      <w:r w:rsidR="00987399">
        <w:t>,</w:t>
      </w:r>
      <w:r w:rsidR="005F0D0D" w:rsidRPr="00C16141">
        <w:t xml:space="preserve"> the Commission </w:t>
      </w:r>
      <w:r w:rsidR="005F0D0D">
        <w:t xml:space="preserve">has </w:t>
      </w:r>
      <w:r w:rsidR="005F0D0D" w:rsidRPr="00C16141">
        <w:t>base</w:t>
      </w:r>
      <w:r w:rsidR="005F0D0D">
        <w:t>d</w:t>
      </w:r>
      <w:r w:rsidR="005F0D0D" w:rsidRPr="00C16141">
        <w:t xml:space="preserve"> its </w:t>
      </w:r>
      <w:r w:rsidR="00582760">
        <w:t xml:space="preserve">overall </w:t>
      </w:r>
      <w:r w:rsidR="005F0D0D" w:rsidRPr="00C16141">
        <w:t xml:space="preserve">assessment on what set of arrangements would give the best outcomes for the </w:t>
      </w:r>
      <w:r w:rsidR="005F0D0D">
        <w:t xml:space="preserve">Australian </w:t>
      </w:r>
      <w:r w:rsidR="001D4DC8">
        <w:t>community as a whole.</w:t>
      </w:r>
    </w:p>
    <w:p w14:paraId="3A7D9947" w14:textId="77777777" w:rsidR="005F0D0D" w:rsidRPr="00117664" w:rsidRDefault="00262122" w:rsidP="00117664">
      <w:pPr>
        <w:pStyle w:val="Heading3"/>
      </w:pPr>
      <w:r w:rsidRPr="00117664">
        <w:t>Efficiency and effectiveness</w:t>
      </w:r>
    </w:p>
    <w:p w14:paraId="7F6E1793" w14:textId="77777777" w:rsidR="00F2185F" w:rsidRPr="00117664" w:rsidRDefault="004E4E30" w:rsidP="00117664">
      <w:pPr>
        <w:pStyle w:val="BodyText"/>
      </w:pPr>
      <w:r w:rsidRPr="00117664">
        <w:t xml:space="preserve">Two key criteria that the Commission </w:t>
      </w:r>
      <w:r w:rsidR="007229AD" w:rsidRPr="00117664">
        <w:t>was</w:t>
      </w:r>
      <w:r w:rsidRPr="00117664">
        <w:t xml:space="preserve"> asked to apply in its assessment of existing </w:t>
      </w:r>
      <w:r w:rsidR="00347D6B" w:rsidRPr="00117664">
        <w:t xml:space="preserve">and proposed </w:t>
      </w:r>
      <w:r w:rsidR="0085490D" w:rsidRPr="00117664">
        <w:t>arrangements we</w:t>
      </w:r>
      <w:r w:rsidRPr="00117664">
        <w:t>re efficiency and effectiveness.</w:t>
      </w:r>
    </w:p>
    <w:p w14:paraId="3D8B59FD" w14:textId="77777777" w:rsidR="00E467F9" w:rsidRPr="00117664" w:rsidRDefault="00E467F9" w:rsidP="00117664">
      <w:pPr>
        <w:pStyle w:val="BodyText"/>
      </w:pPr>
      <w:r w:rsidRPr="00117664">
        <w:t>Efficiency, in its broadest sense, refers to how well resources are used to benefit the wellbeing of the community as a whole. This broad interpretation</w:t>
      </w:r>
      <w:r w:rsidR="00D904CC" w:rsidRPr="00117664">
        <w:t>,</w:t>
      </w:r>
      <w:r w:rsidRPr="00117664">
        <w:t xml:space="preserve"> known as ‘economic efficiency’</w:t>
      </w:r>
      <w:r w:rsidR="00D904CC" w:rsidRPr="00117664">
        <w:t>,</w:t>
      </w:r>
      <w:r w:rsidRPr="00117664">
        <w:t xml:space="preserve"> has three components — the degree to which outputs are produced at least possible cost (productive efficiency), how resources are allocated across different uses so as to generate the greatest community wellbeing at a given point in time (allocative efficiency), and to achieve the greatest possible wellbeing over time (</w:t>
      </w:r>
      <w:r w:rsidR="00BC73C0" w:rsidRPr="00117664">
        <w:t>dynamic efficiency).</w:t>
      </w:r>
    </w:p>
    <w:p w14:paraId="260814DB" w14:textId="3DD48E3F" w:rsidR="00E467F9" w:rsidRPr="00117664" w:rsidRDefault="00E467F9" w:rsidP="00117664">
      <w:pPr>
        <w:pStyle w:val="BodyText"/>
      </w:pPr>
      <w:r w:rsidRPr="00117664">
        <w:lastRenderedPageBreak/>
        <w:t xml:space="preserve">A patents system can be an important determinant of economic efficiency, given its influence on the incentive for innovation and use of inventions. This includes compulsory licences, which if issued too liberally could discourage innovation or, if too restrictively, may reduce the benefits </w:t>
      </w:r>
      <w:r w:rsidR="00F31E01" w:rsidRPr="00117664">
        <w:t>to</w:t>
      </w:r>
      <w:r w:rsidRPr="00117664">
        <w:t xml:space="preserve"> the community as a whole from new inventions. These </w:t>
      </w:r>
      <w:r w:rsidR="00F13285" w:rsidRPr="00117664">
        <w:t>have been</w:t>
      </w:r>
      <w:r w:rsidRPr="00117664">
        <w:t xml:space="preserve"> important considerations for the inquiry. A further consideration </w:t>
      </w:r>
      <w:r w:rsidR="00F13285" w:rsidRPr="00117664">
        <w:t xml:space="preserve">has been </w:t>
      </w:r>
      <w:r w:rsidRPr="00117664">
        <w:t>the efficiency of the process for obtaining a compulsory licence itself, which includes both the financial cost and timeliness.</w:t>
      </w:r>
    </w:p>
    <w:p w14:paraId="1F14D626" w14:textId="03910387" w:rsidR="00DF7BF2" w:rsidRPr="00117664" w:rsidRDefault="00DF7BF2" w:rsidP="00117664">
      <w:pPr>
        <w:pStyle w:val="BodyText"/>
      </w:pPr>
      <w:r w:rsidRPr="00117664">
        <w:t xml:space="preserve">Effectiveness refers to how successful a policy is in meeting its objectives. The objectives of Australia’s compulsory licensing provisions are not explicitly stated in the Patents Act. However, the Government has indicated in the terms of reference that the provisions are a safeguard to be invoked when the exercise of exclusive rights under a patent is not meeting the reasonable requirements of the public or constitutes anticompetitive conduct. This reflects the </w:t>
      </w:r>
      <w:r w:rsidR="006715FD" w:rsidRPr="00117664">
        <w:t xml:space="preserve">current </w:t>
      </w:r>
      <w:r w:rsidR="00666F1F" w:rsidRPr="00117664">
        <w:t xml:space="preserve">grounds </w:t>
      </w:r>
      <w:r w:rsidR="00EB57A5" w:rsidRPr="00117664">
        <w:t xml:space="preserve">on which </w:t>
      </w:r>
      <w:r w:rsidR="00666F1F" w:rsidRPr="00117664">
        <w:t>a compulsory licence order</w:t>
      </w:r>
      <w:r w:rsidR="000D602F" w:rsidRPr="00117664">
        <w:t xml:space="preserve"> </w:t>
      </w:r>
      <w:r w:rsidR="00AB4370" w:rsidRPr="00117664">
        <w:t xml:space="preserve">can be issued under the Patents Act </w:t>
      </w:r>
      <w:r w:rsidR="000D602F" w:rsidRPr="00117664">
        <w:t>(chapter 6)</w:t>
      </w:r>
      <w:r w:rsidR="00666F1F" w:rsidRPr="00117664">
        <w:t xml:space="preserve">. </w:t>
      </w:r>
      <w:r w:rsidR="00B770D0" w:rsidRPr="00117664">
        <w:t>The clarity of current objectives and their appropriateness</w:t>
      </w:r>
      <w:r w:rsidR="00D838E5" w:rsidRPr="00117664">
        <w:t xml:space="preserve"> are</w:t>
      </w:r>
      <w:r w:rsidR="00A7340B" w:rsidRPr="00117664">
        <w:t xml:space="preserve"> </w:t>
      </w:r>
      <w:r w:rsidR="0053585E" w:rsidRPr="00117664">
        <w:t>matter</w:t>
      </w:r>
      <w:r w:rsidR="00D838E5" w:rsidRPr="00117664">
        <w:t>s</w:t>
      </w:r>
      <w:r w:rsidR="008B6080" w:rsidRPr="00117664">
        <w:t xml:space="preserve"> considered further in later chapters.</w:t>
      </w:r>
    </w:p>
    <w:p w14:paraId="7D68394E" w14:textId="22DC6AF9" w:rsidR="002A78C7" w:rsidRPr="00117664" w:rsidRDefault="006F117B" w:rsidP="00117664">
      <w:pPr>
        <w:pStyle w:val="BodyText"/>
      </w:pPr>
      <w:r w:rsidRPr="00117664">
        <w:t xml:space="preserve">An important consideration in assessing the efficiency and effectiveness of existing arrangements has been the small number of </w:t>
      </w:r>
      <w:r w:rsidR="002A78C7" w:rsidRPr="00117664">
        <w:t xml:space="preserve">applications for a compulsory licence order in Australia, and </w:t>
      </w:r>
      <w:r w:rsidRPr="00117664">
        <w:t xml:space="preserve">that </w:t>
      </w:r>
      <w:r w:rsidR="002A78C7" w:rsidRPr="00117664">
        <w:t xml:space="preserve">none </w:t>
      </w:r>
      <w:r w:rsidR="009D22FA" w:rsidRPr="00117664">
        <w:t xml:space="preserve">have </w:t>
      </w:r>
      <w:r w:rsidR="00D97F9F" w:rsidRPr="00117664">
        <w:t>resulted in a compulsory licence</w:t>
      </w:r>
      <w:r w:rsidR="002A78C7" w:rsidRPr="00117664">
        <w:t xml:space="preserve"> (</w:t>
      </w:r>
      <w:r w:rsidR="006C538C" w:rsidRPr="00117664">
        <w:t>box </w:t>
      </w:r>
      <w:r w:rsidR="00175862" w:rsidRPr="00117664">
        <w:fldChar w:fldCharType="begin"/>
      </w:r>
      <w:r w:rsidR="00175862" w:rsidRPr="00117664">
        <w:instrText xml:space="preserve"> LINK Word.Document.12 "\\\\mel_1\\groups\\InquiryC\\Patents\\Draft Report\\Chapter 1 (Introduction).docx" "OLE_LINK2" \a \t </w:instrText>
      </w:r>
      <w:r w:rsidR="00117664">
        <w:instrText xml:space="preserve"> \* MERGEFORMAT </w:instrText>
      </w:r>
      <w:r w:rsidR="00175862" w:rsidRPr="00117664">
        <w:fldChar w:fldCharType="separate"/>
      </w:r>
      <w:r w:rsidR="00175862" w:rsidRPr="00117664">
        <w:t>1.2</w:t>
      </w:r>
      <w:r w:rsidR="00175862" w:rsidRPr="00117664">
        <w:fldChar w:fldCharType="end"/>
      </w:r>
      <w:r w:rsidR="002A78C7" w:rsidRPr="00117664">
        <w:t xml:space="preserve">). Whether this is evidence that the compulsory licensing provisions are </w:t>
      </w:r>
      <w:r w:rsidR="00A03442" w:rsidRPr="00117664">
        <w:t xml:space="preserve">inefficient and </w:t>
      </w:r>
      <w:r w:rsidR="002A78C7" w:rsidRPr="00117664">
        <w:t>ineffective, or alternatively a sign that the provisions have successfully discouraged unwanted behaviour, is assessed in chapter</w:t>
      </w:r>
      <w:r w:rsidR="00C169E7" w:rsidRPr="00117664">
        <w:t> 6</w:t>
      </w:r>
      <w:r w:rsidR="002A78C7" w:rsidRPr="00117664">
        <w:t>.</w:t>
      </w:r>
    </w:p>
    <w:p w14:paraId="162EE309" w14:textId="0A49CEB7" w:rsidR="00A245E2" w:rsidRDefault="00A245E2" w:rsidP="00A245E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245E2" w14:paraId="6992D225" w14:textId="77777777" w:rsidTr="0022183A">
        <w:tc>
          <w:tcPr>
            <w:tcW w:w="8771" w:type="dxa"/>
            <w:tcBorders>
              <w:top w:val="single" w:sz="6" w:space="0" w:color="auto"/>
              <w:bottom w:val="nil"/>
            </w:tcBorders>
          </w:tcPr>
          <w:p w14:paraId="1FC87DE7" w14:textId="77777777" w:rsidR="00A245E2" w:rsidRDefault="00A245E2" w:rsidP="0022183A">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1.</w:t>
            </w:r>
            <w:r>
              <w:rPr>
                <w:b w:val="0"/>
              </w:rPr>
              <w:fldChar w:fldCharType="end"/>
            </w:r>
            <w:r>
              <w:rPr>
                <w:b w:val="0"/>
              </w:rPr>
              <w:fldChar w:fldCharType="begin"/>
            </w:r>
            <w:r>
              <w:rPr>
                <w:b w:val="0"/>
              </w:rPr>
              <w:instrText xml:space="preserve"> SEQ Box \* ARABIC </w:instrText>
            </w:r>
            <w:r>
              <w:rPr>
                <w:b w:val="0"/>
              </w:rPr>
              <w:fldChar w:fldCharType="separate"/>
            </w:r>
            <w:r w:rsidR="00165B10">
              <w:rPr>
                <w:b w:val="0"/>
                <w:noProof/>
              </w:rPr>
              <w:t>2</w:t>
            </w:r>
            <w:r>
              <w:rPr>
                <w:b w:val="0"/>
              </w:rPr>
              <w:fldChar w:fldCharType="end"/>
            </w:r>
            <w:r>
              <w:tab/>
              <w:t>The limited use of Australia’s compulsory licensing provisions</w:t>
            </w:r>
          </w:p>
        </w:tc>
      </w:tr>
      <w:tr w:rsidR="00A245E2" w14:paraId="506EC5A8" w14:textId="77777777" w:rsidTr="0022183A">
        <w:trPr>
          <w:cantSplit/>
        </w:trPr>
        <w:tc>
          <w:tcPr>
            <w:tcW w:w="8771" w:type="dxa"/>
            <w:tcBorders>
              <w:top w:val="nil"/>
              <w:left w:val="single" w:sz="6" w:space="0" w:color="auto"/>
              <w:bottom w:val="nil"/>
              <w:right w:val="single" w:sz="6" w:space="0" w:color="auto"/>
            </w:tcBorders>
          </w:tcPr>
          <w:p w14:paraId="287C4455" w14:textId="77777777" w:rsidR="002B22D0" w:rsidRDefault="002B22D0" w:rsidP="002B22D0">
            <w:pPr>
              <w:pStyle w:val="Box"/>
            </w:pPr>
            <w:r>
              <w:t>There appears to have been only three applications for a compulsory licence order since this became available under Commonwealth legislation in 1903. None of the applications resulted in a compulsory licence.</w:t>
            </w:r>
          </w:p>
          <w:p w14:paraId="425642DA" w14:textId="77777777" w:rsidR="002B22D0" w:rsidRPr="00CB388E" w:rsidRDefault="002B22D0" w:rsidP="002B22D0">
            <w:pPr>
              <w:pStyle w:val="BoxHeading1"/>
            </w:pPr>
            <w:r>
              <w:t>Fastening Supplies Pty Ltd v Olin Mathieson Chemical Corp. [1969] HCA 61</w:t>
            </w:r>
          </w:p>
          <w:p w14:paraId="024F7419" w14:textId="77777777" w:rsidR="002B22D0" w:rsidRDefault="002B22D0" w:rsidP="002B22D0">
            <w:pPr>
              <w:pStyle w:val="Box"/>
            </w:pPr>
            <w:r w:rsidRPr="008F32E5">
              <w:t xml:space="preserve">This application was made under the </w:t>
            </w:r>
            <w:r w:rsidRPr="008F32E5">
              <w:rPr>
                <w:i/>
              </w:rPr>
              <w:t>Patents Act 1952</w:t>
            </w:r>
            <w:r w:rsidRPr="008F32E5">
              <w:t xml:space="preserve"> (Cwlth), which required an applicant to first satisfy the Commissioner of Patents that there was </w:t>
            </w:r>
            <w:r w:rsidRPr="003B46AC">
              <w:t>a prima facie</w:t>
            </w:r>
            <w:r w:rsidRPr="008F32E5">
              <w:t xml:space="preserve"> case that the ‘reasonable requirements of the public’ had not been satisfied. If a prima facie case was found, the matter had to be referred to the High Court</w:t>
            </w:r>
            <w:r>
              <w:t xml:space="preserve"> (in its original jurisdiction)</w:t>
            </w:r>
            <w:r w:rsidRPr="008F32E5">
              <w:t>.</w:t>
            </w:r>
          </w:p>
          <w:p w14:paraId="704AC7D1" w14:textId="77777777" w:rsidR="003A5097" w:rsidRPr="008F32E5" w:rsidRDefault="003A5097" w:rsidP="003A5097">
            <w:pPr>
              <w:pStyle w:val="Box"/>
            </w:pPr>
            <w:r w:rsidRPr="00344A8D">
              <w:t>Fastening Supplies sought a compulsory licence for a captive-bolt gun from Olin Mathieson, which had granted an exclusive licence in Australia to Ramset Fasteners.</w:t>
            </w:r>
          </w:p>
          <w:p w14:paraId="5BD9DFE2" w14:textId="77777777" w:rsidR="00A245E2" w:rsidRDefault="00A245E2" w:rsidP="0022183A">
            <w:pPr>
              <w:pStyle w:val="Continued"/>
            </w:pPr>
            <w:r>
              <w:t xml:space="preserve"> (Continued next page)</w:t>
            </w:r>
          </w:p>
        </w:tc>
      </w:tr>
      <w:tr w:rsidR="00A245E2" w14:paraId="07154EA2" w14:textId="77777777" w:rsidTr="0022183A">
        <w:trPr>
          <w:cantSplit/>
        </w:trPr>
        <w:tc>
          <w:tcPr>
            <w:tcW w:w="8771" w:type="dxa"/>
            <w:tcBorders>
              <w:top w:val="nil"/>
              <w:left w:val="single" w:sz="6" w:space="0" w:color="auto"/>
              <w:bottom w:val="single" w:sz="6" w:space="0" w:color="auto"/>
              <w:right w:val="single" w:sz="6" w:space="0" w:color="auto"/>
            </w:tcBorders>
          </w:tcPr>
          <w:p w14:paraId="44A19D1E" w14:textId="77777777" w:rsidR="00A245E2" w:rsidRDefault="00A245E2" w:rsidP="0022183A">
            <w:pPr>
              <w:pStyle w:val="Box"/>
              <w:spacing w:before="0" w:line="120" w:lineRule="exact"/>
            </w:pPr>
          </w:p>
        </w:tc>
      </w:tr>
      <w:tr w:rsidR="00A245E2" w:rsidRPr="000863A5" w14:paraId="73A65925" w14:textId="77777777" w:rsidTr="0022183A">
        <w:tc>
          <w:tcPr>
            <w:tcW w:w="8771" w:type="dxa"/>
            <w:tcBorders>
              <w:top w:val="nil"/>
              <w:left w:val="nil"/>
              <w:bottom w:val="nil"/>
              <w:right w:val="nil"/>
            </w:tcBorders>
          </w:tcPr>
          <w:p w14:paraId="5776624F" w14:textId="4C8BEA0B" w:rsidR="00A245E2" w:rsidRPr="00626D32" w:rsidRDefault="00A245E2" w:rsidP="0022183A">
            <w:pPr>
              <w:pStyle w:val="BoxSpaceBelow"/>
            </w:pPr>
          </w:p>
        </w:tc>
      </w:tr>
    </w:tbl>
    <w:p w14:paraId="4FB6E896" w14:textId="77777777" w:rsidR="00A245E2" w:rsidRDefault="00A245E2" w:rsidP="00A245E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245E2" w14:paraId="6D8A77B4" w14:textId="77777777" w:rsidTr="0022183A">
        <w:tc>
          <w:tcPr>
            <w:tcW w:w="8771" w:type="dxa"/>
            <w:tcBorders>
              <w:top w:val="single" w:sz="6" w:space="0" w:color="auto"/>
              <w:bottom w:val="nil"/>
            </w:tcBorders>
          </w:tcPr>
          <w:p w14:paraId="37059DFB" w14:textId="55B67DB6" w:rsidR="00A245E2" w:rsidRDefault="00A245E2" w:rsidP="0022183A">
            <w:pPr>
              <w:pStyle w:val="BoxTitle"/>
            </w:pPr>
            <w:r>
              <w:rPr>
                <w:b w:val="0"/>
              </w:rPr>
              <w:t>Box 1</w:t>
            </w:r>
            <w:r w:rsidR="00273DB4">
              <w:rPr>
                <w:b w:val="0"/>
              </w:rPr>
              <w:t>.2</w:t>
            </w:r>
            <w:r>
              <w:tab/>
            </w:r>
            <w:r w:rsidRPr="00082EA9">
              <w:rPr>
                <w:b w:val="0"/>
                <w:sz w:val="18"/>
                <w:szCs w:val="18"/>
              </w:rPr>
              <w:t>(continued)</w:t>
            </w:r>
          </w:p>
        </w:tc>
      </w:tr>
      <w:tr w:rsidR="00A245E2" w14:paraId="1D73B7B4" w14:textId="77777777" w:rsidTr="0022183A">
        <w:trPr>
          <w:cantSplit/>
        </w:trPr>
        <w:tc>
          <w:tcPr>
            <w:tcW w:w="8771" w:type="dxa"/>
            <w:tcBorders>
              <w:top w:val="nil"/>
              <w:left w:val="single" w:sz="6" w:space="0" w:color="auto"/>
              <w:bottom w:val="nil"/>
              <w:right w:val="single" w:sz="6" w:space="0" w:color="auto"/>
            </w:tcBorders>
          </w:tcPr>
          <w:p w14:paraId="2F29773A" w14:textId="77777777" w:rsidR="00AD7EE6" w:rsidRPr="00344A8D" w:rsidRDefault="00AD7EE6" w:rsidP="00AD7EE6">
            <w:pPr>
              <w:pStyle w:val="Box"/>
            </w:pPr>
            <w:r w:rsidRPr="00344A8D">
              <w:t>The matter was referred to the High Court</w:t>
            </w:r>
            <w:r>
              <w:t xml:space="preserve">, </w:t>
            </w:r>
            <w:r w:rsidRPr="00344A8D">
              <w:t>which found that at the date of the application (December 1968) Ramset had not satisfied the reasonable requirements of the public</w:t>
            </w:r>
            <w:r>
              <w:t>. This was attributed to</w:t>
            </w:r>
            <w:r w:rsidRPr="00344A8D">
              <w:t xml:space="preserve"> </w:t>
            </w:r>
            <w:r>
              <w:t xml:space="preserve">the </w:t>
            </w:r>
            <w:r w:rsidRPr="00344A8D">
              <w:t>difficult</w:t>
            </w:r>
            <w:r>
              <w:t>y of designing a gun of sufficient versatility and endurance to warrant large-scale manufacturing in Australia. The</w:t>
            </w:r>
            <w:r w:rsidRPr="00344A8D">
              <w:t xml:space="preserve"> High Court also found that by the time of its decision (December 1969) Ramset was in the process of meeting Australian requirements, and that Fastening Supplies was not a suitable company to be granted a compulsory licence due to its limited capacity to undertake manufacturing or subcontract it to others. As a result, the application was denied.</w:t>
            </w:r>
          </w:p>
          <w:p w14:paraId="64CFC742" w14:textId="77777777" w:rsidR="00AD7EE6" w:rsidRPr="00E65272" w:rsidRDefault="00AD7EE6" w:rsidP="00AD7EE6">
            <w:pPr>
              <w:pStyle w:val="BoxHeading1"/>
              <w:rPr>
                <w:color w:val="000000" w:themeColor="text1"/>
              </w:rPr>
            </w:pPr>
            <w:r>
              <w:rPr>
                <w:color w:val="000000" w:themeColor="text1"/>
              </w:rPr>
              <w:t>Kenneth Mervin</w:t>
            </w:r>
            <w:r w:rsidRPr="00E65272">
              <w:rPr>
                <w:color w:val="000000" w:themeColor="text1"/>
              </w:rPr>
              <w:t xml:space="preserve"> Lown v Wissen Pty Ltd </w:t>
            </w:r>
            <w:r>
              <w:rPr>
                <w:color w:val="000000" w:themeColor="text1"/>
              </w:rPr>
              <w:t>[</w:t>
            </w:r>
            <w:r w:rsidRPr="00E65272">
              <w:rPr>
                <w:color w:val="000000" w:themeColor="text1"/>
              </w:rPr>
              <w:t>1987</w:t>
            </w:r>
            <w:r>
              <w:rPr>
                <w:color w:val="000000" w:themeColor="text1"/>
              </w:rPr>
              <w:t>] APO 11</w:t>
            </w:r>
          </w:p>
          <w:p w14:paraId="121C0AFE" w14:textId="77777777" w:rsidR="00AD7EE6" w:rsidRDefault="00AD7EE6" w:rsidP="00AD7EE6">
            <w:pPr>
              <w:pStyle w:val="Box"/>
              <w:rPr>
                <w:color w:val="000000" w:themeColor="text1"/>
              </w:rPr>
            </w:pPr>
            <w:r w:rsidRPr="00E65272">
              <w:rPr>
                <w:color w:val="000000" w:themeColor="text1"/>
              </w:rPr>
              <w:t xml:space="preserve">This </w:t>
            </w:r>
            <w:r>
              <w:rPr>
                <w:color w:val="000000" w:themeColor="text1"/>
              </w:rPr>
              <w:t>case</w:t>
            </w:r>
            <w:r w:rsidRPr="00E65272">
              <w:rPr>
                <w:color w:val="000000" w:themeColor="text1"/>
              </w:rPr>
              <w:t xml:space="preserve"> was also </w:t>
            </w:r>
            <w:r>
              <w:rPr>
                <w:color w:val="000000" w:themeColor="text1"/>
              </w:rPr>
              <w:t>brought</w:t>
            </w:r>
            <w:r w:rsidRPr="00E65272">
              <w:rPr>
                <w:color w:val="000000" w:themeColor="text1"/>
              </w:rPr>
              <w:t xml:space="preserve"> under the </w:t>
            </w:r>
            <w:r w:rsidRPr="00E65272">
              <w:rPr>
                <w:i/>
                <w:color w:val="000000" w:themeColor="text1"/>
              </w:rPr>
              <w:t xml:space="preserve">Patents Act 1952 </w:t>
            </w:r>
            <w:r>
              <w:rPr>
                <w:color w:val="000000" w:themeColor="text1"/>
              </w:rPr>
              <w:t xml:space="preserve">(Cwlth), but the Commissioner of Patents decided to dismiss the application. </w:t>
            </w:r>
          </w:p>
          <w:p w14:paraId="58DE67D9" w14:textId="77777777" w:rsidR="00AD7EE6" w:rsidRDefault="00AD7EE6" w:rsidP="00AD7EE6">
            <w:pPr>
              <w:pStyle w:val="Box"/>
              <w:rPr>
                <w:color w:val="000000" w:themeColor="text1"/>
              </w:rPr>
            </w:pPr>
            <w:r>
              <w:rPr>
                <w:color w:val="000000" w:themeColor="text1"/>
              </w:rPr>
              <w:t>Mr Lown sought a compulsory licence from Wissen for a device to prevent birds roosting on a surface. Mr Lown had sold the patent to Wissen in 1984 and at the same time made a non-exclusive licence with Wissen for a ‘prestige model’ made of metal. Wissen only sold a plastic version. Mr Lown claimed that his licence for the metal version had been terminated by Wissen and as a result a large proportion of demand for the device was not being met. The Commissioner of Patents found that Mr Lown’s assertion of unmet demand was not supported by any evidence, whereas it was clear that Wissen was marketing a version of the device. As a result, the petition was dismissed.</w:t>
            </w:r>
          </w:p>
          <w:p w14:paraId="6742C4CC" w14:textId="77777777" w:rsidR="00AD7EE6" w:rsidRPr="00DA7F59" w:rsidRDefault="00AD7EE6" w:rsidP="00AD7EE6">
            <w:pPr>
              <w:pStyle w:val="BoxHeading1"/>
              <w:rPr>
                <w:color w:val="000000" w:themeColor="text1"/>
              </w:rPr>
            </w:pPr>
            <w:r w:rsidRPr="00DA7F59">
              <w:rPr>
                <w:color w:val="000000" w:themeColor="text1"/>
              </w:rPr>
              <w:t>Amrad Operations Pty Ltd v Genelabs Technologies Inc</w:t>
            </w:r>
            <w:r>
              <w:rPr>
                <w:color w:val="000000" w:themeColor="text1"/>
              </w:rPr>
              <w:t>.</w:t>
            </w:r>
            <w:r w:rsidRPr="00DA7F59">
              <w:rPr>
                <w:color w:val="000000" w:themeColor="text1"/>
              </w:rPr>
              <w:t xml:space="preserve"> </w:t>
            </w:r>
            <w:r>
              <w:rPr>
                <w:color w:val="000000" w:themeColor="text1"/>
              </w:rPr>
              <w:t>[</w:t>
            </w:r>
            <w:r w:rsidRPr="00DA7F59">
              <w:rPr>
                <w:color w:val="000000" w:themeColor="text1"/>
              </w:rPr>
              <w:t>1999</w:t>
            </w:r>
            <w:r>
              <w:rPr>
                <w:color w:val="000000" w:themeColor="text1"/>
              </w:rPr>
              <w:t>]</w:t>
            </w:r>
            <w:r w:rsidRPr="00DA7F59">
              <w:rPr>
                <w:color w:val="000000" w:themeColor="text1"/>
              </w:rPr>
              <w:t xml:space="preserve"> FCA 633</w:t>
            </w:r>
          </w:p>
          <w:p w14:paraId="0784C591" w14:textId="3C648EB4" w:rsidR="00AD7EE6" w:rsidRPr="00DA7F59" w:rsidRDefault="00AD7EE6" w:rsidP="00AD7EE6">
            <w:pPr>
              <w:pStyle w:val="Box"/>
              <w:rPr>
                <w:color w:val="000000" w:themeColor="text1"/>
                <w:vertAlign w:val="subscript"/>
              </w:rPr>
            </w:pPr>
            <w:r w:rsidRPr="00DA7F59">
              <w:rPr>
                <w:color w:val="000000" w:themeColor="text1"/>
              </w:rPr>
              <w:t xml:space="preserve">This </w:t>
            </w:r>
            <w:r>
              <w:rPr>
                <w:color w:val="000000" w:themeColor="text1"/>
              </w:rPr>
              <w:t xml:space="preserve">appears to be the only case made under current provisions in the </w:t>
            </w:r>
            <w:r w:rsidRPr="00452B9B">
              <w:rPr>
                <w:i/>
                <w:color w:val="000000" w:themeColor="text1"/>
              </w:rPr>
              <w:t>Patents Act 1990</w:t>
            </w:r>
            <w:r w:rsidRPr="00DA7F59">
              <w:rPr>
                <w:color w:val="000000" w:themeColor="text1"/>
              </w:rPr>
              <w:t xml:space="preserve"> (Cwlth), which require an application to be made to the Federal Court.</w:t>
            </w:r>
          </w:p>
          <w:p w14:paraId="5009A7B5" w14:textId="777C006D" w:rsidR="00A245E2" w:rsidRDefault="00AD7EE6" w:rsidP="00AD7EE6">
            <w:pPr>
              <w:pStyle w:val="Box"/>
            </w:pPr>
            <w:r>
              <w:rPr>
                <w:color w:val="000000" w:themeColor="text1"/>
              </w:rPr>
              <w:t xml:space="preserve">Amrad applied to the Federal Court for a compulsory licence order so it could manufacture a Hepatitis E virus diagnostic assay in Australia. It subsequently amended its application and statement of claim so that all the respondents — Genelabs, </w:t>
            </w:r>
            <w:r w:rsidR="00DE78AE">
              <w:rPr>
                <w:color w:val="000000" w:themeColor="text1"/>
              </w:rPr>
              <w:t xml:space="preserve">the </w:t>
            </w:r>
            <w:r>
              <w:rPr>
                <w:color w:val="000000" w:themeColor="text1"/>
              </w:rPr>
              <w:t xml:space="preserve">US Government and Abbott Laboratories — were based in the United States, and </w:t>
            </w:r>
            <w:r w:rsidRPr="00DA7F59">
              <w:rPr>
                <w:color w:val="000000" w:themeColor="text1"/>
              </w:rPr>
              <w:t xml:space="preserve">sought leave to serve the application in </w:t>
            </w:r>
            <w:r>
              <w:rPr>
                <w:color w:val="000000" w:themeColor="text1"/>
              </w:rPr>
              <w:t>that country</w:t>
            </w:r>
            <w:r w:rsidRPr="00DA7F59">
              <w:rPr>
                <w:color w:val="000000" w:themeColor="text1"/>
              </w:rPr>
              <w:t xml:space="preserve">. The Federal Court </w:t>
            </w:r>
            <w:r>
              <w:rPr>
                <w:color w:val="000000" w:themeColor="text1"/>
              </w:rPr>
              <w:t xml:space="preserve">agreed to Amrad’s requests without making a </w:t>
            </w:r>
            <w:r w:rsidRPr="00DA7F59">
              <w:rPr>
                <w:color w:val="000000" w:themeColor="text1"/>
              </w:rPr>
              <w:t>judgment in regard to the compulsory licence.</w:t>
            </w:r>
          </w:p>
        </w:tc>
      </w:tr>
      <w:tr w:rsidR="00A245E2" w14:paraId="73B07A55" w14:textId="77777777" w:rsidTr="0022183A">
        <w:trPr>
          <w:cantSplit/>
        </w:trPr>
        <w:tc>
          <w:tcPr>
            <w:tcW w:w="8771" w:type="dxa"/>
            <w:tcBorders>
              <w:top w:val="nil"/>
              <w:left w:val="single" w:sz="6" w:space="0" w:color="auto"/>
              <w:bottom w:val="single" w:sz="6" w:space="0" w:color="auto"/>
              <w:right w:val="single" w:sz="6" w:space="0" w:color="auto"/>
            </w:tcBorders>
          </w:tcPr>
          <w:p w14:paraId="7B5B2BE9" w14:textId="77777777" w:rsidR="00A245E2" w:rsidRDefault="00A245E2" w:rsidP="0022183A">
            <w:pPr>
              <w:pStyle w:val="Box"/>
              <w:spacing w:before="0" w:line="120" w:lineRule="exact"/>
            </w:pPr>
          </w:p>
        </w:tc>
      </w:tr>
      <w:tr w:rsidR="00A245E2" w:rsidRPr="000863A5" w14:paraId="6C2D5DF5" w14:textId="77777777" w:rsidTr="0022183A">
        <w:tc>
          <w:tcPr>
            <w:tcW w:w="8771" w:type="dxa"/>
            <w:tcBorders>
              <w:top w:val="nil"/>
              <w:left w:val="nil"/>
              <w:bottom w:val="nil"/>
              <w:right w:val="nil"/>
            </w:tcBorders>
          </w:tcPr>
          <w:p w14:paraId="54521646" w14:textId="2E9E7E3D" w:rsidR="00A245E2" w:rsidRPr="000863A5" w:rsidRDefault="00A245E2" w:rsidP="0022183A">
            <w:pPr>
              <w:pStyle w:val="Box"/>
              <w:keepNext w:val="0"/>
              <w:spacing w:before="60" w:after="60" w:line="80" w:lineRule="exact"/>
              <w:rPr>
                <w:b/>
                <w:sz w:val="14"/>
              </w:rPr>
            </w:pPr>
          </w:p>
        </w:tc>
      </w:tr>
    </w:tbl>
    <w:p w14:paraId="65CCD306" w14:textId="77777777" w:rsidR="00642D63" w:rsidRPr="006B5FD3" w:rsidRDefault="00642D63" w:rsidP="00642D63">
      <w:pPr>
        <w:pStyle w:val="Heading3"/>
      </w:pPr>
      <w:r>
        <w:t xml:space="preserve">International </w:t>
      </w:r>
      <w:r w:rsidR="0033091B">
        <w:t>perspective</w:t>
      </w:r>
    </w:p>
    <w:p w14:paraId="7DC880B7" w14:textId="77777777" w:rsidR="00055758" w:rsidRPr="00681A1A" w:rsidRDefault="00856C7B" w:rsidP="00442FCD">
      <w:pPr>
        <w:pStyle w:val="BodyText"/>
      </w:pPr>
      <w:r>
        <w:t>Examination of international evidence has been particularly important for this inquiry, given the limited use of compulsory licensing in Australia.</w:t>
      </w:r>
      <w:r w:rsidR="0082021D">
        <w:t xml:space="preserve"> </w:t>
      </w:r>
      <w:r w:rsidR="009456FF">
        <w:t xml:space="preserve">Most </w:t>
      </w:r>
      <w:r w:rsidR="006E350F">
        <w:t xml:space="preserve">other </w:t>
      </w:r>
      <w:r w:rsidR="009456FF">
        <w:t xml:space="preserve">countries have a </w:t>
      </w:r>
      <w:r w:rsidR="009456FF" w:rsidRPr="00681A1A">
        <w:t xml:space="preserve">form of compulsory licensing and, in some cases, </w:t>
      </w:r>
      <w:r w:rsidR="00A53908" w:rsidRPr="00681A1A">
        <w:t>it has</w:t>
      </w:r>
      <w:r w:rsidR="009456FF" w:rsidRPr="00681A1A">
        <w:t xml:space="preserve"> been used </w:t>
      </w:r>
      <w:r w:rsidR="00C9421B" w:rsidRPr="00681A1A">
        <w:t xml:space="preserve">more </w:t>
      </w:r>
      <w:r w:rsidR="009456FF" w:rsidRPr="00681A1A">
        <w:t>extensively (chapter</w:t>
      </w:r>
      <w:r w:rsidR="00E40B92" w:rsidRPr="00681A1A">
        <w:t>s</w:t>
      </w:r>
      <w:r w:rsidR="009456FF" w:rsidRPr="00681A1A">
        <w:t xml:space="preserve"> 3</w:t>
      </w:r>
      <w:r w:rsidR="003B6762" w:rsidRPr="00681A1A">
        <w:t xml:space="preserve"> </w:t>
      </w:r>
      <w:r w:rsidR="009456FF" w:rsidRPr="00681A1A">
        <w:t xml:space="preserve">and </w:t>
      </w:r>
      <w:r w:rsidR="00E40B92" w:rsidRPr="00681A1A">
        <w:t>6</w:t>
      </w:r>
      <w:r w:rsidR="009456FF" w:rsidRPr="00681A1A">
        <w:t>).</w:t>
      </w:r>
      <w:r w:rsidR="00594BAE" w:rsidRPr="00681A1A">
        <w:t xml:space="preserve"> </w:t>
      </w:r>
      <w:r w:rsidR="0046547E" w:rsidRPr="00681A1A">
        <w:t>The use of a</w:t>
      </w:r>
      <w:r w:rsidR="00566B43" w:rsidRPr="00681A1A">
        <w:t>lternative mechanisms in other countries ha</w:t>
      </w:r>
      <w:r w:rsidR="0046547E" w:rsidRPr="00681A1A">
        <w:t>s</w:t>
      </w:r>
      <w:r w:rsidR="00566B43" w:rsidRPr="00681A1A">
        <w:t xml:space="preserve"> also been relevant</w:t>
      </w:r>
      <w:r w:rsidR="0016022C" w:rsidRPr="00681A1A">
        <w:t xml:space="preserve"> to th</w:t>
      </w:r>
      <w:r w:rsidR="00EA60BB" w:rsidRPr="00681A1A">
        <w:t>e</w:t>
      </w:r>
      <w:r w:rsidR="0016022C" w:rsidRPr="00681A1A">
        <w:t xml:space="preserve"> inquiry</w:t>
      </w:r>
      <w:r w:rsidR="00F83661" w:rsidRPr="00681A1A">
        <w:t xml:space="preserve"> (chapter </w:t>
      </w:r>
      <w:r w:rsidR="00DB7411" w:rsidRPr="00681A1A">
        <w:t>9</w:t>
      </w:r>
      <w:r w:rsidR="00F83661" w:rsidRPr="00681A1A">
        <w:t>)</w:t>
      </w:r>
      <w:r w:rsidR="00566B43" w:rsidRPr="00681A1A">
        <w:t>.</w:t>
      </w:r>
    </w:p>
    <w:p w14:paraId="0FFEF022" w14:textId="570A1A5F" w:rsidR="004556FC" w:rsidRPr="00873C00" w:rsidRDefault="0067192F" w:rsidP="0067192F">
      <w:pPr>
        <w:pStyle w:val="BodyText"/>
      </w:pPr>
      <w:r w:rsidRPr="0067192F">
        <w:lastRenderedPageBreak/>
        <w:t xml:space="preserve">The most prominent examples of compulsory licensing in recent years have involved developing countries wishing to access patented products — particularly medicines — at a price that </w:t>
      </w:r>
      <w:r w:rsidR="005F33F2">
        <w:t>their governments</w:t>
      </w:r>
      <w:r w:rsidRPr="0067192F">
        <w:t xml:space="preserve"> consider affordable. In particular, there has been much debate about the compulsory licensing of AIDS medicines by Brazil and Thailand in 2007, and an anti-cancer drug by India </w:t>
      </w:r>
      <w:r w:rsidR="00452B8A">
        <w:t xml:space="preserve">in 2012 </w:t>
      </w:r>
      <w:r w:rsidRPr="0067192F">
        <w:t>(Bond</w:t>
      </w:r>
      <w:r w:rsidR="00211D03">
        <w:t xml:space="preserve"> and Saggi 2012; ICGPDTM 2012).</w:t>
      </w:r>
    </w:p>
    <w:p w14:paraId="424F015F" w14:textId="3A2B4B68" w:rsidR="004556FC" w:rsidRDefault="004556FC" w:rsidP="0067192F">
      <w:pPr>
        <w:pStyle w:val="BodyText"/>
      </w:pPr>
      <w:r>
        <w:t>Like many developing countries, Australia is a net importer of technology.</w:t>
      </w:r>
      <w:r w:rsidRPr="004556FC">
        <w:t xml:space="preserve"> </w:t>
      </w:r>
      <w:r>
        <w:t xml:space="preserve">The terms of reference posit that this means that </w:t>
      </w:r>
      <w:r w:rsidRPr="002842C0">
        <w:t xml:space="preserve">the likely benefit of </w:t>
      </w:r>
      <w:r>
        <w:t xml:space="preserve">compulsory licensing </w:t>
      </w:r>
      <w:r w:rsidRPr="002842C0">
        <w:t xml:space="preserve">is </w:t>
      </w:r>
      <w:r>
        <w:t>its</w:t>
      </w:r>
      <w:r w:rsidRPr="002842C0">
        <w:t xml:space="preserve"> use as a deterrent in licensing negotiations between foreign patent holder</w:t>
      </w:r>
      <w:r>
        <w:t>s</w:t>
      </w:r>
      <w:r w:rsidRPr="002842C0">
        <w:t xml:space="preserve"> and potential licensee</w:t>
      </w:r>
      <w:r>
        <w:t>s</w:t>
      </w:r>
      <w:r w:rsidRPr="002842C0">
        <w:t xml:space="preserve"> in Australia</w:t>
      </w:r>
      <w:r>
        <w:t xml:space="preserve">. However, </w:t>
      </w:r>
      <w:r w:rsidR="00557E21">
        <w:t xml:space="preserve">like other developed economies, </w:t>
      </w:r>
      <w:r>
        <w:t xml:space="preserve">Australia has </w:t>
      </w:r>
      <w:r w:rsidR="00557E21">
        <w:t xml:space="preserve">the </w:t>
      </w:r>
      <w:r w:rsidR="00E03DAC">
        <w:t xml:space="preserve">human capital to </w:t>
      </w:r>
      <w:r w:rsidR="00166C6D">
        <w:t>exploit</w:t>
      </w:r>
      <w:r w:rsidR="00E03DAC">
        <w:t xml:space="preserve"> inventions</w:t>
      </w:r>
      <w:r w:rsidR="00557E21">
        <w:t>,</w:t>
      </w:r>
      <w:r w:rsidR="00166C6D">
        <w:t xml:space="preserve"> </w:t>
      </w:r>
      <w:r w:rsidR="00557E21">
        <w:t xml:space="preserve">the </w:t>
      </w:r>
      <w:r w:rsidR="00166C6D">
        <w:t xml:space="preserve">capacity to afford </w:t>
      </w:r>
      <w:r w:rsidR="00792E4E">
        <w:t>them</w:t>
      </w:r>
      <w:r w:rsidR="00557E21">
        <w:t>, and is able to create substantial valuable intellectual property in its own right</w:t>
      </w:r>
      <w:r w:rsidR="00166C6D">
        <w:t>.</w:t>
      </w:r>
      <w:r w:rsidR="009735A2">
        <w:t xml:space="preserve"> The Commission has therefore examined the use of compulsory licensing in a range of developed and developing economies.</w:t>
      </w:r>
    </w:p>
    <w:p w14:paraId="6BF47C1D" w14:textId="3852F4B4" w:rsidR="00211D03" w:rsidRPr="00681A1A" w:rsidRDefault="00211D03" w:rsidP="00211D03">
      <w:pPr>
        <w:pStyle w:val="BodyText"/>
      </w:pPr>
      <w:r>
        <w:t xml:space="preserve">When formulating recommendations, the Commission has </w:t>
      </w:r>
      <w:r w:rsidR="00F40597">
        <w:t xml:space="preserve">also </w:t>
      </w:r>
      <w:r>
        <w:t xml:space="preserve">been mindful that Australia is a party to several international agreements that </w:t>
      </w:r>
      <w:r w:rsidR="002E11C2">
        <w:t>influence how Australia’s</w:t>
      </w:r>
      <w:r>
        <w:t xml:space="preserve"> intellectual property system </w:t>
      </w:r>
      <w:r w:rsidR="00431767" w:rsidRPr="00681A1A">
        <w:t>operate</w:t>
      </w:r>
      <w:r w:rsidR="002E11C2">
        <w:t>s</w:t>
      </w:r>
      <w:r w:rsidRPr="00681A1A">
        <w:t xml:space="preserve"> (appendix D). </w:t>
      </w:r>
    </w:p>
    <w:p w14:paraId="1D4A663D" w14:textId="77777777" w:rsidR="004D0762" w:rsidRDefault="009D0B20" w:rsidP="004D0762">
      <w:pPr>
        <w:pStyle w:val="Heading2"/>
      </w:pPr>
      <w:fldSimple w:instr=" COMMENTS  \* MERGEFORMAT ">
        <w:r w:rsidR="00175862">
          <w:t>1.</w:t>
        </w:r>
      </w:fldSimple>
      <w:fldSimple w:instr=" SEQ Heading2 ">
        <w:r w:rsidR="00165B10">
          <w:rPr>
            <w:noProof/>
          </w:rPr>
          <w:t>3</w:t>
        </w:r>
      </w:fldSimple>
      <w:r w:rsidR="004D0762">
        <w:tab/>
      </w:r>
      <w:r w:rsidR="00135835">
        <w:t>Consultation process</w:t>
      </w:r>
      <w:r w:rsidR="00A745C3">
        <w:t xml:space="preserve"> </w:t>
      </w:r>
      <w:r w:rsidR="00135835">
        <w:t>for the inquiry</w:t>
      </w:r>
    </w:p>
    <w:p w14:paraId="4A40F5D2" w14:textId="77777777" w:rsidR="004D0762" w:rsidRDefault="004D0762" w:rsidP="00842585">
      <w:pPr>
        <w:pStyle w:val="BodyText"/>
        <w:keepNext/>
      </w:pPr>
      <w:r>
        <w:t xml:space="preserve">The terms of reference for this </w:t>
      </w:r>
      <w:r w:rsidR="00DE01C7">
        <w:t>inquiry</w:t>
      </w:r>
      <w:r>
        <w:t xml:space="preserve"> were received from the Assistant Treasurer on 29 June 2012.</w:t>
      </w:r>
      <w:r w:rsidR="00F238F0">
        <w:t xml:space="preserve"> T</w:t>
      </w:r>
      <w:r>
        <w:t>he Commission consulted and invited feedback from intereste</w:t>
      </w:r>
      <w:r w:rsidR="00FB65CB">
        <w:t>d parties in the following ways.</w:t>
      </w:r>
    </w:p>
    <w:p w14:paraId="392353F4" w14:textId="77777777" w:rsidR="004D0762" w:rsidRDefault="004D0762" w:rsidP="00F238F0">
      <w:pPr>
        <w:pStyle w:val="ListBullet"/>
      </w:pPr>
      <w:r>
        <w:t xml:space="preserve">At the commencement of the </w:t>
      </w:r>
      <w:r w:rsidR="00D04F29">
        <w:t>inquiry</w:t>
      </w:r>
      <w:r>
        <w:t xml:space="preserve">, a circular was </w:t>
      </w:r>
      <w:r w:rsidR="00270A5E">
        <w:t>sent</w:t>
      </w:r>
      <w:r>
        <w:t xml:space="preserve"> to people and organisations that the Commission thought might be interested, inviting their participation. Subsequent circulars were sent to those who had expressed an interest in the </w:t>
      </w:r>
      <w:r w:rsidR="0013449D">
        <w:t>inquiry</w:t>
      </w:r>
      <w:r>
        <w:t xml:space="preserve"> to keep them updated on progress.</w:t>
      </w:r>
    </w:p>
    <w:p w14:paraId="1B58893D" w14:textId="77777777" w:rsidR="004D0762" w:rsidRDefault="00F238F0" w:rsidP="00F238F0">
      <w:pPr>
        <w:pStyle w:val="ListBullet"/>
      </w:pPr>
      <w:r>
        <w:t>T</w:t>
      </w:r>
      <w:r w:rsidR="004D0762">
        <w:t xml:space="preserve">he </w:t>
      </w:r>
      <w:r w:rsidR="001D4492">
        <w:t>inquiry</w:t>
      </w:r>
      <w:r w:rsidR="004D0762">
        <w:t xml:space="preserve"> was also advertised in major national newspapers and promoted on the Commission’s website.</w:t>
      </w:r>
    </w:p>
    <w:p w14:paraId="2E95BB95" w14:textId="77777777" w:rsidR="004D0762" w:rsidRDefault="004D0762" w:rsidP="00F238F0">
      <w:pPr>
        <w:pStyle w:val="ListBullet"/>
      </w:pPr>
      <w:r>
        <w:t xml:space="preserve">The Commission met with a cross-section of interested parties to identify relevant issues and sources of </w:t>
      </w:r>
      <w:r w:rsidR="00270A5E" w:rsidRPr="007D6A01">
        <w:t>information</w:t>
      </w:r>
      <w:r w:rsidR="00442598">
        <w:t>.</w:t>
      </w:r>
    </w:p>
    <w:p w14:paraId="414A157A" w14:textId="24DB5D4A" w:rsidR="00BD79CF" w:rsidRDefault="004D0762" w:rsidP="00BD79CF">
      <w:pPr>
        <w:pStyle w:val="ListBullet"/>
      </w:pPr>
      <w:r w:rsidRPr="00D67341">
        <w:t xml:space="preserve">An issues paper was released </w:t>
      </w:r>
      <w:r w:rsidR="002361E1" w:rsidRPr="00D67341">
        <w:t>in</w:t>
      </w:r>
      <w:r w:rsidR="00F238F0" w:rsidRPr="00D67341">
        <w:t xml:space="preserve"> August 2012</w:t>
      </w:r>
      <w:r w:rsidRPr="00D67341">
        <w:t xml:space="preserve"> to assist interested parties in preparing submissions to the </w:t>
      </w:r>
      <w:r w:rsidR="0045295E" w:rsidRPr="00D67341">
        <w:t>inquiry</w:t>
      </w:r>
      <w:r w:rsidRPr="00D67341">
        <w:t>.</w:t>
      </w:r>
      <w:r w:rsidR="00D32D85" w:rsidRPr="00D67341">
        <w:t xml:space="preserve"> </w:t>
      </w:r>
    </w:p>
    <w:p w14:paraId="46689B38" w14:textId="0E96AC3D" w:rsidR="009422F8" w:rsidRDefault="009422F8" w:rsidP="00BD79CF">
      <w:pPr>
        <w:pStyle w:val="ListBullet"/>
      </w:pPr>
      <w:r>
        <w:t>A draft report was released in December 2012</w:t>
      </w:r>
      <w:r w:rsidR="00A62828">
        <w:t>,</w:t>
      </w:r>
      <w:r>
        <w:t xml:space="preserve"> with an invitation for interested parties to </w:t>
      </w:r>
      <w:r w:rsidR="00DF28FA">
        <w:t>provide feedback through further written submissions</w:t>
      </w:r>
      <w:r>
        <w:t>.</w:t>
      </w:r>
    </w:p>
    <w:p w14:paraId="361786BD" w14:textId="66F7872D" w:rsidR="009422F8" w:rsidRPr="00D67341" w:rsidRDefault="009422F8" w:rsidP="00BD79CF">
      <w:pPr>
        <w:pStyle w:val="ListBullet"/>
      </w:pPr>
      <w:r>
        <w:t>Public hearings were held in Melbourne in February 2013.</w:t>
      </w:r>
    </w:p>
    <w:p w14:paraId="59E30BC9" w14:textId="2FFF3570" w:rsidR="005C5B12" w:rsidRPr="003324A1" w:rsidRDefault="004D0762" w:rsidP="005C71A3">
      <w:pPr>
        <w:pStyle w:val="BodyText"/>
      </w:pPr>
      <w:r w:rsidRPr="003324A1">
        <w:lastRenderedPageBreak/>
        <w:t xml:space="preserve">The Commission thanks </w:t>
      </w:r>
      <w:r w:rsidR="008B3465" w:rsidRPr="003324A1">
        <w:t>inquiry</w:t>
      </w:r>
      <w:r w:rsidRPr="003324A1">
        <w:t xml:space="preserve"> participants for meeting with the Commission, </w:t>
      </w:r>
      <w:r w:rsidR="006B6266" w:rsidRPr="003324A1">
        <w:t>lodging written submissions</w:t>
      </w:r>
      <w:r w:rsidRPr="003324A1">
        <w:t xml:space="preserve"> and </w:t>
      </w:r>
      <w:r w:rsidR="006B6266" w:rsidRPr="003324A1">
        <w:t xml:space="preserve">providing </w:t>
      </w:r>
      <w:r w:rsidRPr="003324A1">
        <w:t xml:space="preserve">other assistance. </w:t>
      </w:r>
      <w:r w:rsidR="00A62828" w:rsidRPr="003324A1">
        <w:t xml:space="preserve">A total of </w:t>
      </w:r>
      <w:r w:rsidR="003C0047" w:rsidRPr="003324A1">
        <w:t>5</w:t>
      </w:r>
      <w:r w:rsidR="00786252" w:rsidRPr="003324A1">
        <w:t>2</w:t>
      </w:r>
      <w:r w:rsidR="00A62828" w:rsidRPr="003324A1">
        <w:t xml:space="preserve"> submissions w</w:t>
      </w:r>
      <w:r w:rsidR="00EB3446" w:rsidRPr="003324A1">
        <w:t>ere</w:t>
      </w:r>
      <w:r w:rsidR="00A62828" w:rsidRPr="003324A1">
        <w:t xml:space="preserve"> received from a variety of groups. </w:t>
      </w:r>
      <w:r w:rsidRPr="003324A1">
        <w:t xml:space="preserve">Appendix A provides details of the individuals and organisations that participated in the </w:t>
      </w:r>
      <w:r w:rsidR="0003165F" w:rsidRPr="003324A1">
        <w:t>inquiry</w:t>
      </w:r>
      <w:r w:rsidRPr="003324A1">
        <w:t>.</w:t>
      </w:r>
    </w:p>
    <w:sectPr w:rsidR="005C5B12" w:rsidRPr="003324A1" w:rsidSect="009D0B20">
      <w:headerReference w:type="even" r:id="rId12"/>
      <w:headerReference w:type="default" r:id="rId13"/>
      <w:footerReference w:type="even" r:id="rId14"/>
      <w:footerReference w:type="default" r:id="rId15"/>
      <w:headerReference w:type="first" r:id="rId16"/>
      <w:footerReference w:type="first" r:id="rId17"/>
      <w:pgSz w:w="11907" w:h="16840" w:code="9"/>
      <w:pgMar w:top="1985" w:right="1304" w:bottom="1418" w:left="1814" w:header="1701" w:footer="567" w:gutter="0"/>
      <w:pgNumType w:start="2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A44796" w14:textId="77777777" w:rsidR="00EB2CDD" w:rsidRDefault="00EB2CDD">
      <w:r>
        <w:separator/>
      </w:r>
    </w:p>
  </w:endnote>
  <w:endnote w:type="continuationSeparator" w:id="0">
    <w:p w14:paraId="34CE2892" w14:textId="77777777" w:rsidR="00EB2CDD" w:rsidRDefault="00EB2CDD">
      <w:r>
        <w:continuationSeparator/>
      </w:r>
    </w:p>
  </w:endnote>
  <w:endnote w:type="continuationNotice" w:id="1">
    <w:p w14:paraId="206E7C2C" w14:textId="77777777" w:rsidR="00EB2CDD" w:rsidRDefault="00EB2C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422F8" w14:paraId="40EE96AE" w14:textId="77777777">
      <w:trPr>
        <w:trHeight w:hRule="exact" w:val="740"/>
      </w:trPr>
      <w:tc>
        <w:tcPr>
          <w:tcW w:w="510" w:type="dxa"/>
          <w:tcBorders>
            <w:top w:val="single" w:sz="6" w:space="0" w:color="auto"/>
          </w:tcBorders>
        </w:tcPr>
        <w:p w14:paraId="2935BA94" w14:textId="77777777" w:rsidR="009422F8" w:rsidRDefault="009422F8"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E62CF">
            <w:rPr>
              <w:rStyle w:val="PageNumber"/>
              <w:noProof/>
            </w:rPr>
            <w:t>28</w:t>
          </w:r>
          <w:r>
            <w:rPr>
              <w:rStyle w:val="PageNumber"/>
            </w:rPr>
            <w:fldChar w:fldCharType="end"/>
          </w:r>
        </w:p>
      </w:tc>
      <w:tc>
        <w:tcPr>
          <w:tcW w:w="1644" w:type="dxa"/>
          <w:tcBorders>
            <w:top w:val="single" w:sz="6" w:space="0" w:color="auto"/>
          </w:tcBorders>
        </w:tcPr>
        <w:p w14:paraId="0D4378A4" w14:textId="58A10277" w:rsidR="009422F8" w:rsidRDefault="009422F8" w:rsidP="0019293B">
          <w:pPr>
            <w:pStyle w:val="Footer"/>
          </w:pPr>
          <w:r>
            <w:t>compulsory licensing of patents</w:t>
          </w:r>
          <w:r>
            <w:fldChar w:fldCharType="begin"/>
          </w:r>
          <w:r>
            <w:instrText xml:space="preserve"> SUBJECT  \* MERGEFORMAT </w:instrText>
          </w:r>
          <w:r>
            <w:fldChar w:fldCharType="end"/>
          </w:r>
        </w:p>
      </w:tc>
      <w:tc>
        <w:tcPr>
          <w:tcW w:w="6634" w:type="dxa"/>
        </w:tcPr>
        <w:p w14:paraId="7077D9E2" w14:textId="18B09369" w:rsidR="009422F8" w:rsidRDefault="009422F8" w:rsidP="005C71A3">
          <w:pPr>
            <w:pStyle w:val="Footer"/>
            <w:ind w:right="360" w:firstLine="360"/>
            <w:jc w:val="center"/>
            <w:rPr>
              <w:rFonts w:ascii="Calibri" w:eastAsiaTheme="minorHAnsi" w:hAnsi="Calibri" w:cs="Calibri"/>
              <w:szCs w:val="22"/>
              <w:lang w:eastAsia="en-US"/>
            </w:rPr>
          </w:pPr>
        </w:p>
      </w:tc>
    </w:tr>
  </w:tbl>
  <w:p w14:paraId="1C177A7D" w14:textId="77777777" w:rsidR="009422F8" w:rsidRDefault="009422F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422F8" w14:paraId="63C772C4" w14:textId="77777777">
      <w:trPr>
        <w:trHeight w:hRule="exact" w:val="740"/>
      </w:trPr>
      <w:tc>
        <w:tcPr>
          <w:tcW w:w="6634" w:type="dxa"/>
        </w:tcPr>
        <w:p w14:paraId="0A9C6890" w14:textId="388D1D7A" w:rsidR="009422F8" w:rsidRPr="000656CB" w:rsidRDefault="009422F8" w:rsidP="000656CB">
          <w:pPr>
            <w:pStyle w:val="Footer"/>
            <w:ind w:right="360" w:firstLine="360"/>
            <w:jc w:val="center"/>
            <w:rPr>
              <w:rFonts w:ascii="Arial" w:hAnsi="Arial" w:cs="Arial"/>
              <w:b/>
              <w:sz w:val="20"/>
            </w:rPr>
          </w:pPr>
        </w:p>
      </w:tc>
      <w:tc>
        <w:tcPr>
          <w:tcW w:w="1644" w:type="dxa"/>
          <w:tcBorders>
            <w:top w:val="single" w:sz="6" w:space="0" w:color="auto"/>
          </w:tcBorders>
        </w:tcPr>
        <w:p w14:paraId="2D6404A0" w14:textId="74400F89" w:rsidR="009422F8" w:rsidRDefault="009422F8">
          <w:pPr>
            <w:pStyle w:val="Footer"/>
          </w:pPr>
          <w:r>
            <w:t>introduction</w:t>
          </w:r>
          <w:r>
            <w:fldChar w:fldCharType="begin"/>
          </w:r>
          <w:r>
            <w:instrText xml:space="preserve"> TITLE  \* MERGEFORMAT </w:instrText>
          </w:r>
          <w:r>
            <w:fldChar w:fldCharType="end"/>
          </w:r>
        </w:p>
      </w:tc>
      <w:tc>
        <w:tcPr>
          <w:tcW w:w="510" w:type="dxa"/>
          <w:tcBorders>
            <w:top w:val="single" w:sz="6" w:space="0" w:color="auto"/>
          </w:tcBorders>
        </w:tcPr>
        <w:p w14:paraId="71123D52" w14:textId="77777777" w:rsidR="009422F8" w:rsidRDefault="009422F8">
          <w:pPr>
            <w:pStyle w:val="Footer"/>
            <w:jc w:val="right"/>
          </w:pPr>
          <w:r>
            <w:rPr>
              <w:rStyle w:val="PageNumber"/>
            </w:rPr>
            <w:fldChar w:fldCharType="begin"/>
          </w:r>
          <w:r>
            <w:rPr>
              <w:rStyle w:val="PageNumber"/>
            </w:rPr>
            <w:instrText xml:space="preserve">PAGE  </w:instrText>
          </w:r>
          <w:r>
            <w:rPr>
              <w:rStyle w:val="PageNumber"/>
            </w:rPr>
            <w:fldChar w:fldCharType="separate"/>
          </w:r>
          <w:r w:rsidR="004E62CF">
            <w:rPr>
              <w:rStyle w:val="PageNumber"/>
              <w:noProof/>
            </w:rPr>
            <w:t>27</w:t>
          </w:r>
          <w:r>
            <w:rPr>
              <w:rStyle w:val="PageNumber"/>
            </w:rPr>
            <w:fldChar w:fldCharType="end"/>
          </w:r>
        </w:p>
      </w:tc>
    </w:tr>
  </w:tbl>
  <w:p w14:paraId="758AAC55" w14:textId="77777777" w:rsidR="009422F8" w:rsidRDefault="009422F8">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9616" w14:textId="77777777" w:rsidR="0074320F" w:rsidRDefault="007432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8FA82E" w14:textId="77777777" w:rsidR="00EB2CDD" w:rsidRDefault="00EB2CDD">
      <w:r>
        <w:separator/>
      </w:r>
    </w:p>
  </w:footnote>
  <w:footnote w:type="continuationSeparator" w:id="0">
    <w:p w14:paraId="193B0210" w14:textId="77777777" w:rsidR="00EB2CDD" w:rsidRDefault="00EB2CDD">
      <w:r>
        <w:continuationSeparator/>
      </w:r>
    </w:p>
  </w:footnote>
  <w:footnote w:type="continuationNotice" w:id="1">
    <w:p w14:paraId="0AD95267" w14:textId="77777777" w:rsidR="00EB2CDD" w:rsidRDefault="00EB2CDD"/>
  </w:footnote>
  <w:footnote w:id="2">
    <w:p w14:paraId="7647F815" w14:textId="77777777" w:rsidR="009422F8" w:rsidRDefault="009422F8">
      <w:pPr>
        <w:pStyle w:val="FootnoteText"/>
      </w:pPr>
      <w:r>
        <w:rPr>
          <w:rStyle w:val="FootnoteReference"/>
        </w:rPr>
        <w:footnoteRef/>
      </w:r>
      <w:r>
        <w:t xml:space="preserve"> </w:t>
      </w:r>
      <w:r>
        <w:tab/>
        <w:t xml:space="preserve">Affordable could be interpreted as meaning </w:t>
      </w:r>
      <w:r w:rsidRPr="009D46FE">
        <w:t xml:space="preserve">within a person’s financial means, and </w:t>
      </w:r>
      <w:r>
        <w:t xml:space="preserve">equitable as being </w:t>
      </w:r>
      <w:r w:rsidRPr="009D46FE">
        <w:t>equally accessible for different individuals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422F8" w14:paraId="0374C361" w14:textId="77777777">
      <w:tc>
        <w:tcPr>
          <w:tcW w:w="2155" w:type="dxa"/>
          <w:tcBorders>
            <w:top w:val="single" w:sz="24" w:space="0" w:color="auto"/>
          </w:tcBorders>
        </w:tcPr>
        <w:p w14:paraId="42052435" w14:textId="77777777" w:rsidR="009422F8" w:rsidRDefault="009422F8" w:rsidP="0019293B">
          <w:pPr>
            <w:pStyle w:val="HeaderEven"/>
          </w:pPr>
        </w:p>
      </w:tc>
      <w:tc>
        <w:tcPr>
          <w:tcW w:w="6634" w:type="dxa"/>
          <w:tcBorders>
            <w:top w:val="single" w:sz="6" w:space="0" w:color="auto"/>
          </w:tcBorders>
        </w:tcPr>
        <w:p w14:paraId="5A4AD25B" w14:textId="77777777" w:rsidR="009422F8" w:rsidRDefault="009422F8" w:rsidP="0019293B">
          <w:pPr>
            <w:pStyle w:val="HeaderEven"/>
          </w:pPr>
        </w:p>
      </w:tc>
    </w:tr>
  </w:tbl>
  <w:p w14:paraId="31781D4E" w14:textId="77777777" w:rsidR="009422F8" w:rsidRDefault="009422F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422F8" w14:paraId="1E16B756" w14:textId="77777777">
      <w:tc>
        <w:tcPr>
          <w:tcW w:w="6634" w:type="dxa"/>
          <w:tcBorders>
            <w:top w:val="single" w:sz="6" w:space="0" w:color="auto"/>
          </w:tcBorders>
        </w:tcPr>
        <w:p w14:paraId="3F681490" w14:textId="77777777" w:rsidR="009422F8" w:rsidRDefault="009422F8" w:rsidP="00E669E2">
          <w:pPr>
            <w:pStyle w:val="HeaderOdd"/>
          </w:pPr>
        </w:p>
      </w:tc>
      <w:tc>
        <w:tcPr>
          <w:tcW w:w="2155" w:type="dxa"/>
          <w:tcBorders>
            <w:top w:val="single" w:sz="24" w:space="0" w:color="auto"/>
          </w:tcBorders>
        </w:tcPr>
        <w:p w14:paraId="16E9B022" w14:textId="77777777" w:rsidR="009422F8" w:rsidRDefault="009422F8" w:rsidP="00E669E2">
          <w:pPr>
            <w:pStyle w:val="HeaderOdd"/>
          </w:pPr>
        </w:p>
      </w:tc>
    </w:tr>
  </w:tbl>
  <w:p w14:paraId="68840D72" w14:textId="77777777" w:rsidR="009422F8" w:rsidRDefault="009422F8"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4F457" w14:textId="77777777" w:rsidR="0074320F" w:rsidRDefault="007432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20C1E"/>
    <w:multiLevelType w:val="singleLevel"/>
    <w:tmpl w:val="C444122C"/>
    <w:lvl w:ilvl="0">
      <w:start w:val="1"/>
      <w:numFmt w:val="decimal"/>
      <w:lvlText w:val="%1."/>
      <w:legacy w:legacy="1" w:legacySpace="0" w:legacyIndent="284"/>
      <w:lvlJc w:val="left"/>
      <w:pPr>
        <w:ind w:left="284" w:hanging="284"/>
      </w:pPr>
    </w:lvl>
  </w:abstractNum>
  <w:abstractNum w:abstractNumId="3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8">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9">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1">
    <w:nsid w:val="758E0A53"/>
    <w:multiLevelType w:val="hybridMultilevel"/>
    <w:tmpl w:val="8FD2E6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6"/>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3"/>
  </w:num>
  <w:num w:numId="21">
    <w:abstractNumId w:val="35"/>
  </w:num>
  <w:num w:numId="22">
    <w:abstractNumId w:val="24"/>
  </w:num>
  <w:num w:numId="23">
    <w:abstractNumId w:val="27"/>
  </w:num>
  <w:num w:numId="24">
    <w:abstractNumId w:val="29"/>
  </w:num>
  <w:num w:numId="25">
    <w:abstractNumId w:val="40"/>
  </w:num>
  <w:num w:numId="26">
    <w:abstractNumId w:val="32"/>
  </w:num>
  <w:num w:numId="27">
    <w:abstractNumId w:val="37"/>
  </w:num>
  <w:num w:numId="28">
    <w:abstractNumId w:val="38"/>
  </w:num>
  <w:num w:numId="29">
    <w:abstractNumId w:val="30"/>
  </w:num>
  <w:num w:numId="30">
    <w:abstractNumId w:val="21"/>
  </w:num>
  <w:num w:numId="31">
    <w:abstractNumId w:val="44"/>
  </w:num>
  <w:num w:numId="32">
    <w:abstractNumId w:val="15"/>
  </w:num>
  <w:num w:numId="33">
    <w:abstractNumId w:val="8"/>
  </w:num>
  <w:num w:numId="34">
    <w:abstractNumId w:val="18"/>
  </w:num>
  <w:num w:numId="35">
    <w:abstractNumId w:val="39"/>
  </w:num>
  <w:num w:numId="36">
    <w:abstractNumId w:val="31"/>
  </w:num>
  <w:num w:numId="37">
    <w:abstractNumId w:val="13"/>
  </w:num>
  <w:num w:numId="38">
    <w:abstractNumId w:val="34"/>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removeDateAndTime/>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troduction"/>
    <w:docVar w:name="ShortReportTitle" w:val="Compulsory licensing of patents"/>
  </w:docVars>
  <w:rsids>
    <w:rsidRoot w:val="00091448"/>
    <w:rsid w:val="00001F12"/>
    <w:rsid w:val="00004FC7"/>
    <w:rsid w:val="000058C5"/>
    <w:rsid w:val="000062ED"/>
    <w:rsid w:val="00006599"/>
    <w:rsid w:val="000076F4"/>
    <w:rsid w:val="00016D2A"/>
    <w:rsid w:val="00021322"/>
    <w:rsid w:val="0002173D"/>
    <w:rsid w:val="00022829"/>
    <w:rsid w:val="00023CA2"/>
    <w:rsid w:val="00023F1B"/>
    <w:rsid w:val="000245AA"/>
    <w:rsid w:val="000256C9"/>
    <w:rsid w:val="00026F81"/>
    <w:rsid w:val="0003165F"/>
    <w:rsid w:val="0003172E"/>
    <w:rsid w:val="00032018"/>
    <w:rsid w:val="00032DDF"/>
    <w:rsid w:val="00033BD2"/>
    <w:rsid w:val="00034065"/>
    <w:rsid w:val="000347A4"/>
    <w:rsid w:val="00035709"/>
    <w:rsid w:val="0003664B"/>
    <w:rsid w:val="00036862"/>
    <w:rsid w:val="00036A3B"/>
    <w:rsid w:val="00037A5E"/>
    <w:rsid w:val="000400ED"/>
    <w:rsid w:val="0004111F"/>
    <w:rsid w:val="00042367"/>
    <w:rsid w:val="0004362A"/>
    <w:rsid w:val="00044B67"/>
    <w:rsid w:val="0004551D"/>
    <w:rsid w:val="000503FE"/>
    <w:rsid w:val="000507F0"/>
    <w:rsid w:val="00052173"/>
    <w:rsid w:val="00052554"/>
    <w:rsid w:val="00054444"/>
    <w:rsid w:val="00055758"/>
    <w:rsid w:val="00055E4B"/>
    <w:rsid w:val="000565B3"/>
    <w:rsid w:val="000656CB"/>
    <w:rsid w:val="000670D4"/>
    <w:rsid w:val="00067990"/>
    <w:rsid w:val="00070BB5"/>
    <w:rsid w:val="00071076"/>
    <w:rsid w:val="0007150B"/>
    <w:rsid w:val="00072138"/>
    <w:rsid w:val="00072CF7"/>
    <w:rsid w:val="00074289"/>
    <w:rsid w:val="0007538C"/>
    <w:rsid w:val="000764E3"/>
    <w:rsid w:val="000765A1"/>
    <w:rsid w:val="00080DAA"/>
    <w:rsid w:val="00086EAA"/>
    <w:rsid w:val="00091448"/>
    <w:rsid w:val="000938F5"/>
    <w:rsid w:val="00094C87"/>
    <w:rsid w:val="00094DBA"/>
    <w:rsid w:val="00095E57"/>
    <w:rsid w:val="00096E96"/>
    <w:rsid w:val="00097C30"/>
    <w:rsid w:val="000B07C6"/>
    <w:rsid w:val="000B086E"/>
    <w:rsid w:val="000B14E0"/>
    <w:rsid w:val="000B50FB"/>
    <w:rsid w:val="000B53CC"/>
    <w:rsid w:val="000B5DC6"/>
    <w:rsid w:val="000B601B"/>
    <w:rsid w:val="000B66C0"/>
    <w:rsid w:val="000B76AC"/>
    <w:rsid w:val="000B76C4"/>
    <w:rsid w:val="000B78E7"/>
    <w:rsid w:val="000C1DDA"/>
    <w:rsid w:val="000C207E"/>
    <w:rsid w:val="000C2165"/>
    <w:rsid w:val="000C30DF"/>
    <w:rsid w:val="000C4F2F"/>
    <w:rsid w:val="000C53E3"/>
    <w:rsid w:val="000C59B4"/>
    <w:rsid w:val="000C7191"/>
    <w:rsid w:val="000C7F8E"/>
    <w:rsid w:val="000D0D0F"/>
    <w:rsid w:val="000D1D4C"/>
    <w:rsid w:val="000D1EBD"/>
    <w:rsid w:val="000D2C3F"/>
    <w:rsid w:val="000D439C"/>
    <w:rsid w:val="000D602F"/>
    <w:rsid w:val="000D6B9A"/>
    <w:rsid w:val="000E0314"/>
    <w:rsid w:val="000E0633"/>
    <w:rsid w:val="000E18A8"/>
    <w:rsid w:val="000E2D7D"/>
    <w:rsid w:val="000E4EDA"/>
    <w:rsid w:val="000E663C"/>
    <w:rsid w:val="000E70FA"/>
    <w:rsid w:val="000E779D"/>
    <w:rsid w:val="000F05FE"/>
    <w:rsid w:val="000F1FB2"/>
    <w:rsid w:val="000F2263"/>
    <w:rsid w:val="000F36F0"/>
    <w:rsid w:val="000F41FE"/>
    <w:rsid w:val="000F420B"/>
    <w:rsid w:val="000F5EA4"/>
    <w:rsid w:val="000F7B13"/>
    <w:rsid w:val="000F7DB1"/>
    <w:rsid w:val="000F7E23"/>
    <w:rsid w:val="0010161C"/>
    <w:rsid w:val="001027A0"/>
    <w:rsid w:val="00103B07"/>
    <w:rsid w:val="001044F5"/>
    <w:rsid w:val="00107463"/>
    <w:rsid w:val="00110116"/>
    <w:rsid w:val="00111EEB"/>
    <w:rsid w:val="00112608"/>
    <w:rsid w:val="00114BB2"/>
    <w:rsid w:val="00115455"/>
    <w:rsid w:val="001171E2"/>
    <w:rsid w:val="00117664"/>
    <w:rsid w:val="00117CE9"/>
    <w:rsid w:val="00120072"/>
    <w:rsid w:val="00121FBA"/>
    <w:rsid w:val="00123961"/>
    <w:rsid w:val="00126EB8"/>
    <w:rsid w:val="00126F93"/>
    <w:rsid w:val="001274D4"/>
    <w:rsid w:val="001334A4"/>
    <w:rsid w:val="0013369F"/>
    <w:rsid w:val="001338C2"/>
    <w:rsid w:val="00133CCD"/>
    <w:rsid w:val="00134281"/>
    <w:rsid w:val="0013449D"/>
    <w:rsid w:val="00134D45"/>
    <w:rsid w:val="00135835"/>
    <w:rsid w:val="0013617A"/>
    <w:rsid w:val="001363AA"/>
    <w:rsid w:val="00136D45"/>
    <w:rsid w:val="00141476"/>
    <w:rsid w:val="00141845"/>
    <w:rsid w:val="001428C9"/>
    <w:rsid w:val="00143CE1"/>
    <w:rsid w:val="001444CF"/>
    <w:rsid w:val="00146A9A"/>
    <w:rsid w:val="0014768A"/>
    <w:rsid w:val="00147D2C"/>
    <w:rsid w:val="00147DDD"/>
    <w:rsid w:val="00150256"/>
    <w:rsid w:val="001511E3"/>
    <w:rsid w:val="00151DB6"/>
    <w:rsid w:val="0015403E"/>
    <w:rsid w:val="00157897"/>
    <w:rsid w:val="0016022C"/>
    <w:rsid w:val="00160AA3"/>
    <w:rsid w:val="00160D0D"/>
    <w:rsid w:val="00161847"/>
    <w:rsid w:val="00162715"/>
    <w:rsid w:val="00162C37"/>
    <w:rsid w:val="0016404D"/>
    <w:rsid w:val="00165B10"/>
    <w:rsid w:val="00166C6D"/>
    <w:rsid w:val="00167861"/>
    <w:rsid w:val="00171335"/>
    <w:rsid w:val="00171CB9"/>
    <w:rsid w:val="00172ED5"/>
    <w:rsid w:val="00174C90"/>
    <w:rsid w:val="00175862"/>
    <w:rsid w:val="00181A25"/>
    <w:rsid w:val="00183860"/>
    <w:rsid w:val="00183CA7"/>
    <w:rsid w:val="00183E82"/>
    <w:rsid w:val="00185897"/>
    <w:rsid w:val="00185EAD"/>
    <w:rsid w:val="001878BB"/>
    <w:rsid w:val="00191233"/>
    <w:rsid w:val="00191AE0"/>
    <w:rsid w:val="0019293B"/>
    <w:rsid w:val="001A07DF"/>
    <w:rsid w:val="001A1D6C"/>
    <w:rsid w:val="001A21D6"/>
    <w:rsid w:val="001A456F"/>
    <w:rsid w:val="001A4A43"/>
    <w:rsid w:val="001A62F7"/>
    <w:rsid w:val="001B191E"/>
    <w:rsid w:val="001B3C3E"/>
    <w:rsid w:val="001B43E7"/>
    <w:rsid w:val="001B4FB5"/>
    <w:rsid w:val="001B5BCB"/>
    <w:rsid w:val="001B6E30"/>
    <w:rsid w:val="001C0865"/>
    <w:rsid w:val="001C3ABA"/>
    <w:rsid w:val="001C40BB"/>
    <w:rsid w:val="001C4C91"/>
    <w:rsid w:val="001C55AD"/>
    <w:rsid w:val="001C58BA"/>
    <w:rsid w:val="001D389A"/>
    <w:rsid w:val="001D4492"/>
    <w:rsid w:val="001D4DC8"/>
    <w:rsid w:val="001D5FEF"/>
    <w:rsid w:val="001D61D0"/>
    <w:rsid w:val="001E017F"/>
    <w:rsid w:val="001E02DE"/>
    <w:rsid w:val="001E0385"/>
    <w:rsid w:val="001E0B58"/>
    <w:rsid w:val="001E0E41"/>
    <w:rsid w:val="001E1957"/>
    <w:rsid w:val="001E3659"/>
    <w:rsid w:val="001E3E4A"/>
    <w:rsid w:val="001E426F"/>
    <w:rsid w:val="001E621F"/>
    <w:rsid w:val="001E76F1"/>
    <w:rsid w:val="001E7918"/>
    <w:rsid w:val="001E7BE8"/>
    <w:rsid w:val="001F0149"/>
    <w:rsid w:val="001F0248"/>
    <w:rsid w:val="001F150E"/>
    <w:rsid w:val="001F28E4"/>
    <w:rsid w:val="001F32BC"/>
    <w:rsid w:val="001F3EB3"/>
    <w:rsid w:val="001F4DC2"/>
    <w:rsid w:val="001F70ED"/>
    <w:rsid w:val="001F70EE"/>
    <w:rsid w:val="00201575"/>
    <w:rsid w:val="00202C2C"/>
    <w:rsid w:val="00203786"/>
    <w:rsid w:val="002057C5"/>
    <w:rsid w:val="002077B8"/>
    <w:rsid w:val="0021001F"/>
    <w:rsid w:val="00211D03"/>
    <w:rsid w:val="00214802"/>
    <w:rsid w:val="00214826"/>
    <w:rsid w:val="00216732"/>
    <w:rsid w:val="0021797C"/>
    <w:rsid w:val="00220257"/>
    <w:rsid w:val="002204F6"/>
    <w:rsid w:val="00220DD6"/>
    <w:rsid w:val="00221059"/>
    <w:rsid w:val="0022183A"/>
    <w:rsid w:val="0022293E"/>
    <w:rsid w:val="00222BE1"/>
    <w:rsid w:val="00222BED"/>
    <w:rsid w:val="00225387"/>
    <w:rsid w:val="00226697"/>
    <w:rsid w:val="00227483"/>
    <w:rsid w:val="0023002A"/>
    <w:rsid w:val="00232C6A"/>
    <w:rsid w:val="00234004"/>
    <w:rsid w:val="00234DAD"/>
    <w:rsid w:val="00234FC2"/>
    <w:rsid w:val="00235FE7"/>
    <w:rsid w:val="002361E1"/>
    <w:rsid w:val="002367EF"/>
    <w:rsid w:val="002403CE"/>
    <w:rsid w:val="00240BCB"/>
    <w:rsid w:val="00240F9D"/>
    <w:rsid w:val="002414B1"/>
    <w:rsid w:val="00242279"/>
    <w:rsid w:val="00245C82"/>
    <w:rsid w:val="00246FC6"/>
    <w:rsid w:val="00247A95"/>
    <w:rsid w:val="00247F7F"/>
    <w:rsid w:val="00250A88"/>
    <w:rsid w:val="00253C8B"/>
    <w:rsid w:val="0025408C"/>
    <w:rsid w:val="00256C70"/>
    <w:rsid w:val="002576DA"/>
    <w:rsid w:val="00257898"/>
    <w:rsid w:val="00260430"/>
    <w:rsid w:val="00261FE7"/>
    <w:rsid w:val="00262122"/>
    <w:rsid w:val="00263D5E"/>
    <w:rsid w:val="00264009"/>
    <w:rsid w:val="002707A6"/>
    <w:rsid w:val="00270A5E"/>
    <w:rsid w:val="00273DB4"/>
    <w:rsid w:val="00275108"/>
    <w:rsid w:val="002754ED"/>
    <w:rsid w:val="002778E2"/>
    <w:rsid w:val="002806EF"/>
    <w:rsid w:val="0028086D"/>
    <w:rsid w:val="002808E3"/>
    <w:rsid w:val="0028249E"/>
    <w:rsid w:val="002825E4"/>
    <w:rsid w:val="0028299F"/>
    <w:rsid w:val="00282C9B"/>
    <w:rsid w:val="00282F69"/>
    <w:rsid w:val="00283430"/>
    <w:rsid w:val="002841DC"/>
    <w:rsid w:val="00286386"/>
    <w:rsid w:val="00286BED"/>
    <w:rsid w:val="0028733A"/>
    <w:rsid w:val="0029129F"/>
    <w:rsid w:val="00291B40"/>
    <w:rsid w:val="0029358C"/>
    <w:rsid w:val="002949CD"/>
    <w:rsid w:val="00294B0E"/>
    <w:rsid w:val="00296378"/>
    <w:rsid w:val="002A0992"/>
    <w:rsid w:val="002A3638"/>
    <w:rsid w:val="002A683E"/>
    <w:rsid w:val="002A6B4C"/>
    <w:rsid w:val="002A6F52"/>
    <w:rsid w:val="002A74A2"/>
    <w:rsid w:val="002A78C7"/>
    <w:rsid w:val="002B17C0"/>
    <w:rsid w:val="002B22D0"/>
    <w:rsid w:val="002B37C3"/>
    <w:rsid w:val="002B3811"/>
    <w:rsid w:val="002B4008"/>
    <w:rsid w:val="002B4CBC"/>
    <w:rsid w:val="002B4FAC"/>
    <w:rsid w:val="002B66B1"/>
    <w:rsid w:val="002B7527"/>
    <w:rsid w:val="002C0BA5"/>
    <w:rsid w:val="002C1DF5"/>
    <w:rsid w:val="002C4347"/>
    <w:rsid w:val="002C4789"/>
    <w:rsid w:val="002C525C"/>
    <w:rsid w:val="002C52A3"/>
    <w:rsid w:val="002D0E8E"/>
    <w:rsid w:val="002D2D83"/>
    <w:rsid w:val="002D4F3A"/>
    <w:rsid w:val="002D5DF2"/>
    <w:rsid w:val="002D5DF5"/>
    <w:rsid w:val="002D6455"/>
    <w:rsid w:val="002E11C2"/>
    <w:rsid w:val="002E386F"/>
    <w:rsid w:val="002E52E0"/>
    <w:rsid w:val="002E6531"/>
    <w:rsid w:val="002E7848"/>
    <w:rsid w:val="002F06BC"/>
    <w:rsid w:val="002F39B6"/>
    <w:rsid w:val="002F5758"/>
    <w:rsid w:val="0030007C"/>
    <w:rsid w:val="00301189"/>
    <w:rsid w:val="003014E2"/>
    <w:rsid w:val="00301F3B"/>
    <w:rsid w:val="00302290"/>
    <w:rsid w:val="00304EC0"/>
    <w:rsid w:val="00306519"/>
    <w:rsid w:val="00306857"/>
    <w:rsid w:val="003139AA"/>
    <w:rsid w:val="00315947"/>
    <w:rsid w:val="003159A5"/>
    <w:rsid w:val="00317A45"/>
    <w:rsid w:val="003206D7"/>
    <w:rsid w:val="003232CF"/>
    <w:rsid w:val="003233D6"/>
    <w:rsid w:val="003233EE"/>
    <w:rsid w:val="003234E2"/>
    <w:rsid w:val="00323E09"/>
    <w:rsid w:val="0033091B"/>
    <w:rsid w:val="00331D69"/>
    <w:rsid w:val="003324A1"/>
    <w:rsid w:val="00333932"/>
    <w:rsid w:val="00333DDB"/>
    <w:rsid w:val="00334A3E"/>
    <w:rsid w:val="0034022E"/>
    <w:rsid w:val="003409B5"/>
    <w:rsid w:val="0034126E"/>
    <w:rsid w:val="00341E15"/>
    <w:rsid w:val="00341F5B"/>
    <w:rsid w:val="00341F86"/>
    <w:rsid w:val="00343843"/>
    <w:rsid w:val="00343B3B"/>
    <w:rsid w:val="00344A8D"/>
    <w:rsid w:val="00345D45"/>
    <w:rsid w:val="00345E2B"/>
    <w:rsid w:val="003466FC"/>
    <w:rsid w:val="00347D6B"/>
    <w:rsid w:val="00347FC7"/>
    <w:rsid w:val="003518AA"/>
    <w:rsid w:val="00352165"/>
    <w:rsid w:val="00353182"/>
    <w:rsid w:val="00353515"/>
    <w:rsid w:val="003565D9"/>
    <w:rsid w:val="00357D08"/>
    <w:rsid w:val="003602E1"/>
    <w:rsid w:val="003612BF"/>
    <w:rsid w:val="003625CD"/>
    <w:rsid w:val="0036671B"/>
    <w:rsid w:val="0037026F"/>
    <w:rsid w:val="00371240"/>
    <w:rsid w:val="00372305"/>
    <w:rsid w:val="00374731"/>
    <w:rsid w:val="00380447"/>
    <w:rsid w:val="0038062E"/>
    <w:rsid w:val="00380770"/>
    <w:rsid w:val="00380952"/>
    <w:rsid w:val="0038112F"/>
    <w:rsid w:val="00383DEA"/>
    <w:rsid w:val="003847A9"/>
    <w:rsid w:val="003854A0"/>
    <w:rsid w:val="00390030"/>
    <w:rsid w:val="003919F9"/>
    <w:rsid w:val="00393DC9"/>
    <w:rsid w:val="00394439"/>
    <w:rsid w:val="003973F5"/>
    <w:rsid w:val="003A0BF4"/>
    <w:rsid w:val="003A11F2"/>
    <w:rsid w:val="003A5097"/>
    <w:rsid w:val="003B1AB3"/>
    <w:rsid w:val="003B2366"/>
    <w:rsid w:val="003B3B85"/>
    <w:rsid w:val="003B482A"/>
    <w:rsid w:val="003B6554"/>
    <w:rsid w:val="003B6762"/>
    <w:rsid w:val="003C0047"/>
    <w:rsid w:val="003C1E33"/>
    <w:rsid w:val="003C274C"/>
    <w:rsid w:val="003C2FE8"/>
    <w:rsid w:val="003C333A"/>
    <w:rsid w:val="003C3644"/>
    <w:rsid w:val="003C37DB"/>
    <w:rsid w:val="003C38B5"/>
    <w:rsid w:val="003C3B54"/>
    <w:rsid w:val="003C43A3"/>
    <w:rsid w:val="003C4AF1"/>
    <w:rsid w:val="003C4C7E"/>
    <w:rsid w:val="003C5D99"/>
    <w:rsid w:val="003C639E"/>
    <w:rsid w:val="003C6B2F"/>
    <w:rsid w:val="003C6C09"/>
    <w:rsid w:val="003C7BFA"/>
    <w:rsid w:val="003D13D1"/>
    <w:rsid w:val="003D27E2"/>
    <w:rsid w:val="003D2F9C"/>
    <w:rsid w:val="003D4068"/>
    <w:rsid w:val="003D4167"/>
    <w:rsid w:val="003D4553"/>
    <w:rsid w:val="003D46F8"/>
    <w:rsid w:val="003D6C9A"/>
    <w:rsid w:val="003E2446"/>
    <w:rsid w:val="003E24EF"/>
    <w:rsid w:val="003E2F59"/>
    <w:rsid w:val="003E339E"/>
    <w:rsid w:val="003E471D"/>
    <w:rsid w:val="003E47BC"/>
    <w:rsid w:val="003E5FB3"/>
    <w:rsid w:val="003E652F"/>
    <w:rsid w:val="003F0789"/>
    <w:rsid w:val="003F2067"/>
    <w:rsid w:val="003F3338"/>
    <w:rsid w:val="003F4D5E"/>
    <w:rsid w:val="003F5855"/>
    <w:rsid w:val="003F6AF7"/>
    <w:rsid w:val="004000A6"/>
    <w:rsid w:val="004017C4"/>
    <w:rsid w:val="00401882"/>
    <w:rsid w:val="00402650"/>
    <w:rsid w:val="00402D5D"/>
    <w:rsid w:val="004039CF"/>
    <w:rsid w:val="00405742"/>
    <w:rsid w:val="00405DEC"/>
    <w:rsid w:val="00407B27"/>
    <w:rsid w:val="004100C8"/>
    <w:rsid w:val="00411632"/>
    <w:rsid w:val="00411DBD"/>
    <w:rsid w:val="00412ACE"/>
    <w:rsid w:val="004137EA"/>
    <w:rsid w:val="00421951"/>
    <w:rsid w:val="0042230C"/>
    <w:rsid w:val="00422D70"/>
    <w:rsid w:val="004263B8"/>
    <w:rsid w:val="00426847"/>
    <w:rsid w:val="0042701B"/>
    <w:rsid w:val="00427331"/>
    <w:rsid w:val="00431249"/>
    <w:rsid w:val="004313E4"/>
    <w:rsid w:val="00431767"/>
    <w:rsid w:val="00432FE1"/>
    <w:rsid w:val="00434C19"/>
    <w:rsid w:val="0043595D"/>
    <w:rsid w:val="0043636F"/>
    <w:rsid w:val="0044015E"/>
    <w:rsid w:val="00442598"/>
    <w:rsid w:val="00442FCD"/>
    <w:rsid w:val="00444280"/>
    <w:rsid w:val="00444E01"/>
    <w:rsid w:val="0044627A"/>
    <w:rsid w:val="004503FB"/>
    <w:rsid w:val="00450810"/>
    <w:rsid w:val="0045295E"/>
    <w:rsid w:val="00452B8A"/>
    <w:rsid w:val="00452B9B"/>
    <w:rsid w:val="004535B3"/>
    <w:rsid w:val="004535C7"/>
    <w:rsid w:val="00453CDA"/>
    <w:rsid w:val="004556FC"/>
    <w:rsid w:val="00455E17"/>
    <w:rsid w:val="00461BA3"/>
    <w:rsid w:val="00461D06"/>
    <w:rsid w:val="00462342"/>
    <w:rsid w:val="004639A9"/>
    <w:rsid w:val="00464BA4"/>
    <w:rsid w:val="0046547E"/>
    <w:rsid w:val="0046697F"/>
    <w:rsid w:val="004711AD"/>
    <w:rsid w:val="004711FC"/>
    <w:rsid w:val="004723D9"/>
    <w:rsid w:val="00473DED"/>
    <w:rsid w:val="00473EDB"/>
    <w:rsid w:val="0047410F"/>
    <w:rsid w:val="00474339"/>
    <w:rsid w:val="00475B22"/>
    <w:rsid w:val="00475E3B"/>
    <w:rsid w:val="00477144"/>
    <w:rsid w:val="00477D92"/>
    <w:rsid w:val="004854BA"/>
    <w:rsid w:val="00486F1A"/>
    <w:rsid w:val="00487679"/>
    <w:rsid w:val="0049087D"/>
    <w:rsid w:val="00491896"/>
    <w:rsid w:val="0049459F"/>
    <w:rsid w:val="00496858"/>
    <w:rsid w:val="004A2D0A"/>
    <w:rsid w:val="004A38DD"/>
    <w:rsid w:val="004A41B5"/>
    <w:rsid w:val="004A518E"/>
    <w:rsid w:val="004A528E"/>
    <w:rsid w:val="004B2B85"/>
    <w:rsid w:val="004B2E28"/>
    <w:rsid w:val="004B2E42"/>
    <w:rsid w:val="004B43AE"/>
    <w:rsid w:val="004B4BD3"/>
    <w:rsid w:val="004B61D5"/>
    <w:rsid w:val="004B69C8"/>
    <w:rsid w:val="004C11A0"/>
    <w:rsid w:val="004C23B5"/>
    <w:rsid w:val="004C2A09"/>
    <w:rsid w:val="004C30ED"/>
    <w:rsid w:val="004D0762"/>
    <w:rsid w:val="004D0D91"/>
    <w:rsid w:val="004D32CC"/>
    <w:rsid w:val="004D3F8F"/>
    <w:rsid w:val="004D42C4"/>
    <w:rsid w:val="004D5675"/>
    <w:rsid w:val="004D5A52"/>
    <w:rsid w:val="004D6989"/>
    <w:rsid w:val="004E1503"/>
    <w:rsid w:val="004E248E"/>
    <w:rsid w:val="004E2F39"/>
    <w:rsid w:val="004E305C"/>
    <w:rsid w:val="004E38D2"/>
    <w:rsid w:val="004E49D6"/>
    <w:rsid w:val="004E4E30"/>
    <w:rsid w:val="004E62CF"/>
    <w:rsid w:val="004E6D81"/>
    <w:rsid w:val="004E6E47"/>
    <w:rsid w:val="004F1D7A"/>
    <w:rsid w:val="004F4173"/>
    <w:rsid w:val="004F44D4"/>
    <w:rsid w:val="004F49B6"/>
    <w:rsid w:val="004F7557"/>
    <w:rsid w:val="005010B2"/>
    <w:rsid w:val="00501553"/>
    <w:rsid w:val="0050205C"/>
    <w:rsid w:val="005022A2"/>
    <w:rsid w:val="005026B6"/>
    <w:rsid w:val="00502C39"/>
    <w:rsid w:val="00502E95"/>
    <w:rsid w:val="00507611"/>
    <w:rsid w:val="00516F6A"/>
    <w:rsid w:val="00521811"/>
    <w:rsid w:val="00522144"/>
    <w:rsid w:val="00522F3A"/>
    <w:rsid w:val="00523639"/>
    <w:rsid w:val="0052607C"/>
    <w:rsid w:val="0052640A"/>
    <w:rsid w:val="00526657"/>
    <w:rsid w:val="00526D62"/>
    <w:rsid w:val="00527567"/>
    <w:rsid w:val="00531377"/>
    <w:rsid w:val="00531FE5"/>
    <w:rsid w:val="00532467"/>
    <w:rsid w:val="0053585E"/>
    <w:rsid w:val="00536764"/>
    <w:rsid w:val="00537198"/>
    <w:rsid w:val="005412DA"/>
    <w:rsid w:val="00541CFD"/>
    <w:rsid w:val="0054426E"/>
    <w:rsid w:val="00546F33"/>
    <w:rsid w:val="00550017"/>
    <w:rsid w:val="0055241B"/>
    <w:rsid w:val="00552F34"/>
    <w:rsid w:val="00553194"/>
    <w:rsid w:val="005534E8"/>
    <w:rsid w:val="0055584F"/>
    <w:rsid w:val="00555BC6"/>
    <w:rsid w:val="0055724D"/>
    <w:rsid w:val="00557543"/>
    <w:rsid w:val="00557710"/>
    <w:rsid w:val="00557E21"/>
    <w:rsid w:val="00560EFE"/>
    <w:rsid w:val="0056147E"/>
    <w:rsid w:val="0056324C"/>
    <w:rsid w:val="00566B43"/>
    <w:rsid w:val="005706BC"/>
    <w:rsid w:val="00572347"/>
    <w:rsid w:val="0057264D"/>
    <w:rsid w:val="00574B1B"/>
    <w:rsid w:val="00575091"/>
    <w:rsid w:val="00575C85"/>
    <w:rsid w:val="00576D28"/>
    <w:rsid w:val="005804C7"/>
    <w:rsid w:val="005809A8"/>
    <w:rsid w:val="00580CE3"/>
    <w:rsid w:val="00580D21"/>
    <w:rsid w:val="00582760"/>
    <w:rsid w:val="00583C39"/>
    <w:rsid w:val="00584FB4"/>
    <w:rsid w:val="00587B2A"/>
    <w:rsid w:val="005909CF"/>
    <w:rsid w:val="00591E71"/>
    <w:rsid w:val="0059321C"/>
    <w:rsid w:val="00593E52"/>
    <w:rsid w:val="00593ECA"/>
    <w:rsid w:val="00594BAE"/>
    <w:rsid w:val="005959F8"/>
    <w:rsid w:val="00597798"/>
    <w:rsid w:val="005A0D41"/>
    <w:rsid w:val="005A2764"/>
    <w:rsid w:val="005A30E0"/>
    <w:rsid w:val="005A353D"/>
    <w:rsid w:val="005A35F2"/>
    <w:rsid w:val="005A3C81"/>
    <w:rsid w:val="005B1F39"/>
    <w:rsid w:val="005B2959"/>
    <w:rsid w:val="005B39E8"/>
    <w:rsid w:val="005B69A3"/>
    <w:rsid w:val="005B73DE"/>
    <w:rsid w:val="005B7B7F"/>
    <w:rsid w:val="005C20C4"/>
    <w:rsid w:val="005C2685"/>
    <w:rsid w:val="005C2CE7"/>
    <w:rsid w:val="005C367E"/>
    <w:rsid w:val="005C5B12"/>
    <w:rsid w:val="005C71A3"/>
    <w:rsid w:val="005D0506"/>
    <w:rsid w:val="005D1FB0"/>
    <w:rsid w:val="005D226F"/>
    <w:rsid w:val="005D4D4B"/>
    <w:rsid w:val="005E211B"/>
    <w:rsid w:val="005E25A9"/>
    <w:rsid w:val="005E4182"/>
    <w:rsid w:val="005E4449"/>
    <w:rsid w:val="005F0D0D"/>
    <w:rsid w:val="005F149E"/>
    <w:rsid w:val="005F1E7D"/>
    <w:rsid w:val="005F31C0"/>
    <w:rsid w:val="005F31CF"/>
    <w:rsid w:val="005F33F2"/>
    <w:rsid w:val="005F6B5B"/>
    <w:rsid w:val="006013F9"/>
    <w:rsid w:val="00601D5E"/>
    <w:rsid w:val="00603145"/>
    <w:rsid w:val="006045FB"/>
    <w:rsid w:val="00605574"/>
    <w:rsid w:val="00605FF6"/>
    <w:rsid w:val="00607BF1"/>
    <w:rsid w:val="0061700D"/>
    <w:rsid w:val="006178AA"/>
    <w:rsid w:val="006211A0"/>
    <w:rsid w:val="00621E22"/>
    <w:rsid w:val="0062307C"/>
    <w:rsid w:val="00626EDB"/>
    <w:rsid w:val="00630D4D"/>
    <w:rsid w:val="006325FA"/>
    <w:rsid w:val="00632A74"/>
    <w:rsid w:val="00634315"/>
    <w:rsid w:val="00634BF8"/>
    <w:rsid w:val="0063551C"/>
    <w:rsid w:val="00635567"/>
    <w:rsid w:val="00637A87"/>
    <w:rsid w:val="00641127"/>
    <w:rsid w:val="00642D63"/>
    <w:rsid w:val="00642FD8"/>
    <w:rsid w:val="00645917"/>
    <w:rsid w:val="00652BE1"/>
    <w:rsid w:val="00653983"/>
    <w:rsid w:val="00653FA0"/>
    <w:rsid w:val="006548CF"/>
    <w:rsid w:val="00655E01"/>
    <w:rsid w:val="00656450"/>
    <w:rsid w:val="00657E34"/>
    <w:rsid w:val="006620A4"/>
    <w:rsid w:val="00663D0D"/>
    <w:rsid w:val="006645DE"/>
    <w:rsid w:val="00665B42"/>
    <w:rsid w:val="00666F1F"/>
    <w:rsid w:val="006706D1"/>
    <w:rsid w:val="006715FD"/>
    <w:rsid w:val="0067192F"/>
    <w:rsid w:val="006719BF"/>
    <w:rsid w:val="0067356F"/>
    <w:rsid w:val="00674915"/>
    <w:rsid w:val="00677E65"/>
    <w:rsid w:val="006816E9"/>
    <w:rsid w:val="00681A1A"/>
    <w:rsid w:val="00682095"/>
    <w:rsid w:val="006829AF"/>
    <w:rsid w:val="00682C70"/>
    <w:rsid w:val="00683B92"/>
    <w:rsid w:val="006840C3"/>
    <w:rsid w:val="0068411F"/>
    <w:rsid w:val="00684209"/>
    <w:rsid w:val="006844BA"/>
    <w:rsid w:val="00684B9F"/>
    <w:rsid w:val="00685060"/>
    <w:rsid w:val="00685897"/>
    <w:rsid w:val="00685C19"/>
    <w:rsid w:val="00686E43"/>
    <w:rsid w:val="0068707F"/>
    <w:rsid w:val="006878DF"/>
    <w:rsid w:val="00687EE2"/>
    <w:rsid w:val="0069215A"/>
    <w:rsid w:val="00692C54"/>
    <w:rsid w:val="00693B73"/>
    <w:rsid w:val="006944C1"/>
    <w:rsid w:val="006956B3"/>
    <w:rsid w:val="0069759B"/>
    <w:rsid w:val="006A0ACA"/>
    <w:rsid w:val="006A1C42"/>
    <w:rsid w:val="006A3217"/>
    <w:rsid w:val="006A4655"/>
    <w:rsid w:val="006A4BF5"/>
    <w:rsid w:val="006B2B3C"/>
    <w:rsid w:val="006B2CF2"/>
    <w:rsid w:val="006B374D"/>
    <w:rsid w:val="006B4563"/>
    <w:rsid w:val="006B5FD3"/>
    <w:rsid w:val="006B6266"/>
    <w:rsid w:val="006C1D81"/>
    <w:rsid w:val="006C1E2E"/>
    <w:rsid w:val="006C3D1A"/>
    <w:rsid w:val="006C4297"/>
    <w:rsid w:val="006C538C"/>
    <w:rsid w:val="006C6A33"/>
    <w:rsid w:val="006C7038"/>
    <w:rsid w:val="006C78FF"/>
    <w:rsid w:val="006D0665"/>
    <w:rsid w:val="006D0CCC"/>
    <w:rsid w:val="006D24E3"/>
    <w:rsid w:val="006D5632"/>
    <w:rsid w:val="006E2507"/>
    <w:rsid w:val="006E350F"/>
    <w:rsid w:val="006E3D93"/>
    <w:rsid w:val="006E59AF"/>
    <w:rsid w:val="006E73EF"/>
    <w:rsid w:val="006E7D62"/>
    <w:rsid w:val="006F117B"/>
    <w:rsid w:val="006F3ED3"/>
    <w:rsid w:val="006F5306"/>
    <w:rsid w:val="006F544B"/>
    <w:rsid w:val="006F7505"/>
    <w:rsid w:val="00702345"/>
    <w:rsid w:val="007024A7"/>
    <w:rsid w:val="00703C1F"/>
    <w:rsid w:val="00704E6B"/>
    <w:rsid w:val="00705689"/>
    <w:rsid w:val="00705933"/>
    <w:rsid w:val="0070615D"/>
    <w:rsid w:val="00713ACE"/>
    <w:rsid w:val="00714D4D"/>
    <w:rsid w:val="00720BFF"/>
    <w:rsid w:val="007229AD"/>
    <w:rsid w:val="00724259"/>
    <w:rsid w:val="00726383"/>
    <w:rsid w:val="00726BC1"/>
    <w:rsid w:val="00726F38"/>
    <w:rsid w:val="00730B46"/>
    <w:rsid w:val="00732304"/>
    <w:rsid w:val="00732361"/>
    <w:rsid w:val="0073332D"/>
    <w:rsid w:val="00733CED"/>
    <w:rsid w:val="0073401C"/>
    <w:rsid w:val="00735517"/>
    <w:rsid w:val="00740BDC"/>
    <w:rsid w:val="00740D7A"/>
    <w:rsid w:val="007413C2"/>
    <w:rsid w:val="0074320F"/>
    <w:rsid w:val="007451FD"/>
    <w:rsid w:val="007454D4"/>
    <w:rsid w:val="00746CF5"/>
    <w:rsid w:val="007509D8"/>
    <w:rsid w:val="0075199E"/>
    <w:rsid w:val="0075308E"/>
    <w:rsid w:val="00754340"/>
    <w:rsid w:val="00754843"/>
    <w:rsid w:val="00754D88"/>
    <w:rsid w:val="0075507D"/>
    <w:rsid w:val="00755716"/>
    <w:rsid w:val="00755746"/>
    <w:rsid w:val="0075700D"/>
    <w:rsid w:val="00757FEE"/>
    <w:rsid w:val="007604BB"/>
    <w:rsid w:val="00762279"/>
    <w:rsid w:val="007622F1"/>
    <w:rsid w:val="0076253F"/>
    <w:rsid w:val="00763FCD"/>
    <w:rsid w:val="007641C2"/>
    <w:rsid w:val="007662FC"/>
    <w:rsid w:val="00767CDE"/>
    <w:rsid w:val="00770083"/>
    <w:rsid w:val="0077093B"/>
    <w:rsid w:val="00770CAE"/>
    <w:rsid w:val="007725B7"/>
    <w:rsid w:val="00773CAA"/>
    <w:rsid w:val="00775B82"/>
    <w:rsid w:val="007802DA"/>
    <w:rsid w:val="007816BF"/>
    <w:rsid w:val="00782CBD"/>
    <w:rsid w:val="007843FD"/>
    <w:rsid w:val="00785232"/>
    <w:rsid w:val="0078577B"/>
    <w:rsid w:val="00786252"/>
    <w:rsid w:val="007919A4"/>
    <w:rsid w:val="00791B1C"/>
    <w:rsid w:val="00792E4E"/>
    <w:rsid w:val="007931A2"/>
    <w:rsid w:val="00796B93"/>
    <w:rsid w:val="007A0DCB"/>
    <w:rsid w:val="007A21EB"/>
    <w:rsid w:val="007A430F"/>
    <w:rsid w:val="007A5AFC"/>
    <w:rsid w:val="007A5F18"/>
    <w:rsid w:val="007A7B9F"/>
    <w:rsid w:val="007B0C48"/>
    <w:rsid w:val="007B14D3"/>
    <w:rsid w:val="007B1A93"/>
    <w:rsid w:val="007B1E12"/>
    <w:rsid w:val="007B3DDD"/>
    <w:rsid w:val="007B4BE6"/>
    <w:rsid w:val="007B5DAB"/>
    <w:rsid w:val="007B72F3"/>
    <w:rsid w:val="007C2187"/>
    <w:rsid w:val="007C36C9"/>
    <w:rsid w:val="007C4045"/>
    <w:rsid w:val="007C4544"/>
    <w:rsid w:val="007C5429"/>
    <w:rsid w:val="007C657B"/>
    <w:rsid w:val="007C79B6"/>
    <w:rsid w:val="007D2890"/>
    <w:rsid w:val="007D6401"/>
    <w:rsid w:val="007D6676"/>
    <w:rsid w:val="007D6A01"/>
    <w:rsid w:val="007D71AB"/>
    <w:rsid w:val="007E01E4"/>
    <w:rsid w:val="007E02DF"/>
    <w:rsid w:val="007E1666"/>
    <w:rsid w:val="007E18C2"/>
    <w:rsid w:val="007E625F"/>
    <w:rsid w:val="007E62C1"/>
    <w:rsid w:val="007E6351"/>
    <w:rsid w:val="007E7782"/>
    <w:rsid w:val="007F016D"/>
    <w:rsid w:val="007F0776"/>
    <w:rsid w:val="007F1D6B"/>
    <w:rsid w:val="007F1DBC"/>
    <w:rsid w:val="007F207F"/>
    <w:rsid w:val="007F5BE6"/>
    <w:rsid w:val="007F5F73"/>
    <w:rsid w:val="007F6686"/>
    <w:rsid w:val="007F7107"/>
    <w:rsid w:val="00802B5E"/>
    <w:rsid w:val="00804BDB"/>
    <w:rsid w:val="00805C3B"/>
    <w:rsid w:val="00805E51"/>
    <w:rsid w:val="0081030F"/>
    <w:rsid w:val="00810D02"/>
    <w:rsid w:val="0081150F"/>
    <w:rsid w:val="00816D26"/>
    <w:rsid w:val="0082021D"/>
    <w:rsid w:val="0082077A"/>
    <w:rsid w:val="0082087D"/>
    <w:rsid w:val="00820FBE"/>
    <w:rsid w:val="00821BDB"/>
    <w:rsid w:val="008220A6"/>
    <w:rsid w:val="008224CC"/>
    <w:rsid w:val="00823576"/>
    <w:rsid w:val="00823FAD"/>
    <w:rsid w:val="0082567F"/>
    <w:rsid w:val="00825B36"/>
    <w:rsid w:val="00827A0E"/>
    <w:rsid w:val="0083188B"/>
    <w:rsid w:val="008319C6"/>
    <w:rsid w:val="00832031"/>
    <w:rsid w:val="00832731"/>
    <w:rsid w:val="0083361D"/>
    <w:rsid w:val="00833883"/>
    <w:rsid w:val="0083437E"/>
    <w:rsid w:val="00842585"/>
    <w:rsid w:val="008425E0"/>
    <w:rsid w:val="00842933"/>
    <w:rsid w:val="00845738"/>
    <w:rsid w:val="008474DC"/>
    <w:rsid w:val="00850B04"/>
    <w:rsid w:val="008514A9"/>
    <w:rsid w:val="00851C54"/>
    <w:rsid w:val="00851FDD"/>
    <w:rsid w:val="00853159"/>
    <w:rsid w:val="0085490D"/>
    <w:rsid w:val="00856285"/>
    <w:rsid w:val="00856C7B"/>
    <w:rsid w:val="00857069"/>
    <w:rsid w:val="00860382"/>
    <w:rsid w:val="008605DD"/>
    <w:rsid w:val="0086082C"/>
    <w:rsid w:val="00861DBD"/>
    <w:rsid w:val="008625F5"/>
    <w:rsid w:val="00863D09"/>
    <w:rsid w:val="00864159"/>
    <w:rsid w:val="008641EB"/>
    <w:rsid w:val="00864ADC"/>
    <w:rsid w:val="00864DB6"/>
    <w:rsid w:val="00865566"/>
    <w:rsid w:val="00870464"/>
    <w:rsid w:val="008725FC"/>
    <w:rsid w:val="00873C00"/>
    <w:rsid w:val="0087454D"/>
    <w:rsid w:val="00874811"/>
    <w:rsid w:val="008752BA"/>
    <w:rsid w:val="0087546B"/>
    <w:rsid w:val="008776CE"/>
    <w:rsid w:val="00880153"/>
    <w:rsid w:val="0088099D"/>
    <w:rsid w:val="00880F12"/>
    <w:rsid w:val="00880F97"/>
    <w:rsid w:val="0088133A"/>
    <w:rsid w:val="0088160F"/>
    <w:rsid w:val="00881E7D"/>
    <w:rsid w:val="008822A5"/>
    <w:rsid w:val="008840D5"/>
    <w:rsid w:val="00885608"/>
    <w:rsid w:val="00885AA6"/>
    <w:rsid w:val="00887B54"/>
    <w:rsid w:val="00887BD3"/>
    <w:rsid w:val="00890489"/>
    <w:rsid w:val="0089285E"/>
    <w:rsid w:val="0089369C"/>
    <w:rsid w:val="008937EA"/>
    <w:rsid w:val="0089436C"/>
    <w:rsid w:val="00894389"/>
    <w:rsid w:val="00895E9A"/>
    <w:rsid w:val="0089796F"/>
    <w:rsid w:val="00897CA5"/>
    <w:rsid w:val="008A0383"/>
    <w:rsid w:val="008A333C"/>
    <w:rsid w:val="008A69AA"/>
    <w:rsid w:val="008A787B"/>
    <w:rsid w:val="008B1CBE"/>
    <w:rsid w:val="008B212E"/>
    <w:rsid w:val="008B3120"/>
    <w:rsid w:val="008B3465"/>
    <w:rsid w:val="008B452C"/>
    <w:rsid w:val="008B486A"/>
    <w:rsid w:val="008B5048"/>
    <w:rsid w:val="008B6080"/>
    <w:rsid w:val="008B761F"/>
    <w:rsid w:val="008C30A4"/>
    <w:rsid w:val="008C3D55"/>
    <w:rsid w:val="008C56E4"/>
    <w:rsid w:val="008C6629"/>
    <w:rsid w:val="008C67F9"/>
    <w:rsid w:val="008D365C"/>
    <w:rsid w:val="008D4339"/>
    <w:rsid w:val="008D5064"/>
    <w:rsid w:val="008D5D52"/>
    <w:rsid w:val="008D7E9C"/>
    <w:rsid w:val="008E1A99"/>
    <w:rsid w:val="008E31DA"/>
    <w:rsid w:val="008E50BE"/>
    <w:rsid w:val="008F32E5"/>
    <w:rsid w:val="008F3BD0"/>
    <w:rsid w:val="008F790B"/>
    <w:rsid w:val="009030BF"/>
    <w:rsid w:val="009033D0"/>
    <w:rsid w:val="00903B0D"/>
    <w:rsid w:val="00903D64"/>
    <w:rsid w:val="00907DC5"/>
    <w:rsid w:val="0091029E"/>
    <w:rsid w:val="0091032F"/>
    <w:rsid w:val="009129E8"/>
    <w:rsid w:val="00913ACA"/>
    <w:rsid w:val="00913D31"/>
    <w:rsid w:val="00914368"/>
    <w:rsid w:val="00914744"/>
    <w:rsid w:val="00914F9B"/>
    <w:rsid w:val="009153A2"/>
    <w:rsid w:val="00916384"/>
    <w:rsid w:val="00916E92"/>
    <w:rsid w:val="00917009"/>
    <w:rsid w:val="009175FB"/>
    <w:rsid w:val="00921B34"/>
    <w:rsid w:val="009229DC"/>
    <w:rsid w:val="00925F70"/>
    <w:rsid w:val="0092625A"/>
    <w:rsid w:val="0092701B"/>
    <w:rsid w:val="00930201"/>
    <w:rsid w:val="00930528"/>
    <w:rsid w:val="0093054A"/>
    <w:rsid w:val="00931076"/>
    <w:rsid w:val="009330F5"/>
    <w:rsid w:val="00933524"/>
    <w:rsid w:val="009345D9"/>
    <w:rsid w:val="00934B15"/>
    <w:rsid w:val="009375A9"/>
    <w:rsid w:val="00937B45"/>
    <w:rsid w:val="009410E4"/>
    <w:rsid w:val="009422F8"/>
    <w:rsid w:val="00942B62"/>
    <w:rsid w:val="00945415"/>
    <w:rsid w:val="009456FF"/>
    <w:rsid w:val="009549C3"/>
    <w:rsid w:val="00956625"/>
    <w:rsid w:val="009566E1"/>
    <w:rsid w:val="009567E3"/>
    <w:rsid w:val="00956A0C"/>
    <w:rsid w:val="00956BD9"/>
    <w:rsid w:val="00957339"/>
    <w:rsid w:val="009574A1"/>
    <w:rsid w:val="00957CDB"/>
    <w:rsid w:val="0096028F"/>
    <w:rsid w:val="00960BC8"/>
    <w:rsid w:val="009620D4"/>
    <w:rsid w:val="00962489"/>
    <w:rsid w:val="00964324"/>
    <w:rsid w:val="009660EF"/>
    <w:rsid w:val="00966744"/>
    <w:rsid w:val="00967987"/>
    <w:rsid w:val="00967DFD"/>
    <w:rsid w:val="00972954"/>
    <w:rsid w:val="00973477"/>
    <w:rsid w:val="009735A2"/>
    <w:rsid w:val="0097408A"/>
    <w:rsid w:val="00983F20"/>
    <w:rsid w:val="00984491"/>
    <w:rsid w:val="009861C6"/>
    <w:rsid w:val="00986804"/>
    <w:rsid w:val="00987399"/>
    <w:rsid w:val="00990C2C"/>
    <w:rsid w:val="00993E79"/>
    <w:rsid w:val="009940A1"/>
    <w:rsid w:val="00995408"/>
    <w:rsid w:val="009955D7"/>
    <w:rsid w:val="0099574E"/>
    <w:rsid w:val="009960D1"/>
    <w:rsid w:val="00996E21"/>
    <w:rsid w:val="00996EAF"/>
    <w:rsid w:val="009A0202"/>
    <w:rsid w:val="009A09C9"/>
    <w:rsid w:val="009A1773"/>
    <w:rsid w:val="009A253B"/>
    <w:rsid w:val="009A2A73"/>
    <w:rsid w:val="009A2B2C"/>
    <w:rsid w:val="009A447F"/>
    <w:rsid w:val="009A4860"/>
    <w:rsid w:val="009A6EEC"/>
    <w:rsid w:val="009B291B"/>
    <w:rsid w:val="009B3537"/>
    <w:rsid w:val="009B653F"/>
    <w:rsid w:val="009B6BAF"/>
    <w:rsid w:val="009C28F0"/>
    <w:rsid w:val="009C397E"/>
    <w:rsid w:val="009C58FD"/>
    <w:rsid w:val="009C5D01"/>
    <w:rsid w:val="009C5DEA"/>
    <w:rsid w:val="009D0B20"/>
    <w:rsid w:val="009D0C64"/>
    <w:rsid w:val="009D1A79"/>
    <w:rsid w:val="009D22FA"/>
    <w:rsid w:val="009D2B07"/>
    <w:rsid w:val="009D46FE"/>
    <w:rsid w:val="009D677E"/>
    <w:rsid w:val="009D6E8A"/>
    <w:rsid w:val="009D7D73"/>
    <w:rsid w:val="009E6048"/>
    <w:rsid w:val="009E7FBD"/>
    <w:rsid w:val="009F0CC4"/>
    <w:rsid w:val="009F1D0A"/>
    <w:rsid w:val="009F31C2"/>
    <w:rsid w:val="009F3BC9"/>
    <w:rsid w:val="009F5660"/>
    <w:rsid w:val="009F6372"/>
    <w:rsid w:val="009F696D"/>
    <w:rsid w:val="009F6BC6"/>
    <w:rsid w:val="009F7129"/>
    <w:rsid w:val="009F7468"/>
    <w:rsid w:val="009F7ADB"/>
    <w:rsid w:val="00A03442"/>
    <w:rsid w:val="00A04ABC"/>
    <w:rsid w:val="00A0502D"/>
    <w:rsid w:val="00A12BF8"/>
    <w:rsid w:val="00A13290"/>
    <w:rsid w:val="00A13F97"/>
    <w:rsid w:val="00A14CB4"/>
    <w:rsid w:val="00A16588"/>
    <w:rsid w:val="00A17328"/>
    <w:rsid w:val="00A20517"/>
    <w:rsid w:val="00A210F6"/>
    <w:rsid w:val="00A218F4"/>
    <w:rsid w:val="00A23925"/>
    <w:rsid w:val="00A23A20"/>
    <w:rsid w:val="00A245E2"/>
    <w:rsid w:val="00A250EB"/>
    <w:rsid w:val="00A26462"/>
    <w:rsid w:val="00A268B9"/>
    <w:rsid w:val="00A26E44"/>
    <w:rsid w:val="00A2703A"/>
    <w:rsid w:val="00A27918"/>
    <w:rsid w:val="00A31160"/>
    <w:rsid w:val="00A33D86"/>
    <w:rsid w:val="00A33DFF"/>
    <w:rsid w:val="00A35115"/>
    <w:rsid w:val="00A36450"/>
    <w:rsid w:val="00A36D9A"/>
    <w:rsid w:val="00A37550"/>
    <w:rsid w:val="00A379E1"/>
    <w:rsid w:val="00A4116B"/>
    <w:rsid w:val="00A420D9"/>
    <w:rsid w:val="00A43CF6"/>
    <w:rsid w:val="00A45949"/>
    <w:rsid w:val="00A467CB"/>
    <w:rsid w:val="00A47001"/>
    <w:rsid w:val="00A507C8"/>
    <w:rsid w:val="00A50B6A"/>
    <w:rsid w:val="00A52FF9"/>
    <w:rsid w:val="00A53908"/>
    <w:rsid w:val="00A554AB"/>
    <w:rsid w:val="00A56D7E"/>
    <w:rsid w:val="00A6140D"/>
    <w:rsid w:val="00A62828"/>
    <w:rsid w:val="00A62F26"/>
    <w:rsid w:val="00A63EAF"/>
    <w:rsid w:val="00A65633"/>
    <w:rsid w:val="00A6570F"/>
    <w:rsid w:val="00A65B91"/>
    <w:rsid w:val="00A66043"/>
    <w:rsid w:val="00A70CEF"/>
    <w:rsid w:val="00A7294A"/>
    <w:rsid w:val="00A72BDA"/>
    <w:rsid w:val="00A72F7E"/>
    <w:rsid w:val="00A7340B"/>
    <w:rsid w:val="00A742BB"/>
    <w:rsid w:val="00A745C3"/>
    <w:rsid w:val="00A76038"/>
    <w:rsid w:val="00A76720"/>
    <w:rsid w:val="00A770FC"/>
    <w:rsid w:val="00A772EF"/>
    <w:rsid w:val="00A809B0"/>
    <w:rsid w:val="00A80B98"/>
    <w:rsid w:val="00A80FA0"/>
    <w:rsid w:val="00A810CE"/>
    <w:rsid w:val="00A81517"/>
    <w:rsid w:val="00A82247"/>
    <w:rsid w:val="00A82B03"/>
    <w:rsid w:val="00A84E92"/>
    <w:rsid w:val="00A91079"/>
    <w:rsid w:val="00A92B53"/>
    <w:rsid w:val="00A9313D"/>
    <w:rsid w:val="00A949FE"/>
    <w:rsid w:val="00A94FA6"/>
    <w:rsid w:val="00A95460"/>
    <w:rsid w:val="00A9630D"/>
    <w:rsid w:val="00A979E7"/>
    <w:rsid w:val="00A97EF2"/>
    <w:rsid w:val="00AA12BE"/>
    <w:rsid w:val="00AA17B4"/>
    <w:rsid w:val="00AA4642"/>
    <w:rsid w:val="00AA49A0"/>
    <w:rsid w:val="00AA5C84"/>
    <w:rsid w:val="00AA6710"/>
    <w:rsid w:val="00AA710A"/>
    <w:rsid w:val="00AB03AD"/>
    <w:rsid w:val="00AB0681"/>
    <w:rsid w:val="00AB1C67"/>
    <w:rsid w:val="00AB2A3F"/>
    <w:rsid w:val="00AB4370"/>
    <w:rsid w:val="00AB4BCA"/>
    <w:rsid w:val="00AB6880"/>
    <w:rsid w:val="00AC28C4"/>
    <w:rsid w:val="00AC5C41"/>
    <w:rsid w:val="00AD1418"/>
    <w:rsid w:val="00AD19EB"/>
    <w:rsid w:val="00AD21D1"/>
    <w:rsid w:val="00AD3124"/>
    <w:rsid w:val="00AD34E5"/>
    <w:rsid w:val="00AD520B"/>
    <w:rsid w:val="00AD5E82"/>
    <w:rsid w:val="00AD7EE6"/>
    <w:rsid w:val="00AE4326"/>
    <w:rsid w:val="00AE656E"/>
    <w:rsid w:val="00AE68F7"/>
    <w:rsid w:val="00AE761C"/>
    <w:rsid w:val="00AF0E36"/>
    <w:rsid w:val="00AF1167"/>
    <w:rsid w:val="00AF1AA7"/>
    <w:rsid w:val="00AF674C"/>
    <w:rsid w:val="00B000F2"/>
    <w:rsid w:val="00B00EAD"/>
    <w:rsid w:val="00B040AC"/>
    <w:rsid w:val="00B05FF0"/>
    <w:rsid w:val="00B066EC"/>
    <w:rsid w:val="00B114E0"/>
    <w:rsid w:val="00B11B00"/>
    <w:rsid w:val="00B1264A"/>
    <w:rsid w:val="00B12F47"/>
    <w:rsid w:val="00B138C3"/>
    <w:rsid w:val="00B14B8A"/>
    <w:rsid w:val="00B158A7"/>
    <w:rsid w:val="00B17D03"/>
    <w:rsid w:val="00B21EEC"/>
    <w:rsid w:val="00B22B8F"/>
    <w:rsid w:val="00B2346F"/>
    <w:rsid w:val="00B24E8C"/>
    <w:rsid w:val="00B25193"/>
    <w:rsid w:val="00B255BE"/>
    <w:rsid w:val="00B30156"/>
    <w:rsid w:val="00B301EC"/>
    <w:rsid w:val="00B323AA"/>
    <w:rsid w:val="00B32BF3"/>
    <w:rsid w:val="00B33055"/>
    <w:rsid w:val="00B34FFA"/>
    <w:rsid w:val="00B34FFD"/>
    <w:rsid w:val="00B35516"/>
    <w:rsid w:val="00B3590E"/>
    <w:rsid w:val="00B3638A"/>
    <w:rsid w:val="00B365F8"/>
    <w:rsid w:val="00B373ED"/>
    <w:rsid w:val="00B37B92"/>
    <w:rsid w:val="00B440AD"/>
    <w:rsid w:val="00B448DE"/>
    <w:rsid w:val="00B44FAA"/>
    <w:rsid w:val="00B47952"/>
    <w:rsid w:val="00B47C16"/>
    <w:rsid w:val="00B50E7B"/>
    <w:rsid w:val="00B51839"/>
    <w:rsid w:val="00B52422"/>
    <w:rsid w:val="00B52A1C"/>
    <w:rsid w:val="00B53E7E"/>
    <w:rsid w:val="00B550F4"/>
    <w:rsid w:val="00B626CE"/>
    <w:rsid w:val="00B6342E"/>
    <w:rsid w:val="00B63FAF"/>
    <w:rsid w:val="00B64D3E"/>
    <w:rsid w:val="00B66883"/>
    <w:rsid w:val="00B679FA"/>
    <w:rsid w:val="00B7113F"/>
    <w:rsid w:val="00B7149C"/>
    <w:rsid w:val="00B727DD"/>
    <w:rsid w:val="00B74596"/>
    <w:rsid w:val="00B770D0"/>
    <w:rsid w:val="00B77374"/>
    <w:rsid w:val="00B77518"/>
    <w:rsid w:val="00B779C0"/>
    <w:rsid w:val="00B80B46"/>
    <w:rsid w:val="00B81719"/>
    <w:rsid w:val="00B818FE"/>
    <w:rsid w:val="00B82F90"/>
    <w:rsid w:val="00B832D2"/>
    <w:rsid w:val="00B84C6B"/>
    <w:rsid w:val="00B86626"/>
    <w:rsid w:val="00B90C29"/>
    <w:rsid w:val="00B92D73"/>
    <w:rsid w:val="00B93C6B"/>
    <w:rsid w:val="00B96B14"/>
    <w:rsid w:val="00B97644"/>
    <w:rsid w:val="00BA1CD6"/>
    <w:rsid w:val="00BA6CD4"/>
    <w:rsid w:val="00BA73B6"/>
    <w:rsid w:val="00BA7E27"/>
    <w:rsid w:val="00BB2603"/>
    <w:rsid w:val="00BB2C4B"/>
    <w:rsid w:val="00BB3602"/>
    <w:rsid w:val="00BB41CE"/>
    <w:rsid w:val="00BB4FCD"/>
    <w:rsid w:val="00BB6FB5"/>
    <w:rsid w:val="00BC206E"/>
    <w:rsid w:val="00BC267B"/>
    <w:rsid w:val="00BC4608"/>
    <w:rsid w:val="00BC50B8"/>
    <w:rsid w:val="00BC5FB5"/>
    <w:rsid w:val="00BC7003"/>
    <w:rsid w:val="00BC73C0"/>
    <w:rsid w:val="00BD0431"/>
    <w:rsid w:val="00BD07D4"/>
    <w:rsid w:val="00BD0B95"/>
    <w:rsid w:val="00BD13EA"/>
    <w:rsid w:val="00BD246E"/>
    <w:rsid w:val="00BD2EF3"/>
    <w:rsid w:val="00BD5318"/>
    <w:rsid w:val="00BD69B3"/>
    <w:rsid w:val="00BD79CF"/>
    <w:rsid w:val="00BD7D58"/>
    <w:rsid w:val="00BE009D"/>
    <w:rsid w:val="00BE06E7"/>
    <w:rsid w:val="00BE245D"/>
    <w:rsid w:val="00BE3808"/>
    <w:rsid w:val="00BE3F13"/>
    <w:rsid w:val="00BE49C0"/>
    <w:rsid w:val="00BE5677"/>
    <w:rsid w:val="00BE7274"/>
    <w:rsid w:val="00BF14D0"/>
    <w:rsid w:val="00BF3AD5"/>
    <w:rsid w:val="00BF54CD"/>
    <w:rsid w:val="00BF5C95"/>
    <w:rsid w:val="00BF67B9"/>
    <w:rsid w:val="00BF742A"/>
    <w:rsid w:val="00C012AB"/>
    <w:rsid w:val="00C034B3"/>
    <w:rsid w:val="00C050B1"/>
    <w:rsid w:val="00C052A6"/>
    <w:rsid w:val="00C05A47"/>
    <w:rsid w:val="00C062E9"/>
    <w:rsid w:val="00C07B64"/>
    <w:rsid w:val="00C11F59"/>
    <w:rsid w:val="00C13721"/>
    <w:rsid w:val="00C14366"/>
    <w:rsid w:val="00C16454"/>
    <w:rsid w:val="00C169E7"/>
    <w:rsid w:val="00C17611"/>
    <w:rsid w:val="00C22EE8"/>
    <w:rsid w:val="00C23833"/>
    <w:rsid w:val="00C2386B"/>
    <w:rsid w:val="00C252AB"/>
    <w:rsid w:val="00C2729D"/>
    <w:rsid w:val="00C277D3"/>
    <w:rsid w:val="00C3066D"/>
    <w:rsid w:val="00C3233B"/>
    <w:rsid w:val="00C32E23"/>
    <w:rsid w:val="00C34AE2"/>
    <w:rsid w:val="00C359A7"/>
    <w:rsid w:val="00C40CD7"/>
    <w:rsid w:val="00C41B71"/>
    <w:rsid w:val="00C41ED1"/>
    <w:rsid w:val="00C424FF"/>
    <w:rsid w:val="00C426F6"/>
    <w:rsid w:val="00C42FAF"/>
    <w:rsid w:val="00C44472"/>
    <w:rsid w:val="00C45206"/>
    <w:rsid w:val="00C45864"/>
    <w:rsid w:val="00C45A7E"/>
    <w:rsid w:val="00C51100"/>
    <w:rsid w:val="00C522F0"/>
    <w:rsid w:val="00C543F4"/>
    <w:rsid w:val="00C55DE7"/>
    <w:rsid w:val="00C60AD6"/>
    <w:rsid w:val="00C6291C"/>
    <w:rsid w:val="00C633CB"/>
    <w:rsid w:val="00C6612A"/>
    <w:rsid w:val="00C67085"/>
    <w:rsid w:val="00C67781"/>
    <w:rsid w:val="00C67B1D"/>
    <w:rsid w:val="00C71D42"/>
    <w:rsid w:val="00C76691"/>
    <w:rsid w:val="00C76D90"/>
    <w:rsid w:val="00C8006A"/>
    <w:rsid w:val="00C80BD6"/>
    <w:rsid w:val="00C81BE6"/>
    <w:rsid w:val="00C81D4A"/>
    <w:rsid w:val="00C82247"/>
    <w:rsid w:val="00C850D6"/>
    <w:rsid w:val="00C8637E"/>
    <w:rsid w:val="00C866C3"/>
    <w:rsid w:val="00C8762C"/>
    <w:rsid w:val="00C87FC6"/>
    <w:rsid w:val="00C91841"/>
    <w:rsid w:val="00C92714"/>
    <w:rsid w:val="00C938B5"/>
    <w:rsid w:val="00C94084"/>
    <w:rsid w:val="00C9421B"/>
    <w:rsid w:val="00C946D5"/>
    <w:rsid w:val="00C94EF3"/>
    <w:rsid w:val="00C9592F"/>
    <w:rsid w:val="00CA00F9"/>
    <w:rsid w:val="00CA0438"/>
    <w:rsid w:val="00CA097E"/>
    <w:rsid w:val="00CA1228"/>
    <w:rsid w:val="00CA1EAF"/>
    <w:rsid w:val="00CA2961"/>
    <w:rsid w:val="00CA3315"/>
    <w:rsid w:val="00CA3355"/>
    <w:rsid w:val="00CA366B"/>
    <w:rsid w:val="00CA4F7C"/>
    <w:rsid w:val="00CA537B"/>
    <w:rsid w:val="00CA7852"/>
    <w:rsid w:val="00CA7E61"/>
    <w:rsid w:val="00CB118D"/>
    <w:rsid w:val="00CB15C6"/>
    <w:rsid w:val="00CB2167"/>
    <w:rsid w:val="00CB388E"/>
    <w:rsid w:val="00CB4AE5"/>
    <w:rsid w:val="00CB50D7"/>
    <w:rsid w:val="00CB51A2"/>
    <w:rsid w:val="00CB7177"/>
    <w:rsid w:val="00CB745C"/>
    <w:rsid w:val="00CB78E9"/>
    <w:rsid w:val="00CC165E"/>
    <w:rsid w:val="00CC1998"/>
    <w:rsid w:val="00CC23EF"/>
    <w:rsid w:val="00CC4946"/>
    <w:rsid w:val="00CC7C12"/>
    <w:rsid w:val="00CD455A"/>
    <w:rsid w:val="00CD5920"/>
    <w:rsid w:val="00CD626B"/>
    <w:rsid w:val="00CD6716"/>
    <w:rsid w:val="00CD68F1"/>
    <w:rsid w:val="00CE0E26"/>
    <w:rsid w:val="00CE49E4"/>
    <w:rsid w:val="00CE576A"/>
    <w:rsid w:val="00CF1879"/>
    <w:rsid w:val="00CF27DC"/>
    <w:rsid w:val="00CF2CBF"/>
    <w:rsid w:val="00CF5070"/>
    <w:rsid w:val="00CF5EE3"/>
    <w:rsid w:val="00CF6DD7"/>
    <w:rsid w:val="00CF738E"/>
    <w:rsid w:val="00D004B9"/>
    <w:rsid w:val="00D0244D"/>
    <w:rsid w:val="00D0278E"/>
    <w:rsid w:val="00D03608"/>
    <w:rsid w:val="00D039DD"/>
    <w:rsid w:val="00D04356"/>
    <w:rsid w:val="00D04F29"/>
    <w:rsid w:val="00D061CB"/>
    <w:rsid w:val="00D10032"/>
    <w:rsid w:val="00D108E4"/>
    <w:rsid w:val="00D10D48"/>
    <w:rsid w:val="00D12A1B"/>
    <w:rsid w:val="00D15419"/>
    <w:rsid w:val="00D1585F"/>
    <w:rsid w:val="00D166E2"/>
    <w:rsid w:val="00D20354"/>
    <w:rsid w:val="00D20479"/>
    <w:rsid w:val="00D24CB2"/>
    <w:rsid w:val="00D26A18"/>
    <w:rsid w:val="00D270A4"/>
    <w:rsid w:val="00D3056E"/>
    <w:rsid w:val="00D30F2C"/>
    <w:rsid w:val="00D31FE9"/>
    <w:rsid w:val="00D32465"/>
    <w:rsid w:val="00D32D15"/>
    <w:rsid w:val="00D32D85"/>
    <w:rsid w:val="00D34469"/>
    <w:rsid w:val="00D34E1B"/>
    <w:rsid w:val="00D3627C"/>
    <w:rsid w:val="00D376BA"/>
    <w:rsid w:val="00D37CDF"/>
    <w:rsid w:val="00D42B55"/>
    <w:rsid w:val="00D43A4B"/>
    <w:rsid w:val="00D4420E"/>
    <w:rsid w:val="00D4680F"/>
    <w:rsid w:val="00D473AA"/>
    <w:rsid w:val="00D5214E"/>
    <w:rsid w:val="00D52384"/>
    <w:rsid w:val="00D53AB4"/>
    <w:rsid w:val="00D553EE"/>
    <w:rsid w:val="00D5568A"/>
    <w:rsid w:val="00D567C2"/>
    <w:rsid w:val="00D5704C"/>
    <w:rsid w:val="00D57828"/>
    <w:rsid w:val="00D5795C"/>
    <w:rsid w:val="00D61A3E"/>
    <w:rsid w:val="00D62ABE"/>
    <w:rsid w:val="00D63442"/>
    <w:rsid w:val="00D63D73"/>
    <w:rsid w:val="00D63E44"/>
    <w:rsid w:val="00D64452"/>
    <w:rsid w:val="00D6487F"/>
    <w:rsid w:val="00D648CB"/>
    <w:rsid w:val="00D64D80"/>
    <w:rsid w:val="00D66E1E"/>
    <w:rsid w:val="00D67341"/>
    <w:rsid w:val="00D71153"/>
    <w:rsid w:val="00D732C0"/>
    <w:rsid w:val="00D75722"/>
    <w:rsid w:val="00D769F8"/>
    <w:rsid w:val="00D80774"/>
    <w:rsid w:val="00D8093A"/>
    <w:rsid w:val="00D80CF5"/>
    <w:rsid w:val="00D838E5"/>
    <w:rsid w:val="00D8568B"/>
    <w:rsid w:val="00D86122"/>
    <w:rsid w:val="00D904CC"/>
    <w:rsid w:val="00D90C91"/>
    <w:rsid w:val="00D91033"/>
    <w:rsid w:val="00D93F56"/>
    <w:rsid w:val="00D94E79"/>
    <w:rsid w:val="00D9636E"/>
    <w:rsid w:val="00D96DF5"/>
    <w:rsid w:val="00D97F9F"/>
    <w:rsid w:val="00DA16B4"/>
    <w:rsid w:val="00DA1C0C"/>
    <w:rsid w:val="00DA2476"/>
    <w:rsid w:val="00DA2851"/>
    <w:rsid w:val="00DA2E4B"/>
    <w:rsid w:val="00DA5BBA"/>
    <w:rsid w:val="00DA7F59"/>
    <w:rsid w:val="00DB053C"/>
    <w:rsid w:val="00DB07A3"/>
    <w:rsid w:val="00DB0DF0"/>
    <w:rsid w:val="00DB2338"/>
    <w:rsid w:val="00DB3155"/>
    <w:rsid w:val="00DB551D"/>
    <w:rsid w:val="00DB636A"/>
    <w:rsid w:val="00DB67C9"/>
    <w:rsid w:val="00DB7411"/>
    <w:rsid w:val="00DB7D80"/>
    <w:rsid w:val="00DC0C95"/>
    <w:rsid w:val="00DC144F"/>
    <w:rsid w:val="00DC22A2"/>
    <w:rsid w:val="00DC4C64"/>
    <w:rsid w:val="00DC76A9"/>
    <w:rsid w:val="00DD0001"/>
    <w:rsid w:val="00DD03EE"/>
    <w:rsid w:val="00DD0EDE"/>
    <w:rsid w:val="00DD1A91"/>
    <w:rsid w:val="00DD23A7"/>
    <w:rsid w:val="00DD4CA1"/>
    <w:rsid w:val="00DD57F7"/>
    <w:rsid w:val="00DD6580"/>
    <w:rsid w:val="00DE01C7"/>
    <w:rsid w:val="00DE059E"/>
    <w:rsid w:val="00DE20A5"/>
    <w:rsid w:val="00DE2D26"/>
    <w:rsid w:val="00DE36FC"/>
    <w:rsid w:val="00DE78AE"/>
    <w:rsid w:val="00DF0759"/>
    <w:rsid w:val="00DF07E2"/>
    <w:rsid w:val="00DF0E13"/>
    <w:rsid w:val="00DF1BC8"/>
    <w:rsid w:val="00DF28FA"/>
    <w:rsid w:val="00DF426A"/>
    <w:rsid w:val="00DF45E0"/>
    <w:rsid w:val="00DF57F2"/>
    <w:rsid w:val="00DF6FEA"/>
    <w:rsid w:val="00DF7BF2"/>
    <w:rsid w:val="00E03B81"/>
    <w:rsid w:val="00E03C0B"/>
    <w:rsid w:val="00E03DAC"/>
    <w:rsid w:val="00E04965"/>
    <w:rsid w:val="00E062A7"/>
    <w:rsid w:val="00E06509"/>
    <w:rsid w:val="00E076ED"/>
    <w:rsid w:val="00E07B67"/>
    <w:rsid w:val="00E10490"/>
    <w:rsid w:val="00E11B69"/>
    <w:rsid w:val="00E12D0F"/>
    <w:rsid w:val="00E1333E"/>
    <w:rsid w:val="00E1432B"/>
    <w:rsid w:val="00E16EAD"/>
    <w:rsid w:val="00E17072"/>
    <w:rsid w:val="00E17C72"/>
    <w:rsid w:val="00E17F2A"/>
    <w:rsid w:val="00E21FC6"/>
    <w:rsid w:val="00E2443E"/>
    <w:rsid w:val="00E2525F"/>
    <w:rsid w:val="00E26BAD"/>
    <w:rsid w:val="00E30997"/>
    <w:rsid w:val="00E30AB0"/>
    <w:rsid w:val="00E31EAD"/>
    <w:rsid w:val="00E32D24"/>
    <w:rsid w:val="00E32F49"/>
    <w:rsid w:val="00E337A6"/>
    <w:rsid w:val="00E33ACC"/>
    <w:rsid w:val="00E34524"/>
    <w:rsid w:val="00E34A4C"/>
    <w:rsid w:val="00E4011E"/>
    <w:rsid w:val="00E40B92"/>
    <w:rsid w:val="00E418C1"/>
    <w:rsid w:val="00E42C2E"/>
    <w:rsid w:val="00E431A9"/>
    <w:rsid w:val="00E439AF"/>
    <w:rsid w:val="00E45115"/>
    <w:rsid w:val="00E464D2"/>
    <w:rsid w:val="00E467F9"/>
    <w:rsid w:val="00E5031E"/>
    <w:rsid w:val="00E53424"/>
    <w:rsid w:val="00E548C9"/>
    <w:rsid w:val="00E57B6C"/>
    <w:rsid w:val="00E60310"/>
    <w:rsid w:val="00E616C9"/>
    <w:rsid w:val="00E64A2D"/>
    <w:rsid w:val="00E6500C"/>
    <w:rsid w:val="00E65272"/>
    <w:rsid w:val="00E66237"/>
    <w:rsid w:val="00E669E2"/>
    <w:rsid w:val="00E67D5A"/>
    <w:rsid w:val="00E711D1"/>
    <w:rsid w:val="00E74562"/>
    <w:rsid w:val="00E746CA"/>
    <w:rsid w:val="00E74A81"/>
    <w:rsid w:val="00E76135"/>
    <w:rsid w:val="00E76B5D"/>
    <w:rsid w:val="00E771E0"/>
    <w:rsid w:val="00E7743D"/>
    <w:rsid w:val="00E77E49"/>
    <w:rsid w:val="00E80AB1"/>
    <w:rsid w:val="00E81193"/>
    <w:rsid w:val="00E8153E"/>
    <w:rsid w:val="00E82C59"/>
    <w:rsid w:val="00E82F4F"/>
    <w:rsid w:val="00E84209"/>
    <w:rsid w:val="00E84C69"/>
    <w:rsid w:val="00E864DB"/>
    <w:rsid w:val="00E86B7B"/>
    <w:rsid w:val="00E876AA"/>
    <w:rsid w:val="00E87D0F"/>
    <w:rsid w:val="00E91AEE"/>
    <w:rsid w:val="00E92505"/>
    <w:rsid w:val="00E939AA"/>
    <w:rsid w:val="00E945D4"/>
    <w:rsid w:val="00E973DA"/>
    <w:rsid w:val="00EA1467"/>
    <w:rsid w:val="00EA2916"/>
    <w:rsid w:val="00EA2C07"/>
    <w:rsid w:val="00EA60BB"/>
    <w:rsid w:val="00EB166D"/>
    <w:rsid w:val="00EB17AA"/>
    <w:rsid w:val="00EB2039"/>
    <w:rsid w:val="00EB2CDD"/>
    <w:rsid w:val="00EB3446"/>
    <w:rsid w:val="00EB38EB"/>
    <w:rsid w:val="00EB46CD"/>
    <w:rsid w:val="00EB539A"/>
    <w:rsid w:val="00EB57A5"/>
    <w:rsid w:val="00EC1B1D"/>
    <w:rsid w:val="00EC2118"/>
    <w:rsid w:val="00EC2844"/>
    <w:rsid w:val="00EC30C1"/>
    <w:rsid w:val="00EC31AE"/>
    <w:rsid w:val="00EC4098"/>
    <w:rsid w:val="00EC4D3E"/>
    <w:rsid w:val="00ED08D5"/>
    <w:rsid w:val="00ED0C7E"/>
    <w:rsid w:val="00ED0F62"/>
    <w:rsid w:val="00ED194A"/>
    <w:rsid w:val="00ED1C8F"/>
    <w:rsid w:val="00ED33A9"/>
    <w:rsid w:val="00ED3804"/>
    <w:rsid w:val="00ED7D5D"/>
    <w:rsid w:val="00EE0E2C"/>
    <w:rsid w:val="00EE1352"/>
    <w:rsid w:val="00EE1432"/>
    <w:rsid w:val="00EE1A51"/>
    <w:rsid w:val="00EE381B"/>
    <w:rsid w:val="00EE4C16"/>
    <w:rsid w:val="00EE5A49"/>
    <w:rsid w:val="00EE7294"/>
    <w:rsid w:val="00EF1554"/>
    <w:rsid w:val="00EF1D43"/>
    <w:rsid w:val="00EF2BFC"/>
    <w:rsid w:val="00EF2D96"/>
    <w:rsid w:val="00EF302C"/>
    <w:rsid w:val="00EF4311"/>
    <w:rsid w:val="00EF6AA1"/>
    <w:rsid w:val="00EF6C6C"/>
    <w:rsid w:val="00EF7C71"/>
    <w:rsid w:val="00F00289"/>
    <w:rsid w:val="00F005EB"/>
    <w:rsid w:val="00F03577"/>
    <w:rsid w:val="00F03B27"/>
    <w:rsid w:val="00F056FC"/>
    <w:rsid w:val="00F06DF7"/>
    <w:rsid w:val="00F10476"/>
    <w:rsid w:val="00F13285"/>
    <w:rsid w:val="00F135D8"/>
    <w:rsid w:val="00F154A6"/>
    <w:rsid w:val="00F16838"/>
    <w:rsid w:val="00F16C62"/>
    <w:rsid w:val="00F172F0"/>
    <w:rsid w:val="00F175B3"/>
    <w:rsid w:val="00F17E9E"/>
    <w:rsid w:val="00F2185F"/>
    <w:rsid w:val="00F2312E"/>
    <w:rsid w:val="00F238F0"/>
    <w:rsid w:val="00F26C09"/>
    <w:rsid w:val="00F26E00"/>
    <w:rsid w:val="00F31299"/>
    <w:rsid w:val="00F31E01"/>
    <w:rsid w:val="00F35280"/>
    <w:rsid w:val="00F3534A"/>
    <w:rsid w:val="00F40581"/>
    <w:rsid w:val="00F40597"/>
    <w:rsid w:val="00F412CF"/>
    <w:rsid w:val="00F41EB1"/>
    <w:rsid w:val="00F426D7"/>
    <w:rsid w:val="00F426DB"/>
    <w:rsid w:val="00F429C7"/>
    <w:rsid w:val="00F46871"/>
    <w:rsid w:val="00F47907"/>
    <w:rsid w:val="00F510B4"/>
    <w:rsid w:val="00F51CA1"/>
    <w:rsid w:val="00F54D66"/>
    <w:rsid w:val="00F579B2"/>
    <w:rsid w:val="00F60861"/>
    <w:rsid w:val="00F6171E"/>
    <w:rsid w:val="00F61CBD"/>
    <w:rsid w:val="00F6201B"/>
    <w:rsid w:val="00F620A2"/>
    <w:rsid w:val="00F6286C"/>
    <w:rsid w:val="00F62F69"/>
    <w:rsid w:val="00F632E4"/>
    <w:rsid w:val="00F66203"/>
    <w:rsid w:val="00F66365"/>
    <w:rsid w:val="00F664F8"/>
    <w:rsid w:val="00F70ABF"/>
    <w:rsid w:val="00F71BFA"/>
    <w:rsid w:val="00F72AD4"/>
    <w:rsid w:val="00F731CA"/>
    <w:rsid w:val="00F74D20"/>
    <w:rsid w:val="00F76777"/>
    <w:rsid w:val="00F76AB2"/>
    <w:rsid w:val="00F81451"/>
    <w:rsid w:val="00F83661"/>
    <w:rsid w:val="00F83867"/>
    <w:rsid w:val="00F847A0"/>
    <w:rsid w:val="00F85325"/>
    <w:rsid w:val="00F86F3C"/>
    <w:rsid w:val="00F90375"/>
    <w:rsid w:val="00F91EB6"/>
    <w:rsid w:val="00F939D7"/>
    <w:rsid w:val="00FA047C"/>
    <w:rsid w:val="00FA60CA"/>
    <w:rsid w:val="00FA7958"/>
    <w:rsid w:val="00FB1245"/>
    <w:rsid w:val="00FB3E6F"/>
    <w:rsid w:val="00FB4169"/>
    <w:rsid w:val="00FB469B"/>
    <w:rsid w:val="00FB6469"/>
    <w:rsid w:val="00FB65CB"/>
    <w:rsid w:val="00FB68BE"/>
    <w:rsid w:val="00FB6981"/>
    <w:rsid w:val="00FB6D3F"/>
    <w:rsid w:val="00FB731E"/>
    <w:rsid w:val="00FC145D"/>
    <w:rsid w:val="00FC1832"/>
    <w:rsid w:val="00FC27E6"/>
    <w:rsid w:val="00FC4131"/>
    <w:rsid w:val="00FC4858"/>
    <w:rsid w:val="00FC5747"/>
    <w:rsid w:val="00FC582E"/>
    <w:rsid w:val="00FC5EA6"/>
    <w:rsid w:val="00FC6D6E"/>
    <w:rsid w:val="00FD0065"/>
    <w:rsid w:val="00FD0BD7"/>
    <w:rsid w:val="00FD22B1"/>
    <w:rsid w:val="00FD39B0"/>
    <w:rsid w:val="00FD4C62"/>
    <w:rsid w:val="00FD50B5"/>
    <w:rsid w:val="00FD54AF"/>
    <w:rsid w:val="00FD66F0"/>
    <w:rsid w:val="00FE006D"/>
    <w:rsid w:val="00FE03B1"/>
    <w:rsid w:val="00FE276F"/>
    <w:rsid w:val="00FF1AB6"/>
    <w:rsid w:val="00FF59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90030"/>
    <w:rPr>
      <w:rFonts w:ascii="Calibri" w:eastAsiaTheme="minorHAnsi" w:hAnsi="Calibri" w:cs="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eastAsia="Times New Roman" w:hAnsi="Arial" w:cs="Times New Roman"/>
      <w:b/>
      <w:sz w:val="26"/>
      <w:szCs w:val="24"/>
      <w:lang w:eastAsia="en-AU"/>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rFonts w:ascii="Times New Roman" w:eastAsia="Times New Roman" w:hAnsi="Times New Roman" w:cs="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rFonts w:ascii="Times New Roman" w:eastAsia="Times New Roman" w:hAnsi="Times New Roman" w:cs="Times New Roman"/>
      <w:b/>
      <w:i/>
      <w:sz w:val="26"/>
      <w:szCs w:val="20"/>
      <w:lang w:eastAsia="en-AU"/>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eastAsia="Times New Roman" w:hAnsi="Times New Roman" w:cs="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eastAsia="Times New Roman"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basedOn w:val="DefaultParagraphFont"/>
    <w:link w:val="BodyText"/>
    <w:rsid w:val="00286BED"/>
    <w:rPr>
      <w:sz w:val="26"/>
    </w:rPr>
  </w:style>
  <w:style w:type="character" w:customStyle="1" w:styleId="Heading2Char">
    <w:name w:val="Heading 2 Char"/>
    <w:basedOn w:val="DefaultParagraphFont"/>
    <w:link w:val="Heading2"/>
    <w:rsid w:val="00286BED"/>
    <w:rPr>
      <w:rFonts w:ascii="Arial" w:hAnsi="Arial"/>
      <w:b/>
      <w:sz w:val="32"/>
    </w:rPr>
  </w:style>
  <w:style w:type="character" w:customStyle="1" w:styleId="Heading3Char">
    <w:name w:val="Heading 3 Char"/>
    <w:basedOn w:val="DefaultParagraphFont"/>
    <w:link w:val="Heading3"/>
    <w:rsid w:val="00286BED"/>
    <w:rPr>
      <w:rFonts w:ascii="Arial" w:hAnsi="Arial"/>
      <w:b/>
      <w:sz w:val="26"/>
    </w:rPr>
  </w:style>
  <w:style w:type="character" w:customStyle="1" w:styleId="ReferenceChar">
    <w:name w:val="Reference Char"/>
    <w:basedOn w:val="DefaultParagraphFont"/>
    <w:link w:val="Reference"/>
    <w:rsid w:val="005C5B12"/>
    <w:rPr>
      <w:sz w:val="26"/>
    </w:rPr>
  </w:style>
  <w:style w:type="character" w:customStyle="1" w:styleId="QuoteChar">
    <w:name w:val="Quote Char"/>
    <w:basedOn w:val="DefaultParagraphFont"/>
    <w:link w:val="Quote"/>
    <w:rsid w:val="00D004B9"/>
    <w:rPr>
      <w:sz w:val="24"/>
    </w:rPr>
  </w:style>
  <w:style w:type="character" w:styleId="Hyperlink">
    <w:name w:val="Hyperlink"/>
    <w:basedOn w:val="DefaultParagraphFont"/>
    <w:rsid w:val="00A04ABC"/>
    <w:rPr>
      <w:color w:val="0000FF" w:themeColor="hyperlink"/>
      <w:u w:val="single"/>
    </w:rPr>
  </w:style>
  <w:style w:type="paragraph" w:customStyle="1" w:styleId="BoxSpaceAbove">
    <w:name w:val="Box Space Above"/>
    <w:basedOn w:val="BodyText"/>
    <w:rsid w:val="00A245E2"/>
    <w:pPr>
      <w:keepNext/>
      <w:spacing w:before="360" w:line="80" w:lineRule="exact"/>
      <w:jc w:val="left"/>
    </w:pPr>
  </w:style>
  <w:style w:type="paragraph" w:customStyle="1" w:styleId="BoxSpaceBelow">
    <w:name w:val="Box Space Below"/>
    <w:basedOn w:val="Box"/>
    <w:rsid w:val="00A245E2"/>
    <w:pPr>
      <w:keepNext w:val="0"/>
      <w:spacing w:before="60" w:after="60" w:line="80" w:lineRule="exact"/>
    </w:pPr>
    <w:rPr>
      <w:sz w:val="14"/>
    </w:rPr>
  </w:style>
  <w:style w:type="character" w:customStyle="1" w:styleId="BoxListBulletChar">
    <w:name w:val="Box List Bullet Char"/>
    <w:link w:val="BoxListBullet"/>
    <w:locked/>
    <w:rsid w:val="00021322"/>
    <w:rPr>
      <w:rFonts w:ascii="Arial" w:hAnsi="Arial"/>
      <w:sz w:val="22"/>
    </w:rPr>
  </w:style>
  <w:style w:type="character" w:customStyle="1" w:styleId="CommentTextChar">
    <w:name w:val="Comment Text Char"/>
    <w:basedOn w:val="DefaultParagraphFont"/>
    <w:link w:val="CommentText"/>
    <w:semiHidden/>
    <w:rsid w:val="00D5795C"/>
    <w:rPr>
      <w:szCs w:val="24"/>
    </w:rPr>
  </w:style>
  <w:style w:type="paragraph" w:styleId="CommentSubject">
    <w:name w:val="annotation subject"/>
    <w:basedOn w:val="CommentText"/>
    <w:next w:val="CommentText"/>
    <w:link w:val="CommentSubjectChar"/>
    <w:rsid w:val="00222BED"/>
    <w:pPr>
      <w:spacing w:before="0" w:line="240" w:lineRule="auto"/>
      <w:ind w:left="0" w:firstLine="0"/>
    </w:pPr>
    <w:rPr>
      <w:rFonts w:ascii="Calibri" w:eastAsiaTheme="minorHAnsi" w:hAnsi="Calibri" w:cs="Calibri"/>
      <w:b/>
      <w:bCs/>
      <w:szCs w:val="20"/>
      <w:lang w:eastAsia="en-US"/>
    </w:rPr>
  </w:style>
  <w:style w:type="character" w:customStyle="1" w:styleId="CommentSubjectChar">
    <w:name w:val="Comment Subject Char"/>
    <w:basedOn w:val="CommentTextChar"/>
    <w:link w:val="CommentSubject"/>
    <w:rsid w:val="00222BED"/>
    <w:rPr>
      <w:rFonts w:ascii="Calibri" w:eastAsiaTheme="minorHAnsi" w:hAnsi="Calibri" w:cs="Calibri"/>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90030"/>
    <w:rPr>
      <w:rFonts w:ascii="Calibri" w:eastAsiaTheme="minorHAnsi" w:hAnsi="Calibri" w:cs="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eastAsia="Times New Roman" w:hAnsi="Arial" w:cs="Times New Roman"/>
      <w:b/>
      <w:sz w:val="26"/>
      <w:szCs w:val="24"/>
      <w:lang w:eastAsia="en-AU"/>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rFonts w:ascii="Times New Roman" w:eastAsia="Times New Roman" w:hAnsi="Times New Roman" w:cs="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rFonts w:ascii="Times New Roman" w:eastAsia="Times New Roman" w:hAnsi="Times New Roman" w:cs="Times New Roman"/>
      <w:b/>
      <w:i/>
      <w:sz w:val="26"/>
      <w:szCs w:val="20"/>
      <w:lang w:eastAsia="en-AU"/>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eastAsia="Times New Roman" w:hAnsi="Times New Roman" w:cs="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eastAsia="Times New Roman"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basedOn w:val="DefaultParagraphFont"/>
    <w:link w:val="BodyText"/>
    <w:rsid w:val="00286BED"/>
    <w:rPr>
      <w:sz w:val="26"/>
    </w:rPr>
  </w:style>
  <w:style w:type="character" w:customStyle="1" w:styleId="Heading2Char">
    <w:name w:val="Heading 2 Char"/>
    <w:basedOn w:val="DefaultParagraphFont"/>
    <w:link w:val="Heading2"/>
    <w:rsid w:val="00286BED"/>
    <w:rPr>
      <w:rFonts w:ascii="Arial" w:hAnsi="Arial"/>
      <w:b/>
      <w:sz w:val="32"/>
    </w:rPr>
  </w:style>
  <w:style w:type="character" w:customStyle="1" w:styleId="Heading3Char">
    <w:name w:val="Heading 3 Char"/>
    <w:basedOn w:val="DefaultParagraphFont"/>
    <w:link w:val="Heading3"/>
    <w:rsid w:val="00286BED"/>
    <w:rPr>
      <w:rFonts w:ascii="Arial" w:hAnsi="Arial"/>
      <w:b/>
      <w:sz w:val="26"/>
    </w:rPr>
  </w:style>
  <w:style w:type="character" w:customStyle="1" w:styleId="ReferenceChar">
    <w:name w:val="Reference Char"/>
    <w:basedOn w:val="DefaultParagraphFont"/>
    <w:link w:val="Reference"/>
    <w:rsid w:val="005C5B12"/>
    <w:rPr>
      <w:sz w:val="26"/>
    </w:rPr>
  </w:style>
  <w:style w:type="character" w:customStyle="1" w:styleId="QuoteChar">
    <w:name w:val="Quote Char"/>
    <w:basedOn w:val="DefaultParagraphFont"/>
    <w:link w:val="Quote"/>
    <w:rsid w:val="00D004B9"/>
    <w:rPr>
      <w:sz w:val="24"/>
    </w:rPr>
  </w:style>
  <w:style w:type="character" w:styleId="Hyperlink">
    <w:name w:val="Hyperlink"/>
    <w:basedOn w:val="DefaultParagraphFont"/>
    <w:rsid w:val="00A04ABC"/>
    <w:rPr>
      <w:color w:val="0000FF" w:themeColor="hyperlink"/>
      <w:u w:val="single"/>
    </w:rPr>
  </w:style>
  <w:style w:type="paragraph" w:customStyle="1" w:styleId="BoxSpaceAbove">
    <w:name w:val="Box Space Above"/>
    <w:basedOn w:val="BodyText"/>
    <w:rsid w:val="00A245E2"/>
    <w:pPr>
      <w:keepNext/>
      <w:spacing w:before="360" w:line="80" w:lineRule="exact"/>
      <w:jc w:val="left"/>
    </w:pPr>
  </w:style>
  <w:style w:type="paragraph" w:customStyle="1" w:styleId="BoxSpaceBelow">
    <w:name w:val="Box Space Below"/>
    <w:basedOn w:val="Box"/>
    <w:rsid w:val="00A245E2"/>
    <w:pPr>
      <w:keepNext w:val="0"/>
      <w:spacing w:before="60" w:after="60" w:line="80" w:lineRule="exact"/>
    </w:pPr>
    <w:rPr>
      <w:sz w:val="14"/>
    </w:rPr>
  </w:style>
  <w:style w:type="character" w:customStyle="1" w:styleId="BoxListBulletChar">
    <w:name w:val="Box List Bullet Char"/>
    <w:link w:val="BoxListBullet"/>
    <w:locked/>
    <w:rsid w:val="00021322"/>
    <w:rPr>
      <w:rFonts w:ascii="Arial" w:hAnsi="Arial"/>
      <w:sz w:val="22"/>
    </w:rPr>
  </w:style>
  <w:style w:type="character" w:customStyle="1" w:styleId="CommentTextChar">
    <w:name w:val="Comment Text Char"/>
    <w:basedOn w:val="DefaultParagraphFont"/>
    <w:link w:val="CommentText"/>
    <w:semiHidden/>
    <w:rsid w:val="00D5795C"/>
    <w:rPr>
      <w:szCs w:val="24"/>
    </w:rPr>
  </w:style>
  <w:style w:type="paragraph" w:styleId="CommentSubject">
    <w:name w:val="annotation subject"/>
    <w:basedOn w:val="CommentText"/>
    <w:next w:val="CommentText"/>
    <w:link w:val="CommentSubjectChar"/>
    <w:rsid w:val="00222BED"/>
    <w:pPr>
      <w:spacing w:before="0" w:line="240" w:lineRule="auto"/>
      <w:ind w:left="0" w:firstLine="0"/>
    </w:pPr>
    <w:rPr>
      <w:rFonts w:ascii="Calibri" w:eastAsiaTheme="minorHAnsi" w:hAnsi="Calibri" w:cs="Calibri"/>
      <w:b/>
      <w:bCs/>
      <w:szCs w:val="20"/>
      <w:lang w:eastAsia="en-US"/>
    </w:rPr>
  </w:style>
  <w:style w:type="character" w:customStyle="1" w:styleId="CommentSubjectChar">
    <w:name w:val="Comment Subject Char"/>
    <w:basedOn w:val="CommentTextChar"/>
    <w:link w:val="CommentSubject"/>
    <w:rsid w:val="00222BED"/>
    <w:rPr>
      <w:rFonts w:ascii="Calibri" w:eastAsiaTheme="minorHAnsi" w:hAnsi="Calibri" w:cs="Calibri"/>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396904">
      <w:bodyDiv w:val="1"/>
      <w:marLeft w:val="0"/>
      <w:marRight w:val="0"/>
      <w:marTop w:val="0"/>
      <w:marBottom w:val="0"/>
      <w:divBdr>
        <w:top w:val="none" w:sz="0" w:space="0" w:color="auto"/>
        <w:left w:val="none" w:sz="0" w:space="0" w:color="auto"/>
        <w:bottom w:val="none" w:sz="0" w:space="0" w:color="auto"/>
        <w:right w:val="none" w:sz="0" w:space="0" w:color="auto"/>
      </w:divBdr>
    </w:div>
    <w:div w:id="978993868">
      <w:bodyDiv w:val="1"/>
      <w:marLeft w:val="0"/>
      <w:marRight w:val="0"/>
      <w:marTop w:val="0"/>
      <w:marBottom w:val="0"/>
      <w:divBdr>
        <w:top w:val="none" w:sz="0" w:space="0" w:color="auto"/>
        <w:left w:val="none" w:sz="0" w:space="0" w:color="auto"/>
        <w:bottom w:val="none" w:sz="0" w:space="0" w:color="auto"/>
        <w:right w:val="none" w:sz="0" w:space="0" w:color="auto"/>
      </w:divBdr>
    </w:div>
    <w:div w:id="1349676020">
      <w:bodyDiv w:val="1"/>
      <w:marLeft w:val="0"/>
      <w:marRight w:val="0"/>
      <w:marTop w:val="0"/>
      <w:marBottom w:val="0"/>
      <w:divBdr>
        <w:top w:val="none" w:sz="0" w:space="0" w:color="auto"/>
        <w:left w:val="none" w:sz="0" w:space="0" w:color="auto"/>
        <w:bottom w:val="none" w:sz="0" w:space="0" w:color="auto"/>
        <w:right w:val="none" w:sz="0" w:space="0" w:color="auto"/>
      </w:divBdr>
      <w:divsChild>
        <w:div w:id="1680814622">
          <w:marLeft w:val="0"/>
          <w:marRight w:val="0"/>
          <w:marTop w:val="0"/>
          <w:marBottom w:val="0"/>
          <w:divBdr>
            <w:top w:val="none" w:sz="0" w:space="0" w:color="auto"/>
            <w:left w:val="none" w:sz="0" w:space="0" w:color="auto"/>
            <w:bottom w:val="none" w:sz="0" w:space="0" w:color="auto"/>
            <w:right w:val="none" w:sz="0" w:space="0" w:color="auto"/>
          </w:divBdr>
          <w:divsChild>
            <w:div w:id="879248501">
              <w:marLeft w:val="0"/>
              <w:marRight w:val="0"/>
              <w:marTop w:val="0"/>
              <w:marBottom w:val="0"/>
              <w:divBdr>
                <w:top w:val="none" w:sz="0" w:space="0" w:color="auto"/>
                <w:left w:val="none" w:sz="0" w:space="0" w:color="auto"/>
                <w:bottom w:val="none" w:sz="0" w:space="0" w:color="auto"/>
                <w:right w:val="none" w:sz="0" w:space="0" w:color="auto"/>
              </w:divBdr>
              <w:divsChild>
                <w:div w:id="812480298">
                  <w:marLeft w:val="0"/>
                  <w:marRight w:val="0"/>
                  <w:marTop w:val="0"/>
                  <w:marBottom w:val="0"/>
                  <w:divBdr>
                    <w:top w:val="none" w:sz="0" w:space="0" w:color="auto"/>
                    <w:left w:val="none" w:sz="0" w:space="0" w:color="auto"/>
                    <w:bottom w:val="none" w:sz="0" w:space="0" w:color="auto"/>
                    <w:right w:val="none" w:sz="0" w:space="0" w:color="auto"/>
                  </w:divBdr>
                  <w:divsChild>
                    <w:div w:id="1415398676">
                      <w:marLeft w:val="0"/>
                      <w:marRight w:val="0"/>
                      <w:marTop w:val="0"/>
                      <w:marBottom w:val="0"/>
                      <w:divBdr>
                        <w:top w:val="none" w:sz="0" w:space="0" w:color="auto"/>
                        <w:left w:val="none" w:sz="0" w:space="0" w:color="auto"/>
                        <w:bottom w:val="none" w:sz="0" w:space="0" w:color="auto"/>
                        <w:right w:val="none" w:sz="0" w:space="0" w:color="auto"/>
                      </w:divBdr>
                      <w:divsChild>
                        <w:div w:id="2032409968">
                          <w:marLeft w:val="0"/>
                          <w:marRight w:val="0"/>
                          <w:marTop w:val="0"/>
                          <w:marBottom w:val="0"/>
                          <w:divBdr>
                            <w:top w:val="none" w:sz="0" w:space="0" w:color="auto"/>
                            <w:left w:val="none" w:sz="0" w:space="0" w:color="auto"/>
                            <w:bottom w:val="none" w:sz="0" w:space="0" w:color="auto"/>
                            <w:right w:val="none" w:sz="0" w:space="0" w:color="auto"/>
                          </w:divBdr>
                          <w:divsChild>
                            <w:div w:id="41316392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468505">
      <w:bodyDiv w:val="1"/>
      <w:marLeft w:val="0"/>
      <w:marRight w:val="0"/>
      <w:marTop w:val="0"/>
      <w:marBottom w:val="0"/>
      <w:divBdr>
        <w:top w:val="none" w:sz="0" w:space="0" w:color="auto"/>
        <w:left w:val="none" w:sz="0" w:space="0" w:color="auto"/>
        <w:bottom w:val="none" w:sz="0" w:space="0" w:color="auto"/>
        <w:right w:val="none" w:sz="0" w:space="0" w:color="auto"/>
      </w:divBdr>
    </w:div>
    <w:div w:id="1858881783">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B0E82-8055-44F5-8A9B-7619C7EA216A}">
  <ds:schemaRefs>
    <ds:schemaRef ds:uri="http://schemas.openxmlformats.org/officeDocument/2006/bibliography"/>
  </ds:schemaRefs>
</ds:datastoreItem>
</file>

<file path=customXml/itemProps2.xml><?xml version="1.0" encoding="utf-8"?>
<ds:datastoreItem xmlns:ds="http://schemas.openxmlformats.org/officeDocument/2006/customXml" ds:itemID="{2695D6CF-7B54-4574-B360-67906E23801C}">
  <ds:schemaRefs>
    <ds:schemaRef ds:uri="http://schemas.openxmlformats.org/officeDocument/2006/bibliography"/>
  </ds:schemaRefs>
</ds:datastoreItem>
</file>

<file path=customXml/itemProps3.xml><?xml version="1.0" encoding="utf-8"?>
<ds:datastoreItem xmlns:ds="http://schemas.openxmlformats.org/officeDocument/2006/customXml" ds:itemID="{AAC10210-7BA7-44A4-A86E-E477E0AB6745}">
  <ds:schemaRefs>
    <ds:schemaRef ds:uri="http://schemas.openxmlformats.org/officeDocument/2006/bibliography"/>
  </ds:schemaRefs>
</ds:datastoreItem>
</file>

<file path=customXml/itemProps4.xml><?xml version="1.0" encoding="utf-8"?>
<ds:datastoreItem xmlns:ds="http://schemas.openxmlformats.org/officeDocument/2006/customXml" ds:itemID="{F596A0EB-D1D4-40D6-A837-B83746409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2508</Words>
  <Characters>14631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14</cp:revision>
  <cp:lastPrinted>2013-03-25T23:11:00Z</cp:lastPrinted>
  <dcterms:created xsi:type="dcterms:W3CDTF">2012-11-26T00:02:00Z</dcterms:created>
  <dcterms:modified xsi:type="dcterms:W3CDTF">2013-04-02T23:47:00Z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1977743029</vt:i4>
  </property>
  <property fmtid="{D5CDD505-2E9C-101B-9397-08002B2CF9AE}" pid="3" name="_NewReviewCycle">
    <vt:lpwstr/>
  </property>
  <property fmtid="{D5CDD505-2E9C-101B-9397-08002B2CF9AE}" pid="4" name="_EmailSubject">
    <vt:lpwstr>web files - patents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