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C1317" w:rsidP="00BC1317">
      <w:pPr>
        <w:pStyle w:val="Heading1"/>
        <w:spacing w:before="0"/>
      </w:pPr>
      <w:bookmarkStart w:id="0" w:name="ChapterNumber"/>
      <w:bookmarkStart w:id="1" w:name="_GoBack"/>
      <w:bookmarkEnd w:id="1"/>
      <w:r>
        <w:t>8</w:t>
      </w:r>
      <w:bookmarkEnd w:id="0"/>
      <w:r>
        <w:tab/>
      </w:r>
      <w:bookmarkStart w:id="2" w:name="ChapterTitle"/>
      <w:r>
        <w:t>Other forms of non-voluntary access in Australia</w:t>
      </w:r>
      <w:bookmarkEnd w:id="2"/>
    </w:p>
    <w:p w:rsidR="000D64B9" w:rsidRDefault="000D64B9">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D64B9">
        <w:tc>
          <w:tcPr>
            <w:tcW w:w="8771" w:type="dxa"/>
            <w:tcBorders>
              <w:top w:val="single" w:sz="6" w:space="0" w:color="auto"/>
              <w:bottom w:val="nil"/>
            </w:tcBorders>
          </w:tcPr>
          <w:p w:rsidR="000D64B9" w:rsidRDefault="000D64B9">
            <w:pPr>
              <w:pStyle w:val="BoxTitle"/>
            </w:pPr>
            <w:r>
              <w:t>Key points</w:t>
            </w:r>
          </w:p>
        </w:tc>
      </w:tr>
      <w:tr w:rsidR="000D64B9">
        <w:trPr>
          <w:cantSplit/>
        </w:trPr>
        <w:tc>
          <w:tcPr>
            <w:tcW w:w="8771" w:type="dxa"/>
            <w:tcBorders>
              <w:top w:val="nil"/>
              <w:left w:val="single" w:sz="6" w:space="0" w:color="auto"/>
              <w:bottom w:val="nil"/>
              <w:right w:val="single" w:sz="6" w:space="0" w:color="auto"/>
            </w:tcBorders>
          </w:tcPr>
          <w:p w:rsidR="00032C04" w:rsidRDefault="00341D11" w:rsidP="00341D11">
            <w:pPr>
              <w:pStyle w:val="BoxListBullet"/>
            </w:pPr>
            <w:r>
              <w:t xml:space="preserve">There are several mechanisms, other than compulsory licensing and Crown use, for accessing patents without the authorisation of the patent holder. </w:t>
            </w:r>
          </w:p>
          <w:p w:rsidR="00341D11" w:rsidRDefault="00AF6C55" w:rsidP="00032C04">
            <w:pPr>
              <w:pStyle w:val="BoxListBullet"/>
            </w:pPr>
            <w:r>
              <w:t>Legislative e</w:t>
            </w:r>
            <w:r w:rsidR="00485A92">
              <w:t>xemptions for experimental use and for the purpose of obtaining regulatory approval</w:t>
            </w:r>
            <w:r w:rsidR="00032C04">
              <w:t xml:space="preserve"> </w:t>
            </w:r>
            <w:r w:rsidR="006904CD">
              <w:t>have reduced uncertainty about accessing patented inventions</w:t>
            </w:r>
            <w:r>
              <w:t xml:space="preserve"> without the consent of the patentee</w:t>
            </w:r>
            <w:r w:rsidR="00341D11">
              <w:t xml:space="preserve">. </w:t>
            </w:r>
          </w:p>
          <w:p w:rsidR="000D64B9" w:rsidRDefault="00281012" w:rsidP="00AB3C64">
            <w:pPr>
              <w:pStyle w:val="BoxListBullet"/>
            </w:pPr>
            <w:r>
              <w:t xml:space="preserve">A foreshadowed exemption for the purposes of exporting pharmaceuticals to developing countries is expected to have limited implications for </w:t>
            </w:r>
            <w:r w:rsidR="00845D8D">
              <w:t>existing</w:t>
            </w:r>
            <w:r>
              <w:t xml:space="preserve"> compulsory licensing</w:t>
            </w:r>
            <w:r w:rsidR="00032C04">
              <w:t xml:space="preserve"> and Crown use provisions</w:t>
            </w:r>
            <w:r>
              <w:t xml:space="preserve">. </w:t>
            </w:r>
          </w:p>
        </w:tc>
      </w:tr>
      <w:tr w:rsidR="000D64B9">
        <w:trPr>
          <w:cantSplit/>
        </w:trPr>
        <w:tc>
          <w:tcPr>
            <w:tcW w:w="8771" w:type="dxa"/>
            <w:tcBorders>
              <w:top w:val="nil"/>
              <w:left w:val="single" w:sz="6" w:space="0" w:color="auto"/>
              <w:bottom w:val="single" w:sz="6" w:space="0" w:color="auto"/>
              <w:right w:val="single" w:sz="6" w:space="0" w:color="auto"/>
            </w:tcBorders>
          </w:tcPr>
          <w:p w:rsidR="000D64B9" w:rsidRDefault="000D64B9">
            <w:pPr>
              <w:pStyle w:val="Box"/>
              <w:spacing w:before="0" w:line="120" w:lineRule="exact"/>
            </w:pPr>
          </w:p>
        </w:tc>
      </w:tr>
      <w:tr w:rsidR="000D64B9" w:rsidRPr="00FE5435">
        <w:tc>
          <w:tcPr>
            <w:tcW w:w="8771" w:type="dxa"/>
            <w:tcBorders>
              <w:top w:val="nil"/>
              <w:left w:val="nil"/>
              <w:bottom w:val="nil"/>
              <w:right w:val="nil"/>
            </w:tcBorders>
          </w:tcPr>
          <w:p w:rsidR="000D64B9" w:rsidRPr="00FE5435" w:rsidRDefault="000D64B9" w:rsidP="000D64B9">
            <w:pPr>
              <w:pStyle w:val="Box"/>
              <w:keepNext w:val="0"/>
              <w:spacing w:before="60" w:after="60" w:line="80" w:lineRule="exact"/>
              <w:rPr>
                <w:rFonts w:ascii="Times New Roman" w:hAnsi="Times New Roman"/>
                <w:b/>
                <w:sz w:val="14"/>
              </w:rPr>
            </w:pPr>
          </w:p>
        </w:tc>
      </w:tr>
    </w:tbl>
    <w:p w:rsidR="00A741B0" w:rsidRDefault="00463DAC" w:rsidP="00A741B0">
      <w:pPr>
        <w:pStyle w:val="BodyText"/>
      </w:pPr>
      <w:r>
        <w:t xml:space="preserve">The </w:t>
      </w:r>
      <w:r w:rsidR="00812804" w:rsidRPr="00110432">
        <w:rPr>
          <w:i/>
        </w:rPr>
        <w:t>Patents Act 1990</w:t>
      </w:r>
      <w:r w:rsidR="00812804">
        <w:t xml:space="preserve"> (Cwlth) </w:t>
      </w:r>
      <w:r>
        <w:t xml:space="preserve">contains provisions allowing </w:t>
      </w:r>
      <w:r w:rsidR="00AE0FD1">
        <w:t xml:space="preserve">several forms of </w:t>
      </w:r>
      <w:r w:rsidR="005635C6">
        <w:t>non</w:t>
      </w:r>
      <w:r w:rsidR="005635C6">
        <w:noBreakHyphen/>
      </w:r>
      <w:r>
        <w:t>voluntary access to patents</w:t>
      </w:r>
      <w:r w:rsidR="00A741B0">
        <w:t xml:space="preserve">, </w:t>
      </w:r>
      <w:r w:rsidR="00963680">
        <w:t xml:space="preserve">in addition to </w:t>
      </w:r>
      <w:r w:rsidR="00CF2251">
        <w:t xml:space="preserve">compulsory licensing and </w:t>
      </w:r>
      <w:r w:rsidR="00963680">
        <w:t>C</w:t>
      </w:r>
      <w:r w:rsidR="00CF2251">
        <w:t>rown use and acquisition</w:t>
      </w:r>
      <w:r w:rsidR="00153AB7">
        <w:t xml:space="preserve"> (chapter 1)</w:t>
      </w:r>
      <w:r w:rsidR="00CF2251">
        <w:t xml:space="preserve">. This chapter examines the other provisions that are most relevant to this inquiry — </w:t>
      </w:r>
      <w:r w:rsidR="00A741B0">
        <w:t>exemption</w:t>
      </w:r>
      <w:r w:rsidR="00CF2251">
        <w:t>s</w:t>
      </w:r>
      <w:r w:rsidR="00A741B0">
        <w:t xml:space="preserve"> from infringement for research and experimental use, and for the purpose of obtaining regulatory approval</w:t>
      </w:r>
      <w:r w:rsidR="00F13178">
        <w:t>.</w:t>
      </w:r>
      <w:r w:rsidR="00A741B0">
        <w:t xml:space="preserve"> </w:t>
      </w:r>
      <w:r w:rsidR="0018245E">
        <w:t xml:space="preserve">A foreshadowed </w:t>
      </w:r>
      <w:r w:rsidR="00281012">
        <w:t>change to the Patents Act to provide an additional ground for issuing a compulsory licence —</w:t>
      </w:r>
      <w:r w:rsidR="0018245E">
        <w:t xml:space="preserve"> </w:t>
      </w:r>
      <w:r w:rsidR="00A741B0">
        <w:t>for the purpose of exporting pharmaceuticals to developing countries</w:t>
      </w:r>
      <w:r w:rsidR="00B95FFD">
        <w:t xml:space="preserve"> </w:t>
      </w:r>
      <w:r w:rsidR="00281012">
        <w:t xml:space="preserve">— </w:t>
      </w:r>
      <w:r w:rsidR="00B95FFD">
        <w:t xml:space="preserve">is also </w:t>
      </w:r>
      <w:r w:rsidR="00770723">
        <w:t>discussed</w:t>
      </w:r>
      <w:r w:rsidR="00A741B0">
        <w:t xml:space="preserve">. </w:t>
      </w:r>
    </w:p>
    <w:p w:rsidR="00900387" w:rsidRDefault="00D90F05" w:rsidP="007A36B4">
      <w:pPr>
        <w:pStyle w:val="Heading2"/>
      </w:pPr>
      <w:fldSimple w:instr=" COMMENTS  \* MERGEFORMAT ">
        <w:r w:rsidR="00BC1317">
          <w:t>8.</w:t>
        </w:r>
      </w:fldSimple>
      <w:fldSimple w:instr=" SEQ Heading2 ">
        <w:r w:rsidR="001F76DB">
          <w:rPr>
            <w:noProof/>
          </w:rPr>
          <w:t>1</w:t>
        </w:r>
      </w:fldSimple>
      <w:r w:rsidR="00424A9F">
        <w:tab/>
      </w:r>
      <w:r w:rsidR="00D8456E">
        <w:t>Experimental</w:t>
      </w:r>
      <w:r w:rsidR="00424A9F">
        <w:t xml:space="preserve"> exemption</w:t>
      </w:r>
    </w:p>
    <w:p w:rsidR="00A741B0" w:rsidRDefault="005C51D0" w:rsidP="00A741B0">
      <w:pPr>
        <w:pStyle w:val="BodyText"/>
      </w:pPr>
      <w:r>
        <w:t xml:space="preserve">The </w:t>
      </w:r>
      <w:r w:rsidR="00DF3334" w:rsidRPr="00E7042E">
        <w:rPr>
          <w:i/>
        </w:rPr>
        <w:t>Intellectual Property Laws Amendment (</w:t>
      </w:r>
      <w:r w:rsidRPr="00E7042E">
        <w:rPr>
          <w:i/>
        </w:rPr>
        <w:t>Raising the Bar</w:t>
      </w:r>
      <w:r w:rsidR="00DF3334" w:rsidRPr="00E7042E">
        <w:rPr>
          <w:i/>
        </w:rPr>
        <w:t>)</w:t>
      </w:r>
      <w:r w:rsidRPr="00E7042E">
        <w:rPr>
          <w:i/>
        </w:rPr>
        <w:t xml:space="preserve"> </w:t>
      </w:r>
      <w:r w:rsidR="00B95FFD" w:rsidRPr="00E7042E">
        <w:rPr>
          <w:i/>
        </w:rPr>
        <w:t>Act</w:t>
      </w:r>
      <w:r w:rsidR="00F13073" w:rsidRPr="00E7042E">
        <w:rPr>
          <w:i/>
        </w:rPr>
        <w:t xml:space="preserve"> </w:t>
      </w:r>
      <w:r w:rsidR="00DF3334" w:rsidRPr="00E7042E">
        <w:rPr>
          <w:i/>
        </w:rPr>
        <w:t>2012</w:t>
      </w:r>
      <w:r w:rsidR="00DF3334">
        <w:t xml:space="preserve"> </w:t>
      </w:r>
      <w:r w:rsidR="00770723">
        <w:t xml:space="preserve">(Cwlth) </w:t>
      </w:r>
      <w:r w:rsidR="00F13073">
        <w:t>amended the Patents Act</w:t>
      </w:r>
      <w:r w:rsidR="00153AB7">
        <w:t xml:space="preserve"> </w:t>
      </w:r>
      <w:r w:rsidR="00DF3334">
        <w:t xml:space="preserve">to </w:t>
      </w:r>
      <w:r w:rsidR="00F13073">
        <w:t>allow</w:t>
      </w:r>
      <w:r w:rsidR="00DF3334">
        <w:t xml:space="preserve"> the</w:t>
      </w:r>
      <w:r w:rsidR="00F13073">
        <w:t xml:space="preserve"> use of a patented invention for experimental purposes</w:t>
      </w:r>
      <w:r w:rsidR="00A741B0">
        <w:t xml:space="preserve"> </w:t>
      </w:r>
      <w:r w:rsidR="00B95FFD">
        <w:t xml:space="preserve">without the authorisation of the patent owner </w:t>
      </w:r>
      <w:r w:rsidR="00DF3334">
        <w:t>through the insertion of s.</w:t>
      </w:r>
      <w:r w:rsidR="0091630F">
        <w:t> </w:t>
      </w:r>
      <w:proofErr w:type="spellStart"/>
      <w:r w:rsidR="00DF3334">
        <w:t>119C</w:t>
      </w:r>
      <w:proofErr w:type="spellEnd"/>
      <w:r w:rsidR="00DF3334">
        <w:t xml:space="preserve"> </w:t>
      </w:r>
      <w:r w:rsidR="00A741B0">
        <w:t>(box</w:t>
      </w:r>
      <w:r w:rsidR="00DD3382">
        <w:t> </w:t>
      </w:r>
      <w:r w:rsidR="00A741B0">
        <w:fldChar w:fldCharType="begin"/>
      </w:r>
      <w:r w:rsidR="00A741B0">
        <w:instrText xml:space="preserve"> LINK </w:instrText>
      </w:r>
      <w:r w:rsidR="00BC1317">
        <w:instrText xml:space="preserve">Word.Document.12 "\\\\mel_1\\groups\\InquiryC\\Patents\\Work\\Josh\\Non-voluntary uses chapter\\Chapter 9 first draft alex feedback.docx" OLE_LINK1 </w:instrText>
      </w:r>
      <w:r w:rsidR="00A741B0">
        <w:instrText xml:space="preserve">\a \t </w:instrText>
      </w:r>
      <w:r w:rsidR="00A741B0">
        <w:fldChar w:fldCharType="separate"/>
      </w:r>
      <w:r w:rsidR="00BC1317">
        <w:t>8.1</w:t>
      </w:r>
      <w:r w:rsidR="00A741B0">
        <w:fldChar w:fldCharType="end"/>
      </w:r>
      <w:r w:rsidR="00A741B0">
        <w:t>)</w:t>
      </w:r>
      <w:r w:rsidR="00F13073">
        <w:t>.</w:t>
      </w:r>
    </w:p>
    <w:p w:rsidR="008E7DB3" w:rsidRDefault="00A741B0" w:rsidP="00A741B0">
      <w:pPr>
        <w:pStyle w:val="BodyText"/>
      </w:pPr>
      <w:r>
        <w:t>The exemption is intended to apply to research related to the subject of the patent</w:t>
      </w:r>
      <w:r w:rsidR="008E7DB3">
        <w:t>, including follow</w:t>
      </w:r>
      <w:r w:rsidR="008E7DB3">
        <w:noBreakHyphen/>
        <w:t>on research</w:t>
      </w:r>
      <w:r>
        <w:t xml:space="preserve">. </w:t>
      </w:r>
      <w:r w:rsidR="008E7DB3">
        <w:t>Follow-on research on the subject matter of a patent might be undertaken for a range of purposes. One such purpose is for comparison with a new invention, which might represent an alternative to the patented invention.</w:t>
      </w:r>
    </w:p>
    <w:p w:rsidR="00A741B0" w:rsidRDefault="00A741B0" w:rsidP="00A741B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741B0" w:rsidTr="00A741B0">
        <w:tc>
          <w:tcPr>
            <w:tcW w:w="8771" w:type="dxa"/>
            <w:tcBorders>
              <w:top w:val="single" w:sz="6" w:space="0" w:color="auto"/>
              <w:bottom w:val="nil"/>
            </w:tcBorders>
          </w:tcPr>
          <w:p w:rsidR="00A741B0" w:rsidRDefault="00A741B0" w:rsidP="00A741B0">
            <w:pPr>
              <w:pStyle w:val="BoxTitle"/>
            </w:pPr>
            <w:bookmarkStart w:id="4" w:name="OLE_LINK2"/>
            <w:r>
              <w:rPr>
                <w:b w:val="0"/>
              </w:rPr>
              <w:t xml:space="preserve">Box </w:t>
            </w:r>
            <w:bookmarkStart w:id="5" w:name="OLE_LINK1"/>
            <w:r>
              <w:rPr>
                <w:b w:val="0"/>
              </w:rPr>
              <w:fldChar w:fldCharType="begin"/>
            </w:r>
            <w:r>
              <w:rPr>
                <w:b w:val="0"/>
              </w:rPr>
              <w:instrText xml:space="preserve"> COMMENTS  \* MERGEFORMAT </w:instrText>
            </w:r>
            <w:r>
              <w:rPr>
                <w:b w:val="0"/>
              </w:rPr>
              <w:fldChar w:fldCharType="separate"/>
            </w:r>
            <w:r w:rsidR="00BC1317">
              <w:rPr>
                <w:b w:val="0"/>
              </w:rPr>
              <w:t>8.</w:t>
            </w:r>
            <w:r>
              <w:rPr>
                <w:b w:val="0"/>
              </w:rPr>
              <w:fldChar w:fldCharType="end"/>
            </w:r>
            <w:r>
              <w:rPr>
                <w:b w:val="0"/>
              </w:rPr>
              <w:fldChar w:fldCharType="begin"/>
            </w:r>
            <w:r>
              <w:rPr>
                <w:b w:val="0"/>
              </w:rPr>
              <w:instrText xml:space="preserve"> SEQ Box \* ARABIC </w:instrText>
            </w:r>
            <w:r>
              <w:rPr>
                <w:b w:val="0"/>
              </w:rPr>
              <w:fldChar w:fldCharType="separate"/>
            </w:r>
            <w:r w:rsidR="001F76DB">
              <w:rPr>
                <w:b w:val="0"/>
                <w:noProof/>
              </w:rPr>
              <w:t>1</w:t>
            </w:r>
            <w:r>
              <w:rPr>
                <w:b w:val="0"/>
              </w:rPr>
              <w:fldChar w:fldCharType="end"/>
            </w:r>
            <w:bookmarkEnd w:id="4"/>
            <w:bookmarkEnd w:id="5"/>
            <w:r>
              <w:tab/>
              <w:t>The experimental purposes exemption</w:t>
            </w:r>
          </w:p>
        </w:tc>
      </w:tr>
      <w:tr w:rsidR="00A741B0" w:rsidTr="00A741B0">
        <w:trPr>
          <w:cantSplit/>
        </w:trPr>
        <w:tc>
          <w:tcPr>
            <w:tcW w:w="8771" w:type="dxa"/>
            <w:tcBorders>
              <w:top w:val="nil"/>
              <w:left w:val="single" w:sz="6" w:space="0" w:color="auto"/>
              <w:bottom w:val="nil"/>
              <w:right w:val="single" w:sz="6" w:space="0" w:color="auto"/>
            </w:tcBorders>
          </w:tcPr>
          <w:p w:rsidR="00A741B0" w:rsidRDefault="00A741B0" w:rsidP="00A741B0">
            <w:pPr>
              <w:pStyle w:val="Box"/>
            </w:pPr>
            <w:r>
              <w:t xml:space="preserve">Section 119C </w:t>
            </w:r>
            <w:r w:rsidR="00324A77">
              <w:t xml:space="preserve">of the </w:t>
            </w:r>
            <w:r w:rsidR="00324A77" w:rsidRPr="00110432">
              <w:rPr>
                <w:i/>
              </w:rPr>
              <w:t>Patents Act 1990</w:t>
            </w:r>
            <w:r w:rsidR="00324A77">
              <w:t xml:space="preserve"> (Cwlth) states that</w:t>
            </w:r>
            <w:r>
              <w:t>:</w:t>
            </w:r>
          </w:p>
          <w:p w:rsidR="00B95FFD" w:rsidRDefault="00B95FFD" w:rsidP="00040B17">
            <w:pPr>
              <w:pStyle w:val="Box"/>
              <w:numPr>
                <w:ilvl w:val="0"/>
                <w:numId w:val="17"/>
              </w:numPr>
              <w:ind w:left="403" w:hanging="403"/>
            </w:pPr>
            <w:r>
              <w:t>A person may, without infringing a patent for an invention, do an act that would infringe the patent apart from this subsection, if the act is done for experimental purposes relating to the subject matter of the invention.</w:t>
            </w:r>
          </w:p>
          <w:p w:rsidR="00B95FFD" w:rsidRDefault="00B95FFD" w:rsidP="00746E04">
            <w:pPr>
              <w:pStyle w:val="Box"/>
              <w:numPr>
                <w:ilvl w:val="0"/>
                <w:numId w:val="17"/>
              </w:numPr>
              <w:ind w:left="403" w:hanging="403"/>
            </w:pPr>
            <w:r>
              <w:t>For the purposes of this section, experimental purposes relating to the subject matter of the invention include, but are not limited to, the following:</w:t>
            </w:r>
          </w:p>
          <w:p w:rsidR="00F21F07" w:rsidRDefault="00F21F07" w:rsidP="00F21F07">
            <w:pPr>
              <w:pStyle w:val="BoxListBullet"/>
              <w:numPr>
                <w:ilvl w:val="0"/>
                <w:numId w:val="18"/>
              </w:numPr>
            </w:pPr>
            <w:r>
              <w:t>determining the properties of the invention;</w:t>
            </w:r>
          </w:p>
          <w:p w:rsidR="00F21F07" w:rsidRDefault="00F21F07" w:rsidP="00F21F07">
            <w:pPr>
              <w:pStyle w:val="Box"/>
              <w:numPr>
                <w:ilvl w:val="0"/>
                <w:numId w:val="18"/>
              </w:numPr>
            </w:pPr>
            <w:r>
              <w:t>determining the scope of a claim relating to the invention;</w:t>
            </w:r>
          </w:p>
          <w:p w:rsidR="00F21F07" w:rsidRDefault="00F21F07" w:rsidP="00F21F07">
            <w:pPr>
              <w:pStyle w:val="Box"/>
              <w:numPr>
                <w:ilvl w:val="0"/>
                <w:numId w:val="18"/>
              </w:numPr>
            </w:pPr>
            <w:r>
              <w:t>improving or modifying the invention;</w:t>
            </w:r>
          </w:p>
          <w:p w:rsidR="00F21F07" w:rsidRDefault="00F21F07" w:rsidP="00F21F07">
            <w:pPr>
              <w:pStyle w:val="Box"/>
              <w:numPr>
                <w:ilvl w:val="0"/>
                <w:numId w:val="18"/>
              </w:numPr>
            </w:pPr>
            <w:r>
              <w:t>determining the validity of the patent or of a claim relating to the invention;</w:t>
            </w:r>
          </w:p>
          <w:p w:rsidR="00A741B0" w:rsidRDefault="00F21F07" w:rsidP="00F21F07">
            <w:pPr>
              <w:pStyle w:val="Box"/>
              <w:numPr>
                <w:ilvl w:val="0"/>
                <w:numId w:val="18"/>
              </w:numPr>
            </w:pPr>
            <w:r>
              <w:t>determining whether the patent for the invention would be, or has been, infringed by the doing of an act.</w:t>
            </w:r>
          </w:p>
        </w:tc>
      </w:tr>
      <w:tr w:rsidR="00A741B0" w:rsidTr="00A741B0">
        <w:trPr>
          <w:cantSplit/>
        </w:trPr>
        <w:tc>
          <w:tcPr>
            <w:tcW w:w="8771" w:type="dxa"/>
            <w:tcBorders>
              <w:top w:val="nil"/>
              <w:left w:val="single" w:sz="6" w:space="0" w:color="auto"/>
              <w:bottom w:val="single" w:sz="6" w:space="0" w:color="auto"/>
              <w:right w:val="single" w:sz="6" w:space="0" w:color="auto"/>
            </w:tcBorders>
          </w:tcPr>
          <w:p w:rsidR="00A741B0" w:rsidRDefault="00A741B0" w:rsidP="00A741B0">
            <w:pPr>
              <w:pStyle w:val="Box"/>
              <w:spacing w:before="0" w:line="120" w:lineRule="exact"/>
            </w:pPr>
          </w:p>
        </w:tc>
      </w:tr>
      <w:tr w:rsidR="00A741B0" w:rsidTr="00A741B0">
        <w:tc>
          <w:tcPr>
            <w:tcW w:w="8771" w:type="dxa"/>
            <w:tcBorders>
              <w:top w:val="nil"/>
              <w:left w:val="nil"/>
              <w:bottom w:val="nil"/>
              <w:right w:val="nil"/>
            </w:tcBorders>
          </w:tcPr>
          <w:p w:rsidR="00A741B0" w:rsidRDefault="00A741B0" w:rsidP="00A741B0">
            <w:pPr>
              <w:pStyle w:val="Box"/>
              <w:keepNext w:val="0"/>
              <w:spacing w:before="60" w:after="60" w:line="80" w:lineRule="exact"/>
              <w:rPr>
                <w:b/>
                <w:color w:val="FF00FF"/>
                <w:sz w:val="14"/>
              </w:rPr>
            </w:pPr>
          </w:p>
        </w:tc>
      </w:tr>
    </w:tbl>
    <w:p w:rsidR="00E513D5" w:rsidRDefault="00E513D5" w:rsidP="00E513D5">
      <w:pPr>
        <w:pStyle w:val="BodyText"/>
      </w:pPr>
      <w:r>
        <w:t>The exemption does not apply to research that uses, but is not related to, the subject of a patent. In other words, patented research tools are not intended to be covered by the exemption.</w:t>
      </w:r>
    </w:p>
    <w:p w:rsidR="00F13073" w:rsidRDefault="00F13073" w:rsidP="00F13073">
      <w:pPr>
        <w:pStyle w:val="Heading3"/>
      </w:pPr>
      <w:r>
        <w:t>Rationale</w:t>
      </w:r>
      <w:r w:rsidR="00324A77">
        <w:t xml:space="preserve"> and assessment</w:t>
      </w:r>
    </w:p>
    <w:p w:rsidR="00B142EA" w:rsidRDefault="00A741B0" w:rsidP="00B142EA">
      <w:pPr>
        <w:pStyle w:val="BodyText"/>
      </w:pPr>
      <w:r>
        <w:t xml:space="preserve">Prior to the ‘Raising the Bar’ </w:t>
      </w:r>
      <w:r w:rsidR="00324A77">
        <w:t>reforms</w:t>
      </w:r>
      <w:r>
        <w:t xml:space="preserve">, </w:t>
      </w:r>
      <w:r w:rsidR="00485A92">
        <w:t>s</w:t>
      </w:r>
      <w:r w:rsidR="00B142EA">
        <w:t xml:space="preserve">everal reviews of the patents system highlighted </w:t>
      </w:r>
      <w:r w:rsidR="00485A92">
        <w:t xml:space="preserve">how </w:t>
      </w:r>
      <w:r w:rsidR="00B142EA">
        <w:t>the absence of a research exemption</w:t>
      </w:r>
      <w:r w:rsidR="00485A92">
        <w:t xml:space="preserve"> created</w:t>
      </w:r>
      <w:r w:rsidR="00B142EA">
        <w:t xml:space="preserve"> uncerta</w:t>
      </w:r>
      <w:r w:rsidR="00DD3382">
        <w:t>inty around patent infringement</w:t>
      </w:r>
      <w:r w:rsidR="00485A92">
        <w:t xml:space="preserve"> and</w:t>
      </w:r>
      <w:r w:rsidR="00B142EA">
        <w:t xml:space="preserve"> inhibited research and innovation (ACIP 2005</w:t>
      </w:r>
      <w:r w:rsidR="00AB3C64">
        <w:t>b</w:t>
      </w:r>
      <w:r w:rsidR="00B142EA">
        <w:t>; ALRC</w:t>
      </w:r>
      <w:r w:rsidR="005F184B">
        <w:t> </w:t>
      </w:r>
      <w:r w:rsidR="00B142EA">
        <w:t xml:space="preserve">2004). </w:t>
      </w:r>
      <w:r w:rsidR="00AB3C64">
        <w:t>Australian Council for Intellectual Property</w:t>
      </w:r>
      <w:r w:rsidR="00B142EA">
        <w:t xml:space="preserve"> </w:t>
      </w:r>
      <w:r w:rsidR="00921234">
        <w:t xml:space="preserve">(ACIP) </w:t>
      </w:r>
      <w:r w:rsidR="00B142EA">
        <w:t>(2005</w:t>
      </w:r>
      <w:r w:rsidR="00921234">
        <w:t>b</w:t>
      </w:r>
      <w:r w:rsidR="00B142EA">
        <w:t xml:space="preserve">) noted that granting rights over experimental use to the patent holder creates a disincentive to other parties undertaking follow-on research. Research involving patented inventions might not have been undertaken, or might have been postponed until the patent is expired. It was also argued by some that research </w:t>
      </w:r>
      <w:r w:rsidR="00C4493F">
        <w:t xml:space="preserve">may have </w:t>
      </w:r>
      <w:r w:rsidR="00B142EA">
        <w:t>shifted to countries with clearer research exemptions (Australian Government 2011</w:t>
      </w:r>
      <w:r w:rsidR="00AB3C64">
        <w:t>b</w:t>
      </w:r>
      <w:r w:rsidR="00B142EA">
        <w:t>).</w:t>
      </w:r>
    </w:p>
    <w:p w:rsidR="00313221" w:rsidRDefault="00DD3382" w:rsidP="00A741B0">
      <w:pPr>
        <w:pStyle w:val="BodyText"/>
      </w:pPr>
      <w:r>
        <w:t>On the other hand, many researchers were not concerned about the lack of an explicit exemption</w:t>
      </w:r>
      <w:r w:rsidR="00485A92">
        <w:t>,</w:t>
      </w:r>
      <w:r>
        <w:t xml:space="preserve"> as they</w:t>
      </w:r>
      <w:r w:rsidR="00A94622">
        <w:t xml:space="preserve"> considered</w:t>
      </w:r>
      <w:r>
        <w:t xml:space="preserve"> that</w:t>
      </w:r>
      <w:r w:rsidR="00A94622">
        <w:t xml:space="preserve"> </w:t>
      </w:r>
      <w:r w:rsidR="00313221">
        <w:t xml:space="preserve">an implicit exemption for infringement </w:t>
      </w:r>
      <w:r>
        <w:t xml:space="preserve">already </w:t>
      </w:r>
      <w:r w:rsidR="00313221">
        <w:t>existed under Australian patent law.</w:t>
      </w:r>
      <w:r w:rsidR="003234E8">
        <w:t xml:space="preserve"> </w:t>
      </w:r>
      <w:r w:rsidR="00963680">
        <w:t>A</w:t>
      </w:r>
      <w:r w:rsidR="00313221">
        <w:t xml:space="preserve">dvice from the Australian Government Solicitor to </w:t>
      </w:r>
      <w:r w:rsidR="00AB3C64">
        <w:t>ACIP</w:t>
      </w:r>
      <w:r w:rsidR="00AB3C64" w:rsidRPr="00AB3C64">
        <w:t xml:space="preserve"> </w:t>
      </w:r>
      <w:r w:rsidR="00313221">
        <w:t>stated:</w:t>
      </w:r>
    </w:p>
    <w:p w:rsidR="00313221" w:rsidRDefault="00313221" w:rsidP="00313221">
      <w:pPr>
        <w:pStyle w:val="Quote"/>
      </w:pPr>
      <w:r>
        <w:t>We think it is likely that a court would find that, in some circumstances, use of a patented invention for experimental or research purposes would not constitute an infringement of a patent registered under the Act. (ACIP 2005</w:t>
      </w:r>
      <w:r w:rsidR="00921234">
        <w:t>b</w:t>
      </w:r>
      <w:r>
        <w:t>, p. 28)</w:t>
      </w:r>
    </w:p>
    <w:p w:rsidR="00A73184" w:rsidRDefault="00A94622" w:rsidP="00A741B0">
      <w:pPr>
        <w:pStyle w:val="BodyText"/>
      </w:pPr>
      <w:r>
        <w:lastRenderedPageBreak/>
        <w:t>T</w:t>
      </w:r>
      <w:r w:rsidR="00A73184">
        <w:t>he view of an implicit exemption for research was held by many in the medical research community (Nicol and Nielsen 2003). The Centre for Law and Genetics submitted that:</w:t>
      </w:r>
    </w:p>
    <w:p w:rsidR="00A73184" w:rsidRDefault="00A73184" w:rsidP="00F3229A">
      <w:pPr>
        <w:pStyle w:val="Quote"/>
      </w:pPr>
      <w:r>
        <w:t>... our research has demonstrated there has long been a ‘practice based’ research exemption, meaning that there is an unwritten rule that patentees do not enforce their patent rights agains</w:t>
      </w:r>
      <w:r w:rsidR="007F5E3F">
        <w:t>t research users. (sub. 3, p. 8</w:t>
      </w:r>
      <w:r>
        <w:t>)</w:t>
      </w:r>
    </w:p>
    <w:p w:rsidR="00E70545" w:rsidRPr="00415CD1" w:rsidRDefault="00E73933" w:rsidP="001E51B4">
      <w:pPr>
        <w:pStyle w:val="BodyText"/>
      </w:pPr>
      <w:r>
        <w:t xml:space="preserve">The Australian Government acknowledged that </w:t>
      </w:r>
      <w:r w:rsidR="001D0175">
        <w:t xml:space="preserve">there </w:t>
      </w:r>
      <w:r w:rsidR="00B77CA7">
        <w:t>was</w:t>
      </w:r>
      <w:r w:rsidR="001D0175">
        <w:t xml:space="preserve"> no strong empirical evidence that patents </w:t>
      </w:r>
      <w:r>
        <w:t xml:space="preserve">had </w:t>
      </w:r>
      <w:r w:rsidR="001D0175">
        <w:t>prev</w:t>
      </w:r>
      <w:r w:rsidR="00162B87">
        <w:t>ented</w:t>
      </w:r>
      <w:r w:rsidR="001D0175">
        <w:t xml:space="preserve"> downstream research in Australia.</w:t>
      </w:r>
      <w:r w:rsidR="00FB35AD">
        <w:t xml:space="preserve"> However, a lack of evidence </w:t>
      </w:r>
      <w:r w:rsidR="00FF2A07">
        <w:t>does</w:t>
      </w:r>
      <w:r w:rsidR="00FB35AD">
        <w:t xml:space="preserve"> not preclude the possibility that patents </w:t>
      </w:r>
      <w:r w:rsidR="00162B87">
        <w:t>were</w:t>
      </w:r>
      <w:r w:rsidR="00FB35AD">
        <w:t xml:space="preserve"> a barrier to follow-on research, or that they </w:t>
      </w:r>
      <w:r w:rsidR="00F70B07">
        <w:t>c</w:t>
      </w:r>
      <w:r w:rsidR="00162B87">
        <w:t xml:space="preserve">ould </w:t>
      </w:r>
      <w:r w:rsidR="00FB35AD">
        <w:t>be in future</w:t>
      </w:r>
      <w:r w:rsidR="00AB3C64">
        <w:t xml:space="preserve"> (Australian Government 2011b)</w:t>
      </w:r>
      <w:r w:rsidR="00FB35AD">
        <w:t xml:space="preserve">. </w:t>
      </w:r>
    </w:p>
    <w:p w:rsidR="00B775B4" w:rsidRDefault="00B775B4" w:rsidP="00F3229A">
      <w:pPr>
        <w:pStyle w:val="Heading4"/>
      </w:pPr>
      <w:r>
        <w:t>‘Raising the Bar’ experimental exemption</w:t>
      </w:r>
      <w:r w:rsidR="00193647">
        <w:t xml:space="preserve"> reform</w:t>
      </w:r>
    </w:p>
    <w:p w:rsidR="00BF6093" w:rsidRDefault="00003B69" w:rsidP="00295593">
      <w:pPr>
        <w:pStyle w:val="BodyText"/>
      </w:pPr>
      <w:r>
        <w:t xml:space="preserve">The </w:t>
      </w:r>
      <w:r w:rsidR="00D8456E">
        <w:t>experimental</w:t>
      </w:r>
      <w:r>
        <w:t xml:space="preserve"> exemption</w:t>
      </w:r>
      <w:r w:rsidR="00963680">
        <w:t xml:space="preserve">, introduced as part of the </w:t>
      </w:r>
      <w:r w:rsidR="000D3870">
        <w:t>‘</w:t>
      </w:r>
      <w:r w:rsidR="00963680">
        <w:t>Raising the Bar</w:t>
      </w:r>
      <w:r w:rsidR="000D3870">
        <w:t>’</w:t>
      </w:r>
      <w:r w:rsidR="00963680">
        <w:t xml:space="preserve"> reforms, </w:t>
      </w:r>
      <w:r>
        <w:t xml:space="preserve">aims to clarify the rights and obligations of researchers, and reduce uncertainty around patent infringement related to the use of patented inventions in research. </w:t>
      </w:r>
      <w:r w:rsidR="00754A4B">
        <w:t>A</w:t>
      </w:r>
      <w:r w:rsidR="005B7232">
        <w:t>ccording</w:t>
      </w:r>
      <w:r w:rsidR="00892BD7">
        <w:t xml:space="preserve"> to</w:t>
      </w:r>
      <w:r w:rsidR="005B7232">
        <w:t xml:space="preserve"> the </w:t>
      </w:r>
      <w:r w:rsidR="00754A4B">
        <w:t>explanatory memorandum</w:t>
      </w:r>
      <w:r w:rsidR="005B7232">
        <w:t>, t</w:t>
      </w:r>
      <w:r w:rsidR="002D3019">
        <w:t xml:space="preserve">he exemption </w:t>
      </w:r>
      <w:r w:rsidR="00A2599D">
        <w:t>only</w:t>
      </w:r>
      <w:r w:rsidR="00EA1389">
        <w:t xml:space="preserve"> </w:t>
      </w:r>
      <w:r w:rsidR="002D3019">
        <w:t xml:space="preserve">applies to </w:t>
      </w:r>
      <w:r w:rsidR="00A2599D">
        <w:t>experimental research, and does not cover research und</w:t>
      </w:r>
      <w:r w:rsidR="00B16DC2">
        <w:t>ertaken for commercial purposes.</w:t>
      </w:r>
      <w:r w:rsidR="00C14D37">
        <w:t xml:space="preserve"> Specifically, the ‘exemption should apply to tests, trials and procedures that a researcher or follow-on innovator undertakes as part of discovering new information or testing a principle or supposition</w:t>
      </w:r>
      <w:r w:rsidR="00832874">
        <w:t>’</w:t>
      </w:r>
      <w:r w:rsidR="00C14D37">
        <w:t xml:space="preserve"> (Australian Government </w:t>
      </w:r>
      <w:proofErr w:type="spellStart"/>
      <w:r w:rsidR="00C14D37">
        <w:t>2011b</w:t>
      </w:r>
      <w:proofErr w:type="spellEnd"/>
      <w:r w:rsidR="00C14D37">
        <w:t>, p.</w:t>
      </w:r>
      <w:r w:rsidR="004D6CE3">
        <w:t> </w:t>
      </w:r>
      <w:r w:rsidR="00C14D37">
        <w:t>71).</w:t>
      </w:r>
    </w:p>
    <w:p w:rsidR="00032C04" w:rsidRDefault="00B16DC2" w:rsidP="00295593">
      <w:pPr>
        <w:pStyle w:val="BodyText"/>
      </w:pPr>
      <w:r>
        <w:t>The intention of the reforms is ‘</w:t>
      </w:r>
      <w:r w:rsidR="000D3870">
        <w:t xml:space="preserve">… </w:t>
      </w:r>
      <w:r>
        <w:t>to give broad and clear protection to research and experimental activities in order to maximise the potential for research in Australia’ (Australian Government 2011</w:t>
      </w:r>
      <w:r w:rsidR="00AB3C64">
        <w:t>b</w:t>
      </w:r>
      <w:r>
        <w:t xml:space="preserve">, p. 9). </w:t>
      </w:r>
      <w:r w:rsidR="00C20F62">
        <w:t xml:space="preserve">To the extent that the experimental exemption increases the quantity and quality </w:t>
      </w:r>
      <w:r w:rsidR="00A2599D">
        <w:t>of research</w:t>
      </w:r>
      <w:r w:rsidR="00C20F62">
        <w:t>, there are flow</w:t>
      </w:r>
      <w:r w:rsidR="00C20F62">
        <w:noBreakHyphen/>
        <w:t xml:space="preserve">on social benefits. </w:t>
      </w:r>
      <w:r w:rsidR="00800428">
        <w:t>For instance, if the exemption increases the level of follow</w:t>
      </w:r>
      <w:r w:rsidR="00800428">
        <w:noBreakHyphen/>
        <w:t>on research, this may improve the quality of patents and increase the level of competition in the market.</w:t>
      </w:r>
    </w:p>
    <w:p w:rsidR="008449CF" w:rsidRDefault="008449CF" w:rsidP="008449CF">
      <w:pPr>
        <w:pStyle w:val="BodyText"/>
      </w:pPr>
      <w:r>
        <w:t xml:space="preserve">That said, </w:t>
      </w:r>
      <w:r w:rsidR="00063724">
        <w:t>several inquiry participants</w:t>
      </w:r>
      <w:r w:rsidRPr="008449CF">
        <w:t>, while generally supportive of the reforms overall</w:t>
      </w:r>
      <w:r>
        <w:t>,</w:t>
      </w:r>
      <w:r w:rsidR="00063724">
        <w:t xml:space="preserve"> </w:t>
      </w:r>
      <w:r w:rsidR="00D579D6">
        <w:t>noted</w:t>
      </w:r>
      <w:r>
        <w:t xml:space="preserve"> that it may be difficult to determine if the research exemption applies when there is overlap between experimental and commercial research. Thus, Civil Liberties A</w:t>
      </w:r>
      <w:r w:rsidR="00DC2E65">
        <w:t>ustralia expressed</w:t>
      </w:r>
      <w:r>
        <w:t xml:space="preserve"> concern</w:t>
      </w:r>
      <w:r w:rsidR="00DC2E65">
        <w:t>s</w:t>
      </w:r>
      <w:r>
        <w:t xml:space="preserve"> that the exemption may not cover all types of research undertaken at Australian universities and research institutes:</w:t>
      </w:r>
    </w:p>
    <w:p w:rsidR="008449CF" w:rsidRDefault="008449CF" w:rsidP="008449CF">
      <w:pPr>
        <w:pStyle w:val="Quote"/>
      </w:pPr>
      <w:r>
        <w:t>The new experimental use exemption represents an important safeguard against corporate efforts to stifle researcher freedom. However CLA is not convinced that ‘Raising the Bar’ eliminated all threats to academic speech ... the exemption may only cover ‘blue</w:t>
      </w:r>
      <w:r>
        <w:noBreakHyphen/>
        <w:t>sky’ or basic research. It might not cover applied research, especially where that research has a commercial goal. (sub. 12, p. 4)</w:t>
      </w:r>
    </w:p>
    <w:p w:rsidR="008449CF" w:rsidRDefault="002A361E" w:rsidP="008449CF">
      <w:pPr>
        <w:pStyle w:val="BodyText"/>
      </w:pPr>
      <w:r>
        <w:lastRenderedPageBreak/>
        <w:t xml:space="preserve">To illustrate its </w:t>
      </w:r>
      <w:r w:rsidR="00637E90">
        <w:t>reservations</w:t>
      </w:r>
      <w:r>
        <w:t xml:space="preserve">, </w:t>
      </w:r>
      <w:r w:rsidR="008449CF">
        <w:t>C</w:t>
      </w:r>
      <w:r w:rsidR="007F26C5">
        <w:t xml:space="preserve">ivil </w:t>
      </w:r>
      <w:r w:rsidR="008449CF">
        <w:t>L</w:t>
      </w:r>
      <w:r w:rsidR="007F26C5">
        <w:t xml:space="preserve">iberties </w:t>
      </w:r>
      <w:r w:rsidR="008449CF">
        <w:t>A</w:t>
      </w:r>
      <w:r w:rsidR="007F26C5">
        <w:t>ustralia</w:t>
      </w:r>
      <w:r w:rsidR="008449CF">
        <w:t xml:space="preserve"> (sub. 12) </w:t>
      </w:r>
      <w:r>
        <w:t xml:space="preserve">listed four scenarios involving </w:t>
      </w:r>
      <w:r w:rsidR="008449CF">
        <w:t>the use of gene patents</w:t>
      </w:r>
      <w:r>
        <w:t xml:space="preserve"> that it </w:t>
      </w:r>
      <w:r w:rsidR="00523EA7">
        <w:t>considered</w:t>
      </w:r>
      <w:r>
        <w:t xml:space="preserve"> may not be covered by the experimental exemption</w:t>
      </w:r>
      <w:r w:rsidR="00F813AD">
        <w:t>.</w:t>
      </w:r>
    </w:p>
    <w:p w:rsidR="008449CF" w:rsidRDefault="00F813AD" w:rsidP="008449CF">
      <w:pPr>
        <w:pStyle w:val="ListBullet"/>
      </w:pPr>
      <w:r>
        <w:t>A</w:t>
      </w:r>
      <w:r w:rsidR="008449CF">
        <w:t xml:space="preserve"> researcher uses a patented gene sequence to test a multi-gene screening test, with the goal of commercialisation</w:t>
      </w:r>
      <w:r>
        <w:t>.</w:t>
      </w:r>
    </w:p>
    <w:p w:rsidR="008449CF" w:rsidRDefault="00F813AD" w:rsidP="008449CF">
      <w:pPr>
        <w:pStyle w:val="ListBullet"/>
      </w:pPr>
      <w:r>
        <w:t>U</w:t>
      </w:r>
      <w:r w:rsidR="008449CF">
        <w:t>niversity-based researchers outsource gene profiling to universities with better facilities, as this may be considered a commercial service</w:t>
      </w:r>
      <w:r>
        <w:t>.</w:t>
      </w:r>
    </w:p>
    <w:p w:rsidR="002A361E" w:rsidRDefault="00F813AD" w:rsidP="008449CF">
      <w:pPr>
        <w:pStyle w:val="ListBullet"/>
      </w:pPr>
      <w:r>
        <w:t>A</w:t>
      </w:r>
      <w:r w:rsidR="008449CF">
        <w:t xml:space="preserve"> university uses patented gene sequences as part of a teaching program, which is not likely to be considered experimental use</w:t>
      </w:r>
      <w:r>
        <w:t>.</w:t>
      </w:r>
    </w:p>
    <w:p w:rsidR="008449CF" w:rsidRDefault="00F813AD" w:rsidP="007637E2">
      <w:pPr>
        <w:pStyle w:val="ListBullet"/>
      </w:pPr>
      <w:r>
        <w:t>A</w:t>
      </w:r>
      <w:r w:rsidR="00553842">
        <w:t xml:space="preserve"> person provides their DNA for a study exploring the link between particular genes and cancers. Under Australian guidelines for ethical research, they must be given the option of being told their test results, which could reveal a patented genetic mutation linked to cancer. It could then be argued that the study offered a screening service without compensating the patent holder. </w:t>
      </w:r>
    </w:p>
    <w:p w:rsidR="00C14D37" w:rsidRPr="00523EA7" w:rsidRDefault="00553842" w:rsidP="00523EA7">
      <w:pPr>
        <w:pStyle w:val="BodyText"/>
        <w:rPr>
          <w:rStyle w:val="DraftingNote"/>
        </w:rPr>
      </w:pPr>
      <w:r>
        <w:t>A</w:t>
      </w:r>
      <w:r w:rsidR="00285A6B">
        <w:t>ccording to the explanatory memorandum</w:t>
      </w:r>
      <w:r w:rsidR="007637E2">
        <w:t xml:space="preserve"> for the Raising the Bar reforms</w:t>
      </w:r>
      <w:r w:rsidR="00285A6B">
        <w:t xml:space="preserve">, the </w:t>
      </w:r>
      <w:r w:rsidR="00C14D37">
        <w:t xml:space="preserve">first two </w:t>
      </w:r>
      <w:r w:rsidR="007637E2">
        <w:t xml:space="preserve">scenarios </w:t>
      </w:r>
      <w:r w:rsidR="00C14D37">
        <w:t xml:space="preserve">are likely to be covered by the </w:t>
      </w:r>
      <w:r>
        <w:t xml:space="preserve">experimental </w:t>
      </w:r>
      <w:r w:rsidR="00C14D37">
        <w:t xml:space="preserve">exemption, provided the predominant purpose </w:t>
      </w:r>
      <w:r w:rsidR="00B87D8A">
        <w:t>is to gain</w:t>
      </w:r>
      <w:r w:rsidR="00C14D37">
        <w:t xml:space="preserve"> new knowledge or </w:t>
      </w:r>
      <w:r w:rsidR="00B87D8A">
        <w:t>test</w:t>
      </w:r>
      <w:r w:rsidR="00C14D37">
        <w:t xml:space="preserve"> the properties of the patented invention (Au</w:t>
      </w:r>
      <w:r w:rsidR="00B87D8A">
        <w:t>stralian Government 2011b</w:t>
      </w:r>
      <w:r w:rsidR="00C14D37">
        <w:t xml:space="preserve">). </w:t>
      </w:r>
      <w:r w:rsidR="00665025">
        <w:t>In t</w:t>
      </w:r>
      <w:r w:rsidR="00C14D37">
        <w:t xml:space="preserve">he </w:t>
      </w:r>
      <w:r w:rsidR="007637E2">
        <w:t>third</w:t>
      </w:r>
      <w:r w:rsidR="00C14D37">
        <w:t xml:space="preserve"> </w:t>
      </w:r>
      <w:r w:rsidR="00B87D8A">
        <w:t>scenario</w:t>
      </w:r>
      <w:r w:rsidR="00665025">
        <w:t>,</w:t>
      </w:r>
      <w:r w:rsidR="00665025" w:rsidRPr="00665025">
        <w:t xml:space="preserve"> </w:t>
      </w:r>
      <w:r w:rsidR="00665025">
        <w:t>it appears the invention is being used as a teaching tool rather than to gain new knowledge. As such, it</w:t>
      </w:r>
      <w:r w:rsidR="00C14D37">
        <w:t xml:space="preserve"> is unlikely to be exempted from infringement</w:t>
      </w:r>
      <w:r w:rsidR="00665025">
        <w:t xml:space="preserve">. </w:t>
      </w:r>
      <w:r w:rsidR="007637E2">
        <w:t xml:space="preserve">The fourth scenario is </w:t>
      </w:r>
      <w:r>
        <w:t xml:space="preserve">considered in chapter 9 when assessing the case for legislating a right to personal genetic information. </w:t>
      </w:r>
      <w:r w:rsidR="00523EA7">
        <w:t>T</w:t>
      </w:r>
      <w:r>
        <w:t>he Commission was not presented with any evidence of such a scenario having occurred</w:t>
      </w:r>
      <w:r w:rsidR="008F36FF">
        <w:t xml:space="preserve"> in Australia</w:t>
      </w:r>
      <w:r>
        <w:t>. Moreover, existing privacy laws may already give people the right to see their test results if it w</w:t>
      </w:r>
      <w:r w:rsidR="00DC2E65">
        <w:t>ere</w:t>
      </w:r>
      <w:r>
        <w:t xml:space="preserve"> to occur. </w:t>
      </w:r>
    </w:p>
    <w:p w:rsidR="00DE658A" w:rsidRDefault="00DE658A" w:rsidP="001841F2">
      <w:pPr>
        <w:pStyle w:val="BodyText"/>
      </w:pPr>
      <w:r>
        <w:t xml:space="preserve">The Generic Medicines Industry Association submitted that research on genetic therapies is not within the scope of the research exemption (sub. 34). </w:t>
      </w:r>
      <w:r w:rsidR="00BB3C70">
        <w:t xml:space="preserve">However, </w:t>
      </w:r>
      <w:r w:rsidR="00BF4544">
        <w:t xml:space="preserve">subsequent </w:t>
      </w:r>
      <w:r w:rsidR="007F26C5">
        <w:t>correspondence with the Generic Medicines Industry Association</w:t>
      </w:r>
      <w:r w:rsidR="00BB3C70">
        <w:t xml:space="preserve"> clarified that </w:t>
      </w:r>
      <w:r w:rsidR="00DC2E65">
        <w:t>its</w:t>
      </w:r>
      <w:r w:rsidR="00F636F2">
        <w:t xml:space="preserve"> </w:t>
      </w:r>
      <w:r w:rsidR="00BB3C70">
        <w:t xml:space="preserve">concern is that the exemption may not cover research that is undertaken with a view to possible commercialisation of resulting therapies. </w:t>
      </w:r>
    </w:p>
    <w:p w:rsidR="008449CF" w:rsidRDefault="008449CF" w:rsidP="008449CF">
      <w:pPr>
        <w:pStyle w:val="BodyText"/>
      </w:pPr>
      <w:r>
        <w:t>The Department of Health and Ageing</w:t>
      </w:r>
      <w:r w:rsidR="000D3870">
        <w:t xml:space="preserve"> </w:t>
      </w:r>
      <w:r w:rsidR="00B76DD4">
        <w:t xml:space="preserve">(DOHA) </w:t>
      </w:r>
      <w:r>
        <w:t>was similarly concerned that the exemption may not cover all types of medical research:</w:t>
      </w:r>
    </w:p>
    <w:p w:rsidR="008449CF" w:rsidRDefault="008449CF" w:rsidP="008449CF">
      <w:pPr>
        <w:pStyle w:val="Quote"/>
      </w:pPr>
      <w:r>
        <w:t>... the Department has reservations about the extent to which the research exemption will permit all research. While this will permit health related research to be conducted it does not address the problem of patent holders using monopoly rights to block access to an individual’s own health information, for example through screening and diagnostic testing involved in research. (sub. 22, p. 10)</w:t>
      </w:r>
    </w:p>
    <w:p w:rsidR="00BF6093" w:rsidRDefault="008449CF" w:rsidP="00295593">
      <w:pPr>
        <w:pStyle w:val="BodyText"/>
      </w:pPr>
      <w:r>
        <w:lastRenderedPageBreak/>
        <w:t xml:space="preserve">However, other </w:t>
      </w:r>
      <w:r w:rsidR="00032C04">
        <w:t xml:space="preserve">inquiry </w:t>
      </w:r>
      <w:r w:rsidR="00845D8D">
        <w:t xml:space="preserve">participants </w:t>
      </w:r>
      <w:r w:rsidR="00B76DD4">
        <w:t xml:space="preserve">(including DOHA) </w:t>
      </w:r>
      <w:r>
        <w:t xml:space="preserve">expressed </w:t>
      </w:r>
      <w:r w:rsidR="00560AB2">
        <w:t>support</w:t>
      </w:r>
      <w:r>
        <w:t xml:space="preserve"> for</w:t>
      </w:r>
      <w:r w:rsidR="00560AB2">
        <w:t xml:space="preserve"> </w:t>
      </w:r>
      <w:r w:rsidR="00032C04">
        <w:t xml:space="preserve">the research exemption introduced as part of the </w:t>
      </w:r>
      <w:r w:rsidR="00DE2F66">
        <w:t>‘</w:t>
      </w:r>
      <w:r w:rsidR="00032C04">
        <w:t>Raising the Bar</w:t>
      </w:r>
      <w:r w:rsidR="00DE2F66">
        <w:t>’</w:t>
      </w:r>
      <w:r w:rsidR="00032C04">
        <w:t xml:space="preserve"> reforms</w:t>
      </w:r>
      <w:r w:rsidR="00BF6093">
        <w:t>:</w:t>
      </w:r>
    </w:p>
    <w:p w:rsidR="00BF6093" w:rsidRDefault="00BF6093" w:rsidP="00F3229A">
      <w:pPr>
        <w:pStyle w:val="Quote"/>
      </w:pPr>
      <w:r>
        <w:t xml:space="preserve">The various changes </w:t>
      </w:r>
      <w:r w:rsidR="00AA3D8C">
        <w:t xml:space="preserve">encoded under </w:t>
      </w:r>
      <w:r w:rsidR="00AA3D8C">
        <w:rPr>
          <w:i/>
        </w:rPr>
        <w:t>Raising the Bar</w:t>
      </w:r>
      <w:r w:rsidR="00AA3D8C">
        <w:t xml:space="preserve"> will serve to increase the quality of patents that are granted and to allow others to freely conduct research on gene sequences set out in patents granted and published by IP Australia without infringing those patents. (</w:t>
      </w:r>
      <w:r w:rsidR="00DC2E65">
        <w:t>DOHA</w:t>
      </w:r>
      <w:r w:rsidR="00032C04">
        <w:t xml:space="preserve">, </w:t>
      </w:r>
      <w:r w:rsidR="00DE2F66">
        <w:t>sub. 2</w:t>
      </w:r>
      <w:r w:rsidR="00AA3D8C">
        <w:t>2, p. 10)</w:t>
      </w:r>
    </w:p>
    <w:p w:rsidR="00560AB2" w:rsidRDefault="00560AB2" w:rsidP="00560AB2">
      <w:pPr>
        <w:pStyle w:val="Quote"/>
      </w:pPr>
      <w:r>
        <w:t>The research exemptions in the recent ‘Raising the Bar’ reforms appear to be adequate for accessing patents for research purposes, and there has been no need to invoke a compulsory licence. (Association of Australian Medical Research Institutes, sub. 17, p. 3)</w:t>
      </w:r>
    </w:p>
    <w:p w:rsidR="00560AB2" w:rsidRDefault="00560AB2" w:rsidP="00560AB2">
      <w:pPr>
        <w:pStyle w:val="Quote"/>
      </w:pPr>
      <w:r>
        <w:t xml:space="preserve">Section 119C </w:t>
      </w:r>
      <w:r w:rsidR="00845D8D">
        <w:t xml:space="preserve">[of the Patents Act] </w:t>
      </w:r>
      <w:r>
        <w:t>was introduced to clarify the situation regarding experimental use of patented inventions. The section makes clear that such use is not infringement and must satisfy the concerns of researchers and others who had voiced concerns over whether patents were inhibiting the conduct of research in Australia. (Institute of Patent and Trade Mark Attorneys</w:t>
      </w:r>
      <w:r w:rsidR="00DC2E65">
        <w:t xml:space="preserve"> and </w:t>
      </w:r>
      <w:r w:rsidR="00DC2E65" w:rsidRPr="00DC2E65">
        <w:t>Australian Federation of Intellectual Property Attorneys</w:t>
      </w:r>
      <w:r>
        <w:t>, sub. 18, p. 7)</w:t>
      </w:r>
    </w:p>
    <w:p w:rsidR="00746414" w:rsidRPr="00746414" w:rsidRDefault="00DC2E65" w:rsidP="00746414">
      <w:pPr>
        <w:pStyle w:val="Quote"/>
      </w:pPr>
      <w:r>
        <w:t>... </w:t>
      </w:r>
      <w:r w:rsidR="00746414">
        <w:t>the introduction of free access to patented inv</w:t>
      </w:r>
      <w:r w:rsidR="00523F1D">
        <w:t>entions for research (known as ‘</w:t>
      </w:r>
      <w:r w:rsidR="00746414">
        <w:t>research exemption</w:t>
      </w:r>
      <w:r w:rsidR="00523F1D">
        <w:t>’</w:t>
      </w:r>
      <w:r w:rsidR="00746414">
        <w:t>) provides a level of certainty to health and medical research in Australia. (National Health and Medical Research Council, sub. 33, p. 3)</w:t>
      </w:r>
    </w:p>
    <w:p w:rsidR="00151404" w:rsidRDefault="00151404" w:rsidP="00151404">
      <w:pPr>
        <w:pStyle w:val="BodyText"/>
      </w:pPr>
      <w:r>
        <w:t>It</w:t>
      </w:r>
      <w:r w:rsidR="008E7DB3">
        <w:t xml:space="preserve"> has been suggested that it may fall on courts </w:t>
      </w:r>
      <w:r>
        <w:t>to clarify what types of resear</w:t>
      </w:r>
      <w:r w:rsidR="008E7DB3">
        <w:t>ch are covered by the exemption.</w:t>
      </w:r>
      <w:r w:rsidR="00637E90">
        <w:t xml:space="preserve"> In an article written for </w:t>
      </w:r>
      <w:r w:rsidR="008E7DB3">
        <w:t>Australian Life Scientist,</w:t>
      </w:r>
      <w:r w:rsidR="00637E90">
        <w:t xml:space="preserve"> Tim Dean, </w:t>
      </w:r>
      <w:r w:rsidR="008E7DB3">
        <w:t xml:space="preserve">paraphrasing patent attorney Joe </w:t>
      </w:r>
      <w:proofErr w:type="spellStart"/>
      <w:r w:rsidR="008E7DB3">
        <w:t>Seisdedo</w:t>
      </w:r>
      <w:r w:rsidR="000D3870">
        <w:t>s</w:t>
      </w:r>
      <w:proofErr w:type="spellEnd"/>
      <w:r w:rsidR="00637E90">
        <w:t>,</w:t>
      </w:r>
      <w:r w:rsidR="008E7DB3">
        <w:t xml:space="preserve"> stated:</w:t>
      </w:r>
    </w:p>
    <w:p w:rsidR="00151404" w:rsidRDefault="00151404" w:rsidP="00151404">
      <w:pPr>
        <w:pStyle w:val="Quote"/>
      </w:pPr>
      <w:r>
        <w:t>W</w:t>
      </w:r>
      <w:r w:rsidRPr="00295593">
        <w:t>hile the research exemption opens up more possibilities for genuine exploratory research involving patented subject matter, it will take some time before we know precisely where the lines are drawn, and it will likely take the courts to do just that</w:t>
      </w:r>
      <w:r w:rsidR="00AB3C64">
        <w:t xml:space="preserve"> … </w:t>
      </w:r>
      <w:r>
        <w:t xml:space="preserve"> (</w:t>
      </w:r>
      <w:r w:rsidR="000D3870">
        <w:t>Dean</w:t>
      </w:r>
      <w:r>
        <w:t xml:space="preserve"> 2012)</w:t>
      </w:r>
    </w:p>
    <w:p w:rsidR="0027476A" w:rsidRDefault="00F70B07" w:rsidP="00F3229A">
      <w:pPr>
        <w:pStyle w:val="BodyText"/>
      </w:pPr>
      <w:r>
        <w:t>W</w:t>
      </w:r>
      <w:r w:rsidR="008E7DB3">
        <w:t>hile</w:t>
      </w:r>
      <w:r w:rsidR="0091749E">
        <w:t xml:space="preserve"> </w:t>
      </w:r>
      <w:r w:rsidR="008E7DB3">
        <w:t>in practice</w:t>
      </w:r>
      <w:r w:rsidR="00F5608B">
        <w:t xml:space="preserve"> </w:t>
      </w:r>
      <w:r w:rsidR="0091749E">
        <w:t>it is always going to be difficult to precisely differentiate between experimental and commercial research</w:t>
      </w:r>
      <w:r w:rsidR="00F5608B">
        <w:t xml:space="preserve"> (ALRC 2004)</w:t>
      </w:r>
      <w:r w:rsidR="00DD3382">
        <w:t>, the reforms provide</w:t>
      </w:r>
      <w:r w:rsidR="00AA3D8C">
        <w:t xml:space="preserve"> a clear benefit to (at least some) researchers, who are now more likely to undertake research involving a patented invention</w:t>
      </w:r>
      <w:r w:rsidR="0091749E">
        <w:t xml:space="preserve"> due to the reduced risk of infringement. The reforms may also partially reduce research costs because researchers </w:t>
      </w:r>
      <w:r w:rsidR="00F5608B">
        <w:t>may be</w:t>
      </w:r>
      <w:r w:rsidR="00AA3D8C">
        <w:t xml:space="preserve"> less likely to </w:t>
      </w:r>
      <w:r w:rsidR="008E7DB3">
        <w:t>need</w:t>
      </w:r>
      <w:r w:rsidR="0091749E">
        <w:t xml:space="preserve"> </w:t>
      </w:r>
      <w:r w:rsidR="00AA3D8C">
        <w:t>legal advice on the possibility of infringement (particularly with respect to non</w:t>
      </w:r>
      <w:r w:rsidR="00AA3D8C">
        <w:noBreakHyphen/>
        <w:t>commercial research).</w:t>
      </w:r>
      <w:r w:rsidR="0027476A">
        <w:t xml:space="preserve"> </w:t>
      </w:r>
    </w:p>
    <w:p w:rsidR="00D818C3" w:rsidRPr="00B53E20" w:rsidRDefault="009C3EFC" w:rsidP="00F3229A">
      <w:pPr>
        <w:pStyle w:val="BodyText"/>
      </w:pPr>
      <w:r>
        <w:t>In light of views that there existed an implicit research exemption prior to the ‘Raising the Bar’ reforms</w:t>
      </w:r>
      <w:r w:rsidR="00327E60">
        <w:t xml:space="preserve">, </w:t>
      </w:r>
      <w:r>
        <w:t xml:space="preserve">and that the research exemption simply formalises this, </w:t>
      </w:r>
      <w:r w:rsidR="00327E60">
        <w:t>the Commission considers that there are unlikely to be issues in accessing patented inventions for research purposes</w:t>
      </w:r>
      <w:r>
        <w:t xml:space="preserve"> (provided research is not related to commercialisation of the patented invention itself)</w:t>
      </w:r>
      <w:r w:rsidR="00327E60">
        <w:t>.</w:t>
      </w:r>
      <w:r>
        <w:t xml:space="preserve"> </w:t>
      </w:r>
      <w:r w:rsidR="001841F2">
        <w:t>Moreover, given the recent enactment of the ‘Raising the Bar’ reforms, the Commission considers that it is simply too soon to form a view on their effectiveness in practice</w:t>
      </w:r>
      <w:r w:rsidR="001841F2" w:rsidRPr="00B53E20">
        <w:t>.</w:t>
      </w:r>
      <w:r w:rsidR="00B53E20">
        <w:t xml:space="preserve"> </w:t>
      </w:r>
    </w:p>
    <w:p w:rsidR="00F442FB" w:rsidRDefault="00F442FB" w:rsidP="001841F2">
      <w:pPr>
        <w:pStyle w:val="Heading4"/>
      </w:pPr>
      <w:r>
        <w:lastRenderedPageBreak/>
        <w:t xml:space="preserve">Interaction with other </w:t>
      </w:r>
      <w:r w:rsidR="00033731">
        <w:t xml:space="preserve">forms of non-voluntary </w:t>
      </w:r>
      <w:r>
        <w:t>access</w:t>
      </w:r>
    </w:p>
    <w:p w:rsidR="00F3229A" w:rsidRDefault="00CD08FF" w:rsidP="00F3229A">
      <w:pPr>
        <w:pStyle w:val="BodyText"/>
      </w:pPr>
      <w:r>
        <w:t>Prior to the experimental exemption,</w:t>
      </w:r>
      <w:r w:rsidR="00A741B0">
        <w:t xml:space="preserve"> if</w:t>
      </w:r>
      <w:r>
        <w:t xml:space="preserve"> a researcher </w:t>
      </w:r>
      <w:r w:rsidR="00A741B0">
        <w:t xml:space="preserve">was unable to obtain authorisation from the patent holder to </w:t>
      </w:r>
      <w:r>
        <w:t>conduct experimentation on the subject matter of a patent,</w:t>
      </w:r>
      <w:r w:rsidR="000144B1">
        <w:t xml:space="preserve"> </w:t>
      </w:r>
      <w:r w:rsidR="0036129D">
        <w:t>on</w:t>
      </w:r>
      <w:r w:rsidR="00DD3382">
        <w:t>e</w:t>
      </w:r>
      <w:r w:rsidR="0036129D">
        <w:t xml:space="preserve"> option</w:t>
      </w:r>
      <w:r w:rsidR="00BA2A58">
        <w:t>,</w:t>
      </w:r>
      <w:r w:rsidR="0036129D">
        <w:t xml:space="preserve"> </w:t>
      </w:r>
      <w:r w:rsidR="00BA2A58">
        <w:t xml:space="preserve">other than infringing the patent, </w:t>
      </w:r>
      <w:r w:rsidR="0036129D">
        <w:t xml:space="preserve">may have been </w:t>
      </w:r>
      <w:r w:rsidR="000144B1">
        <w:t>to apply for a compulsory licence. An application could have been made on grounds that the patent holder failed to satisfy the reasonable requirements of the public (</w:t>
      </w:r>
      <w:r w:rsidR="00B72F9A">
        <w:t>s.</w:t>
      </w:r>
      <w:r w:rsidR="000D3870">
        <w:t> </w:t>
      </w:r>
      <w:r w:rsidR="00B72F9A">
        <w:t>135</w:t>
      </w:r>
      <w:r w:rsidR="000144B1">
        <w:t xml:space="preserve"> </w:t>
      </w:r>
      <w:r w:rsidR="009E2CBA">
        <w:t xml:space="preserve">of the </w:t>
      </w:r>
      <w:r w:rsidR="000144B1">
        <w:t xml:space="preserve">Patents Act). </w:t>
      </w:r>
      <w:r w:rsidR="00B72F9A">
        <w:t xml:space="preserve">Specifically, a researcher could </w:t>
      </w:r>
      <w:r w:rsidR="009E2CBA">
        <w:t>argue</w:t>
      </w:r>
      <w:r w:rsidR="00B72F9A">
        <w:t xml:space="preserve"> that an existing trade or industry in Australia, or the establishm</w:t>
      </w:r>
      <w:r w:rsidR="00AB3C64">
        <w:t>ent of a new trade or industry wa</w:t>
      </w:r>
      <w:r w:rsidR="00B72F9A">
        <w:t xml:space="preserve">s unfairly prejudiced because of the patent holder’s failure to grant a licence on reasonable terms. </w:t>
      </w:r>
      <w:r w:rsidR="0085555F">
        <w:t xml:space="preserve">Even though </w:t>
      </w:r>
      <w:r w:rsidR="00C705FC">
        <w:t>there is no evidence of</w:t>
      </w:r>
      <w:r w:rsidR="00DD3382">
        <w:t xml:space="preserve"> any</w:t>
      </w:r>
      <w:r w:rsidR="00C705FC">
        <w:t xml:space="preserve"> such application, </w:t>
      </w:r>
      <w:r w:rsidR="00441828">
        <w:t xml:space="preserve">the </w:t>
      </w:r>
      <w:r w:rsidR="00D8456E">
        <w:t>experimental</w:t>
      </w:r>
      <w:r w:rsidR="00441828">
        <w:t xml:space="preserve"> exemption provides a partial substitute for at least one of the </w:t>
      </w:r>
      <w:r w:rsidR="00C705FC">
        <w:t xml:space="preserve">hypothetical </w:t>
      </w:r>
      <w:r w:rsidR="00441828">
        <w:t>circumstances in which a compulsory licence might have been sought.</w:t>
      </w:r>
      <w:r w:rsidR="004B6A7B">
        <w:t xml:space="preserve"> This view was shared by the Institute of Patent and Trade Mark At</w:t>
      </w:r>
      <w:r w:rsidR="00845D8D">
        <w:t>t</w:t>
      </w:r>
      <w:r w:rsidR="004B6A7B">
        <w:t>orneys</w:t>
      </w:r>
      <w:r w:rsidR="009E2CBA">
        <w:t xml:space="preserve"> and the </w:t>
      </w:r>
      <w:r w:rsidR="009E2CBA" w:rsidRPr="009E2CBA">
        <w:t>Australian Federation of Intellectual Property Attorneys</w:t>
      </w:r>
      <w:r w:rsidR="004B6A7B">
        <w:t>:</w:t>
      </w:r>
    </w:p>
    <w:p w:rsidR="00032C04" w:rsidRDefault="00F3229A" w:rsidP="00032C04">
      <w:pPr>
        <w:pStyle w:val="Quote"/>
      </w:pPr>
      <w:proofErr w:type="spellStart"/>
      <w:r>
        <w:t>IPTA</w:t>
      </w:r>
      <w:proofErr w:type="spellEnd"/>
      <w:r>
        <w:t xml:space="preserve"> and </w:t>
      </w:r>
      <w:proofErr w:type="spellStart"/>
      <w:r>
        <w:t>FICPI</w:t>
      </w:r>
      <w:proofErr w:type="spellEnd"/>
      <w:r w:rsidR="009E2CBA">
        <w:t xml:space="preserve"> </w:t>
      </w:r>
      <w:r>
        <w:t xml:space="preserve">cannot see that there would be any need to invoke the compulsory licensing provisions where the </w:t>
      </w:r>
      <w:r w:rsidR="008E7DB3">
        <w:t xml:space="preserve">[regulatory and research] </w:t>
      </w:r>
      <w:r>
        <w:t>exemptions now apply. (sub.</w:t>
      </w:r>
      <w:r w:rsidR="00BD74D7">
        <w:t> </w:t>
      </w:r>
      <w:r>
        <w:t>1</w:t>
      </w:r>
      <w:r w:rsidR="008E7DB3">
        <w:t>8</w:t>
      </w:r>
      <w:r>
        <w:t>, p. 7)</w:t>
      </w:r>
    </w:p>
    <w:p w:rsidR="001841F2" w:rsidRDefault="00DD3382" w:rsidP="00EE33C5">
      <w:pPr>
        <w:pStyle w:val="BodyText"/>
      </w:pPr>
      <w:r>
        <w:t>Crown use may provide an alternative option for a researcher to access a necessary patent</w:t>
      </w:r>
      <w:r w:rsidR="009E2CBA">
        <w:t>.</w:t>
      </w:r>
      <w:r>
        <w:t xml:space="preserve"> </w:t>
      </w:r>
      <w:r w:rsidR="009E2CBA">
        <w:t>H</w:t>
      </w:r>
      <w:r>
        <w:t xml:space="preserve">owever, it is questionable how useful this provision is for researchers. </w:t>
      </w:r>
      <w:r w:rsidR="00033731">
        <w:t>In particular, t</w:t>
      </w:r>
      <w:r w:rsidR="003E411C">
        <w:t xml:space="preserve">he definition of the Crown in </w:t>
      </w:r>
      <w:r w:rsidR="00151404">
        <w:t>the Patents Act</w:t>
      </w:r>
      <w:r w:rsidR="003E411C">
        <w:t xml:space="preserve"> is vague (chapter 7). </w:t>
      </w:r>
      <w:r w:rsidR="0036129D">
        <w:t>Research</w:t>
      </w:r>
      <w:r w:rsidR="003B063C">
        <w:t xml:space="preserve"> undertaken by </w:t>
      </w:r>
      <w:r w:rsidR="00527BFC">
        <w:t>Australian</w:t>
      </w:r>
      <w:r w:rsidR="00DC52BA">
        <w:t xml:space="preserve">, </w:t>
      </w:r>
      <w:r w:rsidR="009E2CBA">
        <w:t>S</w:t>
      </w:r>
      <w:r w:rsidR="00DC52BA">
        <w:t xml:space="preserve">tate and </w:t>
      </w:r>
      <w:r w:rsidR="009E2CBA">
        <w:t>T</w:t>
      </w:r>
      <w:r w:rsidR="00DC52BA">
        <w:t>erritory</w:t>
      </w:r>
      <w:r w:rsidR="003B063C">
        <w:t xml:space="preserve"> </w:t>
      </w:r>
      <w:r w:rsidR="009E2CBA">
        <w:t>A</w:t>
      </w:r>
      <w:r w:rsidR="003B063C">
        <w:t>g</w:t>
      </w:r>
      <w:r w:rsidR="003E411C">
        <w:t>encies (for example,</w:t>
      </w:r>
      <w:r w:rsidR="007F26C5">
        <w:t xml:space="preserve"> the </w:t>
      </w:r>
      <w:r w:rsidR="00AB3C64">
        <w:t>CSIRO</w:t>
      </w:r>
      <w:r w:rsidR="003E411C">
        <w:t xml:space="preserve">), </w:t>
      </w:r>
      <w:r w:rsidR="0036129D">
        <w:t>may have previously been able to gain an exemption</w:t>
      </w:r>
      <w:r w:rsidR="003B063C">
        <w:t xml:space="preserve"> from infringement under the Crown use provisions</w:t>
      </w:r>
      <w:r w:rsidR="0036129D">
        <w:t xml:space="preserve">, but this was </w:t>
      </w:r>
      <w:r w:rsidR="008E7DB3">
        <w:t>not</w:t>
      </w:r>
      <w:r w:rsidR="0036129D">
        <w:t xml:space="preserve"> certain</w:t>
      </w:r>
      <w:r w:rsidR="00976ABA">
        <w:t>.</w:t>
      </w:r>
      <w:r w:rsidR="003B063C">
        <w:t xml:space="preserve"> </w:t>
      </w:r>
      <w:r w:rsidR="008E7DB3">
        <w:t>Additionally, t</w:t>
      </w:r>
      <w:r w:rsidR="00033731">
        <w:t xml:space="preserve">here is uncertainty about whether publicly funded research institutes (for example, universities) are an authority of the Crown (ALRC 2004). </w:t>
      </w:r>
      <w:r w:rsidR="0066415A">
        <w:t xml:space="preserve">The Commission has recommended changes to the Patents Act that aim to remove uncertainty </w:t>
      </w:r>
      <w:r w:rsidR="009E2CBA">
        <w:t>regarding</w:t>
      </w:r>
      <w:r w:rsidR="0066415A">
        <w:t xml:space="preserve"> the </w:t>
      </w:r>
      <w:r w:rsidR="00972ECC">
        <w:t>C</w:t>
      </w:r>
      <w:r w:rsidR="0066415A">
        <w:t>rown use provisions (chapter 7). Nonetheless, t</w:t>
      </w:r>
      <w:r w:rsidR="003B063C">
        <w:t>he</w:t>
      </w:r>
      <w:r w:rsidR="0036129D">
        <w:t xml:space="preserve"> new</w:t>
      </w:r>
      <w:r w:rsidR="003B063C">
        <w:t xml:space="preserve"> exemption removes</w:t>
      </w:r>
      <w:r w:rsidR="0036129D">
        <w:t xml:space="preserve"> such uncertainty</w:t>
      </w:r>
      <w:r w:rsidR="00AF725E">
        <w:t xml:space="preserve"> </w:t>
      </w:r>
      <w:r w:rsidR="00033731">
        <w:t>for experimental use</w:t>
      </w:r>
      <w:r w:rsidR="00AF725E">
        <w:t xml:space="preserve"> and</w:t>
      </w:r>
      <w:r w:rsidR="00033731">
        <w:t xml:space="preserve"> gives </w:t>
      </w:r>
      <w:r w:rsidR="009B79E5">
        <w:t>public and publicly</w:t>
      </w:r>
      <w:r w:rsidR="009C3EFC">
        <w:t xml:space="preserve"> </w:t>
      </w:r>
      <w:r w:rsidR="00033731">
        <w:t>funded research bodies an alternative option</w:t>
      </w:r>
      <w:r w:rsidR="000369F3">
        <w:t xml:space="preserve"> to Crown use</w:t>
      </w:r>
      <w:r w:rsidR="003B063C">
        <w:t>.</w:t>
      </w:r>
      <w:r w:rsidR="000369F3">
        <w:t xml:space="preserve"> That said, in the case of public institutions, the existing Crown use provisions remain an option for accessing patented inventions. </w:t>
      </w:r>
    </w:p>
    <w:p w:rsidR="00032C04" w:rsidRDefault="00D90F05" w:rsidP="00032C04">
      <w:pPr>
        <w:pStyle w:val="Heading2"/>
      </w:pPr>
      <w:fldSimple w:instr=" COMMENTS  \* MERGEFORMAT ">
        <w:r w:rsidR="00BC1317">
          <w:t>8.</w:t>
        </w:r>
      </w:fldSimple>
      <w:fldSimple w:instr=" SEQ Heading2 ">
        <w:r w:rsidR="001F76DB">
          <w:rPr>
            <w:noProof/>
          </w:rPr>
          <w:t>2</w:t>
        </w:r>
      </w:fldSimple>
      <w:r w:rsidR="00F442FB">
        <w:tab/>
      </w:r>
      <w:r w:rsidR="00D925A5">
        <w:t>Regulatory approval exemption</w:t>
      </w:r>
    </w:p>
    <w:p w:rsidR="00D925A5" w:rsidRDefault="000C1C0F" w:rsidP="00D925A5">
      <w:pPr>
        <w:pStyle w:val="BodyText"/>
      </w:pPr>
      <w:r>
        <w:t>In 2006, the Patents Act was amended to include an exemption from infringement for use of patented pharmaceutical products for the purposes of regulatory approval from the Th</w:t>
      </w:r>
      <w:r w:rsidR="007F26C5">
        <w:t xml:space="preserve">erapeutic Goods Administration </w:t>
      </w:r>
      <w:r>
        <w:t>(</w:t>
      </w:r>
      <w:r w:rsidR="009E2CBA">
        <w:t>s. </w:t>
      </w:r>
      <w:proofErr w:type="spellStart"/>
      <w:r w:rsidR="00B72F9A">
        <w:t>119A</w:t>
      </w:r>
      <w:proofErr w:type="spellEnd"/>
      <w:r>
        <w:t>).</w:t>
      </w:r>
      <w:r w:rsidR="00D925A5">
        <w:t xml:space="preserve"> The ‘Raising the Bar’ </w:t>
      </w:r>
      <w:r w:rsidR="00180659">
        <w:t xml:space="preserve">reforms </w:t>
      </w:r>
      <w:r w:rsidR="00D925A5">
        <w:t>extend</w:t>
      </w:r>
      <w:r w:rsidR="00963680">
        <w:t>ed</w:t>
      </w:r>
      <w:r w:rsidR="00D925A5">
        <w:t xml:space="preserve"> </w:t>
      </w:r>
      <w:r w:rsidR="00266433">
        <w:t>the exemption to all products, processes or methods that require approval by law of the Commonwealth</w:t>
      </w:r>
      <w:r w:rsidR="007F26C5">
        <w:t xml:space="preserve">, </w:t>
      </w:r>
      <w:r w:rsidR="00862D3D">
        <w:t>s</w:t>
      </w:r>
      <w:r w:rsidR="00266433">
        <w:t xml:space="preserve">tate or </w:t>
      </w:r>
      <w:r w:rsidR="00862D3D">
        <w:t>t</w:t>
      </w:r>
      <w:r w:rsidR="00266433">
        <w:t>erritory</w:t>
      </w:r>
      <w:r w:rsidR="00180659">
        <w:t xml:space="preserve"> </w:t>
      </w:r>
      <w:r w:rsidR="0076268B">
        <w:t>(s.</w:t>
      </w:r>
      <w:r w:rsidR="000D3870">
        <w:t> </w:t>
      </w:r>
      <w:proofErr w:type="spellStart"/>
      <w:r w:rsidR="0076268B">
        <w:t>119B</w:t>
      </w:r>
      <w:proofErr w:type="spellEnd"/>
      <w:r w:rsidR="0076268B">
        <w:t xml:space="preserve">) </w:t>
      </w:r>
      <w:r w:rsidR="00976ABA">
        <w:t xml:space="preserve">(box </w:t>
      </w:r>
      <w:r w:rsidR="00E31927">
        <w:fldChar w:fldCharType="begin"/>
      </w:r>
      <w:r w:rsidR="00E31927">
        <w:instrText xml:space="preserve"> LINK </w:instrText>
      </w:r>
      <w:r w:rsidR="00BC1317">
        <w:instrText xml:space="preserve">Word.Document.12 "\\\\mel_1\\groups\\InquiryC\\Patents\\Work\\Josh\\Non-voluntary uses chapter\\Chapter 9 first draft alex feedback.docx" OLE_LINK3 </w:instrText>
      </w:r>
      <w:r w:rsidR="00E31927">
        <w:instrText xml:space="preserve">\a \t </w:instrText>
      </w:r>
      <w:r w:rsidR="00E31927">
        <w:fldChar w:fldCharType="separate"/>
      </w:r>
      <w:r w:rsidR="00BC1317">
        <w:t>8.2</w:t>
      </w:r>
      <w:r w:rsidR="00E31927">
        <w:fldChar w:fldCharType="end"/>
      </w:r>
      <w:r w:rsidR="00976ABA">
        <w:t>)</w:t>
      </w:r>
      <w:r w:rsidR="00266433">
        <w:t>.</w:t>
      </w:r>
      <w:r w:rsidR="00A86B83">
        <w:t xml:space="preserve"> </w:t>
      </w:r>
      <w:r w:rsidR="0076268B" w:rsidRPr="00A37AFB">
        <w:lastRenderedPageBreak/>
        <w:t>Examples of products that require</w:t>
      </w:r>
      <w:r w:rsidR="0076268B">
        <w:t xml:space="preserve"> regulatory</w:t>
      </w:r>
      <w:r w:rsidR="0076268B" w:rsidRPr="00A37AFB">
        <w:t xml:space="preserve"> approval are pharmaceuticals (</w:t>
      </w:r>
      <w:r w:rsidR="0076268B">
        <w:t xml:space="preserve">by the </w:t>
      </w:r>
      <w:r w:rsidR="0076268B" w:rsidRPr="00A37AFB">
        <w:t>T</w:t>
      </w:r>
      <w:r w:rsidR="007F26C5">
        <w:t xml:space="preserve">herapeutic </w:t>
      </w:r>
      <w:r w:rsidR="0076268B" w:rsidRPr="00A37AFB">
        <w:t>G</w:t>
      </w:r>
      <w:r w:rsidR="007F26C5">
        <w:t xml:space="preserve">oods </w:t>
      </w:r>
      <w:r w:rsidR="0076268B" w:rsidRPr="00A37AFB">
        <w:t>A</w:t>
      </w:r>
      <w:r w:rsidR="007F26C5">
        <w:t>dministration</w:t>
      </w:r>
      <w:r w:rsidR="0076268B" w:rsidRPr="00A37AFB">
        <w:t>)</w:t>
      </w:r>
      <w:r w:rsidR="00D579D6">
        <w:t xml:space="preserve"> and</w:t>
      </w:r>
      <w:r w:rsidR="0076268B" w:rsidRPr="00A37AFB">
        <w:t xml:space="preserve"> agricultural and veterinary chemical products (Australian Pesticides and Veterinary Medicines Authority)</w:t>
      </w:r>
      <w:r w:rsidR="00D579D6">
        <w:t>.</w:t>
      </w:r>
      <w:r w:rsidR="0076268B" w:rsidRPr="00A37AFB">
        <w:t xml:space="preserve"> </w:t>
      </w:r>
      <w:r w:rsidR="00A86B83">
        <w:t>The exemptions do not allow generic manufacturers to stockpile the patented product prior to</w:t>
      </w:r>
      <w:r w:rsidR="00343C65">
        <w:t xml:space="preserve"> the expiry date of the patent.</w:t>
      </w:r>
    </w:p>
    <w:p w:rsidR="00976ABA" w:rsidRDefault="00976ABA" w:rsidP="00976AB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6ABA" w:rsidTr="00976ABA">
        <w:tc>
          <w:tcPr>
            <w:tcW w:w="8771" w:type="dxa"/>
            <w:tcBorders>
              <w:top w:val="single" w:sz="6" w:space="0" w:color="auto"/>
              <w:bottom w:val="nil"/>
            </w:tcBorders>
          </w:tcPr>
          <w:p w:rsidR="00976ABA" w:rsidRDefault="00976ABA" w:rsidP="00976ABA">
            <w:pPr>
              <w:pStyle w:val="BoxTitle"/>
            </w:pPr>
            <w:r>
              <w:rPr>
                <w:b w:val="0"/>
              </w:rPr>
              <w:t xml:space="preserve">Box </w:t>
            </w:r>
            <w:bookmarkStart w:id="6" w:name="OLE_LINK3"/>
            <w:r>
              <w:rPr>
                <w:b w:val="0"/>
              </w:rPr>
              <w:fldChar w:fldCharType="begin"/>
            </w:r>
            <w:r>
              <w:rPr>
                <w:b w:val="0"/>
              </w:rPr>
              <w:instrText xml:space="preserve"> COMMENTS  \* MERGEFORMAT </w:instrText>
            </w:r>
            <w:r>
              <w:rPr>
                <w:b w:val="0"/>
              </w:rPr>
              <w:fldChar w:fldCharType="separate"/>
            </w:r>
            <w:r w:rsidR="00BC1317">
              <w:rPr>
                <w:b w:val="0"/>
              </w:rPr>
              <w:t>8.</w:t>
            </w:r>
            <w:r>
              <w:rPr>
                <w:b w:val="0"/>
              </w:rPr>
              <w:fldChar w:fldCharType="end"/>
            </w:r>
            <w:r>
              <w:rPr>
                <w:b w:val="0"/>
              </w:rPr>
              <w:fldChar w:fldCharType="begin"/>
            </w:r>
            <w:r>
              <w:rPr>
                <w:b w:val="0"/>
              </w:rPr>
              <w:instrText xml:space="preserve"> SEQ Box \* ARABIC </w:instrText>
            </w:r>
            <w:r>
              <w:rPr>
                <w:b w:val="0"/>
              </w:rPr>
              <w:fldChar w:fldCharType="separate"/>
            </w:r>
            <w:r w:rsidR="001F76DB">
              <w:rPr>
                <w:b w:val="0"/>
                <w:noProof/>
              </w:rPr>
              <w:t>2</w:t>
            </w:r>
            <w:r>
              <w:rPr>
                <w:b w:val="0"/>
              </w:rPr>
              <w:fldChar w:fldCharType="end"/>
            </w:r>
            <w:bookmarkEnd w:id="6"/>
            <w:r>
              <w:tab/>
              <w:t>Regulatory approval exemption</w:t>
            </w:r>
          </w:p>
        </w:tc>
      </w:tr>
      <w:tr w:rsidR="00976ABA" w:rsidTr="00976ABA">
        <w:trPr>
          <w:cantSplit/>
        </w:trPr>
        <w:tc>
          <w:tcPr>
            <w:tcW w:w="8771" w:type="dxa"/>
            <w:tcBorders>
              <w:top w:val="nil"/>
              <w:left w:val="single" w:sz="6" w:space="0" w:color="auto"/>
              <w:bottom w:val="nil"/>
              <w:right w:val="single" w:sz="6" w:space="0" w:color="auto"/>
            </w:tcBorders>
          </w:tcPr>
          <w:p w:rsidR="00976ABA" w:rsidRDefault="00976ABA" w:rsidP="00976ABA">
            <w:pPr>
              <w:pStyle w:val="Box"/>
            </w:pPr>
            <w:r>
              <w:t xml:space="preserve">Section 119A </w:t>
            </w:r>
            <w:r w:rsidR="003E411C">
              <w:t xml:space="preserve">of the </w:t>
            </w:r>
            <w:r w:rsidR="003E411C" w:rsidRPr="00110432">
              <w:rPr>
                <w:i/>
              </w:rPr>
              <w:t>Patents Act 1990</w:t>
            </w:r>
            <w:r w:rsidR="003E411C">
              <w:t xml:space="preserve"> (Cwlth) states</w:t>
            </w:r>
            <w:r>
              <w:t>:</w:t>
            </w:r>
          </w:p>
          <w:p w:rsidR="00180659" w:rsidRDefault="00180659" w:rsidP="0002514E">
            <w:pPr>
              <w:pStyle w:val="BoxListBullet"/>
              <w:numPr>
                <w:ilvl w:val="0"/>
                <w:numId w:val="22"/>
              </w:numPr>
              <w:ind w:left="403" w:hanging="403"/>
            </w:pPr>
            <w:r>
              <w:t>The rights of a patentee of a pharmaceutical patent are not infringed by a person exploiting an invention claimed in the patent if the exploitation is solely for:</w:t>
            </w:r>
          </w:p>
          <w:p w:rsidR="00180659" w:rsidRDefault="00180659" w:rsidP="0002514E">
            <w:pPr>
              <w:pStyle w:val="BoxListBullet2"/>
              <w:numPr>
                <w:ilvl w:val="1"/>
                <w:numId w:val="23"/>
              </w:numPr>
              <w:tabs>
                <w:tab w:val="clear" w:pos="284"/>
              </w:tabs>
              <w:ind w:left="1077" w:hanging="357"/>
            </w:pPr>
            <w:r>
              <w:t xml:space="preserve">purposes connected with obtaining the inclusion in the Australian Register of Therapeutic Goods of goods that: </w:t>
            </w:r>
          </w:p>
          <w:p w:rsidR="00180659" w:rsidRDefault="00180659" w:rsidP="003D451C">
            <w:pPr>
              <w:pStyle w:val="BoxListBullet2"/>
              <w:numPr>
                <w:ilvl w:val="0"/>
                <w:numId w:val="19"/>
              </w:numPr>
            </w:pPr>
            <w:r>
              <w:t>are intended for therapeutic use; and</w:t>
            </w:r>
          </w:p>
          <w:p w:rsidR="00C408E2" w:rsidRDefault="00180659" w:rsidP="003D451C">
            <w:pPr>
              <w:pStyle w:val="BoxListBullet2"/>
              <w:numPr>
                <w:ilvl w:val="0"/>
                <w:numId w:val="19"/>
              </w:numPr>
            </w:pPr>
            <w:r>
              <w:t>are not medical devices, or therapeutic devices, as defined in the Therapeutic Goods Act 1989; or</w:t>
            </w:r>
          </w:p>
          <w:p w:rsidR="00343C65" w:rsidRDefault="00343C65" w:rsidP="0002514E">
            <w:pPr>
              <w:pStyle w:val="BoxListBullet2"/>
              <w:numPr>
                <w:ilvl w:val="1"/>
                <w:numId w:val="23"/>
              </w:numPr>
              <w:tabs>
                <w:tab w:val="clear" w:pos="284"/>
              </w:tabs>
              <w:ind w:left="1077" w:hanging="357"/>
            </w:pPr>
            <w:r>
              <w:t>purposes connected with obtaining similar regulatory approval under a law of a foreign country or of a part of a foreign country.</w:t>
            </w:r>
          </w:p>
          <w:p w:rsidR="00343C65" w:rsidRDefault="00343C65" w:rsidP="0002514E">
            <w:pPr>
              <w:pStyle w:val="BoxListBullet"/>
              <w:numPr>
                <w:ilvl w:val="0"/>
                <w:numId w:val="22"/>
              </w:numPr>
              <w:ind w:left="403" w:hanging="403"/>
            </w:pPr>
            <w:r>
              <w:t>Subsection (1) does not apply to the export from Australia of goods for purposes described in paragraph (1)(b) unless the term of the patent has been extended under Part 3 of Chapter 6 and the goods consist of or contain:</w:t>
            </w:r>
          </w:p>
          <w:p w:rsidR="00343C65" w:rsidRDefault="00343C65" w:rsidP="0002514E">
            <w:pPr>
              <w:pStyle w:val="BoxListBullet2"/>
              <w:numPr>
                <w:ilvl w:val="0"/>
                <w:numId w:val="24"/>
              </w:numPr>
              <w:tabs>
                <w:tab w:val="clear" w:pos="284"/>
              </w:tabs>
              <w:ind w:left="1077" w:hanging="357"/>
            </w:pPr>
            <w:r>
              <w:t>a pharmaceutical substance per se that is in substance disclosed in the complete specification of the patent and in substance falls within the scope of the claim or claims of that specification; or</w:t>
            </w:r>
          </w:p>
          <w:p w:rsidR="00343C65" w:rsidRDefault="00343C65" w:rsidP="0002514E">
            <w:pPr>
              <w:pStyle w:val="BoxListBullet2"/>
              <w:numPr>
                <w:ilvl w:val="0"/>
                <w:numId w:val="24"/>
              </w:numPr>
              <w:tabs>
                <w:tab w:val="clear" w:pos="284"/>
              </w:tabs>
              <w:ind w:left="1077" w:hanging="357"/>
            </w:pPr>
            <w:r>
              <w:t>a pharmaceutical substance when produced by a process that involves the use of recombinant DNA technology, that is in substance disclosed in the complete specification of the patent and in substance falls within the scope of the claim or claims of that specification.</w:t>
            </w:r>
          </w:p>
          <w:p w:rsidR="00343C65" w:rsidRDefault="00343C65" w:rsidP="0002514E">
            <w:pPr>
              <w:pStyle w:val="BoxListBullet2"/>
              <w:numPr>
                <w:ilvl w:val="0"/>
                <w:numId w:val="0"/>
              </w:numPr>
              <w:tabs>
                <w:tab w:val="clear" w:pos="284"/>
              </w:tabs>
              <w:ind w:left="687" w:hanging="567"/>
              <w:rPr>
                <w:sz w:val="20"/>
              </w:rPr>
            </w:pPr>
            <w:r>
              <w:rPr>
                <w:sz w:val="20"/>
              </w:rPr>
              <w:t>Note:</w:t>
            </w:r>
            <w:r>
              <w:t xml:space="preserve"> </w:t>
            </w:r>
            <w:r w:rsidRPr="00FF3891">
              <w:rPr>
                <w:sz w:val="20"/>
              </w:rPr>
              <w:t>Part 3 of Chapter 6 provides for the extension of the term of standard patents claiming pharmaceutical substances.</w:t>
            </w:r>
          </w:p>
          <w:p w:rsidR="000D3870" w:rsidRDefault="000D3870" w:rsidP="000D3870">
            <w:pPr>
              <w:pStyle w:val="BoxListBullet"/>
              <w:numPr>
                <w:ilvl w:val="0"/>
                <w:numId w:val="22"/>
              </w:numPr>
              <w:ind w:left="403" w:hanging="403"/>
            </w:pPr>
            <w:r>
              <w:t>In this section:</w:t>
            </w:r>
          </w:p>
          <w:p w:rsidR="000D3870" w:rsidRDefault="000D3870" w:rsidP="000D3870">
            <w:pPr>
              <w:pStyle w:val="BoxListBullet"/>
              <w:numPr>
                <w:ilvl w:val="0"/>
                <w:numId w:val="0"/>
              </w:numPr>
              <w:ind w:left="403"/>
            </w:pPr>
            <w:r>
              <w:t>pharmaceutical patent means a patent claiming:</w:t>
            </w:r>
          </w:p>
          <w:p w:rsidR="000D3870" w:rsidRDefault="000D3870" w:rsidP="000D3870">
            <w:pPr>
              <w:pStyle w:val="BoxListBullet2"/>
              <w:numPr>
                <w:ilvl w:val="0"/>
                <w:numId w:val="26"/>
              </w:numPr>
              <w:tabs>
                <w:tab w:val="clear" w:pos="284"/>
              </w:tabs>
              <w:ind w:left="1077" w:hanging="357"/>
            </w:pPr>
            <w:r>
              <w:t>a pharmaceutical substance; or</w:t>
            </w:r>
          </w:p>
          <w:p w:rsidR="000D3870" w:rsidRDefault="000D3870" w:rsidP="000D3870">
            <w:pPr>
              <w:pStyle w:val="BoxListBullet2"/>
              <w:numPr>
                <w:ilvl w:val="0"/>
                <w:numId w:val="26"/>
              </w:numPr>
              <w:tabs>
                <w:tab w:val="clear" w:pos="284"/>
              </w:tabs>
              <w:ind w:left="1077" w:hanging="357"/>
            </w:pPr>
            <w:r>
              <w:t xml:space="preserve">a method, use or product relating to a pharmaceutical substance, including any of the following: </w:t>
            </w:r>
          </w:p>
          <w:p w:rsidR="000D3870" w:rsidRDefault="000D3870" w:rsidP="000D3870">
            <w:pPr>
              <w:pStyle w:val="BoxListBullet2"/>
              <w:numPr>
                <w:ilvl w:val="0"/>
                <w:numId w:val="48"/>
              </w:numPr>
            </w:pPr>
            <w:r>
              <w:t>a method for producing a raw material needed to produce the substance;</w:t>
            </w:r>
          </w:p>
          <w:p w:rsidR="000D3870" w:rsidRDefault="000D3870" w:rsidP="000D3870">
            <w:pPr>
              <w:pStyle w:val="BoxListBullet2"/>
              <w:numPr>
                <w:ilvl w:val="0"/>
                <w:numId w:val="48"/>
              </w:numPr>
            </w:pPr>
            <w:r>
              <w:t>a product that is a raw material needed to produce the substance;</w:t>
            </w:r>
          </w:p>
          <w:p w:rsidR="000D3870" w:rsidRDefault="000D3870" w:rsidP="000D3870">
            <w:pPr>
              <w:pStyle w:val="BoxListBullet2"/>
              <w:numPr>
                <w:ilvl w:val="0"/>
                <w:numId w:val="48"/>
              </w:numPr>
            </w:pPr>
            <w:r>
              <w:t>a product that is a pro-drug, metabolite or derivative of the substance.</w:t>
            </w:r>
          </w:p>
        </w:tc>
      </w:tr>
      <w:tr w:rsidR="00976ABA" w:rsidTr="00976ABA">
        <w:trPr>
          <w:cantSplit/>
        </w:trPr>
        <w:tc>
          <w:tcPr>
            <w:tcW w:w="8771" w:type="dxa"/>
            <w:tcBorders>
              <w:top w:val="nil"/>
              <w:left w:val="single" w:sz="6" w:space="0" w:color="auto"/>
              <w:bottom w:val="nil"/>
              <w:right w:val="single" w:sz="6" w:space="0" w:color="auto"/>
            </w:tcBorders>
          </w:tcPr>
          <w:p w:rsidR="00976ABA" w:rsidRDefault="0076268B" w:rsidP="005471AF">
            <w:pPr>
              <w:pStyle w:val="Continued"/>
            </w:pPr>
            <w:r>
              <w:t>(</w:t>
            </w:r>
            <w:r w:rsidR="005471AF">
              <w:t>C</w:t>
            </w:r>
            <w:r w:rsidR="00976ABA">
              <w:t>ontinued next page</w:t>
            </w:r>
            <w:r>
              <w:t>)</w:t>
            </w:r>
          </w:p>
        </w:tc>
      </w:tr>
      <w:tr w:rsidR="00976ABA" w:rsidTr="00976ABA">
        <w:trPr>
          <w:cantSplit/>
        </w:trPr>
        <w:tc>
          <w:tcPr>
            <w:tcW w:w="8771" w:type="dxa"/>
            <w:tcBorders>
              <w:top w:val="nil"/>
              <w:left w:val="single" w:sz="6" w:space="0" w:color="auto"/>
              <w:bottom w:val="single" w:sz="6" w:space="0" w:color="auto"/>
              <w:right w:val="single" w:sz="6" w:space="0" w:color="auto"/>
            </w:tcBorders>
          </w:tcPr>
          <w:p w:rsidR="00976ABA" w:rsidRDefault="00976ABA" w:rsidP="00976ABA">
            <w:pPr>
              <w:pStyle w:val="Box"/>
              <w:spacing w:before="0" w:line="120" w:lineRule="exact"/>
            </w:pPr>
          </w:p>
        </w:tc>
      </w:tr>
      <w:tr w:rsidR="00976ABA" w:rsidTr="00976ABA">
        <w:tc>
          <w:tcPr>
            <w:tcW w:w="8771" w:type="dxa"/>
            <w:tcBorders>
              <w:top w:val="nil"/>
              <w:left w:val="nil"/>
              <w:bottom w:val="nil"/>
              <w:right w:val="nil"/>
            </w:tcBorders>
          </w:tcPr>
          <w:p w:rsidR="00976ABA" w:rsidRDefault="00976ABA" w:rsidP="00976ABA">
            <w:pPr>
              <w:pStyle w:val="Box"/>
              <w:keepNext w:val="0"/>
              <w:spacing w:before="60" w:after="60" w:line="80" w:lineRule="exact"/>
              <w:rPr>
                <w:b/>
                <w:color w:val="FF00FF"/>
                <w:sz w:val="14"/>
              </w:rPr>
            </w:pPr>
          </w:p>
        </w:tc>
      </w:tr>
    </w:tbl>
    <w:p w:rsidR="00E31927" w:rsidRDefault="00E31927" w:rsidP="00E3192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1927" w:rsidTr="00E31927">
        <w:tc>
          <w:tcPr>
            <w:tcW w:w="8771" w:type="dxa"/>
            <w:tcBorders>
              <w:top w:val="single" w:sz="6" w:space="0" w:color="auto"/>
              <w:bottom w:val="nil"/>
            </w:tcBorders>
          </w:tcPr>
          <w:p w:rsidR="00E31927" w:rsidRDefault="00E31927" w:rsidP="00E31927">
            <w:pPr>
              <w:pStyle w:val="BoxTitle"/>
            </w:pPr>
            <w:r>
              <w:rPr>
                <w:b w:val="0"/>
              </w:rPr>
              <w:t xml:space="preserve">Box </w:t>
            </w:r>
            <w:r w:rsidRPr="008A705B">
              <w:rPr>
                <w:b w:val="0"/>
              </w:rPr>
              <w:fldChar w:fldCharType="begin"/>
            </w:r>
            <w:r w:rsidRPr="008A705B">
              <w:rPr>
                <w:b w:val="0"/>
              </w:rPr>
              <w:instrText xml:space="preserve"> LINK </w:instrText>
            </w:r>
            <w:r w:rsidR="00BC1317">
              <w:rPr>
                <w:b w:val="0"/>
              </w:rPr>
              <w:instrText xml:space="preserve">Word.Document.12 "\\\\mel_1\\groups\\InquiryC\\Patents\\Work\\Josh\\Non-voluntary uses chapter\\Chapter 9 draft.docx" OLE_LINK3 </w:instrText>
            </w:r>
            <w:r w:rsidRPr="008A705B">
              <w:rPr>
                <w:b w:val="0"/>
              </w:rPr>
              <w:instrText xml:space="preserve">\a \t  \* MERGEFORMAT </w:instrText>
            </w:r>
            <w:r w:rsidRPr="008A705B">
              <w:rPr>
                <w:b w:val="0"/>
              </w:rPr>
              <w:fldChar w:fldCharType="separate"/>
            </w:r>
            <w:r w:rsidR="00BC1317" w:rsidRPr="00BC1317">
              <w:rPr>
                <w:b w:val="0"/>
              </w:rPr>
              <w:t>8.2</w:t>
            </w:r>
            <w:r w:rsidRPr="008A705B">
              <w:rPr>
                <w:b w:val="0"/>
              </w:rPr>
              <w:fldChar w:fldCharType="end"/>
            </w:r>
            <w:r>
              <w:tab/>
            </w:r>
            <w:r w:rsidR="00E74E37">
              <w:rPr>
                <w:b w:val="0"/>
                <w:sz w:val="18"/>
                <w:szCs w:val="18"/>
              </w:rPr>
              <w:t>(c</w:t>
            </w:r>
            <w:r w:rsidRPr="005471AF">
              <w:rPr>
                <w:b w:val="0"/>
                <w:sz w:val="18"/>
                <w:szCs w:val="18"/>
              </w:rPr>
              <w:t>ontinued</w:t>
            </w:r>
            <w:r w:rsidR="00E74E37">
              <w:rPr>
                <w:b w:val="0"/>
                <w:sz w:val="18"/>
                <w:szCs w:val="18"/>
              </w:rPr>
              <w:t>)</w:t>
            </w:r>
          </w:p>
        </w:tc>
      </w:tr>
      <w:tr w:rsidR="00E31927" w:rsidTr="00E31927">
        <w:trPr>
          <w:cantSplit/>
        </w:trPr>
        <w:tc>
          <w:tcPr>
            <w:tcW w:w="8771" w:type="dxa"/>
            <w:tcBorders>
              <w:top w:val="nil"/>
              <w:left w:val="single" w:sz="6" w:space="0" w:color="auto"/>
              <w:bottom w:val="nil"/>
              <w:right w:val="single" w:sz="6" w:space="0" w:color="auto"/>
            </w:tcBorders>
          </w:tcPr>
          <w:p w:rsidR="00C408E2" w:rsidRDefault="003E411C" w:rsidP="00C408E2">
            <w:pPr>
              <w:pStyle w:val="Box"/>
            </w:pPr>
            <w:r>
              <w:t xml:space="preserve">Section </w:t>
            </w:r>
            <w:r w:rsidR="00C408E2">
              <w:t xml:space="preserve">119B </w:t>
            </w:r>
            <w:r>
              <w:t xml:space="preserve">of the </w:t>
            </w:r>
            <w:r w:rsidRPr="00110432">
              <w:rPr>
                <w:i/>
              </w:rPr>
              <w:t>Patents Act 1990</w:t>
            </w:r>
            <w:r>
              <w:t xml:space="preserve"> (Cwlth) states:</w:t>
            </w:r>
          </w:p>
          <w:p w:rsidR="00C408E2" w:rsidRDefault="00C408E2" w:rsidP="0002514E">
            <w:pPr>
              <w:pStyle w:val="BoxListBullet"/>
              <w:numPr>
                <w:ilvl w:val="0"/>
                <w:numId w:val="28"/>
              </w:numPr>
              <w:ind w:left="403" w:hanging="403"/>
            </w:pPr>
            <w:r>
              <w:t>A person may, without infringing a patent, do an act that would infringe the patent apart from this subsection, if the act is done solely for:</w:t>
            </w:r>
          </w:p>
          <w:p w:rsidR="00E31927" w:rsidRDefault="00C408E2" w:rsidP="0002514E">
            <w:pPr>
              <w:pStyle w:val="BoxListBullet2"/>
              <w:numPr>
                <w:ilvl w:val="1"/>
                <w:numId w:val="29"/>
              </w:numPr>
              <w:ind w:left="1077" w:hanging="357"/>
            </w:pPr>
            <w:r>
              <w:t>purposes connected with obtaining an approval required by a law of the Commonwealth or of a State or Territory to exploit a product, method or process; or</w:t>
            </w:r>
          </w:p>
          <w:p w:rsidR="00C408E2" w:rsidRDefault="00C408E2" w:rsidP="0002514E">
            <w:pPr>
              <w:pStyle w:val="BoxListBullet2"/>
              <w:numPr>
                <w:ilvl w:val="1"/>
                <w:numId w:val="29"/>
              </w:numPr>
              <w:ind w:left="1077" w:hanging="357"/>
            </w:pPr>
            <w:r>
              <w:t>purposes connected with obtaining a similar approval under a law of another country or region.</w:t>
            </w:r>
          </w:p>
          <w:p w:rsidR="00C408E2" w:rsidRDefault="00C408E2" w:rsidP="0002514E">
            <w:pPr>
              <w:pStyle w:val="BoxListBullet"/>
              <w:numPr>
                <w:ilvl w:val="0"/>
                <w:numId w:val="28"/>
              </w:numPr>
              <w:ind w:left="403" w:hanging="403"/>
            </w:pPr>
            <w:r>
              <w:t>This section does not apply in relation to a pharmaceutical patent within the meaning of subsection 119A(3).</w:t>
            </w:r>
          </w:p>
        </w:tc>
      </w:tr>
      <w:tr w:rsidR="00E31927" w:rsidTr="00E31927">
        <w:trPr>
          <w:cantSplit/>
        </w:trPr>
        <w:tc>
          <w:tcPr>
            <w:tcW w:w="8771" w:type="dxa"/>
            <w:tcBorders>
              <w:top w:val="nil"/>
              <w:left w:val="single" w:sz="6" w:space="0" w:color="auto"/>
              <w:bottom w:val="single" w:sz="6" w:space="0" w:color="auto"/>
              <w:right w:val="single" w:sz="6" w:space="0" w:color="auto"/>
            </w:tcBorders>
          </w:tcPr>
          <w:p w:rsidR="00E31927" w:rsidRDefault="00E31927" w:rsidP="00E31927">
            <w:pPr>
              <w:pStyle w:val="Box"/>
              <w:spacing w:before="0" w:line="120" w:lineRule="exact"/>
            </w:pPr>
          </w:p>
        </w:tc>
      </w:tr>
      <w:tr w:rsidR="00E31927" w:rsidRPr="00FE5435" w:rsidTr="00E31927">
        <w:tc>
          <w:tcPr>
            <w:tcW w:w="8771" w:type="dxa"/>
            <w:tcBorders>
              <w:top w:val="nil"/>
              <w:left w:val="nil"/>
              <w:bottom w:val="nil"/>
              <w:right w:val="nil"/>
            </w:tcBorders>
          </w:tcPr>
          <w:p w:rsidR="00E31927" w:rsidRPr="00FE5435" w:rsidRDefault="00E31927" w:rsidP="00E31927">
            <w:pPr>
              <w:pStyle w:val="Box"/>
              <w:keepNext w:val="0"/>
              <w:spacing w:before="60" w:after="60" w:line="80" w:lineRule="exact"/>
              <w:rPr>
                <w:rFonts w:ascii="Times New Roman" w:hAnsi="Times New Roman"/>
                <w:b/>
                <w:sz w:val="14"/>
              </w:rPr>
            </w:pPr>
          </w:p>
        </w:tc>
      </w:tr>
    </w:tbl>
    <w:p w:rsidR="000C1C0F" w:rsidRDefault="000C1C0F" w:rsidP="000C1C0F">
      <w:pPr>
        <w:pStyle w:val="Heading3"/>
      </w:pPr>
      <w:r>
        <w:t>Rationale</w:t>
      </w:r>
      <w:r w:rsidR="00C408E2">
        <w:t xml:space="preserve"> and assessment</w:t>
      </w:r>
    </w:p>
    <w:p w:rsidR="00AE4F22" w:rsidRDefault="00AE4F22" w:rsidP="00AE4F22">
      <w:pPr>
        <w:pStyle w:val="BodyText"/>
      </w:pPr>
      <w:r>
        <w:t xml:space="preserve">Use of a patented invention, prior to the expiry of the patent, to gain regulatory approval is commonly referred to as ‘springboarding’. Approval is gained by demonstrating the </w:t>
      </w:r>
      <w:r w:rsidRPr="0092505D">
        <w:t>equivalence</w:t>
      </w:r>
      <w:r>
        <w:t xml:space="preserve"> of the generic product with the patented invention. Springboarding is done in a</w:t>
      </w:r>
      <w:r w:rsidR="00AB3C64">
        <w:t>nticipation of the patent expiring</w:t>
      </w:r>
      <w:r>
        <w:t>, and allows generic manufacturers to bring t</w:t>
      </w:r>
      <w:r w:rsidR="006C7156">
        <w:t>heir products to market sooner.</w:t>
      </w:r>
    </w:p>
    <w:p w:rsidR="00D925A5" w:rsidRDefault="00F676A8" w:rsidP="00F676A8">
      <w:pPr>
        <w:pStyle w:val="BodyText"/>
      </w:pPr>
      <w:r>
        <w:t xml:space="preserve">The regulatory approval exemption aims to reduce the length of, or remove entirely, any unintended extension of the patent term that may have otherwise been created by the regulatory approval process. </w:t>
      </w:r>
      <w:r w:rsidR="00414E3F">
        <w:t xml:space="preserve">Without an exemption for springboarding, </w:t>
      </w:r>
      <w:r w:rsidR="00AE4F22">
        <w:t xml:space="preserve">generic manufacturers may have delayed research </w:t>
      </w:r>
      <w:r w:rsidR="00032C04">
        <w:t xml:space="preserve">on </w:t>
      </w:r>
      <w:r w:rsidR="00AE4F22">
        <w:t>the patented invention until after the expiry of the patent</w:t>
      </w:r>
      <w:r w:rsidR="00D579D6">
        <w:t>,</w:t>
      </w:r>
      <w:r w:rsidR="006C7156">
        <w:t xml:space="preserve"> to avoid infringement</w:t>
      </w:r>
      <w:r w:rsidR="00AE4F22">
        <w:t>. This</w:t>
      </w:r>
      <w:r w:rsidR="00D579D6">
        <w:t>,</w:t>
      </w:r>
      <w:r w:rsidR="00AE4F22">
        <w:t xml:space="preserve"> in turn</w:t>
      </w:r>
      <w:r w:rsidR="00D579D6">
        <w:t>,</w:t>
      </w:r>
      <w:r w:rsidR="00AE4F22">
        <w:t xml:space="preserve"> may have delayed regulatory approval of the generic product</w:t>
      </w:r>
      <w:r w:rsidR="00A0522F">
        <w:t>, effectively providing the patent holder with a de facto extension of the patent term</w:t>
      </w:r>
      <w:r w:rsidR="00040FCF">
        <w:t xml:space="preserve">. There could be </w:t>
      </w:r>
      <w:r w:rsidR="00414E3F">
        <w:t>higher prices for consumers</w:t>
      </w:r>
      <w:r w:rsidR="00040FCF">
        <w:t xml:space="preserve"> over the period of this</w:t>
      </w:r>
      <w:r>
        <w:t xml:space="preserve"> extension</w:t>
      </w:r>
      <w:r w:rsidR="00040FCF">
        <w:t>, based on</w:t>
      </w:r>
      <w:r w:rsidR="00414E3F">
        <w:t xml:space="preserve"> evidence that the price</w:t>
      </w:r>
      <w:r w:rsidR="00D579D6">
        <w:t>s</w:t>
      </w:r>
      <w:r w:rsidR="00414E3F">
        <w:t xml:space="preserve"> of generic medicines</w:t>
      </w:r>
      <w:r w:rsidR="00D579D6">
        <w:t xml:space="preserve"> </w:t>
      </w:r>
      <w:r w:rsidR="00040FCF">
        <w:t>are</w:t>
      </w:r>
      <w:r w:rsidR="00414E3F">
        <w:t>, on average, substantially lower than the price of the</w:t>
      </w:r>
      <w:r w:rsidR="00040FCF">
        <w:t>ir</w:t>
      </w:r>
      <w:r w:rsidR="00414E3F">
        <w:t xml:space="preserve"> branded </w:t>
      </w:r>
      <w:r w:rsidR="00040FCF">
        <w:t xml:space="preserve">equivalents </w:t>
      </w:r>
      <w:r w:rsidR="00AB3C64">
        <w:t>(</w:t>
      </w:r>
      <w:r w:rsidR="00422ADD">
        <w:t xml:space="preserve">for example, </w:t>
      </w:r>
      <w:r w:rsidR="00AB3C64">
        <w:t>Bee</w:t>
      </w:r>
      <w:r w:rsidR="00414E3F">
        <w:t xml:space="preserve">croft 2007). </w:t>
      </w:r>
      <w:r w:rsidR="00422ADD">
        <w:t>The period of the</w:t>
      </w:r>
      <w:r w:rsidR="00BC3206">
        <w:t xml:space="preserve"> de facto extension </w:t>
      </w:r>
      <w:r w:rsidR="00032C04">
        <w:t xml:space="preserve">could </w:t>
      </w:r>
      <w:r w:rsidR="00BC3206">
        <w:t>be considerable</w:t>
      </w:r>
      <w:r w:rsidR="00D579D6">
        <w:t>,</w:t>
      </w:r>
      <w:r w:rsidR="00BC3206">
        <w:t xml:space="preserve"> </w:t>
      </w:r>
      <w:r w:rsidR="00032C04">
        <w:t>because</w:t>
      </w:r>
      <w:r w:rsidR="00BC3206">
        <w:t xml:space="preserve"> regulatory approval can be a time</w:t>
      </w:r>
      <w:r w:rsidR="00BC3206">
        <w:noBreakHyphen/>
        <w:t>consuming process, ranging from several weeks to years.</w:t>
      </w:r>
      <w:r>
        <w:t xml:space="preserve"> </w:t>
      </w:r>
    </w:p>
    <w:p w:rsidR="00882C90" w:rsidRPr="00D80CFC" w:rsidRDefault="00882C90" w:rsidP="000C1C0F">
      <w:pPr>
        <w:pStyle w:val="BodyText"/>
      </w:pPr>
      <w:r>
        <w:t xml:space="preserve">The circumstances in which the exemption applies </w:t>
      </w:r>
      <w:r w:rsidR="00A86B83">
        <w:t>ar</w:t>
      </w:r>
      <w:r w:rsidR="00D579D6">
        <w:t>e</w:t>
      </w:r>
      <w:r>
        <w:t xml:space="preserve"> reasonably clear and </w:t>
      </w:r>
      <w:r w:rsidR="00D579D6">
        <w:t xml:space="preserve">appear </w:t>
      </w:r>
      <w:r w:rsidR="00A86B83">
        <w:t>to follow standard practice in other countries</w:t>
      </w:r>
      <w:r w:rsidR="00995483">
        <w:t>.</w:t>
      </w:r>
      <w:r w:rsidR="004C60C4">
        <w:t xml:space="preserve"> For instance, in 2002 the New Zealand Government amended </w:t>
      </w:r>
      <w:r w:rsidR="00E5477F">
        <w:t xml:space="preserve">its </w:t>
      </w:r>
      <w:r w:rsidR="004C60C4">
        <w:t>Patents Act to exempt third parties from patent infringement for purposes related to gaining regulatory approval (ACIP</w:t>
      </w:r>
      <w:r w:rsidR="005F184B">
        <w:t> </w:t>
      </w:r>
      <w:r w:rsidR="004C60C4">
        <w:t>2005</w:t>
      </w:r>
      <w:r w:rsidR="00921234">
        <w:t>b</w:t>
      </w:r>
      <w:r w:rsidR="004C60C4">
        <w:t xml:space="preserve">). In the United States, </w:t>
      </w:r>
      <w:r w:rsidR="005A4C20">
        <w:t xml:space="preserve">only </w:t>
      </w:r>
      <w:r w:rsidR="004C60C4">
        <w:t xml:space="preserve">generic pharmaceutical companies </w:t>
      </w:r>
      <w:r w:rsidR="005A4C20">
        <w:t xml:space="preserve">have a research exemption, provided through the Hatch-Waxman Act </w:t>
      </w:r>
      <w:r w:rsidR="004C60C4">
        <w:t>(Thomas 2012).</w:t>
      </w:r>
      <w:r w:rsidR="00BC3206">
        <w:t xml:space="preserve"> Regulatory </w:t>
      </w:r>
      <w:r w:rsidR="00BC3206">
        <w:lastRenderedPageBreak/>
        <w:t>and research exemptions in comparable markets are discussed in more detail in appendix C.</w:t>
      </w:r>
    </w:p>
    <w:p w:rsidR="00D41832" w:rsidRDefault="00E5477F" w:rsidP="000C1C0F">
      <w:pPr>
        <w:pStyle w:val="BodyText"/>
      </w:pPr>
      <w:r>
        <w:t xml:space="preserve">The reforms are likely to increase competition in the initial period following the expiry of the patent. While </w:t>
      </w:r>
      <w:r w:rsidR="000C1C0F">
        <w:t xml:space="preserve">the return to innovation (and the incentive to innovate) might be lower as a result of </w:t>
      </w:r>
      <w:r w:rsidR="00F676A8">
        <w:t xml:space="preserve">the regulatory use </w:t>
      </w:r>
      <w:r w:rsidR="000C1C0F">
        <w:t>exemption</w:t>
      </w:r>
      <w:r>
        <w:t xml:space="preserve">, the de facto extension of the patent period was an </w:t>
      </w:r>
      <w:r w:rsidR="002D6BBA">
        <w:t>un</w:t>
      </w:r>
      <w:r>
        <w:t>intended consequence of the regulatory approval process.</w:t>
      </w:r>
      <w:r w:rsidR="000C1C0F">
        <w:t xml:space="preserve"> </w:t>
      </w:r>
      <w:r w:rsidR="00B121CF">
        <w:t>If</w:t>
      </w:r>
      <w:r>
        <w:t xml:space="preserve"> a patent term of 20 years is optimal</w:t>
      </w:r>
      <w:r w:rsidR="00B121CF">
        <w:t>,</w:t>
      </w:r>
      <w:r w:rsidR="00BC56DB">
        <w:t xml:space="preserve"> </w:t>
      </w:r>
      <w:r>
        <w:t xml:space="preserve">the community </w:t>
      </w:r>
      <w:r w:rsidR="00B121CF">
        <w:t xml:space="preserve">would be </w:t>
      </w:r>
      <w:r>
        <w:t xml:space="preserve">worse off as a result of </w:t>
      </w:r>
      <w:r w:rsidR="00BC3206">
        <w:t>any</w:t>
      </w:r>
      <w:r w:rsidR="009B79E5">
        <w:t xml:space="preserve"> unintended</w:t>
      </w:r>
      <w:r w:rsidR="00BC3206">
        <w:t xml:space="preserve"> </w:t>
      </w:r>
      <w:r>
        <w:t>patent extension</w:t>
      </w:r>
      <w:r w:rsidR="00BC3206">
        <w:t xml:space="preserve">, and the reforms </w:t>
      </w:r>
      <w:r w:rsidR="009B79E5">
        <w:t xml:space="preserve">aim to </w:t>
      </w:r>
      <w:r w:rsidR="00BC3206">
        <w:t>correct this situation.</w:t>
      </w:r>
      <w:r w:rsidR="00D41832">
        <w:t xml:space="preserve"> </w:t>
      </w:r>
    </w:p>
    <w:p w:rsidR="000C1C0F" w:rsidRDefault="000C1C0F" w:rsidP="00785477">
      <w:pPr>
        <w:pStyle w:val="Heading4"/>
      </w:pPr>
      <w:r>
        <w:t xml:space="preserve">Interaction with other </w:t>
      </w:r>
      <w:r w:rsidR="004C3785">
        <w:t xml:space="preserve">forms of non-voluntary </w:t>
      </w:r>
      <w:r>
        <w:t>access</w:t>
      </w:r>
    </w:p>
    <w:p w:rsidR="0079441E" w:rsidRDefault="002225BF" w:rsidP="00AB33D4">
      <w:pPr>
        <w:pStyle w:val="BodyText"/>
      </w:pPr>
      <w:r>
        <w:t>The Australian Government envisaged that</w:t>
      </w:r>
      <w:r w:rsidR="0079441E">
        <w:t xml:space="preserve"> the </w:t>
      </w:r>
      <w:r>
        <w:t xml:space="preserve">regulatory approval </w:t>
      </w:r>
      <w:r w:rsidR="0079441E">
        <w:t xml:space="preserve">exemption would not impact on </w:t>
      </w:r>
      <w:r>
        <w:t>a</w:t>
      </w:r>
      <w:r w:rsidR="0079441E">
        <w:t xml:space="preserve"> patent holder</w:t>
      </w:r>
      <w:r>
        <w:t>’</w:t>
      </w:r>
      <w:r w:rsidR="0079441E">
        <w:t xml:space="preserve">s commercial interests during the term of the patent. </w:t>
      </w:r>
      <w:r>
        <w:t xml:space="preserve">In contrast, </w:t>
      </w:r>
      <w:r w:rsidR="0079441E">
        <w:t xml:space="preserve">compulsory licensing and Crown use provisions relate to circumstances during the patent term, </w:t>
      </w:r>
      <w:r w:rsidR="00523D1B">
        <w:t xml:space="preserve">and so </w:t>
      </w:r>
      <w:r w:rsidR="0079441E">
        <w:t xml:space="preserve">the </w:t>
      </w:r>
      <w:r>
        <w:t xml:space="preserve">regulatory approval </w:t>
      </w:r>
      <w:r w:rsidR="0079441E">
        <w:t>exemption is unlikely to provide a substitute for these provisions. Given that a compulsory</w:t>
      </w:r>
      <w:r w:rsidR="005F5158">
        <w:t xml:space="preserve"> licence may be granted</w:t>
      </w:r>
      <w:r w:rsidR="004C3785">
        <w:t xml:space="preserve"> </w:t>
      </w:r>
      <w:r w:rsidR="005F5158">
        <w:t>during the patent term</w:t>
      </w:r>
      <w:r w:rsidR="004C3785">
        <w:t xml:space="preserve"> when</w:t>
      </w:r>
      <w:r w:rsidR="0079441E">
        <w:t xml:space="preserve"> a patent holder engages in anticompetitive practices, </w:t>
      </w:r>
      <w:r w:rsidR="005F5158">
        <w:t>the exemption complement</w:t>
      </w:r>
      <w:r w:rsidR="00523D1B">
        <w:t>s</w:t>
      </w:r>
      <w:r w:rsidR="005F5158">
        <w:t xml:space="preserve"> the c</w:t>
      </w:r>
      <w:r w:rsidR="00A86B83">
        <w:t>ompulsory licensing provisions.</w:t>
      </w:r>
    </w:p>
    <w:p w:rsidR="00041601" w:rsidRDefault="00D90F05" w:rsidP="008A705B">
      <w:pPr>
        <w:pStyle w:val="Heading2"/>
      </w:pPr>
      <w:fldSimple w:instr=" COMMENTS  \* MERGEFORMAT ">
        <w:r w:rsidR="00BC1317">
          <w:t>8.</w:t>
        </w:r>
      </w:fldSimple>
      <w:fldSimple w:instr=" SEQ Heading2 ">
        <w:r w:rsidR="001F76DB">
          <w:rPr>
            <w:noProof/>
          </w:rPr>
          <w:t>3</w:t>
        </w:r>
      </w:fldSimple>
      <w:r w:rsidR="008A705B">
        <w:tab/>
      </w:r>
      <w:r w:rsidR="00E87181">
        <w:t>Compulsory licences for pharmaceutical exports</w:t>
      </w:r>
    </w:p>
    <w:p w:rsidR="00CF2330" w:rsidRDefault="00511163" w:rsidP="008A705B">
      <w:pPr>
        <w:pStyle w:val="BodyText"/>
      </w:pPr>
      <w:r>
        <w:t xml:space="preserve">In 2011, the </w:t>
      </w:r>
      <w:r w:rsidR="00FF3891">
        <w:t>Australian Government</w:t>
      </w:r>
      <w:r>
        <w:t xml:space="preserve"> </w:t>
      </w:r>
      <w:r w:rsidR="0066138E">
        <w:t>announced</w:t>
      </w:r>
      <w:r>
        <w:t xml:space="preserve"> its intention to introduce legislation to allow the issuing of compulsory licence</w:t>
      </w:r>
      <w:r w:rsidR="009C7A6C">
        <w:t>s</w:t>
      </w:r>
      <w:r>
        <w:t xml:space="preserve"> in Australia</w:t>
      </w:r>
      <w:r w:rsidR="00656070">
        <w:t>,</w:t>
      </w:r>
      <w:r>
        <w:t xml:space="preserve"> for the purposes of exporting pharmaceuticals to developing countries (Carr </w:t>
      </w:r>
      <w:r w:rsidR="00204D45">
        <w:t xml:space="preserve">and Emerson </w:t>
      </w:r>
      <w:r>
        <w:t xml:space="preserve">2011). </w:t>
      </w:r>
      <w:r w:rsidR="009A75F0">
        <w:t>This would implement an</w:t>
      </w:r>
      <w:r w:rsidR="00CF2330">
        <w:t xml:space="preserve"> agreement </w:t>
      </w:r>
      <w:r w:rsidR="009A75F0">
        <w:t>negotiated by the W</w:t>
      </w:r>
      <w:r w:rsidR="009147D3">
        <w:t xml:space="preserve">orld </w:t>
      </w:r>
      <w:r w:rsidR="009A75F0">
        <w:t>T</w:t>
      </w:r>
      <w:r w:rsidR="009147D3">
        <w:t xml:space="preserve">rade </w:t>
      </w:r>
      <w:r w:rsidR="009A75F0">
        <w:t>O</w:t>
      </w:r>
      <w:r w:rsidR="009147D3">
        <w:t>rganisation</w:t>
      </w:r>
      <w:r w:rsidR="009A75F0">
        <w:t xml:space="preserve"> </w:t>
      </w:r>
      <w:r w:rsidR="009147D3">
        <w:t xml:space="preserve">(WTO) </w:t>
      </w:r>
      <w:r w:rsidR="000A770C">
        <w:t xml:space="preserve">(through a 2003 WTO General Council decision and the TRIPS Protocol) </w:t>
      </w:r>
      <w:r w:rsidR="009A75F0">
        <w:t xml:space="preserve">to address the issue of access to medicines in developing countries (appendix D). </w:t>
      </w:r>
    </w:p>
    <w:p w:rsidR="003A44FB" w:rsidRDefault="00F418D2" w:rsidP="00785477">
      <w:pPr>
        <w:pStyle w:val="Heading3"/>
      </w:pPr>
      <w:r>
        <w:t>P</w:t>
      </w:r>
      <w:r w:rsidR="003A44FB">
        <w:t>roposed amendments</w:t>
      </w:r>
    </w:p>
    <w:p w:rsidR="001B03A3" w:rsidRDefault="00CF2330" w:rsidP="00785477">
      <w:pPr>
        <w:pStyle w:val="BodyText"/>
        <w:tabs>
          <w:tab w:val="left" w:pos="1701"/>
        </w:tabs>
      </w:pPr>
      <w:r>
        <w:t>A draft of the legislation, which contained proposed amendments to the Patents Act, was released in August 2012 for comment (</w:t>
      </w:r>
      <w:r w:rsidR="00146A71">
        <w:t>IP Australia 2012e</w:t>
      </w:r>
      <w:r>
        <w:t xml:space="preserve">). </w:t>
      </w:r>
      <w:r w:rsidR="00E330DB">
        <w:t xml:space="preserve">The </w:t>
      </w:r>
      <w:r w:rsidR="00E04FDE">
        <w:t xml:space="preserve">draft </w:t>
      </w:r>
      <w:r w:rsidR="00E330DB">
        <w:t xml:space="preserve">Bill proposes the </w:t>
      </w:r>
      <w:r w:rsidR="001B03A3">
        <w:t>creat</w:t>
      </w:r>
      <w:r w:rsidR="00E330DB">
        <w:t>ion of</w:t>
      </w:r>
      <w:r w:rsidR="001B03A3">
        <w:t xml:space="preserve"> two classes of compulsory licen</w:t>
      </w:r>
      <w:r w:rsidR="0049680B">
        <w:t>c</w:t>
      </w:r>
      <w:r w:rsidR="001B03A3">
        <w:t>es</w:t>
      </w:r>
      <w:r w:rsidR="00785477">
        <w:t>:</w:t>
      </w:r>
    </w:p>
    <w:p w:rsidR="001B03A3" w:rsidRDefault="000F547F" w:rsidP="001B03A3">
      <w:pPr>
        <w:pStyle w:val="ListBullet"/>
      </w:pPr>
      <w:r>
        <w:t>g</w:t>
      </w:r>
      <w:r w:rsidR="001B03A3">
        <w:t xml:space="preserve">eneral </w:t>
      </w:r>
      <w:r w:rsidR="004A5B5F">
        <w:t xml:space="preserve">compulsory </w:t>
      </w:r>
      <w:r w:rsidR="001B03A3">
        <w:t>licences</w:t>
      </w:r>
      <w:r w:rsidR="008406F1">
        <w:t xml:space="preserve"> (the current provisions in the Patents Act)</w:t>
      </w:r>
    </w:p>
    <w:p w:rsidR="000C04CA" w:rsidRDefault="00FF3891" w:rsidP="000C04CA">
      <w:pPr>
        <w:pStyle w:val="ListBullet"/>
      </w:pPr>
      <w:r>
        <w:t>p</w:t>
      </w:r>
      <w:r w:rsidR="004A5B5F">
        <w:t xml:space="preserve">atented </w:t>
      </w:r>
      <w:r>
        <w:t>p</w:t>
      </w:r>
      <w:r w:rsidR="004A5B5F">
        <w:t xml:space="preserve">harmaceutical </w:t>
      </w:r>
      <w:r>
        <w:t>i</w:t>
      </w:r>
      <w:r w:rsidR="004A5B5F">
        <w:t>nvention</w:t>
      </w:r>
      <w:r w:rsidR="00BA2A58">
        <w:t xml:space="preserve"> (PPI)</w:t>
      </w:r>
      <w:r w:rsidR="004A5B5F">
        <w:t xml:space="preserve"> compulsory licences</w:t>
      </w:r>
      <w:r w:rsidR="00E04FDE">
        <w:t xml:space="preserve"> (box </w:t>
      </w:r>
      <w:r w:rsidR="00E04FDE">
        <w:fldChar w:fldCharType="begin"/>
      </w:r>
      <w:r w:rsidR="00E04FDE">
        <w:instrText xml:space="preserve"> LINK Word.Document.12 "\\\\mel_1\\groups\\InquiryC\\Patents\\Final Report\\Chapter 8 (Other forms on non-voluntary access).docx" "OLE_LINK4" \a \t </w:instrText>
      </w:r>
      <w:r w:rsidR="00E04FDE">
        <w:fldChar w:fldCharType="separate"/>
      </w:r>
      <w:r w:rsidR="00E04FDE">
        <w:t>8.3</w:t>
      </w:r>
      <w:r w:rsidR="00E04FDE">
        <w:fldChar w:fldCharType="end"/>
      </w:r>
      <w:r w:rsidR="00E04FDE">
        <w:t>)</w:t>
      </w:r>
      <w:r w:rsidR="00D46E02">
        <w:t>.</w:t>
      </w:r>
    </w:p>
    <w:p w:rsidR="002F14C3" w:rsidRDefault="000C04CA" w:rsidP="002F14C3">
      <w:pPr>
        <w:pStyle w:val="BodyText"/>
      </w:pPr>
      <w:r>
        <w:lastRenderedPageBreak/>
        <w:t>T</w:t>
      </w:r>
      <w:r w:rsidR="00BA2A58">
        <w:t xml:space="preserve">he </w:t>
      </w:r>
      <w:r w:rsidR="004B0FBB">
        <w:t xml:space="preserve">draft </w:t>
      </w:r>
      <w:r w:rsidR="00451C31">
        <w:t>B</w:t>
      </w:r>
      <w:r w:rsidR="00BA2A58">
        <w:t xml:space="preserve">ill </w:t>
      </w:r>
      <w:r>
        <w:t xml:space="preserve">would also </w:t>
      </w:r>
      <w:r w:rsidR="00451C31">
        <w:t xml:space="preserve">introduce provisions </w:t>
      </w:r>
      <w:r w:rsidR="00CF2330">
        <w:t>o</w:t>
      </w:r>
      <w:r w:rsidR="00451C31">
        <w:t xml:space="preserve">n the </w:t>
      </w:r>
      <w:r w:rsidR="00BA2A58">
        <w:t xml:space="preserve">terms of </w:t>
      </w:r>
      <w:r w:rsidR="00451C31">
        <w:t xml:space="preserve">a </w:t>
      </w:r>
      <w:r w:rsidR="00BA2A58">
        <w:t xml:space="preserve">PPI compulsory licence, cross-licensing, and amendment and revocation of </w:t>
      </w:r>
      <w:r w:rsidR="008564A4">
        <w:t xml:space="preserve">a </w:t>
      </w:r>
      <w:r w:rsidR="00BA2A58">
        <w:t>PPI compulsory licence.</w:t>
      </w:r>
    </w:p>
    <w:p w:rsidR="002F14C3" w:rsidRDefault="002F14C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F14C3">
        <w:tc>
          <w:tcPr>
            <w:tcW w:w="8771" w:type="dxa"/>
            <w:tcBorders>
              <w:top w:val="single" w:sz="6" w:space="0" w:color="auto"/>
              <w:bottom w:val="nil"/>
            </w:tcBorders>
          </w:tcPr>
          <w:p w:rsidR="002F14C3" w:rsidRDefault="002F14C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8.</w:t>
            </w:r>
            <w:r>
              <w:rPr>
                <w:b w:val="0"/>
              </w:rPr>
              <w:fldChar w:fldCharType="end"/>
            </w:r>
            <w:r>
              <w:rPr>
                <w:b w:val="0"/>
              </w:rPr>
              <w:fldChar w:fldCharType="begin"/>
            </w:r>
            <w:r>
              <w:rPr>
                <w:b w:val="0"/>
              </w:rPr>
              <w:instrText xml:space="preserve"> SEQ Box \* ARABIC </w:instrText>
            </w:r>
            <w:r>
              <w:rPr>
                <w:b w:val="0"/>
              </w:rPr>
              <w:fldChar w:fldCharType="separate"/>
            </w:r>
            <w:r w:rsidR="001F76DB">
              <w:rPr>
                <w:b w:val="0"/>
                <w:noProof/>
              </w:rPr>
              <w:t>3</w:t>
            </w:r>
            <w:r>
              <w:rPr>
                <w:b w:val="0"/>
              </w:rPr>
              <w:fldChar w:fldCharType="end"/>
            </w:r>
            <w:r>
              <w:tab/>
              <w:t xml:space="preserve">Proposed section </w:t>
            </w:r>
            <w:proofErr w:type="spellStart"/>
            <w:r>
              <w:t>136D</w:t>
            </w:r>
            <w:proofErr w:type="spellEnd"/>
          </w:p>
        </w:tc>
      </w:tr>
      <w:tr w:rsidR="002F14C3">
        <w:trPr>
          <w:cantSplit/>
        </w:trPr>
        <w:tc>
          <w:tcPr>
            <w:tcW w:w="8771" w:type="dxa"/>
            <w:tcBorders>
              <w:top w:val="nil"/>
              <w:left w:val="single" w:sz="6" w:space="0" w:color="auto"/>
              <w:bottom w:val="nil"/>
              <w:right w:val="single" w:sz="6" w:space="0" w:color="auto"/>
            </w:tcBorders>
          </w:tcPr>
          <w:p w:rsidR="002F14C3" w:rsidRDefault="002F14C3" w:rsidP="002F14C3">
            <w:pPr>
              <w:pStyle w:val="Box"/>
              <w:numPr>
                <w:ilvl w:val="0"/>
                <w:numId w:val="41"/>
              </w:numPr>
              <w:ind w:left="403" w:hanging="403"/>
              <w:rPr>
                <w:szCs w:val="24"/>
              </w:rPr>
            </w:pPr>
            <w:r>
              <w:t>After hearing an application under section 136C, the Federal Court</w:t>
            </w:r>
            <w:r>
              <w:rPr>
                <w:sz w:val="16"/>
                <w:szCs w:val="16"/>
              </w:rPr>
              <w:t xml:space="preserve"> </w:t>
            </w:r>
            <w:r>
              <w:t xml:space="preserve">may, </w:t>
            </w:r>
            <w:r w:rsidRPr="0086205B">
              <w:t>subject</w:t>
            </w:r>
            <w:r>
              <w:t xml:space="preserve"> to this Part, make the PPI order sought if the court is</w:t>
            </w:r>
            <w:r>
              <w:rPr>
                <w:sz w:val="16"/>
                <w:szCs w:val="16"/>
              </w:rPr>
              <w:t xml:space="preserve"> </w:t>
            </w:r>
            <w:r>
              <w:t xml:space="preserve">satisfied of all of the following matters: </w:t>
            </w:r>
          </w:p>
          <w:p w:rsidR="002F14C3" w:rsidRDefault="002F14C3" w:rsidP="002F14C3">
            <w:pPr>
              <w:pStyle w:val="BoxListBullet"/>
              <w:numPr>
                <w:ilvl w:val="0"/>
                <w:numId w:val="40"/>
              </w:numPr>
              <w:rPr>
                <w:szCs w:val="24"/>
              </w:rPr>
            </w:pPr>
            <w:r>
              <w:t xml:space="preserve">the application is made in good faith; </w:t>
            </w:r>
          </w:p>
          <w:p w:rsidR="002F14C3" w:rsidRDefault="002F14C3" w:rsidP="002F14C3">
            <w:pPr>
              <w:pStyle w:val="BoxListBullet"/>
              <w:numPr>
                <w:ilvl w:val="0"/>
                <w:numId w:val="40"/>
              </w:numPr>
              <w:rPr>
                <w:szCs w:val="24"/>
              </w:rPr>
            </w:pPr>
            <w:r>
              <w:t>the pharmaceutical product is to be imported:</w:t>
            </w:r>
          </w:p>
          <w:p w:rsidR="002F14C3" w:rsidRDefault="002F14C3" w:rsidP="002F14C3">
            <w:pPr>
              <w:pStyle w:val="BoxListBullet2"/>
              <w:numPr>
                <w:ilvl w:val="0"/>
                <w:numId w:val="45"/>
              </w:numPr>
              <w:rPr>
                <w:szCs w:val="24"/>
              </w:rPr>
            </w:pPr>
            <w:r>
              <w:t>by the eligible importing country; or</w:t>
            </w:r>
          </w:p>
          <w:p w:rsidR="002F14C3" w:rsidRPr="00684F9F" w:rsidRDefault="002F14C3" w:rsidP="002F14C3">
            <w:pPr>
              <w:pStyle w:val="BoxListBullet2"/>
              <w:numPr>
                <w:ilvl w:val="0"/>
                <w:numId w:val="45"/>
              </w:numPr>
              <w:rPr>
                <w:szCs w:val="24"/>
              </w:rPr>
            </w:pPr>
            <w:r>
              <w:t>on behalf of, and with the authorisation of, the eligible importing country;</w:t>
            </w:r>
          </w:p>
          <w:p w:rsidR="002F14C3" w:rsidRDefault="002F14C3" w:rsidP="002F14C3">
            <w:pPr>
              <w:pStyle w:val="BoxListBullet"/>
              <w:numPr>
                <w:ilvl w:val="0"/>
                <w:numId w:val="40"/>
              </w:numPr>
              <w:rPr>
                <w:szCs w:val="24"/>
              </w:rPr>
            </w:pPr>
            <w:r>
              <w:t xml:space="preserve">the proposed use of the pharmaceutical product is to address a public health problem in the eligible importing country: </w:t>
            </w:r>
          </w:p>
          <w:p w:rsidR="002F14C3" w:rsidRDefault="002F14C3" w:rsidP="002F14C3">
            <w:pPr>
              <w:pStyle w:val="BoxListBullet2"/>
              <w:numPr>
                <w:ilvl w:val="0"/>
                <w:numId w:val="21"/>
              </w:numPr>
              <w:rPr>
                <w:szCs w:val="24"/>
              </w:rPr>
            </w:pPr>
            <w:r>
              <w:t>in circumstances of national emergency, or other circumstances of extreme urgency, in that country; or</w:t>
            </w:r>
          </w:p>
          <w:p w:rsidR="002F14C3" w:rsidRDefault="002F14C3" w:rsidP="002F14C3">
            <w:pPr>
              <w:pStyle w:val="BoxListBullet2"/>
              <w:numPr>
                <w:ilvl w:val="0"/>
                <w:numId w:val="21"/>
              </w:numPr>
              <w:rPr>
                <w:sz w:val="16"/>
                <w:szCs w:val="16"/>
              </w:rPr>
            </w:pPr>
            <w:r>
              <w:t xml:space="preserve">in other circumstances—by the public non-commercial use of the pharmaceutical product in that country; </w:t>
            </w:r>
          </w:p>
          <w:p w:rsidR="002F14C3" w:rsidRDefault="002F14C3" w:rsidP="002F14C3">
            <w:pPr>
              <w:pStyle w:val="BoxListBullet"/>
              <w:numPr>
                <w:ilvl w:val="0"/>
                <w:numId w:val="40"/>
              </w:numPr>
              <w:rPr>
                <w:szCs w:val="24"/>
              </w:rPr>
            </w:pPr>
            <w:r>
              <w:t>working the patented pharmaceutical invention is necessary to enable the import and proposed use of the pharmaceutical product as mentioned in paragraphs (b) and (c);</w:t>
            </w:r>
          </w:p>
          <w:p w:rsidR="002F14C3" w:rsidRDefault="002F14C3" w:rsidP="002F14C3">
            <w:pPr>
              <w:pStyle w:val="BoxListBullet"/>
              <w:numPr>
                <w:ilvl w:val="0"/>
                <w:numId w:val="40"/>
              </w:numPr>
              <w:rPr>
                <w:szCs w:val="24"/>
              </w:rPr>
            </w:pPr>
            <w:r>
              <w:t>if subparagraph (c)(ii) applies:</w:t>
            </w:r>
          </w:p>
          <w:p w:rsidR="002F14C3" w:rsidRDefault="002F14C3" w:rsidP="002F14C3">
            <w:pPr>
              <w:pStyle w:val="BoxListBullet2"/>
              <w:numPr>
                <w:ilvl w:val="0"/>
                <w:numId w:val="20"/>
              </w:numPr>
              <w:rPr>
                <w:szCs w:val="24"/>
              </w:rPr>
            </w:pPr>
            <w:r>
              <w:t>the PPI order applicant has given the patentee a notice</w:t>
            </w:r>
            <w:r>
              <w:rPr>
                <w:sz w:val="16"/>
                <w:szCs w:val="16"/>
              </w:rPr>
              <w:t xml:space="preserve"> </w:t>
            </w:r>
            <w:r>
              <w:t xml:space="preserve">in the approved form seeking from the patentee an authorisation to work the patented pharmaceutical invention for public non-commercial use; and </w:t>
            </w:r>
          </w:p>
          <w:p w:rsidR="002F14C3" w:rsidRDefault="002F14C3" w:rsidP="002F14C3">
            <w:pPr>
              <w:pStyle w:val="BoxListBullet2"/>
              <w:numPr>
                <w:ilvl w:val="0"/>
                <w:numId w:val="20"/>
              </w:numPr>
              <w:rPr>
                <w:szCs w:val="24"/>
              </w:rPr>
            </w:pPr>
            <w:r>
              <w:t xml:space="preserve">during the 30 days beginning when the notice was given, the PPI order applicant has tried, without success, to obtain such an authorisation from the patentee on reasonable terms and conditions; </w:t>
            </w:r>
          </w:p>
          <w:p w:rsidR="002F14C3" w:rsidRDefault="002F14C3" w:rsidP="002F14C3">
            <w:pPr>
              <w:pStyle w:val="BoxListBullet"/>
              <w:numPr>
                <w:ilvl w:val="0"/>
                <w:numId w:val="40"/>
              </w:numPr>
              <w:rPr>
                <w:szCs w:val="24"/>
              </w:rPr>
            </w:pPr>
            <w:r>
              <w:t>the notification requirements prescribed by the regulations in relation to the importation of the pharmaceutical product have been complied with;</w:t>
            </w:r>
          </w:p>
          <w:p w:rsidR="002F14C3" w:rsidRDefault="002F14C3" w:rsidP="002F14C3">
            <w:pPr>
              <w:pStyle w:val="BoxListBullet"/>
              <w:numPr>
                <w:ilvl w:val="0"/>
                <w:numId w:val="40"/>
              </w:numPr>
              <w:rPr>
                <w:sz w:val="16"/>
                <w:szCs w:val="16"/>
              </w:rPr>
            </w:pPr>
            <w:r>
              <w:t>the PPI order applicant and the eligible importing country will take reasonable measures to prevent a pharmaceutical product that is exported from Australia in accordance with a</w:t>
            </w:r>
            <w:r>
              <w:rPr>
                <w:sz w:val="16"/>
                <w:szCs w:val="16"/>
              </w:rPr>
              <w:t xml:space="preserve"> </w:t>
            </w:r>
            <w:r>
              <w:t xml:space="preserve">PPI compulsory licence from being used for a purpose other than the purpose of addressing the public health problem mentioned in paragraph (c). </w:t>
            </w:r>
          </w:p>
          <w:p w:rsidR="002F14C3" w:rsidRDefault="002F14C3" w:rsidP="002F14C3">
            <w:pPr>
              <w:pStyle w:val="Box"/>
            </w:pPr>
            <w:r>
              <w:t>Without limiting the matters that the court may take into account in deciding whether it is satisfied of a matter mentioned in</w:t>
            </w:r>
            <w:r w:rsidRPr="00684F9F">
              <w:rPr>
                <w:sz w:val="16"/>
                <w:szCs w:val="16"/>
              </w:rPr>
              <w:t xml:space="preserve"> </w:t>
            </w:r>
            <w:r>
              <w:t>subsection (1), the court must take into account any matters prescribed by the regulations.</w:t>
            </w:r>
          </w:p>
        </w:tc>
      </w:tr>
      <w:tr w:rsidR="002F14C3">
        <w:trPr>
          <w:cantSplit/>
        </w:trPr>
        <w:tc>
          <w:tcPr>
            <w:tcW w:w="8771" w:type="dxa"/>
            <w:tcBorders>
              <w:top w:val="nil"/>
              <w:left w:val="single" w:sz="6" w:space="0" w:color="auto"/>
              <w:bottom w:val="nil"/>
              <w:right w:val="single" w:sz="6" w:space="0" w:color="auto"/>
            </w:tcBorders>
          </w:tcPr>
          <w:p w:rsidR="002F14C3" w:rsidRDefault="002F14C3" w:rsidP="00D32751">
            <w:pPr>
              <w:pStyle w:val="BoxSource"/>
            </w:pPr>
            <w:r>
              <w:rPr>
                <w:i/>
              </w:rPr>
              <w:t>Source</w:t>
            </w:r>
            <w:r w:rsidRPr="005857CE">
              <w:t>:</w:t>
            </w:r>
            <w:r w:rsidR="00D32751">
              <w:t xml:space="preserve"> IP Australia (2012e)</w:t>
            </w:r>
            <w:r>
              <w:t>.</w:t>
            </w:r>
          </w:p>
        </w:tc>
      </w:tr>
      <w:tr w:rsidR="002F14C3">
        <w:trPr>
          <w:cantSplit/>
        </w:trPr>
        <w:tc>
          <w:tcPr>
            <w:tcW w:w="8771" w:type="dxa"/>
            <w:tcBorders>
              <w:top w:val="nil"/>
              <w:left w:val="single" w:sz="6" w:space="0" w:color="auto"/>
              <w:bottom w:val="single" w:sz="6" w:space="0" w:color="auto"/>
              <w:right w:val="single" w:sz="6" w:space="0" w:color="auto"/>
            </w:tcBorders>
          </w:tcPr>
          <w:p w:rsidR="002F14C3" w:rsidRDefault="00E74E37" w:rsidP="00E74E37">
            <w:pPr>
              <w:pStyle w:val="Box"/>
              <w:tabs>
                <w:tab w:val="left" w:pos="3765"/>
              </w:tabs>
              <w:spacing w:before="0" w:line="120" w:lineRule="exact"/>
            </w:pPr>
            <w:r>
              <w:tab/>
            </w:r>
          </w:p>
        </w:tc>
      </w:tr>
      <w:tr w:rsidR="002F14C3" w:rsidRPr="000863A5">
        <w:trPr>
          <w:hidden/>
        </w:trPr>
        <w:tc>
          <w:tcPr>
            <w:tcW w:w="8771" w:type="dxa"/>
            <w:tcBorders>
              <w:top w:val="nil"/>
              <w:left w:val="nil"/>
              <w:bottom w:val="nil"/>
              <w:right w:val="nil"/>
            </w:tcBorders>
          </w:tcPr>
          <w:p w:rsidR="002F14C3" w:rsidRPr="00626D32" w:rsidRDefault="002F14C3" w:rsidP="002F14C3">
            <w:pPr>
              <w:pStyle w:val="BoxSpaceBelow"/>
            </w:pPr>
            <w:r w:rsidRPr="00626D32">
              <w:rPr>
                <w:rFonts w:ascii="Times New Roman" w:hAnsi="Times New Roman"/>
                <w:b/>
                <w:vanish/>
                <w:color w:val="FF00FF"/>
              </w:rPr>
              <w:t>Do not delete this ROW as it gives space between the box and what follows it.</w:t>
            </w:r>
          </w:p>
        </w:tc>
      </w:tr>
    </w:tbl>
    <w:p w:rsidR="00DD6CF9" w:rsidRDefault="00DD6CF9" w:rsidP="00DD6CF9">
      <w:pPr>
        <w:pStyle w:val="Heading3"/>
      </w:pPr>
      <w:r>
        <w:lastRenderedPageBreak/>
        <w:t>Rationale and assessment</w:t>
      </w:r>
    </w:p>
    <w:p w:rsidR="00DD6CF9" w:rsidRDefault="00DD6CF9" w:rsidP="00DD6CF9">
      <w:pPr>
        <w:pStyle w:val="BodyText"/>
      </w:pPr>
      <w:r>
        <w:t>The reforms are chiefly motivated by concerns about access to medicines in developing countries, and reflect changes made to the</w:t>
      </w:r>
      <w:r w:rsidR="009147D3">
        <w:t xml:space="preserve"> </w:t>
      </w:r>
      <w:r w:rsidR="009147D3" w:rsidRPr="009147D3">
        <w:t>Agreement on Trade</w:t>
      </w:r>
      <w:r w:rsidR="005635C6">
        <w:t>-</w:t>
      </w:r>
      <w:r w:rsidR="009147D3" w:rsidRPr="009147D3">
        <w:t>Related Aspects of Intellectual Property Rights</w:t>
      </w:r>
      <w:r>
        <w:t xml:space="preserve"> </w:t>
      </w:r>
      <w:r w:rsidR="009147D3">
        <w:t>(</w:t>
      </w:r>
      <w:r>
        <w:t>TRIPS agreement</w:t>
      </w:r>
      <w:r w:rsidR="00146A71">
        <w:t>)</w:t>
      </w:r>
      <w:r>
        <w:t xml:space="preserve"> through the TRIPS Protocol (appendix D). The regulat</w:t>
      </w:r>
      <w:r w:rsidR="00D32751">
        <w:t>ion</w:t>
      </w:r>
      <w:r>
        <w:t xml:space="preserve"> impact statement for the proposed amendments stated that:</w:t>
      </w:r>
    </w:p>
    <w:p w:rsidR="00DD6CF9" w:rsidRDefault="00DD6CF9" w:rsidP="00DD6CF9">
      <w:pPr>
        <w:pStyle w:val="Quote"/>
      </w:pPr>
      <w:r>
        <w:t>Much of the world’s population is suffering from treatable diseases, with over 100 countries currently experiencing one or more serious epidemics. In 2009, an estimated 272 million people were infected with malaria, HIV/AIDS or tuberculosis causing 3.9 million deaths ... Many of the countries that are suffering such epidemics are developing or least</w:t>
      </w:r>
      <w:r>
        <w:noBreakHyphen/>
        <w:t>developed countries with limited resources and manufacturing capabilities. Such countries have difficulty obtaining and distributing the necessary medicines. (IP Australia 2011b, p. 1)</w:t>
      </w:r>
    </w:p>
    <w:p w:rsidR="00766C4B" w:rsidRDefault="00AF1F79" w:rsidP="00C36796">
      <w:pPr>
        <w:pStyle w:val="BodyText"/>
      </w:pPr>
      <w:r>
        <w:t>The reforms aim to address issues in the patent</w:t>
      </w:r>
      <w:r w:rsidR="00D32751">
        <w:t>s</w:t>
      </w:r>
      <w:r>
        <w:t xml:space="preserve"> system that</w:t>
      </w:r>
      <w:r w:rsidR="00766C4B">
        <w:t xml:space="preserve"> may be partly responsible for the limited availability of affordable medicine in developing countries:</w:t>
      </w:r>
    </w:p>
    <w:p w:rsidR="00766C4B" w:rsidRDefault="00766C4B" w:rsidP="00F3229A">
      <w:pPr>
        <w:pStyle w:val="Quote"/>
      </w:pPr>
      <w:r>
        <w:t>... issues arise where medicines are under patent, as some patent owners have shown themselves unwilling to practice price differentiation or to issue voluntary licences to generic manufac</w:t>
      </w:r>
      <w:r w:rsidR="00AF1F79">
        <w:t>turers to the necessary extent. (IP Australia 2011</w:t>
      </w:r>
      <w:r w:rsidR="005857CE">
        <w:t>b</w:t>
      </w:r>
      <w:r w:rsidR="00AF1F79">
        <w:t>, p. 5)</w:t>
      </w:r>
    </w:p>
    <w:p w:rsidR="00EB549C" w:rsidRDefault="00EB549C" w:rsidP="00EB549C">
      <w:pPr>
        <w:pStyle w:val="BodyText"/>
      </w:pPr>
      <w:r>
        <w:t>Several other countries have already implemented the TRIPS Protocol, including the European Union and Canada. To date, only one licence has been issued (in Canada in 2007). IP Australia (2011b) suggested that reasons for this include:</w:t>
      </w:r>
    </w:p>
    <w:p w:rsidR="00EB549C" w:rsidRDefault="00D110E8" w:rsidP="00EB549C">
      <w:pPr>
        <w:pStyle w:val="ListBullet"/>
      </w:pPr>
      <w:r>
        <w:t xml:space="preserve">the way in which the system has been implemented has been too complicated and </w:t>
      </w:r>
      <w:r w:rsidR="00EB549C">
        <w:t>the process of applying for a licence places too high a burden on applicants and importing countries</w:t>
      </w:r>
    </w:p>
    <w:p w:rsidR="00EB549C" w:rsidRDefault="00496CD9" w:rsidP="00EB549C">
      <w:pPr>
        <w:pStyle w:val="ListBullet"/>
      </w:pPr>
      <w:r>
        <w:t xml:space="preserve">that </w:t>
      </w:r>
      <w:r w:rsidR="00EB549C">
        <w:t>least-developed countries are not required to protect patent rights until 2016</w:t>
      </w:r>
    </w:p>
    <w:p w:rsidR="00EB549C" w:rsidRDefault="00496CD9" w:rsidP="00EB549C">
      <w:pPr>
        <w:pStyle w:val="ListBullet"/>
      </w:pPr>
      <w:r>
        <w:t xml:space="preserve">that </w:t>
      </w:r>
      <w:r w:rsidR="00EB549C" w:rsidRPr="00337AF3">
        <w:t xml:space="preserve">parallel importation from generic manufacturers in countries where </w:t>
      </w:r>
      <w:r w:rsidR="00EB549C" w:rsidRPr="00845D8D">
        <w:t xml:space="preserve">pharmaceutical </w:t>
      </w:r>
      <w:r w:rsidR="00EB549C" w:rsidRPr="000F328A">
        <w:t xml:space="preserve">products </w:t>
      </w:r>
      <w:r w:rsidR="00EB549C" w:rsidRPr="00414E3F">
        <w:t xml:space="preserve">are not protected by </w:t>
      </w:r>
      <w:r w:rsidR="00EB549C" w:rsidRPr="00F676A8">
        <w:t>patent</w:t>
      </w:r>
      <w:r w:rsidR="00EB549C" w:rsidRPr="001E1994">
        <w:t>s provides an alternative to the compulsory licensing provisions.</w:t>
      </w:r>
    </w:p>
    <w:p w:rsidR="006F0EE5" w:rsidRDefault="00CF2330" w:rsidP="00220B25">
      <w:pPr>
        <w:pStyle w:val="BodyText"/>
      </w:pPr>
      <w:r>
        <w:t>Dr</w:t>
      </w:r>
      <w:r w:rsidR="00C87B95">
        <w:t xml:space="preserve"> Matthew Rimmer </w:t>
      </w:r>
      <w:r w:rsidR="00220B25">
        <w:t xml:space="preserve">(sub. 11; sub. 15) </w:t>
      </w:r>
      <w:r>
        <w:t xml:space="preserve">claimed </w:t>
      </w:r>
      <w:r w:rsidR="00C87B95">
        <w:t>that</w:t>
      </w:r>
      <w:r>
        <w:t xml:space="preserve"> </w:t>
      </w:r>
      <w:r w:rsidR="00C87B95">
        <w:t xml:space="preserve">the </w:t>
      </w:r>
      <w:r w:rsidR="00220B25">
        <w:t>agreement negotiated by the WTO</w:t>
      </w:r>
      <w:r w:rsidR="00C87B95">
        <w:t xml:space="preserve">, and </w:t>
      </w:r>
      <w:r w:rsidR="00D82340">
        <w:t xml:space="preserve">hence </w:t>
      </w:r>
      <w:r w:rsidR="00C87B95">
        <w:t xml:space="preserve">Australia’s proposed Bill to implement it, </w:t>
      </w:r>
      <w:r w:rsidR="00220B25">
        <w:t>is</w:t>
      </w:r>
      <w:r w:rsidR="00C87B95">
        <w:t xml:space="preserve"> ineffective in </w:t>
      </w:r>
      <w:r w:rsidR="00003FB4">
        <w:t>facilitating</w:t>
      </w:r>
      <w:r w:rsidR="00C87B95">
        <w:t xml:space="preserve"> </w:t>
      </w:r>
      <w:r w:rsidR="00220B25">
        <w:t>developing</w:t>
      </w:r>
      <w:r w:rsidR="00220B25">
        <w:noBreakHyphen/>
        <w:t xml:space="preserve">country </w:t>
      </w:r>
      <w:r w:rsidR="00C87B95">
        <w:t>access to medicin</w:t>
      </w:r>
      <w:r w:rsidR="00220B25">
        <w:t xml:space="preserve">es. He argued that a better approach would be to exercise </w:t>
      </w:r>
      <w:r w:rsidR="00E720F3">
        <w:t>exist</w:t>
      </w:r>
      <w:r w:rsidR="00220B25">
        <w:t>ing provisions</w:t>
      </w:r>
      <w:r w:rsidR="003019A7">
        <w:t xml:space="preserve"> in </w:t>
      </w:r>
      <w:r w:rsidR="00003FB4">
        <w:t xml:space="preserve">the </w:t>
      </w:r>
      <w:r w:rsidR="003019A7">
        <w:t xml:space="preserve">TRIPS </w:t>
      </w:r>
      <w:r w:rsidR="00003FB4">
        <w:t>agreement</w:t>
      </w:r>
      <w:r w:rsidR="00220B25">
        <w:t>, which he claimed</w:t>
      </w:r>
      <w:r w:rsidR="00E720F3">
        <w:t xml:space="preserve"> Australia </w:t>
      </w:r>
      <w:r w:rsidR="00220B25">
        <w:t xml:space="preserve">could use </w:t>
      </w:r>
      <w:r w:rsidR="003019A7">
        <w:t xml:space="preserve">to </w:t>
      </w:r>
      <w:r w:rsidR="00C87B95">
        <w:t xml:space="preserve">legislate a </w:t>
      </w:r>
      <w:r w:rsidR="00220B25">
        <w:t xml:space="preserve">system </w:t>
      </w:r>
      <w:r w:rsidR="00E720F3">
        <w:t xml:space="preserve">for </w:t>
      </w:r>
      <w:r w:rsidR="00220B25">
        <w:t>export</w:t>
      </w:r>
      <w:r w:rsidR="00A240A0">
        <w:t>ing patented inventions</w:t>
      </w:r>
      <w:r w:rsidR="00C87B95">
        <w:t xml:space="preserve"> </w:t>
      </w:r>
      <w:r w:rsidR="00220B25">
        <w:t xml:space="preserve">on </w:t>
      </w:r>
      <w:r w:rsidR="00C87B95">
        <w:t xml:space="preserve">humanitarian </w:t>
      </w:r>
      <w:r w:rsidR="00220B25">
        <w:t xml:space="preserve">grounds </w:t>
      </w:r>
      <w:r w:rsidR="00E720F3">
        <w:t>(</w:t>
      </w:r>
      <w:r w:rsidR="00220B25">
        <w:t>including for products other than pharmaceuticals</w:t>
      </w:r>
      <w:r w:rsidR="006022D5">
        <w:t>)</w:t>
      </w:r>
      <w:r w:rsidR="003019A7">
        <w:t>.</w:t>
      </w:r>
      <w:r w:rsidR="00A240A0">
        <w:t xml:space="preserve"> </w:t>
      </w:r>
      <w:r w:rsidR="00E330DB">
        <w:t xml:space="preserve">However, the </w:t>
      </w:r>
      <w:r w:rsidR="00D32751">
        <w:t>regulation impact statement</w:t>
      </w:r>
      <w:r w:rsidR="00E330DB">
        <w:t xml:space="preserve"> argued that the legislative changes would implement the TRIPS Protocol ‘in a simpler and more </w:t>
      </w:r>
      <w:r w:rsidR="00E330DB">
        <w:lastRenderedPageBreak/>
        <w:t>efficient manner’ than in other jurisdictions which have adopted it so far (IP Australia 2011b</w:t>
      </w:r>
      <w:r w:rsidR="00ED07F8">
        <w:t>, p. 14</w:t>
      </w:r>
      <w:r w:rsidR="00E330DB">
        <w:t>).</w:t>
      </w:r>
    </w:p>
    <w:p w:rsidR="00ED07F8" w:rsidRDefault="00D82340" w:rsidP="009A75F0">
      <w:pPr>
        <w:pStyle w:val="BodyText"/>
      </w:pPr>
      <w:r>
        <w:t xml:space="preserve">The </w:t>
      </w:r>
      <w:r w:rsidR="004B0FBB">
        <w:t>reforms</w:t>
      </w:r>
      <w:r>
        <w:t xml:space="preserve"> </w:t>
      </w:r>
      <w:r w:rsidR="00E330DB">
        <w:t xml:space="preserve">seek </w:t>
      </w:r>
      <w:r>
        <w:t xml:space="preserve">to </w:t>
      </w:r>
      <w:r w:rsidR="0020353C">
        <w:t>benefit developing countries</w:t>
      </w:r>
      <w:r>
        <w:t xml:space="preserve"> by making medicines more accessible and affordable than otherwise</w:t>
      </w:r>
      <w:r w:rsidR="0020353C">
        <w:t xml:space="preserve">. </w:t>
      </w:r>
      <w:r>
        <w:t xml:space="preserve">This includes by encouraging </w:t>
      </w:r>
      <w:r w:rsidR="0020353C">
        <w:t>pharmaceutical companies to charge lower prices in eligible importing countries</w:t>
      </w:r>
      <w:r>
        <w:t>, rather than be subject to a compulsory licence</w:t>
      </w:r>
      <w:r w:rsidR="0020353C">
        <w:t>. Evidence from South Africa indicates that competition from generic manufacturers, and threats to issue compulsory licences, prompted several multinational pharmaceutical companies to lower the prices of HIV/AIDS medicines (Schoofs and Waldholz</w:t>
      </w:r>
      <w:r w:rsidR="005F184B">
        <w:t> 2</w:t>
      </w:r>
      <w:r w:rsidR="0020353C">
        <w:t>001). The W</w:t>
      </w:r>
      <w:r w:rsidR="00934847">
        <w:t xml:space="preserve">orld </w:t>
      </w:r>
      <w:r w:rsidR="0020353C">
        <w:t>H</w:t>
      </w:r>
      <w:r w:rsidR="00934847">
        <w:t xml:space="preserve">ealth </w:t>
      </w:r>
      <w:r w:rsidR="0020353C">
        <w:t>O</w:t>
      </w:r>
      <w:r w:rsidR="00934847">
        <w:t>rganisation</w:t>
      </w:r>
      <w:r w:rsidR="0020353C">
        <w:t xml:space="preserve"> found that competition from generic manufacturers lowered the annual per patient cost of HIV/AIDS medication from over US$10</w:t>
      </w:r>
      <w:r w:rsidR="00062D16">
        <w:t> </w:t>
      </w:r>
      <w:r w:rsidR="0020353C">
        <w:t>000</w:t>
      </w:r>
      <w:r w:rsidR="00062D16">
        <w:t> </w:t>
      </w:r>
      <w:r w:rsidR="0020353C">
        <w:t>in 2002</w:t>
      </w:r>
      <w:r w:rsidR="00D32751">
        <w:t>,</w:t>
      </w:r>
      <w:r w:rsidR="0020353C">
        <w:t xml:space="preserve"> to US$100 in 2010 (WTO 2010). According to Health Action International, the flexibilities provided by the TRIPS Protocol are an important strategy for bringing the price of vital medicines down and improving the availability and affordability of essential medicines (Ewen 2010)</w:t>
      </w:r>
      <w:r w:rsidR="00934847">
        <w:t>.</w:t>
      </w:r>
    </w:p>
    <w:p w:rsidR="00E330DB" w:rsidRDefault="00E330DB" w:rsidP="009A75F0">
      <w:pPr>
        <w:pStyle w:val="BodyText"/>
      </w:pPr>
      <w:r>
        <w:t xml:space="preserve">The Commission considers that an assessment of this issue is beyond the terms of reference for this inquiry. It was a matter for IP Australia to consider during its public consultation on the Bill (Dr Rimmmer also provided sub. 11 to IP Australia), and </w:t>
      </w:r>
      <w:r w:rsidR="00AE4BEF">
        <w:t xml:space="preserve">will also be open to scrutiny by </w:t>
      </w:r>
      <w:r>
        <w:t>Parliament</w:t>
      </w:r>
      <w:r w:rsidR="00AB4ADA">
        <w:t xml:space="preserve"> when the Bill is tabled</w:t>
      </w:r>
      <w:r>
        <w:t>.</w:t>
      </w:r>
    </w:p>
    <w:p w:rsidR="009F312B" w:rsidRDefault="009F312B" w:rsidP="00785477">
      <w:pPr>
        <w:pStyle w:val="Heading4"/>
      </w:pPr>
      <w:r>
        <w:t xml:space="preserve">Interaction with other </w:t>
      </w:r>
      <w:r w:rsidR="005768D9">
        <w:t>forms of non</w:t>
      </w:r>
      <w:r w:rsidR="005768D9">
        <w:noBreakHyphen/>
        <w:t>voluntary access</w:t>
      </w:r>
    </w:p>
    <w:p w:rsidR="007F7DF9" w:rsidRDefault="004F358F" w:rsidP="007F7DF9">
      <w:pPr>
        <w:pStyle w:val="BodyText"/>
      </w:pPr>
      <w:r>
        <w:t>The new compulsory licensing mechanism serves a very different purpose from the existing compulsory licensing and Crown use provisions. As such,</w:t>
      </w:r>
      <w:r w:rsidR="004C580F">
        <w:t xml:space="preserve"> it</w:t>
      </w:r>
      <w:r>
        <w:t xml:space="preserve"> </w:t>
      </w:r>
      <w:r w:rsidR="00ED5F85">
        <w:t xml:space="preserve">is not a substitute, and </w:t>
      </w:r>
      <w:r>
        <w:t xml:space="preserve">has </w:t>
      </w:r>
      <w:r w:rsidR="00DE5357">
        <w:t>lim</w:t>
      </w:r>
      <w:r w:rsidR="00746414">
        <w:t>ited relevance to this inquiry.</w:t>
      </w:r>
    </w:p>
    <w:sectPr w:rsidR="007F7DF9" w:rsidSect="00AC2398">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134" w:left="1814" w:header="1701" w:footer="567" w:gutter="0"/>
      <w:pgNumType w:start="18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FCF" w:rsidRDefault="00040FCF">
      <w:r>
        <w:separator/>
      </w:r>
    </w:p>
  </w:endnote>
  <w:endnote w:type="continuationSeparator" w:id="0">
    <w:p w:rsidR="00040FCF" w:rsidRDefault="00040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40FCF">
      <w:trPr>
        <w:trHeight w:hRule="exact" w:val="740"/>
      </w:trPr>
      <w:tc>
        <w:tcPr>
          <w:tcW w:w="510" w:type="dxa"/>
          <w:tcBorders>
            <w:top w:val="single" w:sz="6" w:space="0" w:color="auto"/>
          </w:tcBorders>
        </w:tcPr>
        <w:p w:rsidR="00040FCF" w:rsidRDefault="00040FC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A3FEC">
            <w:rPr>
              <w:rStyle w:val="PageNumber"/>
              <w:noProof/>
            </w:rPr>
            <w:t>194</w:t>
          </w:r>
          <w:r>
            <w:rPr>
              <w:rStyle w:val="PageNumber"/>
            </w:rPr>
            <w:fldChar w:fldCharType="end"/>
          </w:r>
        </w:p>
      </w:tc>
      <w:tc>
        <w:tcPr>
          <w:tcW w:w="1644" w:type="dxa"/>
          <w:tcBorders>
            <w:top w:val="single" w:sz="6" w:space="0" w:color="auto"/>
          </w:tcBorders>
        </w:tcPr>
        <w:p w:rsidR="00040FCF" w:rsidRDefault="00040FCF" w:rsidP="0019293B">
          <w:pPr>
            <w:pStyle w:val="Footer"/>
          </w:pPr>
          <w:r>
            <w:t>CompulsORY LICENSING OF PATENTS</w:t>
          </w:r>
        </w:p>
      </w:tc>
      <w:tc>
        <w:tcPr>
          <w:tcW w:w="6634" w:type="dxa"/>
        </w:tcPr>
        <w:p w:rsidR="00040FCF" w:rsidRDefault="00040FCF" w:rsidP="0019293B">
          <w:pPr>
            <w:pStyle w:val="Footer"/>
          </w:pPr>
        </w:p>
      </w:tc>
    </w:tr>
  </w:tbl>
  <w:p w:rsidR="00040FCF" w:rsidRDefault="00040F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40FCF">
      <w:trPr>
        <w:trHeight w:hRule="exact" w:val="740"/>
      </w:trPr>
      <w:tc>
        <w:tcPr>
          <w:tcW w:w="6634" w:type="dxa"/>
        </w:tcPr>
        <w:p w:rsidR="00040FCF" w:rsidRDefault="00040FCF">
          <w:pPr>
            <w:pStyle w:val="Footer"/>
            <w:ind w:right="360" w:firstLine="360"/>
          </w:pPr>
        </w:p>
      </w:tc>
      <w:tc>
        <w:tcPr>
          <w:tcW w:w="1644" w:type="dxa"/>
          <w:tcBorders>
            <w:top w:val="single" w:sz="6" w:space="0" w:color="auto"/>
          </w:tcBorders>
        </w:tcPr>
        <w:p w:rsidR="00040FCF" w:rsidRDefault="00D90F05" w:rsidP="001F419D">
          <w:pPr>
            <w:pStyle w:val="Footer"/>
          </w:pPr>
          <w:fldSimple w:instr=" TITLE  \* MERGEFORMAT ">
            <w:r w:rsidR="001F76DB">
              <w:t>Other forms of non-voluntary access</w:t>
            </w:r>
          </w:fldSimple>
        </w:p>
      </w:tc>
      <w:tc>
        <w:tcPr>
          <w:tcW w:w="510" w:type="dxa"/>
          <w:tcBorders>
            <w:top w:val="single" w:sz="6" w:space="0" w:color="auto"/>
          </w:tcBorders>
        </w:tcPr>
        <w:p w:rsidR="00040FCF" w:rsidRDefault="00040FCF">
          <w:pPr>
            <w:pStyle w:val="Footer"/>
            <w:jc w:val="right"/>
          </w:pPr>
          <w:r>
            <w:rPr>
              <w:rStyle w:val="PageNumber"/>
            </w:rPr>
            <w:fldChar w:fldCharType="begin"/>
          </w:r>
          <w:r>
            <w:rPr>
              <w:rStyle w:val="PageNumber"/>
            </w:rPr>
            <w:instrText xml:space="preserve">PAGE  </w:instrText>
          </w:r>
          <w:r>
            <w:rPr>
              <w:rStyle w:val="PageNumber"/>
            </w:rPr>
            <w:fldChar w:fldCharType="separate"/>
          </w:r>
          <w:r w:rsidR="004A3FEC">
            <w:rPr>
              <w:rStyle w:val="PageNumber"/>
              <w:noProof/>
            </w:rPr>
            <w:t>183</w:t>
          </w:r>
          <w:r>
            <w:rPr>
              <w:rStyle w:val="PageNumber"/>
            </w:rPr>
            <w:fldChar w:fldCharType="end"/>
          </w:r>
        </w:p>
      </w:tc>
    </w:tr>
  </w:tbl>
  <w:p w:rsidR="00040FCF" w:rsidRDefault="00040F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FCF" w:rsidRDefault="00040F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FCF" w:rsidRDefault="00040FCF">
      <w:r>
        <w:separator/>
      </w:r>
    </w:p>
  </w:footnote>
  <w:footnote w:type="continuationSeparator" w:id="0">
    <w:p w:rsidR="00040FCF" w:rsidRDefault="00040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40FCF">
      <w:tc>
        <w:tcPr>
          <w:tcW w:w="2155" w:type="dxa"/>
          <w:tcBorders>
            <w:top w:val="single" w:sz="24" w:space="0" w:color="auto"/>
          </w:tcBorders>
        </w:tcPr>
        <w:p w:rsidR="00040FCF" w:rsidRDefault="00040FCF" w:rsidP="0019293B">
          <w:pPr>
            <w:pStyle w:val="HeaderEven"/>
          </w:pPr>
        </w:p>
      </w:tc>
      <w:tc>
        <w:tcPr>
          <w:tcW w:w="6634" w:type="dxa"/>
          <w:tcBorders>
            <w:top w:val="single" w:sz="6" w:space="0" w:color="auto"/>
          </w:tcBorders>
        </w:tcPr>
        <w:p w:rsidR="00040FCF" w:rsidRDefault="00040FCF" w:rsidP="00BF2B15">
          <w:pPr>
            <w:pStyle w:val="HeaderEven"/>
            <w:tabs>
              <w:tab w:val="clear" w:pos="4394"/>
              <w:tab w:val="clear" w:pos="8789"/>
              <w:tab w:val="left" w:pos="2625"/>
            </w:tabs>
          </w:pPr>
        </w:p>
      </w:tc>
    </w:tr>
  </w:tbl>
  <w:p w:rsidR="00040FCF" w:rsidRDefault="00040FC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40FCF">
      <w:tc>
        <w:tcPr>
          <w:tcW w:w="6634" w:type="dxa"/>
          <w:tcBorders>
            <w:top w:val="single" w:sz="6" w:space="0" w:color="auto"/>
          </w:tcBorders>
        </w:tcPr>
        <w:p w:rsidR="00040FCF" w:rsidRDefault="00040FCF" w:rsidP="00E669E2">
          <w:pPr>
            <w:pStyle w:val="HeaderOdd"/>
          </w:pPr>
        </w:p>
      </w:tc>
      <w:tc>
        <w:tcPr>
          <w:tcW w:w="2155" w:type="dxa"/>
          <w:tcBorders>
            <w:top w:val="single" w:sz="24" w:space="0" w:color="auto"/>
          </w:tcBorders>
        </w:tcPr>
        <w:p w:rsidR="00040FCF" w:rsidRDefault="00040FCF" w:rsidP="00E669E2">
          <w:pPr>
            <w:pStyle w:val="HeaderOdd"/>
          </w:pPr>
        </w:p>
      </w:tc>
    </w:tr>
  </w:tbl>
  <w:p w:rsidR="00040FCF" w:rsidRDefault="00040FC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FCF" w:rsidRDefault="00040F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DAE"/>
    <w:multiLevelType w:val="hybridMultilevel"/>
    <w:tmpl w:val="B2E6A15C"/>
    <w:lvl w:ilvl="0" w:tplc="BAE21DA0">
      <w:start w:val="1"/>
      <w:numFmt w:val="decimal"/>
      <w:lvlText w:val="(%1)"/>
      <w:lvlJc w:val="left"/>
      <w:pPr>
        <w:ind w:left="720" w:hanging="360"/>
      </w:pPr>
      <w:rPr>
        <w:rFonts w:hint="default"/>
        <w:b w:val="0"/>
        <w:color w:val="auto"/>
        <w:sz w:val="22"/>
        <w:szCs w:val="22"/>
      </w:rPr>
    </w:lvl>
    <w:lvl w:ilvl="1" w:tplc="29E23064">
      <w:start w:val="1"/>
      <w:numFmt w:val="lowerLetter"/>
      <w:lvlText w:val="(%2)"/>
      <w:lvlJc w:val="left"/>
      <w:pPr>
        <w:ind w:left="1440" w:hanging="360"/>
      </w:pPr>
      <w:rPr>
        <w:rFonts w:hint="default"/>
        <w:sz w:val="22"/>
        <w:szCs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044E6F8E"/>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BA25C6"/>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EC642F4"/>
    <w:multiLevelType w:val="hybridMultilevel"/>
    <w:tmpl w:val="44E8CDC2"/>
    <w:lvl w:ilvl="0" w:tplc="29E23064">
      <w:start w:val="1"/>
      <w:numFmt w:val="lowerLetter"/>
      <w:lvlText w:val="(%1)"/>
      <w:lvlJc w:val="left"/>
      <w:pPr>
        <w:ind w:left="1287" w:hanging="360"/>
      </w:pPr>
      <w:rPr>
        <w:rFonts w:hint="default"/>
        <w:sz w:val="22"/>
        <w:szCs w:val="22"/>
      </w:rPr>
    </w:lvl>
    <w:lvl w:ilvl="1" w:tplc="29E23064">
      <w:start w:val="1"/>
      <w:numFmt w:val="lowerLetter"/>
      <w:lvlText w:val="(%2)"/>
      <w:lvlJc w:val="left"/>
      <w:pPr>
        <w:ind w:left="2007" w:hanging="360"/>
      </w:pPr>
      <w:rPr>
        <w:rFonts w:hint="default"/>
        <w:sz w:val="22"/>
        <w:szCs w:val="22"/>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B840DC"/>
    <w:multiLevelType w:val="hybridMultilevel"/>
    <w:tmpl w:val="23D028A0"/>
    <w:lvl w:ilvl="0" w:tplc="29E23064">
      <w:start w:val="1"/>
      <w:numFmt w:val="lowerLetter"/>
      <w:lvlText w:val="(%1)"/>
      <w:lvlJc w:val="left"/>
      <w:pPr>
        <w:ind w:left="1080" w:hanging="360"/>
      </w:pPr>
      <w:rPr>
        <w:rFonts w:hint="default"/>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1CC2519"/>
    <w:multiLevelType w:val="hybridMultilevel"/>
    <w:tmpl w:val="94A637BE"/>
    <w:lvl w:ilvl="0" w:tplc="F076A72A">
      <w:start w:val="1"/>
      <w:numFmt w:val="lowerRoman"/>
      <w:lvlText w:val="(%1)"/>
      <w:lvlJc w:val="left"/>
      <w:pPr>
        <w:ind w:left="1780" w:hanging="209"/>
      </w:pPr>
      <w:rPr>
        <w:rFonts w:hint="default"/>
        <w:sz w:val="22"/>
        <w:szCs w:val="22"/>
      </w:rPr>
    </w:lvl>
    <w:lvl w:ilvl="1" w:tplc="0C090019" w:tentative="1">
      <w:start w:val="1"/>
      <w:numFmt w:val="lowerLetter"/>
      <w:lvlText w:val="%2."/>
      <w:lvlJc w:val="left"/>
      <w:pPr>
        <w:ind w:left="2449" w:hanging="360"/>
      </w:pPr>
    </w:lvl>
    <w:lvl w:ilvl="2" w:tplc="0C09001B" w:tentative="1">
      <w:start w:val="1"/>
      <w:numFmt w:val="lowerRoman"/>
      <w:lvlText w:val="%3."/>
      <w:lvlJc w:val="right"/>
      <w:pPr>
        <w:ind w:left="3169" w:hanging="180"/>
      </w:pPr>
    </w:lvl>
    <w:lvl w:ilvl="3" w:tplc="0C09000F" w:tentative="1">
      <w:start w:val="1"/>
      <w:numFmt w:val="decimal"/>
      <w:lvlText w:val="%4."/>
      <w:lvlJc w:val="left"/>
      <w:pPr>
        <w:ind w:left="3889" w:hanging="360"/>
      </w:pPr>
    </w:lvl>
    <w:lvl w:ilvl="4" w:tplc="0C090019" w:tentative="1">
      <w:start w:val="1"/>
      <w:numFmt w:val="lowerLetter"/>
      <w:lvlText w:val="%5."/>
      <w:lvlJc w:val="left"/>
      <w:pPr>
        <w:ind w:left="4609" w:hanging="360"/>
      </w:pPr>
    </w:lvl>
    <w:lvl w:ilvl="5" w:tplc="0C09001B" w:tentative="1">
      <w:start w:val="1"/>
      <w:numFmt w:val="lowerRoman"/>
      <w:lvlText w:val="%6."/>
      <w:lvlJc w:val="right"/>
      <w:pPr>
        <w:ind w:left="5329" w:hanging="180"/>
      </w:pPr>
    </w:lvl>
    <w:lvl w:ilvl="6" w:tplc="0C09000F" w:tentative="1">
      <w:start w:val="1"/>
      <w:numFmt w:val="decimal"/>
      <w:lvlText w:val="%7."/>
      <w:lvlJc w:val="left"/>
      <w:pPr>
        <w:ind w:left="6049" w:hanging="360"/>
      </w:pPr>
    </w:lvl>
    <w:lvl w:ilvl="7" w:tplc="0C090019" w:tentative="1">
      <w:start w:val="1"/>
      <w:numFmt w:val="lowerLetter"/>
      <w:lvlText w:val="%8."/>
      <w:lvlJc w:val="left"/>
      <w:pPr>
        <w:ind w:left="6769" w:hanging="360"/>
      </w:pPr>
    </w:lvl>
    <w:lvl w:ilvl="8" w:tplc="0C09001B" w:tentative="1">
      <w:start w:val="1"/>
      <w:numFmt w:val="lowerRoman"/>
      <w:lvlText w:val="%9."/>
      <w:lvlJc w:val="right"/>
      <w:pPr>
        <w:ind w:left="7489" w:hanging="180"/>
      </w:pPr>
    </w:lvl>
  </w:abstractNum>
  <w:abstractNum w:abstractNumId="14">
    <w:nsid w:val="33BA2916"/>
    <w:multiLevelType w:val="hybridMultilevel"/>
    <w:tmpl w:val="8E6AE020"/>
    <w:lvl w:ilvl="0" w:tplc="BAE21DA0">
      <w:start w:val="1"/>
      <w:numFmt w:val="decimal"/>
      <w:lvlText w:val="(%1)"/>
      <w:lvlJc w:val="left"/>
      <w:pPr>
        <w:ind w:left="1004" w:hanging="360"/>
      </w:pPr>
      <w:rPr>
        <w:rFonts w:hint="default"/>
        <w:b w:val="0"/>
        <w:color w:val="auto"/>
        <w:sz w:val="22"/>
        <w:szCs w:val="22"/>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5">
    <w:nsid w:val="43C6389F"/>
    <w:multiLevelType w:val="hybridMultilevel"/>
    <w:tmpl w:val="F90E3034"/>
    <w:lvl w:ilvl="0" w:tplc="29E23064">
      <w:start w:val="1"/>
      <w:numFmt w:val="lowerLetter"/>
      <w:lvlText w:val="(%1)"/>
      <w:lvlJc w:val="left"/>
      <w:pPr>
        <w:ind w:left="2007" w:hanging="360"/>
      </w:pPr>
      <w:rPr>
        <w:rFonts w:hint="default"/>
        <w:sz w:val="22"/>
        <w:szCs w:val="22"/>
      </w:rPr>
    </w:lvl>
    <w:lvl w:ilvl="1" w:tplc="0C090019" w:tentative="1">
      <w:start w:val="1"/>
      <w:numFmt w:val="lowerLetter"/>
      <w:lvlText w:val="%2."/>
      <w:lvlJc w:val="left"/>
      <w:pPr>
        <w:ind w:left="2727" w:hanging="360"/>
      </w:pPr>
    </w:lvl>
    <w:lvl w:ilvl="2" w:tplc="0C09001B" w:tentative="1">
      <w:start w:val="1"/>
      <w:numFmt w:val="lowerRoman"/>
      <w:lvlText w:val="%3."/>
      <w:lvlJc w:val="right"/>
      <w:pPr>
        <w:ind w:left="3447" w:hanging="180"/>
      </w:pPr>
    </w:lvl>
    <w:lvl w:ilvl="3" w:tplc="0C09000F" w:tentative="1">
      <w:start w:val="1"/>
      <w:numFmt w:val="decimal"/>
      <w:lvlText w:val="%4."/>
      <w:lvlJc w:val="left"/>
      <w:pPr>
        <w:ind w:left="4167" w:hanging="360"/>
      </w:pPr>
    </w:lvl>
    <w:lvl w:ilvl="4" w:tplc="0C090019" w:tentative="1">
      <w:start w:val="1"/>
      <w:numFmt w:val="lowerLetter"/>
      <w:lvlText w:val="%5."/>
      <w:lvlJc w:val="left"/>
      <w:pPr>
        <w:ind w:left="4887" w:hanging="360"/>
      </w:pPr>
    </w:lvl>
    <w:lvl w:ilvl="5" w:tplc="0C09001B" w:tentative="1">
      <w:start w:val="1"/>
      <w:numFmt w:val="lowerRoman"/>
      <w:lvlText w:val="%6."/>
      <w:lvlJc w:val="right"/>
      <w:pPr>
        <w:ind w:left="5607" w:hanging="180"/>
      </w:pPr>
    </w:lvl>
    <w:lvl w:ilvl="6" w:tplc="0C09000F" w:tentative="1">
      <w:start w:val="1"/>
      <w:numFmt w:val="decimal"/>
      <w:lvlText w:val="%7."/>
      <w:lvlJc w:val="left"/>
      <w:pPr>
        <w:ind w:left="6327" w:hanging="360"/>
      </w:pPr>
    </w:lvl>
    <w:lvl w:ilvl="7" w:tplc="0C090019" w:tentative="1">
      <w:start w:val="1"/>
      <w:numFmt w:val="lowerLetter"/>
      <w:lvlText w:val="%8."/>
      <w:lvlJc w:val="left"/>
      <w:pPr>
        <w:ind w:left="7047" w:hanging="360"/>
      </w:pPr>
    </w:lvl>
    <w:lvl w:ilvl="8" w:tplc="0C09001B" w:tentative="1">
      <w:start w:val="1"/>
      <w:numFmt w:val="lowerRoman"/>
      <w:lvlText w:val="%9."/>
      <w:lvlJc w:val="right"/>
      <w:pPr>
        <w:ind w:left="7767" w:hanging="180"/>
      </w:pPr>
    </w:lvl>
  </w:abstractNum>
  <w:abstractNum w:abstractNumId="16">
    <w:nsid w:val="45994603"/>
    <w:multiLevelType w:val="hybridMultilevel"/>
    <w:tmpl w:val="3B00C7F0"/>
    <w:lvl w:ilvl="0" w:tplc="E050EFA8">
      <w:start w:val="1"/>
      <w:numFmt w:val="lowerRoman"/>
      <w:lvlText w:val="(%1)"/>
      <w:lvlJc w:val="left"/>
      <w:pPr>
        <w:ind w:left="1627" w:hanging="360"/>
      </w:pPr>
      <w:rPr>
        <w:rFonts w:hint="default"/>
        <w:sz w:val="22"/>
        <w:szCs w:val="22"/>
      </w:rPr>
    </w:lvl>
    <w:lvl w:ilvl="1" w:tplc="0C090019" w:tentative="1">
      <w:start w:val="1"/>
      <w:numFmt w:val="lowerLetter"/>
      <w:lvlText w:val="%2."/>
      <w:lvlJc w:val="left"/>
      <w:pPr>
        <w:ind w:left="2347" w:hanging="360"/>
      </w:pPr>
    </w:lvl>
    <w:lvl w:ilvl="2" w:tplc="0C09001B" w:tentative="1">
      <w:start w:val="1"/>
      <w:numFmt w:val="lowerRoman"/>
      <w:lvlText w:val="%3."/>
      <w:lvlJc w:val="right"/>
      <w:pPr>
        <w:ind w:left="3067" w:hanging="180"/>
      </w:pPr>
    </w:lvl>
    <w:lvl w:ilvl="3" w:tplc="0C09000F" w:tentative="1">
      <w:start w:val="1"/>
      <w:numFmt w:val="decimal"/>
      <w:lvlText w:val="%4."/>
      <w:lvlJc w:val="left"/>
      <w:pPr>
        <w:ind w:left="3787" w:hanging="360"/>
      </w:pPr>
    </w:lvl>
    <w:lvl w:ilvl="4" w:tplc="0C090019" w:tentative="1">
      <w:start w:val="1"/>
      <w:numFmt w:val="lowerLetter"/>
      <w:lvlText w:val="%5."/>
      <w:lvlJc w:val="left"/>
      <w:pPr>
        <w:ind w:left="4507" w:hanging="360"/>
      </w:pPr>
    </w:lvl>
    <w:lvl w:ilvl="5" w:tplc="0C09001B" w:tentative="1">
      <w:start w:val="1"/>
      <w:numFmt w:val="lowerRoman"/>
      <w:lvlText w:val="%6."/>
      <w:lvlJc w:val="right"/>
      <w:pPr>
        <w:ind w:left="5227" w:hanging="180"/>
      </w:pPr>
    </w:lvl>
    <w:lvl w:ilvl="6" w:tplc="0C09000F" w:tentative="1">
      <w:start w:val="1"/>
      <w:numFmt w:val="decimal"/>
      <w:lvlText w:val="%7."/>
      <w:lvlJc w:val="left"/>
      <w:pPr>
        <w:ind w:left="5947" w:hanging="360"/>
      </w:pPr>
    </w:lvl>
    <w:lvl w:ilvl="7" w:tplc="0C090019" w:tentative="1">
      <w:start w:val="1"/>
      <w:numFmt w:val="lowerLetter"/>
      <w:lvlText w:val="%8."/>
      <w:lvlJc w:val="left"/>
      <w:pPr>
        <w:ind w:left="6667" w:hanging="360"/>
      </w:pPr>
    </w:lvl>
    <w:lvl w:ilvl="8" w:tplc="0C09001B" w:tentative="1">
      <w:start w:val="1"/>
      <w:numFmt w:val="lowerRoman"/>
      <w:lvlText w:val="%9."/>
      <w:lvlJc w:val="right"/>
      <w:pPr>
        <w:ind w:left="7387" w:hanging="180"/>
      </w:pPr>
    </w:lvl>
  </w:abstractNum>
  <w:abstractNum w:abstractNumId="17">
    <w:nsid w:val="46D35EEA"/>
    <w:multiLevelType w:val="hybridMultilevel"/>
    <w:tmpl w:val="F90E3034"/>
    <w:lvl w:ilvl="0" w:tplc="29E23064">
      <w:start w:val="1"/>
      <w:numFmt w:val="lowerLetter"/>
      <w:lvlText w:val="(%1)"/>
      <w:lvlJc w:val="left"/>
      <w:pPr>
        <w:ind w:left="1069" w:hanging="360"/>
      </w:pPr>
      <w:rPr>
        <w:rFonts w:hint="default"/>
        <w:sz w:val="22"/>
        <w:szCs w:val="22"/>
      </w:rPr>
    </w:lvl>
    <w:lvl w:ilvl="1" w:tplc="0C090019" w:tentative="1">
      <w:start w:val="1"/>
      <w:numFmt w:val="lowerLetter"/>
      <w:lvlText w:val="%2."/>
      <w:lvlJc w:val="left"/>
      <w:pPr>
        <w:ind w:left="2727" w:hanging="360"/>
      </w:pPr>
    </w:lvl>
    <w:lvl w:ilvl="2" w:tplc="0C09001B" w:tentative="1">
      <w:start w:val="1"/>
      <w:numFmt w:val="lowerRoman"/>
      <w:lvlText w:val="%3."/>
      <w:lvlJc w:val="right"/>
      <w:pPr>
        <w:ind w:left="3447" w:hanging="180"/>
      </w:pPr>
    </w:lvl>
    <w:lvl w:ilvl="3" w:tplc="0C09000F" w:tentative="1">
      <w:start w:val="1"/>
      <w:numFmt w:val="decimal"/>
      <w:lvlText w:val="%4."/>
      <w:lvlJc w:val="left"/>
      <w:pPr>
        <w:ind w:left="4167" w:hanging="360"/>
      </w:pPr>
    </w:lvl>
    <w:lvl w:ilvl="4" w:tplc="0C090019" w:tentative="1">
      <w:start w:val="1"/>
      <w:numFmt w:val="lowerLetter"/>
      <w:lvlText w:val="%5."/>
      <w:lvlJc w:val="left"/>
      <w:pPr>
        <w:ind w:left="4887" w:hanging="360"/>
      </w:pPr>
    </w:lvl>
    <w:lvl w:ilvl="5" w:tplc="0C09001B" w:tentative="1">
      <w:start w:val="1"/>
      <w:numFmt w:val="lowerRoman"/>
      <w:lvlText w:val="%6."/>
      <w:lvlJc w:val="right"/>
      <w:pPr>
        <w:ind w:left="5607" w:hanging="180"/>
      </w:pPr>
    </w:lvl>
    <w:lvl w:ilvl="6" w:tplc="0C09000F" w:tentative="1">
      <w:start w:val="1"/>
      <w:numFmt w:val="decimal"/>
      <w:lvlText w:val="%7."/>
      <w:lvlJc w:val="left"/>
      <w:pPr>
        <w:ind w:left="6327" w:hanging="360"/>
      </w:pPr>
    </w:lvl>
    <w:lvl w:ilvl="7" w:tplc="0C090019" w:tentative="1">
      <w:start w:val="1"/>
      <w:numFmt w:val="lowerLetter"/>
      <w:lvlText w:val="%8."/>
      <w:lvlJc w:val="left"/>
      <w:pPr>
        <w:ind w:left="7047" w:hanging="360"/>
      </w:pPr>
    </w:lvl>
    <w:lvl w:ilvl="8" w:tplc="0C09001B" w:tentative="1">
      <w:start w:val="1"/>
      <w:numFmt w:val="lowerRoman"/>
      <w:lvlText w:val="%9."/>
      <w:lvlJc w:val="right"/>
      <w:pPr>
        <w:ind w:left="7767" w:hanging="180"/>
      </w:pPr>
    </w:lvl>
  </w:abstractNum>
  <w:abstractNum w:abstractNumId="18">
    <w:nsid w:val="49CA0BE4"/>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4A1120E9"/>
    <w:multiLevelType w:val="hybridMultilevel"/>
    <w:tmpl w:val="8E6AE020"/>
    <w:lvl w:ilvl="0" w:tplc="BAE21DA0">
      <w:start w:val="1"/>
      <w:numFmt w:val="decimal"/>
      <w:lvlText w:val="(%1)"/>
      <w:lvlJc w:val="left"/>
      <w:pPr>
        <w:ind w:left="1004" w:hanging="360"/>
      </w:pPr>
      <w:rPr>
        <w:rFonts w:hint="default"/>
        <w:b w:val="0"/>
        <w:color w:val="auto"/>
        <w:sz w:val="22"/>
        <w:szCs w:val="22"/>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0">
    <w:nsid w:val="4AF72D8C"/>
    <w:multiLevelType w:val="hybridMultilevel"/>
    <w:tmpl w:val="608E99A6"/>
    <w:lvl w:ilvl="0" w:tplc="B1B4FC68">
      <w:start w:val="1"/>
      <w:numFmt w:val="lowerRoman"/>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C8F43EF"/>
    <w:multiLevelType w:val="hybridMultilevel"/>
    <w:tmpl w:val="23D028A0"/>
    <w:lvl w:ilvl="0" w:tplc="29E23064">
      <w:start w:val="1"/>
      <w:numFmt w:val="lowerLetter"/>
      <w:lvlText w:val="(%1)"/>
      <w:lvlJc w:val="left"/>
      <w:pPr>
        <w:ind w:left="1080" w:hanging="360"/>
      </w:pPr>
      <w:rPr>
        <w:rFonts w:hint="default"/>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51283010"/>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69A81443"/>
    <w:multiLevelType w:val="hybridMultilevel"/>
    <w:tmpl w:val="23D028A0"/>
    <w:lvl w:ilvl="0" w:tplc="29E23064">
      <w:start w:val="1"/>
      <w:numFmt w:val="lowerLetter"/>
      <w:lvlText w:val="(%1)"/>
      <w:lvlJc w:val="left"/>
      <w:pPr>
        <w:ind w:left="1080" w:hanging="360"/>
      </w:pPr>
      <w:rPr>
        <w:rFonts w:hint="default"/>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69C86836"/>
    <w:multiLevelType w:val="hybridMultilevel"/>
    <w:tmpl w:val="93CEE78A"/>
    <w:lvl w:ilvl="0" w:tplc="29E23064">
      <w:start w:val="1"/>
      <w:numFmt w:val="lowerLetter"/>
      <w:lvlText w:val="(%1)"/>
      <w:lvlJc w:val="left"/>
      <w:pPr>
        <w:ind w:left="1287" w:hanging="360"/>
      </w:pPr>
      <w:rPr>
        <w:rFonts w:hint="default"/>
        <w:sz w:val="22"/>
        <w:szCs w:val="22"/>
      </w:rPr>
    </w:lvl>
    <w:lvl w:ilvl="1" w:tplc="29E23064">
      <w:start w:val="1"/>
      <w:numFmt w:val="lowerLetter"/>
      <w:lvlText w:val="(%2)"/>
      <w:lvlJc w:val="left"/>
      <w:pPr>
        <w:ind w:left="2007" w:hanging="360"/>
      </w:pPr>
      <w:rPr>
        <w:rFonts w:hint="default"/>
        <w:sz w:val="22"/>
        <w:szCs w:val="22"/>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0">
    <w:nsid w:val="777E7C64"/>
    <w:multiLevelType w:val="hybridMultilevel"/>
    <w:tmpl w:val="B2E6A15C"/>
    <w:lvl w:ilvl="0" w:tplc="BAE21DA0">
      <w:start w:val="1"/>
      <w:numFmt w:val="decimal"/>
      <w:lvlText w:val="(%1)"/>
      <w:lvlJc w:val="left"/>
      <w:pPr>
        <w:ind w:left="720" w:hanging="360"/>
      </w:pPr>
      <w:rPr>
        <w:rFonts w:hint="default"/>
        <w:b w:val="0"/>
        <w:color w:val="auto"/>
        <w:sz w:val="22"/>
        <w:szCs w:val="22"/>
      </w:rPr>
    </w:lvl>
    <w:lvl w:ilvl="1" w:tplc="29E23064">
      <w:start w:val="1"/>
      <w:numFmt w:val="lowerLetter"/>
      <w:lvlText w:val="(%2)"/>
      <w:lvlJc w:val="left"/>
      <w:pPr>
        <w:ind w:left="1440" w:hanging="360"/>
      </w:pPr>
      <w:rPr>
        <w:rFonts w:hint="default"/>
        <w:sz w:val="22"/>
        <w:szCs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7CC2F56"/>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3"/>
  </w:num>
  <w:num w:numId="3">
    <w:abstractNumId w:val="32"/>
  </w:num>
  <w:num w:numId="4">
    <w:abstractNumId w:val="1"/>
  </w:num>
  <w:num w:numId="5">
    <w:abstractNumId w:val="24"/>
  </w:num>
  <w:num w:numId="6">
    <w:abstractNumId w:val="2"/>
  </w:num>
  <w:num w:numId="7">
    <w:abstractNumId w:val="27"/>
  </w:num>
  <w:num w:numId="8">
    <w:abstractNumId w:val="26"/>
  </w:num>
  <w:num w:numId="9">
    <w:abstractNumId w:val="33"/>
  </w:num>
  <w:num w:numId="10">
    <w:abstractNumId w:val="7"/>
  </w:num>
  <w:num w:numId="11">
    <w:abstractNumId w:val="25"/>
  </w:num>
  <w:num w:numId="12">
    <w:abstractNumId w:val="6"/>
  </w:num>
  <w:num w:numId="13">
    <w:abstractNumId w:val="4"/>
  </w:num>
  <w:num w:numId="14">
    <w:abstractNumId w:val="9"/>
  </w:num>
  <w:num w:numId="15">
    <w:abstractNumId w:val="10"/>
  </w:num>
  <w:num w:numId="16">
    <w:abstractNumId w:val="21"/>
  </w:num>
  <w:num w:numId="17">
    <w:abstractNumId w:val="0"/>
  </w:num>
  <w:num w:numId="18">
    <w:abstractNumId w:val="22"/>
  </w:num>
  <w:num w:numId="19">
    <w:abstractNumId w:val="31"/>
  </w:num>
  <w:num w:numId="20">
    <w:abstractNumId w:val="20"/>
  </w:num>
  <w:num w:numId="21">
    <w:abstractNumId w:val="5"/>
  </w:num>
  <w:num w:numId="22">
    <w:abstractNumId w:val="19"/>
  </w:num>
  <w:num w:numId="23">
    <w:abstractNumId w:val="29"/>
  </w:num>
  <w:num w:numId="24">
    <w:abstractNumId w:val="15"/>
  </w:num>
  <w:num w:numId="25">
    <w:abstractNumId w:val="16"/>
  </w:num>
  <w:num w:numId="26">
    <w:abstractNumId w:val="17"/>
  </w:num>
  <w:num w:numId="27">
    <w:abstractNumId w:val="13"/>
  </w:num>
  <w:num w:numId="28">
    <w:abstractNumId w:val="14"/>
  </w:num>
  <w:num w:numId="29">
    <w:abstractNumId w:val="8"/>
  </w:num>
  <w:num w:numId="30">
    <w:abstractNumId w:val="12"/>
  </w:num>
  <w:num w:numId="31">
    <w:abstractNumId w:val="3"/>
  </w:num>
  <w:num w:numId="32">
    <w:abstractNumId w:val="12"/>
  </w:num>
  <w:num w:numId="33">
    <w:abstractNumId w:val="12"/>
  </w:num>
  <w:num w:numId="34">
    <w:abstractNumId w:val="3"/>
  </w:num>
  <w:num w:numId="35">
    <w:abstractNumId w:val="3"/>
  </w:num>
  <w:num w:numId="36">
    <w:abstractNumId w:val="27"/>
  </w:num>
  <w:num w:numId="37">
    <w:abstractNumId w:val="27"/>
  </w:num>
  <w:num w:numId="38">
    <w:abstractNumId w:val="27"/>
  </w:num>
  <w:num w:numId="39">
    <w:abstractNumId w:val="3"/>
  </w:num>
  <w:num w:numId="40">
    <w:abstractNumId w:val="28"/>
  </w:num>
  <w:num w:numId="41">
    <w:abstractNumId w:val="30"/>
  </w:num>
  <w:num w:numId="42">
    <w:abstractNumId w:val="3"/>
  </w:num>
  <w:num w:numId="43">
    <w:abstractNumId w:val="3"/>
  </w:num>
  <w:num w:numId="44">
    <w:abstractNumId w:val="3"/>
  </w:num>
  <w:num w:numId="45">
    <w:abstractNumId w:val="18"/>
  </w:num>
  <w:num w:numId="46">
    <w:abstractNumId w:val="3"/>
  </w:num>
  <w:num w:numId="47">
    <w:abstractNumId w:val="3"/>
  </w:num>
  <w:num w:numId="48">
    <w:abstractNumId w:val="23"/>
  </w:num>
  <w:num w:numId="4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ther forms of non-voluntary access"/>
    <w:docVar w:name="ShortReportTitle" w:val="Report"/>
  </w:docVars>
  <w:rsids>
    <w:rsidRoot w:val="00641FCF"/>
    <w:rsid w:val="00003B69"/>
    <w:rsid w:val="00003FB4"/>
    <w:rsid w:val="000144B1"/>
    <w:rsid w:val="000245AA"/>
    <w:rsid w:val="0002514E"/>
    <w:rsid w:val="00032C04"/>
    <w:rsid w:val="00033731"/>
    <w:rsid w:val="0003664B"/>
    <w:rsid w:val="000369F3"/>
    <w:rsid w:val="0003705F"/>
    <w:rsid w:val="00040B17"/>
    <w:rsid w:val="00040FCF"/>
    <w:rsid w:val="0004111F"/>
    <w:rsid w:val="00041601"/>
    <w:rsid w:val="00044620"/>
    <w:rsid w:val="000479DF"/>
    <w:rsid w:val="000523A4"/>
    <w:rsid w:val="000564A2"/>
    <w:rsid w:val="000565B3"/>
    <w:rsid w:val="0006110A"/>
    <w:rsid w:val="00062D16"/>
    <w:rsid w:val="00063724"/>
    <w:rsid w:val="0007150B"/>
    <w:rsid w:val="000779FE"/>
    <w:rsid w:val="00090DEB"/>
    <w:rsid w:val="000937DC"/>
    <w:rsid w:val="000938F5"/>
    <w:rsid w:val="000961FD"/>
    <w:rsid w:val="000976E3"/>
    <w:rsid w:val="000A138D"/>
    <w:rsid w:val="000A770C"/>
    <w:rsid w:val="000B1FE0"/>
    <w:rsid w:val="000B5944"/>
    <w:rsid w:val="000B601B"/>
    <w:rsid w:val="000C043E"/>
    <w:rsid w:val="000C04CA"/>
    <w:rsid w:val="000C1C0F"/>
    <w:rsid w:val="000C207E"/>
    <w:rsid w:val="000C3A35"/>
    <w:rsid w:val="000C400C"/>
    <w:rsid w:val="000C50ED"/>
    <w:rsid w:val="000D2886"/>
    <w:rsid w:val="000D2C3E"/>
    <w:rsid w:val="000D3870"/>
    <w:rsid w:val="000D64B9"/>
    <w:rsid w:val="000E0FB3"/>
    <w:rsid w:val="000E7E1A"/>
    <w:rsid w:val="000F328A"/>
    <w:rsid w:val="000F420B"/>
    <w:rsid w:val="000F547F"/>
    <w:rsid w:val="00100491"/>
    <w:rsid w:val="00102585"/>
    <w:rsid w:val="00106BDF"/>
    <w:rsid w:val="00110116"/>
    <w:rsid w:val="00110D87"/>
    <w:rsid w:val="001123C8"/>
    <w:rsid w:val="00120072"/>
    <w:rsid w:val="00123505"/>
    <w:rsid w:val="00124BED"/>
    <w:rsid w:val="001256D2"/>
    <w:rsid w:val="00126EB8"/>
    <w:rsid w:val="001274D4"/>
    <w:rsid w:val="00127FBE"/>
    <w:rsid w:val="001308B2"/>
    <w:rsid w:val="001363AA"/>
    <w:rsid w:val="00141C75"/>
    <w:rsid w:val="0014243C"/>
    <w:rsid w:val="001444CC"/>
    <w:rsid w:val="00146A71"/>
    <w:rsid w:val="00151404"/>
    <w:rsid w:val="00153AB7"/>
    <w:rsid w:val="0015537E"/>
    <w:rsid w:val="00156F64"/>
    <w:rsid w:val="00162B87"/>
    <w:rsid w:val="001633B7"/>
    <w:rsid w:val="0017402C"/>
    <w:rsid w:val="00174F4A"/>
    <w:rsid w:val="00175BA5"/>
    <w:rsid w:val="00180659"/>
    <w:rsid w:val="0018245E"/>
    <w:rsid w:val="001835AE"/>
    <w:rsid w:val="00183E82"/>
    <w:rsid w:val="001841F2"/>
    <w:rsid w:val="00186469"/>
    <w:rsid w:val="001878BB"/>
    <w:rsid w:val="00191AE0"/>
    <w:rsid w:val="0019293B"/>
    <w:rsid w:val="00192D60"/>
    <w:rsid w:val="00193647"/>
    <w:rsid w:val="0019399F"/>
    <w:rsid w:val="001B03A3"/>
    <w:rsid w:val="001B5290"/>
    <w:rsid w:val="001C0865"/>
    <w:rsid w:val="001C2C16"/>
    <w:rsid w:val="001C3ABA"/>
    <w:rsid w:val="001C49D2"/>
    <w:rsid w:val="001C544D"/>
    <w:rsid w:val="001C64B9"/>
    <w:rsid w:val="001D0175"/>
    <w:rsid w:val="001E1994"/>
    <w:rsid w:val="001E51B4"/>
    <w:rsid w:val="001E5332"/>
    <w:rsid w:val="001E5AB8"/>
    <w:rsid w:val="001E5F44"/>
    <w:rsid w:val="001E7BE8"/>
    <w:rsid w:val="001F0248"/>
    <w:rsid w:val="001F3EB3"/>
    <w:rsid w:val="001F419D"/>
    <w:rsid w:val="001F7404"/>
    <w:rsid w:val="001F76DB"/>
    <w:rsid w:val="00202C2C"/>
    <w:rsid w:val="00202D99"/>
    <w:rsid w:val="0020353C"/>
    <w:rsid w:val="00204292"/>
    <w:rsid w:val="002046EC"/>
    <w:rsid w:val="00204D45"/>
    <w:rsid w:val="002056F6"/>
    <w:rsid w:val="002101B0"/>
    <w:rsid w:val="00212FB0"/>
    <w:rsid w:val="0021385C"/>
    <w:rsid w:val="002154DF"/>
    <w:rsid w:val="002179DF"/>
    <w:rsid w:val="00220B25"/>
    <w:rsid w:val="00221093"/>
    <w:rsid w:val="00221D08"/>
    <w:rsid w:val="002225BF"/>
    <w:rsid w:val="00222B94"/>
    <w:rsid w:val="002307B8"/>
    <w:rsid w:val="00242279"/>
    <w:rsid w:val="00245C82"/>
    <w:rsid w:val="0025212F"/>
    <w:rsid w:val="0025227F"/>
    <w:rsid w:val="00253CF0"/>
    <w:rsid w:val="00257CB1"/>
    <w:rsid w:val="002624A5"/>
    <w:rsid w:val="00266433"/>
    <w:rsid w:val="002727B8"/>
    <w:rsid w:val="0027476A"/>
    <w:rsid w:val="0027658F"/>
    <w:rsid w:val="00281012"/>
    <w:rsid w:val="0028119B"/>
    <w:rsid w:val="00285A6B"/>
    <w:rsid w:val="00291B40"/>
    <w:rsid w:val="00295593"/>
    <w:rsid w:val="00296479"/>
    <w:rsid w:val="002A361E"/>
    <w:rsid w:val="002B2ADF"/>
    <w:rsid w:val="002B3255"/>
    <w:rsid w:val="002B4008"/>
    <w:rsid w:val="002C6826"/>
    <w:rsid w:val="002D0E8E"/>
    <w:rsid w:val="002D3019"/>
    <w:rsid w:val="002D6BBA"/>
    <w:rsid w:val="002F11EE"/>
    <w:rsid w:val="002F14C3"/>
    <w:rsid w:val="00301189"/>
    <w:rsid w:val="003019A7"/>
    <w:rsid w:val="00301DEE"/>
    <w:rsid w:val="00312779"/>
    <w:rsid w:val="00313221"/>
    <w:rsid w:val="00316A31"/>
    <w:rsid w:val="003234E8"/>
    <w:rsid w:val="00323E09"/>
    <w:rsid w:val="00324A77"/>
    <w:rsid w:val="00327E31"/>
    <w:rsid w:val="00327E60"/>
    <w:rsid w:val="00331CF3"/>
    <w:rsid w:val="00333932"/>
    <w:rsid w:val="00333A09"/>
    <w:rsid w:val="00335D3D"/>
    <w:rsid w:val="00337AF3"/>
    <w:rsid w:val="00341D11"/>
    <w:rsid w:val="00343C65"/>
    <w:rsid w:val="00346073"/>
    <w:rsid w:val="00346D0B"/>
    <w:rsid w:val="003518AA"/>
    <w:rsid w:val="00352165"/>
    <w:rsid w:val="00352FC4"/>
    <w:rsid w:val="00353182"/>
    <w:rsid w:val="003565D9"/>
    <w:rsid w:val="00357B6E"/>
    <w:rsid w:val="003601E0"/>
    <w:rsid w:val="003602E1"/>
    <w:rsid w:val="0036129D"/>
    <w:rsid w:val="0037026F"/>
    <w:rsid w:val="00371240"/>
    <w:rsid w:val="00372417"/>
    <w:rsid w:val="0037388A"/>
    <w:rsid w:val="00374731"/>
    <w:rsid w:val="003760C0"/>
    <w:rsid w:val="00382CB0"/>
    <w:rsid w:val="003919F9"/>
    <w:rsid w:val="00393B5E"/>
    <w:rsid w:val="00397AAA"/>
    <w:rsid w:val="00397CE5"/>
    <w:rsid w:val="003A16F0"/>
    <w:rsid w:val="003A308D"/>
    <w:rsid w:val="003A44FB"/>
    <w:rsid w:val="003A5B25"/>
    <w:rsid w:val="003B063C"/>
    <w:rsid w:val="003C0331"/>
    <w:rsid w:val="003C38B5"/>
    <w:rsid w:val="003C5D99"/>
    <w:rsid w:val="003C7AEF"/>
    <w:rsid w:val="003D2016"/>
    <w:rsid w:val="003D4082"/>
    <w:rsid w:val="003D451C"/>
    <w:rsid w:val="003E2F59"/>
    <w:rsid w:val="003E411C"/>
    <w:rsid w:val="003E5DBA"/>
    <w:rsid w:val="003E7D77"/>
    <w:rsid w:val="003F0789"/>
    <w:rsid w:val="003F165A"/>
    <w:rsid w:val="003F28B5"/>
    <w:rsid w:val="003F406F"/>
    <w:rsid w:val="00400FBE"/>
    <w:rsid w:val="00401882"/>
    <w:rsid w:val="00402801"/>
    <w:rsid w:val="0040417E"/>
    <w:rsid w:val="004079B1"/>
    <w:rsid w:val="004100C8"/>
    <w:rsid w:val="00411DBD"/>
    <w:rsid w:val="00412ACE"/>
    <w:rsid w:val="00414E3F"/>
    <w:rsid w:val="00415CD1"/>
    <w:rsid w:val="00422ADD"/>
    <w:rsid w:val="00424A9F"/>
    <w:rsid w:val="00431249"/>
    <w:rsid w:val="00432321"/>
    <w:rsid w:val="00434C19"/>
    <w:rsid w:val="0043669E"/>
    <w:rsid w:val="00441828"/>
    <w:rsid w:val="00444333"/>
    <w:rsid w:val="00450810"/>
    <w:rsid w:val="00451C31"/>
    <w:rsid w:val="00454430"/>
    <w:rsid w:val="00456A7F"/>
    <w:rsid w:val="00463DAC"/>
    <w:rsid w:val="0046651D"/>
    <w:rsid w:val="00471357"/>
    <w:rsid w:val="00472A07"/>
    <w:rsid w:val="00477144"/>
    <w:rsid w:val="00485A92"/>
    <w:rsid w:val="0048707A"/>
    <w:rsid w:val="0049459F"/>
    <w:rsid w:val="0049680B"/>
    <w:rsid w:val="00496CD9"/>
    <w:rsid w:val="004A00E7"/>
    <w:rsid w:val="004A38DD"/>
    <w:rsid w:val="004A3FEC"/>
    <w:rsid w:val="004A5B5F"/>
    <w:rsid w:val="004A610D"/>
    <w:rsid w:val="004A646E"/>
    <w:rsid w:val="004B0FBB"/>
    <w:rsid w:val="004B2D7C"/>
    <w:rsid w:val="004B43AE"/>
    <w:rsid w:val="004B6A7B"/>
    <w:rsid w:val="004C30ED"/>
    <w:rsid w:val="004C3785"/>
    <w:rsid w:val="004C580F"/>
    <w:rsid w:val="004C60C4"/>
    <w:rsid w:val="004D0EB9"/>
    <w:rsid w:val="004D2190"/>
    <w:rsid w:val="004D4ED9"/>
    <w:rsid w:val="004D5675"/>
    <w:rsid w:val="004D6CE3"/>
    <w:rsid w:val="004E4CC0"/>
    <w:rsid w:val="004E6420"/>
    <w:rsid w:val="004F0BD6"/>
    <w:rsid w:val="004F358F"/>
    <w:rsid w:val="00511163"/>
    <w:rsid w:val="0051572B"/>
    <w:rsid w:val="00523639"/>
    <w:rsid w:val="00523776"/>
    <w:rsid w:val="00523D1B"/>
    <w:rsid w:val="00523EA7"/>
    <w:rsid w:val="00523F1D"/>
    <w:rsid w:val="005250CD"/>
    <w:rsid w:val="005277B6"/>
    <w:rsid w:val="00527BFC"/>
    <w:rsid w:val="00530533"/>
    <w:rsid w:val="00531FE5"/>
    <w:rsid w:val="00534968"/>
    <w:rsid w:val="00537E21"/>
    <w:rsid w:val="005471AF"/>
    <w:rsid w:val="0055193F"/>
    <w:rsid w:val="00553842"/>
    <w:rsid w:val="00560AB2"/>
    <w:rsid w:val="005635C6"/>
    <w:rsid w:val="00566460"/>
    <w:rsid w:val="00573572"/>
    <w:rsid w:val="005768D9"/>
    <w:rsid w:val="00577208"/>
    <w:rsid w:val="00583AA7"/>
    <w:rsid w:val="00583C39"/>
    <w:rsid w:val="005857CE"/>
    <w:rsid w:val="005909CF"/>
    <w:rsid w:val="00591E71"/>
    <w:rsid w:val="005A0D41"/>
    <w:rsid w:val="005A0F92"/>
    <w:rsid w:val="005A1C3D"/>
    <w:rsid w:val="005A4791"/>
    <w:rsid w:val="005A4C20"/>
    <w:rsid w:val="005A62B4"/>
    <w:rsid w:val="005A75D3"/>
    <w:rsid w:val="005B05E2"/>
    <w:rsid w:val="005B62B1"/>
    <w:rsid w:val="005B7232"/>
    <w:rsid w:val="005B77E5"/>
    <w:rsid w:val="005C51D0"/>
    <w:rsid w:val="005C5386"/>
    <w:rsid w:val="005D0601"/>
    <w:rsid w:val="005E2495"/>
    <w:rsid w:val="005E7DCF"/>
    <w:rsid w:val="005E7E89"/>
    <w:rsid w:val="005F184B"/>
    <w:rsid w:val="005F3E69"/>
    <w:rsid w:val="005F5158"/>
    <w:rsid w:val="005F6AF4"/>
    <w:rsid w:val="006022D5"/>
    <w:rsid w:val="00606BDD"/>
    <w:rsid w:val="00607BF1"/>
    <w:rsid w:val="006115CF"/>
    <w:rsid w:val="00611745"/>
    <w:rsid w:val="00616BAA"/>
    <w:rsid w:val="00623D6E"/>
    <w:rsid w:val="00626AA3"/>
    <w:rsid w:val="00630D4D"/>
    <w:rsid w:val="00630FBD"/>
    <w:rsid w:val="00632A74"/>
    <w:rsid w:val="00637E90"/>
    <w:rsid w:val="00641A20"/>
    <w:rsid w:val="00641FCF"/>
    <w:rsid w:val="0065014E"/>
    <w:rsid w:val="0065164D"/>
    <w:rsid w:val="00656070"/>
    <w:rsid w:val="006602BA"/>
    <w:rsid w:val="0066138E"/>
    <w:rsid w:val="00661F98"/>
    <w:rsid w:val="0066415A"/>
    <w:rsid w:val="00665025"/>
    <w:rsid w:val="00670970"/>
    <w:rsid w:val="0067292D"/>
    <w:rsid w:val="00674218"/>
    <w:rsid w:val="006807A3"/>
    <w:rsid w:val="00684F9F"/>
    <w:rsid w:val="006904CD"/>
    <w:rsid w:val="0069066F"/>
    <w:rsid w:val="00697EE2"/>
    <w:rsid w:val="006A4655"/>
    <w:rsid w:val="006B0A12"/>
    <w:rsid w:val="006B2B3C"/>
    <w:rsid w:val="006B5466"/>
    <w:rsid w:val="006B6F2E"/>
    <w:rsid w:val="006C1D81"/>
    <w:rsid w:val="006C7038"/>
    <w:rsid w:val="006C7156"/>
    <w:rsid w:val="006C72C6"/>
    <w:rsid w:val="006D32B4"/>
    <w:rsid w:val="006D49E3"/>
    <w:rsid w:val="006E10B2"/>
    <w:rsid w:val="006E3EC1"/>
    <w:rsid w:val="006E5F57"/>
    <w:rsid w:val="006E73EF"/>
    <w:rsid w:val="006E7784"/>
    <w:rsid w:val="006F0EE5"/>
    <w:rsid w:val="006F4AE5"/>
    <w:rsid w:val="006F7900"/>
    <w:rsid w:val="00700681"/>
    <w:rsid w:val="0070219D"/>
    <w:rsid w:val="00704EF7"/>
    <w:rsid w:val="0071022B"/>
    <w:rsid w:val="00714D4D"/>
    <w:rsid w:val="007154CA"/>
    <w:rsid w:val="00717278"/>
    <w:rsid w:val="007307AD"/>
    <w:rsid w:val="00746414"/>
    <w:rsid w:val="00746E04"/>
    <w:rsid w:val="0074700D"/>
    <w:rsid w:val="00754A4B"/>
    <w:rsid w:val="007604BB"/>
    <w:rsid w:val="0076096E"/>
    <w:rsid w:val="0076268B"/>
    <w:rsid w:val="007637E2"/>
    <w:rsid w:val="00766C4B"/>
    <w:rsid w:val="00770723"/>
    <w:rsid w:val="007740A9"/>
    <w:rsid w:val="00785232"/>
    <w:rsid w:val="00785477"/>
    <w:rsid w:val="00791B09"/>
    <w:rsid w:val="0079441E"/>
    <w:rsid w:val="00794ED3"/>
    <w:rsid w:val="00797D37"/>
    <w:rsid w:val="007A21EB"/>
    <w:rsid w:val="007A36B4"/>
    <w:rsid w:val="007A590C"/>
    <w:rsid w:val="007B1584"/>
    <w:rsid w:val="007B191F"/>
    <w:rsid w:val="007B1A93"/>
    <w:rsid w:val="007B51B4"/>
    <w:rsid w:val="007B6AF8"/>
    <w:rsid w:val="007C36C9"/>
    <w:rsid w:val="007C42B5"/>
    <w:rsid w:val="007D1DF7"/>
    <w:rsid w:val="007D312A"/>
    <w:rsid w:val="007D6401"/>
    <w:rsid w:val="007E01E4"/>
    <w:rsid w:val="007E4E97"/>
    <w:rsid w:val="007F098C"/>
    <w:rsid w:val="007F26C5"/>
    <w:rsid w:val="007F5E3F"/>
    <w:rsid w:val="007F65EA"/>
    <w:rsid w:val="007F7107"/>
    <w:rsid w:val="007F7DF9"/>
    <w:rsid w:val="00800428"/>
    <w:rsid w:val="0081030F"/>
    <w:rsid w:val="00812804"/>
    <w:rsid w:val="00812D35"/>
    <w:rsid w:val="00813502"/>
    <w:rsid w:val="0081750A"/>
    <w:rsid w:val="0082087D"/>
    <w:rsid w:val="00832874"/>
    <w:rsid w:val="00834D30"/>
    <w:rsid w:val="008406F1"/>
    <w:rsid w:val="00842933"/>
    <w:rsid w:val="008449CF"/>
    <w:rsid w:val="00845D8B"/>
    <w:rsid w:val="00845D8D"/>
    <w:rsid w:val="00853C49"/>
    <w:rsid w:val="0085555F"/>
    <w:rsid w:val="008564A4"/>
    <w:rsid w:val="0086082C"/>
    <w:rsid w:val="00862D3D"/>
    <w:rsid w:val="00864ADC"/>
    <w:rsid w:val="00864EB2"/>
    <w:rsid w:val="00867337"/>
    <w:rsid w:val="00872F7B"/>
    <w:rsid w:val="00874791"/>
    <w:rsid w:val="00880153"/>
    <w:rsid w:val="00880F97"/>
    <w:rsid w:val="0088133A"/>
    <w:rsid w:val="00882C90"/>
    <w:rsid w:val="0089038A"/>
    <w:rsid w:val="00891320"/>
    <w:rsid w:val="0089285E"/>
    <w:rsid w:val="00892BD7"/>
    <w:rsid w:val="00892D3B"/>
    <w:rsid w:val="0089436C"/>
    <w:rsid w:val="008A01DB"/>
    <w:rsid w:val="008A5477"/>
    <w:rsid w:val="008A705B"/>
    <w:rsid w:val="008B1517"/>
    <w:rsid w:val="008B751B"/>
    <w:rsid w:val="008C1CA6"/>
    <w:rsid w:val="008C2895"/>
    <w:rsid w:val="008D342D"/>
    <w:rsid w:val="008D365C"/>
    <w:rsid w:val="008E1782"/>
    <w:rsid w:val="008E7DB3"/>
    <w:rsid w:val="008F0F19"/>
    <w:rsid w:val="008F21A6"/>
    <w:rsid w:val="008F36FF"/>
    <w:rsid w:val="008F4AFC"/>
    <w:rsid w:val="008F5905"/>
    <w:rsid w:val="00900387"/>
    <w:rsid w:val="009014B7"/>
    <w:rsid w:val="00902793"/>
    <w:rsid w:val="009030BF"/>
    <w:rsid w:val="0091032F"/>
    <w:rsid w:val="00914368"/>
    <w:rsid w:val="009147D3"/>
    <w:rsid w:val="0091630F"/>
    <w:rsid w:val="0091749E"/>
    <w:rsid w:val="00917C9D"/>
    <w:rsid w:val="00921234"/>
    <w:rsid w:val="009212CC"/>
    <w:rsid w:val="00922B91"/>
    <w:rsid w:val="0092505D"/>
    <w:rsid w:val="00925478"/>
    <w:rsid w:val="00927EDA"/>
    <w:rsid w:val="00931076"/>
    <w:rsid w:val="009315A9"/>
    <w:rsid w:val="009345D9"/>
    <w:rsid w:val="00934847"/>
    <w:rsid w:val="00934B15"/>
    <w:rsid w:val="00935971"/>
    <w:rsid w:val="009375E9"/>
    <w:rsid w:val="009423D3"/>
    <w:rsid w:val="00942B62"/>
    <w:rsid w:val="00944C8C"/>
    <w:rsid w:val="009521E4"/>
    <w:rsid w:val="00956A0C"/>
    <w:rsid w:val="00956BD9"/>
    <w:rsid w:val="009616E9"/>
    <w:rsid w:val="00962489"/>
    <w:rsid w:val="00963680"/>
    <w:rsid w:val="00964C7D"/>
    <w:rsid w:val="00972ECC"/>
    <w:rsid w:val="00976ABA"/>
    <w:rsid w:val="009839A6"/>
    <w:rsid w:val="00990C2C"/>
    <w:rsid w:val="00990F7F"/>
    <w:rsid w:val="00991486"/>
    <w:rsid w:val="00995483"/>
    <w:rsid w:val="00995DD9"/>
    <w:rsid w:val="0099719E"/>
    <w:rsid w:val="009A0F98"/>
    <w:rsid w:val="009A10CF"/>
    <w:rsid w:val="009A34DC"/>
    <w:rsid w:val="009A75F0"/>
    <w:rsid w:val="009B7010"/>
    <w:rsid w:val="009B71DF"/>
    <w:rsid w:val="009B79E5"/>
    <w:rsid w:val="009C26FA"/>
    <w:rsid w:val="009C3EFC"/>
    <w:rsid w:val="009C666D"/>
    <w:rsid w:val="009C7A6C"/>
    <w:rsid w:val="009D4A78"/>
    <w:rsid w:val="009E22FD"/>
    <w:rsid w:val="009E2CBA"/>
    <w:rsid w:val="009E4D47"/>
    <w:rsid w:val="009E56B2"/>
    <w:rsid w:val="009F0F9E"/>
    <w:rsid w:val="009F312B"/>
    <w:rsid w:val="009F696D"/>
    <w:rsid w:val="009F6BC6"/>
    <w:rsid w:val="00A02C22"/>
    <w:rsid w:val="00A03F43"/>
    <w:rsid w:val="00A0522F"/>
    <w:rsid w:val="00A17328"/>
    <w:rsid w:val="00A20BC7"/>
    <w:rsid w:val="00A23A20"/>
    <w:rsid w:val="00A240A0"/>
    <w:rsid w:val="00A24199"/>
    <w:rsid w:val="00A2599D"/>
    <w:rsid w:val="00A268B9"/>
    <w:rsid w:val="00A2703A"/>
    <w:rsid w:val="00A27910"/>
    <w:rsid w:val="00A33DFF"/>
    <w:rsid w:val="00A35115"/>
    <w:rsid w:val="00A36D9A"/>
    <w:rsid w:val="00A36FF1"/>
    <w:rsid w:val="00A37AFB"/>
    <w:rsid w:val="00A41170"/>
    <w:rsid w:val="00A434C6"/>
    <w:rsid w:val="00A46E5E"/>
    <w:rsid w:val="00A5026B"/>
    <w:rsid w:val="00A553A6"/>
    <w:rsid w:val="00A554AB"/>
    <w:rsid w:val="00A55D2D"/>
    <w:rsid w:val="00A73184"/>
    <w:rsid w:val="00A741B0"/>
    <w:rsid w:val="00A80AF4"/>
    <w:rsid w:val="00A8595F"/>
    <w:rsid w:val="00A86B83"/>
    <w:rsid w:val="00A86DF9"/>
    <w:rsid w:val="00A86F2F"/>
    <w:rsid w:val="00A90C5C"/>
    <w:rsid w:val="00A92B53"/>
    <w:rsid w:val="00A94622"/>
    <w:rsid w:val="00A94FA6"/>
    <w:rsid w:val="00A979D6"/>
    <w:rsid w:val="00AA3281"/>
    <w:rsid w:val="00AA3D8C"/>
    <w:rsid w:val="00AA49A0"/>
    <w:rsid w:val="00AA64C5"/>
    <w:rsid w:val="00AA6710"/>
    <w:rsid w:val="00AA77C7"/>
    <w:rsid w:val="00AB0681"/>
    <w:rsid w:val="00AB219E"/>
    <w:rsid w:val="00AB33D4"/>
    <w:rsid w:val="00AB3C64"/>
    <w:rsid w:val="00AB4ADA"/>
    <w:rsid w:val="00AC2398"/>
    <w:rsid w:val="00AD046A"/>
    <w:rsid w:val="00AD4A73"/>
    <w:rsid w:val="00AD520B"/>
    <w:rsid w:val="00AE0FD1"/>
    <w:rsid w:val="00AE31ED"/>
    <w:rsid w:val="00AE44AA"/>
    <w:rsid w:val="00AE44E6"/>
    <w:rsid w:val="00AE4BEF"/>
    <w:rsid w:val="00AE4F22"/>
    <w:rsid w:val="00AF1F79"/>
    <w:rsid w:val="00AF6C55"/>
    <w:rsid w:val="00AF6EB4"/>
    <w:rsid w:val="00AF725E"/>
    <w:rsid w:val="00B00B45"/>
    <w:rsid w:val="00B016A7"/>
    <w:rsid w:val="00B026F5"/>
    <w:rsid w:val="00B05F3F"/>
    <w:rsid w:val="00B120EF"/>
    <w:rsid w:val="00B121CF"/>
    <w:rsid w:val="00B142EA"/>
    <w:rsid w:val="00B16DC2"/>
    <w:rsid w:val="00B22425"/>
    <w:rsid w:val="00B2365A"/>
    <w:rsid w:val="00B250C8"/>
    <w:rsid w:val="00B42C26"/>
    <w:rsid w:val="00B440AD"/>
    <w:rsid w:val="00B44BB9"/>
    <w:rsid w:val="00B464CF"/>
    <w:rsid w:val="00B51604"/>
    <w:rsid w:val="00B53E20"/>
    <w:rsid w:val="00B53E7E"/>
    <w:rsid w:val="00B5619C"/>
    <w:rsid w:val="00B6342E"/>
    <w:rsid w:val="00B66E2E"/>
    <w:rsid w:val="00B7113F"/>
    <w:rsid w:val="00B72F9A"/>
    <w:rsid w:val="00B7643F"/>
    <w:rsid w:val="00B76DD4"/>
    <w:rsid w:val="00B775B4"/>
    <w:rsid w:val="00B77CA7"/>
    <w:rsid w:val="00B80A9B"/>
    <w:rsid w:val="00B81C47"/>
    <w:rsid w:val="00B87D8A"/>
    <w:rsid w:val="00B95603"/>
    <w:rsid w:val="00B95FFD"/>
    <w:rsid w:val="00BA0442"/>
    <w:rsid w:val="00BA2A58"/>
    <w:rsid w:val="00BA73B6"/>
    <w:rsid w:val="00BA7E27"/>
    <w:rsid w:val="00BB2603"/>
    <w:rsid w:val="00BB3C70"/>
    <w:rsid w:val="00BB4FCD"/>
    <w:rsid w:val="00BB56F4"/>
    <w:rsid w:val="00BC1317"/>
    <w:rsid w:val="00BC3206"/>
    <w:rsid w:val="00BC56DB"/>
    <w:rsid w:val="00BD1362"/>
    <w:rsid w:val="00BD13EA"/>
    <w:rsid w:val="00BD26D3"/>
    <w:rsid w:val="00BD4B6C"/>
    <w:rsid w:val="00BD74D7"/>
    <w:rsid w:val="00BD75DA"/>
    <w:rsid w:val="00BE3808"/>
    <w:rsid w:val="00BE4E3D"/>
    <w:rsid w:val="00BE5CEA"/>
    <w:rsid w:val="00BE6BBA"/>
    <w:rsid w:val="00BF2B15"/>
    <w:rsid w:val="00BF4525"/>
    <w:rsid w:val="00BF4544"/>
    <w:rsid w:val="00BF6093"/>
    <w:rsid w:val="00C0385E"/>
    <w:rsid w:val="00C062E9"/>
    <w:rsid w:val="00C07B64"/>
    <w:rsid w:val="00C13721"/>
    <w:rsid w:val="00C14D37"/>
    <w:rsid w:val="00C20F62"/>
    <w:rsid w:val="00C3066D"/>
    <w:rsid w:val="00C36796"/>
    <w:rsid w:val="00C408E2"/>
    <w:rsid w:val="00C4493F"/>
    <w:rsid w:val="00C45857"/>
    <w:rsid w:val="00C543F4"/>
    <w:rsid w:val="00C627D1"/>
    <w:rsid w:val="00C6291C"/>
    <w:rsid w:val="00C633CB"/>
    <w:rsid w:val="00C6671C"/>
    <w:rsid w:val="00C705FC"/>
    <w:rsid w:val="00C756DA"/>
    <w:rsid w:val="00C81D4A"/>
    <w:rsid w:val="00C83D76"/>
    <w:rsid w:val="00C8762C"/>
    <w:rsid w:val="00C87B95"/>
    <w:rsid w:val="00C9107E"/>
    <w:rsid w:val="00C94F3B"/>
    <w:rsid w:val="00CA00F9"/>
    <w:rsid w:val="00CA2961"/>
    <w:rsid w:val="00CA33E7"/>
    <w:rsid w:val="00CB50D7"/>
    <w:rsid w:val="00CB7177"/>
    <w:rsid w:val="00CC1998"/>
    <w:rsid w:val="00CC21B4"/>
    <w:rsid w:val="00CC4946"/>
    <w:rsid w:val="00CD08FF"/>
    <w:rsid w:val="00CD13DF"/>
    <w:rsid w:val="00CD7A30"/>
    <w:rsid w:val="00CE5937"/>
    <w:rsid w:val="00CF2251"/>
    <w:rsid w:val="00CF2330"/>
    <w:rsid w:val="00D00D86"/>
    <w:rsid w:val="00D03CB6"/>
    <w:rsid w:val="00D056BD"/>
    <w:rsid w:val="00D110E8"/>
    <w:rsid w:val="00D1145A"/>
    <w:rsid w:val="00D26187"/>
    <w:rsid w:val="00D270A4"/>
    <w:rsid w:val="00D27575"/>
    <w:rsid w:val="00D31FE9"/>
    <w:rsid w:val="00D32751"/>
    <w:rsid w:val="00D34E1B"/>
    <w:rsid w:val="00D352C4"/>
    <w:rsid w:val="00D360ED"/>
    <w:rsid w:val="00D376BA"/>
    <w:rsid w:val="00D41832"/>
    <w:rsid w:val="00D445A3"/>
    <w:rsid w:val="00D46E02"/>
    <w:rsid w:val="00D53255"/>
    <w:rsid w:val="00D5568A"/>
    <w:rsid w:val="00D579D6"/>
    <w:rsid w:val="00D6234F"/>
    <w:rsid w:val="00D63D73"/>
    <w:rsid w:val="00D64452"/>
    <w:rsid w:val="00D66E1E"/>
    <w:rsid w:val="00D7043B"/>
    <w:rsid w:val="00D706CD"/>
    <w:rsid w:val="00D74354"/>
    <w:rsid w:val="00D75722"/>
    <w:rsid w:val="00D766BA"/>
    <w:rsid w:val="00D80CF5"/>
    <w:rsid w:val="00D80CFC"/>
    <w:rsid w:val="00D8177E"/>
    <w:rsid w:val="00D818C3"/>
    <w:rsid w:val="00D82340"/>
    <w:rsid w:val="00D8456E"/>
    <w:rsid w:val="00D875EB"/>
    <w:rsid w:val="00D90F05"/>
    <w:rsid w:val="00D925A5"/>
    <w:rsid w:val="00D96AD4"/>
    <w:rsid w:val="00DA5BBA"/>
    <w:rsid w:val="00DA77FE"/>
    <w:rsid w:val="00DB404E"/>
    <w:rsid w:val="00DB5610"/>
    <w:rsid w:val="00DB67C9"/>
    <w:rsid w:val="00DC0C95"/>
    <w:rsid w:val="00DC2E65"/>
    <w:rsid w:val="00DC52BA"/>
    <w:rsid w:val="00DD1281"/>
    <w:rsid w:val="00DD3382"/>
    <w:rsid w:val="00DD5712"/>
    <w:rsid w:val="00DD6580"/>
    <w:rsid w:val="00DD6CF9"/>
    <w:rsid w:val="00DE2F66"/>
    <w:rsid w:val="00DE5357"/>
    <w:rsid w:val="00DE658A"/>
    <w:rsid w:val="00DF2053"/>
    <w:rsid w:val="00DF3334"/>
    <w:rsid w:val="00E04452"/>
    <w:rsid w:val="00E04FDE"/>
    <w:rsid w:val="00E1322E"/>
    <w:rsid w:val="00E17C72"/>
    <w:rsid w:val="00E210AC"/>
    <w:rsid w:val="00E21FC6"/>
    <w:rsid w:val="00E31927"/>
    <w:rsid w:val="00E330DB"/>
    <w:rsid w:val="00E37811"/>
    <w:rsid w:val="00E42F91"/>
    <w:rsid w:val="00E431A9"/>
    <w:rsid w:val="00E467F3"/>
    <w:rsid w:val="00E50218"/>
    <w:rsid w:val="00E513D5"/>
    <w:rsid w:val="00E54022"/>
    <w:rsid w:val="00E5477F"/>
    <w:rsid w:val="00E57B82"/>
    <w:rsid w:val="00E652E7"/>
    <w:rsid w:val="00E669E2"/>
    <w:rsid w:val="00E7042E"/>
    <w:rsid w:val="00E70545"/>
    <w:rsid w:val="00E720F3"/>
    <w:rsid w:val="00E73933"/>
    <w:rsid w:val="00E74485"/>
    <w:rsid w:val="00E74E37"/>
    <w:rsid w:val="00E751D0"/>
    <w:rsid w:val="00E75E85"/>
    <w:rsid w:val="00E76135"/>
    <w:rsid w:val="00E76347"/>
    <w:rsid w:val="00E810FE"/>
    <w:rsid w:val="00E81904"/>
    <w:rsid w:val="00E8278C"/>
    <w:rsid w:val="00E82F4F"/>
    <w:rsid w:val="00E86299"/>
    <w:rsid w:val="00E87181"/>
    <w:rsid w:val="00E87FB1"/>
    <w:rsid w:val="00E93C7A"/>
    <w:rsid w:val="00E93F23"/>
    <w:rsid w:val="00E97E29"/>
    <w:rsid w:val="00EA1389"/>
    <w:rsid w:val="00EA39B5"/>
    <w:rsid w:val="00EB549C"/>
    <w:rsid w:val="00EC1539"/>
    <w:rsid w:val="00EC2844"/>
    <w:rsid w:val="00ED07F8"/>
    <w:rsid w:val="00ED5F85"/>
    <w:rsid w:val="00EE33C5"/>
    <w:rsid w:val="00EE51F0"/>
    <w:rsid w:val="00EF0A58"/>
    <w:rsid w:val="00EF6C6C"/>
    <w:rsid w:val="00EF74F0"/>
    <w:rsid w:val="00EF784D"/>
    <w:rsid w:val="00F0006E"/>
    <w:rsid w:val="00F00115"/>
    <w:rsid w:val="00F04231"/>
    <w:rsid w:val="00F056FC"/>
    <w:rsid w:val="00F10476"/>
    <w:rsid w:val="00F13073"/>
    <w:rsid w:val="00F13178"/>
    <w:rsid w:val="00F135D8"/>
    <w:rsid w:val="00F21F07"/>
    <w:rsid w:val="00F23C35"/>
    <w:rsid w:val="00F31299"/>
    <w:rsid w:val="00F3229A"/>
    <w:rsid w:val="00F33D11"/>
    <w:rsid w:val="00F3534A"/>
    <w:rsid w:val="00F418D2"/>
    <w:rsid w:val="00F43411"/>
    <w:rsid w:val="00F442FB"/>
    <w:rsid w:val="00F4584A"/>
    <w:rsid w:val="00F53A90"/>
    <w:rsid w:val="00F5608B"/>
    <w:rsid w:val="00F561E2"/>
    <w:rsid w:val="00F61E3D"/>
    <w:rsid w:val="00F629D4"/>
    <w:rsid w:val="00F636F2"/>
    <w:rsid w:val="00F676A8"/>
    <w:rsid w:val="00F70B07"/>
    <w:rsid w:val="00F73ECB"/>
    <w:rsid w:val="00F756BE"/>
    <w:rsid w:val="00F7709F"/>
    <w:rsid w:val="00F80187"/>
    <w:rsid w:val="00F8110E"/>
    <w:rsid w:val="00F813AD"/>
    <w:rsid w:val="00F820D1"/>
    <w:rsid w:val="00F85325"/>
    <w:rsid w:val="00FA25E3"/>
    <w:rsid w:val="00FA6F46"/>
    <w:rsid w:val="00FB35AD"/>
    <w:rsid w:val="00FC287C"/>
    <w:rsid w:val="00FC7D2B"/>
    <w:rsid w:val="00FD22B1"/>
    <w:rsid w:val="00FD424F"/>
    <w:rsid w:val="00FD6D5D"/>
    <w:rsid w:val="00FF2A07"/>
    <w:rsid w:val="00FF3891"/>
    <w:rsid w:val="00FF78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41D1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styleId="Hyperlink">
    <w:name w:val="Hyperlink"/>
    <w:basedOn w:val="DefaultParagraphFont"/>
    <w:rsid w:val="0089038A"/>
    <w:rPr>
      <w:color w:val="0000FF" w:themeColor="hyperlink"/>
      <w:u w:val="single"/>
    </w:rPr>
  </w:style>
  <w:style w:type="character" w:customStyle="1" w:styleId="ReferenceChar">
    <w:name w:val="Reference Char"/>
    <w:link w:val="Reference"/>
    <w:rsid w:val="00EC1539"/>
    <w:rPr>
      <w:sz w:val="26"/>
    </w:rPr>
  </w:style>
  <w:style w:type="paragraph" w:styleId="CommentSubject">
    <w:name w:val="annotation subject"/>
    <w:basedOn w:val="CommentText"/>
    <w:next w:val="CommentText"/>
    <w:link w:val="CommentSubjectChar"/>
    <w:rsid w:val="00872F7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72F7B"/>
    <w:rPr>
      <w:szCs w:val="24"/>
    </w:rPr>
  </w:style>
  <w:style w:type="character" w:customStyle="1" w:styleId="CommentSubjectChar">
    <w:name w:val="Comment Subject Char"/>
    <w:basedOn w:val="CommentTextChar"/>
    <w:link w:val="CommentSubject"/>
    <w:rsid w:val="00872F7B"/>
    <w:rPr>
      <w:b/>
      <w:bCs/>
      <w:szCs w:val="24"/>
    </w:rPr>
  </w:style>
  <w:style w:type="character" w:styleId="FollowedHyperlink">
    <w:name w:val="FollowedHyperlink"/>
    <w:basedOn w:val="DefaultParagraphFont"/>
    <w:rsid w:val="000C04CA"/>
    <w:rPr>
      <w:color w:val="800080" w:themeColor="followedHyperlink"/>
      <w:u w:val="single"/>
    </w:rPr>
  </w:style>
  <w:style w:type="paragraph" w:styleId="Revision">
    <w:name w:val="Revision"/>
    <w:hidden/>
    <w:uiPriority w:val="99"/>
    <w:semiHidden/>
    <w:rsid w:val="00B250C8"/>
    <w:rPr>
      <w:sz w:val="26"/>
      <w:szCs w:val="24"/>
    </w:rPr>
  </w:style>
  <w:style w:type="paragraph" w:customStyle="1" w:styleId="BoxSpaceAbove">
    <w:name w:val="Box Space Above"/>
    <w:basedOn w:val="BodyText"/>
    <w:rsid w:val="002F14C3"/>
    <w:pPr>
      <w:keepNext/>
      <w:spacing w:before="360" w:line="80" w:lineRule="exact"/>
      <w:jc w:val="left"/>
    </w:pPr>
  </w:style>
  <w:style w:type="paragraph" w:customStyle="1" w:styleId="BoxSpaceBelow">
    <w:name w:val="Box Space Below"/>
    <w:basedOn w:val="Box"/>
    <w:rsid w:val="002F14C3"/>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41D1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styleId="Hyperlink">
    <w:name w:val="Hyperlink"/>
    <w:basedOn w:val="DefaultParagraphFont"/>
    <w:rsid w:val="0089038A"/>
    <w:rPr>
      <w:color w:val="0000FF" w:themeColor="hyperlink"/>
      <w:u w:val="single"/>
    </w:rPr>
  </w:style>
  <w:style w:type="character" w:customStyle="1" w:styleId="ReferenceChar">
    <w:name w:val="Reference Char"/>
    <w:link w:val="Reference"/>
    <w:rsid w:val="00EC1539"/>
    <w:rPr>
      <w:sz w:val="26"/>
    </w:rPr>
  </w:style>
  <w:style w:type="paragraph" w:styleId="CommentSubject">
    <w:name w:val="annotation subject"/>
    <w:basedOn w:val="CommentText"/>
    <w:next w:val="CommentText"/>
    <w:link w:val="CommentSubjectChar"/>
    <w:rsid w:val="00872F7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72F7B"/>
    <w:rPr>
      <w:szCs w:val="24"/>
    </w:rPr>
  </w:style>
  <w:style w:type="character" w:customStyle="1" w:styleId="CommentSubjectChar">
    <w:name w:val="Comment Subject Char"/>
    <w:basedOn w:val="CommentTextChar"/>
    <w:link w:val="CommentSubject"/>
    <w:rsid w:val="00872F7B"/>
    <w:rPr>
      <w:b/>
      <w:bCs/>
      <w:szCs w:val="24"/>
    </w:rPr>
  </w:style>
  <w:style w:type="character" w:styleId="FollowedHyperlink">
    <w:name w:val="FollowedHyperlink"/>
    <w:basedOn w:val="DefaultParagraphFont"/>
    <w:rsid w:val="000C04CA"/>
    <w:rPr>
      <w:color w:val="800080" w:themeColor="followedHyperlink"/>
      <w:u w:val="single"/>
    </w:rPr>
  </w:style>
  <w:style w:type="paragraph" w:styleId="Revision">
    <w:name w:val="Revision"/>
    <w:hidden/>
    <w:uiPriority w:val="99"/>
    <w:semiHidden/>
    <w:rsid w:val="00B250C8"/>
    <w:rPr>
      <w:sz w:val="26"/>
      <w:szCs w:val="24"/>
    </w:rPr>
  </w:style>
  <w:style w:type="paragraph" w:customStyle="1" w:styleId="BoxSpaceAbove">
    <w:name w:val="Box Space Above"/>
    <w:basedOn w:val="BodyText"/>
    <w:rsid w:val="002F14C3"/>
    <w:pPr>
      <w:keepNext/>
      <w:spacing w:before="360" w:line="80" w:lineRule="exact"/>
      <w:jc w:val="left"/>
    </w:pPr>
  </w:style>
  <w:style w:type="paragraph" w:customStyle="1" w:styleId="BoxSpaceBelow">
    <w:name w:val="Box Space Below"/>
    <w:basedOn w:val="Box"/>
    <w:rsid w:val="002F14C3"/>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509860">
      <w:bodyDiv w:val="1"/>
      <w:marLeft w:val="0"/>
      <w:marRight w:val="0"/>
      <w:marTop w:val="0"/>
      <w:marBottom w:val="0"/>
      <w:divBdr>
        <w:top w:val="none" w:sz="0" w:space="0" w:color="auto"/>
        <w:left w:val="none" w:sz="0" w:space="0" w:color="auto"/>
        <w:bottom w:val="none" w:sz="0" w:space="0" w:color="auto"/>
        <w:right w:val="none" w:sz="0" w:space="0" w:color="auto"/>
      </w:divBdr>
      <w:divsChild>
        <w:div w:id="1695381351">
          <w:marLeft w:val="0"/>
          <w:marRight w:val="0"/>
          <w:marTop w:val="0"/>
          <w:marBottom w:val="270"/>
          <w:divBdr>
            <w:top w:val="none" w:sz="0" w:space="0" w:color="auto"/>
            <w:left w:val="none" w:sz="0" w:space="0" w:color="auto"/>
            <w:bottom w:val="none" w:sz="0" w:space="0" w:color="auto"/>
            <w:right w:val="none" w:sz="0" w:space="0" w:color="auto"/>
          </w:divBdr>
          <w:divsChild>
            <w:div w:id="1962497833">
              <w:marLeft w:val="0"/>
              <w:marRight w:val="0"/>
              <w:marTop w:val="0"/>
              <w:marBottom w:val="0"/>
              <w:divBdr>
                <w:top w:val="none" w:sz="0" w:space="0" w:color="auto"/>
                <w:left w:val="none" w:sz="0" w:space="0" w:color="auto"/>
                <w:bottom w:val="none" w:sz="0" w:space="0" w:color="auto"/>
                <w:right w:val="none" w:sz="0" w:space="0" w:color="auto"/>
              </w:divBdr>
              <w:divsChild>
                <w:div w:id="261453729">
                  <w:marLeft w:val="0"/>
                  <w:marRight w:val="0"/>
                  <w:marTop w:val="0"/>
                  <w:marBottom w:val="0"/>
                  <w:divBdr>
                    <w:top w:val="none" w:sz="0" w:space="0" w:color="auto"/>
                    <w:left w:val="none" w:sz="0" w:space="0" w:color="auto"/>
                    <w:bottom w:val="none" w:sz="0" w:space="0" w:color="auto"/>
                    <w:right w:val="none" w:sz="0" w:space="0" w:color="auto"/>
                  </w:divBdr>
                  <w:divsChild>
                    <w:div w:id="1685209343">
                      <w:marLeft w:val="0"/>
                      <w:marRight w:val="120"/>
                      <w:marTop w:val="0"/>
                      <w:marBottom w:val="0"/>
                      <w:divBdr>
                        <w:top w:val="none" w:sz="0" w:space="0" w:color="auto"/>
                        <w:left w:val="none" w:sz="0" w:space="0" w:color="auto"/>
                        <w:bottom w:val="none" w:sz="0" w:space="0" w:color="auto"/>
                        <w:right w:val="none" w:sz="0" w:space="0" w:color="auto"/>
                      </w:divBdr>
                      <w:divsChild>
                        <w:div w:id="1543054238">
                          <w:marLeft w:val="0"/>
                          <w:marRight w:val="0"/>
                          <w:marTop w:val="0"/>
                          <w:marBottom w:val="0"/>
                          <w:divBdr>
                            <w:top w:val="none" w:sz="0" w:space="0" w:color="auto"/>
                            <w:left w:val="none" w:sz="0" w:space="0" w:color="auto"/>
                            <w:bottom w:val="none" w:sz="0" w:space="0" w:color="auto"/>
                            <w:right w:val="none" w:sz="0" w:space="0" w:color="auto"/>
                          </w:divBdr>
                          <w:divsChild>
                            <w:div w:id="4550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98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AF469-7A66-4F65-B75A-0E4C1B186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12</Pages>
  <Words>4369</Words>
  <Characters>25037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Other forms of non-voluntary access</vt:lpstr>
    </vt:vector>
  </TitlesOfParts>
  <Company>Productivity Commission</Company>
  <LinksUpToDate>false</LinksUpToDate>
  <CharactersWithSpaces>29348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Other forms of non-voluntary access</dc:title>
  <dc:creator>Productivity Commission</dc:creator>
  <dc:description>8.</dc:description>
  <cp:lastModifiedBy>Productivity Commission</cp:lastModifiedBy>
  <cp:revision>2</cp:revision>
  <cp:lastPrinted>2013-03-25T23:16:00Z</cp:lastPrinted>
  <dcterms:created xsi:type="dcterms:W3CDTF">2013-05-29T02:01:00Z</dcterms:created>
  <dcterms:modified xsi:type="dcterms:W3CDTF">2013-05-29T02:01:00Z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-1633377772</vt:i4>
  </property>
  <property fmtid="{D5CDD505-2E9C-101B-9397-08002B2CF9AE}" pid="4" name="_EmailSubject">
    <vt:lpwstr>web files - patents final report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PreviousAdHocReviewCycleID">
    <vt:i4>-899865981</vt:i4>
  </property>
  <property fmtid="{D5CDD505-2E9C-101B-9397-08002B2CF9AE}" pid="8" name="_ReviewingToolsShownOnce">
    <vt:lpwstr/>
  </property>
</Properties>
</file>