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42115" w:rsidP="00642115">
      <w:pPr>
        <w:pStyle w:val="Heading1"/>
        <w:spacing w:before="0"/>
      </w:pPr>
      <w:bookmarkStart w:id="0" w:name="ChapterNumber"/>
      <w:r>
        <w:t>10</w:t>
      </w:r>
      <w:bookmarkEnd w:id="0"/>
      <w:r>
        <w:tab/>
      </w:r>
      <w:bookmarkStart w:id="1" w:name="ChapterTitle"/>
      <w:r>
        <w:t>Awareness-raising measures</w:t>
      </w:r>
      <w:bookmarkEnd w:id="1"/>
    </w:p>
    <w:p w:rsidR="00826B99" w:rsidRDefault="00826B9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26B99">
        <w:tc>
          <w:tcPr>
            <w:tcW w:w="8771" w:type="dxa"/>
            <w:tcBorders>
              <w:top w:val="single" w:sz="6" w:space="0" w:color="auto"/>
              <w:bottom w:val="nil"/>
            </w:tcBorders>
          </w:tcPr>
          <w:p w:rsidR="00826B99" w:rsidRDefault="00826B99" w:rsidP="00826B99">
            <w:pPr>
              <w:pStyle w:val="BoxTitle"/>
            </w:pPr>
            <w:r>
              <w:t>Key points</w:t>
            </w:r>
          </w:p>
        </w:tc>
      </w:tr>
      <w:tr w:rsidR="00826B99">
        <w:trPr>
          <w:cantSplit/>
        </w:trPr>
        <w:tc>
          <w:tcPr>
            <w:tcW w:w="8771" w:type="dxa"/>
            <w:tcBorders>
              <w:top w:val="nil"/>
              <w:left w:val="single" w:sz="6" w:space="0" w:color="auto"/>
              <w:bottom w:val="nil"/>
              <w:right w:val="single" w:sz="6" w:space="0" w:color="auto"/>
            </w:tcBorders>
          </w:tcPr>
          <w:p w:rsidR="00740A1B" w:rsidRDefault="00574DDC" w:rsidP="00826B99">
            <w:pPr>
              <w:pStyle w:val="BoxListBullet"/>
            </w:pPr>
            <w:r>
              <w:t xml:space="preserve">Lack of </w:t>
            </w:r>
            <w:r w:rsidR="005B2132">
              <w:t>awareness of compulsory licensing</w:t>
            </w:r>
            <w:r w:rsidR="00170063">
              <w:t xml:space="preserve"> is unlikely </w:t>
            </w:r>
            <w:r w:rsidR="006B5619">
              <w:t>to be</w:t>
            </w:r>
            <w:r w:rsidR="005B2132">
              <w:t xml:space="preserve"> a significant </w:t>
            </w:r>
            <w:r w:rsidR="006B5619">
              <w:t>reason for its</w:t>
            </w:r>
            <w:r w:rsidR="005B2132">
              <w:t xml:space="preserve"> limited use. </w:t>
            </w:r>
            <w:r w:rsidR="00740A1B">
              <w:t xml:space="preserve">Other factors </w:t>
            </w:r>
            <w:r w:rsidR="00543A9E">
              <w:t>—</w:t>
            </w:r>
            <w:r w:rsidR="00740A1B">
              <w:t xml:space="preserve"> </w:t>
            </w:r>
            <w:r>
              <w:t>including the few cases where it is needed, and</w:t>
            </w:r>
            <w:r w:rsidR="00740A1B">
              <w:t xml:space="preserve"> </w:t>
            </w:r>
            <w:r>
              <w:t>the</w:t>
            </w:r>
            <w:r w:rsidR="00740A1B">
              <w:t xml:space="preserve"> </w:t>
            </w:r>
            <w:r>
              <w:t xml:space="preserve">costly and </w:t>
            </w:r>
            <w:r w:rsidR="00740A1B">
              <w:t>time</w:t>
            </w:r>
            <w:r>
              <w:noBreakHyphen/>
            </w:r>
            <w:r w:rsidR="00740A1B">
              <w:t>consuming process</w:t>
            </w:r>
            <w:r>
              <w:t xml:space="preserve"> in applying </w:t>
            </w:r>
            <w:r w:rsidR="00FE0161">
              <w:t>—</w:t>
            </w:r>
            <w:r w:rsidR="00740A1B">
              <w:t xml:space="preserve"> appear to be more important.</w:t>
            </w:r>
          </w:p>
          <w:p w:rsidR="00DC62C4" w:rsidRDefault="00DC62C4" w:rsidP="00826B99">
            <w:pPr>
              <w:pStyle w:val="BoxListBullet"/>
            </w:pPr>
            <w:r>
              <w:t xml:space="preserve">Various government bodies, </w:t>
            </w:r>
            <w:r w:rsidR="00574DDC">
              <w:t xml:space="preserve">industry organisations, law firms and private individuals </w:t>
            </w:r>
            <w:r w:rsidR="001406CD">
              <w:t xml:space="preserve">already </w:t>
            </w:r>
            <w:r>
              <w:t xml:space="preserve">provide information on Australia’s </w:t>
            </w:r>
            <w:r w:rsidR="00FE0161">
              <w:t>intellectual property</w:t>
            </w:r>
            <w:r>
              <w:t xml:space="preserve"> system. However, very little of th</w:t>
            </w:r>
            <w:r w:rsidR="00E11B02">
              <w:t>e</w:t>
            </w:r>
            <w:r>
              <w:t xml:space="preserve"> information </w:t>
            </w:r>
            <w:r w:rsidR="00E11B02">
              <w:t xml:space="preserve">provided by any of these bodies </w:t>
            </w:r>
            <w:r>
              <w:t>is specific to compulsory licensing.</w:t>
            </w:r>
          </w:p>
          <w:p w:rsidR="00F30CDD" w:rsidRDefault="00F30CDD" w:rsidP="00F30CDD">
            <w:pPr>
              <w:pStyle w:val="BoxListBullet"/>
            </w:pPr>
            <w:r>
              <w:t>There may be a small number of businesses that would benefit from compulsory licensing awareness</w:t>
            </w:r>
            <w:r>
              <w:noBreakHyphen/>
              <w:t>raising measures focused on the provision of general information.</w:t>
            </w:r>
          </w:p>
          <w:p w:rsidR="00DC62C4" w:rsidRDefault="00811D79">
            <w:pPr>
              <w:pStyle w:val="BoxListBullet"/>
            </w:pPr>
            <w:r>
              <w:t>To raise awareness of compulsory licensing,</w:t>
            </w:r>
            <w:r w:rsidR="00DC62C4">
              <w:t xml:space="preserve"> IP Australia </w:t>
            </w:r>
            <w:r w:rsidR="008D4D34">
              <w:t xml:space="preserve">and the ACCC </w:t>
            </w:r>
            <w:r>
              <w:t xml:space="preserve">should </w:t>
            </w:r>
            <w:r w:rsidR="00F0511D">
              <w:t xml:space="preserve">jointly </w:t>
            </w:r>
            <w:r w:rsidR="005274B3">
              <w:t xml:space="preserve">develop a plain English guide on </w:t>
            </w:r>
            <w:r w:rsidR="00C06C1F">
              <w:t>compulsory licensing</w:t>
            </w:r>
            <w:r w:rsidR="005274B3">
              <w:t xml:space="preserve"> </w:t>
            </w:r>
            <w:r w:rsidR="00546E7E" w:rsidRPr="00BB13EE">
              <w:t xml:space="preserve">and make it available on </w:t>
            </w:r>
            <w:r w:rsidR="00546E7E">
              <w:t xml:space="preserve">their </w:t>
            </w:r>
            <w:r w:rsidR="00546E7E" w:rsidRPr="00BB13EE">
              <w:t>website</w:t>
            </w:r>
            <w:r w:rsidR="00546E7E">
              <w:t>s</w:t>
            </w:r>
            <w:r w:rsidR="005274B3">
              <w:t>.</w:t>
            </w:r>
          </w:p>
        </w:tc>
      </w:tr>
      <w:tr w:rsidR="00826B99">
        <w:trPr>
          <w:cantSplit/>
        </w:trPr>
        <w:tc>
          <w:tcPr>
            <w:tcW w:w="8771" w:type="dxa"/>
            <w:tcBorders>
              <w:top w:val="nil"/>
              <w:left w:val="single" w:sz="6" w:space="0" w:color="auto"/>
              <w:bottom w:val="single" w:sz="6" w:space="0" w:color="auto"/>
              <w:right w:val="single" w:sz="6" w:space="0" w:color="auto"/>
            </w:tcBorders>
          </w:tcPr>
          <w:p w:rsidR="00826B99" w:rsidRDefault="00826B99">
            <w:pPr>
              <w:pStyle w:val="Box"/>
              <w:spacing w:before="0" w:line="120" w:lineRule="exact"/>
            </w:pPr>
          </w:p>
        </w:tc>
      </w:tr>
      <w:tr w:rsidR="00826B99" w:rsidRPr="000863A5">
        <w:tc>
          <w:tcPr>
            <w:tcW w:w="8771" w:type="dxa"/>
            <w:tcBorders>
              <w:top w:val="nil"/>
              <w:left w:val="nil"/>
              <w:bottom w:val="nil"/>
              <w:right w:val="nil"/>
            </w:tcBorders>
          </w:tcPr>
          <w:p w:rsidR="00826B99" w:rsidRPr="000863A5" w:rsidRDefault="00826B99" w:rsidP="00F5529A">
            <w:pPr>
              <w:pStyle w:val="Box"/>
              <w:keepNext w:val="0"/>
              <w:spacing w:before="60" w:after="60" w:line="80" w:lineRule="exact"/>
              <w:rPr>
                <w:b/>
                <w:sz w:val="14"/>
              </w:rPr>
            </w:pPr>
          </w:p>
        </w:tc>
      </w:tr>
    </w:tbl>
    <w:p w:rsidR="00595E62" w:rsidRDefault="005355A7" w:rsidP="005355A7">
      <w:pPr>
        <w:pStyle w:val="BodyText"/>
      </w:pPr>
      <w:r w:rsidRPr="00BD3A28">
        <w:t xml:space="preserve">The terms of reference ask the Commission to recommend measures to raise awareness of the compulsory licensing provisions, </w:t>
      </w:r>
      <w:r w:rsidR="00820738" w:rsidRPr="00BD3A28">
        <w:t>particularly</w:t>
      </w:r>
      <w:r w:rsidRPr="00BD3A28">
        <w:t xml:space="preserve"> among small businesses and the healthcare sector.</w:t>
      </w:r>
      <w:r w:rsidR="00FF3186" w:rsidRPr="00BD3A28">
        <w:t xml:space="preserve"> </w:t>
      </w:r>
      <w:r w:rsidR="00D42CA0" w:rsidRPr="00BD3A28">
        <w:t>This reflects a concern that the limited use of compulsory licensing in Australia to date may be partly due to a lack of awareness.</w:t>
      </w:r>
      <w:r w:rsidR="00552BBD" w:rsidRPr="00BD3A28">
        <w:t xml:space="preserve"> This chapter examines the evidence supporting that </w:t>
      </w:r>
      <w:r w:rsidR="00203582">
        <w:t>view</w:t>
      </w:r>
      <w:r w:rsidR="00552BBD" w:rsidRPr="00BD3A28">
        <w:t xml:space="preserve"> and, in light of </w:t>
      </w:r>
      <w:r w:rsidR="00AF0805">
        <w:t>the</w:t>
      </w:r>
      <w:r w:rsidR="00552BBD" w:rsidRPr="00BD3A28">
        <w:t xml:space="preserve"> evidence, considers what new </w:t>
      </w:r>
      <w:r w:rsidR="00642115">
        <w:t>awareness-raising</w:t>
      </w:r>
      <w:r w:rsidR="00552BBD" w:rsidRPr="00BD3A28">
        <w:t xml:space="preserve"> measures are appropriate.</w:t>
      </w:r>
    </w:p>
    <w:p w:rsidR="005355A7" w:rsidRDefault="005D2681" w:rsidP="005355A7">
      <w:pPr>
        <w:pStyle w:val="Heading2"/>
      </w:pPr>
      <w:r>
        <w:fldChar w:fldCharType="begin"/>
      </w:r>
      <w:r w:rsidR="00F66D2A">
        <w:instrText xml:space="preserve"> COMMENTS  \* MERGEFORMAT </w:instrText>
      </w:r>
      <w:r>
        <w:fldChar w:fldCharType="separate"/>
      </w:r>
      <w:r w:rsidR="009C6AD3">
        <w:t>10.</w:t>
      </w:r>
      <w:r>
        <w:fldChar w:fldCharType="end"/>
      </w:r>
      <w:fldSimple w:instr=" SEQ Heading2 ">
        <w:r w:rsidR="00BE4C2B">
          <w:rPr>
            <w:noProof/>
          </w:rPr>
          <w:t>1</w:t>
        </w:r>
      </w:fldSimple>
      <w:r w:rsidR="005355A7">
        <w:tab/>
      </w:r>
      <w:r w:rsidR="00DC387A">
        <w:t xml:space="preserve">The case for </w:t>
      </w:r>
      <w:r w:rsidR="005355A7">
        <w:t>awareness</w:t>
      </w:r>
      <w:r w:rsidR="00642115">
        <w:t>-</w:t>
      </w:r>
      <w:r w:rsidR="00DC387A">
        <w:t>raising measures</w:t>
      </w:r>
    </w:p>
    <w:p w:rsidR="005274B3" w:rsidRDefault="00FB1724" w:rsidP="00F307B9">
      <w:pPr>
        <w:pStyle w:val="BodyText"/>
      </w:pPr>
      <w:r>
        <w:t xml:space="preserve">As noted in chapter </w:t>
      </w:r>
      <w:r w:rsidR="00F277B9">
        <w:t>1</w:t>
      </w:r>
      <w:r>
        <w:t xml:space="preserve">, the compulsory licensing provisions of the </w:t>
      </w:r>
      <w:r>
        <w:rPr>
          <w:i/>
        </w:rPr>
        <w:t xml:space="preserve">Patents Act 1990 </w:t>
      </w:r>
      <w:r>
        <w:t xml:space="preserve">(Cwlth) have been seldom used. This may partly be the result of limited awareness of the provisions. However, other </w:t>
      </w:r>
      <w:r w:rsidR="005274B3">
        <w:t xml:space="preserve">factors — particularly the </w:t>
      </w:r>
      <w:r w:rsidR="00574DDC">
        <w:t>few</w:t>
      </w:r>
      <w:r w:rsidR="005274B3">
        <w:t xml:space="preserve"> cases where the provisions are needed (chapters 4 and 5)</w:t>
      </w:r>
      <w:r w:rsidR="00574DDC">
        <w:t>, the uncertain language of the provisions,</w:t>
      </w:r>
      <w:r w:rsidR="005274B3">
        <w:t xml:space="preserve"> and costly and time-consuming processes </w:t>
      </w:r>
      <w:r w:rsidR="00F30CDD">
        <w:t xml:space="preserve">in applying </w:t>
      </w:r>
      <w:r w:rsidR="005274B3">
        <w:t>(chapter 6) — appear to be more important.</w:t>
      </w:r>
    </w:p>
    <w:p w:rsidR="0002210A" w:rsidRDefault="005274B3" w:rsidP="003227D2">
      <w:pPr>
        <w:pStyle w:val="BodyText"/>
        <w:keepNext/>
      </w:pPr>
      <w:r>
        <w:lastRenderedPageBreak/>
        <w:t>T</w:t>
      </w:r>
      <w:r w:rsidR="006D024B">
        <w:t>he</w:t>
      </w:r>
      <w:r w:rsidR="00666BE8">
        <w:t xml:space="preserve"> </w:t>
      </w:r>
      <w:r w:rsidR="0002210A">
        <w:t xml:space="preserve">Centre </w:t>
      </w:r>
      <w:r w:rsidR="00EC0FAE">
        <w:t xml:space="preserve">for Law and Genetics </w:t>
      </w:r>
      <w:r>
        <w:t>observed that a lack of awareness did not appear to be an issue in the biomedical/biotechnology industry:</w:t>
      </w:r>
    </w:p>
    <w:p w:rsidR="0002210A" w:rsidRDefault="0002210A" w:rsidP="0002210A">
      <w:pPr>
        <w:pStyle w:val="Quote"/>
      </w:pPr>
      <w:r>
        <w:t xml:space="preserve">It would appear that parties involved in patent licensing transactions are aware of the compulsory licensing provisions, at least in the biomedical/biotechnology industry in which we have conducted empirical research. The problem is not so much awareness of the provisions, as their </w:t>
      </w:r>
      <w:r w:rsidR="007F5726">
        <w:t>cumbersome and expensive nature.</w:t>
      </w:r>
      <w:r>
        <w:t xml:space="preserve"> (sub. 3, p. 26)</w:t>
      </w:r>
    </w:p>
    <w:p w:rsidR="0002487B" w:rsidRDefault="005274B3" w:rsidP="0002487B">
      <w:pPr>
        <w:pStyle w:val="BodyText"/>
      </w:pPr>
      <w:r>
        <w:t>It also appears that</w:t>
      </w:r>
      <w:r w:rsidR="0002487B">
        <w:t xml:space="preserve"> awareness of compulsory licensing </w:t>
      </w:r>
      <w:r>
        <w:t xml:space="preserve">is </w:t>
      </w:r>
      <w:r w:rsidR="0002487B">
        <w:t>not a problem among</w:t>
      </w:r>
      <w:r w:rsidR="00FE0161">
        <w:t xml:space="preserve"> intellectual property</w:t>
      </w:r>
      <w:r w:rsidR="0002487B">
        <w:t xml:space="preserve"> </w:t>
      </w:r>
      <w:r w:rsidR="00FE0161">
        <w:t>(</w:t>
      </w:r>
      <w:r w:rsidR="0002487B">
        <w:t>IP</w:t>
      </w:r>
      <w:r w:rsidR="00FE0161">
        <w:t>)</w:t>
      </w:r>
      <w:r w:rsidR="0002487B">
        <w:t xml:space="preserve"> professionals, including those that work in, or with, the small business and healthcare sectors. </w:t>
      </w:r>
      <w:r>
        <w:t>T</w:t>
      </w:r>
      <w:r w:rsidR="0002487B">
        <w:t>he Walter and Eliza Hall Institute of Medical Research questioned the purpose of awareness</w:t>
      </w:r>
      <w:r w:rsidR="0002487B">
        <w:noBreakHyphen/>
        <w:t>raising measures for th</w:t>
      </w:r>
      <w:r>
        <w:t xml:space="preserve">ose </w:t>
      </w:r>
      <w:r w:rsidR="0002487B">
        <w:t>sectors:</w:t>
      </w:r>
    </w:p>
    <w:p w:rsidR="0002487B" w:rsidRDefault="00721048" w:rsidP="00A04ECF">
      <w:pPr>
        <w:pStyle w:val="Quote"/>
      </w:pPr>
      <w:r>
        <w:t> </w:t>
      </w:r>
      <w:r w:rsidR="000E723A">
        <w:t>... </w:t>
      </w:r>
      <w:r w:rsidR="0002487B" w:rsidDel="00845C14">
        <w:t>we do not und</w:t>
      </w:r>
      <w:r w:rsidR="000E723A">
        <w:t>erstand why ..</w:t>
      </w:r>
      <w:bookmarkStart w:id="2" w:name="_GoBack"/>
      <w:bookmarkEnd w:id="2"/>
      <w:r w:rsidR="000E723A">
        <w:t>. </w:t>
      </w:r>
      <w:r w:rsidR="0002487B" w:rsidDel="00845C14">
        <w:t>there should be specific awareness and promotion activities directed to small businesses and the healthcare sector. Is the purpose to encourage litigation when it has not previously been required? Why promote litigation opportunities to the segments that can least afford or justify such action? (sub. 13, p. 8)</w:t>
      </w:r>
    </w:p>
    <w:p w:rsidR="005274B3" w:rsidRDefault="005274B3" w:rsidP="00574DDC">
      <w:pPr>
        <w:pStyle w:val="BodyText"/>
      </w:pPr>
      <w:r>
        <w:t xml:space="preserve">More generally, many businesses </w:t>
      </w:r>
      <w:r w:rsidR="009563DB">
        <w:t>—</w:t>
      </w:r>
      <w:r>
        <w:t xml:space="preserve"> particularly small businesses </w:t>
      </w:r>
      <w:r w:rsidR="009563DB">
        <w:t>—</w:t>
      </w:r>
      <w:r>
        <w:t xml:space="preserve"> are unlikely to have the capacity to ‘work’ a patent and may not be involved in patent licensing. Hence, compulsory licensing is not relevant to their operations.</w:t>
      </w:r>
    </w:p>
    <w:p w:rsidR="005274B3" w:rsidRDefault="005274B3" w:rsidP="00574DDC">
      <w:pPr>
        <w:pStyle w:val="BodyText"/>
      </w:pPr>
      <w:r>
        <w:t>Where compulsory licensing is relevant, an organisation may prefer not to use it. For example, the CSIRO (sub. 26) stated that, while it was aware of compulsory licensing, it prefers to use other options to resolve potential patent-related impediments to research.</w:t>
      </w:r>
    </w:p>
    <w:p w:rsidR="0002487B" w:rsidRPr="0002487B" w:rsidRDefault="00B7769E" w:rsidP="00574DDC">
      <w:pPr>
        <w:pStyle w:val="BodyText"/>
      </w:pPr>
      <w:r>
        <w:t>Nevertheless, there may be a case for some</w:t>
      </w:r>
      <w:r w:rsidR="003D2653">
        <w:t xml:space="preserve"> </w:t>
      </w:r>
      <w:r>
        <w:t>awareness</w:t>
      </w:r>
      <w:r>
        <w:noBreakHyphen/>
        <w:t xml:space="preserve">raising initiatives </w:t>
      </w:r>
      <w:r w:rsidR="00203582">
        <w:t>about</w:t>
      </w:r>
      <w:r>
        <w:t xml:space="preserve"> compulsory licensing. </w:t>
      </w:r>
      <w:r w:rsidR="00203582">
        <w:t>L</w:t>
      </w:r>
      <w:r w:rsidR="001F2D17">
        <w:t xml:space="preserve">imited awareness </w:t>
      </w:r>
      <w:r w:rsidR="00597D59">
        <w:t>can</w:t>
      </w:r>
      <w:r w:rsidR="005274B3">
        <w:t xml:space="preserve"> </w:t>
      </w:r>
      <w:r w:rsidR="00597D59">
        <w:t>be a</w:t>
      </w:r>
      <w:r w:rsidR="005274B3">
        <w:t>n</w:t>
      </w:r>
      <w:r>
        <w:t xml:space="preserve"> </w:t>
      </w:r>
      <w:r w:rsidR="005274B3">
        <w:t>impediment</w:t>
      </w:r>
      <w:r w:rsidR="005B0319">
        <w:t xml:space="preserve"> to the use of compulsory licens</w:t>
      </w:r>
      <w:r w:rsidR="00203582">
        <w:t>ing</w:t>
      </w:r>
      <w:r w:rsidR="009A0B45">
        <w:t>,</w:t>
      </w:r>
      <w:r w:rsidR="00203582">
        <w:t xml:space="preserve"> along with other factors</w:t>
      </w:r>
      <w:r>
        <w:t xml:space="preserve">. </w:t>
      </w:r>
      <w:r w:rsidR="001F2D17">
        <w:t>Potentially there are business</w:t>
      </w:r>
      <w:r w:rsidR="00FE0161">
        <w:t>es</w:t>
      </w:r>
      <w:r w:rsidR="001F2D17">
        <w:t xml:space="preserve"> who either currently, or in the future, experience di</w:t>
      </w:r>
      <w:r w:rsidR="007806B3">
        <w:t>fficulty neg</w:t>
      </w:r>
      <w:r w:rsidR="001F2D17">
        <w:t xml:space="preserve">otiating a patent licence </w:t>
      </w:r>
      <w:r w:rsidR="00EE2ABA">
        <w:t>and</w:t>
      </w:r>
      <w:r w:rsidR="007351A2">
        <w:t xml:space="preserve"> may benefit from information on </w:t>
      </w:r>
      <w:r w:rsidR="001F2D17">
        <w:t xml:space="preserve">compulsory licensing. </w:t>
      </w:r>
      <w:r w:rsidR="007806B3">
        <w:t xml:space="preserve">This is </w:t>
      </w:r>
      <w:r w:rsidR="00EE2ABA">
        <w:t>more likely to be the case</w:t>
      </w:r>
      <w:r w:rsidR="007806B3">
        <w:t xml:space="preserve"> for smal</w:t>
      </w:r>
      <w:r w:rsidR="004D035F">
        <w:t xml:space="preserve">l businesses, which would not usually have the resources to develop specific expertise on compulsory licensing. </w:t>
      </w:r>
      <w:r w:rsidR="00EE2ABA">
        <w:t>Thus, w</w:t>
      </w:r>
      <w:r w:rsidR="001F2D17">
        <w:t xml:space="preserve">hile </w:t>
      </w:r>
      <w:r w:rsidR="004D035F">
        <w:t xml:space="preserve">the number of </w:t>
      </w:r>
      <w:r w:rsidR="00EE2ABA">
        <w:t>businesses</w:t>
      </w:r>
      <w:r w:rsidR="004D035F">
        <w:t xml:space="preserve"> that would benefit from information on compulsory licensing is</w:t>
      </w:r>
      <w:r w:rsidR="001F2D17">
        <w:t xml:space="preserve"> likely to </w:t>
      </w:r>
      <w:r w:rsidR="00F5733B">
        <w:t xml:space="preserve">be </w:t>
      </w:r>
      <w:r w:rsidR="004D035F">
        <w:t>very small</w:t>
      </w:r>
      <w:r w:rsidR="005C0D5F">
        <w:t xml:space="preserve">, </w:t>
      </w:r>
      <w:r w:rsidR="00F5733B">
        <w:t>it may</w:t>
      </w:r>
      <w:r w:rsidR="004D156F">
        <w:t xml:space="preserve"> still</w:t>
      </w:r>
      <w:r w:rsidR="00F5733B">
        <w:t xml:space="preserve"> be worthwhile </w:t>
      </w:r>
      <w:r w:rsidR="00FE0161">
        <w:t xml:space="preserve">to </w:t>
      </w:r>
      <w:r w:rsidR="005B0319">
        <w:t>rais</w:t>
      </w:r>
      <w:r w:rsidR="00FE0161">
        <w:t>e</w:t>
      </w:r>
      <w:r w:rsidR="005B0319">
        <w:t xml:space="preserve"> awareness</w:t>
      </w:r>
      <w:r w:rsidR="0084129D">
        <w:t>,</w:t>
      </w:r>
      <w:r w:rsidR="001B1E32">
        <w:t xml:space="preserve"> provided the benefits exceed the costs.</w:t>
      </w:r>
    </w:p>
    <w:p w:rsidR="009C6AD3" w:rsidRDefault="00BA12CF" w:rsidP="009C6AD3">
      <w:pPr>
        <w:pStyle w:val="Heading2"/>
      </w:pPr>
      <w:r>
        <w:fldChar w:fldCharType="begin"/>
      </w:r>
      <w:r>
        <w:instrText xml:space="preserve"> COMMENTS  \* MERGEFORMAT </w:instrText>
      </w:r>
      <w:r>
        <w:fldChar w:fldCharType="separate"/>
      </w:r>
      <w:r w:rsidR="009C6AD3">
        <w:t>10.</w:t>
      </w:r>
      <w:r>
        <w:fldChar w:fldCharType="end"/>
      </w:r>
      <w:fldSimple w:instr=" SEQ Heading2 ">
        <w:r w:rsidR="00BE4C2B">
          <w:rPr>
            <w:noProof/>
          </w:rPr>
          <w:t>2</w:t>
        </w:r>
      </w:fldSimple>
      <w:r w:rsidR="009C6AD3">
        <w:tab/>
        <w:t>Existing awareness-raising measures</w:t>
      </w:r>
    </w:p>
    <w:p w:rsidR="009C6AD3" w:rsidRDefault="009C6AD3" w:rsidP="00464ABB">
      <w:pPr>
        <w:pStyle w:val="BodyText"/>
        <w:keepNext/>
      </w:pPr>
      <w:r>
        <w:t xml:space="preserve">There are a number of organisations in Australia that publicise aspects of Australia’s IP system. However, little of this information is specific to compulsory </w:t>
      </w:r>
      <w:r>
        <w:lastRenderedPageBreak/>
        <w:t xml:space="preserve">licensing </w:t>
      </w:r>
      <w:r w:rsidRPr="00FE0161">
        <w:t>per se</w:t>
      </w:r>
      <w:r>
        <w:t>. IP Australia is the main government body engaged in measures to raise awareness of Australia’s IP system.</w:t>
      </w:r>
    </w:p>
    <w:p w:rsidR="00666BE8" w:rsidRDefault="00666BE8" w:rsidP="00666BE8">
      <w:pPr>
        <w:pStyle w:val="ListBullet"/>
      </w:pPr>
      <w:r>
        <w:t>It provides information on forms of IP rights that can be registered, access to searchable patent databases and a range of IP programs for small business, exporters and other industry sectors.</w:t>
      </w:r>
    </w:p>
    <w:p w:rsidR="00666BE8" w:rsidRDefault="00666BE8" w:rsidP="00666BE8">
      <w:pPr>
        <w:pStyle w:val="ListBullet"/>
      </w:pPr>
      <w:r>
        <w:t>Its Education, Awareness and International Engagement sub-program seeks to ‘deliver public education and awareness programs, which promote the importance of IP and provide Australians with the tools they require to make informed decisions regarding IP</w:t>
      </w:r>
      <w:r w:rsidR="00574DDC">
        <w:t>’</w:t>
      </w:r>
      <w:r w:rsidR="00613EB1">
        <w:t xml:space="preserve"> (</w:t>
      </w:r>
      <w:proofErr w:type="spellStart"/>
      <w:r w:rsidR="00613EB1">
        <w:t>DIISRTE</w:t>
      </w:r>
      <w:proofErr w:type="spellEnd"/>
      <w:r w:rsidR="00613EB1">
        <w:t xml:space="preserve"> 2012, p. 37)</w:t>
      </w:r>
      <w:r>
        <w:t>. The program had a budget of around $8.7</w:t>
      </w:r>
      <w:r w:rsidR="00F63D4F">
        <w:t> </w:t>
      </w:r>
      <w:r>
        <w:t>mil</w:t>
      </w:r>
      <w:r w:rsidR="00580E90">
        <w:t>lion in 2011-12.</w:t>
      </w:r>
    </w:p>
    <w:p w:rsidR="009C6AD3" w:rsidRDefault="009C6AD3" w:rsidP="006D024B">
      <w:pPr>
        <w:pStyle w:val="BodyText"/>
      </w:pPr>
      <w:r>
        <w:t xml:space="preserve">Its website provides some basic information on Crown use of IP under the </w:t>
      </w:r>
      <w:r w:rsidR="005B0319">
        <w:t>Patents Act</w:t>
      </w:r>
      <w:r>
        <w:t xml:space="preserve"> and the </w:t>
      </w:r>
      <w:r w:rsidRPr="006D024B">
        <w:rPr>
          <w:i/>
        </w:rPr>
        <w:t>Designs Act 2003</w:t>
      </w:r>
      <w:r w:rsidR="005B0319">
        <w:rPr>
          <w:i/>
        </w:rPr>
        <w:t xml:space="preserve"> </w:t>
      </w:r>
      <w:r w:rsidR="005B0319">
        <w:t>(Cwlth)</w:t>
      </w:r>
      <w:r>
        <w:t>.</w:t>
      </w:r>
      <w:r w:rsidR="0035271E" w:rsidRPr="0035271E">
        <w:t xml:space="preserve"> </w:t>
      </w:r>
      <w:r w:rsidR="0035271E">
        <w:t>This information includes a description of Crown use, the justification for Crown use, who is able to use the Crown use provisions, and the rights of patent holders under the Crown use provisions.</w:t>
      </w:r>
      <w:r w:rsidR="00330D75">
        <w:t xml:space="preserve"> </w:t>
      </w:r>
      <w:r>
        <w:t>IP Australia also provides information on mechanisms to resolve patent disputes, including court action and alternative dispute resolution (</w:t>
      </w:r>
      <w:proofErr w:type="spellStart"/>
      <w:r>
        <w:t>ADR</w:t>
      </w:r>
      <w:proofErr w:type="spellEnd"/>
      <w:r>
        <w:t>) options</w:t>
      </w:r>
      <w:r w:rsidR="00613EB1">
        <w:t xml:space="preserve">. The parties can initiate </w:t>
      </w:r>
      <w:proofErr w:type="spellStart"/>
      <w:r w:rsidR="00613EB1">
        <w:t>ADR</w:t>
      </w:r>
      <w:proofErr w:type="spellEnd"/>
      <w:r>
        <w:t xml:space="preserve"> to resolve a dispute over IP infringement without going to a cou</w:t>
      </w:r>
      <w:r w:rsidR="00613EB1">
        <w:t>rt or tribunal, or it may be a c</w:t>
      </w:r>
      <w:r>
        <w:t>ourt decision that parties und</w:t>
      </w:r>
      <w:r w:rsidR="00613EB1">
        <w:t>ertake ADR before returning to c</w:t>
      </w:r>
      <w:r>
        <w:t>ourt. The body with primary responsibility for raising the profile of ADR in Australia is the National Alternative Dispute Resolution Advisory Council (NADRAC 2012).</w:t>
      </w:r>
    </w:p>
    <w:p w:rsidR="009C6AD3" w:rsidRDefault="009C6AD3" w:rsidP="009C6AD3">
      <w:pPr>
        <w:pStyle w:val="BodyText"/>
      </w:pPr>
      <w:r w:rsidRPr="0066318B">
        <w:t xml:space="preserve">There are </w:t>
      </w:r>
      <w:r>
        <w:t xml:space="preserve">also </w:t>
      </w:r>
      <w:r w:rsidRPr="0066318B">
        <w:t xml:space="preserve">several </w:t>
      </w:r>
      <w:r w:rsidR="005B0319">
        <w:t>Australian</w:t>
      </w:r>
      <w:r>
        <w:t>,</w:t>
      </w:r>
      <w:r w:rsidR="007E7322">
        <w:t xml:space="preserve"> State and T</w:t>
      </w:r>
      <w:r w:rsidRPr="0066318B">
        <w:t xml:space="preserve">erritory government publications </w:t>
      </w:r>
      <w:r>
        <w:t>intended</w:t>
      </w:r>
      <w:r w:rsidRPr="0066318B">
        <w:t xml:space="preserve"> to educat</w:t>
      </w:r>
      <w:r>
        <w:t>e people about Australia’s IP system, including:</w:t>
      </w:r>
    </w:p>
    <w:p w:rsidR="009C6AD3" w:rsidRDefault="009C6AD3" w:rsidP="009C6AD3">
      <w:pPr>
        <w:pStyle w:val="ListBullet"/>
      </w:pPr>
      <w:r w:rsidRPr="00882C77">
        <w:rPr>
          <w:i/>
        </w:rPr>
        <w:t>Biotechnology Intellectual Property Manual</w:t>
      </w:r>
      <w:r w:rsidR="007E7322">
        <w:t>,</w:t>
      </w:r>
      <w:r>
        <w:t xml:space="preserve"> released in 2008 as a joint initiative between the Victoria</w:t>
      </w:r>
      <w:r w:rsidR="005B0319">
        <w:t>n</w:t>
      </w:r>
      <w:r>
        <w:t xml:space="preserve"> Government, AusBiotech and Spruson &amp; Ferguson</w:t>
      </w:r>
    </w:p>
    <w:p w:rsidR="009C6AD3" w:rsidRDefault="009C6AD3" w:rsidP="009C6AD3">
      <w:pPr>
        <w:pStyle w:val="ListBullet"/>
      </w:pPr>
      <w:r w:rsidRPr="00E62A72">
        <w:rPr>
          <w:i/>
        </w:rPr>
        <w:t>Intellectual Property and Biotechnology: A Training Handbook</w:t>
      </w:r>
      <w:r w:rsidR="007E7322">
        <w:t>,</w:t>
      </w:r>
      <w:r>
        <w:t xml:space="preserve"> published in 2001 by the Department of Foreign Affairs and Trade</w:t>
      </w:r>
    </w:p>
    <w:p w:rsidR="009C6AD3" w:rsidRDefault="00580E90" w:rsidP="009C6AD3">
      <w:pPr>
        <w:pStyle w:val="ListBullet"/>
      </w:pPr>
      <w:r>
        <w:t>t</w:t>
      </w:r>
      <w:r w:rsidR="009C6AD3">
        <w:t xml:space="preserve">he </w:t>
      </w:r>
      <w:r w:rsidR="009C6AD3">
        <w:rPr>
          <w:i/>
        </w:rPr>
        <w:t>Australian Code for the Responsible Conduct of Research</w:t>
      </w:r>
      <w:r w:rsidR="009C6AD3">
        <w:t xml:space="preserve">, jointly published by the National Health and Medical Research Council, the Australian Research Council and Universities Australia contains limited advice on IP, focusing on protecting the confidentiality </w:t>
      </w:r>
      <w:r w:rsidR="007E7322">
        <w:t>and management</w:t>
      </w:r>
      <w:r w:rsidR="009C6AD3">
        <w:t xml:space="preserve"> </w:t>
      </w:r>
      <w:r w:rsidR="00543A9E">
        <w:t xml:space="preserve">of </w:t>
      </w:r>
      <w:r w:rsidR="009C6AD3">
        <w:t>IP by researchers (</w:t>
      </w:r>
      <w:proofErr w:type="spellStart"/>
      <w:r w:rsidR="009C6AD3">
        <w:t>NHMRC</w:t>
      </w:r>
      <w:proofErr w:type="spellEnd"/>
      <w:r w:rsidR="00D65755">
        <w:t> </w:t>
      </w:r>
      <w:r w:rsidR="009C6AD3">
        <w:t>2007)</w:t>
      </w:r>
      <w:r>
        <w:t>.</w:t>
      </w:r>
    </w:p>
    <w:p w:rsidR="009C6AD3" w:rsidRDefault="007E7322" w:rsidP="009C6AD3">
      <w:pPr>
        <w:pStyle w:val="BodyText"/>
      </w:pPr>
      <w:r>
        <w:t xml:space="preserve">In addition to government sponsored awareness </w:t>
      </w:r>
      <w:r w:rsidR="009C6AD3">
        <w:t xml:space="preserve">raising of IP law, a number of industry organisations (for example, AusBiotech Ltd, the Australian Institute for Commercialisation, the Institute of Patent and Trade Mark Attorneys of Australia and the Licensing Executives Society of Australia and New Zealand) provide information, education and training related to licensing of intellectual property and </w:t>
      </w:r>
      <w:r w:rsidR="009C6AD3">
        <w:lastRenderedPageBreak/>
        <w:t>technology commercialisation practices. Such organisations play an important role in monitoring developments in international law and licensing practices.</w:t>
      </w:r>
    </w:p>
    <w:p w:rsidR="009C6AD3" w:rsidRDefault="009C6AD3" w:rsidP="009C6AD3">
      <w:pPr>
        <w:pStyle w:val="BodyText"/>
      </w:pPr>
      <w:r>
        <w:t>As noted, there is very little awareness</w:t>
      </w:r>
      <w:r>
        <w:noBreakHyphen/>
        <w:t xml:space="preserve">raising that is specific to compulsory licensing. For example, the Commission found that the primary reference to compulsory licensing on IP Australia’s website was a news feature about this inquiry (IP Australia </w:t>
      </w:r>
      <w:proofErr w:type="spellStart"/>
      <w:r>
        <w:t>2012</w:t>
      </w:r>
      <w:r w:rsidR="007E7322">
        <w:t>l</w:t>
      </w:r>
      <w:proofErr w:type="spellEnd"/>
      <w:r>
        <w:t>). Moreover, the Commission understands that IP Australia has not engaged in any awareness</w:t>
      </w:r>
      <w:r>
        <w:noBreakHyphen/>
        <w:t xml:space="preserve">raising initiatives on the compulsory licensing provisions with professional bodies or other groups. </w:t>
      </w:r>
      <w:r w:rsidR="00A32AA0">
        <w:t>This is consistent with the view that</w:t>
      </w:r>
      <w:r w:rsidR="001E093F">
        <w:t xml:space="preserve"> compulsory licensing </w:t>
      </w:r>
      <w:r w:rsidR="00A32AA0">
        <w:t>is</w:t>
      </w:r>
      <w:r>
        <w:t xml:space="preserve"> a safeguard</w:t>
      </w:r>
      <w:r w:rsidR="00A32AA0">
        <w:t xml:space="preserve"> only</w:t>
      </w:r>
      <w:r>
        <w:t xml:space="preserve"> to be used in exceptional circumstances</w:t>
      </w:r>
      <w:r w:rsidR="003E39D0">
        <w:t xml:space="preserve">. Given this, other issues would have a higher priority for </w:t>
      </w:r>
      <w:r w:rsidR="00A32AA0">
        <w:t>IP Australia</w:t>
      </w:r>
      <w:r w:rsidR="003E39D0">
        <w:t xml:space="preserve">’s </w:t>
      </w:r>
      <w:r w:rsidR="00BD06C4">
        <w:t xml:space="preserve">limited </w:t>
      </w:r>
      <w:r w:rsidR="007E7322">
        <w:t>awareness</w:t>
      </w:r>
      <w:r w:rsidR="00951E0B">
        <w:t>-</w:t>
      </w:r>
      <w:r w:rsidR="003E39D0">
        <w:t>raising resources</w:t>
      </w:r>
      <w:r w:rsidR="00666BE8">
        <w:t>.</w:t>
      </w:r>
    </w:p>
    <w:p w:rsidR="009C6AD3" w:rsidRDefault="00DA22A3" w:rsidP="009C6AD3">
      <w:pPr>
        <w:pStyle w:val="BodyText"/>
      </w:pPr>
      <w:r>
        <w:t>While the Commission is not aware of any compulsory licensing awareness</w:t>
      </w:r>
      <w:r>
        <w:noBreakHyphen/>
        <w:t xml:space="preserve">raising measures undertaken by industry organisations, there are a small number of </w:t>
      </w:r>
      <w:r w:rsidR="009C6AD3">
        <w:t xml:space="preserve">private </w:t>
      </w:r>
      <w:r>
        <w:t xml:space="preserve">initiatives that </w:t>
      </w:r>
      <w:r w:rsidR="009C6AD3">
        <w:t>may increase awareness. For example, Freehills (2012) published a short article on compulsory licensing for the pharmaceutical</w:t>
      </w:r>
      <w:r w:rsidR="005274B3">
        <w:t>s</w:t>
      </w:r>
      <w:r w:rsidR="009C6AD3">
        <w:t xml:space="preserve"> industry. Additionally, legal experts may choose to make research they have undertaken on compulsory licensing freely available (for example, Lawson </w:t>
      </w:r>
      <w:proofErr w:type="spellStart"/>
      <w:r w:rsidR="009C6AD3">
        <w:t>2008</w:t>
      </w:r>
      <w:r w:rsidR="005E2FAB">
        <w:t>b</w:t>
      </w:r>
      <w:proofErr w:type="spellEnd"/>
      <w:r w:rsidR="009C6AD3">
        <w:t xml:space="preserve"> and Lindgren 2004).</w:t>
      </w:r>
    </w:p>
    <w:p w:rsidR="005355A7" w:rsidRDefault="005D2681" w:rsidP="005355A7">
      <w:pPr>
        <w:pStyle w:val="Heading2"/>
      </w:pPr>
      <w:r>
        <w:fldChar w:fldCharType="begin"/>
      </w:r>
      <w:r w:rsidR="00F66D2A">
        <w:instrText xml:space="preserve"> COMMENTS  \* MERGEFORMAT </w:instrText>
      </w:r>
      <w:r>
        <w:fldChar w:fldCharType="separate"/>
      </w:r>
      <w:r w:rsidR="00642115">
        <w:t>10.</w:t>
      </w:r>
      <w:r>
        <w:fldChar w:fldCharType="end"/>
      </w:r>
      <w:fldSimple w:instr=" SEQ Heading2 ">
        <w:r w:rsidR="00BE4C2B">
          <w:rPr>
            <w:noProof/>
          </w:rPr>
          <w:t>3</w:t>
        </w:r>
      </w:fldSimple>
      <w:r w:rsidR="005355A7">
        <w:tab/>
        <w:t xml:space="preserve">Potential new </w:t>
      </w:r>
      <w:r w:rsidR="00642115">
        <w:t>awareness-raising</w:t>
      </w:r>
      <w:r w:rsidR="001440E1">
        <w:t xml:space="preserve"> </w:t>
      </w:r>
      <w:r w:rsidR="005355A7">
        <w:t>measures</w:t>
      </w:r>
    </w:p>
    <w:p w:rsidR="00571CB7" w:rsidRDefault="007B01AB" w:rsidP="00125E78">
      <w:pPr>
        <w:pStyle w:val="Heading3"/>
        <w:spacing w:before="280"/>
      </w:pPr>
      <w:r>
        <w:t>Objectives of awareness</w:t>
      </w:r>
      <w:r>
        <w:noBreakHyphen/>
        <w:t>raising</w:t>
      </w:r>
    </w:p>
    <w:p w:rsidR="00E44851" w:rsidRDefault="005B0319" w:rsidP="00DC1BE6">
      <w:pPr>
        <w:pStyle w:val="BodyText"/>
      </w:pPr>
      <w:r>
        <w:t>A</w:t>
      </w:r>
      <w:r w:rsidR="00E44851">
        <w:t>wareness</w:t>
      </w:r>
      <w:r w:rsidR="00E44851">
        <w:noBreakHyphen/>
        <w:t>raising initiative</w:t>
      </w:r>
      <w:r w:rsidR="005274B3">
        <w:t xml:space="preserve">s </w:t>
      </w:r>
      <w:r>
        <w:t>for</w:t>
      </w:r>
      <w:r w:rsidR="005274B3">
        <w:t xml:space="preserve"> compulsory licensing</w:t>
      </w:r>
      <w:r w:rsidR="00E44851">
        <w:t xml:space="preserve"> should </w:t>
      </w:r>
      <w:r w:rsidR="00115669">
        <w:t>focus on</w:t>
      </w:r>
      <w:r>
        <w:t xml:space="preserve"> rem</w:t>
      </w:r>
      <w:r w:rsidR="00951E0B">
        <w:t>e</w:t>
      </w:r>
      <w:r>
        <w:t>dying</w:t>
      </w:r>
      <w:r w:rsidR="00115669">
        <w:t xml:space="preserve"> the problem of deficient information </w:t>
      </w:r>
      <w:r w:rsidR="003E39D0">
        <w:t xml:space="preserve">about its availability and provisions. </w:t>
      </w:r>
      <w:r w:rsidR="00EC2084">
        <w:t>To avoid</w:t>
      </w:r>
      <w:r w:rsidR="006D024B">
        <w:t xml:space="preserve"> any perception of</w:t>
      </w:r>
      <w:r w:rsidR="00EC2084">
        <w:t xml:space="preserve"> bias, </w:t>
      </w:r>
      <w:r w:rsidR="006B2543">
        <w:t>awareness</w:t>
      </w:r>
      <w:r w:rsidR="000B5F4A">
        <w:t xml:space="preserve"> </w:t>
      </w:r>
      <w:r w:rsidR="006B2543">
        <w:t>raising</w:t>
      </w:r>
      <w:r w:rsidR="00EC2084">
        <w:t xml:space="preserve"> should </w:t>
      </w:r>
      <w:r w:rsidR="006B2543">
        <w:t>provide a balance of information for both patent holders and potential licensees</w:t>
      </w:r>
      <w:r w:rsidR="005C61CD">
        <w:t xml:space="preserve">. </w:t>
      </w:r>
      <w:r w:rsidR="00E44851">
        <w:t>The Institute of Patent and Trade Mark Attorneys</w:t>
      </w:r>
      <w:r w:rsidR="005E2FAB">
        <w:t xml:space="preserve"> (</w:t>
      </w:r>
      <w:proofErr w:type="spellStart"/>
      <w:r w:rsidR="005E2FAB">
        <w:t>IPTA</w:t>
      </w:r>
      <w:proofErr w:type="spellEnd"/>
      <w:r w:rsidR="005E2FAB">
        <w:t>)</w:t>
      </w:r>
      <w:r w:rsidR="00A32AA0">
        <w:t xml:space="preserve"> </w:t>
      </w:r>
      <w:r w:rsidR="005E2FAB">
        <w:t>and the Australian Federation of Intellectual Property Attorneys (</w:t>
      </w:r>
      <w:proofErr w:type="spellStart"/>
      <w:r w:rsidR="005E2FAB">
        <w:t>FICPI</w:t>
      </w:r>
      <w:proofErr w:type="spellEnd"/>
      <w:r w:rsidR="005E2FAB">
        <w:t xml:space="preserve">) </w:t>
      </w:r>
      <w:r w:rsidR="00E44851">
        <w:t xml:space="preserve">supported </w:t>
      </w:r>
      <w:r w:rsidR="00204485">
        <w:t>such an</w:t>
      </w:r>
      <w:r w:rsidR="00E44851">
        <w:t xml:space="preserve"> appr</w:t>
      </w:r>
      <w:r w:rsidR="00170063">
        <w:t>oach</w:t>
      </w:r>
      <w:r w:rsidR="00E44851">
        <w:t>:</w:t>
      </w:r>
    </w:p>
    <w:p w:rsidR="005C61CD" w:rsidRDefault="00E44851" w:rsidP="005C61CD">
      <w:pPr>
        <w:pStyle w:val="Quote"/>
      </w:pPr>
      <w:r>
        <w:t xml:space="preserve">Awareness of compulsory licensing among small businesses and the healthcare sector is not considered by </w:t>
      </w:r>
      <w:proofErr w:type="spellStart"/>
      <w:r>
        <w:t>IPTA</w:t>
      </w:r>
      <w:proofErr w:type="spellEnd"/>
      <w:r>
        <w:t xml:space="preserve"> or </w:t>
      </w:r>
      <w:proofErr w:type="spellStart"/>
      <w:r>
        <w:t>FICPI</w:t>
      </w:r>
      <w:proofErr w:type="spellEnd"/>
      <w:r>
        <w:t xml:space="preserve"> to be a significant problem. However both IPTA and FICPI would support a balanced approach to raising awareness of the compulsory licensing provisions as they apply to small businesses and the healthcare sector (as well as other industries) as both pa</w:t>
      </w:r>
      <w:r w:rsidR="007F5726">
        <w:t>tentees and potential licensees.</w:t>
      </w:r>
      <w:r>
        <w:t xml:space="preserve"> (</w:t>
      </w:r>
      <w:r w:rsidR="007F5726">
        <w:t>sub. </w:t>
      </w:r>
      <w:r>
        <w:t>18, p. 16)</w:t>
      </w:r>
    </w:p>
    <w:p w:rsidR="005C61CD" w:rsidRDefault="005C61CD" w:rsidP="001B1E32">
      <w:pPr>
        <w:pStyle w:val="BodyText"/>
      </w:pPr>
      <w:r>
        <w:t>Awareness</w:t>
      </w:r>
      <w:r>
        <w:noBreakHyphen/>
        <w:t xml:space="preserve">raising initiatives should </w:t>
      </w:r>
      <w:r w:rsidR="00204485">
        <w:t xml:space="preserve">also </w:t>
      </w:r>
      <w:r>
        <w:t xml:space="preserve">recognise that </w:t>
      </w:r>
      <w:r w:rsidR="00204485">
        <w:t xml:space="preserve">compulsory licensing </w:t>
      </w:r>
      <w:r>
        <w:t>is part of a suite of mechanisms available to resolve disputes over patent access, including Crown use and ADR</w:t>
      </w:r>
      <w:r w:rsidR="00204485">
        <w:t>. Thus</w:t>
      </w:r>
      <w:r>
        <w:t>, existing information</w:t>
      </w:r>
      <w:r w:rsidR="00204485">
        <w:t xml:space="preserve"> that IP Australia provides</w:t>
      </w:r>
      <w:r>
        <w:t xml:space="preserve"> on these mechanisms </w:t>
      </w:r>
      <w:r w:rsidR="006C716F">
        <w:t>should be cross</w:t>
      </w:r>
      <w:r w:rsidR="006C716F">
        <w:noBreakHyphen/>
      </w:r>
      <w:r w:rsidR="00204485">
        <w:t>referenced</w:t>
      </w:r>
      <w:r>
        <w:t xml:space="preserve">. Raising awareness of compulsory licensing in isolation may not lead to better outcomes if it leads to compulsory licence </w:t>
      </w:r>
      <w:r>
        <w:lastRenderedPageBreak/>
        <w:t xml:space="preserve">applications being undertaken in circumstances where other </w:t>
      </w:r>
      <w:r w:rsidR="00204485">
        <w:t xml:space="preserve">options </w:t>
      </w:r>
      <w:r>
        <w:t>would provide a more efficient solution.</w:t>
      </w:r>
    </w:p>
    <w:p w:rsidR="00707569" w:rsidRPr="005C61CD" w:rsidRDefault="00203582" w:rsidP="00707569">
      <w:pPr>
        <w:pStyle w:val="BodyText"/>
      </w:pPr>
      <w:r>
        <w:t xml:space="preserve">The </w:t>
      </w:r>
      <w:r w:rsidR="00707569">
        <w:t>information provided</w:t>
      </w:r>
      <w:r w:rsidR="00204485">
        <w:t xml:space="preserve"> </w:t>
      </w:r>
      <w:r w:rsidR="003E39D0">
        <w:t xml:space="preserve">about </w:t>
      </w:r>
      <w:r w:rsidR="00204485">
        <w:t>compulsory licensing</w:t>
      </w:r>
      <w:r w:rsidR="00707569">
        <w:t xml:space="preserve"> </w:t>
      </w:r>
      <w:r>
        <w:t xml:space="preserve">by IP Australia </w:t>
      </w:r>
      <w:r w:rsidR="00707569">
        <w:t xml:space="preserve">should be general in nature. The intended audience would be firms </w:t>
      </w:r>
      <w:r w:rsidR="005C1A01">
        <w:t>and organisations seeking a non</w:t>
      </w:r>
      <w:r w:rsidR="005C1A01">
        <w:noBreakHyphen/>
      </w:r>
      <w:r w:rsidR="00707569">
        <w:t xml:space="preserve">technical overview of compulsory licensing. </w:t>
      </w:r>
      <w:r w:rsidR="003E39D0">
        <w:t>I</w:t>
      </w:r>
      <w:r w:rsidR="00707569">
        <w:t xml:space="preserve">ndustry </w:t>
      </w:r>
      <w:r w:rsidR="009563DB">
        <w:t>or firm</w:t>
      </w:r>
      <w:r w:rsidR="00591530">
        <w:noBreakHyphen/>
      </w:r>
      <w:r w:rsidR="00707569">
        <w:t>specific information</w:t>
      </w:r>
      <w:r w:rsidR="00204485">
        <w:t xml:space="preserve"> </w:t>
      </w:r>
      <w:r w:rsidR="003E39D0">
        <w:t>is best provided</w:t>
      </w:r>
      <w:r w:rsidR="00204485">
        <w:t xml:space="preserve"> by an IP </w:t>
      </w:r>
      <w:r w:rsidR="00591530">
        <w:t>specialist</w:t>
      </w:r>
      <w:r w:rsidR="00204485">
        <w:t>.</w:t>
      </w:r>
    </w:p>
    <w:p w:rsidR="00115669" w:rsidRPr="00571CB7" w:rsidRDefault="00F26230" w:rsidP="00DC1BE6">
      <w:pPr>
        <w:pStyle w:val="Heading3"/>
      </w:pPr>
      <w:r>
        <w:t>Targeting information provision</w:t>
      </w:r>
    </w:p>
    <w:p w:rsidR="00BB18C8" w:rsidRDefault="008D2A5C" w:rsidP="00BB18C8">
      <w:pPr>
        <w:pStyle w:val="BodyText"/>
      </w:pPr>
      <w:r>
        <w:t>Given the limited number of situations for which compulsory licensing is likely to be a useful safeguard, the benefits of a widespread awareness</w:t>
      </w:r>
      <w:r>
        <w:noBreakHyphen/>
        <w:t xml:space="preserve">raising campaign may be small. </w:t>
      </w:r>
      <w:r w:rsidR="0007725F">
        <w:t>Thus it would not be cost</w:t>
      </w:r>
      <w:r w:rsidR="00CA70D2">
        <w:t xml:space="preserve"> </w:t>
      </w:r>
      <w:r w:rsidR="004F388B">
        <w:t>effective for awareness</w:t>
      </w:r>
      <w:r w:rsidR="004F388B">
        <w:noBreakHyphen/>
        <w:t>raising measures to seek to engage directly with every small business and healthcare provider.</w:t>
      </w:r>
    </w:p>
    <w:p w:rsidR="005200D5" w:rsidRDefault="001055A1" w:rsidP="00BB18C8">
      <w:pPr>
        <w:pStyle w:val="BodyText"/>
      </w:pPr>
      <w:r>
        <w:t>One potential option is to target awareness</w:t>
      </w:r>
      <w:r>
        <w:noBreakHyphen/>
        <w:t xml:space="preserve">raising </w:t>
      </w:r>
      <w:r w:rsidR="00904EDF">
        <w:t xml:space="preserve">initiatives </w:t>
      </w:r>
      <w:r>
        <w:t xml:space="preserve">at company directors and senior managers. </w:t>
      </w:r>
      <w:r w:rsidR="00292440">
        <w:t>This could be done through a professional body such as the Australian Institute of Company Directors, which provides direct education and development on director issues and governance</w:t>
      </w:r>
      <w:r w:rsidR="00634FFA">
        <w:t xml:space="preserve"> (</w:t>
      </w:r>
      <w:r w:rsidR="00F4237E">
        <w:t>Australian Institute of Company Directors 2012)</w:t>
      </w:r>
      <w:r w:rsidR="00292440">
        <w:t xml:space="preserve">. </w:t>
      </w:r>
      <w:r w:rsidR="005200D5">
        <w:t>The small business and healthcare sectors could also be targeted through their relevant professional bodies. These professional organisations</w:t>
      </w:r>
      <w:r w:rsidR="00904EDF">
        <w:t xml:space="preserve"> could be supplied with info</w:t>
      </w:r>
      <w:r w:rsidR="00AF217F">
        <w:t>rmation on compulsory licensing</w:t>
      </w:r>
      <w:r w:rsidR="005200D5">
        <w:t xml:space="preserve"> that </w:t>
      </w:r>
      <w:r w:rsidR="00904EDF">
        <w:t xml:space="preserve">could </w:t>
      </w:r>
      <w:r w:rsidR="00AF217F">
        <w:t xml:space="preserve">then </w:t>
      </w:r>
      <w:r w:rsidR="00904EDF">
        <w:t xml:space="preserve">be </w:t>
      </w:r>
      <w:r w:rsidR="00AF217F">
        <w:t>passed on to their members</w:t>
      </w:r>
      <w:r w:rsidR="00904EDF">
        <w:t xml:space="preserve"> through relevant training programs or </w:t>
      </w:r>
      <w:r w:rsidR="00AF217F">
        <w:t xml:space="preserve">direct </w:t>
      </w:r>
      <w:r w:rsidR="00904EDF">
        <w:t>communication</w:t>
      </w:r>
      <w:r w:rsidR="005200D5">
        <w:t>s</w:t>
      </w:r>
      <w:r w:rsidR="00904EDF">
        <w:t>.</w:t>
      </w:r>
    </w:p>
    <w:p w:rsidR="001055A1" w:rsidRDefault="005200D5" w:rsidP="00BB18C8">
      <w:pPr>
        <w:pStyle w:val="BodyText"/>
      </w:pPr>
      <w:r>
        <w:t xml:space="preserve">However, this approach may not be sufficiently targeted, as it may include </w:t>
      </w:r>
      <w:r w:rsidR="00D65755">
        <w:t xml:space="preserve">many </w:t>
      </w:r>
      <w:r>
        <w:t xml:space="preserve">individuals who </w:t>
      </w:r>
      <w:r w:rsidR="00D65755">
        <w:t xml:space="preserve">do not </w:t>
      </w:r>
      <w:r w:rsidR="00DF58CA">
        <w:t>have any substantial involvement or interest in patent licensing.</w:t>
      </w:r>
    </w:p>
    <w:p w:rsidR="00D155BC" w:rsidRDefault="007573B7" w:rsidP="00EA0145">
      <w:pPr>
        <w:pStyle w:val="BodyText"/>
      </w:pPr>
      <w:r>
        <w:t xml:space="preserve">In most cases, small businesses or healthcare organisations would be expected to consult an IP expert or industry body when dealing with patent disputes, so it may be unnecessary to target </w:t>
      </w:r>
      <w:r w:rsidR="00E84BE6">
        <w:t>these sectors for specific awareness</w:t>
      </w:r>
      <w:r w:rsidR="00204485">
        <w:t xml:space="preserve"> </w:t>
      </w:r>
      <w:r w:rsidR="00E84BE6">
        <w:t>raising</w:t>
      </w:r>
      <w:r w:rsidR="00EA0145">
        <w:t>. For instance, the Walter and Eliza Hall Institute of Medical Research stated that</w:t>
      </w:r>
      <w:r w:rsidR="00D155BC">
        <w:t>:</w:t>
      </w:r>
    </w:p>
    <w:p w:rsidR="007573B7" w:rsidRDefault="00D155BC" w:rsidP="00D155BC">
      <w:pPr>
        <w:pStyle w:val="Quote"/>
      </w:pPr>
      <w:r>
        <w:t>In our experience Australian companies, small and large, universities and medical research institutes use such [IP] professionals on a routine basis and would therefore be directly or indirectly aware</w:t>
      </w:r>
      <w:r w:rsidR="007F5726">
        <w:t xml:space="preserve"> of options for IP exploitation.</w:t>
      </w:r>
      <w:r>
        <w:t xml:space="preserve"> (sub. 13, p. 8)</w:t>
      </w:r>
    </w:p>
    <w:p w:rsidR="00204485" w:rsidRDefault="00204485" w:rsidP="00574DDC">
      <w:pPr>
        <w:pStyle w:val="BodyText"/>
      </w:pPr>
      <w:r>
        <w:t>It is reasonable to expect that IP professionals would be aware of the IP system, including the compulsory licensing provisions, through formal training and professional experience. Nevertheless, awareness-raising measures may be useful in facilitating their acquisi</w:t>
      </w:r>
      <w:r w:rsidR="006C180D">
        <w:t>tion of this knowledge. These measures could</w:t>
      </w:r>
      <w:r>
        <w:t xml:space="preserve"> also alert </w:t>
      </w:r>
      <w:r w:rsidR="006C180D">
        <w:t>other individuals with an interest in IP licensing to the existence of the compulsory licensing provisions.</w:t>
      </w:r>
    </w:p>
    <w:p w:rsidR="00CA1453" w:rsidRDefault="00CA1453" w:rsidP="00CA1453">
      <w:pPr>
        <w:pStyle w:val="Heading3"/>
      </w:pPr>
      <w:r>
        <w:lastRenderedPageBreak/>
        <w:t>Who shou</w:t>
      </w:r>
      <w:r w:rsidR="007D19BD">
        <w:t xml:space="preserve">ld be responsible for </w:t>
      </w:r>
      <w:r w:rsidR="00203582">
        <w:t xml:space="preserve">general </w:t>
      </w:r>
      <w:r w:rsidR="007D19BD">
        <w:t xml:space="preserve">awareness </w:t>
      </w:r>
      <w:r>
        <w:t>raising?</w:t>
      </w:r>
    </w:p>
    <w:p w:rsidR="00CA1453" w:rsidRDefault="00CA1453" w:rsidP="00CA1453">
      <w:pPr>
        <w:pStyle w:val="BodyText"/>
      </w:pPr>
      <w:r>
        <w:t>General informati</w:t>
      </w:r>
      <w:r w:rsidR="00204485">
        <w:t>on on compulsory licensing can</w:t>
      </w:r>
      <w:r>
        <w:t xml:space="preserve"> be considered a public</w:t>
      </w:r>
      <w:r w:rsidR="00591530">
        <w:t xml:space="preserve"> good,</w:t>
      </w:r>
      <w:r w:rsidR="00204485">
        <w:t xml:space="preserve"> and hence will tend to be underprovided by the private sector</w:t>
      </w:r>
      <w:r w:rsidR="00591530">
        <w:t>,</w:t>
      </w:r>
      <w:r w:rsidR="00204485">
        <w:t xml:space="preserve"> because</w:t>
      </w:r>
      <w:r>
        <w:t xml:space="preserve"> </w:t>
      </w:r>
      <w:r w:rsidR="00204485">
        <w:t>its</w:t>
      </w:r>
      <w:r w:rsidR="005C61CD">
        <w:t xml:space="preserve"> use by</w:t>
      </w:r>
      <w:r>
        <w:t xml:space="preserve"> one person does not affect</w:t>
      </w:r>
      <w:r w:rsidR="005C61CD">
        <w:t xml:space="preserve"> the amount available to others</w:t>
      </w:r>
      <w:r w:rsidR="00204485">
        <w:t>,</w:t>
      </w:r>
      <w:r>
        <w:t xml:space="preserve"> and</w:t>
      </w:r>
      <w:r w:rsidR="001032C0">
        <w:t xml:space="preserve"> it </w:t>
      </w:r>
      <w:r w:rsidR="008D2A5C">
        <w:t xml:space="preserve">is </w:t>
      </w:r>
      <w:r w:rsidR="001032C0">
        <w:t xml:space="preserve">difficult to </w:t>
      </w:r>
      <w:r w:rsidR="00204485">
        <w:t>exclude</w:t>
      </w:r>
      <w:r w:rsidR="001032C0">
        <w:t xml:space="preserve"> </w:t>
      </w:r>
      <w:r w:rsidR="008D2A5C">
        <w:t>people</w:t>
      </w:r>
      <w:r w:rsidR="001032C0">
        <w:t xml:space="preserve"> </w:t>
      </w:r>
      <w:r w:rsidR="00204485">
        <w:t xml:space="preserve">who do not pay for </w:t>
      </w:r>
      <w:r w:rsidR="001032C0">
        <w:t>the information</w:t>
      </w:r>
      <w:r>
        <w:t xml:space="preserve">. </w:t>
      </w:r>
      <w:r w:rsidR="00204485">
        <w:t>Th</w:t>
      </w:r>
      <w:r w:rsidR="005B0319">
        <w:t xml:space="preserve">us, while private organisations </w:t>
      </w:r>
      <w:r w:rsidR="009563DB">
        <w:t>—</w:t>
      </w:r>
      <w:r w:rsidR="005B0319">
        <w:t xml:space="preserve"> </w:t>
      </w:r>
      <w:r w:rsidR="00204485">
        <w:t>such as legal firms and industry associations</w:t>
      </w:r>
      <w:r w:rsidR="009563DB">
        <w:t xml:space="preserve"> — will continue to have a role in providing general information </w:t>
      </w:r>
      <w:r w:rsidR="003E39D0">
        <w:t xml:space="preserve">about </w:t>
      </w:r>
      <w:r w:rsidR="009563DB">
        <w:t xml:space="preserve">compulsory licensing, this is primarily a </w:t>
      </w:r>
      <w:r w:rsidR="001C2509">
        <w:t>responsibility of</w:t>
      </w:r>
      <w:r w:rsidR="009563DB">
        <w:t xml:space="preserve"> government.</w:t>
      </w:r>
    </w:p>
    <w:p w:rsidR="00C05ECF" w:rsidRDefault="009563DB" w:rsidP="00CA1453">
      <w:pPr>
        <w:pStyle w:val="BodyText"/>
      </w:pPr>
      <w:r>
        <w:t xml:space="preserve">Given its </w:t>
      </w:r>
      <w:r w:rsidR="00C05ECF">
        <w:t xml:space="preserve">role in </w:t>
      </w:r>
      <w:r>
        <w:t xml:space="preserve">administering the patents system, the Australian Government is best placed to take on this role. </w:t>
      </w:r>
      <w:r w:rsidR="0066063A">
        <w:t xml:space="preserve">As noted, </w:t>
      </w:r>
      <w:r>
        <w:t>IP Australia</w:t>
      </w:r>
      <w:r w:rsidR="0066063A">
        <w:t xml:space="preserve"> already provides general information on </w:t>
      </w:r>
      <w:r w:rsidR="00C05ECF">
        <w:t xml:space="preserve">matters covered </w:t>
      </w:r>
      <w:r w:rsidR="00B97884">
        <w:t>by</w:t>
      </w:r>
      <w:r w:rsidR="00C05ECF">
        <w:t xml:space="preserve"> the Patents Act</w:t>
      </w:r>
      <w:r w:rsidR="0066063A">
        <w:t>, including on Crown use and ADR.</w:t>
      </w:r>
      <w:r w:rsidR="00C05ECF">
        <w:t xml:space="preserve"> </w:t>
      </w:r>
      <w:r w:rsidR="006C716F">
        <w:t xml:space="preserve">The </w:t>
      </w:r>
      <w:proofErr w:type="spellStart"/>
      <w:r w:rsidR="006C716F">
        <w:t>ACCC</w:t>
      </w:r>
      <w:proofErr w:type="spellEnd"/>
      <w:r w:rsidR="00B97884">
        <w:t xml:space="preserve"> has a similar role in informing the public about the </w:t>
      </w:r>
      <w:r w:rsidR="00B97884" w:rsidRPr="00A94898">
        <w:rPr>
          <w:i/>
        </w:rPr>
        <w:t>Competition and Consumer Act 2010</w:t>
      </w:r>
      <w:r w:rsidR="00B97884">
        <w:rPr>
          <w:i/>
        </w:rPr>
        <w:t xml:space="preserve"> </w:t>
      </w:r>
      <w:r w:rsidR="00B97884">
        <w:t>(Cwlth), which is relevant to the competition test for a compulsory licence (chapter 6).</w:t>
      </w:r>
    </w:p>
    <w:p w:rsidR="00B97884" w:rsidRDefault="00807C65" w:rsidP="00C4447B">
      <w:pPr>
        <w:pStyle w:val="BodyText"/>
      </w:pPr>
      <w:r>
        <w:t xml:space="preserve">In light of the above, the Commission proposes </w:t>
      </w:r>
      <w:r w:rsidR="00B97884">
        <w:t xml:space="preserve">that </w:t>
      </w:r>
      <w:r>
        <w:t xml:space="preserve">a plain English guide to compulsory licensing be developed </w:t>
      </w:r>
      <w:r w:rsidR="00B97884">
        <w:t xml:space="preserve">jointly </w:t>
      </w:r>
      <w:r>
        <w:t xml:space="preserve">by IP Australia </w:t>
      </w:r>
      <w:r w:rsidR="00B97884">
        <w:t xml:space="preserve">and </w:t>
      </w:r>
      <w:r>
        <w:t xml:space="preserve">the </w:t>
      </w:r>
      <w:proofErr w:type="spellStart"/>
      <w:r>
        <w:t>ACCC</w:t>
      </w:r>
      <w:proofErr w:type="spellEnd"/>
      <w:r>
        <w:t>.</w:t>
      </w:r>
      <w:r w:rsidR="00747437">
        <w:t xml:space="preserve"> This guide should cover both the public interest and competition grounds for issuing a compulsory licence.</w:t>
      </w:r>
    </w:p>
    <w:p w:rsidR="00C4447B" w:rsidRDefault="00C4447B" w:rsidP="00C4447B">
      <w:pPr>
        <w:pStyle w:val="BodyText"/>
      </w:pPr>
      <w:r>
        <w:t>Participants</w:t>
      </w:r>
      <w:r w:rsidR="00BC7626">
        <w:t xml:space="preserve"> </w:t>
      </w:r>
      <w:r w:rsidR="00B2317A">
        <w:t>in</w:t>
      </w:r>
      <w:r w:rsidR="00BC7626">
        <w:t xml:space="preserve"> this inquiry</w:t>
      </w:r>
      <w:r>
        <w:t xml:space="preserve"> were generally supportive of the development of a plain English guide to compulsory licensing</w:t>
      </w:r>
      <w:r w:rsidR="008D4D34">
        <w:t>.</w:t>
      </w:r>
    </w:p>
    <w:p w:rsidR="00C4447B" w:rsidRDefault="00C4447B" w:rsidP="00C4447B">
      <w:pPr>
        <w:pStyle w:val="Quote"/>
      </w:pPr>
      <w:r>
        <w:t xml:space="preserve">Cancer Voices also supports the suggestion that information about compulsory licensing provisions should be readily accessible, written in plain English, and located on a logical Australian Government website. (Cancer Voices, sub. </w:t>
      </w:r>
      <w:proofErr w:type="spellStart"/>
      <w:r w:rsidR="006C716F">
        <w:t>DR</w:t>
      </w:r>
      <w:r>
        <w:t>44</w:t>
      </w:r>
      <w:proofErr w:type="spellEnd"/>
      <w:r>
        <w:t>, p. 2)</w:t>
      </w:r>
    </w:p>
    <w:p w:rsidR="00835F57" w:rsidRDefault="00721048" w:rsidP="00835F57">
      <w:pPr>
        <w:pStyle w:val="Quote"/>
      </w:pPr>
      <w:r>
        <w:t> </w:t>
      </w:r>
      <w:r w:rsidR="00835F57">
        <w:t>...</w:t>
      </w:r>
      <w:r>
        <w:t> </w:t>
      </w:r>
      <w:r w:rsidR="00835F57">
        <w:t>[we] support the proposed strategy of the development of a plain English guide to be made available on the IP Australia website. This guide should be written so that it can be understood by those with limited knowledge of patent law</w:t>
      </w:r>
      <w:r>
        <w:t> </w:t>
      </w:r>
      <w:r w:rsidR="00835F57">
        <w:t>...</w:t>
      </w:r>
      <w:r>
        <w:t> </w:t>
      </w:r>
      <w:r w:rsidR="00835F57">
        <w:t xml:space="preserve">(Consumer Health Forum of Australia, sub. </w:t>
      </w:r>
      <w:proofErr w:type="spellStart"/>
      <w:r w:rsidR="006C716F">
        <w:t>DR</w:t>
      </w:r>
      <w:r w:rsidR="00835F57">
        <w:t>38</w:t>
      </w:r>
      <w:proofErr w:type="spellEnd"/>
      <w:r w:rsidR="00835F57">
        <w:t>, p. 2)</w:t>
      </w:r>
    </w:p>
    <w:p w:rsidR="00835F57" w:rsidRPr="00835F57" w:rsidRDefault="00721048" w:rsidP="00835F57">
      <w:pPr>
        <w:pStyle w:val="Quote"/>
      </w:pPr>
      <w:r>
        <w:t> </w:t>
      </w:r>
      <w:r w:rsidR="00835F57">
        <w:t>...</w:t>
      </w:r>
      <w:r>
        <w:t> </w:t>
      </w:r>
      <w:r w:rsidR="00835F57">
        <w:t xml:space="preserve">Medicines Australia supports the recommendation for IP Australia to develop a plain English guide on the </w:t>
      </w:r>
      <w:r>
        <w:t>compulsory licensing provisions </w:t>
      </w:r>
      <w:r w:rsidR="00835F57">
        <w:t>...</w:t>
      </w:r>
      <w:r>
        <w:t> </w:t>
      </w:r>
      <w:r w:rsidR="00835F57">
        <w:t xml:space="preserve">(Medicines Australia, sub. </w:t>
      </w:r>
      <w:proofErr w:type="spellStart"/>
      <w:r w:rsidR="006C716F">
        <w:t>DR</w:t>
      </w:r>
      <w:r w:rsidR="00835F57">
        <w:t>43</w:t>
      </w:r>
      <w:proofErr w:type="spellEnd"/>
      <w:r w:rsidR="00835F57">
        <w:t>, p. 2)</w:t>
      </w:r>
    </w:p>
    <w:p w:rsidR="00586C00" w:rsidRPr="00C4447B" w:rsidRDefault="00C4447B" w:rsidP="00C4447B">
      <w:pPr>
        <w:pStyle w:val="BodyText"/>
      </w:pPr>
      <w:r>
        <w:t xml:space="preserve">The </w:t>
      </w:r>
      <w:r w:rsidR="00807C65">
        <w:t xml:space="preserve">plain English </w:t>
      </w:r>
      <w:r>
        <w:t xml:space="preserve">guide should be made freely available </w:t>
      </w:r>
      <w:r w:rsidR="00B97884">
        <w:t>on</w:t>
      </w:r>
      <w:r>
        <w:t xml:space="preserve"> both the IP Australia and </w:t>
      </w:r>
      <w:r w:rsidR="00807C65">
        <w:t>ACCC</w:t>
      </w:r>
      <w:r>
        <w:t xml:space="preserve"> websites. </w:t>
      </w:r>
      <w:r w:rsidR="00533FF6" w:rsidRPr="00C4447B">
        <w:t xml:space="preserve">This </w:t>
      </w:r>
      <w:r w:rsidR="0007725F" w:rsidRPr="00C4447B">
        <w:t>is likely to be the most cost</w:t>
      </w:r>
      <w:r w:rsidR="0007725F" w:rsidRPr="00C4447B">
        <w:noBreakHyphen/>
      </w:r>
      <w:r w:rsidR="00533FF6" w:rsidRPr="00C4447B">
        <w:t xml:space="preserve">effective option relative to other </w:t>
      </w:r>
      <w:r>
        <w:t>awareness</w:t>
      </w:r>
      <w:r>
        <w:noBreakHyphen/>
        <w:t xml:space="preserve">raising </w:t>
      </w:r>
      <w:r w:rsidR="006C716F">
        <w:t>options</w:t>
      </w:r>
      <w:r w:rsidR="00533FF6" w:rsidRPr="00C4447B">
        <w:t xml:space="preserve">, and </w:t>
      </w:r>
      <w:r w:rsidR="009563DB" w:rsidRPr="00C4447B">
        <w:t xml:space="preserve">will </w:t>
      </w:r>
      <w:r w:rsidR="002A1FBE" w:rsidRPr="00C4447B">
        <w:t xml:space="preserve">also </w:t>
      </w:r>
      <w:r w:rsidR="009563DB" w:rsidRPr="00C4447B">
        <w:t>be</w:t>
      </w:r>
      <w:r w:rsidR="002A1FBE" w:rsidRPr="00C4447B">
        <w:t xml:space="preserve"> the most</w:t>
      </w:r>
      <w:r w:rsidR="009563DB" w:rsidRPr="00C4447B">
        <w:t xml:space="preserve"> </w:t>
      </w:r>
      <w:r w:rsidR="00707569" w:rsidRPr="00C4447B">
        <w:t>readily accessible to the intended audience.</w:t>
      </w:r>
    </w:p>
    <w:p w:rsidR="00E84BE6" w:rsidRDefault="00E84BE6" w:rsidP="00E84BE6">
      <w:pPr>
        <w:pStyle w:val="RecTitle"/>
      </w:pPr>
      <w:r>
        <w:lastRenderedPageBreak/>
        <w:t xml:space="preserve">Recommendation </w:t>
      </w:r>
      <w:r w:rsidR="00BA12CF">
        <w:fldChar w:fldCharType="begin"/>
      </w:r>
      <w:r w:rsidR="00BA12CF">
        <w:instrText xml:space="preserve"> COMMENTS  \* MERGEFORMAT </w:instrText>
      </w:r>
      <w:r w:rsidR="00BA12CF">
        <w:fldChar w:fldCharType="separate"/>
      </w:r>
      <w:r>
        <w:t>10.</w:t>
      </w:r>
      <w:r w:rsidR="00BA12CF">
        <w:fldChar w:fldCharType="end"/>
      </w:r>
      <w:fldSimple w:instr=" SEQ Recommendation \* ARABIC ">
        <w:r w:rsidR="00BE4C2B">
          <w:rPr>
            <w:noProof/>
          </w:rPr>
          <w:t>1</w:t>
        </w:r>
      </w:fldSimple>
    </w:p>
    <w:p w:rsidR="009231B5" w:rsidRDefault="00F15344" w:rsidP="00F15344">
      <w:pPr>
        <w:pStyle w:val="Rec"/>
      </w:pPr>
      <w:r>
        <w:t>IP Australia and the Australian Competition and Consumer Commission (</w:t>
      </w:r>
      <w:proofErr w:type="spellStart"/>
      <w:r>
        <w:t>ACCC</w:t>
      </w:r>
      <w:proofErr w:type="spellEnd"/>
      <w:r>
        <w:t xml:space="preserve">) should jointly develop a plain English guide on the compulsory licensing provisions. The guide should be available on both the IP Australia and </w:t>
      </w:r>
      <w:proofErr w:type="spellStart"/>
      <w:r>
        <w:t>ACCC</w:t>
      </w:r>
      <w:proofErr w:type="spellEnd"/>
      <w:r>
        <w:t xml:space="preserve"> websites.</w:t>
      </w:r>
    </w:p>
    <w:sectPr w:rsidR="009231B5" w:rsidSect="008407D7">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16F" w:rsidRDefault="006C716F">
      <w:r>
        <w:separator/>
      </w:r>
    </w:p>
  </w:endnote>
  <w:endnote w:type="continuationSeparator" w:id="0">
    <w:p w:rsidR="006C716F" w:rsidRDefault="006C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C716F">
      <w:trPr>
        <w:trHeight w:hRule="exact" w:val="740"/>
      </w:trPr>
      <w:tc>
        <w:tcPr>
          <w:tcW w:w="510" w:type="dxa"/>
          <w:tcBorders>
            <w:top w:val="single" w:sz="6" w:space="0" w:color="auto"/>
          </w:tcBorders>
        </w:tcPr>
        <w:p w:rsidR="006C716F" w:rsidRDefault="006C716F" w:rsidP="000E250D">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A12CF">
            <w:rPr>
              <w:rStyle w:val="PageNumber"/>
              <w:noProof/>
            </w:rPr>
            <w:t>228</w:t>
          </w:r>
          <w:r>
            <w:rPr>
              <w:rStyle w:val="PageNumber"/>
            </w:rPr>
            <w:fldChar w:fldCharType="end"/>
          </w:r>
        </w:p>
      </w:tc>
      <w:tc>
        <w:tcPr>
          <w:tcW w:w="1644" w:type="dxa"/>
          <w:tcBorders>
            <w:top w:val="single" w:sz="6" w:space="0" w:color="auto"/>
          </w:tcBorders>
        </w:tcPr>
        <w:p w:rsidR="006C716F" w:rsidRDefault="00BA12CF" w:rsidP="0019293B">
          <w:pPr>
            <w:pStyle w:val="Footer"/>
          </w:pPr>
          <w:r>
            <w:fldChar w:fldCharType="begin"/>
          </w:r>
          <w:r>
            <w:instrText xml:space="preserve"> SUBJECT  \* MERGEFORMAT </w:instrText>
          </w:r>
          <w:r>
            <w:fldChar w:fldCharType="separate"/>
          </w:r>
          <w:r w:rsidR="00BE4C2B">
            <w:t>Compulsory licensing of patents</w:t>
          </w:r>
          <w:r>
            <w:fldChar w:fldCharType="end"/>
          </w:r>
        </w:p>
      </w:tc>
      <w:tc>
        <w:tcPr>
          <w:tcW w:w="6634" w:type="dxa"/>
        </w:tcPr>
        <w:p w:rsidR="006C716F" w:rsidRDefault="006C716F" w:rsidP="0019293B">
          <w:pPr>
            <w:pStyle w:val="Footer"/>
          </w:pPr>
        </w:p>
      </w:tc>
    </w:tr>
  </w:tbl>
  <w:p w:rsidR="006C716F" w:rsidRDefault="006C716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C716F">
      <w:trPr>
        <w:trHeight w:hRule="exact" w:val="740"/>
      </w:trPr>
      <w:tc>
        <w:tcPr>
          <w:tcW w:w="6634" w:type="dxa"/>
        </w:tcPr>
        <w:p w:rsidR="006C716F" w:rsidRDefault="006C716F" w:rsidP="000E250D">
          <w:pPr>
            <w:pStyle w:val="Footer"/>
            <w:ind w:right="360" w:firstLine="360"/>
          </w:pPr>
        </w:p>
      </w:tc>
      <w:tc>
        <w:tcPr>
          <w:tcW w:w="1644" w:type="dxa"/>
          <w:tcBorders>
            <w:top w:val="single" w:sz="6" w:space="0" w:color="auto"/>
          </w:tcBorders>
        </w:tcPr>
        <w:p w:rsidR="006C716F" w:rsidRDefault="00BA12CF">
          <w:pPr>
            <w:pStyle w:val="Footer"/>
          </w:pPr>
          <w:r>
            <w:fldChar w:fldCharType="begin"/>
          </w:r>
          <w:r>
            <w:instrText xml:space="preserve"> TITLE  \* MERGEFORMAT </w:instrText>
          </w:r>
          <w:r>
            <w:fldChar w:fldCharType="separate"/>
          </w:r>
          <w:r w:rsidR="00BE4C2B">
            <w:t>Awareness-raising measures</w:t>
          </w:r>
          <w:r>
            <w:fldChar w:fldCharType="end"/>
          </w:r>
        </w:p>
      </w:tc>
      <w:tc>
        <w:tcPr>
          <w:tcW w:w="510" w:type="dxa"/>
          <w:tcBorders>
            <w:top w:val="single" w:sz="6" w:space="0" w:color="auto"/>
          </w:tcBorders>
        </w:tcPr>
        <w:p w:rsidR="006C716F" w:rsidRDefault="006C716F">
          <w:pPr>
            <w:pStyle w:val="Footer"/>
            <w:jc w:val="right"/>
          </w:pPr>
          <w:r>
            <w:rPr>
              <w:rStyle w:val="PageNumber"/>
            </w:rPr>
            <w:fldChar w:fldCharType="begin"/>
          </w:r>
          <w:r>
            <w:rPr>
              <w:rStyle w:val="PageNumber"/>
            </w:rPr>
            <w:instrText xml:space="preserve">PAGE  </w:instrText>
          </w:r>
          <w:r>
            <w:rPr>
              <w:rStyle w:val="PageNumber"/>
            </w:rPr>
            <w:fldChar w:fldCharType="separate"/>
          </w:r>
          <w:r w:rsidR="00BA12CF">
            <w:rPr>
              <w:rStyle w:val="PageNumber"/>
              <w:noProof/>
            </w:rPr>
            <w:t>227</w:t>
          </w:r>
          <w:r>
            <w:rPr>
              <w:rStyle w:val="PageNumber"/>
            </w:rPr>
            <w:fldChar w:fldCharType="end"/>
          </w:r>
        </w:p>
      </w:tc>
    </w:tr>
  </w:tbl>
  <w:p w:rsidR="006C716F" w:rsidRDefault="006C716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E0" w:rsidRDefault="001020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16F" w:rsidRDefault="006C716F">
      <w:r>
        <w:separator/>
      </w:r>
    </w:p>
  </w:footnote>
  <w:footnote w:type="continuationSeparator" w:id="0">
    <w:p w:rsidR="006C716F" w:rsidRDefault="006C7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C716F">
      <w:tc>
        <w:tcPr>
          <w:tcW w:w="2155" w:type="dxa"/>
          <w:tcBorders>
            <w:top w:val="single" w:sz="24" w:space="0" w:color="auto"/>
          </w:tcBorders>
        </w:tcPr>
        <w:p w:rsidR="006C716F" w:rsidRDefault="006C716F" w:rsidP="0019293B">
          <w:pPr>
            <w:pStyle w:val="HeaderEven"/>
          </w:pPr>
        </w:p>
      </w:tc>
      <w:tc>
        <w:tcPr>
          <w:tcW w:w="6634" w:type="dxa"/>
          <w:tcBorders>
            <w:top w:val="single" w:sz="6" w:space="0" w:color="auto"/>
          </w:tcBorders>
        </w:tcPr>
        <w:p w:rsidR="006C716F" w:rsidRDefault="006C716F" w:rsidP="0019293B">
          <w:pPr>
            <w:pStyle w:val="HeaderEven"/>
          </w:pPr>
        </w:p>
      </w:tc>
    </w:tr>
  </w:tbl>
  <w:p w:rsidR="006C716F" w:rsidRDefault="006C716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C716F">
      <w:tc>
        <w:tcPr>
          <w:tcW w:w="6634" w:type="dxa"/>
          <w:tcBorders>
            <w:top w:val="single" w:sz="6" w:space="0" w:color="auto"/>
          </w:tcBorders>
        </w:tcPr>
        <w:p w:rsidR="006C716F" w:rsidRDefault="006C716F" w:rsidP="00E669E2">
          <w:pPr>
            <w:pStyle w:val="HeaderOdd"/>
          </w:pPr>
        </w:p>
      </w:tc>
      <w:tc>
        <w:tcPr>
          <w:tcW w:w="2155" w:type="dxa"/>
          <w:tcBorders>
            <w:top w:val="single" w:sz="24" w:space="0" w:color="auto"/>
          </w:tcBorders>
        </w:tcPr>
        <w:p w:rsidR="006C716F" w:rsidRDefault="006C716F" w:rsidP="00E669E2">
          <w:pPr>
            <w:pStyle w:val="HeaderOdd"/>
          </w:pPr>
        </w:p>
      </w:tc>
    </w:tr>
  </w:tbl>
  <w:p w:rsidR="006C716F" w:rsidRDefault="006C716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E0" w:rsidRDefault="001020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908"/>
        </w:tabs>
        <w:ind w:left="908"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348C1CED"/>
    <w:multiLevelType w:val="multilevel"/>
    <w:tmpl w:val="DB3C1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5"/>
  </w:num>
  <w:num w:numId="4">
    <w:abstractNumId w:val="0"/>
  </w:num>
  <w:num w:numId="5">
    <w:abstractNumId w:val="11"/>
  </w:num>
  <w:num w:numId="6">
    <w:abstractNumId w:val="1"/>
  </w:num>
  <w:num w:numId="7">
    <w:abstractNumId w:val="14"/>
  </w:num>
  <w:num w:numId="8">
    <w:abstractNumId w:val="13"/>
  </w:num>
  <w:num w:numId="9">
    <w:abstractNumId w:val="16"/>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wareness-raising measures"/>
    <w:docVar w:name="ShortReportTitle" w:val="Compulsory licensing of patents"/>
  </w:docVars>
  <w:rsids>
    <w:rsidRoot w:val="005355A7"/>
    <w:rsid w:val="000012E5"/>
    <w:rsid w:val="00004B9C"/>
    <w:rsid w:val="00005B22"/>
    <w:rsid w:val="000133A0"/>
    <w:rsid w:val="00013ED3"/>
    <w:rsid w:val="0002210A"/>
    <w:rsid w:val="000245AA"/>
    <w:rsid w:val="0002487B"/>
    <w:rsid w:val="00033EED"/>
    <w:rsid w:val="0003664B"/>
    <w:rsid w:val="0004111F"/>
    <w:rsid w:val="000545C5"/>
    <w:rsid w:val="000565B3"/>
    <w:rsid w:val="000625A0"/>
    <w:rsid w:val="0007150B"/>
    <w:rsid w:val="00071D52"/>
    <w:rsid w:val="00072C20"/>
    <w:rsid w:val="00073694"/>
    <w:rsid w:val="0007725F"/>
    <w:rsid w:val="00085986"/>
    <w:rsid w:val="0008635B"/>
    <w:rsid w:val="00086BE6"/>
    <w:rsid w:val="000938F5"/>
    <w:rsid w:val="00094CB3"/>
    <w:rsid w:val="00097FE2"/>
    <w:rsid w:val="000A4A64"/>
    <w:rsid w:val="000B074E"/>
    <w:rsid w:val="000B5F4A"/>
    <w:rsid w:val="000B601B"/>
    <w:rsid w:val="000B76E0"/>
    <w:rsid w:val="000C207E"/>
    <w:rsid w:val="000D213F"/>
    <w:rsid w:val="000D4307"/>
    <w:rsid w:val="000E250D"/>
    <w:rsid w:val="000E5708"/>
    <w:rsid w:val="000E723A"/>
    <w:rsid w:val="000F420B"/>
    <w:rsid w:val="001020E0"/>
    <w:rsid w:val="001032C0"/>
    <w:rsid w:val="001055A1"/>
    <w:rsid w:val="0010584C"/>
    <w:rsid w:val="00110116"/>
    <w:rsid w:val="00115669"/>
    <w:rsid w:val="00116A78"/>
    <w:rsid w:val="0011746A"/>
    <w:rsid w:val="00120072"/>
    <w:rsid w:val="00120A83"/>
    <w:rsid w:val="00120B1F"/>
    <w:rsid w:val="00121F46"/>
    <w:rsid w:val="001257A9"/>
    <w:rsid w:val="00125E78"/>
    <w:rsid w:val="00126EB8"/>
    <w:rsid w:val="001274D4"/>
    <w:rsid w:val="00130059"/>
    <w:rsid w:val="00134D8B"/>
    <w:rsid w:val="001363AA"/>
    <w:rsid w:val="0013783C"/>
    <w:rsid w:val="00140689"/>
    <w:rsid w:val="001406CD"/>
    <w:rsid w:val="00141A38"/>
    <w:rsid w:val="001440E1"/>
    <w:rsid w:val="00144235"/>
    <w:rsid w:val="0015089B"/>
    <w:rsid w:val="0015233F"/>
    <w:rsid w:val="00152CAA"/>
    <w:rsid w:val="00161BF4"/>
    <w:rsid w:val="00162B0E"/>
    <w:rsid w:val="00170063"/>
    <w:rsid w:val="00172BA8"/>
    <w:rsid w:val="001764DF"/>
    <w:rsid w:val="001773D8"/>
    <w:rsid w:val="00183E82"/>
    <w:rsid w:val="001852B2"/>
    <w:rsid w:val="001867F4"/>
    <w:rsid w:val="00186E43"/>
    <w:rsid w:val="001878BB"/>
    <w:rsid w:val="00191AE0"/>
    <w:rsid w:val="0019293B"/>
    <w:rsid w:val="001A114B"/>
    <w:rsid w:val="001A7227"/>
    <w:rsid w:val="001B1E32"/>
    <w:rsid w:val="001B2DB4"/>
    <w:rsid w:val="001C0865"/>
    <w:rsid w:val="001C2509"/>
    <w:rsid w:val="001C3ABA"/>
    <w:rsid w:val="001C3C3E"/>
    <w:rsid w:val="001C646A"/>
    <w:rsid w:val="001D1618"/>
    <w:rsid w:val="001E093F"/>
    <w:rsid w:val="001E3159"/>
    <w:rsid w:val="001E55FB"/>
    <w:rsid w:val="001E68DA"/>
    <w:rsid w:val="001E7BE8"/>
    <w:rsid w:val="001F01C7"/>
    <w:rsid w:val="001F0248"/>
    <w:rsid w:val="001F0FDE"/>
    <w:rsid w:val="001F16C3"/>
    <w:rsid w:val="001F2D17"/>
    <w:rsid w:val="001F3EB3"/>
    <w:rsid w:val="00202C2C"/>
    <w:rsid w:val="00203582"/>
    <w:rsid w:val="00204485"/>
    <w:rsid w:val="00211074"/>
    <w:rsid w:val="002143AB"/>
    <w:rsid w:val="00217F02"/>
    <w:rsid w:val="00222129"/>
    <w:rsid w:val="002244E2"/>
    <w:rsid w:val="00226154"/>
    <w:rsid w:val="00232DD6"/>
    <w:rsid w:val="002349ED"/>
    <w:rsid w:val="0023545B"/>
    <w:rsid w:val="00242279"/>
    <w:rsid w:val="00243EF1"/>
    <w:rsid w:val="00245C82"/>
    <w:rsid w:val="00264D83"/>
    <w:rsid w:val="0026593F"/>
    <w:rsid w:val="00266BFC"/>
    <w:rsid w:val="00267B70"/>
    <w:rsid w:val="00267D79"/>
    <w:rsid w:val="00275B74"/>
    <w:rsid w:val="0028488D"/>
    <w:rsid w:val="002859F8"/>
    <w:rsid w:val="00286FB4"/>
    <w:rsid w:val="00291B40"/>
    <w:rsid w:val="00292440"/>
    <w:rsid w:val="00292B61"/>
    <w:rsid w:val="00297781"/>
    <w:rsid w:val="002A1FBE"/>
    <w:rsid w:val="002A3010"/>
    <w:rsid w:val="002A4EF9"/>
    <w:rsid w:val="002B4008"/>
    <w:rsid w:val="002C4FA7"/>
    <w:rsid w:val="002C674B"/>
    <w:rsid w:val="002C76AE"/>
    <w:rsid w:val="002D0E8E"/>
    <w:rsid w:val="002D4AC1"/>
    <w:rsid w:val="002E0231"/>
    <w:rsid w:val="002E05F2"/>
    <w:rsid w:val="002E06E8"/>
    <w:rsid w:val="002E64F1"/>
    <w:rsid w:val="002E75B8"/>
    <w:rsid w:val="002F6D87"/>
    <w:rsid w:val="002F7B25"/>
    <w:rsid w:val="00301189"/>
    <w:rsid w:val="0030381B"/>
    <w:rsid w:val="00304448"/>
    <w:rsid w:val="00311875"/>
    <w:rsid w:val="003118D3"/>
    <w:rsid w:val="00311A27"/>
    <w:rsid w:val="003140F9"/>
    <w:rsid w:val="00317E8B"/>
    <w:rsid w:val="003227D2"/>
    <w:rsid w:val="003232F2"/>
    <w:rsid w:val="00323E09"/>
    <w:rsid w:val="00330D75"/>
    <w:rsid w:val="00333932"/>
    <w:rsid w:val="00333E7D"/>
    <w:rsid w:val="00337A09"/>
    <w:rsid w:val="00345C12"/>
    <w:rsid w:val="003518AA"/>
    <w:rsid w:val="00352165"/>
    <w:rsid w:val="0035271E"/>
    <w:rsid w:val="00353182"/>
    <w:rsid w:val="003565D9"/>
    <w:rsid w:val="003602E1"/>
    <w:rsid w:val="00364685"/>
    <w:rsid w:val="0037026F"/>
    <w:rsid w:val="00371240"/>
    <w:rsid w:val="003740EA"/>
    <w:rsid w:val="00374731"/>
    <w:rsid w:val="003919F9"/>
    <w:rsid w:val="00393471"/>
    <w:rsid w:val="003964CA"/>
    <w:rsid w:val="003A4D03"/>
    <w:rsid w:val="003B180D"/>
    <w:rsid w:val="003B2D61"/>
    <w:rsid w:val="003C38B5"/>
    <w:rsid w:val="003C5387"/>
    <w:rsid w:val="003C5D99"/>
    <w:rsid w:val="003D1D58"/>
    <w:rsid w:val="003D2653"/>
    <w:rsid w:val="003E1FF8"/>
    <w:rsid w:val="003E2F59"/>
    <w:rsid w:val="003E39D0"/>
    <w:rsid w:val="003E73AC"/>
    <w:rsid w:val="003F0789"/>
    <w:rsid w:val="003F0843"/>
    <w:rsid w:val="003F3800"/>
    <w:rsid w:val="00401882"/>
    <w:rsid w:val="00402BBC"/>
    <w:rsid w:val="004100C8"/>
    <w:rsid w:val="00411DBD"/>
    <w:rsid w:val="00412ACE"/>
    <w:rsid w:val="0041420A"/>
    <w:rsid w:val="00416CE0"/>
    <w:rsid w:val="00417071"/>
    <w:rsid w:val="00424A84"/>
    <w:rsid w:val="00431249"/>
    <w:rsid w:val="004334D1"/>
    <w:rsid w:val="00434C19"/>
    <w:rsid w:val="004506EA"/>
    <w:rsid w:val="00450810"/>
    <w:rsid w:val="0045218D"/>
    <w:rsid w:val="00456105"/>
    <w:rsid w:val="004615D0"/>
    <w:rsid w:val="00462252"/>
    <w:rsid w:val="0046476F"/>
    <w:rsid w:val="00464ABB"/>
    <w:rsid w:val="00471C78"/>
    <w:rsid w:val="00472727"/>
    <w:rsid w:val="004733E9"/>
    <w:rsid w:val="00476DD2"/>
    <w:rsid w:val="00477144"/>
    <w:rsid w:val="00480979"/>
    <w:rsid w:val="0048193F"/>
    <w:rsid w:val="004839D7"/>
    <w:rsid w:val="00487E8D"/>
    <w:rsid w:val="0049459F"/>
    <w:rsid w:val="00494AF9"/>
    <w:rsid w:val="004A38DD"/>
    <w:rsid w:val="004A6E92"/>
    <w:rsid w:val="004B43AE"/>
    <w:rsid w:val="004C30ED"/>
    <w:rsid w:val="004D035F"/>
    <w:rsid w:val="004D156F"/>
    <w:rsid w:val="004D1844"/>
    <w:rsid w:val="004D49D0"/>
    <w:rsid w:val="004D5675"/>
    <w:rsid w:val="004E0CA3"/>
    <w:rsid w:val="004E1127"/>
    <w:rsid w:val="004E170E"/>
    <w:rsid w:val="004E7A6D"/>
    <w:rsid w:val="004F388B"/>
    <w:rsid w:val="004F4DAC"/>
    <w:rsid w:val="004F5D70"/>
    <w:rsid w:val="004F7BFF"/>
    <w:rsid w:val="005003B9"/>
    <w:rsid w:val="005036A2"/>
    <w:rsid w:val="0050386E"/>
    <w:rsid w:val="00514B29"/>
    <w:rsid w:val="005200D5"/>
    <w:rsid w:val="00523639"/>
    <w:rsid w:val="00525CB4"/>
    <w:rsid w:val="005274B3"/>
    <w:rsid w:val="00530BD5"/>
    <w:rsid w:val="00531FE5"/>
    <w:rsid w:val="00533FF6"/>
    <w:rsid w:val="005355A7"/>
    <w:rsid w:val="0054074A"/>
    <w:rsid w:val="00543A9E"/>
    <w:rsid w:val="00546E7E"/>
    <w:rsid w:val="00552BBD"/>
    <w:rsid w:val="00556B2C"/>
    <w:rsid w:val="0055767B"/>
    <w:rsid w:val="00557CDE"/>
    <w:rsid w:val="00561BC9"/>
    <w:rsid w:val="00562A55"/>
    <w:rsid w:val="0056381C"/>
    <w:rsid w:val="0056626E"/>
    <w:rsid w:val="00571CB7"/>
    <w:rsid w:val="00574DDC"/>
    <w:rsid w:val="00574E90"/>
    <w:rsid w:val="00576DEF"/>
    <w:rsid w:val="00580E90"/>
    <w:rsid w:val="00583C39"/>
    <w:rsid w:val="00583CAD"/>
    <w:rsid w:val="005868DC"/>
    <w:rsid w:val="00586C00"/>
    <w:rsid w:val="005909CF"/>
    <w:rsid w:val="00591530"/>
    <w:rsid w:val="00591E71"/>
    <w:rsid w:val="00591EF3"/>
    <w:rsid w:val="00592422"/>
    <w:rsid w:val="00595E62"/>
    <w:rsid w:val="00597D59"/>
    <w:rsid w:val="005A0D41"/>
    <w:rsid w:val="005A4F39"/>
    <w:rsid w:val="005B0319"/>
    <w:rsid w:val="005B1EFE"/>
    <w:rsid w:val="005B1F8D"/>
    <w:rsid w:val="005B2132"/>
    <w:rsid w:val="005B2DC4"/>
    <w:rsid w:val="005B4AD8"/>
    <w:rsid w:val="005B4DF9"/>
    <w:rsid w:val="005B5022"/>
    <w:rsid w:val="005B52D8"/>
    <w:rsid w:val="005B756E"/>
    <w:rsid w:val="005B7CA0"/>
    <w:rsid w:val="005C0D5F"/>
    <w:rsid w:val="005C1A01"/>
    <w:rsid w:val="005C1B4A"/>
    <w:rsid w:val="005C50EC"/>
    <w:rsid w:val="005C54D1"/>
    <w:rsid w:val="005C61CD"/>
    <w:rsid w:val="005C752F"/>
    <w:rsid w:val="005D2681"/>
    <w:rsid w:val="005D45EA"/>
    <w:rsid w:val="005E2FAB"/>
    <w:rsid w:val="005E3727"/>
    <w:rsid w:val="005E4161"/>
    <w:rsid w:val="005E4FE3"/>
    <w:rsid w:val="005E5269"/>
    <w:rsid w:val="005E5458"/>
    <w:rsid w:val="005E62A8"/>
    <w:rsid w:val="00601BD6"/>
    <w:rsid w:val="00605AF3"/>
    <w:rsid w:val="00605E80"/>
    <w:rsid w:val="00607BF1"/>
    <w:rsid w:val="00610947"/>
    <w:rsid w:val="00613EB1"/>
    <w:rsid w:val="00617C3D"/>
    <w:rsid w:val="0062043B"/>
    <w:rsid w:val="00630D4D"/>
    <w:rsid w:val="00632972"/>
    <w:rsid w:val="00632A74"/>
    <w:rsid w:val="006333EF"/>
    <w:rsid w:val="006337C5"/>
    <w:rsid w:val="00634FFA"/>
    <w:rsid w:val="00640C3E"/>
    <w:rsid w:val="00642115"/>
    <w:rsid w:val="00642446"/>
    <w:rsid w:val="006479F3"/>
    <w:rsid w:val="006529E6"/>
    <w:rsid w:val="0066063A"/>
    <w:rsid w:val="0066318B"/>
    <w:rsid w:val="00663E7F"/>
    <w:rsid w:val="0066614B"/>
    <w:rsid w:val="00666BE8"/>
    <w:rsid w:val="00666EA6"/>
    <w:rsid w:val="00670873"/>
    <w:rsid w:val="006820B0"/>
    <w:rsid w:val="00683CEA"/>
    <w:rsid w:val="006975B6"/>
    <w:rsid w:val="006A4655"/>
    <w:rsid w:val="006A5CCC"/>
    <w:rsid w:val="006B2543"/>
    <w:rsid w:val="006B2B3C"/>
    <w:rsid w:val="006B4B34"/>
    <w:rsid w:val="006B5619"/>
    <w:rsid w:val="006C180D"/>
    <w:rsid w:val="006C1D81"/>
    <w:rsid w:val="006C52D6"/>
    <w:rsid w:val="006C5E21"/>
    <w:rsid w:val="006C7038"/>
    <w:rsid w:val="006C716F"/>
    <w:rsid w:val="006C7B67"/>
    <w:rsid w:val="006D024B"/>
    <w:rsid w:val="006E368A"/>
    <w:rsid w:val="006E49ED"/>
    <w:rsid w:val="006E678B"/>
    <w:rsid w:val="006E73EF"/>
    <w:rsid w:val="006E7DD2"/>
    <w:rsid w:val="006E7DE1"/>
    <w:rsid w:val="006F0266"/>
    <w:rsid w:val="006F0C0B"/>
    <w:rsid w:val="006F534D"/>
    <w:rsid w:val="00704286"/>
    <w:rsid w:val="0070675E"/>
    <w:rsid w:val="00707569"/>
    <w:rsid w:val="00710971"/>
    <w:rsid w:val="00714330"/>
    <w:rsid w:val="00714D4D"/>
    <w:rsid w:val="00720CAF"/>
    <w:rsid w:val="00721048"/>
    <w:rsid w:val="007314FB"/>
    <w:rsid w:val="0073405A"/>
    <w:rsid w:val="007351A2"/>
    <w:rsid w:val="0073671D"/>
    <w:rsid w:val="00740A1B"/>
    <w:rsid w:val="00742B1F"/>
    <w:rsid w:val="00746D31"/>
    <w:rsid w:val="00747437"/>
    <w:rsid w:val="0074796B"/>
    <w:rsid w:val="007573B7"/>
    <w:rsid w:val="007604BB"/>
    <w:rsid w:val="007631D6"/>
    <w:rsid w:val="00773FEE"/>
    <w:rsid w:val="007744A9"/>
    <w:rsid w:val="007768B1"/>
    <w:rsid w:val="007806B3"/>
    <w:rsid w:val="00785232"/>
    <w:rsid w:val="00787240"/>
    <w:rsid w:val="00791BAC"/>
    <w:rsid w:val="007924FC"/>
    <w:rsid w:val="0079290A"/>
    <w:rsid w:val="007968EE"/>
    <w:rsid w:val="00797BBF"/>
    <w:rsid w:val="007A20A4"/>
    <w:rsid w:val="007A21EB"/>
    <w:rsid w:val="007B01AB"/>
    <w:rsid w:val="007B1A93"/>
    <w:rsid w:val="007B3AC5"/>
    <w:rsid w:val="007C36C9"/>
    <w:rsid w:val="007C388D"/>
    <w:rsid w:val="007D19BD"/>
    <w:rsid w:val="007D1A07"/>
    <w:rsid w:val="007D6401"/>
    <w:rsid w:val="007E01E4"/>
    <w:rsid w:val="007E1A67"/>
    <w:rsid w:val="007E3D29"/>
    <w:rsid w:val="007E45AC"/>
    <w:rsid w:val="007E67F4"/>
    <w:rsid w:val="007E7322"/>
    <w:rsid w:val="007F54CE"/>
    <w:rsid w:val="007F5726"/>
    <w:rsid w:val="007F7107"/>
    <w:rsid w:val="007F74D2"/>
    <w:rsid w:val="0080301E"/>
    <w:rsid w:val="00807C65"/>
    <w:rsid w:val="0081030F"/>
    <w:rsid w:val="00811D79"/>
    <w:rsid w:val="00820738"/>
    <w:rsid w:val="0082087D"/>
    <w:rsid w:val="00820989"/>
    <w:rsid w:val="00822936"/>
    <w:rsid w:val="00824EAB"/>
    <w:rsid w:val="00826B99"/>
    <w:rsid w:val="00835F57"/>
    <w:rsid w:val="008407D7"/>
    <w:rsid w:val="0084129D"/>
    <w:rsid w:val="00842407"/>
    <w:rsid w:val="00842933"/>
    <w:rsid w:val="00845C14"/>
    <w:rsid w:val="00855441"/>
    <w:rsid w:val="008576D3"/>
    <w:rsid w:val="0086082C"/>
    <w:rsid w:val="0086167C"/>
    <w:rsid w:val="00864ADC"/>
    <w:rsid w:val="008722A3"/>
    <w:rsid w:val="00875976"/>
    <w:rsid w:val="00880153"/>
    <w:rsid w:val="00880F97"/>
    <w:rsid w:val="0088133A"/>
    <w:rsid w:val="00882C77"/>
    <w:rsid w:val="0088582D"/>
    <w:rsid w:val="00890423"/>
    <w:rsid w:val="0089285E"/>
    <w:rsid w:val="0089436C"/>
    <w:rsid w:val="008A35B2"/>
    <w:rsid w:val="008A43C9"/>
    <w:rsid w:val="008A4439"/>
    <w:rsid w:val="008B0424"/>
    <w:rsid w:val="008B6056"/>
    <w:rsid w:val="008B697B"/>
    <w:rsid w:val="008C0F19"/>
    <w:rsid w:val="008D2A5C"/>
    <w:rsid w:val="008D365C"/>
    <w:rsid w:val="008D4D34"/>
    <w:rsid w:val="008E654F"/>
    <w:rsid w:val="008E6A5E"/>
    <w:rsid w:val="008F07FF"/>
    <w:rsid w:val="008F66DD"/>
    <w:rsid w:val="009030BF"/>
    <w:rsid w:val="00904EDF"/>
    <w:rsid w:val="0091032F"/>
    <w:rsid w:val="00911AA0"/>
    <w:rsid w:val="0091303D"/>
    <w:rsid w:val="00914368"/>
    <w:rsid w:val="0091547C"/>
    <w:rsid w:val="0091790B"/>
    <w:rsid w:val="00920BDD"/>
    <w:rsid w:val="009231B5"/>
    <w:rsid w:val="00931076"/>
    <w:rsid w:val="009320AC"/>
    <w:rsid w:val="009345D9"/>
    <w:rsid w:val="00934B15"/>
    <w:rsid w:val="00934D4B"/>
    <w:rsid w:val="00942AE6"/>
    <w:rsid w:val="00942B62"/>
    <w:rsid w:val="009443FE"/>
    <w:rsid w:val="00945630"/>
    <w:rsid w:val="00951E0B"/>
    <w:rsid w:val="009521DF"/>
    <w:rsid w:val="009563DB"/>
    <w:rsid w:val="00956A0C"/>
    <w:rsid w:val="00956BD9"/>
    <w:rsid w:val="00957324"/>
    <w:rsid w:val="00962489"/>
    <w:rsid w:val="009640E4"/>
    <w:rsid w:val="0096627B"/>
    <w:rsid w:val="009721C0"/>
    <w:rsid w:val="00973A48"/>
    <w:rsid w:val="009771BD"/>
    <w:rsid w:val="009779E5"/>
    <w:rsid w:val="00981285"/>
    <w:rsid w:val="00990C2C"/>
    <w:rsid w:val="00993096"/>
    <w:rsid w:val="00995062"/>
    <w:rsid w:val="0099573B"/>
    <w:rsid w:val="009A0B45"/>
    <w:rsid w:val="009A64AC"/>
    <w:rsid w:val="009A78EE"/>
    <w:rsid w:val="009B2780"/>
    <w:rsid w:val="009B2D70"/>
    <w:rsid w:val="009C6AD3"/>
    <w:rsid w:val="009E2B66"/>
    <w:rsid w:val="009E64C1"/>
    <w:rsid w:val="009E6D51"/>
    <w:rsid w:val="009E6F93"/>
    <w:rsid w:val="009F2535"/>
    <w:rsid w:val="009F4C4A"/>
    <w:rsid w:val="009F68E5"/>
    <w:rsid w:val="009F696D"/>
    <w:rsid w:val="009F6BC6"/>
    <w:rsid w:val="009F6E50"/>
    <w:rsid w:val="00A00D43"/>
    <w:rsid w:val="00A04ECF"/>
    <w:rsid w:val="00A10B7B"/>
    <w:rsid w:val="00A1512D"/>
    <w:rsid w:val="00A17328"/>
    <w:rsid w:val="00A23A20"/>
    <w:rsid w:val="00A2652D"/>
    <w:rsid w:val="00A268B9"/>
    <w:rsid w:val="00A2703A"/>
    <w:rsid w:val="00A312CD"/>
    <w:rsid w:val="00A31FFC"/>
    <w:rsid w:val="00A32199"/>
    <w:rsid w:val="00A32AA0"/>
    <w:rsid w:val="00A33DFF"/>
    <w:rsid w:val="00A34654"/>
    <w:rsid w:val="00A35115"/>
    <w:rsid w:val="00A36D9A"/>
    <w:rsid w:val="00A47815"/>
    <w:rsid w:val="00A554AB"/>
    <w:rsid w:val="00A60B33"/>
    <w:rsid w:val="00A61A56"/>
    <w:rsid w:val="00A70235"/>
    <w:rsid w:val="00A73C7C"/>
    <w:rsid w:val="00A80EDA"/>
    <w:rsid w:val="00A876E2"/>
    <w:rsid w:val="00A91F1F"/>
    <w:rsid w:val="00A92B53"/>
    <w:rsid w:val="00A936A9"/>
    <w:rsid w:val="00A94FA6"/>
    <w:rsid w:val="00A952FC"/>
    <w:rsid w:val="00A97DD7"/>
    <w:rsid w:val="00AA0E06"/>
    <w:rsid w:val="00AA2A95"/>
    <w:rsid w:val="00AA49A0"/>
    <w:rsid w:val="00AA6710"/>
    <w:rsid w:val="00AA70A3"/>
    <w:rsid w:val="00AB0681"/>
    <w:rsid w:val="00AB0CF3"/>
    <w:rsid w:val="00AC0D2B"/>
    <w:rsid w:val="00AC44BE"/>
    <w:rsid w:val="00AC6D0F"/>
    <w:rsid w:val="00AD4DEA"/>
    <w:rsid w:val="00AD520B"/>
    <w:rsid w:val="00AE38A6"/>
    <w:rsid w:val="00AE53C9"/>
    <w:rsid w:val="00AE6292"/>
    <w:rsid w:val="00AE62DC"/>
    <w:rsid w:val="00AF0797"/>
    <w:rsid w:val="00AF0805"/>
    <w:rsid w:val="00AF0A74"/>
    <w:rsid w:val="00AF1942"/>
    <w:rsid w:val="00AF217F"/>
    <w:rsid w:val="00AF2517"/>
    <w:rsid w:val="00AF67DC"/>
    <w:rsid w:val="00B037CF"/>
    <w:rsid w:val="00B037F5"/>
    <w:rsid w:val="00B11E2D"/>
    <w:rsid w:val="00B2143C"/>
    <w:rsid w:val="00B2317A"/>
    <w:rsid w:val="00B3395D"/>
    <w:rsid w:val="00B3435C"/>
    <w:rsid w:val="00B348B0"/>
    <w:rsid w:val="00B42DFB"/>
    <w:rsid w:val="00B43345"/>
    <w:rsid w:val="00B440AD"/>
    <w:rsid w:val="00B446B6"/>
    <w:rsid w:val="00B44F0D"/>
    <w:rsid w:val="00B4798D"/>
    <w:rsid w:val="00B53E7E"/>
    <w:rsid w:val="00B54966"/>
    <w:rsid w:val="00B563B1"/>
    <w:rsid w:val="00B60A7A"/>
    <w:rsid w:val="00B6342E"/>
    <w:rsid w:val="00B63B09"/>
    <w:rsid w:val="00B7113F"/>
    <w:rsid w:val="00B744C0"/>
    <w:rsid w:val="00B74512"/>
    <w:rsid w:val="00B7769E"/>
    <w:rsid w:val="00B80039"/>
    <w:rsid w:val="00B8120A"/>
    <w:rsid w:val="00B81570"/>
    <w:rsid w:val="00B83471"/>
    <w:rsid w:val="00B92511"/>
    <w:rsid w:val="00B97884"/>
    <w:rsid w:val="00BA0B37"/>
    <w:rsid w:val="00BA12CF"/>
    <w:rsid w:val="00BA73B6"/>
    <w:rsid w:val="00BA7543"/>
    <w:rsid w:val="00BA7E27"/>
    <w:rsid w:val="00BB18C8"/>
    <w:rsid w:val="00BB2603"/>
    <w:rsid w:val="00BB3212"/>
    <w:rsid w:val="00BB4FCD"/>
    <w:rsid w:val="00BC4179"/>
    <w:rsid w:val="00BC42AB"/>
    <w:rsid w:val="00BC4D7A"/>
    <w:rsid w:val="00BC7626"/>
    <w:rsid w:val="00BD003A"/>
    <w:rsid w:val="00BD06C4"/>
    <w:rsid w:val="00BD13EA"/>
    <w:rsid w:val="00BD3A28"/>
    <w:rsid w:val="00BE11C4"/>
    <w:rsid w:val="00BE3808"/>
    <w:rsid w:val="00BE46DD"/>
    <w:rsid w:val="00BE4C2B"/>
    <w:rsid w:val="00BE6A6C"/>
    <w:rsid w:val="00BF0666"/>
    <w:rsid w:val="00BF418F"/>
    <w:rsid w:val="00BF4C55"/>
    <w:rsid w:val="00BF5A98"/>
    <w:rsid w:val="00BF6A23"/>
    <w:rsid w:val="00BF7541"/>
    <w:rsid w:val="00C0418A"/>
    <w:rsid w:val="00C05ECF"/>
    <w:rsid w:val="00C062E9"/>
    <w:rsid w:val="00C06C1F"/>
    <w:rsid w:val="00C07B64"/>
    <w:rsid w:val="00C10598"/>
    <w:rsid w:val="00C11723"/>
    <w:rsid w:val="00C13721"/>
    <w:rsid w:val="00C147DA"/>
    <w:rsid w:val="00C15C15"/>
    <w:rsid w:val="00C2546F"/>
    <w:rsid w:val="00C3066D"/>
    <w:rsid w:val="00C313AC"/>
    <w:rsid w:val="00C442E5"/>
    <w:rsid w:val="00C4447B"/>
    <w:rsid w:val="00C44B03"/>
    <w:rsid w:val="00C47288"/>
    <w:rsid w:val="00C5047D"/>
    <w:rsid w:val="00C543F4"/>
    <w:rsid w:val="00C547DB"/>
    <w:rsid w:val="00C5659E"/>
    <w:rsid w:val="00C6291C"/>
    <w:rsid w:val="00C62CA1"/>
    <w:rsid w:val="00C633CB"/>
    <w:rsid w:val="00C63F5D"/>
    <w:rsid w:val="00C81D4A"/>
    <w:rsid w:val="00C86200"/>
    <w:rsid w:val="00C864FF"/>
    <w:rsid w:val="00C8762C"/>
    <w:rsid w:val="00C91F90"/>
    <w:rsid w:val="00C9490B"/>
    <w:rsid w:val="00C95D3E"/>
    <w:rsid w:val="00CA00F9"/>
    <w:rsid w:val="00CA1453"/>
    <w:rsid w:val="00CA2961"/>
    <w:rsid w:val="00CA2BD3"/>
    <w:rsid w:val="00CA70D2"/>
    <w:rsid w:val="00CB50D7"/>
    <w:rsid w:val="00CB7177"/>
    <w:rsid w:val="00CB7592"/>
    <w:rsid w:val="00CB78DB"/>
    <w:rsid w:val="00CC1998"/>
    <w:rsid w:val="00CC40BC"/>
    <w:rsid w:val="00CC4946"/>
    <w:rsid w:val="00CC7B21"/>
    <w:rsid w:val="00CD166E"/>
    <w:rsid w:val="00CD41EC"/>
    <w:rsid w:val="00CD4FF4"/>
    <w:rsid w:val="00CD64A5"/>
    <w:rsid w:val="00CE1049"/>
    <w:rsid w:val="00CF6198"/>
    <w:rsid w:val="00CF7212"/>
    <w:rsid w:val="00D00CA0"/>
    <w:rsid w:val="00D021F7"/>
    <w:rsid w:val="00D05077"/>
    <w:rsid w:val="00D155BC"/>
    <w:rsid w:val="00D1725D"/>
    <w:rsid w:val="00D24303"/>
    <w:rsid w:val="00D270A4"/>
    <w:rsid w:val="00D3197C"/>
    <w:rsid w:val="00D31FE9"/>
    <w:rsid w:val="00D34E1B"/>
    <w:rsid w:val="00D376BA"/>
    <w:rsid w:val="00D40248"/>
    <w:rsid w:val="00D42CA0"/>
    <w:rsid w:val="00D5027B"/>
    <w:rsid w:val="00D50A8D"/>
    <w:rsid w:val="00D54ADA"/>
    <w:rsid w:val="00D55064"/>
    <w:rsid w:val="00D5568A"/>
    <w:rsid w:val="00D63D73"/>
    <w:rsid w:val="00D64452"/>
    <w:rsid w:val="00D65755"/>
    <w:rsid w:val="00D65EF0"/>
    <w:rsid w:val="00D66E1E"/>
    <w:rsid w:val="00D72AE6"/>
    <w:rsid w:val="00D74538"/>
    <w:rsid w:val="00D75722"/>
    <w:rsid w:val="00D80CF5"/>
    <w:rsid w:val="00D83C94"/>
    <w:rsid w:val="00D8737C"/>
    <w:rsid w:val="00D87F01"/>
    <w:rsid w:val="00D907AD"/>
    <w:rsid w:val="00D92C36"/>
    <w:rsid w:val="00D9392E"/>
    <w:rsid w:val="00D96479"/>
    <w:rsid w:val="00D978F6"/>
    <w:rsid w:val="00DA22A3"/>
    <w:rsid w:val="00DA56B2"/>
    <w:rsid w:val="00DA5A7D"/>
    <w:rsid w:val="00DA5BBA"/>
    <w:rsid w:val="00DA7718"/>
    <w:rsid w:val="00DB311F"/>
    <w:rsid w:val="00DB332B"/>
    <w:rsid w:val="00DB67C9"/>
    <w:rsid w:val="00DC0C95"/>
    <w:rsid w:val="00DC1BE6"/>
    <w:rsid w:val="00DC31DA"/>
    <w:rsid w:val="00DC387A"/>
    <w:rsid w:val="00DC5377"/>
    <w:rsid w:val="00DC62C4"/>
    <w:rsid w:val="00DD6580"/>
    <w:rsid w:val="00DE2C09"/>
    <w:rsid w:val="00DE49A5"/>
    <w:rsid w:val="00DF58CA"/>
    <w:rsid w:val="00DF5F4B"/>
    <w:rsid w:val="00DF60DD"/>
    <w:rsid w:val="00E055DB"/>
    <w:rsid w:val="00E112A2"/>
    <w:rsid w:val="00E11B02"/>
    <w:rsid w:val="00E17C72"/>
    <w:rsid w:val="00E21FC6"/>
    <w:rsid w:val="00E24623"/>
    <w:rsid w:val="00E2504B"/>
    <w:rsid w:val="00E3006B"/>
    <w:rsid w:val="00E356D4"/>
    <w:rsid w:val="00E431A9"/>
    <w:rsid w:val="00E43AA5"/>
    <w:rsid w:val="00E44851"/>
    <w:rsid w:val="00E52291"/>
    <w:rsid w:val="00E5693F"/>
    <w:rsid w:val="00E62A72"/>
    <w:rsid w:val="00E65271"/>
    <w:rsid w:val="00E669E2"/>
    <w:rsid w:val="00E710E6"/>
    <w:rsid w:val="00E746C0"/>
    <w:rsid w:val="00E76135"/>
    <w:rsid w:val="00E82F4F"/>
    <w:rsid w:val="00E836BE"/>
    <w:rsid w:val="00E8483D"/>
    <w:rsid w:val="00E84BE6"/>
    <w:rsid w:val="00E90291"/>
    <w:rsid w:val="00E90C9A"/>
    <w:rsid w:val="00E931D7"/>
    <w:rsid w:val="00E95551"/>
    <w:rsid w:val="00EA0145"/>
    <w:rsid w:val="00EB32C7"/>
    <w:rsid w:val="00EB4D81"/>
    <w:rsid w:val="00EB6006"/>
    <w:rsid w:val="00EC0524"/>
    <w:rsid w:val="00EC0FAE"/>
    <w:rsid w:val="00EC1BF0"/>
    <w:rsid w:val="00EC2084"/>
    <w:rsid w:val="00EC2844"/>
    <w:rsid w:val="00ED0C74"/>
    <w:rsid w:val="00ED4D32"/>
    <w:rsid w:val="00EE2ABA"/>
    <w:rsid w:val="00EE4D84"/>
    <w:rsid w:val="00EF6C6C"/>
    <w:rsid w:val="00F04057"/>
    <w:rsid w:val="00F047B9"/>
    <w:rsid w:val="00F0511D"/>
    <w:rsid w:val="00F056FC"/>
    <w:rsid w:val="00F05720"/>
    <w:rsid w:val="00F10476"/>
    <w:rsid w:val="00F12C77"/>
    <w:rsid w:val="00F135D8"/>
    <w:rsid w:val="00F14A92"/>
    <w:rsid w:val="00F15344"/>
    <w:rsid w:val="00F200F5"/>
    <w:rsid w:val="00F22309"/>
    <w:rsid w:val="00F26129"/>
    <w:rsid w:val="00F26230"/>
    <w:rsid w:val="00F27078"/>
    <w:rsid w:val="00F277B9"/>
    <w:rsid w:val="00F307B9"/>
    <w:rsid w:val="00F30CDD"/>
    <w:rsid w:val="00F31299"/>
    <w:rsid w:val="00F31FF0"/>
    <w:rsid w:val="00F34E97"/>
    <w:rsid w:val="00F35169"/>
    <w:rsid w:val="00F3534A"/>
    <w:rsid w:val="00F404C5"/>
    <w:rsid w:val="00F41B7A"/>
    <w:rsid w:val="00F4237E"/>
    <w:rsid w:val="00F424B5"/>
    <w:rsid w:val="00F44B8A"/>
    <w:rsid w:val="00F463C2"/>
    <w:rsid w:val="00F50FFB"/>
    <w:rsid w:val="00F53354"/>
    <w:rsid w:val="00F5529A"/>
    <w:rsid w:val="00F5733B"/>
    <w:rsid w:val="00F63D4F"/>
    <w:rsid w:val="00F648CA"/>
    <w:rsid w:val="00F66D2A"/>
    <w:rsid w:val="00F7204B"/>
    <w:rsid w:val="00F73397"/>
    <w:rsid w:val="00F80EA3"/>
    <w:rsid w:val="00F8168A"/>
    <w:rsid w:val="00F85325"/>
    <w:rsid w:val="00F85E8E"/>
    <w:rsid w:val="00F97A4C"/>
    <w:rsid w:val="00FA0F5D"/>
    <w:rsid w:val="00FA3C3B"/>
    <w:rsid w:val="00FA524D"/>
    <w:rsid w:val="00FA56E6"/>
    <w:rsid w:val="00FB10FF"/>
    <w:rsid w:val="00FB1724"/>
    <w:rsid w:val="00FB5AC9"/>
    <w:rsid w:val="00FC0896"/>
    <w:rsid w:val="00FC1B96"/>
    <w:rsid w:val="00FC3DF2"/>
    <w:rsid w:val="00FC5A9C"/>
    <w:rsid w:val="00FC6868"/>
    <w:rsid w:val="00FC76CA"/>
    <w:rsid w:val="00FD22B1"/>
    <w:rsid w:val="00FD3AF4"/>
    <w:rsid w:val="00FD4880"/>
    <w:rsid w:val="00FD7ABA"/>
    <w:rsid w:val="00FE0161"/>
    <w:rsid w:val="00FE31C5"/>
    <w:rsid w:val="00FE7F89"/>
    <w:rsid w:val="00FF22E6"/>
    <w:rsid w:val="00FF3186"/>
    <w:rsid w:val="00FF32DD"/>
    <w:rsid w:val="00FF5C7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tabs>
        <w:tab w:val="clear" w:pos="908"/>
        <w:tab w:val="num" w:pos="680"/>
      </w:tabs>
      <w:spacing w:before="120"/>
      <w:ind w:left="68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basedOn w:val="DefaultParagraphFont"/>
    <w:link w:val="BodyText"/>
    <w:rsid w:val="005355A7"/>
    <w:rPr>
      <w:sz w:val="26"/>
    </w:rPr>
  </w:style>
  <w:style w:type="character" w:customStyle="1" w:styleId="ReferenceChar">
    <w:name w:val="Reference Char"/>
    <w:basedOn w:val="DefaultParagraphFont"/>
    <w:link w:val="Reference"/>
    <w:rsid w:val="000A4A64"/>
    <w:rPr>
      <w:sz w:val="26"/>
    </w:rPr>
  </w:style>
  <w:style w:type="character" w:styleId="Hyperlink">
    <w:name w:val="Hyperlink"/>
    <w:basedOn w:val="DefaultParagraphFont"/>
    <w:rsid w:val="000A4A64"/>
    <w:rPr>
      <w:color w:val="0000FF" w:themeColor="hyperlink"/>
      <w:u w:val="single"/>
    </w:rPr>
  </w:style>
  <w:style w:type="character" w:styleId="FollowedHyperlink">
    <w:name w:val="FollowedHyperlink"/>
    <w:basedOn w:val="DefaultParagraphFont"/>
    <w:rsid w:val="00D1725D"/>
    <w:rPr>
      <w:color w:val="800080" w:themeColor="followedHyperlink"/>
      <w:u w:val="single"/>
    </w:rPr>
  </w:style>
  <w:style w:type="paragraph" w:customStyle="1" w:styleId="Default">
    <w:name w:val="Default"/>
    <w:rsid w:val="005B2DC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1A2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11A27"/>
    <w:rPr>
      <w:szCs w:val="24"/>
    </w:rPr>
  </w:style>
  <w:style w:type="character" w:customStyle="1" w:styleId="CommentSubjectChar">
    <w:name w:val="Comment Subject Char"/>
    <w:basedOn w:val="CommentTextChar"/>
    <w:link w:val="CommentSubject"/>
    <w:rsid w:val="00311A27"/>
    <w:rPr>
      <w:b/>
      <w:bCs/>
      <w:szCs w:val="24"/>
    </w:rPr>
  </w:style>
  <w:style w:type="character" w:styleId="HTMLCite">
    <w:name w:val="HTML Cite"/>
    <w:basedOn w:val="DefaultParagraphFont"/>
    <w:uiPriority w:val="99"/>
    <w:unhideWhenUsed/>
    <w:rsid w:val="009231B5"/>
    <w:rPr>
      <w:i w:val="0"/>
      <w:iCs w:val="0"/>
      <w:color w:val="009933"/>
    </w:rPr>
  </w:style>
  <w:style w:type="paragraph" w:styleId="Revision">
    <w:name w:val="Revision"/>
    <w:hidden/>
    <w:uiPriority w:val="99"/>
    <w:semiHidden/>
    <w:rsid w:val="00E356D4"/>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tabs>
        <w:tab w:val="clear" w:pos="908"/>
        <w:tab w:val="num" w:pos="680"/>
      </w:tabs>
      <w:spacing w:before="120"/>
      <w:ind w:left="68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basedOn w:val="DefaultParagraphFont"/>
    <w:link w:val="BodyText"/>
    <w:rsid w:val="005355A7"/>
    <w:rPr>
      <w:sz w:val="26"/>
    </w:rPr>
  </w:style>
  <w:style w:type="character" w:customStyle="1" w:styleId="ReferenceChar">
    <w:name w:val="Reference Char"/>
    <w:basedOn w:val="DefaultParagraphFont"/>
    <w:link w:val="Reference"/>
    <w:rsid w:val="000A4A64"/>
    <w:rPr>
      <w:sz w:val="26"/>
    </w:rPr>
  </w:style>
  <w:style w:type="character" w:styleId="Hyperlink">
    <w:name w:val="Hyperlink"/>
    <w:basedOn w:val="DefaultParagraphFont"/>
    <w:rsid w:val="000A4A64"/>
    <w:rPr>
      <w:color w:val="0000FF" w:themeColor="hyperlink"/>
      <w:u w:val="single"/>
    </w:rPr>
  </w:style>
  <w:style w:type="character" w:styleId="FollowedHyperlink">
    <w:name w:val="FollowedHyperlink"/>
    <w:basedOn w:val="DefaultParagraphFont"/>
    <w:rsid w:val="00D1725D"/>
    <w:rPr>
      <w:color w:val="800080" w:themeColor="followedHyperlink"/>
      <w:u w:val="single"/>
    </w:rPr>
  </w:style>
  <w:style w:type="paragraph" w:customStyle="1" w:styleId="Default">
    <w:name w:val="Default"/>
    <w:rsid w:val="005B2DC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1A2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11A27"/>
    <w:rPr>
      <w:szCs w:val="24"/>
    </w:rPr>
  </w:style>
  <w:style w:type="character" w:customStyle="1" w:styleId="CommentSubjectChar">
    <w:name w:val="Comment Subject Char"/>
    <w:basedOn w:val="CommentTextChar"/>
    <w:link w:val="CommentSubject"/>
    <w:rsid w:val="00311A27"/>
    <w:rPr>
      <w:b/>
      <w:bCs/>
      <w:szCs w:val="24"/>
    </w:rPr>
  </w:style>
  <w:style w:type="character" w:styleId="HTMLCite">
    <w:name w:val="HTML Cite"/>
    <w:basedOn w:val="DefaultParagraphFont"/>
    <w:uiPriority w:val="99"/>
    <w:unhideWhenUsed/>
    <w:rsid w:val="009231B5"/>
    <w:rPr>
      <w:i w:val="0"/>
      <w:iCs w:val="0"/>
      <w:color w:val="009933"/>
    </w:rPr>
  </w:style>
  <w:style w:type="paragraph" w:styleId="Revision">
    <w:name w:val="Revision"/>
    <w:hidden/>
    <w:uiPriority w:val="99"/>
    <w:semiHidden/>
    <w:rsid w:val="00E356D4"/>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972965">
      <w:bodyDiv w:val="1"/>
      <w:marLeft w:val="0"/>
      <w:marRight w:val="0"/>
      <w:marTop w:val="0"/>
      <w:marBottom w:val="0"/>
      <w:divBdr>
        <w:top w:val="none" w:sz="0" w:space="0" w:color="auto"/>
        <w:left w:val="none" w:sz="0" w:space="0" w:color="auto"/>
        <w:bottom w:val="none" w:sz="0" w:space="0" w:color="auto"/>
        <w:right w:val="none" w:sz="0" w:space="0" w:color="auto"/>
      </w:divBdr>
      <w:divsChild>
        <w:div w:id="2022195070">
          <w:marLeft w:val="0"/>
          <w:marRight w:val="0"/>
          <w:marTop w:val="0"/>
          <w:marBottom w:val="0"/>
          <w:divBdr>
            <w:top w:val="none" w:sz="0" w:space="0" w:color="auto"/>
            <w:left w:val="none" w:sz="0" w:space="0" w:color="auto"/>
            <w:bottom w:val="none" w:sz="0" w:space="0" w:color="auto"/>
            <w:right w:val="none" w:sz="0" w:space="0" w:color="auto"/>
          </w:divBdr>
          <w:divsChild>
            <w:div w:id="237372533">
              <w:marLeft w:val="0"/>
              <w:marRight w:val="0"/>
              <w:marTop w:val="0"/>
              <w:marBottom w:val="0"/>
              <w:divBdr>
                <w:top w:val="none" w:sz="0" w:space="0" w:color="auto"/>
                <w:left w:val="none" w:sz="0" w:space="0" w:color="auto"/>
                <w:bottom w:val="none" w:sz="0" w:space="0" w:color="auto"/>
                <w:right w:val="none" w:sz="0" w:space="0" w:color="auto"/>
              </w:divBdr>
              <w:divsChild>
                <w:div w:id="1482425555">
                  <w:marLeft w:val="0"/>
                  <w:marRight w:val="0"/>
                  <w:marTop w:val="0"/>
                  <w:marBottom w:val="0"/>
                  <w:divBdr>
                    <w:top w:val="none" w:sz="0" w:space="0" w:color="auto"/>
                    <w:left w:val="none" w:sz="0" w:space="0" w:color="auto"/>
                    <w:bottom w:val="none" w:sz="0" w:space="0" w:color="auto"/>
                    <w:right w:val="none" w:sz="0" w:space="0" w:color="auto"/>
                  </w:divBdr>
                  <w:divsChild>
                    <w:div w:id="1080249255">
                      <w:marLeft w:val="0"/>
                      <w:marRight w:val="0"/>
                      <w:marTop w:val="0"/>
                      <w:marBottom w:val="0"/>
                      <w:divBdr>
                        <w:top w:val="none" w:sz="0" w:space="0" w:color="auto"/>
                        <w:left w:val="none" w:sz="0" w:space="0" w:color="auto"/>
                        <w:bottom w:val="none" w:sz="0" w:space="0" w:color="auto"/>
                        <w:right w:val="none" w:sz="0" w:space="0" w:color="auto"/>
                      </w:divBdr>
                      <w:divsChild>
                        <w:div w:id="1108499888">
                          <w:marLeft w:val="0"/>
                          <w:marRight w:val="0"/>
                          <w:marTop w:val="315"/>
                          <w:marBottom w:val="0"/>
                          <w:divBdr>
                            <w:top w:val="none" w:sz="0" w:space="0" w:color="auto"/>
                            <w:left w:val="none" w:sz="0" w:space="0" w:color="auto"/>
                            <w:bottom w:val="none" w:sz="0" w:space="0" w:color="auto"/>
                            <w:right w:val="none" w:sz="0" w:space="0" w:color="auto"/>
                          </w:divBdr>
                          <w:divsChild>
                            <w:div w:id="1840074355">
                              <w:marLeft w:val="1980"/>
                              <w:marRight w:val="3810"/>
                              <w:marTop w:val="0"/>
                              <w:marBottom w:val="0"/>
                              <w:divBdr>
                                <w:top w:val="none" w:sz="0" w:space="0" w:color="auto"/>
                                <w:left w:val="none" w:sz="0" w:space="0" w:color="auto"/>
                                <w:bottom w:val="none" w:sz="0" w:space="0" w:color="auto"/>
                                <w:right w:val="none" w:sz="0" w:space="0" w:color="auto"/>
                              </w:divBdr>
                              <w:divsChild>
                                <w:div w:id="1699508555">
                                  <w:marLeft w:val="0"/>
                                  <w:marRight w:val="0"/>
                                  <w:marTop w:val="0"/>
                                  <w:marBottom w:val="0"/>
                                  <w:divBdr>
                                    <w:top w:val="none" w:sz="0" w:space="0" w:color="auto"/>
                                    <w:left w:val="none" w:sz="0" w:space="0" w:color="auto"/>
                                    <w:bottom w:val="none" w:sz="0" w:space="0" w:color="auto"/>
                                    <w:right w:val="none" w:sz="0" w:space="0" w:color="auto"/>
                                  </w:divBdr>
                                  <w:divsChild>
                                    <w:div w:id="1472793460">
                                      <w:marLeft w:val="0"/>
                                      <w:marRight w:val="0"/>
                                      <w:marTop w:val="0"/>
                                      <w:marBottom w:val="0"/>
                                      <w:divBdr>
                                        <w:top w:val="none" w:sz="0" w:space="0" w:color="auto"/>
                                        <w:left w:val="none" w:sz="0" w:space="0" w:color="auto"/>
                                        <w:bottom w:val="none" w:sz="0" w:space="0" w:color="auto"/>
                                        <w:right w:val="none" w:sz="0" w:space="0" w:color="auto"/>
                                      </w:divBdr>
                                      <w:divsChild>
                                        <w:div w:id="396322375">
                                          <w:marLeft w:val="0"/>
                                          <w:marRight w:val="0"/>
                                          <w:marTop w:val="0"/>
                                          <w:marBottom w:val="0"/>
                                          <w:divBdr>
                                            <w:top w:val="none" w:sz="0" w:space="0" w:color="auto"/>
                                            <w:left w:val="none" w:sz="0" w:space="0" w:color="auto"/>
                                            <w:bottom w:val="none" w:sz="0" w:space="0" w:color="auto"/>
                                            <w:right w:val="none" w:sz="0" w:space="0" w:color="auto"/>
                                          </w:divBdr>
                                          <w:divsChild>
                                            <w:div w:id="1419909886">
                                              <w:marLeft w:val="0"/>
                                              <w:marRight w:val="0"/>
                                              <w:marTop w:val="0"/>
                                              <w:marBottom w:val="0"/>
                                              <w:divBdr>
                                                <w:top w:val="none" w:sz="0" w:space="0" w:color="auto"/>
                                                <w:left w:val="none" w:sz="0" w:space="0" w:color="auto"/>
                                                <w:bottom w:val="none" w:sz="0" w:space="0" w:color="auto"/>
                                                <w:right w:val="none" w:sz="0" w:space="0" w:color="auto"/>
                                              </w:divBdr>
                                              <w:divsChild>
                                                <w:div w:id="908998735">
                                                  <w:marLeft w:val="0"/>
                                                  <w:marRight w:val="0"/>
                                                  <w:marTop w:val="0"/>
                                                  <w:marBottom w:val="0"/>
                                                  <w:divBdr>
                                                    <w:top w:val="none" w:sz="0" w:space="0" w:color="auto"/>
                                                    <w:left w:val="none" w:sz="0" w:space="0" w:color="auto"/>
                                                    <w:bottom w:val="none" w:sz="0" w:space="0" w:color="auto"/>
                                                    <w:right w:val="none" w:sz="0" w:space="0" w:color="auto"/>
                                                  </w:divBdr>
                                                  <w:divsChild>
                                                    <w:div w:id="185888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983883">
      <w:bodyDiv w:val="1"/>
      <w:marLeft w:val="0"/>
      <w:marRight w:val="0"/>
      <w:marTop w:val="0"/>
      <w:marBottom w:val="0"/>
      <w:divBdr>
        <w:top w:val="none" w:sz="0" w:space="0" w:color="auto"/>
        <w:left w:val="none" w:sz="0" w:space="0" w:color="auto"/>
        <w:bottom w:val="none" w:sz="0" w:space="0" w:color="auto"/>
        <w:right w:val="none" w:sz="0" w:space="0" w:color="auto"/>
      </w:divBdr>
      <w:divsChild>
        <w:div w:id="1184592333">
          <w:marLeft w:val="0"/>
          <w:marRight w:val="0"/>
          <w:marTop w:val="0"/>
          <w:marBottom w:val="0"/>
          <w:divBdr>
            <w:top w:val="none" w:sz="0" w:space="0" w:color="auto"/>
            <w:left w:val="none" w:sz="0" w:space="0" w:color="auto"/>
            <w:bottom w:val="none" w:sz="0" w:space="0" w:color="auto"/>
            <w:right w:val="none" w:sz="0" w:space="0" w:color="auto"/>
          </w:divBdr>
          <w:divsChild>
            <w:div w:id="948705103">
              <w:marLeft w:val="0"/>
              <w:marRight w:val="0"/>
              <w:marTop w:val="0"/>
              <w:marBottom w:val="0"/>
              <w:divBdr>
                <w:top w:val="none" w:sz="0" w:space="0" w:color="auto"/>
                <w:left w:val="none" w:sz="0" w:space="0" w:color="auto"/>
                <w:bottom w:val="none" w:sz="0" w:space="0" w:color="auto"/>
                <w:right w:val="none" w:sz="0" w:space="0" w:color="auto"/>
              </w:divBdr>
              <w:divsChild>
                <w:div w:id="305398145">
                  <w:marLeft w:val="0"/>
                  <w:marRight w:val="0"/>
                  <w:marTop w:val="0"/>
                  <w:marBottom w:val="0"/>
                  <w:divBdr>
                    <w:top w:val="none" w:sz="0" w:space="0" w:color="auto"/>
                    <w:left w:val="none" w:sz="0" w:space="0" w:color="auto"/>
                    <w:bottom w:val="none" w:sz="0" w:space="0" w:color="auto"/>
                    <w:right w:val="none" w:sz="0" w:space="0" w:color="auto"/>
                  </w:divBdr>
                  <w:divsChild>
                    <w:div w:id="1598563334">
                      <w:marLeft w:val="0"/>
                      <w:marRight w:val="0"/>
                      <w:marTop w:val="0"/>
                      <w:marBottom w:val="0"/>
                      <w:divBdr>
                        <w:top w:val="none" w:sz="0" w:space="0" w:color="auto"/>
                        <w:left w:val="none" w:sz="0" w:space="0" w:color="auto"/>
                        <w:bottom w:val="none" w:sz="0" w:space="0" w:color="auto"/>
                        <w:right w:val="none" w:sz="0" w:space="0" w:color="auto"/>
                      </w:divBdr>
                      <w:divsChild>
                        <w:div w:id="1798719645">
                          <w:marLeft w:val="0"/>
                          <w:marRight w:val="0"/>
                          <w:marTop w:val="315"/>
                          <w:marBottom w:val="0"/>
                          <w:divBdr>
                            <w:top w:val="none" w:sz="0" w:space="0" w:color="auto"/>
                            <w:left w:val="none" w:sz="0" w:space="0" w:color="auto"/>
                            <w:bottom w:val="none" w:sz="0" w:space="0" w:color="auto"/>
                            <w:right w:val="none" w:sz="0" w:space="0" w:color="auto"/>
                          </w:divBdr>
                          <w:divsChild>
                            <w:div w:id="882670029">
                              <w:marLeft w:val="1980"/>
                              <w:marRight w:val="3810"/>
                              <w:marTop w:val="0"/>
                              <w:marBottom w:val="0"/>
                              <w:divBdr>
                                <w:top w:val="none" w:sz="0" w:space="0" w:color="auto"/>
                                <w:left w:val="none" w:sz="0" w:space="0" w:color="auto"/>
                                <w:bottom w:val="none" w:sz="0" w:space="0" w:color="auto"/>
                                <w:right w:val="none" w:sz="0" w:space="0" w:color="auto"/>
                              </w:divBdr>
                              <w:divsChild>
                                <w:div w:id="77793542">
                                  <w:marLeft w:val="0"/>
                                  <w:marRight w:val="0"/>
                                  <w:marTop w:val="0"/>
                                  <w:marBottom w:val="0"/>
                                  <w:divBdr>
                                    <w:top w:val="none" w:sz="0" w:space="0" w:color="auto"/>
                                    <w:left w:val="none" w:sz="0" w:space="0" w:color="auto"/>
                                    <w:bottom w:val="none" w:sz="0" w:space="0" w:color="auto"/>
                                    <w:right w:val="none" w:sz="0" w:space="0" w:color="auto"/>
                                  </w:divBdr>
                                  <w:divsChild>
                                    <w:div w:id="666516518">
                                      <w:marLeft w:val="0"/>
                                      <w:marRight w:val="0"/>
                                      <w:marTop w:val="0"/>
                                      <w:marBottom w:val="0"/>
                                      <w:divBdr>
                                        <w:top w:val="none" w:sz="0" w:space="0" w:color="auto"/>
                                        <w:left w:val="none" w:sz="0" w:space="0" w:color="auto"/>
                                        <w:bottom w:val="none" w:sz="0" w:space="0" w:color="auto"/>
                                        <w:right w:val="none" w:sz="0" w:space="0" w:color="auto"/>
                                      </w:divBdr>
                                      <w:divsChild>
                                        <w:div w:id="333992016">
                                          <w:marLeft w:val="0"/>
                                          <w:marRight w:val="0"/>
                                          <w:marTop w:val="0"/>
                                          <w:marBottom w:val="0"/>
                                          <w:divBdr>
                                            <w:top w:val="none" w:sz="0" w:space="0" w:color="auto"/>
                                            <w:left w:val="none" w:sz="0" w:space="0" w:color="auto"/>
                                            <w:bottom w:val="none" w:sz="0" w:space="0" w:color="auto"/>
                                            <w:right w:val="none" w:sz="0" w:space="0" w:color="auto"/>
                                          </w:divBdr>
                                          <w:divsChild>
                                            <w:div w:id="1516571396">
                                              <w:marLeft w:val="0"/>
                                              <w:marRight w:val="0"/>
                                              <w:marTop w:val="0"/>
                                              <w:marBottom w:val="0"/>
                                              <w:divBdr>
                                                <w:top w:val="none" w:sz="0" w:space="0" w:color="auto"/>
                                                <w:left w:val="none" w:sz="0" w:space="0" w:color="auto"/>
                                                <w:bottom w:val="none" w:sz="0" w:space="0" w:color="auto"/>
                                                <w:right w:val="none" w:sz="0" w:space="0" w:color="auto"/>
                                              </w:divBdr>
                                              <w:divsChild>
                                                <w:div w:id="1962347476">
                                                  <w:marLeft w:val="0"/>
                                                  <w:marRight w:val="0"/>
                                                  <w:marTop w:val="0"/>
                                                  <w:marBottom w:val="0"/>
                                                  <w:divBdr>
                                                    <w:top w:val="none" w:sz="0" w:space="0" w:color="auto"/>
                                                    <w:left w:val="none" w:sz="0" w:space="0" w:color="auto"/>
                                                    <w:bottom w:val="none" w:sz="0" w:space="0" w:color="auto"/>
                                                    <w:right w:val="none" w:sz="0" w:space="0" w:color="auto"/>
                                                  </w:divBdr>
                                                  <w:divsChild>
                                                    <w:div w:id="31877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712E9-AD1A-48EF-96D2-A0FDA9BB1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598</TotalTime>
  <Pages>7</Pages>
  <Words>2214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Awareness-raising measures</vt:lpstr>
    </vt:vector>
  </TitlesOfParts>
  <Company>Productivity Commission</Company>
  <LinksUpToDate>false</LinksUpToDate>
  <CharactersWithSpaces>15095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Awareness-raising measures</dc:title>
  <dc:subject>Compulsory licensing of patents</dc:subject>
  <dc:creator>Productivity Commission</dc:creator>
  <dc:description>10.</dc:description>
  <cp:lastModifiedBy>Productivity Commission</cp:lastModifiedBy>
  <cp:revision>23</cp:revision>
  <cp:lastPrinted>2013-03-25T23:16:00Z</cp:lastPrinted>
  <dcterms:created xsi:type="dcterms:W3CDTF">2013-02-26T23:17:00Z</dcterms:created>
  <dcterms:modified xsi:type="dcterms:W3CDTF">2013-04-03T00:20:00Z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1608161842</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