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9125DB" w:rsidRDefault="00C54A38" w:rsidP="00C54A38">
      <w:pPr>
        <w:pStyle w:val="Chapter"/>
        <w:ind w:left="907" w:hanging="907"/>
        <w:rPr>
          <w:rFonts w:ascii="Times New Roman" w:hAnsi="Times New Roman" w:cs="Times New Roman"/>
        </w:rPr>
      </w:pPr>
      <w:bookmarkStart w:id="0" w:name="_AppendixNotByChapter"/>
      <w:bookmarkStart w:id="1" w:name="ChapterNumber"/>
      <w:bookmarkStart w:id="2" w:name="_GoBack"/>
      <w:bookmarkEnd w:id="0"/>
      <w:bookmarkEnd w:id="2"/>
      <w:r w:rsidRPr="009125DB">
        <w:rPr>
          <w:rFonts w:ascii="Times New Roman" w:hAnsi="Times New Roman" w:cs="Times New Roman"/>
        </w:rPr>
        <w:t>B</w:t>
      </w:r>
      <w:bookmarkEnd w:id="1"/>
      <w:r w:rsidRPr="009125DB">
        <w:rPr>
          <w:rFonts w:ascii="Times New Roman" w:hAnsi="Times New Roman" w:cs="Times New Roman"/>
        </w:rPr>
        <w:tab/>
      </w:r>
      <w:bookmarkStart w:id="3" w:name="ChapterTitle"/>
      <w:r w:rsidRPr="009125DB">
        <w:rPr>
          <w:rFonts w:ascii="Times New Roman" w:hAnsi="Times New Roman" w:cs="Times New Roman"/>
        </w:rPr>
        <w:t>More detail on the patents system in Australia and comparable markets</w:t>
      </w:r>
      <w:bookmarkEnd w:id="3"/>
    </w:p>
    <w:p w:rsidR="0060474D" w:rsidRDefault="000D4A39" w:rsidP="0060474D">
      <w:pPr>
        <w:pStyle w:val="BodyText"/>
      </w:pPr>
      <w:bookmarkStart w:id="4" w:name="begin"/>
      <w:bookmarkEnd w:id="4"/>
      <w:r>
        <w:t xml:space="preserve">This appendix provides more detail on the patents system in Australia and comparable markets than is included in </w:t>
      </w:r>
      <w:r w:rsidR="0073444D">
        <w:t xml:space="preserve">the </w:t>
      </w:r>
      <w:r>
        <w:t>chapter</w:t>
      </w:r>
      <w:r w:rsidR="00463A93">
        <w:t xml:space="preserve">s </w:t>
      </w:r>
      <w:r w:rsidR="0073444D">
        <w:t>of</w:t>
      </w:r>
      <w:r w:rsidR="00463A93">
        <w:t xml:space="preserve"> this report</w:t>
      </w:r>
      <w:r>
        <w:t xml:space="preserve">. </w:t>
      </w:r>
      <w:r w:rsidR="00412C58">
        <w:t xml:space="preserve">Non-voluntary access arrangements </w:t>
      </w:r>
      <w:r w:rsidR="00DA60FD">
        <w:t xml:space="preserve">to patents </w:t>
      </w:r>
      <w:r w:rsidR="00412C58">
        <w:t xml:space="preserve">in comparable markets are discussed in appendix C. </w:t>
      </w:r>
    </w:p>
    <w:p w:rsidR="00C75159" w:rsidRDefault="00C75159" w:rsidP="00C75159">
      <w:pPr>
        <w:pStyle w:val="BodyText"/>
      </w:pPr>
      <w:r>
        <w:t>What constitutes a comparable market is a complex issue that depends on a range of factors, such as a country’s industrial structure, geography, form of government, and human and physical capital</w:t>
      </w:r>
      <w:r w:rsidR="00BC50DC">
        <w:t>, and the purpose of the analysis at hand</w:t>
      </w:r>
      <w:r>
        <w:t xml:space="preserve">. The fact that Australia </w:t>
      </w:r>
      <w:r w:rsidR="00BC50DC">
        <w:t xml:space="preserve">and many other countries </w:t>
      </w:r>
      <w:r>
        <w:t>grant the majority of patents to non</w:t>
      </w:r>
      <w:r w:rsidR="0001547A">
        <w:noBreakHyphen/>
      </w:r>
      <w:r>
        <w:t>residents is particularly relevant for this inquiry. For example, in 2010, 91</w:t>
      </w:r>
      <w:r w:rsidR="0001547A">
        <w:t> </w:t>
      </w:r>
      <w:r>
        <w:t>per</w:t>
      </w:r>
      <w:r w:rsidR="0001547A">
        <w:t> </w:t>
      </w:r>
      <w:r>
        <w:t>cent of patents granted in New Zealand and 90 </w:t>
      </w:r>
      <w:r w:rsidR="00CF3FD8">
        <w:t>per </w:t>
      </w:r>
      <w:r>
        <w:t>cent in Canada were to non</w:t>
      </w:r>
      <w:r>
        <w:noBreakHyphen/>
        <w:t>residents (WIPO 201</w:t>
      </w:r>
      <w:r w:rsidR="00967212">
        <w:t>2a</w:t>
      </w:r>
      <w:r>
        <w:t>)</w:t>
      </w:r>
      <w:r w:rsidR="003B2ECF">
        <w:t>.</w:t>
      </w:r>
      <w:r w:rsidR="00F6582D">
        <w:t xml:space="preserve"> </w:t>
      </w:r>
      <w:r>
        <w:t>Australia’s status as a developed economy</w:t>
      </w:r>
      <w:r w:rsidRPr="007C1565">
        <w:t xml:space="preserve"> </w:t>
      </w:r>
      <w:r>
        <w:t>is also relevant, given the importance that places on attracting suppliers of advanced technologies. Hence, the United States is included in the comparison. Australia’s significant trading relationship with Asian countries, such as China, has been a further consideration.</w:t>
      </w:r>
    </w:p>
    <w:p w:rsidR="007D3606" w:rsidRDefault="00BF4300" w:rsidP="00120072">
      <w:pPr>
        <w:pStyle w:val="BodyText"/>
      </w:pPr>
      <w:r>
        <w:t xml:space="preserve">This appendix </w:t>
      </w:r>
      <w:r w:rsidR="007D3606">
        <w:t xml:space="preserve">has </w:t>
      </w:r>
      <w:r w:rsidR="004769F7">
        <w:t>three</w:t>
      </w:r>
      <w:r w:rsidR="007D3606">
        <w:t xml:space="preserve"> sections:</w:t>
      </w:r>
    </w:p>
    <w:p w:rsidR="00863F5F" w:rsidRDefault="00863F5F" w:rsidP="007D3606">
      <w:pPr>
        <w:pStyle w:val="ListBullet"/>
      </w:pPr>
      <w:r>
        <w:t>features of the patent</w:t>
      </w:r>
      <w:r w:rsidR="007B7185">
        <w:t>s</w:t>
      </w:r>
      <w:r>
        <w:t xml:space="preserve"> system in Australia and comparable markets</w:t>
      </w:r>
    </w:p>
    <w:p w:rsidR="007D3606" w:rsidRDefault="007D3606" w:rsidP="007D3606">
      <w:pPr>
        <w:pStyle w:val="ListBullet"/>
      </w:pPr>
      <w:r>
        <w:t>measures of patent strength and quality</w:t>
      </w:r>
    </w:p>
    <w:p w:rsidR="007D3606" w:rsidRDefault="007D3606" w:rsidP="007D3606">
      <w:pPr>
        <w:pStyle w:val="ListBullet"/>
      </w:pPr>
      <w:r>
        <w:t>reforms of patent</w:t>
      </w:r>
      <w:r w:rsidR="007B7185">
        <w:t>s</w:t>
      </w:r>
      <w:r>
        <w:t xml:space="preserve"> systems.</w:t>
      </w:r>
    </w:p>
    <w:p w:rsidR="000D4A39" w:rsidRDefault="00A356F8" w:rsidP="002A5AE2">
      <w:pPr>
        <w:pStyle w:val="Heading2"/>
      </w:pPr>
      <w:r>
        <w:t>B.1</w:t>
      </w:r>
      <w:r>
        <w:tab/>
      </w:r>
      <w:r w:rsidR="00D14D99">
        <w:t xml:space="preserve">Features of </w:t>
      </w:r>
      <w:r w:rsidR="00863F5F">
        <w:t>the</w:t>
      </w:r>
      <w:r w:rsidR="00D14D99">
        <w:t xml:space="preserve"> patent</w:t>
      </w:r>
      <w:r w:rsidR="007B7185">
        <w:t>s</w:t>
      </w:r>
      <w:r w:rsidR="00D14D99">
        <w:t xml:space="preserve"> system in Australia and comparable markets</w:t>
      </w:r>
    </w:p>
    <w:p w:rsidR="00D05BEA" w:rsidRPr="007658E8" w:rsidRDefault="007658E8" w:rsidP="00EE1660">
      <w:pPr>
        <w:pStyle w:val="BodyText"/>
        <w:rPr>
          <w:lang w:eastAsia="en-US"/>
        </w:rPr>
      </w:pPr>
      <w:r w:rsidRPr="007658E8">
        <w:rPr>
          <w:lang w:eastAsia="en-US"/>
        </w:rPr>
        <w:t xml:space="preserve">This section discusses key features of patents systems including the patent application </w:t>
      </w:r>
      <w:r w:rsidR="004B68FA">
        <w:rPr>
          <w:lang w:eastAsia="en-US"/>
        </w:rPr>
        <w:t xml:space="preserve">process </w:t>
      </w:r>
      <w:r w:rsidRPr="007658E8">
        <w:rPr>
          <w:lang w:eastAsia="en-US"/>
        </w:rPr>
        <w:t xml:space="preserve">in Australia and comparable markets. </w:t>
      </w:r>
    </w:p>
    <w:p w:rsidR="00863F5F" w:rsidRDefault="00863F5F" w:rsidP="00863F5F">
      <w:pPr>
        <w:pStyle w:val="Heading3"/>
        <w:rPr>
          <w:rStyle w:val="DraftingNote"/>
          <w:b/>
          <w:color w:val="auto"/>
          <w:sz w:val="26"/>
          <w:u w:val="none"/>
        </w:rPr>
      </w:pPr>
      <w:r>
        <w:rPr>
          <w:rStyle w:val="DraftingNote"/>
          <w:b/>
          <w:color w:val="auto"/>
          <w:sz w:val="26"/>
          <w:u w:val="none"/>
        </w:rPr>
        <w:lastRenderedPageBreak/>
        <w:t>Patentability criteria</w:t>
      </w:r>
    </w:p>
    <w:p w:rsidR="00863F5F" w:rsidRDefault="00863F5F" w:rsidP="00863F5F">
      <w:pPr>
        <w:pStyle w:val="BodyText"/>
        <w:rPr>
          <w:lang w:eastAsia="en-US"/>
        </w:rPr>
      </w:pPr>
      <w:r>
        <w:rPr>
          <w:lang w:eastAsia="en-US"/>
        </w:rPr>
        <w:t>Patent</w:t>
      </w:r>
      <w:r w:rsidR="007B7185">
        <w:rPr>
          <w:lang w:eastAsia="en-US"/>
        </w:rPr>
        <w:t>s</w:t>
      </w:r>
      <w:r>
        <w:rPr>
          <w:lang w:eastAsia="en-US"/>
        </w:rPr>
        <w:t xml:space="preserve"> systems, and patentability criteria, are influenced and constrained by international agreements. Almost all countries in the world, and all developed countries, are signat</w:t>
      </w:r>
      <w:r w:rsidR="00E34AB4">
        <w:rPr>
          <w:lang w:eastAsia="en-US"/>
        </w:rPr>
        <w:t>ories</w:t>
      </w:r>
      <w:r>
        <w:rPr>
          <w:lang w:eastAsia="en-US"/>
        </w:rPr>
        <w:t xml:space="preserve"> to the</w:t>
      </w:r>
      <w:r w:rsidR="005B0F7E">
        <w:rPr>
          <w:lang w:eastAsia="en-US"/>
        </w:rPr>
        <w:t xml:space="preserve"> A</w:t>
      </w:r>
      <w:r w:rsidR="00745121">
        <w:rPr>
          <w:lang w:eastAsia="en-US"/>
        </w:rPr>
        <w:t>greement on T</w:t>
      </w:r>
      <w:r>
        <w:rPr>
          <w:lang w:eastAsia="en-US"/>
        </w:rPr>
        <w:t>rade-Related Aspects of Intellectual Property Rights</w:t>
      </w:r>
      <w:r w:rsidR="00745121">
        <w:rPr>
          <w:lang w:eastAsia="en-US"/>
        </w:rPr>
        <w:t xml:space="preserve"> (TRIPS agreement</w:t>
      </w:r>
      <w:r>
        <w:rPr>
          <w:lang w:eastAsia="en-US"/>
        </w:rPr>
        <w:t>)</w:t>
      </w:r>
      <w:r w:rsidR="00844017">
        <w:rPr>
          <w:lang w:eastAsia="en-US"/>
        </w:rPr>
        <w:t>,</w:t>
      </w:r>
      <w:r>
        <w:rPr>
          <w:lang w:eastAsia="en-US"/>
        </w:rPr>
        <w:t xml:space="preserve"> which </w:t>
      </w:r>
      <w:r w:rsidR="00415510">
        <w:rPr>
          <w:lang w:eastAsia="en-US"/>
        </w:rPr>
        <w:t>is one of the key international</w:t>
      </w:r>
      <w:r w:rsidR="00DA1A86">
        <w:rPr>
          <w:lang w:eastAsia="en-US"/>
        </w:rPr>
        <w:t xml:space="preserve"> intellectual property</w:t>
      </w:r>
      <w:r w:rsidR="00415510">
        <w:rPr>
          <w:lang w:eastAsia="en-US"/>
        </w:rPr>
        <w:t xml:space="preserve"> </w:t>
      </w:r>
      <w:r w:rsidR="00DA1A86">
        <w:rPr>
          <w:lang w:eastAsia="en-US"/>
        </w:rPr>
        <w:t>(</w:t>
      </w:r>
      <w:r w:rsidR="00415510">
        <w:rPr>
          <w:lang w:eastAsia="en-US"/>
        </w:rPr>
        <w:t>IP</w:t>
      </w:r>
      <w:r w:rsidR="00DA1A86">
        <w:rPr>
          <w:lang w:eastAsia="en-US"/>
        </w:rPr>
        <w:t>)</w:t>
      </w:r>
      <w:r w:rsidR="00415510">
        <w:rPr>
          <w:lang w:eastAsia="en-US"/>
        </w:rPr>
        <w:t xml:space="preserve"> agreements. It </w:t>
      </w:r>
      <w:r>
        <w:rPr>
          <w:lang w:eastAsia="en-US"/>
        </w:rPr>
        <w:t xml:space="preserve">was </w:t>
      </w:r>
      <w:r w:rsidR="00422687">
        <w:rPr>
          <w:lang w:eastAsia="en-US"/>
        </w:rPr>
        <w:t xml:space="preserve">negotiated and came into force </w:t>
      </w:r>
      <w:r>
        <w:rPr>
          <w:lang w:eastAsia="en-US"/>
        </w:rPr>
        <w:t xml:space="preserve">in the 1990s. Article 27 of the TRIPS </w:t>
      </w:r>
      <w:r w:rsidR="00745121">
        <w:rPr>
          <w:lang w:eastAsia="en-US"/>
        </w:rPr>
        <w:t>a</w:t>
      </w:r>
      <w:r>
        <w:rPr>
          <w:lang w:eastAsia="en-US"/>
        </w:rPr>
        <w:t xml:space="preserve">greement states: </w:t>
      </w:r>
    </w:p>
    <w:p w:rsidR="00863F5F" w:rsidRDefault="00863F5F" w:rsidP="00863F5F">
      <w:pPr>
        <w:pStyle w:val="Quote"/>
      </w:pPr>
      <w:r>
        <w:t>[subject to certain allowable exclusions] patents shall be available for any inventions, whether products or processes, in all fields of technology, provided that they are new, involve an inventive step and are capable of industrial application.</w:t>
      </w:r>
    </w:p>
    <w:p w:rsidR="00EE1660" w:rsidRDefault="004769F7" w:rsidP="00EE1660">
      <w:pPr>
        <w:pStyle w:val="BodyText"/>
        <w:rPr>
          <w:rStyle w:val="DraftingNote"/>
          <w:b w:val="0"/>
          <w:color w:val="auto"/>
          <w:sz w:val="26"/>
          <w:u w:val="none"/>
        </w:rPr>
      </w:pPr>
      <w:r>
        <w:t xml:space="preserve">In patents systems internationally, patents are made available for inventions </w:t>
      </w:r>
      <w:r w:rsidR="004B68FA">
        <w:t xml:space="preserve">in all fields of technology. Patents tend not to be available </w:t>
      </w:r>
      <w:r>
        <w:t xml:space="preserve">for discoveries, although the distinction between an invention and a discovery is not always clear. As a result, abstract ideas, natural phenomena and laws of nature </w:t>
      </w:r>
      <w:r w:rsidR="004B68FA">
        <w:t xml:space="preserve">are usually </w:t>
      </w:r>
      <w:r>
        <w:t xml:space="preserve">excluded from patentability. </w:t>
      </w:r>
      <w:r w:rsidR="00EE1660">
        <w:rPr>
          <w:rStyle w:val="DraftingNote"/>
          <w:b w:val="0"/>
          <w:color w:val="auto"/>
          <w:sz w:val="26"/>
          <w:u w:val="none"/>
        </w:rPr>
        <w:t xml:space="preserve">Patentability criteria in Australia </w:t>
      </w:r>
      <w:r w:rsidR="00863F5F">
        <w:rPr>
          <w:rStyle w:val="DraftingNote"/>
          <w:b w:val="0"/>
          <w:color w:val="auto"/>
          <w:sz w:val="26"/>
          <w:u w:val="none"/>
        </w:rPr>
        <w:t>are</w:t>
      </w:r>
      <w:r w:rsidR="00EE1660">
        <w:rPr>
          <w:rStyle w:val="DraftingNote"/>
          <w:b w:val="0"/>
          <w:color w:val="auto"/>
          <w:sz w:val="26"/>
          <w:u w:val="none"/>
        </w:rPr>
        <w:t xml:space="preserve"> outlined in box B.1.</w:t>
      </w:r>
    </w:p>
    <w:p w:rsidR="00EE1660" w:rsidRDefault="00EE1660" w:rsidP="00EE16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E1660" w:rsidTr="00EE1660">
        <w:tc>
          <w:tcPr>
            <w:tcW w:w="8771" w:type="dxa"/>
            <w:tcBorders>
              <w:top w:val="single" w:sz="6" w:space="0" w:color="auto"/>
              <w:bottom w:val="nil"/>
            </w:tcBorders>
          </w:tcPr>
          <w:p w:rsidR="00EE1660" w:rsidRDefault="00EE1660" w:rsidP="00EE1660">
            <w:pPr>
              <w:pStyle w:val="BoxTitle"/>
            </w:pPr>
            <w:r>
              <w:rPr>
                <w:b w:val="0"/>
              </w:rPr>
              <w:t xml:space="preserve">Box </w:t>
            </w:r>
            <w:r w:rsidR="00794E05">
              <w:rPr>
                <w:b w:val="0"/>
              </w:rPr>
              <w:fldChar w:fldCharType="begin"/>
            </w:r>
            <w:r>
              <w:rPr>
                <w:b w:val="0"/>
              </w:rPr>
              <w:instrText xml:space="preserve"> COMMENTS  \* MERGEFORMAT </w:instrText>
            </w:r>
            <w:r w:rsidR="00794E05">
              <w:rPr>
                <w:b w:val="0"/>
              </w:rPr>
              <w:fldChar w:fldCharType="separate"/>
            </w:r>
            <w:proofErr w:type="spellStart"/>
            <w:r w:rsidR="00C54A38">
              <w:rPr>
                <w:b w:val="0"/>
              </w:rPr>
              <w:t>B.</w:t>
            </w:r>
            <w:r w:rsidR="00794E05">
              <w:rPr>
                <w:b w:val="0"/>
              </w:rPr>
              <w:fldChar w:fldCharType="end"/>
            </w:r>
            <w:r w:rsidR="00794E05">
              <w:rPr>
                <w:b w:val="0"/>
              </w:rPr>
              <w:fldChar w:fldCharType="begin"/>
            </w:r>
            <w:r>
              <w:rPr>
                <w:b w:val="0"/>
              </w:rPr>
              <w:instrText xml:space="preserve"> SEQ Box \* ARABIC </w:instrText>
            </w:r>
            <w:r w:rsidR="00794E05">
              <w:rPr>
                <w:b w:val="0"/>
              </w:rPr>
              <w:fldChar w:fldCharType="separate"/>
            </w:r>
            <w:r w:rsidR="006367F1">
              <w:rPr>
                <w:b w:val="0"/>
                <w:noProof/>
              </w:rPr>
              <w:t>1</w:t>
            </w:r>
            <w:proofErr w:type="spellEnd"/>
            <w:r w:rsidR="00794E05">
              <w:rPr>
                <w:b w:val="0"/>
              </w:rPr>
              <w:fldChar w:fldCharType="end"/>
            </w:r>
            <w:r>
              <w:tab/>
              <w:t>Patentability criteria</w:t>
            </w:r>
          </w:p>
        </w:tc>
      </w:tr>
      <w:tr w:rsidR="00EE1660" w:rsidTr="00E15E42">
        <w:trPr>
          <w:cantSplit/>
        </w:trPr>
        <w:tc>
          <w:tcPr>
            <w:tcW w:w="8771" w:type="dxa"/>
            <w:tcBorders>
              <w:top w:val="nil"/>
              <w:left w:val="single" w:sz="6" w:space="0" w:color="auto"/>
              <w:bottom w:val="nil"/>
              <w:right w:val="single" w:sz="6" w:space="0" w:color="auto"/>
            </w:tcBorders>
          </w:tcPr>
          <w:p w:rsidR="00EE1660" w:rsidRDefault="00EE1660" w:rsidP="00EE1660">
            <w:pPr>
              <w:pStyle w:val="Box"/>
            </w:pPr>
            <w:r>
              <w:t xml:space="preserve">Under the </w:t>
            </w:r>
            <w:r w:rsidRPr="00C54A38">
              <w:rPr>
                <w:i/>
              </w:rPr>
              <w:t>Patents Act 1990</w:t>
            </w:r>
            <w:r>
              <w:t xml:space="preserve"> (Cwlth), an invention is eligible for a patent if it:</w:t>
            </w:r>
          </w:p>
          <w:p w:rsidR="00EE1660" w:rsidRDefault="00EE1660" w:rsidP="00EE1660">
            <w:pPr>
              <w:pStyle w:val="BoxListBullet"/>
              <w:spacing w:before="120"/>
            </w:pPr>
            <w:r>
              <w:t>is a ‘manner of manufacture’, such that the invention must relate to an ‘artificial state of affairs</w:t>
            </w:r>
            <w:r w:rsidR="00703D72">
              <w:t>’</w:t>
            </w:r>
            <w:r>
              <w:t>, that is a product, process or method that arises through a form of human intervention with nature to bring about some physical change</w:t>
            </w:r>
          </w:p>
          <w:p w:rsidR="00EE1660" w:rsidRDefault="00EE1660" w:rsidP="00EE1660">
            <w:pPr>
              <w:pStyle w:val="BoxListBullet"/>
              <w:spacing w:before="120"/>
            </w:pPr>
            <w:r>
              <w:t>is novel, such that the invention has not been publicly disclosed in any form, anywhere in the world (for example, published patent specifications, textbooks, technical journals and internet sites) or sold or used in a public area</w:t>
            </w:r>
          </w:p>
          <w:p w:rsidR="00EE1660" w:rsidRDefault="00EE1660" w:rsidP="00EE1660">
            <w:pPr>
              <w:pStyle w:val="BoxListBullet"/>
              <w:spacing w:before="120"/>
            </w:pPr>
            <w:r>
              <w:t>is an inventive step for a standard patent, such that the invention is not obvious to someone with knowledge and experience in the technological field of the invention</w:t>
            </w:r>
          </w:p>
          <w:p w:rsidR="00EE1660" w:rsidRDefault="00EE1660" w:rsidP="00EE1660">
            <w:pPr>
              <w:pStyle w:val="BoxListBullet"/>
              <w:spacing w:before="120"/>
            </w:pPr>
            <w:r>
              <w:t>is an innovative step for an innovation patent such that there must be a difference between the invention and what is known about that technology, and this difference must make a substantial contribution to the working of the invention</w:t>
            </w:r>
          </w:p>
          <w:p w:rsidR="00EE1660" w:rsidRDefault="00EE1660" w:rsidP="00EE1660">
            <w:pPr>
              <w:pStyle w:val="BoxListBullet"/>
              <w:spacing w:before="120"/>
            </w:pPr>
            <w:r>
              <w:t>is useful, such that the invention must have a specific, substantial and credible use and must be capable of achieving the result that the patentee claims it can achieve</w:t>
            </w:r>
          </w:p>
          <w:p w:rsidR="00EE1660" w:rsidRDefault="00EE1660" w:rsidP="00EE1660">
            <w:pPr>
              <w:pStyle w:val="BoxListBullet"/>
              <w:spacing w:before="120"/>
            </w:pPr>
            <w:r>
              <w:t>is sufficiently well disclosed or described</w:t>
            </w:r>
          </w:p>
          <w:p w:rsidR="00EE1660" w:rsidRDefault="00EE1660" w:rsidP="00C54A38">
            <w:pPr>
              <w:pStyle w:val="BoxListBullet"/>
              <w:spacing w:before="120"/>
            </w:pPr>
            <w:r>
              <w:t xml:space="preserve">is not the subject of </w:t>
            </w:r>
            <w:r w:rsidR="00C54A38">
              <w:t>a specific exclusion in the Patents Act</w:t>
            </w:r>
            <w:r>
              <w:t>.</w:t>
            </w:r>
          </w:p>
        </w:tc>
      </w:tr>
      <w:tr w:rsidR="00EE1660" w:rsidTr="00E15E42">
        <w:trPr>
          <w:cantSplit/>
        </w:trPr>
        <w:tc>
          <w:tcPr>
            <w:tcW w:w="8771" w:type="dxa"/>
            <w:tcBorders>
              <w:top w:val="nil"/>
              <w:left w:val="single" w:sz="6" w:space="0" w:color="auto"/>
              <w:bottom w:val="single" w:sz="6" w:space="0" w:color="auto"/>
              <w:right w:val="single" w:sz="6" w:space="0" w:color="auto"/>
            </w:tcBorders>
          </w:tcPr>
          <w:p w:rsidR="00EE1660" w:rsidRDefault="00EE1660" w:rsidP="00CF3FD8">
            <w:pPr>
              <w:pStyle w:val="BoxSource"/>
            </w:pPr>
            <w:r>
              <w:rPr>
                <w:i/>
              </w:rPr>
              <w:t>Source</w:t>
            </w:r>
            <w:r w:rsidRPr="00167F06">
              <w:t xml:space="preserve">: </w:t>
            </w:r>
            <w:r>
              <w:t>IP Australia (</w:t>
            </w:r>
            <w:r w:rsidR="00967212">
              <w:t>nd</w:t>
            </w:r>
            <w:r>
              <w:t>a).</w:t>
            </w:r>
          </w:p>
        </w:tc>
      </w:tr>
      <w:tr w:rsidR="00EE1660" w:rsidTr="00E15E42">
        <w:tc>
          <w:tcPr>
            <w:tcW w:w="8771" w:type="dxa"/>
            <w:tcBorders>
              <w:top w:val="single" w:sz="6" w:space="0" w:color="auto"/>
              <w:left w:val="nil"/>
              <w:bottom w:val="nil"/>
              <w:right w:val="nil"/>
            </w:tcBorders>
          </w:tcPr>
          <w:p w:rsidR="00EE1660" w:rsidRDefault="00EE1660" w:rsidP="00EE1660">
            <w:pPr>
              <w:pStyle w:val="Box"/>
              <w:keepNext w:val="0"/>
              <w:spacing w:before="60" w:after="60" w:line="80" w:lineRule="exact"/>
              <w:rPr>
                <w:b/>
                <w:color w:val="FF00FF"/>
                <w:sz w:val="14"/>
              </w:rPr>
            </w:pPr>
          </w:p>
        </w:tc>
      </w:tr>
    </w:tbl>
    <w:p w:rsidR="00863F5F" w:rsidRDefault="00422687" w:rsidP="00863F5F">
      <w:pPr>
        <w:pStyle w:val="BodyText"/>
      </w:pPr>
      <w:r>
        <w:t xml:space="preserve">Patentability criteria are similar in comparable markets. </w:t>
      </w:r>
      <w:r w:rsidR="00863F5F">
        <w:t xml:space="preserve">As part of its study into patentable subject matter, the Australian Council on Intellectual Property </w:t>
      </w:r>
      <w:r w:rsidR="00863F5F">
        <w:lastRenderedPageBreak/>
        <w:t>(ACIP</w:t>
      </w:r>
      <w:r w:rsidR="003967E1">
        <w:t> </w:t>
      </w:r>
      <w:r w:rsidR="00863F5F">
        <w:t>2010</w:t>
      </w:r>
      <w:r w:rsidR="003967E1">
        <w:t>c</w:t>
      </w:r>
      <w:r w:rsidR="00863F5F">
        <w:t>) examined international definitions of inventions. ACIP noted that New Zealand’s patent laws</w:t>
      </w:r>
      <w:r w:rsidR="004769F7">
        <w:t>,</w:t>
      </w:r>
      <w:r w:rsidR="00863F5F">
        <w:t xml:space="preserve"> like Australia’s</w:t>
      </w:r>
      <w:r w:rsidR="004769F7">
        <w:t>,</w:t>
      </w:r>
      <w:r w:rsidR="00863F5F">
        <w:t xml:space="preserve"> included a ‘manner of manufacture’ test, linked to the </w:t>
      </w:r>
      <w:r w:rsidR="00863F5F">
        <w:rPr>
          <w:i/>
        </w:rPr>
        <w:t>Statute of Monopolies 1623</w:t>
      </w:r>
      <w:r w:rsidR="00863F5F">
        <w:t xml:space="preserve">. Patent laws in other countries were not directly linked to this statute, but include similar tests and language. </w:t>
      </w:r>
      <w:r w:rsidR="004B68FA">
        <w:t>Table B.1 presents language on p</w:t>
      </w:r>
      <w:r w:rsidR="004769F7">
        <w:t>atentable subject matter from patents legislation</w:t>
      </w:r>
      <w:r w:rsidR="004B68FA">
        <w:t xml:space="preserve"> worldwide</w:t>
      </w:r>
      <w:r w:rsidR="00924D1F">
        <w:t>.</w:t>
      </w:r>
      <w:r w:rsidR="00B70568">
        <w:t xml:space="preserve"> </w:t>
      </w:r>
    </w:p>
    <w:p w:rsidR="00863F5F" w:rsidRDefault="00ED2745" w:rsidP="00863F5F">
      <w:pPr>
        <w:pStyle w:val="TableTitle"/>
      </w:pPr>
      <w:r>
        <w:rPr>
          <w:b w:val="0"/>
        </w:rPr>
        <w:t xml:space="preserve">Table </w:t>
      </w:r>
      <w:r w:rsidR="00A92E22">
        <w:fldChar w:fldCharType="begin"/>
      </w:r>
      <w:r w:rsidR="00A92E22">
        <w:instrText xml:space="preserve"> COMMENTS  \* MERGEFORMAT </w:instrText>
      </w:r>
      <w:r w:rsidR="00A92E22">
        <w:fldChar w:fldCharType="separate"/>
      </w:r>
      <w:proofErr w:type="spellStart"/>
      <w:r w:rsidR="00AB1E33" w:rsidRPr="00AB1E33">
        <w:rPr>
          <w:b w:val="0"/>
        </w:rPr>
        <w:t>B.</w:t>
      </w:r>
      <w:r w:rsidR="00A92E22">
        <w:rPr>
          <w:b w:val="0"/>
        </w:rPr>
        <w:fldChar w:fldCharType="end"/>
      </w:r>
      <w:r w:rsidR="00794E05">
        <w:rPr>
          <w:b w:val="0"/>
        </w:rPr>
        <w:fldChar w:fldCharType="begin"/>
      </w:r>
      <w:r>
        <w:rPr>
          <w:b w:val="0"/>
        </w:rPr>
        <w:instrText xml:space="preserve"> SEQ Table \* ARABIC </w:instrText>
      </w:r>
      <w:r w:rsidR="00794E05">
        <w:rPr>
          <w:b w:val="0"/>
        </w:rPr>
        <w:fldChar w:fldCharType="separate"/>
      </w:r>
      <w:r w:rsidR="006367F1">
        <w:rPr>
          <w:b w:val="0"/>
          <w:noProof/>
        </w:rPr>
        <w:t>1</w:t>
      </w:r>
      <w:proofErr w:type="spellEnd"/>
      <w:r w:rsidR="00794E05">
        <w:rPr>
          <w:b w:val="0"/>
        </w:rPr>
        <w:fldChar w:fldCharType="end"/>
      </w:r>
      <w:r>
        <w:tab/>
      </w:r>
      <w:r w:rsidR="00863F5F">
        <w:t>Patentable subject matter</w:t>
      </w:r>
    </w:p>
    <w:tbl>
      <w:tblPr>
        <w:tblW w:w="5000" w:type="pct"/>
        <w:tblCellMar>
          <w:left w:w="0" w:type="dxa"/>
          <w:right w:w="0" w:type="dxa"/>
        </w:tblCellMar>
        <w:tblLook w:val="0000" w:firstRow="0" w:lastRow="0" w:firstColumn="0" w:lastColumn="0" w:noHBand="0" w:noVBand="0"/>
      </w:tblPr>
      <w:tblGrid>
        <w:gridCol w:w="1985"/>
        <w:gridCol w:w="6804"/>
      </w:tblGrid>
      <w:tr w:rsidR="00863F5F" w:rsidTr="00FF6339">
        <w:tc>
          <w:tcPr>
            <w:tcW w:w="1129" w:type="pct"/>
            <w:tcBorders>
              <w:top w:val="single" w:sz="6" w:space="0" w:color="auto"/>
              <w:bottom w:val="single" w:sz="6" w:space="0" w:color="auto"/>
            </w:tcBorders>
            <w:shd w:val="clear" w:color="auto" w:fill="auto"/>
          </w:tcPr>
          <w:p w:rsidR="00863F5F" w:rsidRDefault="00863F5F" w:rsidP="004769F7">
            <w:pPr>
              <w:pStyle w:val="TableColumnHeading"/>
              <w:jc w:val="left"/>
            </w:pPr>
            <w:r>
              <w:t>Country</w:t>
            </w:r>
          </w:p>
        </w:tc>
        <w:tc>
          <w:tcPr>
            <w:tcW w:w="3871" w:type="pct"/>
            <w:tcBorders>
              <w:top w:val="single" w:sz="6" w:space="0" w:color="auto"/>
              <w:bottom w:val="single" w:sz="6" w:space="0" w:color="auto"/>
            </w:tcBorders>
            <w:shd w:val="clear" w:color="auto" w:fill="auto"/>
          </w:tcPr>
          <w:p w:rsidR="00863F5F" w:rsidRDefault="009C32D0" w:rsidP="004769F7">
            <w:pPr>
              <w:pStyle w:val="TableColumnHeading"/>
              <w:ind w:right="28"/>
              <w:jc w:val="left"/>
            </w:pPr>
            <w:r>
              <w:t>L</w:t>
            </w:r>
            <w:r w:rsidR="00444DCE">
              <w:t>anguage on patentability</w:t>
            </w:r>
          </w:p>
        </w:tc>
      </w:tr>
      <w:tr w:rsidR="00863F5F" w:rsidTr="00FF6339">
        <w:tc>
          <w:tcPr>
            <w:tcW w:w="1129" w:type="pct"/>
            <w:tcBorders>
              <w:top w:val="single" w:sz="6" w:space="0" w:color="auto"/>
            </w:tcBorders>
          </w:tcPr>
          <w:p w:rsidR="00863F5F" w:rsidRDefault="00863F5F" w:rsidP="004769F7">
            <w:pPr>
              <w:pStyle w:val="TableUnitsRow"/>
              <w:jc w:val="left"/>
            </w:pPr>
            <w:r>
              <w:t>Australia</w:t>
            </w:r>
          </w:p>
        </w:tc>
        <w:tc>
          <w:tcPr>
            <w:tcW w:w="3871" w:type="pct"/>
            <w:tcBorders>
              <w:top w:val="single" w:sz="6" w:space="0" w:color="auto"/>
            </w:tcBorders>
          </w:tcPr>
          <w:p w:rsidR="00863F5F" w:rsidRPr="00A3692D" w:rsidRDefault="00A3692D" w:rsidP="008A29CB">
            <w:pPr>
              <w:pStyle w:val="TableBodyText"/>
              <w:spacing w:before="80" w:after="80"/>
              <w:jc w:val="left"/>
            </w:pPr>
            <w:r>
              <w:t>‘</w:t>
            </w:r>
            <w:r w:rsidR="00C3533B">
              <w:t>[An]</w:t>
            </w:r>
            <w:r>
              <w:t xml:space="preserve"> invention is a patentable invention</w:t>
            </w:r>
            <w:r w:rsidR="008A29CB">
              <w:t> </w:t>
            </w:r>
            <w:r>
              <w:t>…</w:t>
            </w:r>
            <w:r w:rsidR="008A29CB">
              <w:t> </w:t>
            </w:r>
            <w:r>
              <w:t>if the invention</w:t>
            </w:r>
            <w:r w:rsidR="008A29CB">
              <w:t> </w:t>
            </w:r>
            <w:r>
              <w:t>…</w:t>
            </w:r>
            <w:r w:rsidR="008A29CB">
              <w:t> </w:t>
            </w:r>
            <w:r>
              <w:t>is a manner of manufacture</w:t>
            </w:r>
            <w:r w:rsidR="008A29CB">
              <w:t> </w:t>
            </w:r>
            <w:r>
              <w:t>…</w:t>
            </w:r>
            <w:r w:rsidR="008A29CB">
              <w:t> </w:t>
            </w:r>
            <w:r>
              <w:t>is novel</w:t>
            </w:r>
            <w:r w:rsidR="008A29CB">
              <w:t> </w:t>
            </w:r>
            <w:r>
              <w:t>…</w:t>
            </w:r>
            <w:r w:rsidR="008A29CB">
              <w:t> </w:t>
            </w:r>
            <w:r>
              <w:t>involves an inventive step</w:t>
            </w:r>
            <w:r w:rsidR="008A29CB">
              <w:t> </w:t>
            </w:r>
            <w:r>
              <w:t>…</w:t>
            </w:r>
            <w:r w:rsidR="008A29CB">
              <w:t> </w:t>
            </w:r>
            <w:r>
              <w:t>is useful</w:t>
            </w:r>
            <w:r w:rsidR="008A29CB">
              <w:t> </w:t>
            </w:r>
            <w:r>
              <w:t>…</w:t>
            </w:r>
            <w:r w:rsidR="008A29CB">
              <w:t> </w:t>
            </w:r>
            <w:r w:rsidR="00E34AB4">
              <w:t xml:space="preserve">[and] </w:t>
            </w:r>
            <w:r>
              <w:t>was not secretly used [in the past]’</w:t>
            </w:r>
          </w:p>
        </w:tc>
      </w:tr>
      <w:tr w:rsidR="00863F5F" w:rsidTr="00FF6339">
        <w:tc>
          <w:tcPr>
            <w:tcW w:w="1129" w:type="pct"/>
          </w:tcPr>
          <w:p w:rsidR="00863F5F" w:rsidRDefault="00863F5F" w:rsidP="004769F7">
            <w:pPr>
              <w:pStyle w:val="TableBodyText"/>
              <w:jc w:val="left"/>
            </w:pPr>
            <w:r>
              <w:t>Canada</w:t>
            </w:r>
          </w:p>
        </w:tc>
        <w:tc>
          <w:tcPr>
            <w:tcW w:w="3871" w:type="pct"/>
          </w:tcPr>
          <w:p w:rsidR="00863F5F" w:rsidRPr="00DF1CF4" w:rsidRDefault="00863F5F" w:rsidP="00C3533B">
            <w:pPr>
              <w:pStyle w:val="TableBodyText"/>
              <w:ind w:right="28"/>
              <w:jc w:val="left"/>
            </w:pPr>
            <w:r w:rsidRPr="00DF1CF4">
              <w:t>‘</w:t>
            </w:r>
            <w:r w:rsidR="00E96949">
              <w:t>[</w:t>
            </w:r>
            <w:r w:rsidR="00C3533B">
              <w:t>A</w:t>
            </w:r>
            <w:r w:rsidR="00E96949">
              <w:t>n invention means] any new and useful art, process, machine, manufacture or composition of matter, or any new and useful improvement in any art, process, machine, manufacture or composition of matter</w:t>
            </w:r>
            <w:r w:rsidRPr="00DF1CF4">
              <w:t>’</w:t>
            </w:r>
          </w:p>
        </w:tc>
      </w:tr>
      <w:tr w:rsidR="00863F5F" w:rsidTr="00FF6339">
        <w:tc>
          <w:tcPr>
            <w:tcW w:w="1129" w:type="pct"/>
          </w:tcPr>
          <w:p w:rsidR="00863F5F" w:rsidRDefault="00863F5F" w:rsidP="004769F7">
            <w:pPr>
              <w:pStyle w:val="TableBodyText"/>
              <w:jc w:val="left"/>
            </w:pPr>
            <w:r>
              <w:t>China</w:t>
            </w:r>
          </w:p>
        </w:tc>
        <w:tc>
          <w:tcPr>
            <w:tcW w:w="3871" w:type="pct"/>
          </w:tcPr>
          <w:p w:rsidR="00863F5F" w:rsidRPr="00DF1CF4" w:rsidRDefault="00863F5F" w:rsidP="00C3533B">
            <w:pPr>
              <w:pStyle w:val="TableBodyText"/>
              <w:ind w:right="28"/>
              <w:jc w:val="left"/>
            </w:pPr>
            <w:r w:rsidRPr="00DF1CF4">
              <w:t>‘</w:t>
            </w:r>
            <w:r w:rsidR="004A556F">
              <w:t>[</w:t>
            </w:r>
            <w:r w:rsidR="00C3533B">
              <w:t>A</w:t>
            </w:r>
            <w:r w:rsidR="004A556F">
              <w:t xml:space="preserve">n invention means] </w:t>
            </w:r>
            <w:r w:rsidRPr="00DF1CF4">
              <w:t xml:space="preserve">any new technical solution relating to a product, </w:t>
            </w:r>
            <w:r w:rsidR="004A556F">
              <w:t xml:space="preserve">a </w:t>
            </w:r>
            <w:r w:rsidRPr="00DF1CF4">
              <w:t>process or improvement thereof’</w:t>
            </w:r>
          </w:p>
        </w:tc>
      </w:tr>
      <w:tr w:rsidR="00863F5F" w:rsidTr="00FF6339">
        <w:tc>
          <w:tcPr>
            <w:tcW w:w="1129" w:type="pct"/>
          </w:tcPr>
          <w:p w:rsidR="00863F5F" w:rsidRDefault="00863F5F" w:rsidP="004769F7">
            <w:pPr>
              <w:pStyle w:val="TableBodyText"/>
              <w:jc w:val="left"/>
            </w:pPr>
            <w:r>
              <w:t>European Patent Convention</w:t>
            </w:r>
          </w:p>
        </w:tc>
        <w:tc>
          <w:tcPr>
            <w:tcW w:w="3871" w:type="pct"/>
          </w:tcPr>
          <w:p w:rsidR="00863F5F" w:rsidRPr="00DF1CF4" w:rsidRDefault="00863F5F" w:rsidP="00841061">
            <w:pPr>
              <w:pStyle w:val="TableBodyText"/>
              <w:ind w:right="28"/>
              <w:jc w:val="left"/>
            </w:pPr>
            <w:r>
              <w:t>‘</w:t>
            </w:r>
            <w:r w:rsidR="00841061" w:rsidRPr="00841061">
              <w:t>European patents shall be granted for</w:t>
            </w:r>
            <w:r w:rsidR="00841061">
              <w:t xml:space="preserve"> </w:t>
            </w:r>
            <w:r w:rsidR="00841061" w:rsidRPr="00841061">
              <w:t>any inventions, in all fields of technology, provided</w:t>
            </w:r>
            <w:r w:rsidR="00841061">
              <w:t xml:space="preserve"> </w:t>
            </w:r>
            <w:r w:rsidR="00841061" w:rsidRPr="00841061">
              <w:t>that they are new, involve an inventive</w:t>
            </w:r>
            <w:r w:rsidR="00841061">
              <w:t xml:space="preserve"> </w:t>
            </w:r>
            <w:r w:rsidR="00841061" w:rsidRPr="00841061">
              <w:t>step and are susceptible of industrial application</w:t>
            </w:r>
            <w:r>
              <w:t>’</w:t>
            </w:r>
          </w:p>
        </w:tc>
      </w:tr>
      <w:tr w:rsidR="00863F5F" w:rsidTr="00FF6339">
        <w:tc>
          <w:tcPr>
            <w:tcW w:w="1129" w:type="pct"/>
          </w:tcPr>
          <w:p w:rsidR="00863F5F" w:rsidRDefault="00863F5F" w:rsidP="00E96949">
            <w:pPr>
              <w:pStyle w:val="TableBodyText"/>
              <w:jc w:val="left"/>
            </w:pPr>
            <w:r>
              <w:t>Japan</w:t>
            </w:r>
            <w:r w:rsidR="00E96949" w:rsidRPr="008E77FE">
              <w:rPr>
                <w:rStyle w:val="NoteLabel"/>
              </w:rPr>
              <w:t>a</w:t>
            </w:r>
          </w:p>
        </w:tc>
        <w:tc>
          <w:tcPr>
            <w:tcW w:w="3871" w:type="pct"/>
          </w:tcPr>
          <w:p w:rsidR="00863F5F" w:rsidRPr="00DF1CF4" w:rsidRDefault="00863F5F" w:rsidP="00BF2297">
            <w:pPr>
              <w:pStyle w:val="TableBodyText"/>
              <w:ind w:right="28"/>
              <w:jc w:val="left"/>
            </w:pPr>
            <w:r w:rsidRPr="00DF1CF4">
              <w:t>‘</w:t>
            </w:r>
            <w:r w:rsidR="00C3533B">
              <w:t xml:space="preserve">[An invention means] </w:t>
            </w:r>
            <w:r w:rsidRPr="00DF1CF4">
              <w:t>a highly advanced creation of technical ideas by which a law of nature is utilized’</w:t>
            </w:r>
          </w:p>
        </w:tc>
      </w:tr>
      <w:tr w:rsidR="00863F5F" w:rsidTr="00FF6339">
        <w:tc>
          <w:tcPr>
            <w:tcW w:w="1129" w:type="pct"/>
          </w:tcPr>
          <w:p w:rsidR="00863F5F" w:rsidRDefault="004F2825" w:rsidP="00E96949">
            <w:pPr>
              <w:pStyle w:val="TableBodyText"/>
              <w:jc w:val="left"/>
            </w:pPr>
            <w:r>
              <w:t xml:space="preserve">South </w:t>
            </w:r>
            <w:r w:rsidR="00863F5F">
              <w:t>Korea</w:t>
            </w:r>
            <w:r w:rsidR="00E96949" w:rsidRPr="008E77FE">
              <w:rPr>
                <w:rStyle w:val="NoteLabel"/>
              </w:rPr>
              <w:t>a</w:t>
            </w:r>
          </w:p>
        </w:tc>
        <w:tc>
          <w:tcPr>
            <w:tcW w:w="3871" w:type="pct"/>
          </w:tcPr>
          <w:p w:rsidR="00863F5F" w:rsidRPr="00DF1CF4" w:rsidRDefault="00863F5F" w:rsidP="004769F7">
            <w:pPr>
              <w:pStyle w:val="TableBodyText"/>
              <w:ind w:right="28"/>
              <w:jc w:val="left"/>
            </w:pPr>
            <w:r w:rsidRPr="00DF1CF4">
              <w:t>‘</w:t>
            </w:r>
            <w:r w:rsidR="00E96949">
              <w:t>[A</w:t>
            </w:r>
            <w:r w:rsidR="00FF6339">
              <w:t xml:space="preserve">n invention means] </w:t>
            </w:r>
            <w:r w:rsidRPr="00DF1CF4">
              <w:t>the highly advanced creation of a technical idea using the law of nature’</w:t>
            </w:r>
          </w:p>
        </w:tc>
      </w:tr>
      <w:tr w:rsidR="004769F7" w:rsidTr="00FF6339">
        <w:tc>
          <w:tcPr>
            <w:tcW w:w="1129" w:type="pct"/>
          </w:tcPr>
          <w:p w:rsidR="004769F7" w:rsidRDefault="004769F7" w:rsidP="004769F7">
            <w:pPr>
              <w:pStyle w:val="TableBodyText"/>
              <w:jc w:val="left"/>
            </w:pPr>
            <w:r>
              <w:t>Malaysia</w:t>
            </w:r>
          </w:p>
        </w:tc>
        <w:tc>
          <w:tcPr>
            <w:tcW w:w="3871" w:type="pct"/>
          </w:tcPr>
          <w:p w:rsidR="004769F7" w:rsidRPr="00DF1CF4" w:rsidRDefault="00FF6339" w:rsidP="00FF6339">
            <w:pPr>
              <w:pStyle w:val="TableBodyText"/>
              <w:ind w:right="28"/>
              <w:jc w:val="left"/>
            </w:pPr>
            <w:r>
              <w:t xml:space="preserve">‘An invention is patentable if it is new, involves an inventive step and </w:t>
            </w:r>
            <w:r w:rsidR="00BF2297">
              <w:t>is industrially applicable</w:t>
            </w:r>
            <w:r>
              <w:t>’</w:t>
            </w:r>
          </w:p>
        </w:tc>
      </w:tr>
      <w:tr w:rsidR="00863F5F" w:rsidTr="00FF6339">
        <w:tc>
          <w:tcPr>
            <w:tcW w:w="1129" w:type="pct"/>
          </w:tcPr>
          <w:p w:rsidR="00863F5F" w:rsidRDefault="00863F5F" w:rsidP="004769F7">
            <w:pPr>
              <w:pStyle w:val="TableBodyText"/>
              <w:jc w:val="left"/>
            </w:pPr>
            <w:r>
              <w:t>New Zealand</w:t>
            </w:r>
            <w:r w:rsidR="00F76105" w:rsidRPr="00F76105">
              <w:rPr>
                <w:rStyle w:val="NoteLabel"/>
              </w:rPr>
              <w:t>b</w:t>
            </w:r>
            <w:r w:rsidR="00F76105">
              <w:t xml:space="preserve"> </w:t>
            </w:r>
          </w:p>
        </w:tc>
        <w:tc>
          <w:tcPr>
            <w:tcW w:w="3871" w:type="pct"/>
          </w:tcPr>
          <w:p w:rsidR="00863F5F" w:rsidRPr="00DF1CF4" w:rsidRDefault="00FF6339" w:rsidP="00FF6339">
            <w:pPr>
              <w:pStyle w:val="TableBodyText"/>
              <w:ind w:right="28"/>
              <w:jc w:val="left"/>
            </w:pPr>
            <w:r>
              <w:t xml:space="preserve">‘Invention means any manner of new manufacture the subject of letters patent and grant of privilege within section 6 of the </w:t>
            </w:r>
            <w:r w:rsidRPr="004B68FA">
              <w:rPr>
                <w:i/>
              </w:rPr>
              <w:t>Statute of Monopolies</w:t>
            </w:r>
            <w:r>
              <w:t xml:space="preserve"> and any new method or process of testing applicable to the improvement or control of manufacture; and includes an alleged invention’</w:t>
            </w:r>
          </w:p>
        </w:tc>
      </w:tr>
      <w:tr w:rsidR="00863F5F" w:rsidTr="00FF6339">
        <w:tc>
          <w:tcPr>
            <w:tcW w:w="1129" w:type="pct"/>
          </w:tcPr>
          <w:p w:rsidR="00863F5F" w:rsidRDefault="00863F5F" w:rsidP="00FF6339">
            <w:pPr>
              <w:pStyle w:val="TableBodyText"/>
              <w:jc w:val="left"/>
            </w:pPr>
            <w:r>
              <w:t>United Kingdom</w:t>
            </w:r>
          </w:p>
        </w:tc>
        <w:tc>
          <w:tcPr>
            <w:tcW w:w="3871" w:type="pct"/>
          </w:tcPr>
          <w:p w:rsidR="00863F5F" w:rsidRPr="00DF1CF4" w:rsidRDefault="00863F5F" w:rsidP="008A29CB">
            <w:pPr>
              <w:pStyle w:val="TableBodyText"/>
              <w:ind w:right="28"/>
              <w:jc w:val="left"/>
            </w:pPr>
            <w:r>
              <w:t>‘A patent may be granted only for an invention</w:t>
            </w:r>
            <w:r w:rsidR="008A29CB">
              <w:t> </w:t>
            </w:r>
            <w:r>
              <w:t>…</w:t>
            </w:r>
            <w:r w:rsidR="008A29CB">
              <w:t> </w:t>
            </w:r>
            <w:r>
              <w:t>[if] the invention is new</w:t>
            </w:r>
            <w:r w:rsidR="008A29CB">
              <w:t> </w:t>
            </w:r>
            <w:r>
              <w:t>…</w:t>
            </w:r>
            <w:r w:rsidR="008A29CB">
              <w:t> </w:t>
            </w:r>
            <w:r>
              <w:t>involves an inventive step</w:t>
            </w:r>
            <w:r w:rsidR="008A29CB">
              <w:t> </w:t>
            </w:r>
            <w:r>
              <w:t>…</w:t>
            </w:r>
            <w:r w:rsidR="008A29CB">
              <w:t> </w:t>
            </w:r>
            <w:r w:rsidR="00422687">
              <w:t xml:space="preserve">[and] </w:t>
            </w:r>
            <w:r>
              <w:t>it is capable of industrial application [and not subject to exclusions]’</w:t>
            </w:r>
          </w:p>
        </w:tc>
      </w:tr>
      <w:tr w:rsidR="00863F5F" w:rsidTr="00FF6339">
        <w:tc>
          <w:tcPr>
            <w:tcW w:w="1129" w:type="pct"/>
            <w:tcBorders>
              <w:bottom w:val="single" w:sz="6" w:space="0" w:color="auto"/>
            </w:tcBorders>
            <w:shd w:val="clear" w:color="auto" w:fill="auto"/>
          </w:tcPr>
          <w:p w:rsidR="00863F5F" w:rsidRDefault="00863F5F" w:rsidP="004769F7">
            <w:pPr>
              <w:pStyle w:val="TableBodyText"/>
              <w:jc w:val="left"/>
            </w:pPr>
            <w:r>
              <w:t>United States</w:t>
            </w:r>
          </w:p>
        </w:tc>
        <w:tc>
          <w:tcPr>
            <w:tcW w:w="3871" w:type="pct"/>
            <w:tcBorders>
              <w:bottom w:val="single" w:sz="6" w:space="0" w:color="auto"/>
            </w:tcBorders>
            <w:shd w:val="clear" w:color="auto" w:fill="auto"/>
          </w:tcPr>
          <w:p w:rsidR="00863F5F" w:rsidRPr="00DF1CF4" w:rsidRDefault="00863F5F" w:rsidP="008A29CB">
            <w:pPr>
              <w:pStyle w:val="TableBodyText"/>
              <w:ind w:right="28"/>
              <w:jc w:val="left"/>
            </w:pPr>
            <w:r w:rsidRPr="00DF1CF4">
              <w:t>‘</w:t>
            </w:r>
            <w:r w:rsidR="004769F7">
              <w:t>Whoever invents or discovers any new and useful process,</w:t>
            </w:r>
            <w:r w:rsidR="00444DCE">
              <w:t xml:space="preserve"> </w:t>
            </w:r>
            <w:r w:rsidR="004769F7">
              <w:t>machine, manufacture, or composition of matter, or any</w:t>
            </w:r>
            <w:r w:rsidR="00444DCE">
              <w:t xml:space="preserve"> </w:t>
            </w:r>
            <w:r w:rsidR="004769F7">
              <w:t>new and useful improvement thereof, may obtain a patent</w:t>
            </w:r>
            <w:r w:rsidR="008A29CB">
              <w:t> </w:t>
            </w:r>
            <w:r w:rsidR="00444DCE">
              <w:t>…’</w:t>
            </w:r>
          </w:p>
        </w:tc>
      </w:tr>
    </w:tbl>
    <w:p w:rsidR="00E96949" w:rsidRDefault="00E96949" w:rsidP="00E96949">
      <w:pPr>
        <w:pStyle w:val="Note"/>
      </w:pPr>
      <w:r w:rsidRPr="008E77FE">
        <w:rPr>
          <w:rStyle w:val="NoteLabel"/>
        </w:rPr>
        <w:t>a</w:t>
      </w:r>
      <w:r>
        <w:t xml:space="preserve"> </w:t>
      </w:r>
      <w:r w:rsidR="00C3533B">
        <w:t xml:space="preserve">From an </w:t>
      </w:r>
      <w:r>
        <w:t>English language translation of local patents legislation.</w:t>
      </w:r>
      <w:r w:rsidR="00A66949">
        <w:t xml:space="preserve"> </w:t>
      </w:r>
      <w:r w:rsidR="0006644A">
        <w:t xml:space="preserve"> </w:t>
      </w:r>
      <w:r w:rsidR="00F76105">
        <w:rPr>
          <w:rStyle w:val="NoteLabel"/>
        </w:rPr>
        <w:t>b</w:t>
      </w:r>
      <w:r w:rsidR="00F76105">
        <w:t xml:space="preserve"> In 2008, a new Patents Bill was introduced to replace and repeal the Patents Act. At the time of writing the Bill had not been passed.  </w:t>
      </w:r>
    </w:p>
    <w:p w:rsidR="00E96949" w:rsidRPr="008E77FE" w:rsidRDefault="00E96949" w:rsidP="00E96949">
      <w:pPr>
        <w:pStyle w:val="Source"/>
      </w:pPr>
      <w:r>
        <w:rPr>
          <w:i/>
        </w:rPr>
        <w:t>Source</w:t>
      </w:r>
      <w:r w:rsidR="008B683D">
        <w:rPr>
          <w:i/>
        </w:rPr>
        <w:t>s</w:t>
      </w:r>
      <w:r>
        <w:t xml:space="preserve">: </w:t>
      </w:r>
      <w:r w:rsidR="00A3692D" w:rsidRPr="00A3692D">
        <w:rPr>
          <w:i/>
        </w:rPr>
        <w:t>Patent</w:t>
      </w:r>
      <w:r w:rsidR="003967E1">
        <w:rPr>
          <w:i/>
        </w:rPr>
        <w:t>s</w:t>
      </w:r>
      <w:r w:rsidR="00A3692D" w:rsidRPr="00A3692D">
        <w:rPr>
          <w:i/>
        </w:rPr>
        <w:t xml:space="preserve"> Act 1990</w:t>
      </w:r>
      <w:r w:rsidR="00A3692D">
        <w:t xml:space="preserve"> (Australia), p. 16;</w:t>
      </w:r>
      <w:r>
        <w:t xml:space="preserve"> </w:t>
      </w:r>
      <w:r w:rsidR="00A3692D" w:rsidRPr="00966837">
        <w:t>Patent Act (Canada</w:t>
      </w:r>
      <w:r w:rsidR="00A3692D">
        <w:t>), p. 9</w:t>
      </w:r>
      <w:r w:rsidR="004A556F">
        <w:t>; SIPO 2012</w:t>
      </w:r>
      <w:r>
        <w:t xml:space="preserve">; </w:t>
      </w:r>
      <w:r w:rsidR="00841061" w:rsidRPr="00966837">
        <w:t>European Patent Convention</w:t>
      </w:r>
      <w:r w:rsidR="00841061">
        <w:t xml:space="preserve">, p. 106; </w:t>
      </w:r>
      <w:r w:rsidR="00BF2297">
        <w:t>JPO (2012</w:t>
      </w:r>
      <w:r w:rsidR="00123253">
        <w:t>c</w:t>
      </w:r>
      <w:r w:rsidR="00BF2297">
        <w:t>, p. 1); WIPO (2012</w:t>
      </w:r>
      <w:r w:rsidR="0052442F">
        <w:t>c</w:t>
      </w:r>
      <w:r w:rsidR="00BF2297">
        <w:t>, p. 2)</w:t>
      </w:r>
      <w:r>
        <w:t xml:space="preserve">; </w:t>
      </w:r>
      <w:r w:rsidRPr="00966837">
        <w:t>Patents Act 19</w:t>
      </w:r>
      <w:r w:rsidR="003967E1" w:rsidRPr="00966837">
        <w:t>8</w:t>
      </w:r>
      <w:r w:rsidRPr="00966837">
        <w:t>3 (Malaysia</w:t>
      </w:r>
      <w:r>
        <w:t xml:space="preserve">), p. 13; </w:t>
      </w:r>
      <w:r w:rsidRPr="00966837">
        <w:t>Patents</w:t>
      </w:r>
      <w:r w:rsidR="00745121" w:rsidRPr="00966837">
        <w:t> </w:t>
      </w:r>
      <w:r w:rsidRPr="00966837">
        <w:t>Act</w:t>
      </w:r>
      <w:r w:rsidR="00745121" w:rsidRPr="00966837">
        <w:t> </w:t>
      </w:r>
      <w:r w:rsidRPr="00966837">
        <w:t>1953</w:t>
      </w:r>
      <w:r>
        <w:t xml:space="preserve"> (NZ), p</w:t>
      </w:r>
      <w:r w:rsidRPr="00966837">
        <w:t>. 5; Patent Act 1977</w:t>
      </w:r>
      <w:r w:rsidR="00BF2297">
        <w:t xml:space="preserve"> (</w:t>
      </w:r>
      <w:r w:rsidR="00BF2297" w:rsidRPr="00966837">
        <w:t>UK), p. 8</w:t>
      </w:r>
      <w:r w:rsidRPr="00966837">
        <w:t xml:space="preserve">; </w:t>
      </w:r>
      <w:r w:rsidR="008209CD" w:rsidRPr="00966837">
        <w:t>35 U.S.C.</w:t>
      </w:r>
      <w:r w:rsidRPr="00966837">
        <w:t xml:space="preserve">, </w:t>
      </w:r>
      <w:r w:rsidR="004B68FA" w:rsidRPr="00966837">
        <w:t>a</w:t>
      </w:r>
      <w:r w:rsidRPr="00966837">
        <w:t>ppe</w:t>
      </w:r>
      <w:r>
        <w:t>ndix L — Patent Laws, p. L-21.</w:t>
      </w:r>
    </w:p>
    <w:p w:rsidR="00863F5F" w:rsidRDefault="00863F5F" w:rsidP="00863F5F">
      <w:pPr>
        <w:pStyle w:val="Heading3"/>
        <w:rPr>
          <w:rStyle w:val="DraftingNote"/>
          <w:b/>
          <w:color w:val="auto"/>
          <w:sz w:val="26"/>
          <w:u w:val="none"/>
        </w:rPr>
      </w:pPr>
      <w:r>
        <w:rPr>
          <w:rStyle w:val="DraftingNote"/>
          <w:b/>
          <w:color w:val="auto"/>
          <w:sz w:val="26"/>
          <w:u w:val="none"/>
        </w:rPr>
        <w:t xml:space="preserve">Patent application process </w:t>
      </w:r>
    </w:p>
    <w:p w:rsidR="00C100DA" w:rsidRPr="008E77FE" w:rsidRDefault="00EE1660" w:rsidP="00AD2FEB">
      <w:pPr>
        <w:pStyle w:val="BodyText"/>
      </w:pPr>
      <w:r>
        <w:rPr>
          <w:rStyle w:val="DraftingNote"/>
          <w:b w:val="0"/>
          <w:color w:val="auto"/>
          <w:sz w:val="26"/>
          <w:u w:val="none"/>
        </w:rPr>
        <w:t>Figure B.1 outlines the patent application process in Australia. As a first step, applicants are advised to perform a search to determine whether the invention is novel, to keep their invention secret</w:t>
      </w:r>
      <w:r w:rsidR="00BC2451">
        <w:rPr>
          <w:rStyle w:val="DraftingNote"/>
          <w:b w:val="0"/>
          <w:color w:val="auto"/>
          <w:sz w:val="26"/>
          <w:u w:val="none"/>
        </w:rPr>
        <w:t xml:space="preserve"> </w:t>
      </w:r>
      <w:r w:rsidR="00C54A38">
        <w:rPr>
          <w:rStyle w:val="DraftingNote"/>
          <w:b w:val="0"/>
          <w:color w:val="auto"/>
          <w:sz w:val="26"/>
          <w:u w:val="none"/>
        </w:rPr>
        <w:t xml:space="preserve">so that it would meet the novelty requirement, </w:t>
      </w:r>
      <w:r w:rsidR="00BC2451">
        <w:rPr>
          <w:rStyle w:val="DraftingNote"/>
          <w:b w:val="0"/>
          <w:color w:val="auto"/>
          <w:sz w:val="26"/>
          <w:u w:val="none"/>
        </w:rPr>
        <w:t>and to seek professional advice due to the complexity of the IP system</w:t>
      </w:r>
      <w:r>
        <w:rPr>
          <w:rStyle w:val="DraftingNote"/>
          <w:b w:val="0"/>
          <w:color w:val="auto"/>
          <w:sz w:val="26"/>
          <w:u w:val="none"/>
        </w:rPr>
        <w:t xml:space="preserve">. </w:t>
      </w:r>
      <w:r w:rsidR="00422687">
        <w:rPr>
          <w:rStyle w:val="DraftingNote"/>
          <w:b w:val="0"/>
          <w:color w:val="auto"/>
          <w:sz w:val="26"/>
          <w:u w:val="none"/>
        </w:rPr>
        <w:t xml:space="preserve">If the </w:t>
      </w:r>
      <w:r w:rsidR="00422687">
        <w:rPr>
          <w:rStyle w:val="DraftingNote"/>
          <w:b w:val="0"/>
          <w:color w:val="auto"/>
          <w:sz w:val="26"/>
          <w:u w:val="none"/>
        </w:rPr>
        <w:lastRenderedPageBreak/>
        <w:t>applicant wishes to proceed, t</w:t>
      </w:r>
      <w:r>
        <w:rPr>
          <w:rStyle w:val="DraftingNote"/>
          <w:b w:val="0"/>
          <w:color w:val="auto"/>
          <w:sz w:val="26"/>
          <w:u w:val="none"/>
        </w:rPr>
        <w:t>he second step is to decide whether to apply for a standard or innovation patent.</w:t>
      </w:r>
      <w:r w:rsidR="003C6308">
        <w:rPr>
          <w:rStyle w:val="DraftingNote"/>
          <w:b w:val="0"/>
          <w:color w:val="auto"/>
          <w:sz w:val="26"/>
          <w:u w:val="none"/>
        </w:rPr>
        <w:t xml:space="preserve"> Innovation patents are discussed in more detail below in the ‘utility models’ section.</w:t>
      </w:r>
      <w:r>
        <w:rPr>
          <w:rStyle w:val="DraftingNote"/>
          <w:b w:val="0"/>
          <w:color w:val="auto"/>
          <w:sz w:val="26"/>
          <w:u w:val="none"/>
        </w:rPr>
        <w:t xml:space="preserve"> </w:t>
      </w:r>
    </w:p>
    <w:p w:rsidR="00E91A86" w:rsidRDefault="00E91A86" w:rsidP="00E91A86">
      <w:pPr>
        <w:pStyle w:val="FigureTitle"/>
      </w:pPr>
      <w:r>
        <w:rPr>
          <w:b w:val="0"/>
        </w:rPr>
        <w:t xml:space="preserve">Figure </w:t>
      </w:r>
      <w:r w:rsidR="00A92E22">
        <w:fldChar w:fldCharType="begin"/>
      </w:r>
      <w:r w:rsidR="00A92E22">
        <w:instrText xml:space="preserve"> COMMENTS  \* MERGEFORMAT </w:instrText>
      </w:r>
      <w:r w:rsidR="00A92E22">
        <w:fldChar w:fldCharType="separate"/>
      </w:r>
      <w:proofErr w:type="spellStart"/>
      <w:r>
        <w:rPr>
          <w:b w:val="0"/>
        </w:rPr>
        <w:t>B.</w:t>
      </w:r>
      <w:r w:rsidR="00A92E22">
        <w:rPr>
          <w:b w:val="0"/>
        </w:rPr>
        <w:fldChar w:fldCharType="end"/>
      </w:r>
      <w:r w:rsidR="00794E05">
        <w:rPr>
          <w:b w:val="0"/>
        </w:rPr>
        <w:fldChar w:fldCharType="begin"/>
      </w:r>
      <w:r>
        <w:rPr>
          <w:b w:val="0"/>
        </w:rPr>
        <w:instrText xml:space="preserve"> SEQ Figure \* ARABIC </w:instrText>
      </w:r>
      <w:r w:rsidR="00794E05">
        <w:rPr>
          <w:b w:val="0"/>
        </w:rPr>
        <w:fldChar w:fldCharType="separate"/>
      </w:r>
      <w:r w:rsidR="006367F1">
        <w:rPr>
          <w:b w:val="0"/>
          <w:noProof/>
        </w:rPr>
        <w:t>1</w:t>
      </w:r>
      <w:proofErr w:type="spellEnd"/>
      <w:r w:rsidR="00794E05">
        <w:rPr>
          <w:b w:val="0"/>
        </w:rPr>
        <w:fldChar w:fldCharType="end"/>
      </w:r>
      <w:r>
        <w:tab/>
        <w:t>Patent application process in Australia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91A86" w:rsidTr="00E81C8D">
        <w:tc>
          <w:tcPr>
            <w:tcW w:w="8777" w:type="dxa"/>
          </w:tcPr>
          <w:p w:rsidR="00E91A86" w:rsidRDefault="002C4267" w:rsidP="00E81C8D">
            <w:pPr>
              <w:pStyle w:val="Figure"/>
            </w:pPr>
            <w:r>
              <w:rPr>
                <w:noProof/>
              </w:rPr>
              <w:drawing>
                <wp:inline distT="0" distB="0" distL="0" distR="0">
                  <wp:extent cx="5573395" cy="6326505"/>
                  <wp:effectExtent l="0" t="0" r="8255" b="0"/>
                  <wp:docPr id="1" name="Picture 1" descr="This figure outlines the patent application process in Australia. Once an inventor has an idea they should search to determine if their invention is novel. If their idea is novel, an inventor should seek professional advice before applying for a patent. An inventor can apply for an innovation patent or a standard patent. Innovation patents do not need to be examined before being granted. Standard patents must pass examination before grant and must meet a higher threshold than innovation patents. Fees apply for both innovation and standard patents.   " title="Patent application process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1(Dom).gif"/>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573395" cy="6326505"/>
                          </a:xfrm>
                          <a:prstGeom prst="rect">
                            <a:avLst/>
                          </a:prstGeom>
                        </pic:spPr>
                      </pic:pic>
                    </a:graphicData>
                  </a:graphic>
                </wp:inline>
              </w:drawing>
            </w:r>
          </w:p>
        </w:tc>
      </w:tr>
    </w:tbl>
    <w:p w:rsidR="00E91A86" w:rsidRDefault="00E91A86" w:rsidP="00E91A86">
      <w:pPr>
        <w:pStyle w:val="Source"/>
      </w:pPr>
      <w:r>
        <w:rPr>
          <w:i/>
        </w:rPr>
        <w:t>Source</w:t>
      </w:r>
      <w:r w:rsidRPr="00167F06">
        <w:t xml:space="preserve">: </w:t>
      </w:r>
      <w:r>
        <w:t>Based on IP Australia (</w:t>
      </w:r>
      <w:r w:rsidR="00D35C79">
        <w:t>nd</w:t>
      </w:r>
      <w:r>
        <w:t xml:space="preserve">a). </w:t>
      </w:r>
    </w:p>
    <w:p w:rsidR="009B0094" w:rsidRDefault="009B0094">
      <w:pPr>
        <w:rPr>
          <w:rStyle w:val="DraftingNote"/>
          <w:rFonts w:ascii="Times New Roman" w:eastAsia="Times New Roman" w:hAnsi="Times New Roman" w:cs="Times New Roman"/>
          <w:b w:val="0"/>
          <w:color w:val="auto"/>
          <w:sz w:val="26"/>
          <w:szCs w:val="20"/>
          <w:u w:val="none"/>
          <w:lang w:eastAsia="en-AU"/>
        </w:rPr>
      </w:pPr>
      <w:r>
        <w:rPr>
          <w:rStyle w:val="DraftingNote"/>
          <w:b w:val="0"/>
          <w:color w:val="auto"/>
          <w:sz w:val="26"/>
          <w:u w:val="none"/>
        </w:rPr>
        <w:br w:type="page"/>
      </w:r>
    </w:p>
    <w:p w:rsidR="00E91A86" w:rsidRDefault="00F76105" w:rsidP="00F76105">
      <w:pPr>
        <w:pStyle w:val="BodyText"/>
        <w:rPr>
          <w:rStyle w:val="DraftingNote"/>
          <w:b w:val="0"/>
          <w:color w:val="auto"/>
          <w:sz w:val="26"/>
          <w:u w:val="none"/>
        </w:rPr>
      </w:pPr>
      <w:r>
        <w:rPr>
          <w:rStyle w:val="DraftingNote"/>
          <w:b w:val="0"/>
          <w:color w:val="auto"/>
          <w:sz w:val="26"/>
          <w:u w:val="none"/>
        </w:rPr>
        <w:lastRenderedPageBreak/>
        <w:t xml:space="preserve">Three types of applications can be submitted: </w:t>
      </w:r>
    </w:p>
    <w:p w:rsidR="002B72C1" w:rsidRDefault="00F76105" w:rsidP="00A602DA">
      <w:pPr>
        <w:pStyle w:val="ListBullet"/>
        <w:rPr>
          <w:rStyle w:val="DraftingNote"/>
          <w:b w:val="0"/>
          <w:color w:val="auto"/>
          <w:sz w:val="26"/>
          <w:u w:val="none"/>
        </w:rPr>
      </w:pPr>
      <w:r w:rsidRPr="00A602DA">
        <w:t>Provisional</w:t>
      </w:r>
      <w:r>
        <w:rPr>
          <w:rStyle w:val="DraftingNote"/>
          <w:b w:val="0"/>
          <w:color w:val="auto"/>
          <w:sz w:val="26"/>
          <w:u w:val="none"/>
        </w:rPr>
        <w:t xml:space="preserve"> application</w:t>
      </w:r>
      <w:r w:rsidR="00A602DA">
        <w:rPr>
          <w:rStyle w:val="DraftingNote"/>
          <w:b w:val="0"/>
          <w:color w:val="auto"/>
          <w:sz w:val="26"/>
          <w:u w:val="none"/>
        </w:rPr>
        <w:t xml:space="preserve"> —</w:t>
      </w:r>
      <w:r w:rsidR="00E91A86">
        <w:rPr>
          <w:rStyle w:val="DraftingNote"/>
          <w:b w:val="0"/>
          <w:color w:val="auto"/>
          <w:sz w:val="26"/>
          <w:u w:val="none"/>
        </w:rPr>
        <w:t xml:space="preserve"> </w:t>
      </w:r>
      <w:r w:rsidR="00421408">
        <w:rPr>
          <w:rStyle w:val="DraftingNote"/>
          <w:b w:val="0"/>
          <w:color w:val="auto"/>
          <w:sz w:val="26"/>
          <w:u w:val="none"/>
        </w:rPr>
        <w:t>an application prior to a complete application. T</w:t>
      </w:r>
      <w:r w:rsidR="00A602DA">
        <w:rPr>
          <w:rStyle w:val="DraftingNote"/>
          <w:b w:val="0"/>
          <w:color w:val="auto"/>
          <w:sz w:val="26"/>
          <w:u w:val="none"/>
        </w:rPr>
        <w:t>his</w:t>
      </w:r>
      <w:r w:rsidR="00E91A86">
        <w:rPr>
          <w:rStyle w:val="DraftingNote"/>
          <w:b w:val="0"/>
          <w:color w:val="auto"/>
          <w:sz w:val="26"/>
          <w:u w:val="none"/>
        </w:rPr>
        <w:t xml:space="preserve"> </w:t>
      </w:r>
      <w:r>
        <w:rPr>
          <w:rStyle w:val="DraftingNote"/>
          <w:b w:val="0"/>
          <w:color w:val="auto"/>
          <w:sz w:val="26"/>
          <w:u w:val="none"/>
        </w:rPr>
        <w:t>enable</w:t>
      </w:r>
      <w:r w:rsidR="00A602DA">
        <w:rPr>
          <w:rStyle w:val="DraftingNote"/>
          <w:b w:val="0"/>
          <w:color w:val="auto"/>
          <w:sz w:val="26"/>
          <w:u w:val="none"/>
        </w:rPr>
        <w:t>s</w:t>
      </w:r>
      <w:r>
        <w:rPr>
          <w:rStyle w:val="DraftingNote"/>
          <w:b w:val="0"/>
          <w:color w:val="auto"/>
          <w:sz w:val="26"/>
          <w:u w:val="none"/>
        </w:rPr>
        <w:t xml:space="preserve"> applicants to get the earliest possible priority date, </w:t>
      </w:r>
      <w:r w:rsidR="00421408">
        <w:rPr>
          <w:rStyle w:val="DraftingNote"/>
          <w:b w:val="0"/>
          <w:color w:val="auto"/>
          <w:sz w:val="26"/>
          <w:u w:val="none"/>
        </w:rPr>
        <w:t xml:space="preserve">which is the date from which novelty is assessed, </w:t>
      </w:r>
      <w:r w:rsidR="00B85D2A">
        <w:rPr>
          <w:rStyle w:val="DraftingNote"/>
          <w:b w:val="0"/>
          <w:color w:val="auto"/>
          <w:sz w:val="26"/>
          <w:u w:val="none"/>
        </w:rPr>
        <w:t xml:space="preserve">and </w:t>
      </w:r>
      <w:r w:rsidR="004B68FA">
        <w:rPr>
          <w:rStyle w:val="DraftingNote"/>
          <w:b w:val="0"/>
          <w:color w:val="auto"/>
          <w:sz w:val="26"/>
          <w:u w:val="none"/>
        </w:rPr>
        <w:t>important</w:t>
      </w:r>
      <w:r>
        <w:rPr>
          <w:rStyle w:val="DraftingNote"/>
          <w:b w:val="0"/>
          <w:color w:val="auto"/>
          <w:sz w:val="26"/>
          <w:u w:val="none"/>
        </w:rPr>
        <w:t xml:space="preserve"> for applicants in competitive industr</w:t>
      </w:r>
      <w:r w:rsidR="00665A2D">
        <w:rPr>
          <w:rStyle w:val="DraftingNote"/>
          <w:b w:val="0"/>
          <w:color w:val="auto"/>
          <w:sz w:val="26"/>
          <w:u w:val="none"/>
        </w:rPr>
        <w:t>ies</w:t>
      </w:r>
      <w:r>
        <w:rPr>
          <w:rStyle w:val="DraftingNote"/>
          <w:b w:val="0"/>
          <w:color w:val="auto"/>
          <w:sz w:val="26"/>
          <w:u w:val="none"/>
        </w:rPr>
        <w:t xml:space="preserve">. A provisional patent application does not provide patent protection. A complete application must be filed within 12 months of a provisional application or the priority date lapses. </w:t>
      </w:r>
    </w:p>
    <w:p w:rsidR="00EB47B1" w:rsidRDefault="00F76105" w:rsidP="00A602DA">
      <w:pPr>
        <w:pStyle w:val="ListBullet"/>
        <w:rPr>
          <w:rStyle w:val="DraftingNote"/>
          <w:b w:val="0"/>
          <w:color w:val="auto"/>
          <w:sz w:val="26"/>
          <w:u w:val="none"/>
        </w:rPr>
      </w:pPr>
      <w:r>
        <w:rPr>
          <w:rStyle w:val="DraftingNote"/>
          <w:b w:val="0"/>
          <w:color w:val="auto"/>
          <w:sz w:val="26"/>
          <w:u w:val="none"/>
        </w:rPr>
        <w:t xml:space="preserve">A complete application </w:t>
      </w:r>
      <w:r w:rsidR="00421408">
        <w:rPr>
          <w:rStyle w:val="DraftingNote"/>
          <w:b w:val="0"/>
          <w:color w:val="auto"/>
          <w:sz w:val="26"/>
          <w:u w:val="none"/>
        </w:rPr>
        <w:t>—</w:t>
      </w:r>
      <w:r>
        <w:rPr>
          <w:rStyle w:val="DraftingNote"/>
          <w:b w:val="0"/>
          <w:color w:val="auto"/>
          <w:sz w:val="26"/>
          <w:u w:val="none"/>
        </w:rPr>
        <w:t xml:space="preserve"> necessary for a patent to be granted. Complete applications </w:t>
      </w:r>
      <w:r w:rsidRPr="00A602DA">
        <w:t>are</w:t>
      </w:r>
      <w:r>
        <w:rPr>
          <w:rStyle w:val="DraftingNote"/>
          <w:b w:val="0"/>
          <w:color w:val="auto"/>
          <w:sz w:val="26"/>
          <w:u w:val="none"/>
        </w:rPr>
        <w:t xml:space="preserve"> published in the </w:t>
      </w:r>
      <w:r w:rsidRPr="00746880">
        <w:rPr>
          <w:rStyle w:val="DraftingNote"/>
          <w:b w:val="0"/>
          <w:i/>
          <w:color w:val="auto"/>
          <w:sz w:val="26"/>
          <w:u w:val="none"/>
        </w:rPr>
        <w:t>Australian Official Journal of Patents</w:t>
      </w:r>
      <w:r>
        <w:rPr>
          <w:rStyle w:val="DraftingNote"/>
          <w:b w:val="0"/>
          <w:color w:val="auto"/>
          <w:sz w:val="26"/>
          <w:u w:val="none"/>
        </w:rPr>
        <w:t>, and must include:</w:t>
      </w:r>
      <w:r w:rsidR="002B72C1">
        <w:rPr>
          <w:rStyle w:val="DraftingNote"/>
          <w:b w:val="0"/>
          <w:color w:val="auto"/>
          <w:sz w:val="26"/>
          <w:u w:val="none"/>
        </w:rPr>
        <w:t xml:space="preserve"> </w:t>
      </w:r>
    </w:p>
    <w:p w:rsidR="00EB47B1" w:rsidRDefault="00F76105" w:rsidP="00EB47B1">
      <w:pPr>
        <w:pStyle w:val="ListBullet2"/>
        <w:rPr>
          <w:rStyle w:val="DraftingNote"/>
          <w:b w:val="0"/>
          <w:color w:val="auto"/>
          <w:sz w:val="26"/>
          <w:u w:val="none"/>
        </w:rPr>
      </w:pPr>
      <w:r>
        <w:rPr>
          <w:rStyle w:val="DraftingNote"/>
          <w:b w:val="0"/>
          <w:color w:val="auto"/>
          <w:sz w:val="26"/>
          <w:u w:val="none"/>
        </w:rPr>
        <w:t>a full description of the invention</w:t>
      </w:r>
    </w:p>
    <w:p w:rsidR="00BC50DC" w:rsidRDefault="00F76105" w:rsidP="00DB0578">
      <w:pPr>
        <w:pStyle w:val="ListBullet2"/>
        <w:rPr>
          <w:rStyle w:val="DraftingNote"/>
          <w:b w:val="0"/>
          <w:color w:val="auto"/>
          <w:sz w:val="26"/>
          <w:u w:val="none"/>
        </w:rPr>
      </w:pPr>
      <w:r>
        <w:rPr>
          <w:rStyle w:val="DraftingNote"/>
          <w:b w:val="0"/>
          <w:color w:val="auto"/>
          <w:sz w:val="26"/>
          <w:u w:val="none"/>
        </w:rPr>
        <w:t>one or more claims on the invention</w:t>
      </w:r>
      <w:r w:rsidR="007B29E8">
        <w:rPr>
          <w:rStyle w:val="DraftingNote"/>
          <w:b w:val="0"/>
          <w:color w:val="auto"/>
          <w:sz w:val="26"/>
          <w:u w:val="none"/>
        </w:rPr>
        <w:t xml:space="preserve">, which outline what the invention is and what it can </w:t>
      </w:r>
      <w:r w:rsidR="00745121">
        <w:rPr>
          <w:rStyle w:val="DraftingNote"/>
          <w:b w:val="0"/>
          <w:color w:val="auto"/>
          <w:sz w:val="26"/>
          <w:u w:val="none"/>
        </w:rPr>
        <w:t>d</w:t>
      </w:r>
      <w:r w:rsidR="007B29E8">
        <w:rPr>
          <w:rStyle w:val="DraftingNote"/>
          <w:b w:val="0"/>
          <w:color w:val="auto"/>
          <w:sz w:val="26"/>
          <w:u w:val="none"/>
        </w:rPr>
        <w:t xml:space="preserve">o, and determine </w:t>
      </w:r>
      <w:r>
        <w:rPr>
          <w:rStyle w:val="DraftingNote"/>
          <w:b w:val="0"/>
          <w:color w:val="auto"/>
          <w:sz w:val="26"/>
          <w:u w:val="none"/>
        </w:rPr>
        <w:t>the scope of exclusive</w:t>
      </w:r>
      <w:r w:rsidR="007B29E8">
        <w:rPr>
          <w:rStyle w:val="DraftingNote"/>
          <w:b w:val="0"/>
          <w:color w:val="auto"/>
          <w:sz w:val="26"/>
          <w:u w:val="none"/>
        </w:rPr>
        <w:t xml:space="preserve"> rights claimed by an applicant</w:t>
      </w:r>
      <w:r w:rsidR="002B72C1">
        <w:rPr>
          <w:rStyle w:val="DraftingNote"/>
          <w:b w:val="0"/>
          <w:color w:val="auto"/>
          <w:sz w:val="26"/>
          <w:u w:val="none"/>
        </w:rPr>
        <w:t>.</w:t>
      </w:r>
    </w:p>
    <w:p w:rsidR="00F76105" w:rsidRDefault="002B72C1" w:rsidP="00A602DA">
      <w:pPr>
        <w:pStyle w:val="ListBullet"/>
        <w:rPr>
          <w:rStyle w:val="DraftingNote"/>
          <w:b w:val="0"/>
          <w:color w:val="auto"/>
          <w:sz w:val="26"/>
          <w:u w:val="none"/>
        </w:rPr>
      </w:pPr>
      <w:r>
        <w:rPr>
          <w:rStyle w:val="DraftingNote"/>
          <w:b w:val="0"/>
          <w:color w:val="auto"/>
          <w:sz w:val="26"/>
          <w:u w:val="none"/>
        </w:rPr>
        <w:t xml:space="preserve">International application — </w:t>
      </w:r>
      <w:r w:rsidR="00421408">
        <w:rPr>
          <w:rStyle w:val="DraftingNote"/>
          <w:b w:val="0"/>
          <w:color w:val="auto"/>
          <w:sz w:val="26"/>
          <w:u w:val="none"/>
        </w:rPr>
        <w:t>an application for patent protection overseas. M</w:t>
      </w:r>
      <w:r w:rsidR="00F76105">
        <w:rPr>
          <w:rStyle w:val="DraftingNote"/>
          <w:b w:val="0"/>
          <w:color w:val="auto"/>
          <w:sz w:val="26"/>
          <w:u w:val="none"/>
        </w:rPr>
        <w:t>any inventors wish to apply for international protection</w:t>
      </w:r>
      <w:r>
        <w:rPr>
          <w:rStyle w:val="DraftingNote"/>
          <w:b w:val="0"/>
          <w:color w:val="auto"/>
          <w:sz w:val="26"/>
          <w:u w:val="none"/>
        </w:rPr>
        <w:t xml:space="preserve"> since an Australian patent only provides protection in Australia</w:t>
      </w:r>
      <w:r w:rsidR="00F76105">
        <w:rPr>
          <w:rStyle w:val="DraftingNote"/>
          <w:b w:val="0"/>
          <w:color w:val="auto"/>
          <w:sz w:val="26"/>
          <w:u w:val="none"/>
        </w:rPr>
        <w:t>. Applicants have two choices:</w:t>
      </w:r>
    </w:p>
    <w:p w:rsidR="00F76105" w:rsidRDefault="00F76105" w:rsidP="00AE11FC">
      <w:pPr>
        <w:pStyle w:val="ListBullet2"/>
        <w:rPr>
          <w:rStyle w:val="DraftingNote"/>
          <w:b w:val="0"/>
          <w:color w:val="auto"/>
          <w:sz w:val="26"/>
          <w:u w:val="none"/>
        </w:rPr>
      </w:pPr>
      <w:r w:rsidRPr="00F872C5">
        <w:rPr>
          <w:rStyle w:val="DraftingNote"/>
          <w:b w:val="0"/>
          <w:color w:val="auto"/>
          <w:sz w:val="26"/>
          <w:u w:val="none"/>
        </w:rPr>
        <w:t>Paten</w:t>
      </w:r>
      <w:r w:rsidR="004B68FA" w:rsidRPr="00F872C5">
        <w:rPr>
          <w:rStyle w:val="DraftingNote"/>
          <w:b w:val="0"/>
          <w:color w:val="auto"/>
          <w:sz w:val="26"/>
          <w:u w:val="none"/>
        </w:rPr>
        <w:t>t Cooperation Treaty</w:t>
      </w:r>
      <w:r w:rsidR="004B68FA">
        <w:rPr>
          <w:rStyle w:val="DraftingNote"/>
          <w:b w:val="0"/>
          <w:i/>
          <w:color w:val="auto"/>
          <w:sz w:val="26"/>
          <w:u w:val="none"/>
        </w:rPr>
        <w:t xml:space="preserve"> </w:t>
      </w:r>
      <w:r w:rsidR="004B68FA">
        <w:rPr>
          <w:rStyle w:val="DraftingNote"/>
          <w:b w:val="0"/>
          <w:color w:val="auto"/>
          <w:sz w:val="26"/>
          <w:u w:val="none"/>
        </w:rPr>
        <w:t xml:space="preserve">application — </w:t>
      </w:r>
      <w:r w:rsidR="00B85D2A">
        <w:rPr>
          <w:rStyle w:val="DraftingNote"/>
          <w:b w:val="0"/>
          <w:color w:val="auto"/>
          <w:sz w:val="26"/>
          <w:u w:val="none"/>
        </w:rPr>
        <w:t>t</w:t>
      </w:r>
      <w:r>
        <w:rPr>
          <w:rStyle w:val="DraftingNote"/>
          <w:b w:val="0"/>
          <w:color w:val="auto"/>
          <w:sz w:val="26"/>
          <w:u w:val="none"/>
        </w:rPr>
        <w:t>his allows an applicant to file a patent application with IP Australia and elect for protection in over 100</w:t>
      </w:r>
      <w:r w:rsidR="00745121">
        <w:rPr>
          <w:rStyle w:val="DraftingNote"/>
          <w:b w:val="0"/>
          <w:color w:val="auto"/>
          <w:sz w:val="26"/>
          <w:u w:val="none"/>
        </w:rPr>
        <w:t> </w:t>
      </w:r>
      <w:r>
        <w:rPr>
          <w:rStyle w:val="DraftingNote"/>
          <w:b w:val="0"/>
          <w:color w:val="auto"/>
          <w:sz w:val="26"/>
          <w:u w:val="none"/>
        </w:rPr>
        <w:t>countries.</w:t>
      </w:r>
    </w:p>
    <w:p w:rsidR="00F76105" w:rsidRDefault="0034541A" w:rsidP="00AE11FC">
      <w:pPr>
        <w:pStyle w:val="ListBullet2"/>
        <w:rPr>
          <w:rStyle w:val="DraftingNote"/>
          <w:b w:val="0"/>
          <w:color w:val="auto"/>
          <w:sz w:val="26"/>
          <w:u w:val="none"/>
        </w:rPr>
      </w:pPr>
      <w:r w:rsidRPr="00F872C5">
        <w:rPr>
          <w:rStyle w:val="DraftingNote"/>
          <w:b w:val="0"/>
          <w:color w:val="auto"/>
          <w:sz w:val="26"/>
          <w:u w:val="none"/>
        </w:rPr>
        <w:t>Paris C</w:t>
      </w:r>
      <w:r w:rsidR="00F76105" w:rsidRPr="00F872C5">
        <w:rPr>
          <w:rStyle w:val="DraftingNote"/>
          <w:b w:val="0"/>
          <w:color w:val="auto"/>
          <w:sz w:val="26"/>
          <w:u w:val="none"/>
        </w:rPr>
        <w:t>onvention applicatio</w:t>
      </w:r>
      <w:r w:rsidR="00F76105" w:rsidRPr="004B68FA">
        <w:rPr>
          <w:rStyle w:val="DraftingNote"/>
          <w:b w:val="0"/>
          <w:color w:val="auto"/>
          <w:sz w:val="26"/>
          <w:u w:val="none"/>
        </w:rPr>
        <w:t>n</w:t>
      </w:r>
      <w:r w:rsidR="004B68FA">
        <w:rPr>
          <w:rStyle w:val="DraftingNote"/>
          <w:b w:val="0"/>
          <w:color w:val="auto"/>
          <w:sz w:val="26"/>
          <w:u w:val="none"/>
        </w:rPr>
        <w:t xml:space="preserve"> —</w:t>
      </w:r>
      <w:r w:rsidR="00B85D2A">
        <w:rPr>
          <w:rStyle w:val="DraftingNote"/>
          <w:b w:val="0"/>
          <w:color w:val="auto"/>
          <w:sz w:val="26"/>
          <w:u w:val="none"/>
        </w:rPr>
        <w:t xml:space="preserve"> i</w:t>
      </w:r>
      <w:r w:rsidR="00F76105">
        <w:rPr>
          <w:rStyle w:val="DraftingNote"/>
          <w:b w:val="0"/>
          <w:color w:val="auto"/>
          <w:sz w:val="26"/>
          <w:u w:val="none"/>
        </w:rPr>
        <w:t>f protection is only sought in a few countries, it might be cost effective for an applicant to make separate patent applications in each country.</w:t>
      </w:r>
    </w:p>
    <w:p w:rsidR="00F25FDC" w:rsidRDefault="00F25FDC" w:rsidP="00F25FDC">
      <w:pPr>
        <w:pStyle w:val="Heading4"/>
      </w:pPr>
      <w:r>
        <w:t>Patent application process in comparable markets</w:t>
      </w:r>
    </w:p>
    <w:p w:rsidR="00F25FDC" w:rsidRDefault="00416830" w:rsidP="00F25FDC">
      <w:pPr>
        <w:pStyle w:val="BodyText"/>
      </w:pPr>
      <w:r>
        <w:rPr>
          <w:rStyle w:val="DraftingNote"/>
          <w:b w:val="0"/>
          <w:color w:val="auto"/>
          <w:sz w:val="26"/>
          <w:u w:val="none"/>
        </w:rPr>
        <w:t>A</w:t>
      </w:r>
      <w:r w:rsidR="00F25FDC">
        <w:rPr>
          <w:rStyle w:val="DraftingNote"/>
          <w:b w:val="0"/>
          <w:color w:val="auto"/>
          <w:sz w:val="26"/>
          <w:u w:val="none"/>
        </w:rPr>
        <w:t>pplication process</w:t>
      </w:r>
      <w:r>
        <w:rPr>
          <w:rStyle w:val="DraftingNote"/>
          <w:b w:val="0"/>
          <w:color w:val="auto"/>
          <w:sz w:val="26"/>
          <w:u w:val="none"/>
        </w:rPr>
        <w:t>es</w:t>
      </w:r>
      <w:r w:rsidR="00F25FDC">
        <w:rPr>
          <w:rStyle w:val="DraftingNote"/>
          <w:b w:val="0"/>
          <w:color w:val="auto"/>
          <w:sz w:val="26"/>
          <w:u w:val="none"/>
        </w:rPr>
        <w:t xml:space="preserve"> for a patent in comparable markets</w:t>
      </w:r>
      <w:r>
        <w:rPr>
          <w:rStyle w:val="DraftingNote"/>
          <w:b w:val="0"/>
          <w:color w:val="auto"/>
          <w:sz w:val="26"/>
          <w:u w:val="none"/>
        </w:rPr>
        <w:t xml:space="preserve"> are broadly similar to the process in Australia</w:t>
      </w:r>
      <w:r w:rsidR="00F25FDC">
        <w:rPr>
          <w:rStyle w:val="DraftingNote"/>
          <w:b w:val="0"/>
          <w:color w:val="auto"/>
          <w:sz w:val="26"/>
          <w:u w:val="none"/>
        </w:rPr>
        <w:t xml:space="preserve">. </w:t>
      </w:r>
      <w:r w:rsidR="001C5FA3">
        <w:rPr>
          <w:lang w:eastAsia="en-US"/>
        </w:rPr>
        <w:t>A</w:t>
      </w:r>
      <w:r w:rsidR="00F25FDC">
        <w:rPr>
          <w:lang w:eastAsia="en-US"/>
        </w:rPr>
        <w:t xml:space="preserve">ll comparable markets have a ‘first-to-file’ system, like Australia. </w:t>
      </w:r>
      <w:r w:rsidR="001C5FA3">
        <w:rPr>
          <w:lang w:eastAsia="en-US"/>
        </w:rPr>
        <w:t>Until recently, t</w:t>
      </w:r>
      <w:r w:rsidR="00F25FDC">
        <w:rPr>
          <w:lang w:eastAsia="en-US"/>
        </w:rPr>
        <w:t>he U</w:t>
      </w:r>
      <w:r w:rsidR="006570D5">
        <w:rPr>
          <w:lang w:eastAsia="en-US"/>
        </w:rPr>
        <w:t xml:space="preserve">nited </w:t>
      </w:r>
      <w:r w:rsidR="00F25FDC">
        <w:rPr>
          <w:lang w:eastAsia="en-US"/>
        </w:rPr>
        <w:t>S</w:t>
      </w:r>
      <w:r w:rsidR="006570D5">
        <w:rPr>
          <w:lang w:eastAsia="en-US"/>
        </w:rPr>
        <w:t>tates</w:t>
      </w:r>
      <w:r w:rsidR="001C5FA3">
        <w:rPr>
          <w:lang w:eastAsia="en-US"/>
        </w:rPr>
        <w:t xml:space="preserve"> was the exception</w:t>
      </w:r>
      <w:r w:rsidR="00F25FDC">
        <w:rPr>
          <w:lang w:eastAsia="en-US"/>
        </w:rPr>
        <w:t xml:space="preserve">, </w:t>
      </w:r>
      <w:r w:rsidR="001C5FA3">
        <w:rPr>
          <w:lang w:eastAsia="en-US"/>
        </w:rPr>
        <w:t xml:space="preserve">as it had </w:t>
      </w:r>
      <w:r w:rsidR="00F25FDC">
        <w:rPr>
          <w:lang w:eastAsia="en-US"/>
        </w:rPr>
        <w:t>a ‘first</w:t>
      </w:r>
      <w:r w:rsidR="00703D72">
        <w:rPr>
          <w:lang w:eastAsia="en-US"/>
        </w:rPr>
        <w:t>-</w:t>
      </w:r>
      <w:r w:rsidR="00F25FDC">
        <w:rPr>
          <w:lang w:eastAsia="en-US"/>
        </w:rPr>
        <w:t>to</w:t>
      </w:r>
      <w:r w:rsidR="00703D72">
        <w:rPr>
          <w:lang w:eastAsia="en-US"/>
        </w:rPr>
        <w:t>-</w:t>
      </w:r>
      <w:r w:rsidR="00F25FDC">
        <w:rPr>
          <w:lang w:eastAsia="en-US"/>
        </w:rPr>
        <w:t>invent’ system</w:t>
      </w:r>
      <w:r w:rsidR="001C5FA3">
        <w:rPr>
          <w:lang w:eastAsia="en-US"/>
        </w:rPr>
        <w:t xml:space="preserve">. The United States moved </w:t>
      </w:r>
      <w:r w:rsidR="00F25FDC">
        <w:rPr>
          <w:lang w:eastAsia="en-US"/>
        </w:rPr>
        <w:t>to</w:t>
      </w:r>
      <w:r w:rsidR="00B774F2">
        <w:rPr>
          <w:lang w:eastAsia="en-US"/>
        </w:rPr>
        <w:t xml:space="preserve"> a first-to-file system in </w:t>
      </w:r>
      <w:r w:rsidR="001C5FA3">
        <w:rPr>
          <w:lang w:eastAsia="en-US"/>
        </w:rPr>
        <w:t xml:space="preserve">March </w:t>
      </w:r>
      <w:r w:rsidR="00B774F2">
        <w:rPr>
          <w:lang w:eastAsia="en-US"/>
        </w:rPr>
        <w:t>2013</w:t>
      </w:r>
      <w:r w:rsidR="00F25FDC">
        <w:rPr>
          <w:lang w:eastAsia="en-US"/>
        </w:rPr>
        <w:t>. In some comparable markets (</w:t>
      </w:r>
      <w:r w:rsidR="00745121">
        <w:rPr>
          <w:lang w:eastAsia="en-US"/>
        </w:rPr>
        <w:t xml:space="preserve">for example, New Zealand and </w:t>
      </w:r>
      <w:r w:rsidR="00F25FDC">
        <w:rPr>
          <w:lang w:eastAsia="en-US"/>
        </w:rPr>
        <w:t>the U</w:t>
      </w:r>
      <w:r w:rsidR="006570D5">
        <w:rPr>
          <w:lang w:eastAsia="en-US"/>
        </w:rPr>
        <w:t xml:space="preserve">nited </w:t>
      </w:r>
      <w:r w:rsidR="00F25FDC">
        <w:rPr>
          <w:lang w:eastAsia="en-US"/>
        </w:rPr>
        <w:t>S</w:t>
      </w:r>
      <w:r w:rsidR="006570D5">
        <w:rPr>
          <w:lang w:eastAsia="en-US"/>
        </w:rPr>
        <w:t>tates</w:t>
      </w:r>
      <w:r w:rsidR="00F25FDC">
        <w:rPr>
          <w:lang w:eastAsia="en-US"/>
        </w:rPr>
        <w:t>) provisional applications are available</w:t>
      </w:r>
      <w:r w:rsidR="004B68FA">
        <w:rPr>
          <w:lang w:eastAsia="en-US"/>
        </w:rPr>
        <w:t>.</w:t>
      </w:r>
      <w:r w:rsidR="00F25FDC">
        <w:rPr>
          <w:lang w:eastAsia="en-US"/>
        </w:rPr>
        <w:t xml:space="preserve"> </w:t>
      </w:r>
      <w:r w:rsidR="00F25FDC">
        <w:t xml:space="preserve">Grace periods </w:t>
      </w:r>
      <w:r w:rsidR="00745121">
        <w:t>(</w:t>
      </w:r>
      <w:r w:rsidR="00F25FDC">
        <w:t>where an applicant can apply for a patent when the invention has already been disclosed subject to conditions</w:t>
      </w:r>
      <w:r w:rsidR="009B0094">
        <w:t>)</w:t>
      </w:r>
      <w:r w:rsidR="00F25FDC">
        <w:t xml:space="preserve"> apply in many countries including the United States, Japan and Canada. Grace periods do not apply in most European countries (IP Australia </w:t>
      </w:r>
      <w:proofErr w:type="spellStart"/>
      <w:r w:rsidR="00F25FDC">
        <w:t>2012</w:t>
      </w:r>
      <w:r w:rsidR="005B0F7E">
        <w:t>g</w:t>
      </w:r>
      <w:proofErr w:type="spellEnd"/>
      <w:r w:rsidR="00F25FDC">
        <w:t xml:space="preserve">). </w:t>
      </w:r>
    </w:p>
    <w:p w:rsidR="00F25FDC" w:rsidRDefault="00F25FDC" w:rsidP="00F25FDC">
      <w:pPr>
        <w:pStyle w:val="BodyText"/>
        <w:rPr>
          <w:lang w:eastAsia="en-US"/>
        </w:rPr>
      </w:pPr>
      <w:r>
        <w:rPr>
          <w:lang w:eastAsia="en-US"/>
        </w:rPr>
        <w:t>Selected features of patent</w:t>
      </w:r>
      <w:r w:rsidR="007B7185">
        <w:rPr>
          <w:lang w:eastAsia="en-US"/>
        </w:rPr>
        <w:t>s</w:t>
      </w:r>
      <w:r>
        <w:rPr>
          <w:lang w:eastAsia="en-US"/>
        </w:rPr>
        <w:t xml:space="preserve"> systems in Australia and comparable markets are discussed in more detail below. </w:t>
      </w:r>
    </w:p>
    <w:p w:rsidR="003C6308" w:rsidRDefault="003C6308" w:rsidP="003C6308">
      <w:pPr>
        <w:pStyle w:val="Heading3"/>
      </w:pPr>
      <w:r>
        <w:lastRenderedPageBreak/>
        <w:t>Utility models</w:t>
      </w:r>
    </w:p>
    <w:p w:rsidR="003C6308" w:rsidRDefault="003C6308" w:rsidP="003C6308">
      <w:pPr>
        <w:pStyle w:val="BodyText"/>
      </w:pPr>
      <w:r>
        <w:t xml:space="preserve">In some comparable markets, inventions can be protected under a ‘utility model’ or short-term patent, equivalent to innovation patents in Australia. Utility </w:t>
      </w:r>
      <w:r w:rsidR="0034541A">
        <w:t>models</w:t>
      </w:r>
      <w:r>
        <w:t xml:space="preserve"> have a maximum term of six years in France</w:t>
      </w:r>
      <w:r w:rsidR="00745121">
        <w:t>,</w:t>
      </w:r>
      <w:r>
        <w:t xml:space="preserve"> 10 years in </w:t>
      </w:r>
      <w:r w:rsidR="00745121">
        <w:t xml:space="preserve">both </w:t>
      </w:r>
      <w:r>
        <w:t>China and Germany</w:t>
      </w:r>
      <w:r w:rsidR="00745121">
        <w:t>,</w:t>
      </w:r>
      <w:r>
        <w:t xml:space="preserve"> </w:t>
      </w:r>
      <w:r w:rsidR="00745121">
        <w:br/>
      </w:r>
      <w:r>
        <w:t xml:space="preserve">10–15 years in Japan and 15 years in both </w:t>
      </w:r>
      <w:r w:rsidR="004F2825">
        <w:t xml:space="preserve">South </w:t>
      </w:r>
      <w:r>
        <w:t xml:space="preserve">Korea and Malaysia. In these markets, utility </w:t>
      </w:r>
      <w:r w:rsidR="0034541A">
        <w:t>models</w:t>
      </w:r>
      <w:r>
        <w:t xml:space="preserve"> have less stringent requirements for patentability, lower fees and a more streamlined application process. </w:t>
      </w:r>
      <w:r w:rsidRPr="00D45F11">
        <w:t xml:space="preserve">Examination requirements for utility models only exist in some comparable markets. </w:t>
      </w:r>
      <w:r>
        <w:t xml:space="preserve">In many countries, a patent application can be converted into a utility model application. In France, failure to request examination for a patent will automatically lead that application to be converted into a utility certificate (Richards nd). </w:t>
      </w:r>
    </w:p>
    <w:p w:rsidR="003C6308" w:rsidRDefault="003C6308" w:rsidP="003C6308">
      <w:pPr>
        <w:pStyle w:val="BodyText"/>
        <w:rPr>
          <w:rStyle w:val="DraftingNote"/>
          <w:b w:val="0"/>
          <w:color w:val="auto"/>
          <w:sz w:val="26"/>
          <w:u w:val="none"/>
        </w:rPr>
      </w:pPr>
      <w:r>
        <w:t xml:space="preserve">Utility model applications worldwide have grown rapidly in recent years — from 313 000 in 2008, to 496 000 in 2010. Applications received by the Chinese IP Office make up most of these applications (83 per cent in 2010). In 2010, applications to the German, </w:t>
      </w:r>
      <w:r w:rsidR="004F2825">
        <w:t xml:space="preserve">South </w:t>
      </w:r>
      <w:r>
        <w:t>Korean, Russian, Ukrainian and Japanese patent</w:t>
      </w:r>
      <w:r w:rsidR="0034541A">
        <w:t xml:space="preserve"> offices</w:t>
      </w:r>
      <w:r>
        <w:t xml:space="preserve"> were the next most common, comprising collectively about 12 per cent of applications worldwide. Applications to other patent offices were negligible. Utility model applications are more likely to be by domestic applicants than applications for standard patents. This is particularly the case in China, where in 2010, 99 per cent of applic</w:t>
      </w:r>
      <w:r w:rsidR="008F3093">
        <w:t>ations were domestic (WIPO 2012</w:t>
      </w:r>
      <w:r w:rsidR="00C16E57">
        <w:t>a</w:t>
      </w:r>
      <w:r>
        <w:t>).</w:t>
      </w:r>
      <w:r>
        <w:rPr>
          <w:rStyle w:val="DraftingNote"/>
          <w:b w:val="0"/>
          <w:color w:val="auto"/>
          <w:sz w:val="26"/>
          <w:u w:val="none"/>
        </w:rPr>
        <w:t xml:space="preserve"> Between 2009 and mid</w:t>
      </w:r>
      <w:r w:rsidR="0034541A">
        <w:rPr>
          <w:rStyle w:val="DraftingNote"/>
          <w:b w:val="0"/>
          <w:color w:val="auto"/>
          <w:sz w:val="26"/>
          <w:u w:val="none"/>
        </w:rPr>
        <w:noBreakHyphen/>
      </w:r>
      <w:r>
        <w:rPr>
          <w:rStyle w:val="DraftingNote"/>
          <w:b w:val="0"/>
          <w:color w:val="auto"/>
          <w:sz w:val="26"/>
          <w:u w:val="none"/>
        </w:rPr>
        <w:t>2012, IP Australia received between 1000 and 2000 applications for innovation patents per year (IP Australia 2012</w:t>
      </w:r>
      <w:r w:rsidR="00B025F5">
        <w:rPr>
          <w:rStyle w:val="DraftingNote"/>
          <w:b w:val="0"/>
          <w:color w:val="auto"/>
          <w:sz w:val="26"/>
          <w:u w:val="none"/>
        </w:rPr>
        <w:t>j</w:t>
      </w:r>
      <w:r>
        <w:rPr>
          <w:rStyle w:val="DraftingNote"/>
          <w:b w:val="0"/>
          <w:color w:val="auto"/>
          <w:sz w:val="26"/>
          <w:u w:val="none"/>
        </w:rPr>
        <w:t>) relative to about 25 000 standard patent applications per year (chapter 4).</w:t>
      </w:r>
    </w:p>
    <w:p w:rsidR="003C6308" w:rsidRPr="008C74BA" w:rsidRDefault="003C6308" w:rsidP="003C6308">
      <w:pPr>
        <w:pStyle w:val="BodyText"/>
        <w:rPr>
          <w:rStyle w:val="DraftingNote"/>
        </w:rPr>
      </w:pPr>
      <w:r>
        <w:rPr>
          <w:rStyle w:val="DraftingNote"/>
          <w:b w:val="0"/>
          <w:color w:val="auto"/>
          <w:sz w:val="26"/>
          <w:u w:val="none"/>
        </w:rPr>
        <w:t>Features of standard and innovation patents in Australia are outlined in table B.2.</w:t>
      </w:r>
      <w:r w:rsidR="001A0DAA">
        <w:rPr>
          <w:rStyle w:val="DraftingNote"/>
          <w:b w:val="0"/>
          <w:color w:val="auto"/>
          <w:sz w:val="26"/>
          <w:u w:val="none"/>
        </w:rPr>
        <w:t xml:space="preserve"> </w:t>
      </w:r>
    </w:p>
    <w:p w:rsidR="003C6308" w:rsidRDefault="003C6308" w:rsidP="003C6308">
      <w:pPr>
        <w:pStyle w:val="TableTitle"/>
      </w:pPr>
      <w:r>
        <w:rPr>
          <w:b w:val="0"/>
        </w:rPr>
        <w:t xml:space="preserve">Table </w:t>
      </w:r>
      <w:r w:rsidR="00A92E22">
        <w:fldChar w:fldCharType="begin"/>
      </w:r>
      <w:r w:rsidR="00A92E22">
        <w:instrText xml:space="preserve"> COMMENTS  \* MERGEFORMAT </w:instrText>
      </w:r>
      <w:r w:rsidR="00A92E22">
        <w:fldChar w:fldCharType="separate"/>
      </w:r>
      <w:proofErr w:type="spellStart"/>
      <w:r w:rsidR="00AB1E33" w:rsidRPr="00AB1E33">
        <w:rPr>
          <w:b w:val="0"/>
        </w:rPr>
        <w:t>B.</w:t>
      </w:r>
      <w:r w:rsidR="00A92E22">
        <w:rPr>
          <w:b w:val="0"/>
        </w:rPr>
        <w:fldChar w:fldCharType="end"/>
      </w:r>
      <w:r w:rsidR="00794E05">
        <w:rPr>
          <w:b w:val="0"/>
        </w:rPr>
        <w:fldChar w:fldCharType="begin"/>
      </w:r>
      <w:r>
        <w:rPr>
          <w:b w:val="0"/>
        </w:rPr>
        <w:instrText xml:space="preserve"> SEQ Table \* ARABIC </w:instrText>
      </w:r>
      <w:r w:rsidR="00794E05">
        <w:rPr>
          <w:b w:val="0"/>
        </w:rPr>
        <w:fldChar w:fldCharType="separate"/>
      </w:r>
      <w:r w:rsidR="006367F1">
        <w:rPr>
          <w:b w:val="0"/>
          <w:noProof/>
        </w:rPr>
        <w:t>2</w:t>
      </w:r>
      <w:proofErr w:type="spellEnd"/>
      <w:r w:rsidR="00794E05">
        <w:rPr>
          <w:b w:val="0"/>
        </w:rPr>
        <w:fldChar w:fldCharType="end"/>
      </w:r>
      <w:r>
        <w:tab/>
        <w:t>Features of standard and innovation patents</w:t>
      </w:r>
    </w:p>
    <w:tbl>
      <w:tblPr>
        <w:tblW w:w="5000" w:type="pct"/>
        <w:tblCellMar>
          <w:left w:w="0" w:type="dxa"/>
          <w:right w:w="0" w:type="dxa"/>
        </w:tblCellMar>
        <w:tblLook w:val="0000" w:firstRow="0" w:lastRow="0" w:firstColumn="0" w:lastColumn="0" w:noHBand="0" w:noVBand="0"/>
      </w:tblPr>
      <w:tblGrid>
        <w:gridCol w:w="2931"/>
        <w:gridCol w:w="2930"/>
        <w:gridCol w:w="2928"/>
      </w:tblGrid>
      <w:tr w:rsidR="003C6308" w:rsidTr="003C6308">
        <w:tc>
          <w:tcPr>
            <w:tcW w:w="1667" w:type="pct"/>
            <w:tcBorders>
              <w:top w:val="single" w:sz="6" w:space="0" w:color="auto"/>
              <w:bottom w:val="single" w:sz="6" w:space="0" w:color="auto"/>
            </w:tcBorders>
            <w:shd w:val="clear" w:color="auto" w:fill="auto"/>
          </w:tcPr>
          <w:p w:rsidR="003C6308" w:rsidRDefault="003C6308" w:rsidP="003C6308">
            <w:pPr>
              <w:pStyle w:val="TableColumnHeading"/>
              <w:jc w:val="left"/>
            </w:pPr>
          </w:p>
        </w:tc>
        <w:tc>
          <w:tcPr>
            <w:tcW w:w="1667" w:type="pct"/>
            <w:tcBorders>
              <w:top w:val="single" w:sz="6" w:space="0" w:color="auto"/>
              <w:bottom w:val="single" w:sz="6" w:space="0" w:color="auto"/>
            </w:tcBorders>
            <w:shd w:val="clear" w:color="auto" w:fill="auto"/>
          </w:tcPr>
          <w:p w:rsidR="003C6308" w:rsidRDefault="003C6308" w:rsidP="003C6308">
            <w:pPr>
              <w:pStyle w:val="TableColumnHeading"/>
              <w:jc w:val="left"/>
            </w:pPr>
            <w:r>
              <w:t>Standard patent</w:t>
            </w:r>
          </w:p>
        </w:tc>
        <w:tc>
          <w:tcPr>
            <w:tcW w:w="1666" w:type="pct"/>
            <w:tcBorders>
              <w:top w:val="single" w:sz="6" w:space="0" w:color="auto"/>
              <w:bottom w:val="single" w:sz="6" w:space="0" w:color="auto"/>
            </w:tcBorders>
            <w:shd w:val="clear" w:color="auto" w:fill="auto"/>
          </w:tcPr>
          <w:p w:rsidR="003C6308" w:rsidRDefault="003C6308" w:rsidP="003C6308">
            <w:pPr>
              <w:pStyle w:val="TableColumnHeading"/>
              <w:ind w:right="28"/>
              <w:jc w:val="left"/>
            </w:pPr>
            <w:r>
              <w:t>Innovation patent</w:t>
            </w:r>
          </w:p>
        </w:tc>
      </w:tr>
      <w:tr w:rsidR="003C6308" w:rsidTr="003C6308">
        <w:tc>
          <w:tcPr>
            <w:tcW w:w="1667" w:type="pct"/>
            <w:tcBorders>
              <w:top w:val="single" w:sz="6" w:space="0" w:color="auto"/>
            </w:tcBorders>
          </w:tcPr>
          <w:p w:rsidR="003C6308" w:rsidRDefault="003C6308" w:rsidP="003C6308">
            <w:pPr>
              <w:pStyle w:val="TableUnitsRow"/>
              <w:jc w:val="left"/>
            </w:pPr>
            <w:r>
              <w:t>Patentability criteria</w:t>
            </w:r>
          </w:p>
        </w:tc>
        <w:tc>
          <w:tcPr>
            <w:tcW w:w="1667" w:type="pct"/>
            <w:tcBorders>
              <w:top w:val="single" w:sz="6" w:space="0" w:color="auto"/>
            </w:tcBorders>
          </w:tcPr>
          <w:p w:rsidR="003C6308" w:rsidRDefault="003C6308" w:rsidP="003C6308">
            <w:pPr>
              <w:pStyle w:val="TableUnitsRow"/>
              <w:jc w:val="left"/>
            </w:pPr>
            <w:r>
              <w:t>The invention must be new, useful and involve an inventive step</w:t>
            </w:r>
          </w:p>
        </w:tc>
        <w:tc>
          <w:tcPr>
            <w:tcW w:w="1666" w:type="pct"/>
            <w:tcBorders>
              <w:top w:val="single" w:sz="6" w:space="0" w:color="auto"/>
            </w:tcBorders>
          </w:tcPr>
          <w:p w:rsidR="003C6308" w:rsidRDefault="003C6308" w:rsidP="00315887">
            <w:pPr>
              <w:pStyle w:val="TableUnitsRow"/>
              <w:ind w:right="28"/>
              <w:jc w:val="left"/>
            </w:pPr>
            <w:r>
              <w:t>The invention must be new, useful and involve an innovative step</w:t>
            </w:r>
          </w:p>
        </w:tc>
      </w:tr>
      <w:tr w:rsidR="003C6308" w:rsidTr="003C6308">
        <w:tc>
          <w:tcPr>
            <w:tcW w:w="1667" w:type="pct"/>
          </w:tcPr>
          <w:p w:rsidR="003C6308" w:rsidRDefault="003C6308" w:rsidP="003C6308">
            <w:pPr>
              <w:pStyle w:val="TableBodyText"/>
              <w:jc w:val="left"/>
            </w:pPr>
            <w:r>
              <w:t>Examination requirements</w:t>
            </w:r>
          </w:p>
        </w:tc>
        <w:tc>
          <w:tcPr>
            <w:tcW w:w="1667" w:type="pct"/>
          </w:tcPr>
          <w:p w:rsidR="003C6308" w:rsidRDefault="003C6308" w:rsidP="004A3621">
            <w:pPr>
              <w:pStyle w:val="TableBodyText"/>
              <w:jc w:val="left"/>
            </w:pPr>
            <w:r>
              <w:t>Mandatory</w:t>
            </w:r>
            <w:r w:rsidR="004A3621">
              <w:t>. S</w:t>
            </w:r>
            <w:r>
              <w:t>ubstantive requirements must be met before a patent is granted</w:t>
            </w:r>
          </w:p>
        </w:tc>
        <w:tc>
          <w:tcPr>
            <w:tcW w:w="1666" w:type="pct"/>
          </w:tcPr>
          <w:p w:rsidR="003C6308" w:rsidRDefault="003C6308" w:rsidP="003C6308">
            <w:pPr>
              <w:pStyle w:val="TableBodyText"/>
              <w:ind w:right="28"/>
              <w:jc w:val="left"/>
            </w:pPr>
            <w:r>
              <w:t xml:space="preserve">Optional. Examination can be requested by a patentee or a competitor to clarify the patentee’s legal right </w:t>
            </w:r>
          </w:p>
        </w:tc>
      </w:tr>
      <w:tr w:rsidR="003C6308" w:rsidTr="003C6308">
        <w:tc>
          <w:tcPr>
            <w:tcW w:w="1667" w:type="pct"/>
            <w:shd w:val="clear" w:color="auto" w:fill="auto"/>
          </w:tcPr>
          <w:p w:rsidR="003C6308" w:rsidRDefault="003C6308" w:rsidP="003C6308">
            <w:pPr>
              <w:pStyle w:val="TableBodyText"/>
              <w:jc w:val="left"/>
            </w:pPr>
            <w:r>
              <w:t>Protection period</w:t>
            </w:r>
          </w:p>
        </w:tc>
        <w:tc>
          <w:tcPr>
            <w:tcW w:w="1667" w:type="pct"/>
            <w:shd w:val="clear" w:color="auto" w:fill="auto"/>
          </w:tcPr>
          <w:p w:rsidR="003C6308" w:rsidRDefault="003C6308" w:rsidP="005B0F7E">
            <w:pPr>
              <w:pStyle w:val="TableBodyText"/>
              <w:jc w:val="left"/>
            </w:pPr>
            <w:r>
              <w:t>20 years if annual fees paid (</w:t>
            </w:r>
            <w:r w:rsidR="005B0F7E">
              <w:t xml:space="preserve">up to </w:t>
            </w:r>
            <w:r>
              <w:t>25 years for pharmaceuticals)</w:t>
            </w:r>
          </w:p>
        </w:tc>
        <w:tc>
          <w:tcPr>
            <w:tcW w:w="1666" w:type="pct"/>
            <w:shd w:val="clear" w:color="auto" w:fill="auto"/>
          </w:tcPr>
          <w:p w:rsidR="003C6308" w:rsidRDefault="003C6308" w:rsidP="003C6308">
            <w:pPr>
              <w:pStyle w:val="TableBodyText"/>
              <w:ind w:right="28"/>
              <w:jc w:val="left"/>
            </w:pPr>
            <w:r>
              <w:t>8 years if annual fees are paid</w:t>
            </w:r>
          </w:p>
        </w:tc>
      </w:tr>
      <w:tr w:rsidR="003C6308" w:rsidTr="003C6308">
        <w:tc>
          <w:tcPr>
            <w:tcW w:w="1667" w:type="pct"/>
            <w:shd w:val="clear" w:color="auto" w:fill="auto"/>
          </w:tcPr>
          <w:p w:rsidR="003C6308" w:rsidRDefault="003C6308" w:rsidP="003C6308">
            <w:pPr>
              <w:pStyle w:val="TableBodyText"/>
              <w:jc w:val="left"/>
            </w:pPr>
            <w:r>
              <w:t>Application processing time</w:t>
            </w:r>
          </w:p>
        </w:tc>
        <w:tc>
          <w:tcPr>
            <w:tcW w:w="1667" w:type="pct"/>
            <w:shd w:val="clear" w:color="auto" w:fill="auto"/>
          </w:tcPr>
          <w:p w:rsidR="003C6308" w:rsidRDefault="003C6308" w:rsidP="003C6308">
            <w:pPr>
              <w:pStyle w:val="TableBodyText"/>
              <w:jc w:val="left"/>
            </w:pPr>
            <w:r>
              <w:t>6 months — several years (depending on circumstances)</w:t>
            </w:r>
          </w:p>
        </w:tc>
        <w:tc>
          <w:tcPr>
            <w:tcW w:w="1666" w:type="pct"/>
            <w:shd w:val="clear" w:color="auto" w:fill="auto"/>
          </w:tcPr>
          <w:p w:rsidR="003C6308" w:rsidRDefault="003C6308" w:rsidP="003C6308">
            <w:pPr>
              <w:pStyle w:val="TableBodyText"/>
              <w:ind w:right="28"/>
              <w:jc w:val="left"/>
            </w:pPr>
            <w:r>
              <w:t>1 month for grant</w:t>
            </w:r>
          </w:p>
        </w:tc>
      </w:tr>
      <w:tr w:rsidR="003C6308" w:rsidTr="003C6308">
        <w:tc>
          <w:tcPr>
            <w:tcW w:w="1667" w:type="pct"/>
            <w:tcBorders>
              <w:bottom w:val="single" w:sz="6" w:space="0" w:color="auto"/>
            </w:tcBorders>
            <w:shd w:val="clear" w:color="auto" w:fill="auto"/>
          </w:tcPr>
          <w:p w:rsidR="003C6308" w:rsidRDefault="003C6308" w:rsidP="003C6308">
            <w:pPr>
              <w:pStyle w:val="TableBodyText"/>
              <w:jc w:val="left"/>
            </w:pPr>
            <w:r>
              <w:t>Renewal fees</w:t>
            </w:r>
          </w:p>
        </w:tc>
        <w:tc>
          <w:tcPr>
            <w:tcW w:w="1667" w:type="pct"/>
            <w:tcBorders>
              <w:bottom w:val="single" w:sz="6" w:space="0" w:color="auto"/>
            </w:tcBorders>
            <w:shd w:val="clear" w:color="auto" w:fill="auto"/>
          </w:tcPr>
          <w:p w:rsidR="003C6308" w:rsidRDefault="003C6308" w:rsidP="003C6308">
            <w:pPr>
              <w:pStyle w:val="TableBodyText"/>
              <w:jc w:val="left"/>
            </w:pPr>
            <w:r>
              <w:t>Yes</w:t>
            </w:r>
          </w:p>
        </w:tc>
        <w:tc>
          <w:tcPr>
            <w:tcW w:w="1666" w:type="pct"/>
            <w:tcBorders>
              <w:bottom w:val="single" w:sz="6" w:space="0" w:color="auto"/>
            </w:tcBorders>
            <w:shd w:val="clear" w:color="auto" w:fill="auto"/>
          </w:tcPr>
          <w:p w:rsidR="003C6308" w:rsidRDefault="003C6308" w:rsidP="003C6308">
            <w:pPr>
              <w:pStyle w:val="TableBodyText"/>
              <w:ind w:right="28"/>
              <w:jc w:val="left"/>
            </w:pPr>
            <w:r>
              <w:t>Yes</w:t>
            </w:r>
          </w:p>
        </w:tc>
      </w:tr>
    </w:tbl>
    <w:p w:rsidR="003C6308" w:rsidRPr="008E77FE" w:rsidRDefault="003C6308" w:rsidP="003C6308">
      <w:pPr>
        <w:pStyle w:val="Source"/>
      </w:pPr>
      <w:r>
        <w:rPr>
          <w:i/>
        </w:rPr>
        <w:t>Source</w:t>
      </w:r>
      <w:r>
        <w:t>: IP Australia (</w:t>
      </w:r>
      <w:r w:rsidR="00B213FF">
        <w:t>nd</w:t>
      </w:r>
      <w:r>
        <w:t>a).</w:t>
      </w:r>
    </w:p>
    <w:p w:rsidR="00F76105" w:rsidRPr="00F25FDC" w:rsidRDefault="00F76105" w:rsidP="00F25FDC">
      <w:pPr>
        <w:pStyle w:val="Heading3"/>
      </w:pPr>
      <w:r w:rsidRPr="00F25FDC">
        <w:lastRenderedPageBreak/>
        <w:t xml:space="preserve">Examination requirements </w:t>
      </w:r>
    </w:p>
    <w:p w:rsidR="00EE1660" w:rsidRDefault="00EE1660" w:rsidP="00EE1660">
      <w:pPr>
        <w:pStyle w:val="BodyText"/>
        <w:rPr>
          <w:rStyle w:val="DraftingNote"/>
          <w:b w:val="0"/>
          <w:color w:val="auto"/>
          <w:sz w:val="26"/>
          <w:u w:val="none"/>
        </w:rPr>
      </w:pPr>
      <w:r>
        <w:rPr>
          <w:rStyle w:val="DraftingNote"/>
          <w:b w:val="0"/>
          <w:color w:val="auto"/>
          <w:sz w:val="26"/>
          <w:u w:val="none"/>
        </w:rPr>
        <w:t xml:space="preserve">Examination requirements apply to patents, and fees apply. </w:t>
      </w:r>
      <w:r w:rsidR="000E37C9">
        <w:rPr>
          <w:rStyle w:val="DraftingNote"/>
          <w:b w:val="0"/>
          <w:color w:val="auto"/>
          <w:sz w:val="26"/>
          <w:u w:val="none"/>
        </w:rPr>
        <w:t>In Australia, e</w:t>
      </w:r>
      <w:r>
        <w:rPr>
          <w:rStyle w:val="DraftingNote"/>
          <w:b w:val="0"/>
          <w:color w:val="auto"/>
          <w:sz w:val="26"/>
          <w:u w:val="none"/>
        </w:rPr>
        <w:t xml:space="preserve">xaminations are performed by IP Australia to determine whether an invention meets patentability criteria </w:t>
      </w:r>
      <w:r w:rsidR="009122F3">
        <w:rPr>
          <w:rStyle w:val="DraftingNote"/>
          <w:b w:val="0"/>
          <w:color w:val="auto"/>
          <w:sz w:val="26"/>
          <w:u w:val="none"/>
        </w:rPr>
        <w:t xml:space="preserve">(outlined above in box B.1) </w:t>
      </w:r>
      <w:r>
        <w:rPr>
          <w:rStyle w:val="DraftingNote"/>
          <w:b w:val="0"/>
          <w:color w:val="auto"/>
          <w:sz w:val="26"/>
          <w:u w:val="none"/>
        </w:rPr>
        <w:t xml:space="preserve">and is sufficiently well disclosed. </w:t>
      </w:r>
      <w:r w:rsidR="00BA7F78">
        <w:rPr>
          <w:rStyle w:val="DraftingNote"/>
          <w:b w:val="0"/>
          <w:color w:val="auto"/>
          <w:sz w:val="26"/>
          <w:u w:val="none"/>
        </w:rPr>
        <w:t xml:space="preserve">As part of the process, examiners will search for ‘prior art’ to determine if the invention is novel. </w:t>
      </w:r>
      <w:r>
        <w:rPr>
          <w:rStyle w:val="DraftingNote"/>
          <w:b w:val="0"/>
          <w:color w:val="auto"/>
          <w:sz w:val="26"/>
          <w:u w:val="none"/>
        </w:rPr>
        <w:t xml:space="preserve">An applicant for a standard patent must request examination within </w:t>
      </w:r>
      <w:r w:rsidR="00BA7F78">
        <w:rPr>
          <w:rStyle w:val="DraftingNote"/>
          <w:b w:val="0"/>
          <w:color w:val="auto"/>
          <w:sz w:val="26"/>
          <w:u w:val="none"/>
        </w:rPr>
        <w:t>five</w:t>
      </w:r>
      <w:r>
        <w:rPr>
          <w:rStyle w:val="DraftingNote"/>
          <w:b w:val="0"/>
          <w:color w:val="auto"/>
          <w:sz w:val="26"/>
          <w:u w:val="none"/>
        </w:rPr>
        <w:t xml:space="preserve"> years of the application being filed</w:t>
      </w:r>
      <w:r w:rsidR="00421408">
        <w:rPr>
          <w:rStyle w:val="DraftingNote"/>
          <w:b w:val="0"/>
          <w:color w:val="auto"/>
          <w:sz w:val="26"/>
          <w:u w:val="none"/>
        </w:rPr>
        <w:t xml:space="preserve"> in Australia</w:t>
      </w:r>
      <w:r>
        <w:rPr>
          <w:rStyle w:val="DraftingNote"/>
          <w:b w:val="0"/>
          <w:color w:val="auto"/>
          <w:sz w:val="26"/>
          <w:u w:val="none"/>
        </w:rPr>
        <w:t xml:space="preserve">. Standard patent applications must be examined before rights can be enforced. In contrast, innovation patents are not examined unless requested by </w:t>
      </w:r>
      <w:r w:rsidR="00150638">
        <w:rPr>
          <w:rStyle w:val="DraftingNote"/>
          <w:b w:val="0"/>
          <w:color w:val="auto"/>
          <w:sz w:val="26"/>
          <w:u w:val="none"/>
        </w:rPr>
        <w:t xml:space="preserve">the patentee or </w:t>
      </w:r>
      <w:r>
        <w:rPr>
          <w:rStyle w:val="DraftingNote"/>
          <w:b w:val="0"/>
          <w:color w:val="auto"/>
          <w:sz w:val="26"/>
          <w:u w:val="none"/>
        </w:rPr>
        <w:t xml:space="preserve">a third party. </w:t>
      </w:r>
      <w:r w:rsidR="00B85D2A">
        <w:t>Twelve months after requesting examination, IP Australia advises applicants if their application does not meet patentability requirements. Applicants can modify and resubmit their application.</w:t>
      </w:r>
      <w:r w:rsidR="00B85D2A">
        <w:rPr>
          <w:rStyle w:val="DraftingNote"/>
          <w:b w:val="0"/>
          <w:color w:val="auto"/>
          <w:sz w:val="26"/>
          <w:u w:val="none"/>
        </w:rPr>
        <w:t xml:space="preserve"> Once an application has passed examination and opposition proceedings have been resolved a patent is granted.</w:t>
      </w:r>
    </w:p>
    <w:p w:rsidR="00D74E6E" w:rsidRDefault="00D74E6E" w:rsidP="00D74E6E">
      <w:pPr>
        <w:pStyle w:val="BodyText"/>
      </w:pPr>
      <w:r>
        <w:t xml:space="preserve">Examinations of patents are required in comparable markets. Time limits for examination vary. For example, request for examination must occur within six months of </w:t>
      </w:r>
      <w:r w:rsidR="00FF73B1">
        <w:t xml:space="preserve">publication of </w:t>
      </w:r>
      <w:r>
        <w:t>a European patent</w:t>
      </w:r>
      <w:r w:rsidR="00FF73B1">
        <w:t>, which occurs 18 months after filing</w:t>
      </w:r>
      <w:r>
        <w:t xml:space="preserve">. </w:t>
      </w:r>
      <w:r w:rsidR="00FF73B1">
        <w:t>A</w:t>
      </w:r>
      <w:r>
        <w:t xml:space="preserve"> request for examination is required within three years of filing date in China</w:t>
      </w:r>
      <w:r w:rsidR="00EA3EE1">
        <w:t xml:space="preserve"> (EPO</w:t>
      </w:r>
      <w:r w:rsidR="004C4968">
        <w:t> </w:t>
      </w:r>
      <w:r w:rsidR="00EA3EE1">
        <w:t>2012</w:t>
      </w:r>
      <w:r w:rsidR="00123253">
        <w:t>a</w:t>
      </w:r>
      <w:r w:rsidR="00EA3EE1">
        <w:t>)</w:t>
      </w:r>
      <w:r>
        <w:t>, three years in Japan</w:t>
      </w:r>
      <w:r w:rsidR="004C4968">
        <w:t xml:space="preserve"> (JPO 2012</w:t>
      </w:r>
      <w:r w:rsidR="00123253">
        <w:t>a</w:t>
      </w:r>
      <w:r w:rsidR="004C4968">
        <w:t>)</w:t>
      </w:r>
      <w:r>
        <w:t xml:space="preserve"> and five years in Canada</w:t>
      </w:r>
      <w:r w:rsidR="004C4968">
        <w:t xml:space="preserve"> (CIPO 2012)</w:t>
      </w:r>
      <w:r>
        <w:t xml:space="preserve">. </w:t>
      </w:r>
      <w:r w:rsidR="00867E2A">
        <w:t>In the U</w:t>
      </w:r>
      <w:r w:rsidR="006570D5">
        <w:t xml:space="preserve">nited </w:t>
      </w:r>
      <w:r w:rsidR="00867E2A">
        <w:t>S</w:t>
      </w:r>
      <w:r w:rsidR="006570D5">
        <w:t>tates</w:t>
      </w:r>
      <w:r w:rsidR="00867E2A">
        <w:t xml:space="preserve">, </w:t>
      </w:r>
      <w:r w:rsidR="00EF6A2A">
        <w:t xml:space="preserve">applicants do not request examination. Once applications meet requirements they are examined in due course. </w:t>
      </w:r>
    </w:p>
    <w:p w:rsidR="00F76105" w:rsidRPr="00F25FDC" w:rsidRDefault="00F76105" w:rsidP="00F25FDC">
      <w:pPr>
        <w:pStyle w:val="Heading3"/>
      </w:pPr>
      <w:r w:rsidRPr="00F25FDC">
        <w:t>Opposition periods</w:t>
      </w:r>
    </w:p>
    <w:p w:rsidR="000E37C9" w:rsidRDefault="000E37C9" w:rsidP="009C1C3A">
      <w:pPr>
        <w:pStyle w:val="BodyText"/>
      </w:pPr>
      <w:r>
        <w:t>Pre-</w:t>
      </w:r>
      <w:r w:rsidR="002F4AA9">
        <w:t xml:space="preserve"> </w:t>
      </w:r>
      <w:r>
        <w:t>and post-grant patent review provisions, where the validity of patents can be challenged, exist in Australia and most comparable markets.</w:t>
      </w:r>
    </w:p>
    <w:p w:rsidR="009D7F6E" w:rsidRDefault="000E37C9" w:rsidP="009C1C3A">
      <w:pPr>
        <w:pStyle w:val="BodyText"/>
        <w:rPr>
          <w:rStyle w:val="DraftingNote"/>
          <w:b w:val="0"/>
          <w:color w:val="auto"/>
          <w:sz w:val="26"/>
          <w:u w:val="none"/>
        </w:rPr>
      </w:pPr>
      <w:r>
        <w:rPr>
          <w:rStyle w:val="DraftingNote"/>
          <w:b w:val="0"/>
          <w:color w:val="auto"/>
          <w:sz w:val="26"/>
          <w:u w:val="none"/>
        </w:rPr>
        <w:t xml:space="preserve">In Australia, </w:t>
      </w:r>
      <w:r w:rsidR="00EE1660">
        <w:rPr>
          <w:rStyle w:val="DraftingNote"/>
          <w:b w:val="0"/>
          <w:color w:val="auto"/>
          <w:sz w:val="26"/>
          <w:u w:val="none"/>
        </w:rPr>
        <w:t xml:space="preserve">an application for a standard patent </w:t>
      </w:r>
      <w:r w:rsidR="00C13483">
        <w:rPr>
          <w:rStyle w:val="DraftingNote"/>
          <w:b w:val="0"/>
          <w:color w:val="auto"/>
          <w:sz w:val="26"/>
          <w:u w:val="none"/>
        </w:rPr>
        <w:t xml:space="preserve">is published 18 months after it is accepted </w:t>
      </w:r>
      <w:r w:rsidR="00EE1660">
        <w:rPr>
          <w:rStyle w:val="DraftingNote"/>
          <w:b w:val="0"/>
          <w:color w:val="auto"/>
          <w:sz w:val="26"/>
          <w:u w:val="none"/>
        </w:rPr>
        <w:t>by IP Australia</w:t>
      </w:r>
      <w:r w:rsidR="00C13483">
        <w:rPr>
          <w:rStyle w:val="DraftingNote"/>
          <w:b w:val="0"/>
          <w:color w:val="auto"/>
          <w:sz w:val="26"/>
          <w:u w:val="none"/>
        </w:rPr>
        <w:t>. Once the application has been published</w:t>
      </w:r>
      <w:r w:rsidR="00EE1660">
        <w:rPr>
          <w:rStyle w:val="DraftingNote"/>
          <w:b w:val="0"/>
          <w:color w:val="auto"/>
          <w:sz w:val="26"/>
          <w:u w:val="none"/>
        </w:rPr>
        <w:t xml:space="preserve">, </w:t>
      </w:r>
      <w:r w:rsidR="009C1C3A">
        <w:rPr>
          <w:rStyle w:val="DraftingNote"/>
          <w:b w:val="0"/>
          <w:color w:val="auto"/>
          <w:sz w:val="26"/>
          <w:u w:val="none"/>
        </w:rPr>
        <w:t>third</w:t>
      </w:r>
      <w:r w:rsidR="00EE1660">
        <w:rPr>
          <w:rStyle w:val="DraftingNote"/>
          <w:b w:val="0"/>
          <w:color w:val="auto"/>
          <w:sz w:val="26"/>
          <w:u w:val="none"/>
        </w:rPr>
        <w:t xml:space="preserve"> parties have three months to start ‘opposition proceedings’ and challenge the </w:t>
      </w:r>
      <w:r w:rsidR="00C13483">
        <w:rPr>
          <w:rStyle w:val="DraftingNote"/>
          <w:b w:val="0"/>
          <w:color w:val="auto"/>
          <w:sz w:val="26"/>
          <w:u w:val="none"/>
        </w:rPr>
        <w:t xml:space="preserve">validity of the </w:t>
      </w:r>
      <w:r w:rsidR="00746880">
        <w:rPr>
          <w:rStyle w:val="DraftingNote"/>
          <w:b w:val="0"/>
          <w:color w:val="auto"/>
          <w:sz w:val="26"/>
          <w:u w:val="none"/>
        </w:rPr>
        <w:t>application</w:t>
      </w:r>
      <w:r w:rsidR="00EE1660">
        <w:rPr>
          <w:rStyle w:val="DraftingNote"/>
          <w:b w:val="0"/>
          <w:color w:val="auto"/>
          <w:sz w:val="26"/>
          <w:u w:val="none"/>
        </w:rPr>
        <w:t xml:space="preserve">. </w:t>
      </w:r>
      <w:r w:rsidR="008955C7">
        <w:rPr>
          <w:rStyle w:val="DraftingNote"/>
          <w:b w:val="0"/>
          <w:color w:val="auto"/>
          <w:sz w:val="26"/>
          <w:u w:val="none"/>
        </w:rPr>
        <w:t xml:space="preserve">The Federal Court </w:t>
      </w:r>
      <w:r w:rsidR="00A640C4">
        <w:rPr>
          <w:rStyle w:val="DraftingNote"/>
          <w:b w:val="0"/>
          <w:color w:val="auto"/>
          <w:sz w:val="26"/>
          <w:u w:val="none"/>
        </w:rPr>
        <w:t xml:space="preserve">has </w:t>
      </w:r>
      <w:r w:rsidR="008955C7">
        <w:rPr>
          <w:rStyle w:val="DraftingNote"/>
          <w:b w:val="0"/>
          <w:color w:val="auto"/>
          <w:sz w:val="26"/>
          <w:u w:val="none"/>
        </w:rPr>
        <w:t xml:space="preserve">noted: </w:t>
      </w:r>
    </w:p>
    <w:p w:rsidR="008955C7" w:rsidRPr="008955C7" w:rsidRDefault="00D00FB4" w:rsidP="008955C7">
      <w:pPr>
        <w:pStyle w:val="Quote"/>
        <w:rPr>
          <w:rStyle w:val="DraftingNote"/>
          <w:b w:val="0"/>
          <w:color w:val="auto"/>
          <w:u w:val="none"/>
        </w:rPr>
      </w:pPr>
      <w:r>
        <w:t xml:space="preserve">… </w:t>
      </w:r>
      <w:r w:rsidR="008955C7" w:rsidRPr="008955C7">
        <w:t>the purpose of pre-grant opposition proceedings is to provide a swift and economical means of settling disputes that would otherwise need to be dealt with by the courts in more expensive and time consuming post-grant litigation; that is, to decrease the occasion for costly revocation proceedings by ensuring that bad patents do not proceed to grant</w:t>
      </w:r>
      <w:r w:rsidR="0032292A">
        <w:t>.</w:t>
      </w:r>
      <w:r w:rsidR="008955C7" w:rsidRPr="008955C7">
        <w:t xml:space="preserve"> </w:t>
      </w:r>
      <w:r w:rsidR="008955C7" w:rsidRPr="008955C7">
        <w:rPr>
          <w:rStyle w:val="DraftingNote"/>
          <w:b w:val="0"/>
          <w:color w:val="auto"/>
          <w:u w:val="none"/>
        </w:rPr>
        <w:t xml:space="preserve">(Federal Court </w:t>
      </w:r>
      <w:r w:rsidR="007658E8">
        <w:rPr>
          <w:rStyle w:val="DraftingNote"/>
          <w:b w:val="0"/>
          <w:color w:val="auto"/>
          <w:u w:val="none"/>
        </w:rPr>
        <w:t xml:space="preserve">of </w:t>
      </w:r>
      <w:r w:rsidR="008955C7" w:rsidRPr="008955C7">
        <w:rPr>
          <w:rStyle w:val="DraftingNote"/>
          <w:b w:val="0"/>
          <w:color w:val="auto"/>
          <w:u w:val="none"/>
        </w:rPr>
        <w:t>Australia quoted in IP Australia 2009</w:t>
      </w:r>
      <w:r w:rsidR="00C16E57">
        <w:rPr>
          <w:rStyle w:val="DraftingNote"/>
          <w:b w:val="0"/>
          <w:color w:val="auto"/>
          <w:u w:val="none"/>
        </w:rPr>
        <w:t>b</w:t>
      </w:r>
      <w:r w:rsidR="00703D72">
        <w:rPr>
          <w:rStyle w:val="DraftingNote"/>
          <w:b w:val="0"/>
          <w:color w:val="auto"/>
          <w:u w:val="none"/>
        </w:rPr>
        <w:t>, p. 4</w:t>
      </w:r>
      <w:r w:rsidR="008955C7" w:rsidRPr="008955C7">
        <w:rPr>
          <w:rStyle w:val="DraftingNote"/>
          <w:b w:val="0"/>
          <w:color w:val="auto"/>
          <w:u w:val="none"/>
        </w:rPr>
        <w:t xml:space="preserve">) </w:t>
      </w:r>
    </w:p>
    <w:p w:rsidR="00EB47B1" w:rsidRDefault="008955C7" w:rsidP="008955C7">
      <w:pPr>
        <w:pStyle w:val="BodyText"/>
        <w:rPr>
          <w:rStyle w:val="DraftingNote"/>
          <w:b w:val="0"/>
          <w:color w:val="auto"/>
          <w:sz w:val="26"/>
          <w:u w:val="none"/>
        </w:rPr>
      </w:pPr>
      <w:r>
        <w:rPr>
          <w:rStyle w:val="DraftingNote"/>
          <w:b w:val="0"/>
          <w:color w:val="auto"/>
          <w:sz w:val="26"/>
          <w:u w:val="none"/>
        </w:rPr>
        <w:t xml:space="preserve">Grounds </w:t>
      </w:r>
      <w:r w:rsidR="00D00FB4">
        <w:rPr>
          <w:rStyle w:val="DraftingNote"/>
          <w:b w:val="0"/>
          <w:color w:val="auto"/>
          <w:sz w:val="26"/>
          <w:u w:val="none"/>
        </w:rPr>
        <w:t xml:space="preserve">for filing opposition include: </w:t>
      </w:r>
    </w:p>
    <w:p w:rsidR="00EB47B1" w:rsidRDefault="00D00FB4" w:rsidP="00EB47B1">
      <w:pPr>
        <w:pStyle w:val="ListBullet"/>
        <w:rPr>
          <w:rStyle w:val="DraftingNote"/>
          <w:b w:val="0"/>
          <w:color w:val="auto"/>
          <w:sz w:val="26"/>
          <w:u w:val="none"/>
        </w:rPr>
      </w:pPr>
      <w:r>
        <w:rPr>
          <w:rStyle w:val="DraftingNote"/>
          <w:b w:val="0"/>
          <w:color w:val="auto"/>
          <w:sz w:val="26"/>
          <w:u w:val="none"/>
        </w:rPr>
        <w:t>t</w:t>
      </w:r>
      <w:r w:rsidR="008955C7">
        <w:rPr>
          <w:rStyle w:val="DraftingNote"/>
          <w:b w:val="0"/>
          <w:color w:val="auto"/>
          <w:sz w:val="26"/>
          <w:u w:val="none"/>
        </w:rPr>
        <w:t>he applicant is not the person entitled to the patent</w:t>
      </w:r>
    </w:p>
    <w:p w:rsidR="00EB47B1" w:rsidRDefault="008955C7" w:rsidP="00EB47B1">
      <w:pPr>
        <w:pStyle w:val="ListBullet"/>
        <w:rPr>
          <w:rStyle w:val="DraftingNote"/>
          <w:b w:val="0"/>
          <w:color w:val="auto"/>
          <w:sz w:val="26"/>
          <w:u w:val="none"/>
        </w:rPr>
      </w:pPr>
      <w:r>
        <w:rPr>
          <w:rStyle w:val="DraftingNote"/>
          <w:b w:val="0"/>
          <w:color w:val="auto"/>
          <w:sz w:val="26"/>
          <w:u w:val="none"/>
        </w:rPr>
        <w:lastRenderedPageBreak/>
        <w:t>the invention is not</w:t>
      </w:r>
      <w:r w:rsidR="00EB47B1">
        <w:rPr>
          <w:rStyle w:val="DraftingNote"/>
          <w:b w:val="0"/>
          <w:color w:val="auto"/>
          <w:sz w:val="26"/>
          <w:u w:val="none"/>
        </w:rPr>
        <w:t xml:space="preserve"> </w:t>
      </w:r>
      <w:r>
        <w:rPr>
          <w:rStyle w:val="DraftingNote"/>
          <w:b w:val="0"/>
          <w:color w:val="auto"/>
          <w:sz w:val="26"/>
          <w:u w:val="none"/>
        </w:rPr>
        <w:t xml:space="preserve">a </w:t>
      </w:r>
      <w:r w:rsidR="00EB47B1">
        <w:rPr>
          <w:rStyle w:val="DraftingNote"/>
          <w:b w:val="0"/>
          <w:color w:val="auto"/>
          <w:sz w:val="26"/>
          <w:u w:val="none"/>
        </w:rPr>
        <w:t>‘</w:t>
      </w:r>
      <w:r>
        <w:rPr>
          <w:rStyle w:val="DraftingNote"/>
          <w:b w:val="0"/>
          <w:color w:val="auto"/>
          <w:sz w:val="26"/>
          <w:u w:val="none"/>
        </w:rPr>
        <w:t>manner of manufacture</w:t>
      </w:r>
      <w:r w:rsidR="00EB47B1">
        <w:rPr>
          <w:rStyle w:val="DraftingNote"/>
          <w:b w:val="0"/>
          <w:color w:val="auto"/>
          <w:sz w:val="26"/>
          <w:u w:val="none"/>
        </w:rPr>
        <w:t>’,</w:t>
      </w:r>
      <w:r>
        <w:rPr>
          <w:rStyle w:val="DraftingNote"/>
          <w:b w:val="0"/>
          <w:color w:val="auto"/>
          <w:sz w:val="26"/>
          <w:u w:val="none"/>
        </w:rPr>
        <w:t xml:space="preserve"> novel nor involves an inventive step</w:t>
      </w:r>
    </w:p>
    <w:p w:rsidR="00EB47B1" w:rsidRDefault="008955C7" w:rsidP="00EB47B1">
      <w:pPr>
        <w:pStyle w:val="ListBullet"/>
        <w:rPr>
          <w:rStyle w:val="DraftingNote"/>
          <w:b w:val="0"/>
          <w:color w:val="auto"/>
          <w:sz w:val="26"/>
          <w:u w:val="none"/>
        </w:rPr>
      </w:pPr>
      <w:r>
        <w:rPr>
          <w:rStyle w:val="DraftingNote"/>
          <w:b w:val="0"/>
          <w:color w:val="auto"/>
          <w:sz w:val="26"/>
          <w:u w:val="none"/>
        </w:rPr>
        <w:t>the patent is not sufficiently well disclosed</w:t>
      </w:r>
    </w:p>
    <w:p w:rsidR="00EB47B1" w:rsidRDefault="008955C7" w:rsidP="00EB47B1">
      <w:pPr>
        <w:pStyle w:val="ListBullet"/>
        <w:rPr>
          <w:rStyle w:val="DraftingNote"/>
          <w:b w:val="0"/>
          <w:color w:val="auto"/>
          <w:sz w:val="26"/>
          <w:u w:val="none"/>
        </w:rPr>
      </w:pPr>
      <w:r>
        <w:rPr>
          <w:rStyle w:val="DraftingNote"/>
          <w:b w:val="0"/>
          <w:color w:val="auto"/>
          <w:sz w:val="26"/>
          <w:u w:val="none"/>
        </w:rPr>
        <w:t>the patent relates to human beings o</w:t>
      </w:r>
      <w:r w:rsidR="0032292A">
        <w:rPr>
          <w:rStyle w:val="DraftingNote"/>
          <w:b w:val="0"/>
          <w:color w:val="auto"/>
          <w:sz w:val="26"/>
          <w:u w:val="none"/>
        </w:rPr>
        <w:t>r</w:t>
      </w:r>
      <w:r>
        <w:rPr>
          <w:rStyle w:val="DraftingNote"/>
          <w:b w:val="0"/>
          <w:color w:val="auto"/>
          <w:sz w:val="26"/>
          <w:u w:val="none"/>
        </w:rPr>
        <w:t xml:space="preserve"> the biological processes for their generation. </w:t>
      </w:r>
    </w:p>
    <w:p w:rsidR="00B743F0" w:rsidRDefault="00FD30C3" w:rsidP="00EB47B1">
      <w:pPr>
        <w:pStyle w:val="BodyText"/>
        <w:rPr>
          <w:rStyle w:val="DraftingNote"/>
          <w:b w:val="0"/>
          <w:color w:val="auto"/>
          <w:sz w:val="26"/>
          <w:u w:val="none"/>
        </w:rPr>
      </w:pPr>
      <w:r>
        <w:rPr>
          <w:rStyle w:val="DraftingNote"/>
          <w:b w:val="0"/>
          <w:color w:val="auto"/>
          <w:sz w:val="26"/>
          <w:u w:val="none"/>
        </w:rPr>
        <w:t xml:space="preserve">Innovation patents can also be opposed, but only after the patent is granted. </w:t>
      </w:r>
      <w:r w:rsidR="007A7E80">
        <w:rPr>
          <w:rStyle w:val="DraftingNote"/>
          <w:b w:val="0"/>
          <w:color w:val="auto"/>
          <w:sz w:val="26"/>
          <w:u w:val="none"/>
        </w:rPr>
        <w:t xml:space="preserve">Filing an opposition to a standard or innovation patent costs $600. </w:t>
      </w:r>
      <w:r w:rsidR="007B29E8">
        <w:rPr>
          <w:rStyle w:val="DraftingNote"/>
          <w:b w:val="0"/>
          <w:color w:val="auto"/>
          <w:sz w:val="26"/>
          <w:u w:val="none"/>
        </w:rPr>
        <w:t>In the past decade, b</w:t>
      </w:r>
      <w:r w:rsidR="00B743F0">
        <w:rPr>
          <w:rStyle w:val="DraftingNote"/>
          <w:b w:val="0"/>
          <w:color w:val="auto"/>
          <w:sz w:val="26"/>
          <w:u w:val="none"/>
        </w:rPr>
        <w:t xml:space="preserve">etween 100 and 200 oppositions have been filed </w:t>
      </w:r>
      <w:r w:rsidR="004B68FA">
        <w:rPr>
          <w:rStyle w:val="DraftingNote"/>
          <w:b w:val="0"/>
          <w:color w:val="auto"/>
          <w:sz w:val="26"/>
          <w:u w:val="none"/>
        </w:rPr>
        <w:t>each</w:t>
      </w:r>
      <w:r w:rsidR="007B29E8">
        <w:rPr>
          <w:rStyle w:val="DraftingNote"/>
          <w:b w:val="0"/>
          <w:color w:val="auto"/>
          <w:sz w:val="26"/>
          <w:u w:val="none"/>
        </w:rPr>
        <w:t xml:space="preserve"> </w:t>
      </w:r>
      <w:r w:rsidR="00B743F0">
        <w:rPr>
          <w:rStyle w:val="DraftingNote"/>
          <w:b w:val="0"/>
          <w:color w:val="auto"/>
          <w:sz w:val="26"/>
          <w:u w:val="none"/>
        </w:rPr>
        <w:t>year</w:t>
      </w:r>
      <w:r w:rsidR="00EB47B1">
        <w:rPr>
          <w:rStyle w:val="DraftingNote"/>
          <w:b w:val="0"/>
          <w:color w:val="auto"/>
          <w:sz w:val="26"/>
          <w:u w:val="none"/>
        </w:rPr>
        <w:t xml:space="preserve">, which is very small </w:t>
      </w:r>
      <w:r w:rsidR="00E915F1">
        <w:rPr>
          <w:rStyle w:val="DraftingNote"/>
          <w:b w:val="0"/>
          <w:color w:val="auto"/>
          <w:sz w:val="26"/>
          <w:u w:val="none"/>
        </w:rPr>
        <w:t xml:space="preserve">in comparison </w:t>
      </w:r>
      <w:r w:rsidR="00EB47B1">
        <w:rPr>
          <w:rStyle w:val="DraftingNote"/>
          <w:b w:val="0"/>
          <w:color w:val="auto"/>
          <w:sz w:val="26"/>
          <w:u w:val="none"/>
        </w:rPr>
        <w:t xml:space="preserve">to the number of patent applications in recent years (about 25 000 per year) </w:t>
      </w:r>
      <w:r w:rsidR="00562365">
        <w:rPr>
          <w:rStyle w:val="DraftingNote"/>
          <w:b w:val="0"/>
          <w:color w:val="auto"/>
          <w:sz w:val="26"/>
          <w:u w:val="none"/>
        </w:rPr>
        <w:t>(IP Australia 2012</w:t>
      </w:r>
      <w:r w:rsidR="00D05778">
        <w:rPr>
          <w:rStyle w:val="DraftingNote"/>
          <w:b w:val="0"/>
          <w:color w:val="auto"/>
          <w:sz w:val="26"/>
          <w:u w:val="none"/>
        </w:rPr>
        <w:t>j</w:t>
      </w:r>
      <w:r w:rsidR="00EB47B1">
        <w:rPr>
          <w:rStyle w:val="DraftingNote"/>
          <w:b w:val="0"/>
          <w:color w:val="auto"/>
          <w:sz w:val="26"/>
          <w:u w:val="none"/>
        </w:rPr>
        <w:t>; chapter 4</w:t>
      </w:r>
      <w:r w:rsidR="00562365">
        <w:rPr>
          <w:rStyle w:val="DraftingNote"/>
          <w:b w:val="0"/>
          <w:color w:val="auto"/>
          <w:sz w:val="26"/>
          <w:u w:val="none"/>
        </w:rPr>
        <w:t>)</w:t>
      </w:r>
      <w:r w:rsidR="00B743F0">
        <w:rPr>
          <w:rStyle w:val="DraftingNote"/>
          <w:b w:val="0"/>
          <w:color w:val="auto"/>
          <w:sz w:val="26"/>
          <w:u w:val="none"/>
        </w:rPr>
        <w:t xml:space="preserve">. </w:t>
      </w:r>
    </w:p>
    <w:p w:rsidR="009C1C3A" w:rsidRDefault="00A640C4" w:rsidP="008955C7">
      <w:pPr>
        <w:pStyle w:val="BodyText"/>
      </w:pPr>
      <w:r>
        <w:rPr>
          <w:rStyle w:val="DraftingNote"/>
          <w:b w:val="0"/>
          <w:color w:val="auto"/>
          <w:sz w:val="26"/>
          <w:u w:val="none"/>
        </w:rPr>
        <w:t xml:space="preserve">After </w:t>
      </w:r>
      <w:r w:rsidR="00C13483">
        <w:rPr>
          <w:rStyle w:val="DraftingNote"/>
          <w:b w:val="0"/>
          <w:color w:val="auto"/>
          <w:sz w:val="26"/>
          <w:u w:val="none"/>
        </w:rPr>
        <w:t>an application has passed examination and</w:t>
      </w:r>
      <w:r>
        <w:rPr>
          <w:rStyle w:val="DraftingNote"/>
          <w:b w:val="0"/>
          <w:color w:val="auto"/>
          <w:sz w:val="26"/>
          <w:u w:val="none"/>
        </w:rPr>
        <w:t xml:space="preserve"> </w:t>
      </w:r>
      <w:r w:rsidR="00C13483">
        <w:rPr>
          <w:rStyle w:val="DraftingNote"/>
          <w:b w:val="0"/>
          <w:color w:val="auto"/>
          <w:sz w:val="26"/>
          <w:u w:val="none"/>
        </w:rPr>
        <w:t xml:space="preserve">any </w:t>
      </w:r>
      <w:r w:rsidR="00EE1660">
        <w:rPr>
          <w:rStyle w:val="DraftingNote"/>
          <w:b w:val="0"/>
          <w:color w:val="auto"/>
          <w:sz w:val="26"/>
          <w:u w:val="none"/>
        </w:rPr>
        <w:t xml:space="preserve">opposition </w:t>
      </w:r>
      <w:r w:rsidR="00C13483">
        <w:rPr>
          <w:rStyle w:val="DraftingNote"/>
          <w:b w:val="0"/>
          <w:color w:val="auto"/>
          <w:sz w:val="26"/>
          <w:u w:val="none"/>
        </w:rPr>
        <w:t xml:space="preserve">proceedings have been resolved, </w:t>
      </w:r>
      <w:r>
        <w:rPr>
          <w:rStyle w:val="DraftingNote"/>
          <w:b w:val="0"/>
          <w:color w:val="auto"/>
          <w:sz w:val="26"/>
          <w:u w:val="none"/>
        </w:rPr>
        <w:t>an</w:t>
      </w:r>
      <w:r w:rsidR="00C13483">
        <w:rPr>
          <w:rStyle w:val="DraftingNote"/>
          <w:b w:val="0"/>
          <w:color w:val="auto"/>
          <w:sz w:val="26"/>
          <w:u w:val="none"/>
        </w:rPr>
        <w:t xml:space="preserve"> </w:t>
      </w:r>
      <w:r w:rsidR="00EE1660">
        <w:rPr>
          <w:rStyle w:val="DraftingNote"/>
          <w:b w:val="0"/>
          <w:color w:val="auto"/>
          <w:sz w:val="26"/>
          <w:u w:val="none"/>
        </w:rPr>
        <w:t>application is sealed</w:t>
      </w:r>
      <w:r w:rsidR="00393E6F">
        <w:rPr>
          <w:rStyle w:val="DraftingNote"/>
          <w:b w:val="0"/>
          <w:color w:val="auto"/>
          <w:sz w:val="26"/>
          <w:u w:val="none"/>
        </w:rPr>
        <w:t xml:space="preserve"> and becomes a granted patent</w:t>
      </w:r>
      <w:r w:rsidR="009D7F6E">
        <w:rPr>
          <w:rStyle w:val="DraftingNote"/>
          <w:b w:val="0"/>
          <w:color w:val="auto"/>
          <w:sz w:val="26"/>
          <w:u w:val="none"/>
        </w:rPr>
        <w:t xml:space="preserve">, but can still be challenged </w:t>
      </w:r>
      <w:r w:rsidR="008955C7">
        <w:rPr>
          <w:rStyle w:val="DraftingNote"/>
          <w:b w:val="0"/>
          <w:color w:val="auto"/>
          <w:sz w:val="26"/>
          <w:u w:val="none"/>
        </w:rPr>
        <w:t>through re-examination or revocation</w:t>
      </w:r>
      <w:r w:rsidR="00EE1660">
        <w:rPr>
          <w:rStyle w:val="DraftingNote"/>
          <w:b w:val="0"/>
          <w:color w:val="auto"/>
          <w:sz w:val="26"/>
          <w:u w:val="none"/>
        </w:rPr>
        <w:t>.</w:t>
      </w:r>
      <w:r w:rsidR="009C1C3A">
        <w:rPr>
          <w:rStyle w:val="DraftingNote"/>
          <w:b w:val="0"/>
          <w:color w:val="auto"/>
          <w:sz w:val="26"/>
          <w:u w:val="none"/>
        </w:rPr>
        <w:t xml:space="preserve"> </w:t>
      </w:r>
      <w:r w:rsidR="008955C7">
        <w:t xml:space="preserve">Requests </w:t>
      </w:r>
      <w:r w:rsidR="00D17D45">
        <w:t>for re-examination can be made</w:t>
      </w:r>
      <w:r w:rsidR="008955C7">
        <w:t xml:space="preserve"> </w:t>
      </w:r>
      <w:r w:rsidR="00DE4F77">
        <w:t xml:space="preserve">to IP Australia </w:t>
      </w:r>
      <w:r w:rsidR="008955C7">
        <w:t>on more limited grounds</w:t>
      </w:r>
      <w:r w:rsidR="00DE4F77">
        <w:t xml:space="preserve"> than for opposition proceedings</w:t>
      </w:r>
      <w:r w:rsidR="009C1C3A">
        <w:t xml:space="preserve">. </w:t>
      </w:r>
      <w:r w:rsidR="008C510A">
        <w:t xml:space="preserve">An application for revocation </w:t>
      </w:r>
      <w:r w:rsidR="00D17D45">
        <w:t xml:space="preserve">can be made </w:t>
      </w:r>
      <w:r w:rsidR="00DE4F77">
        <w:t xml:space="preserve">to the Federal Court of Australia </w:t>
      </w:r>
      <w:r w:rsidR="00D17D45">
        <w:t xml:space="preserve">on </w:t>
      </w:r>
      <w:r w:rsidR="008C510A">
        <w:t xml:space="preserve">broader grounds than for opposition proceedings or re-examination. </w:t>
      </w:r>
    </w:p>
    <w:p w:rsidR="00D74E6E" w:rsidRDefault="00D74E6E" w:rsidP="00D74E6E">
      <w:pPr>
        <w:pStyle w:val="BodyText"/>
      </w:pPr>
      <w:r>
        <w:t xml:space="preserve">Opposition proceedings are available in some comparable markets subject to time limits, which are similar across countries. For example, notices of opposition can be filed within three months of a patent being published in New Zealand and within nine months in the European Union. Opposition proceedings have been abolished in a number of </w:t>
      </w:r>
      <w:r w:rsidR="00397C17">
        <w:t xml:space="preserve">other </w:t>
      </w:r>
      <w:r>
        <w:t>countries</w:t>
      </w:r>
      <w:r w:rsidR="002E3358">
        <w:t>. For example, opposition proceedings were abolished in Japan in 2004 because the system was considered redundant given invalidation proceedings were available (Okuyama 2007).</w:t>
      </w:r>
      <w:r>
        <w:t xml:space="preserve"> Post</w:t>
      </w:r>
      <w:r>
        <w:noBreakHyphen/>
        <w:t xml:space="preserve">grant procedures for challenging patents exist in </w:t>
      </w:r>
      <w:r w:rsidR="007B29E8">
        <w:t xml:space="preserve">almost all </w:t>
      </w:r>
      <w:r>
        <w:t xml:space="preserve">comparable markets. For example, </w:t>
      </w:r>
      <w:r w:rsidR="007B29E8">
        <w:t>i</w:t>
      </w:r>
      <w:r>
        <w:t>n the U</w:t>
      </w:r>
      <w:r w:rsidR="006570D5">
        <w:t xml:space="preserve">nited </w:t>
      </w:r>
      <w:r>
        <w:t>S</w:t>
      </w:r>
      <w:r w:rsidR="006570D5">
        <w:t>tates</w:t>
      </w:r>
      <w:r>
        <w:t xml:space="preserve">, a request for re-examination of a patent can be made by anyone at any time during </w:t>
      </w:r>
      <w:r w:rsidR="0032292A">
        <w:t xml:space="preserve">the term of a </w:t>
      </w:r>
      <w:r>
        <w:t>patent</w:t>
      </w:r>
      <w:r w:rsidR="003F6AAD">
        <w:t xml:space="preserve"> (USPTO 2012</w:t>
      </w:r>
      <w:r w:rsidR="005B0F7E">
        <w:t>a</w:t>
      </w:r>
      <w:r w:rsidR="003F6AAD">
        <w:t>)</w:t>
      </w:r>
      <w:r>
        <w:t xml:space="preserve">. </w:t>
      </w:r>
    </w:p>
    <w:p w:rsidR="00863F5F" w:rsidRDefault="00863F5F" w:rsidP="00863F5F">
      <w:pPr>
        <w:pStyle w:val="Heading3"/>
      </w:pPr>
      <w:r>
        <w:t>Patent fees</w:t>
      </w:r>
    </w:p>
    <w:p w:rsidR="004B68FA" w:rsidRDefault="000E37C9" w:rsidP="000E37C9">
      <w:pPr>
        <w:pStyle w:val="BodyText"/>
      </w:pPr>
      <w:r>
        <w:rPr>
          <w:rStyle w:val="DraftingNote"/>
          <w:b w:val="0"/>
          <w:color w:val="auto"/>
          <w:sz w:val="26"/>
          <w:u w:val="none"/>
        </w:rPr>
        <w:t xml:space="preserve">Once a patent is granted, the patent holder must pay annual renewal (maintenance) fees to keep the patent in force. </w:t>
      </w:r>
      <w:r>
        <w:t xml:space="preserve">Table B.3 </w:t>
      </w:r>
      <w:r w:rsidR="00E87959">
        <w:t xml:space="preserve">provides </w:t>
      </w:r>
      <w:r>
        <w:t>a non-exhaustive li</w:t>
      </w:r>
      <w:r w:rsidR="004B68FA">
        <w:t xml:space="preserve">st of fees </w:t>
      </w:r>
      <w:r w:rsidR="009122F3">
        <w:t xml:space="preserve">through the life cycle of </w:t>
      </w:r>
      <w:r w:rsidR="003C6308">
        <w:t xml:space="preserve">patents </w:t>
      </w:r>
      <w:r w:rsidR="004B68FA">
        <w:t>in Australia.</w:t>
      </w:r>
      <w:r w:rsidR="009122F3">
        <w:t xml:space="preserve"> Standard, innovation and </w:t>
      </w:r>
      <w:r w:rsidR="00721BB6">
        <w:t>Patent Cooperation Treaty (</w:t>
      </w:r>
      <w:r w:rsidR="009122F3">
        <w:t>PCT</w:t>
      </w:r>
      <w:r w:rsidR="00721BB6">
        <w:t>)</w:t>
      </w:r>
      <w:r w:rsidR="009122F3">
        <w:t xml:space="preserve"> applications are considered. Applicable fees vary considerably depending on events that occur during the life cycle of a patent. </w:t>
      </w:r>
    </w:p>
    <w:p w:rsidR="00204D86" w:rsidRDefault="00ED2745" w:rsidP="00204D86">
      <w:pPr>
        <w:pStyle w:val="TableTitle"/>
      </w:pPr>
      <w:r>
        <w:rPr>
          <w:b w:val="0"/>
        </w:rPr>
        <w:lastRenderedPageBreak/>
        <w:t xml:space="preserve">Table </w:t>
      </w:r>
      <w:r w:rsidR="00A92E22">
        <w:fldChar w:fldCharType="begin"/>
      </w:r>
      <w:r w:rsidR="00A92E22">
        <w:instrText xml:space="preserve"> COMMENTS  \* MERGEFORMAT </w:instrText>
      </w:r>
      <w:r w:rsidR="00A92E22">
        <w:fldChar w:fldCharType="separate"/>
      </w:r>
      <w:proofErr w:type="spellStart"/>
      <w:r w:rsidR="00AB1E33" w:rsidRPr="00AB1E33">
        <w:rPr>
          <w:b w:val="0"/>
        </w:rPr>
        <w:t>B.</w:t>
      </w:r>
      <w:r w:rsidR="00A92E22">
        <w:rPr>
          <w:b w:val="0"/>
        </w:rPr>
        <w:fldChar w:fldCharType="end"/>
      </w:r>
      <w:r w:rsidR="00794E05">
        <w:rPr>
          <w:b w:val="0"/>
        </w:rPr>
        <w:fldChar w:fldCharType="begin"/>
      </w:r>
      <w:r>
        <w:rPr>
          <w:b w:val="0"/>
        </w:rPr>
        <w:instrText xml:space="preserve"> SEQ Table \* ARABIC </w:instrText>
      </w:r>
      <w:r w:rsidR="00794E05">
        <w:rPr>
          <w:b w:val="0"/>
        </w:rPr>
        <w:fldChar w:fldCharType="separate"/>
      </w:r>
      <w:r w:rsidR="006367F1">
        <w:rPr>
          <w:b w:val="0"/>
          <w:noProof/>
        </w:rPr>
        <w:t>3</w:t>
      </w:r>
      <w:proofErr w:type="spellEnd"/>
      <w:r w:rsidR="00794E05">
        <w:rPr>
          <w:b w:val="0"/>
        </w:rPr>
        <w:fldChar w:fldCharType="end"/>
      </w:r>
      <w:r>
        <w:tab/>
      </w:r>
      <w:r w:rsidR="00204D86">
        <w:t>Patent fees in Australia</w:t>
      </w:r>
      <w:r w:rsidR="00204D86" w:rsidRPr="00204D86">
        <w:rPr>
          <w:rStyle w:val="NoteLabel"/>
          <w:b/>
        </w:rPr>
        <w:t>a</w:t>
      </w:r>
    </w:p>
    <w:tbl>
      <w:tblPr>
        <w:tblW w:w="5000" w:type="pct"/>
        <w:tblCellMar>
          <w:left w:w="0" w:type="dxa"/>
          <w:right w:w="0" w:type="dxa"/>
        </w:tblCellMar>
        <w:tblLook w:val="0000" w:firstRow="0" w:lastRow="0" w:firstColumn="0" w:lastColumn="0" w:noHBand="0" w:noVBand="0"/>
      </w:tblPr>
      <w:tblGrid>
        <w:gridCol w:w="5245"/>
        <w:gridCol w:w="1842"/>
        <w:gridCol w:w="1702"/>
      </w:tblGrid>
      <w:tr w:rsidR="00204D86" w:rsidTr="00740F1A">
        <w:tc>
          <w:tcPr>
            <w:tcW w:w="2984" w:type="pct"/>
            <w:tcBorders>
              <w:top w:val="single" w:sz="6" w:space="0" w:color="auto"/>
              <w:bottom w:val="single" w:sz="6" w:space="0" w:color="auto"/>
            </w:tcBorders>
            <w:shd w:val="clear" w:color="auto" w:fill="auto"/>
          </w:tcPr>
          <w:p w:rsidR="00204D86" w:rsidRDefault="00204D86" w:rsidP="00713D53">
            <w:pPr>
              <w:pStyle w:val="TableColumnHeading"/>
              <w:jc w:val="left"/>
            </w:pPr>
          </w:p>
        </w:tc>
        <w:tc>
          <w:tcPr>
            <w:tcW w:w="1048" w:type="pct"/>
            <w:tcBorders>
              <w:top w:val="single" w:sz="6" w:space="0" w:color="auto"/>
              <w:bottom w:val="single" w:sz="6" w:space="0" w:color="auto"/>
            </w:tcBorders>
            <w:shd w:val="clear" w:color="auto" w:fill="auto"/>
          </w:tcPr>
          <w:p w:rsidR="00204D86" w:rsidRDefault="00204D86" w:rsidP="00713D53">
            <w:pPr>
              <w:pStyle w:val="TableColumnHeading"/>
            </w:pPr>
            <w:r>
              <w:t>Standard</w:t>
            </w:r>
          </w:p>
        </w:tc>
        <w:tc>
          <w:tcPr>
            <w:tcW w:w="968" w:type="pct"/>
            <w:tcBorders>
              <w:top w:val="single" w:sz="6" w:space="0" w:color="auto"/>
              <w:bottom w:val="single" w:sz="6" w:space="0" w:color="auto"/>
            </w:tcBorders>
            <w:shd w:val="clear" w:color="auto" w:fill="auto"/>
          </w:tcPr>
          <w:p w:rsidR="00204D86" w:rsidRDefault="00204D86" w:rsidP="00713D53">
            <w:pPr>
              <w:pStyle w:val="TableColumnHeading"/>
              <w:ind w:right="28"/>
            </w:pPr>
            <w:r>
              <w:t>Innovation</w:t>
            </w:r>
          </w:p>
        </w:tc>
      </w:tr>
      <w:tr w:rsidR="00204D86" w:rsidTr="00740F1A">
        <w:tc>
          <w:tcPr>
            <w:tcW w:w="2984" w:type="pct"/>
            <w:tcBorders>
              <w:top w:val="single" w:sz="6" w:space="0" w:color="auto"/>
            </w:tcBorders>
          </w:tcPr>
          <w:p w:rsidR="00204D86" w:rsidRDefault="00204D86" w:rsidP="00713D53">
            <w:pPr>
              <w:pStyle w:val="TableUnitsRow"/>
              <w:jc w:val="left"/>
            </w:pPr>
          </w:p>
        </w:tc>
        <w:tc>
          <w:tcPr>
            <w:tcW w:w="1048" w:type="pct"/>
            <w:tcBorders>
              <w:top w:val="single" w:sz="6" w:space="0" w:color="auto"/>
            </w:tcBorders>
          </w:tcPr>
          <w:p w:rsidR="00204D86" w:rsidRDefault="00204D86" w:rsidP="00713D53">
            <w:pPr>
              <w:pStyle w:val="TableUnitsRow"/>
            </w:pPr>
          </w:p>
        </w:tc>
        <w:tc>
          <w:tcPr>
            <w:tcW w:w="968" w:type="pct"/>
            <w:tcBorders>
              <w:top w:val="single" w:sz="6" w:space="0" w:color="auto"/>
            </w:tcBorders>
          </w:tcPr>
          <w:p w:rsidR="00204D86" w:rsidRDefault="00204D86" w:rsidP="00713D53">
            <w:pPr>
              <w:pStyle w:val="TableUnitsRow"/>
              <w:ind w:right="28"/>
            </w:pPr>
          </w:p>
        </w:tc>
      </w:tr>
      <w:tr w:rsidR="00204D86" w:rsidTr="0032292A">
        <w:tc>
          <w:tcPr>
            <w:tcW w:w="2984" w:type="pct"/>
            <w:vAlign w:val="bottom"/>
          </w:tcPr>
          <w:p w:rsidR="00204D86" w:rsidRDefault="00204D86" w:rsidP="0032292A">
            <w:pPr>
              <w:pStyle w:val="TableBodyText"/>
              <w:jc w:val="left"/>
            </w:pPr>
            <w:r>
              <w:t>Provisional patent application request</w:t>
            </w:r>
          </w:p>
        </w:tc>
        <w:tc>
          <w:tcPr>
            <w:tcW w:w="1048" w:type="pct"/>
            <w:vAlign w:val="bottom"/>
          </w:tcPr>
          <w:p w:rsidR="00204D86" w:rsidRDefault="00204D86" w:rsidP="0032292A">
            <w:pPr>
              <w:pStyle w:val="TableBodyText"/>
            </w:pPr>
            <w:r>
              <w:t>$110</w:t>
            </w:r>
          </w:p>
        </w:tc>
        <w:tc>
          <w:tcPr>
            <w:tcW w:w="968" w:type="pct"/>
            <w:vAlign w:val="bottom"/>
          </w:tcPr>
          <w:p w:rsidR="00204D86" w:rsidRPr="00A31C5B" w:rsidRDefault="008B683D" w:rsidP="0032292A">
            <w:pPr>
              <w:pStyle w:val="TableBodyText"/>
              <w:rPr>
                <w:b/>
              </w:rPr>
            </w:pPr>
            <w:r>
              <w:rPr>
                <w:b/>
              </w:rPr>
              <w:t>..</w:t>
            </w:r>
          </w:p>
        </w:tc>
      </w:tr>
      <w:tr w:rsidR="00204D86" w:rsidTr="0032292A">
        <w:tc>
          <w:tcPr>
            <w:tcW w:w="2984" w:type="pct"/>
            <w:vAlign w:val="bottom"/>
          </w:tcPr>
          <w:p w:rsidR="00204D86" w:rsidRDefault="00713D53" w:rsidP="0032292A">
            <w:pPr>
              <w:pStyle w:val="TableBodyText"/>
              <w:jc w:val="left"/>
            </w:pPr>
            <w:r>
              <w:t>Co</w:t>
            </w:r>
            <w:r w:rsidR="00204D86">
              <w:t>mp</w:t>
            </w:r>
            <w:r>
              <w:t>l</w:t>
            </w:r>
            <w:r w:rsidR="00204D86">
              <w:t>ete patent application</w:t>
            </w:r>
          </w:p>
        </w:tc>
        <w:tc>
          <w:tcPr>
            <w:tcW w:w="1048" w:type="pct"/>
            <w:vAlign w:val="bottom"/>
          </w:tcPr>
          <w:p w:rsidR="00204D86" w:rsidRDefault="00204D86" w:rsidP="0032292A">
            <w:pPr>
              <w:pStyle w:val="TableBodyText"/>
            </w:pPr>
            <w:r>
              <w:t>$370</w:t>
            </w:r>
          </w:p>
        </w:tc>
        <w:tc>
          <w:tcPr>
            <w:tcW w:w="968" w:type="pct"/>
            <w:vAlign w:val="bottom"/>
          </w:tcPr>
          <w:p w:rsidR="00204D86" w:rsidRDefault="00204D86" w:rsidP="0032292A">
            <w:pPr>
              <w:pStyle w:val="TableBodyText"/>
            </w:pPr>
            <w:r>
              <w:t>$180</w:t>
            </w:r>
          </w:p>
        </w:tc>
      </w:tr>
      <w:tr w:rsidR="007A7E80" w:rsidTr="0032292A">
        <w:tc>
          <w:tcPr>
            <w:tcW w:w="2984" w:type="pct"/>
            <w:vAlign w:val="bottom"/>
          </w:tcPr>
          <w:p w:rsidR="007A7E80" w:rsidRDefault="007A7E80" w:rsidP="0032292A">
            <w:pPr>
              <w:pStyle w:val="TableBodyText"/>
              <w:jc w:val="left"/>
            </w:pPr>
            <w:r>
              <w:t>Acceptance fee</w:t>
            </w:r>
          </w:p>
        </w:tc>
        <w:tc>
          <w:tcPr>
            <w:tcW w:w="1048" w:type="pct"/>
            <w:vAlign w:val="bottom"/>
          </w:tcPr>
          <w:p w:rsidR="007A7E80" w:rsidRDefault="00BA7F78" w:rsidP="0032292A">
            <w:pPr>
              <w:pStyle w:val="TableBodyText"/>
            </w:pPr>
            <w:r>
              <w:t>$250</w:t>
            </w:r>
          </w:p>
        </w:tc>
        <w:tc>
          <w:tcPr>
            <w:tcW w:w="968" w:type="pct"/>
            <w:vAlign w:val="bottom"/>
          </w:tcPr>
          <w:p w:rsidR="007A7E80" w:rsidRPr="007A7E80" w:rsidRDefault="008B683D" w:rsidP="0032292A">
            <w:pPr>
              <w:pStyle w:val="TableBodyText"/>
              <w:rPr>
                <w:b/>
              </w:rPr>
            </w:pPr>
            <w:r>
              <w:rPr>
                <w:b/>
              </w:rPr>
              <w:t>..</w:t>
            </w:r>
          </w:p>
        </w:tc>
      </w:tr>
      <w:tr w:rsidR="00204D86" w:rsidTr="0032292A">
        <w:tc>
          <w:tcPr>
            <w:tcW w:w="2984" w:type="pct"/>
            <w:vAlign w:val="bottom"/>
          </w:tcPr>
          <w:p w:rsidR="00204D86" w:rsidRDefault="00204D86" w:rsidP="0032292A">
            <w:pPr>
              <w:pStyle w:val="TableBodyText"/>
              <w:jc w:val="left"/>
            </w:pPr>
            <w:r>
              <w:t>Patent examination fee</w:t>
            </w:r>
          </w:p>
        </w:tc>
        <w:tc>
          <w:tcPr>
            <w:tcW w:w="1048" w:type="pct"/>
            <w:vAlign w:val="bottom"/>
          </w:tcPr>
          <w:p w:rsidR="00204D86" w:rsidRDefault="00204D86" w:rsidP="0032292A">
            <w:pPr>
              <w:pStyle w:val="TableBodyText"/>
            </w:pPr>
            <w:r>
              <w:t>$490</w:t>
            </w:r>
          </w:p>
        </w:tc>
        <w:tc>
          <w:tcPr>
            <w:tcW w:w="968" w:type="pct"/>
            <w:vAlign w:val="bottom"/>
          </w:tcPr>
          <w:p w:rsidR="00204D86" w:rsidRDefault="00713D53" w:rsidP="0032292A">
            <w:pPr>
              <w:pStyle w:val="TableBodyText"/>
              <w:ind w:right="0"/>
            </w:pPr>
            <w:r>
              <w:t>$500</w:t>
            </w:r>
            <w:r w:rsidRPr="00A31C5B">
              <w:rPr>
                <w:rStyle w:val="NoteLabel"/>
              </w:rPr>
              <w:t>b</w:t>
            </w:r>
          </w:p>
        </w:tc>
      </w:tr>
      <w:tr w:rsidR="00BA7F78" w:rsidTr="0032292A">
        <w:tc>
          <w:tcPr>
            <w:tcW w:w="2984" w:type="pct"/>
            <w:vAlign w:val="bottom"/>
          </w:tcPr>
          <w:p w:rsidR="00BA7F78" w:rsidRDefault="00BA7F78" w:rsidP="0032292A">
            <w:pPr>
              <w:pStyle w:val="TableBodyText"/>
              <w:jc w:val="left"/>
            </w:pPr>
            <w:r>
              <w:t>Excess claims — per claim, in excess of 20</w:t>
            </w:r>
          </w:p>
        </w:tc>
        <w:tc>
          <w:tcPr>
            <w:tcW w:w="1048" w:type="pct"/>
            <w:vAlign w:val="bottom"/>
          </w:tcPr>
          <w:p w:rsidR="00BA7F78" w:rsidRDefault="00BA7F78" w:rsidP="0032292A">
            <w:pPr>
              <w:pStyle w:val="TableBodyText"/>
            </w:pPr>
            <w:r>
              <w:t>$110</w:t>
            </w:r>
          </w:p>
        </w:tc>
        <w:tc>
          <w:tcPr>
            <w:tcW w:w="968" w:type="pct"/>
            <w:vAlign w:val="bottom"/>
          </w:tcPr>
          <w:p w:rsidR="00BA7F78" w:rsidRPr="00BA7F78" w:rsidRDefault="008B683D" w:rsidP="0032292A">
            <w:pPr>
              <w:pStyle w:val="TableBodyText"/>
              <w:rPr>
                <w:b/>
              </w:rPr>
            </w:pPr>
            <w:r>
              <w:rPr>
                <w:b/>
              </w:rPr>
              <w:t>..</w:t>
            </w:r>
          </w:p>
        </w:tc>
      </w:tr>
      <w:tr w:rsidR="00204D86" w:rsidTr="0032292A">
        <w:tc>
          <w:tcPr>
            <w:tcW w:w="2984" w:type="pct"/>
            <w:shd w:val="clear" w:color="auto" w:fill="auto"/>
            <w:vAlign w:val="bottom"/>
          </w:tcPr>
          <w:p w:rsidR="00204D86" w:rsidRDefault="00713D53" w:rsidP="0032292A">
            <w:pPr>
              <w:pStyle w:val="TableBodyText"/>
              <w:jc w:val="left"/>
            </w:pPr>
            <w:r>
              <w:t>Request for re-examination</w:t>
            </w:r>
          </w:p>
        </w:tc>
        <w:tc>
          <w:tcPr>
            <w:tcW w:w="1048" w:type="pct"/>
            <w:shd w:val="clear" w:color="auto" w:fill="auto"/>
            <w:vAlign w:val="bottom"/>
          </w:tcPr>
          <w:p w:rsidR="00204D86" w:rsidRDefault="00713D53" w:rsidP="0032292A">
            <w:pPr>
              <w:pStyle w:val="TableBodyText"/>
            </w:pPr>
            <w:r>
              <w:t>$800</w:t>
            </w:r>
          </w:p>
        </w:tc>
        <w:tc>
          <w:tcPr>
            <w:tcW w:w="968" w:type="pct"/>
            <w:shd w:val="clear" w:color="auto" w:fill="auto"/>
            <w:vAlign w:val="bottom"/>
          </w:tcPr>
          <w:p w:rsidR="00204D86" w:rsidRDefault="00713D53" w:rsidP="0032292A">
            <w:pPr>
              <w:pStyle w:val="TableBodyText"/>
            </w:pPr>
            <w:r>
              <w:t>$800</w:t>
            </w:r>
          </w:p>
        </w:tc>
      </w:tr>
      <w:tr w:rsidR="00CA3CFF" w:rsidTr="0032292A">
        <w:tc>
          <w:tcPr>
            <w:tcW w:w="2984" w:type="pct"/>
            <w:tcBorders>
              <w:bottom w:val="single" w:sz="4" w:space="0" w:color="auto"/>
            </w:tcBorders>
            <w:shd w:val="clear" w:color="auto" w:fill="auto"/>
            <w:vAlign w:val="bottom"/>
          </w:tcPr>
          <w:p w:rsidR="00CA3CFF" w:rsidRDefault="00CA3CFF" w:rsidP="0032292A">
            <w:pPr>
              <w:pStyle w:val="TableBodyText"/>
              <w:jc w:val="left"/>
            </w:pPr>
            <w:r>
              <w:t>Renewal fees</w:t>
            </w:r>
          </w:p>
        </w:tc>
        <w:tc>
          <w:tcPr>
            <w:tcW w:w="1048" w:type="pct"/>
            <w:tcBorders>
              <w:bottom w:val="single" w:sz="4" w:space="0" w:color="auto"/>
            </w:tcBorders>
            <w:shd w:val="clear" w:color="auto" w:fill="auto"/>
            <w:vAlign w:val="bottom"/>
          </w:tcPr>
          <w:p w:rsidR="00CA3CFF" w:rsidRDefault="00CA3CFF" w:rsidP="0032292A">
            <w:pPr>
              <w:pStyle w:val="TableBodyText"/>
              <w:ind w:right="0"/>
            </w:pPr>
            <w:r>
              <w:t>$300–$2</w:t>
            </w:r>
            <w:r w:rsidR="008B683D">
              <w:t> </w:t>
            </w:r>
            <w:r>
              <w:t>300</w:t>
            </w:r>
            <w:r>
              <w:rPr>
                <w:rStyle w:val="NoteLabel"/>
              </w:rPr>
              <w:t>c</w:t>
            </w:r>
          </w:p>
        </w:tc>
        <w:tc>
          <w:tcPr>
            <w:tcW w:w="968" w:type="pct"/>
            <w:tcBorders>
              <w:bottom w:val="single" w:sz="4" w:space="0" w:color="auto"/>
            </w:tcBorders>
            <w:shd w:val="clear" w:color="auto" w:fill="auto"/>
            <w:vAlign w:val="bottom"/>
          </w:tcPr>
          <w:p w:rsidR="00CA3CFF" w:rsidRDefault="00CA3CFF" w:rsidP="0032292A">
            <w:pPr>
              <w:pStyle w:val="TableBodyText"/>
              <w:ind w:right="0"/>
            </w:pPr>
            <w:r>
              <w:t>$110–$220</w:t>
            </w:r>
            <w:r w:rsidRPr="00A31C5B">
              <w:rPr>
                <w:rStyle w:val="NoteLabel"/>
              </w:rPr>
              <w:t>d</w:t>
            </w:r>
          </w:p>
        </w:tc>
      </w:tr>
      <w:tr w:rsidR="00CA3CFF" w:rsidTr="0032292A">
        <w:tc>
          <w:tcPr>
            <w:tcW w:w="2984" w:type="pct"/>
            <w:tcBorders>
              <w:top w:val="single" w:sz="4" w:space="0" w:color="auto"/>
            </w:tcBorders>
            <w:shd w:val="clear" w:color="auto" w:fill="auto"/>
            <w:vAlign w:val="bottom"/>
          </w:tcPr>
          <w:p w:rsidR="00CA3CFF" w:rsidRPr="00CA3CFF" w:rsidRDefault="00CA3CFF" w:rsidP="0032292A">
            <w:pPr>
              <w:pStyle w:val="TableBodyText"/>
              <w:jc w:val="left"/>
              <w:rPr>
                <w:i/>
              </w:rPr>
            </w:pPr>
            <w:r w:rsidRPr="00CA3CFF">
              <w:rPr>
                <w:i/>
              </w:rPr>
              <w:t xml:space="preserve">Patent Cooperation Treaty </w:t>
            </w:r>
            <w:r w:rsidR="00393E6F">
              <w:rPr>
                <w:i/>
              </w:rPr>
              <w:t xml:space="preserve">(PCT) </w:t>
            </w:r>
            <w:r w:rsidRPr="00CA3CFF">
              <w:rPr>
                <w:i/>
              </w:rPr>
              <w:t>fees</w:t>
            </w:r>
            <w:r w:rsidR="00BC2451" w:rsidRPr="00BC2451">
              <w:rPr>
                <w:rStyle w:val="NoteLabel"/>
              </w:rPr>
              <w:t>e</w:t>
            </w:r>
          </w:p>
        </w:tc>
        <w:tc>
          <w:tcPr>
            <w:tcW w:w="1048" w:type="pct"/>
            <w:tcBorders>
              <w:top w:val="single" w:sz="4" w:space="0" w:color="auto"/>
            </w:tcBorders>
            <w:shd w:val="clear" w:color="auto" w:fill="auto"/>
            <w:vAlign w:val="bottom"/>
          </w:tcPr>
          <w:p w:rsidR="00CA3CFF" w:rsidRDefault="00CA3CFF" w:rsidP="0032292A">
            <w:pPr>
              <w:pStyle w:val="TableBodyText"/>
            </w:pPr>
          </w:p>
        </w:tc>
        <w:tc>
          <w:tcPr>
            <w:tcW w:w="968" w:type="pct"/>
            <w:tcBorders>
              <w:top w:val="single" w:sz="4" w:space="0" w:color="auto"/>
            </w:tcBorders>
            <w:shd w:val="clear" w:color="auto" w:fill="auto"/>
            <w:vAlign w:val="bottom"/>
          </w:tcPr>
          <w:p w:rsidR="00CA3CFF" w:rsidRDefault="00CA3CFF" w:rsidP="0032292A">
            <w:pPr>
              <w:pStyle w:val="TableBodyText"/>
            </w:pPr>
          </w:p>
        </w:tc>
      </w:tr>
      <w:tr w:rsidR="00CA3CFF" w:rsidTr="0032292A">
        <w:tc>
          <w:tcPr>
            <w:tcW w:w="2984" w:type="pct"/>
            <w:shd w:val="clear" w:color="auto" w:fill="auto"/>
            <w:vAlign w:val="bottom"/>
          </w:tcPr>
          <w:p w:rsidR="00CA3CFF" w:rsidRDefault="00CA3CFF" w:rsidP="0032292A">
            <w:pPr>
              <w:pStyle w:val="TableBodyText"/>
              <w:jc w:val="left"/>
            </w:pPr>
            <w:r>
              <w:t>Transmittal fee</w:t>
            </w:r>
          </w:p>
        </w:tc>
        <w:tc>
          <w:tcPr>
            <w:tcW w:w="1048" w:type="pct"/>
            <w:shd w:val="clear" w:color="auto" w:fill="auto"/>
            <w:vAlign w:val="bottom"/>
          </w:tcPr>
          <w:p w:rsidR="00CA3CFF" w:rsidRDefault="00CA3CFF" w:rsidP="0032292A">
            <w:pPr>
              <w:pStyle w:val="TableBodyText"/>
            </w:pPr>
            <w:r>
              <w:t>$200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International search fee</w:t>
            </w:r>
          </w:p>
        </w:tc>
        <w:tc>
          <w:tcPr>
            <w:tcW w:w="1048" w:type="pct"/>
            <w:shd w:val="clear" w:color="auto" w:fill="auto"/>
            <w:vAlign w:val="bottom"/>
          </w:tcPr>
          <w:p w:rsidR="00CA3CFF" w:rsidRDefault="00CA3CFF" w:rsidP="0032292A">
            <w:pPr>
              <w:pStyle w:val="TableBodyText"/>
            </w:pPr>
            <w:r>
              <w:t>$2 200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International filing fee</w:t>
            </w:r>
          </w:p>
        </w:tc>
        <w:tc>
          <w:tcPr>
            <w:tcW w:w="1048" w:type="pct"/>
            <w:shd w:val="clear" w:color="auto" w:fill="auto"/>
            <w:vAlign w:val="bottom"/>
          </w:tcPr>
          <w:p w:rsidR="00CA3CFF" w:rsidRDefault="00CA3CFF" w:rsidP="0032292A">
            <w:pPr>
              <w:pStyle w:val="TableBodyText"/>
            </w:pPr>
            <w:r>
              <w:t>$1 375</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PCT international preliminary examination</w:t>
            </w:r>
          </w:p>
        </w:tc>
        <w:tc>
          <w:tcPr>
            <w:tcW w:w="1048" w:type="pct"/>
            <w:shd w:val="clear" w:color="auto" w:fill="auto"/>
            <w:vAlign w:val="bottom"/>
          </w:tcPr>
          <w:p w:rsidR="00CA3CFF" w:rsidRDefault="00CA3CFF" w:rsidP="0032292A">
            <w:pPr>
              <w:pStyle w:val="TableBodyText"/>
            </w:pPr>
            <w:r>
              <w:t>$590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tcBorders>
              <w:bottom w:val="single" w:sz="4" w:space="0" w:color="auto"/>
            </w:tcBorders>
            <w:shd w:val="clear" w:color="auto" w:fill="auto"/>
            <w:vAlign w:val="bottom"/>
          </w:tcPr>
          <w:p w:rsidR="00CA3CFF" w:rsidRDefault="00CA3CFF" w:rsidP="0032292A">
            <w:pPr>
              <w:pStyle w:val="TableBodyText"/>
              <w:jc w:val="left"/>
            </w:pPr>
            <w:r>
              <w:t>Additional international preliminary examination</w:t>
            </w:r>
          </w:p>
        </w:tc>
        <w:tc>
          <w:tcPr>
            <w:tcW w:w="1048" w:type="pct"/>
            <w:tcBorders>
              <w:bottom w:val="single" w:sz="4" w:space="0" w:color="auto"/>
            </w:tcBorders>
            <w:shd w:val="clear" w:color="auto" w:fill="auto"/>
            <w:vAlign w:val="bottom"/>
          </w:tcPr>
          <w:p w:rsidR="00CA3CFF" w:rsidRDefault="00CA3CFF" w:rsidP="0032292A">
            <w:pPr>
              <w:pStyle w:val="TableBodyText"/>
            </w:pPr>
            <w:r>
              <w:t>$590</w:t>
            </w:r>
          </w:p>
        </w:tc>
        <w:tc>
          <w:tcPr>
            <w:tcW w:w="968" w:type="pct"/>
            <w:tcBorders>
              <w:bottom w:val="single" w:sz="4" w:space="0" w:color="auto"/>
            </w:tcBorders>
            <w:shd w:val="clear" w:color="auto" w:fill="auto"/>
            <w:vAlign w:val="bottom"/>
          </w:tcPr>
          <w:p w:rsidR="00CA3CFF" w:rsidRPr="00A31C5B" w:rsidRDefault="008B683D" w:rsidP="0032292A">
            <w:pPr>
              <w:pStyle w:val="TableBodyText"/>
              <w:rPr>
                <w:b/>
              </w:rPr>
            </w:pPr>
            <w:r>
              <w:rPr>
                <w:b/>
              </w:rPr>
              <w:t>..</w:t>
            </w:r>
          </w:p>
        </w:tc>
      </w:tr>
    </w:tbl>
    <w:p w:rsidR="00204D86" w:rsidRDefault="006B455A" w:rsidP="00713D53">
      <w:pPr>
        <w:pStyle w:val="Note"/>
      </w:pPr>
      <w:r w:rsidRPr="008E77FE">
        <w:rPr>
          <w:rStyle w:val="NoteLabel"/>
        </w:rPr>
        <w:t>a</w:t>
      </w:r>
      <w:r>
        <w:t xml:space="preserve"> By </w:t>
      </w:r>
      <w:r w:rsidR="00713D53">
        <w:t xml:space="preserve">approved means. These fees apply from </w:t>
      </w:r>
      <w:r w:rsidR="0032292A">
        <w:t xml:space="preserve">1 </w:t>
      </w:r>
      <w:r w:rsidR="00713D53">
        <w:t>October 2012</w:t>
      </w:r>
      <w:r w:rsidR="00204D86">
        <w:t>.</w:t>
      </w:r>
      <w:r w:rsidR="00713D53">
        <w:t xml:space="preserve"> </w:t>
      </w:r>
      <w:r w:rsidR="0006644A">
        <w:t xml:space="preserve"> </w:t>
      </w:r>
      <w:r w:rsidR="00713D53">
        <w:rPr>
          <w:rStyle w:val="NoteLabel"/>
        </w:rPr>
        <w:t>b</w:t>
      </w:r>
      <w:r w:rsidR="00713D53">
        <w:t xml:space="preserve"> The fee is </w:t>
      </w:r>
      <w:r>
        <w:t>paid by the patentee if the patentee requests examination. If a third party request</w:t>
      </w:r>
      <w:r w:rsidR="0032292A">
        <w:t>s</w:t>
      </w:r>
      <w:r>
        <w:t xml:space="preserve"> examination, the fee is shared between the patentee and that third party</w:t>
      </w:r>
      <w:r w:rsidR="00713D53">
        <w:t xml:space="preserve">. </w:t>
      </w:r>
      <w:r w:rsidR="0006644A">
        <w:t xml:space="preserve"> </w:t>
      </w:r>
      <w:r w:rsidR="00713D53">
        <w:rPr>
          <w:rStyle w:val="NoteLabel"/>
        </w:rPr>
        <w:t>c</w:t>
      </w:r>
      <w:r w:rsidR="00713D53">
        <w:t xml:space="preserve"> Renewal fees are annual and rise during the term of a standard patent from $300 </w:t>
      </w:r>
      <w:r w:rsidR="00A91DE0">
        <w:t xml:space="preserve">on the 4th anniversary of the filing date to $2300 on the 20th anniversary of the filing date. </w:t>
      </w:r>
      <w:r w:rsidR="0006644A">
        <w:t xml:space="preserve"> </w:t>
      </w:r>
      <w:r w:rsidR="00713D53">
        <w:rPr>
          <w:rStyle w:val="NoteLabel"/>
        </w:rPr>
        <w:t>d</w:t>
      </w:r>
      <w:r w:rsidR="0006644A">
        <w:rPr>
          <w:rStyle w:val="NoteLabel"/>
        </w:rPr>
        <w:t xml:space="preserve"> </w:t>
      </w:r>
      <w:r w:rsidR="00A91DE0">
        <w:t xml:space="preserve">Renewal fees are annual and rise during the term of </w:t>
      </w:r>
      <w:r w:rsidR="00F40AA3">
        <w:t>an</w:t>
      </w:r>
      <w:r w:rsidR="00A91DE0">
        <w:t xml:space="preserve"> </w:t>
      </w:r>
      <w:r w:rsidR="00F40AA3">
        <w:t>innovation</w:t>
      </w:r>
      <w:r w:rsidR="00A91DE0">
        <w:t xml:space="preserve"> patent from $110 on the 2nd anniversary of the filing date to $220 on the 7th anniversary of the filing date.</w:t>
      </w:r>
      <w:r w:rsidR="00BC2451">
        <w:t xml:space="preserve"> </w:t>
      </w:r>
      <w:r w:rsidR="0006644A">
        <w:t xml:space="preserve"> </w:t>
      </w:r>
      <w:r w:rsidR="00BC2451">
        <w:rPr>
          <w:rStyle w:val="NoteLabel"/>
        </w:rPr>
        <w:t>e</w:t>
      </w:r>
      <w:r w:rsidR="00BC2451">
        <w:t xml:space="preserve"> Only one class of patent </w:t>
      </w:r>
      <w:r w:rsidR="009E5C21">
        <w:t>(</w:t>
      </w:r>
      <w:r w:rsidR="00960AE3">
        <w:t xml:space="preserve">equivalent to a </w:t>
      </w:r>
      <w:r w:rsidR="009E5C21">
        <w:t xml:space="preserve">standard patent) </w:t>
      </w:r>
      <w:r w:rsidR="00BC2451">
        <w:t>is available under the Patent Cooperation Treaty.</w:t>
      </w:r>
      <w:r w:rsidR="009E5C21" w:rsidRPr="009E5C21">
        <w:rPr>
          <w:b/>
        </w:rPr>
        <w:t xml:space="preserve"> </w:t>
      </w:r>
      <w:r w:rsidR="008B683D">
        <w:rPr>
          <w:b/>
        </w:rPr>
        <w:t>..</w:t>
      </w:r>
      <w:r w:rsidR="009E5C21">
        <w:t xml:space="preserve"> not applicable.</w:t>
      </w:r>
    </w:p>
    <w:p w:rsidR="00204D86" w:rsidRDefault="00204D86" w:rsidP="00713D53">
      <w:pPr>
        <w:pStyle w:val="Source"/>
      </w:pPr>
      <w:r>
        <w:rPr>
          <w:i/>
        </w:rPr>
        <w:t>Source</w:t>
      </w:r>
      <w:r>
        <w:t xml:space="preserve">: </w:t>
      </w:r>
      <w:r w:rsidR="00713D53">
        <w:t>IP Australia</w:t>
      </w:r>
      <w:r w:rsidR="006B34A4">
        <w:t xml:space="preserve"> (2012</w:t>
      </w:r>
      <w:r w:rsidR="00C72C9C">
        <w:t>f</w:t>
      </w:r>
      <w:r w:rsidR="006B34A4">
        <w:t>)</w:t>
      </w:r>
      <w:r w:rsidR="00713D53">
        <w:t>.</w:t>
      </w:r>
      <w:r w:rsidR="004B68FA">
        <w:t xml:space="preserve"> </w:t>
      </w:r>
    </w:p>
    <w:p w:rsidR="00DB29F3" w:rsidRDefault="00D17D45" w:rsidP="00D17D45">
      <w:pPr>
        <w:pStyle w:val="BodyText"/>
      </w:pPr>
      <w:r>
        <w:t xml:space="preserve">It is difficult to compare patent </w:t>
      </w:r>
      <w:r w:rsidR="006B6805">
        <w:t>costs</w:t>
      </w:r>
      <w:r>
        <w:t xml:space="preserve"> across comparable markets as pa</w:t>
      </w:r>
      <w:r w:rsidR="006B6805">
        <w:t>tent application processes and types of fees charged by patent</w:t>
      </w:r>
      <w:r w:rsidR="00EF1B3B">
        <w:t>s</w:t>
      </w:r>
      <w:r w:rsidR="006B6805">
        <w:t xml:space="preserve"> offices</w:t>
      </w:r>
      <w:r>
        <w:t xml:space="preserve"> differ</w:t>
      </w:r>
      <w:r w:rsidR="007B7185">
        <w:t>,</w:t>
      </w:r>
      <w:r>
        <w:t xml:space="preserve"> and change over time</w:t>
      </w:r>
      <w:r w:rsidR="007B7185">
        <w:t xml:space="preserve">. Fees are charged </w:t>
      </w:r>
      <w:r>
        <w:t>in the local currency</w:t>
      </w:r>
      <w:r w:rsidR="007B7185">
        <w:t>, which makes comparison more difficult</w:t>
      </w:r>
      <w:r>
        <w:t xml:space="preserve">. </w:t>
      </w:r>
      <w:r w:rsidR="00DB29F3">
        <w:t xml:space="preserve">Variation in patent attorney fees might also be considered in any analysis. </w:t>
      </w:r>
    </w:p>
    <w:p w:rsidR="004A0379" w:rsidRDefault="00DB29F3" w:rsidP="00D17D45">
      <w:pPr>
        <w:pStyle w:val="BodyText"/>
      </w:pPr>
      <w:r>
        <w:t xml:space="preserve">Park (2010) provided a sample of </w:t>
      </w:r>
      <w:r w:rsidR="006C51D3">
        <w:t xml:space="preserve">patent </w:t>
      </w:r>
      <w:r>
        <w:t>fees across countries</w:t>
      </w:r>
      <w:r w:rsidR="006C51D3">
        <w:t xml:space="preserve"> — by destination, not origin of the patent</w:t>
      </w:r>
      <w:r>
        <w:t xml:space="preserve">. </w:t>
      </w:r>
      <w:r w:rsidR="006C51D3">
        <w:t xml:space="preserve">The cost </w:t>
      </w:r>
      <w:r>
        <w:t>of a patent 25 pages in le</w:t>
      </w:r>
      <w:r w:rsidR="0012052F">
        <w:t>ngth, with five</w:t>
      </w:r>
      <w:r>
        <w:t xml:space="preserve"> pages of drawings and 15 claims</w:t>
      </w:r>
      <w:r w:rsidR="004A0379">
        <w:t>, for a full 20 year term</w:t>
      </w:r>
      <w:r w:rsidR="006C51D3">
        <w:t xml:space="preserve"> was analysed</w:t>
      </w:r>
      <w:r>
        <w:t xml:space="preserve">. </w:t>
      </w:r>
      <w:r w:rsidR="006C51D3">
        <w:t xml:space="preserve">Costs in 2010 were examined, </w:t>
      </w:r>
      <w:r>
        <w:t>from an English language applicant’s perspective</w:t>
      </w:r>
      <w:r w:rsidR="006C51D3">
        <w:t>,</w:t>
      </w:r>
      <w:r>
        <w:t xml:space="preserve"> and </w:t>
      </w:r>
      <w:r w:rsidR="006C51D3">
        <w:t>included</w:t>
      </w:r>
      <w:r>
        <w:t xml:space="preserve"> application fees, patent attorney fees, translation fees (into English) and renewal fees.</w:t>
      </w:r>
      <w:r w:rsidR="006C51D3">
        <w:t xml:space="preserve"> Park found that the total cost of such a patent in Australia was about </w:t>
      </w:r>
      <w:r w:rsidR="00220A0A">
        <w:t>US</w:t>
      </w:r>
      <w:r w:rsidR="0032292A">
        <w:t> </w:t>
      </w:r>
      <w:r w:rsidR="006C51D3">
        <w:t>$20 000.</w:t>
      </w:r>
      <w:r w:rsidR="004A0379">
        <w:t xml:space="preserve"> Renewal fees accounted for about 60 per cent of the costs and patent attorney fees accounted for about 35 per cent of the cost. Application fees accounted for less than 5 per cent of the costs. </w:t>
      </w:r>
      <w:r w:rsidR="006C51D3">
        <w:t>Among key comparable markets, Park found that</w:t>
      </w:r>
      <w:r w:rsidR="004A0379">
        <w:t>, relative to Australia,</w:t>
      </w:r>
      <w:r w:rsidR="006C51D3">
        <w:t xml:space="preserve"> </w:t>
      </w:r>
      <w:r w:rsidR="004A0379">
        <w:t>total costs were about 50 per cent higher in Germany and Japan and between 10 and 20 per cent lower in Canada, China, the U</w:t>
      </w:r>
      <w:r w:rsidR="006570D5">
        <w:t xml:space="preserve">nited </w:t>
      </w:r>
      <w:r w:rsidR="004A0379">
        <w:t>K</w:t>
      </w:r>
      <w:r w:rsidR="006570D5">
        <w:t>ingdom</w:t>
      </w:r>
      <w:r w:rsidR="004A0379">
        <w:t xml:space="preserve"> and </w:t>
      </w:r>
      <w:r w:rsidR="006570D5">
        <w:t xml:space="preserve">the </w:t>
      </w:r>
      <w:r w:rsidR="004A0379">
        <w:t>U</w:t>
      </w:r>
      <w:r w:rsidR="006570D5">
        <w:t xml:space="preserve">nited </w:t>
      </w:r>
      <w:r w:rsidR="004A0379">
        <w:t>S</w:t>
      </w:r>
      <w:r w:rsidR="006570D5">
        <w:t>tates</w:t>
      </w:r>
      <w:r w:rsidR="004A0379">
        <w:t>. The mix of fees also varied. The U</w:t>
      </w:r>
      <w:r w:rsidR="006570D5">
        <w:t xml:space="preserve">nited </w:t>
      </w:r>
      <w:r w:rsidR="004A0379">
        <w:t>S</w:t>
      </w:r>
      <w:r w:rsidR="006570D5">
        <w:t>tates</w:t>
      </w:r>
      <w:r w:rsidR="004A0379">
        <w:t xml:space="preserve"> had the highest proportion of official fees and patent attorney fees, and </w:t>
      </w:r>
      <w:r w:rsidR="0032292A">
        <w:t xml:space="preserve">the </w:t>
      </w:r>
      <w:r w:rsidR="004A0379">
        <w:t xml:space="preserve">lowest proportion of renewal fees. </w:t>
      </w:r>
    </w:p>
    <w:p w:rsidR="003C2E99" w:rsidRDefault="006A10CB" w:rsidP="00D17D45">
      <w:pPr>
        <w:pStyle w:val="BodyText"/>
        <w:rPr>
          <w:szCs w:val="26"/>
        </w:rPr>
      </w:pPr>
      <w:r>
        <w:rPr>
          <w:szCs w:val="26"/>
        </w:rPr>
        <w:lastRenderedPageBreak/>
        <w:t>D</w:t>
      </w:r>
      <w:r w:rsidR="009854FE" w:rsidRPr="00F856B6">
        <w:rPr>
          <w:szCs w:val="26"/>
        </w:rPr>
        <w:t>e Rassenfosse</w:t>
      </w:r>
      <w:r>
        <w:rPr>
          <w:szCs w:val="26"/>
        </w:rPr>
        <w:t xml:space="preserve"> and </w:t>
      </w:r>
      <w:r w:rsidR="00D32EAA">
        <w:rPr>
          <w:szCs w:val="26"/>
        </w:rPr>
        <w:t>v</w:t>
      </w:r>
      <w:r>
        <w:rPr>
          <w:szCs w:val="26"/>
        </w:rPr>
        <w:t>an Pottelsberghe</w:t>
      </w:r>
      <w:r w:rsidR="009854FE">
        <w:rPr>
          <w:szCs w:val="26"/>
        </w:rPr>
        <w:t xml:space="preserve"> (2010) </w:t>
      </w:r>
      <w:r w:rsidR="006C51D3">
        <w:rPr>
          <w:szCs w:val="26"/>
        </w:rPr>
        <w:t xml:space="preserve">also </w:t>
      </w:r>
      <w:r w:rsidR="003C2E99">
        <w:rPr>
          <w:szCs w:val="26"/>
        </w:rPr>
        <w:t xml:space="preserve">found that </w:t>
      </w:r>
      <w:r w:rsidR="006C51D3">
        <w:rPr>
          <w:szCs w:val="26"/>
        </w:rPr>
        <w:t xml:space="preserve">patent </w:t>
      </w:r>
      <w:r w:rsidR="003C2E99">
        <w:rPr>
          <w:szCs w:val="26"/>
        </w:rPr>
        <w:t xml:space="preserve">fees varied greatly across countries both in the level and mix of fees charged. The authors used three metrics for patent fees; absolute fees (fees in $US); fees weighted by the size of the market </w:t>
      </w:r>
      <w:r w:rsidR="0032292A">
        <w:rPr>
          <w:szCs w:val="26"/>
        </w:rPr>
        <w:t>(</w:t>
      </w:r>
      <w:r w:rsidR="003C2E99">
        <w:rPr>
          <w:szCs w:val="26"/>
        </w:rPr>
        <w:t xml:space="preserve">measured by population, which </w:t>
      </w:r>
      <w:r w:rsidR="005D79C7">
        <w:rPr>
          <w:szCs w:val="26"/>
        </w:rPr>
        <w:t>influences</w:t>
      </w:r>
      <w:r w:rsidR="003C2E99">
        <w:rPr>
          <w:szCs w:val="26"/>
        </w:rPr>
        <w:t xml:space="preserve"> the value of patent protection</w:t>
      </w:r>
      <w:r w:rsidR="0032292A">
        <w:rPr>
          <w:szCs w:val="26"/>
        </w:rPr>
        <w:t>)</w:t>
      </w:r>
      <w:r w:rsidR="003C2E99">
        <w:rPr>
          <w:szCs w:val="26"/>
        </w:rPr>
        <w:t xml:space="preserve">; and the affordability of patents for local applicants </w:t>
      </w:r>
      <w:r w:rsidR="0032292A">
        <w:rPr>
          <w:szCs w:val="26"/>
        </w:rPr>
        <w:t>(</w:t>
      </w:r>
      <w:r w:rsidR="003C2E99">
        <w:rPr>
          <w:szCs w:val="26"/>
        </w:rPr>
        <w:t>measured by absolute fees relative to GDP per capita</w:t>
      </w:r>
      <w:r w:rsidR="0032292A">
        <w:rPr>
          <w:szCs w:val="26"/>
        </w:rPr>
        <w:t>)</w:t>
      </w:r>
      <w:r w:rsidR="003C2E99">
        <w:rPr>
          <w:szCs w:val="26"/>
        </w:rPr>
        <w:t xml:space="preserve">. </w:t>
      </w:r>
      <w:r w:rsidR="009C612C">
        <w:rPr>
          <w:szCs w:val="26"/>
        </w:rPr>
        <w:t xml:space="preserve">In most countries, application fees were lower than renewal fees. </w:t>
      </w:r>
      <w:r w:rsidR="003C2E99">
        <w:rPr>
          <w:szCs w:val="26"/>
        </w:rPr>
        <w:t xml:space="preserve">Among key </w:t>
      </w:r>
      <w:r w:rsidR="007B7185">
        <w:rPr>
          <w:szCs w:val="26"/>
        </w:rPr>
        <w:t xml:space="preserve">comparable </w:t>
      </w:r>
      <w:r w:rsidR="003C2E99">
        <w:rPr>
          <w:szCs w:val="26"/>
        </w:rPr>
        <w:t xml:space="preserve">markets, </w:t>
      </w:r>
      <w:r w:rsidR="00C53E24">
        <w:rPr>
          <w:szCs w:val="26"/>
        </w:rPr>
        <w:t>absolute fees were much higher in the European Union than Japan or the U</w:t>
      </w:r>
      <w:r w:rsidR="006570D5">
        <w:rPr>
          <w:szCs w:val="26"/>
        </w:rPr>
        <w:t xml:space="preserve">nited </w:t>
      </w:r>
      <w:r w:rsidR="00C53E24">
        <w:rPr>
          <w:szCs w:val="26"/>
        </w:rPr>
        <w:t>S</w:t>
      </w:r>
      <w:r w:rsidR="006570D5">
        <w:rPr>
          <w:szCs w:val="26"/>
        </w:rPr>
        <w:t>tates</w:t>
      </w:r>
      <w:r w:rsidR="00C53E24">
        <w:rPr>
          <w:szCs w:val="26"/>
        </w:rPr>
        <w:t>, in large part due to translation requirements</w:t>
      </w:r>
      <w:r w:rsidR="003C2E99">
        <w:rPr>
          <w:szCs w:val="26"/>
        </w:rPr>
        <w:t xml:space="preserve">. </w:t>
      </w:r>
    </w:p>
    <w:p w:rsidR="00D17D45" w:rsidRDefault="00811FB1" w:rsidP="00806616">
      <w:pPr>
        <w:pStyle w:val="BodyText"/>
      </w:pPr>
      <w:r>
        <w:t xml:space="preserve">Another complication is that many inventors apply for patents in multiple countries. As mentioned above, Australian inventors can apply for patent protection in other countries through the </w:t>
      </w:r>
      <w:r w:rsidR="00D17D45">
        <w:t>P</w:t>
      </w:r>
      <w:r w:rsidR="00721BB6">
        <w:t>CT</w:t>
      </w:r>
      <w:r w:rsidR="00806616">
        <w:t xml:space="preserve"> or applications through foreign patents offices</w:t>
      </w:r>
      <w:r>
        <w:t xml:space="preserve">. </w:t>
      </w:r>
      <w:r w:rsidR="00806616">
        <w:t xml:space="preserve">PCT application fees are </w:t>
      </w:r>
      <w:r w:rsidR="00D17D45">
        <w:t xml:space="preserve">standardised across countries. </w:t>
      </w:r>
    </w:p>
    <w:p w:rsidR="002C68F7" w:rsidRDefault="002C68F7" w:rsidP="002C68F7">
      <w:pPr>
        <w:pStyle w:val="Heading3"/>
      </w:pPr>
      <w:r>
        <w:t>Subject matter exclusions</w:t>
      </w:r>
    </w:p>
    <w:p w:rsidR="005B0392" w:rsidRDefault="005B0392" w:rsidP="002C68F7">
      <w:pPr>
        <w:pStyle w:val="BodyText"/>
      </w:pPr>
      <w:r>
        <w:t>Most patent</w:t>
      </w:r>
      <w:r w:rsidR="007B7185">
        <w:t>s</w:t>
      </w:r>
      <w:r>
        <w:t xml:space="preserve"> systems have subject matter exclusions, which are permitted under international agreements such as TRIPS. Typical subject matter exclusions </w:t>
      </w:r>
      <w:r w:rsidR="00560059">
        <w:t xml:space="preserve">include </w:t>
      </w:r>
      <w:r>
        <w:t>discoveries, scientific theor</w:t>
      </w:r>
      <w:r w:rsidR="00560059">
        <w:t>ies</w:t>
      </w:r>
      <w:r>
        <w:t xml:space="preserve"> or mathematical methods</w:t>
      </w:r>
      <w:r w:rsidR="00560059">
        <w:t>, inventions contrary to public policy</w:t>
      </w:r>
      <w:r w:rsidR="0050765E">
        <w:t xml:space="preserve"> or morality, business methods and methods of medical treatment and diagnosis </w:t>
      </w:r>
      <w:r>
        <w:t>(for example</w:t>
      </w:r>
      <w:r w:rsidRPr="00966837">
        <w:t>, Patents Act 1977</w:t>
      </w:r>
      <w:r>
        <w:t xml:space="preserve"> (UK</w:t>
      </w:r>
      <w:r w:rsidR="00CC7187">
        <w:t>)</w:t>
      </w:r>
      <w:r>
        <w:t xml:space="preserve">). </w:t>
      </w:r>
    </w:p>
    <w:p w:rsidR="002C68F7" w:rsidRDefault="002C68F7" w:rsidP="002C68F7">
      <w:pPr>
        <w:pStyle w:val="BodyText"/>
      </w:pPr>
      <w:r>
        <w:t>Many subject matter exclusions are health related</w:t>
      </w:r>
      <w:r w:rsidR="00CC7187">
        <w:t xml:space="preserve">. Some of these </w:t>
      </w:r>
      <w:r>
        <w:t xml:space="preserve">specifically concern biological material, access to pharmaceuticals and access to healthcare. </w:t>
      </w:r>
      <w:r w:rsidR="00A31C5B">
        <w:t xml:space="preserve">In Australia, human beings, and the biological processes for their generation, are not patentable inventions. </w:t>
      </w:r>
      <w:r>
        <w:rPr>
          <w:rStyle w:val="DraftingNote"/>
          <w:b w:val="0"/>
          <w:color w:val="auto"/>
          <w:sz w:val="26"/>
          <w:u w:val="none"/>
        </w:rPr>
        <w:t>European law and practice excludes ‘animal varieties’ and ‘plant varieties’ from</w:t>
      </w:r>
      <w:r w:rsidR="007B7185">
        <w:rPr>
          <w:rStyle w:val="DraftingNote"/>
          <w:b w:val="0"/>
          <w:color w:val="auto"/>
          <w:sz w:val="26"/>
          <w:u w:val="none"/>
        </w:rPr>
        <w:t xml:space="preserve"> patentability</w:t>
      </w:r>
      <w:r>
        <w:rPr>
          <w:rStyle w:val="DraftingNote"/>
          <w:b w:val="0"/>
          <w:color w:val="auto"/>
          <w:sz w:val="26"/>
          <w:u w:val="none"/>
        </w:rPr>
        <w:t xml:space="preserve">. </w:t>
      </w:r>
      <w:r>
        <w:t xml:space="preserve">In Canada, exclusions exist for medical treatment and higher (multi-cellular) life forms. However, Canadian law expressly states that unicellular microorganisms and processes to produce life forms are patentable. </w:t>
      </w:r>
      <w:r w:rsidR="004F2825">
        <w:t xml:space="preserve">South </w:t>
      </w:r>
      <w:r>
        <w:t xml:space="preserve">Korean law excludes </w:t>
      </w:r>
      <w:r w:rsidRPr="00184677">
        <w:t>mixing two or more medicines</w:t>
      </w:r>
      <w:r>
        <w:t>.</w:t>
      </w:r>
      <w:r w:rsidRPr="00A7152A">
        <w:t xml:space="preserve"> </w:t>
      </w:r>
      <w:r w:rsidR="00A31C5B">
        <w:t>US</w:t>
      </w:r>
      <w:r>
        <w:t xml:space="preserve"> law does not provide explicit </w:t>
      </w:r>
      <w:r w:rsidRPr="00213B2E">
        <w:rPr>
          <w:i/>
        </w:rPr>
        <w:t>statutory</w:t>
      </w:r>
      <w:r>
        <w:t xml:space="preserve"> </w:t>
      </w:r>
      <w:r w:rsidR="0050765E">
        <w:t xml:space="preserve">health-related </w:t>
      </w:r>
      <w:r>
        <w:t xml:space="preserve">exclusions. An exception for patenting humans exists but is not </w:t>
      </w:r>
      <w:r w:rsidR="0032292A">
        <w:t>defined in</w:t>
      </w:r>
      <w:r>
        <w:t xml:space="preserve"> statut</w:t>
      </w:r>
      <w:r w:rsidR="0032292A">
        <w:t>e</w:t>
      </w:r>
      <w:r>
        <w:t xml:space="preserve"> (</w:t>
      </w:r>
      <w:r>
        <w:rPr>
          <w:szCs w:val="26"/>
        </w:rPr>
        <w:t>Barbosa and Grau</w:t>
      </w:r>
      <w:r>
        <w:rPr>
          <w:szCs w:val="26"/>
        </w:rPr>
        <w:noBreakHyphen/>
        <w:t>Kuntz 2010)</w:t>
      </w:r>
      <w:r>
        <w:t>.</w:t>
      </w:r>
    </w:p>
    <w:p w:rsidR="002C68F7" w:rsidRDefault="002C68F7" w:rsidP="002C68F7">
      <w:pPr>
        <w:pStyle w:val="BodyText"/>
      </w:pPr>
      <w:r>
        <w:t xml:space="preserve">The </w:t>
      </w:r>
      <w:r w:rsidR="00424D4E">
        <w:t xml:space="preserve">desirability </w:t>
      </w:r>
      <w:r>
        <w:t>of computer software and business</w:t>
      </w:r>
      <w:r w:rsidR="0032292A">
        <w:t xml:space="preserve"> </w:t>
      </w:r>
      <w:r>
        <w:t xml:space="preserve">method patents is </w:t>
      </w:r>
      <w:r w:rsidR="00424D4E">
        <w:t>debated.</w:t>
      </w:r>
      <w:r>
        <w:t xml:space="preserve"> </w:t>
      </w:r>
      <w:r w:rsidR="006B745A">
        <w:t xml:space="preserve">Objections to these patents </w:t>
      </w:r>
      <w:r w:rsidR="00924F8B">
        <w:t xml:space="preserve">are based on </w:t>
      </w:r>
      <w:r w:rsidR="006B745A">
        <w:t xml:space="preserve">the effects on innovation and the obviousness of some of these inventions. </w:t>
      </w:r>
      <w:r>
        <w:t>ACIP (2010</w:t>
      </w:r>
      <w:r w:rsidR="0032292A">
        <w:t>c</w:t>
      </w:r>
      <w:r>
        <w:t xml:space="preserve">) </w:t>
      </w:r>
      <w:r w:rsidR="007B7185">
        <w:t>found</w:t>
      </w:r>
      <w:r>
        <w:t xml:space="preserve"> considerable variation internationally on the patentability of computer software. ACIP also noted recent court decisions in Australia and the U</w:t>
      </w:r>
      <w:r w:rsidR="006570D5">
        <w:t xml:space="preserve">nited </w:t>
      </w:r>
      <w:r>
        <w:t>S</w:t>
      </w:r>
      <w:r w:rsidR="006570D5">
        <w:t>tates</w:t>
      </w:r>
      <w:r>
        <w:t xml:space="preserve"> </w:t>
      </w:r>
      <w:r w:rsidR="006570D5">
        <w:t>that</w:t>
      </w:r>
      <w:r>
        <w:t xml:space="preserve"> found that abstract ideas are not patentable, but there was no general bar on business</w:t>
      </w:r>
      <w:r w:rsidR="00924F8B">
        <w:t xml:space="preserve"> </w:t>
      </w:r>
      <w:r>
        <w:t>method patents.</w:t>
      </w:r>
      <w:r w:rsidR="0050765E">
        <w:t xml:space="preserve"> </w:t>
      </w:r>
    </w:p>
    <w:p w:rsidR="0050765E" w:rsidRDefault="0050765E" w:rsidP="0050765E">
      <w:pPr>
        <w:pStyle w:val="BodyText"/>
      </w:pPr>
      <w:r>
        <w:lastRenderedPageBreak/>
        <w:t xml:space="preserve">In the past, many </w:t>
      </w:r>
      <w:r w:rsidR="004410F0">
        <w:t xml:space="preserve">developing </w:t>
      </w:r>
      <w:r>
        <w:t>countries excluded pharmaceuticals from patentability. At the beginning of the Uruguay Round of</w:t>
      </w:r>
      <w:r w:rsidR="004410F0">
        <w:t xml:space="preserve"> trade negotiations</w:t>
      </w:r>
      <w:r>
        <w:t xml:space="preserve"> a</w:t>
      </w:r>
      <w:r w:rsidR="004410F0">
        <w:t>bout</w:t>
      </w:r>
      <w:r>
        <w:t xml:space="preserve"> 50 countries did not recognise pharmaceutical patents (Correa 199</w:t>
      </w:r>
      <w:r w:rsidR="00FE076E">
        <w:t>9</w:t>
      </w:r>
      <w:r>
        <w:t>). Most of these countries now recognise pharmaceutical patents in or</w:t>
      </w:r>
      <w:r w:rsidR="00412C58">
        <w:t>der to be compliant with TRIPS.</w:t>
      </w:r>
    </w:p>
    <w:p w:rsidR="009C32D0" w:rsidRPr="00D91099" w:rsidRDefault="001B248E" w:rsidP="0050765E">
      <w:pPr>
        <w:pStyle w:val="BodyText"/>
      </w:pPr>
      <w:r>
        <w:t>A number of exclusions exist in patents legislation related to inventions contrary to public order or morality. For example, t</w:t>
      </w:r>
      <w:r w:rsidR="00412C58">
        <w:t>he U</w:t>
      </w:r>
      <w:r w:rsidR="006570D5">
        <w:t xml:space="preserve">nited </w:t>
      </w:r>
      <w:r w:rsidR="00412C58">
        <w:t>S</w:t>
      </w:r>
      <w:r w:rsidR="006570D5">
        <w:t>tates</w:t>
      </w:r>
      <w:r w:rsidR="00412C58">
        <w:t xml:space="preserve"> prohibits patents ‘useful solely in the utilization of special nuclear material or </w:t>
      </w:r>
      <w:r w:rsidR="00412C58" w:rsidRPr="00D91099">
        <w:t xml:space="preserve">atomic energy in an atomic weapon’ under </w:t>
      </w:r>
      <w:r w:rsidR="00412C58" w:rsidRPr="00966837">
        <w:t>the Atomic Energy Act of 1954</w:t>
      </w:r>
      <w:r w:rsidR="00412C58" w:rsidRPr="00D91099">
        <w:t xml:space="preserve"> (</w:t>
      </w:r>
      <w:r w:rsidR="00924F8B">
        <w:t xml:space="preserve">cited in </w:t>
      </w:r>
      <w:r w:rsidR="00412C58" w:rsidRPr="00D91099">
        <w:t>ACIP 2010</w:t>
      </w:r>
      <w:r w:rsidR="003967E1" w:rsidRPr="00D91099">
        <w:t>c</w:t>
      </w:r>
      <w:r w:rsidR="00924F8B">
        <w:t>, p. 77</w:t>
      </w:r>
      <w:r w:rsidR="00412C58" w:rsidRPr="00D91099">
        <w:t>).</w:t>
      </w:r>
    </w:p>
    <w:p w:rsidR="00490A15" w:rsidRDefault="00490A15" w:rsidP="00490A15">
      <w:pPr>
        <w:pStyle w:val="Heading3"/>
      </w:pPr>
      <w:r>
        <w:t>Objects clauses</w:t>
      </w:r>
    </w:p>
    <w:p w:rsidR="007B7185" w:rsidRDefault="00490A15" w:rsidP="00490A15">
      <w:pPr>
        <w:pStyle w:val="BodyText"/>
      </w:pPr>
      <w:r>
        <w:t>Objects clauses</w:t>
      </w:r>
      <w:r w:rsidR="00CA4116">
        <w:t xml:space="preserve">, also referred to as ‘statements of objectives’, </w:t>
      </w:r>
      <w:r>
        <w:t xml:space="preserve">are included in some pieces of legislation </w:t>
      </w:r>
      <w:r w:rsidR="00186A03">
        <w:t>to</w:t>
      </w:r>
      <w:r>
        <w:t xml:space="preserve"> outline the purpose of the legislation. </w:t>
      </w:r>
      <w:r w:rsidR="00656641">
        <w:t xml:space="preserve">As discussed in chapter 6, </w:t>
      </w:r>
      <w:r w:rsidR="002311CD">
        <w:t xml:space="preserve">the </w:t>
      </w:r>
      <w:r w:rsidR="002311CD" w:rsidRPr="002311CD">
        <w:rPr>
          <w:i/>
        </w:rPr>
        <w:t>Patents Act 1990</w:t>
      </w:r>
      <w:r w:rsidR="00924F8B">
        <w:rPr>
          <w:i/>
        </w:rPr>
        <w:t xml:space="preserve"> </w:t>
      </w:r>
      <w:r w:rsidR="00924F8B">
        <w:t>(Cwlth)</w:t>
      </w:r>
      <w:r w:rsidR="00786862">
        <w:t xml:space="preserve"> does not have an objects clause</w:t>
      </w:r>
      <w:r w:rsidR="00141687">
        <w:t xml:space="preserve">, but some commentators have </w:t>
      </w:r>
      <w:r w:rsidR="00665A2D">
        <w:t>recommend</w:t>
      </w:r>
      <w:r w:rsidR="007B7185">
        <w:t xml:space="preserve">ed one be </w:t>
      </w:r>
      <w:r w:rsidR="00786862">
        <w:t>included</w:t>
      </w:r>
      <w:r w:rsidR="007B7185">
        <w:t>.</w:t>
      </w:r>
      <w:r w:rsidR="00141687">
        <w:t xml:space="preserve"> </w:t>
      </w:r>
      <w:r>
        <w:t>ACIP (2010</w:t>
      </w:r>
      <w:r w:rsidR="00F50C80">
        <w:t>c</w:t>
      </w:r>
      <w:r>
        <w:t xml:space="preserve">) </w:t>
      </w:r>
      <w:r w:rsidR="007E2519">
        <w:t>noted that it is important that the patent</w:t>
      </w:r>
      <w:r w:rsidR="007B7185">
        <w:t>s</w:t>
      </w:r>
      <w:r w:rsidR="007E2519">
        <w:t xml:space="preserve"> system take into account economic and ethical matters</w:t>
      </w:r>
      <w:r w:rsidR="007B7185">
        <w:t>,</w:t>
      </w:r>
      <w:r w:rsidR="007E2519">
        <w:t xml:space="preserve"> and </w:t>
      </w:r>
      <w:r w:rsidR="00665A2D">
        <w:t xml:space="preserve">for this reason </w:t>
      </w:r>
      <w:r>
        <w:t xml:space="preserve">recommended that an objects </w:t>
      </w:r>
      <w:r w:rsidR="0050765E">
        <w:t xml:space="preserve">clause </w:t>
      </w:r>
      <w:r>
        <w:t>be inserted into the</w:t>
      </w:r>
      <w:r w:rsidR="002311CD">
        <w:t xml:space="preserve"> Patents Act</w:t>
      </w:r>
      <w:r w:rsidR="007B7185">
        <w:t xml:space="preserve">. The proposed objects clause </w:t>
      </w:r>
      <w:r w:rsidR="007E2519">
        <w:t xml:space="preserve">describes the purpose of the </w:t>
      </w:r>
      <w:r w:rsidR="00C47AF3">
        <w:t>Act</w:t>
      </w:r>
      <w:r w:rsidR="007E2519">
        <w:t xml:space="preserve"> as being to enhance the wellbeing of Australians by balancing competing interests of patent holders, users of technology and Australian society. </w:t>
      </w:r>
      <w:r w:rsidR="00435391">
        <w:t>The Australian Government </w:t>
      </w:r>
      <w:r w:rsidR="00703D72">
        <w:t xml:space="preserve">(2011a) </w:t>
      </w:r>
      <w:r w:rsidR="007B7185">
        <w:t>accept</w:t>
      </w:r>
      <w:r w:rsidR="00CA4116">
        <w:t>ed</w:t>
      </w:r>
      <w:r w:rsidR="007B7185">
        <w:t xml:space="preserve"> this recommendation</w:t>
      </w:r>
      <w:r w:rsidR="00CA4116">
        <w:t xml:space="preserve">, but did not introduce an objects clause into the Patents Act as part of the ‘Raising the Bar’ reforms (discussed in more detail later in this </w:t>
      </w:r>
      <w:r w:rsidR="007F6439">
        <w:t>appendix</w:t>
      </w:r>
      <w:r w:rsidR="00CA4116">
        <w:t>)</w:t>
      </w:r>
      <w:r w:rsidR="007B7185">
        <w:t>.</w:t>
      </w:r>
      <w:r w:rsidR="00CA4116">
        <w:t xml:space="preserve"> At the time of writing </w:t>
      </w:r>
      <w:r w:rsidR="00540F7F">
        <w:t xml:space="preserve">this report, </w:t>
      </w:r>
      <w:r w:rsidR="00CA4116">
        <w:t xml:space="preserve">the Government had not yet developed legislation to introduce an objects clause. </w:t>
      </w:r>
      <w:r w:rsidR="007B7185">
        <w:t xml:space="preserve"> </w:t>
      </w:r>
    </w:p>
    <w:p w:rsidR="00415510" w:rsidRDefault="00415510" w:rsidP="00415510">
      <w:pPr>
        <w:pStyle w:val="BodyText"/>
      </w:pPr>
      <w:r>
        <w:t xml:space="preserve">Article 7 of the TRIPS agreement describes the </w:t>
      </w:r>
      <w:r w:rsidR="00020381">
        <w:t>objective</w:t>
      </w:r>
      <w:r>
        <w:t xml:space="preserve"> of </w:t>
      </w:r>
      <w:r w:rsidR="00703D72">
        <w:t>an</w:t>
      </w:r>
      <w:r>
        <w:t xml:space="preserve"> IP system: </w:t>
      </w:r>
    </w:p>
    <w:p w:rsidR="00415510" w:rsidRDefault="00415510" w:rsidP="00415510">
      <w:pPr>
        <w:pStyle w:val="Quote"/>
      </w:pPr>
      <w:r>
        <w:t>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p>
    <w:p w:rsidR="00141687" w:rsidRDefault="009A5D6A" w:rsidP="00490A15">
      <w:pPr>
        <w:pStyle w:val="BodyText"/>
      </w:pPr>
      <w:r>
        <w:t>O</w:t>
      </w:r>
      <w:r w:rsidR="002E3358">
        <w:t>bjects</w:t>
      </w:r>
      <w:r w:rsidR="00490A15">
        <w:t xml:space="preserve"> clauses are included in the patents legislation in other comparable markets, including Japan, </w:t>
      </w:r>
      <w:r w:rsidR="004F2825">
        <w:t xml:space="preserve">South </w:t>
      </w:r>
      <w:r w:rsidR="00490A15">
        <w:t xml:space="preserve">Korea and </w:t>
      </w:r>
      <w:r w:rsidR="00490A15" w:rsidRPr="00A310FD">
        <w:t>the New Zealand Patents Bill</w:t>
      </w:r>
      <w:r w:rsidR="00490A15">
        <w:t>, which is currently being debated.</w:t>
      </w:r>
      <w:r w:rsidR="00141687">
        <w:t xml:space="preserve"> Language from these clauses is contained in box B.2. </w:t>
      </w:r>
      <w:r w:rsidR="00ED4D9F">
        <w:t>Canad</w:t>
      </w:r>
      <w:r w:rsidR="00513AAC">
        <w:t>ian, US and UK patents legislation</w:t>
      </w:r>
      <w:r w:rsidR="00ED4D9F">
        <w:t xml:space="preserve"> </w:t>
      </w:r>
      <w:r w:rsidR="000840B3">
        <w:t xml:space="preserve">do not have </w:t>
      </w:r>
      <w:r w:rsidR="00513AAC">
        <w:t xml:space="preserve">an </w:t>
      </w:r>
      <w:r w:rsidR="000840B3">
        <w:t>objects clause.</w:t>
      </w:r>
    </w:p>
    <w:p w:rsidR="00141687" w:rsidRDefault="0014168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1687">
        <w:tc>
          <w:tcPr>
            <w:tcW w:w="8771" w:type="dxa"/>
            <w:tcBorders>
              <w:top w:val="single" w:sz="6" w:space="0" w:color="auto"/>
              <w:bottom w:val="nil"/>
            </w:tcBorders>
          </w:tcPr>
          <w:p w:rsidR="00141687" w:rsidRDefault="00141687" w:rsidP="00703D72">
            <w:pPr>
              <w:pStyle w:val="BoxTitle"/>
            </w:pPr>
            <w:r>
              <w:rPr>
                <w:b w:val="0"/>
              </w:rPr>
              <w:t xml:space="preserve">Box </w:t>
            </w:r>
            <w:r w:rsidR="00A92E22">
              <w:fldChar w:fldCharType="begin"/>
            </w:r>
            <w:r w:rsidR="00A92E22">
              <w:instrText xml:space="preserve"> COMMENTS  \* MERGEFORMAT </w:instrText>
            </w:r>
            <w:r w:rsidR="00A92E22">
              <w:fldChar w:fldCharType="separate"/>
            </w:r>
            <w:proofErr w:type="spellStart"/>
            <w:r>
              <w:rPr>
                <w:b w:val="0"/>
              </w:rPr>
              <w:t>B.</w:t>
            </w:r>
            <w:r w:rsidR="00A92E22">
              <w:rPr>
                <w:b w:val="0"/>
              </w:rPr>
              <w:fldChar w:fldCharType="end"/>
            </w:r>
            <w:r w:rsidR="00794E05">
              <w:rPr>
                <w:b w:val="0"/>
              </w:rPr>
              <w:fldChar w:fldCharType="begin"/>
            </w:r>
            <w:r>
              <w:rPr>
                <w:b w:val="0"/>
              </w:rPr>
              <w:instrText xml:space="preserve"> SEQ Box \* ARABIC </w:instrText>
            </w:r>
            <w:r w:rsidR="00794E05">
              <w:rPr>
                <w:b w:val="0"/>
              </w:rPr>
              <w:fldChar w:fldCharType="separate"/>
            </w:r>
            <w:r w:rsidR="006367F1">
              <w:rPr>
                <w:b w:val="0"/>
                <w:noProof/>
              </w:rPr>
              <w:t>2</w:t>
            </w:r>
            <w:proofErr w:type="spellEnd"/>
            <w:r w:rsidR="00794E05">
              <w:rPr>
                <w:b w:val="0"/>
              </w:rPr>
              <w:fldChar w:fldCharType="end"/>
            </w:r>
            <w:r>
              <w:tab/>
              <w:t xml:space="preserve">Object clauses in </w:t>
            </w:r>
            <w:r w:rsidR="00703D72">
              <w:t>selected other countries</w:t>
            </w:r>
          </w:p>
        </w:tc>
      </w:tr>
      <w:tr w:rsidR="00141687">
        <w:trPr>
          <w:cantSplit/>
        </w:trPr>
        <w:tc>
          <w:tcPr>
            <w:tcW w:w="8771" w:type="dxa"/>
            <w:tcBorders>
              <w:top w:val="nil"/>
              <w:left w:val="single" w:sz="6" w:space="0" w:color="auto"/>
              <w:bottom w:val="nil"/>
              <w:right w:val="single" w:sz="6" w:space="0" w:color="auto"/>
            </w:tcBorders>
          </w:tcPr>
          <w:p w:rsidR="00141687" w:rsidRPr="00107D0D" w:rsidRDefault="00141687" w:rsidP="00141687">
            <w:pPr>
              <w:pStyle w:val="Box"/>
            </w:pPr>
            <w:r w:rsidRPr="00107D0D">
              <w:t>An English language translation of the Japanese objects clause is:</w:t>
            </w:r>
          </w:p>
          <w:p w:rsidR="00141687" w:rsidRDefault="00141687" w:rsidP="00141687">
            <w:pPr>
              <w:pStyle w:val="BoxQuote"/>
            </w:pPr>
            <w:r w:rsidRPr="00107D0D">
              <w:t>The purpose of this Act is, through pro</w:t>
            </w:r>
            <w:r w:rsidR="00A01B69">
              <w:t>moting the protection and utilis</w:t>
            </w:r>
            <w:r w:rsidRPr="00107D0D">
              <w:t>ation of inventions, to encourage inventions, and thereby to contribute to the development of industry (JPO</w:t>
            </w:r>
            <w:r w:rsidR="00011313">
              <w:t> </w:t>
            </w:r>
            <w:r w:rsidRPr="00107D0D">
              <w:t>2012</w:t>
            </w:r>
            <w:r w:rsidR="00123253">
              <w:t>c</w:t>
            </w:r>
            <w:r w:rsidRPr="00107D0D">
              <w:t>).</w:t>
            </w:r>
          </w:p>
          <w:p w:rsidR="00141687" w:rsidRDefault="00141687" w:rsidP="00141687">
            <w:pPr>
              <w:pStyle w:val="Box"/>
            </w:pPr>
            <w:r>
              <w:t xml:space="preserve">An English language </w:t>
            </w:r>
            <w:r w:rsidR="00B85D2A">
              <w:t xml:space="preserve">translation </w:t>
            </w:r>
            <w:r>
              <w:t xml:space="preserve">of the </w:t>
            </w:r>
            <w:r w:rsidR="004F2825">
              <w:t xml:space="preserve">South </w:t>
            </w:r>
            <w:r>
              <w:t>Korean objects clause is similar:</w:t>
            </w:r>
          </w:p>
          <w:p w:rsidR="00141687" w:rsidRDefault="00141687" w:rsidP="00141687">
            <w:pPr>
              <w:pStyle w:val="BoxQuote"/>
              <w:rPr>
                <w:rFonts w:ascii="Tahoma" w:hAnsi="Tahoma" w:cs="Tahoma"/>
              </w:rPr>
            </w:pPr>
            <w:r>
              <w:rPr>
                <w:rFonts w:ascii="Tahoma" w:hAnsi="Tahoma" w:cs="Tahoma"/>
              </w:rPr>
              <w:t>The purpose of this Act is, through protecting and encouraging inventions and promoti</w:t>
            </w:r>
            <w:r w:rsidR="00A01B69">
              <w:rPr>
                <w:rFonts w:ascii="Tahoma" w:hAnsi="Tahoma" w:cs="Tahoma"/>
              </w:rPr>
              <w:t>ng the utilis</w:t>
            </w:r>
            <w:r>
              <w:rPr>
                <w:rFonts w:ascii="Tahoma" w:hAnsi="Tahoma" w:cs="Tahoma"/>
              </w:rPr>
              <w:t>ation of inventions, to accelerate the development of technology, and thereby to contribute to the development of industry (WIPO 2012</w:t>
            </w:r>
            <w:r w:rsidR="005B0F7E">
              <w:rPr>
                <w:rFonts w:ascii="Tahoma" w:hAnsi="Tahoma" w:cs="Tahoma"/>
              </w:rPr>
              <w:t>c</w:t>
            </w:r>
            <w:r>
              <w:rPr>
                <w:rFonts w:ascii="Tahoma" w:hAnsi="Tahoma" w:cs="Tahoma"/>
              </w:rPr>
              <w:t>).</w:t>
            </w:r>
          </w:p>
          <w:p w:rsidR="00141687" w:rsidRDefault="00141687" w:rsidP="00141687">
            <w:pPr>
              <w:pStyle w:val="Box"/>
            </w:pPr>
            <w:r>
              <w:t xml:space="preserve">The objects clause in the proposed new </w:t>
            </w:r>
            <w:r w:rsidR="00924F8B">
              <w:t xml:space="preserve">NZ </w:t>
            </w:r>
            <w:r>
              <w:t>Patents Act</w:t>
            </w:r>
            <w:r w:rsidR="00924F8B">
              <w:t xml:space="preserve"> </w:t>
            </w:r>
            <w:r>
              <w:t xml:space="preserve">is more extensive: </w:t>
            </w:r>
          </w:p>
          <w:p w:rsidR="00141687" w:rsidRPr="00141687" w:rsidRDefault="00141687" w:rsidP="00141687">
            <w:pPr>
              <w:pStyle w:val="BoxQuote"/>
              <w:rPr>
                <w:rFonts w:ascii="Tahoma" w:hAnsi="Tahoma" w:cs="Tahoma"/>
              </w:rPr>
            </w:pPr>
            <w:r w:rsidRPr="00141687">
              <w:rPr>
                <w:rFonts w:ascii="Tahoma" w:hAnsi="Tahoma" w:cs="Tahoma"/>
              </w:rPr>
              <w:t xml:space="preserve">The purposes of this Act are to— </w:t>
            </w:r>
          </w:p>
          <w:p w:rsidR="00141687" w:rsidRPr="00141687" w:rsidRDefault="00141687" w:rsidP="00141687">
            <w:pPr>
              <w:pStyle w:val="BoxQuote"/>
              <w:rPr>
                <w:rFonts w:ascii="Tahoma" w:hAnsi="Tahoma" w:cs="Tahoma"/>
              </w:rPr>
            </w:pPr>
            <w:r w:rsidRPr="00141687">
              <w:rPr>
                <w:rFonts w:ascii="Tahoma" w:hAnsi="Tahoma" w:cs="Tahoma"/>
              </w:rPr>
              <w:t>[a] Provide an efficient and effective patent system that—</w:t>
            </w:r>
          </w:p>
          <w:p w:rsidR="00141687" w:rsidRDefault="00141687" w:rsidP="00197B0D">
            <w:pPr>
              <w:pStyle w:val="BoxQuote"/>
            </w:pPr>
            <w:r w:rsidRPr="00141687">
              <w:rPr>
                <w:rFonts w:ascii="Tahoma" w:hAnsi="Tahoma" w:cs="Tahoma"/>
              </w:rPr>
              <w:t>(i) promotes innovation and economic growth while providing an appropriate balance</w:t>
            </w:r>
            <w:r w:rsidR="0092623D">
              <w:rPr>
                <w:rFonts w:ascii="Tahoma" w:hAnsi="Tahoma" w:cs="Tahoma"/>
              </w:rPr>
              <w:br/>
              <w:t xml:space="preserve">    </w:t>
            </w:r>
            <w:r w:rsidRPr="00141687">
              <w:rPr>
                <w:rFonts w:ascii="Tahoma" w:hAnsi="Tahoma" w:cs="Tahoma"/>
              </w:rPr>
              <w:t xml:space="preserve"> between the interests of inventors and patent owners and the interests of society as a</w:t>
            </w:r>
            <w:r w:rsidR="0092623D">
              <w:rPr>
                <w:rFonts w:ascii="Tahoma" w:hAnsi="Tahoma" w:cs="Tahoma"/>
              </w:rPr>
              <w:br/>
              <w:t xml:space="preserve">   </w:t>
            </w:r>
            <w:r w:rsidRPr="00141687">
              <w:rPr>
                <w:rFonts w:ascii="Tahoma" w:hAnsi="Tahoma" w:cs="Tahoma"/>
              </w:rPr>
              <w:t xml:space="preserve"> </w:t>
            </w:r>
            <w:r w:rsidR="0092623D">
              <w:rPr>
                <w:rFonts w:ascii="Tahoma" w:hAnsi="Tahoma" w:cs="Tahoma"/>
              </w:rPr>
              <w:t xml:space="preserve"> </w:t>
            </w:r>
            <w:r w:rsidRPr="00141687">
              <w:rPr>
                <w:rFonts w:ascii="Tahoma" w:hAnsi="Tahoma" w:cs="Tahoma"/>
              </w:rPr>
              <w:t>whole</w:t>
            </w:r>
            <w:r w:rsidR="00011313">
              <w:rPr>
                <w:rFonts w:ascii="Tahoma" w:hAnsi="Tahoma" w:cs="Tahoma"/>
              </w:rPr>
              <w:t xml:space="preserve"> </w:t>
            </w:r>
            <w:r w:rsidRPr="00141687">
              <w:rPr>
                <w:rFonts w:ascii="Tahoma" w:hAnsi="Tahoma" w:cs="Tahoma"/>
              </w:rPr>
              <w:t>(NZ Parliament Commerce Select Committee 2010).</w:t>
            </w:r>
            <w:r>
              <w:t xml:space="preserve"> </w:t>
            </w:r>
          </w:p>
        </w:tc>
      </w:tr>
      <w:tr w:rsidR="00141687">
        <w:trPr>
          <w:cantSplit/>
        </w:trPr>
        <w:tc>
          <w:tcPr>
            <w:tcW w:w="8771" w:type="dxa"/>
            <w:tcBorders>
              <w:top w:val="nil"/>
              <w:left w:val="single" w:sz="6" w:space="0" w:color="auto"/>
              <w:bottom w:val="single" w:sz="6" w:space="0" w:color="auto"/>
              <w:right w:val="single" w:sz="6" w:space="0" w:color="auto"/>
            </w:tcBorders>
          </w:tcPr>
          <w:p w:rsidR="00141687" w:rsidRDefault="00141687">
            <w:pPr>
              <w:pStyle w:val="Box"/>
              <w:spacing w:before="0" w:line="120" w:lineRule="exact"/>
            </w:pPr>
          </w:p>
        </w:tc>
      </w:tr>
      <w:tr w:rsidR="00141687" w:rsidRPr="000863A5">
        <w:tc>
          <w:tcPr>
            <w:tcW w:w="8771" w:type="dxa"/>
            <w:tcBorders>
              <w:top w:val="nil"/>
              <w:left w:val="nil"/>
              <w:bottom w:val="nil"/>
              <w:right w:val="nil"/>
            </w:tcBorders>
          </w:tcPr>
          <w:p w:rsidR="00141687" w:rsidRPr="000863A5" w:rsidRDefault="00141687" w:rsidP="00ED2745">
            <w:pPr>
              <w:pStyle w:val="Box"/>
              <w:keepNext w:val="0"/>
              <w:spacing w:before="60" w:after="60" w:line="80" w:lineRule="exact"/>
              <w:rPr>
                <w:b/>
                <w:sz w:val="14"/>
              </w:rPr>
            </w:pPr>
          </w:p>
        </w:tc>
      </w:tr>
    </w:tbl>
    <w:p w:rsidR="00DC4E56" w:rsidRDefault="00494663" w:rsidP="00494663">
      <w:pPr>
        <w:pStyle w:val="Heading2"/>
      </w:pPr>
      <w:r>
        <w:t>B.</w:t>
      </w:r>
      <w:r w:rsidR="00863F5F">
        <w:t>2</w:t>
      </w:r>
      <w:r>
        <w:tab/>
      </w:r>
      <w:r w:rsidR="00DC4E56">
        <w:t xml:space="preserve">Measures of patent </w:t>
      </w:r>
      <w:r w:rsidR="00FC7D79">
        <w:t xml:space="preserve">strength and </w:t>
      </w:r>
      <w:r w:rsidR="00DC4E56">
        <w:t>quality</w:t>
      </w:r>
    </w:p>
    <w:p w:rsidR="00F4538E" w:rsidRDefault="003C5D8D" w:rsidP="00DC4E56">
      <w:pPr>
        <w:pStyle w:val="BodyText"/>
        <w:rPr>
          <w:rStyle w:val="DraftingNote"/>
          <w:b w:val="0"/>
          <w:color w:val="auto"/>
          <w:sz w:val="26"/>
          <w:u w:val="none"/>
        </w:rPr>
      </w:pPr>
      <w:r>
        <w:rPr>
          <w:rStyle w:val="DraftingNote"/>
          <w:b w:val="0"/>
          <w:color w:val="auto"/>
          <w:sz w:val="26"/>
          <w:u w:val="none"/>
        </w:rPr>
        <w:t xml:space="preserve">There has long been interest in the ‘strength’ and the ‘quality’ of patents </w:t>
      </w:r>
      <w:r w:rsidR="004C2C67">
        <w:rPr>
          <w:rStyle w:val="DraftingNote"/>
          <w:b w:val="0"/>
          <w:color w:val="auto"/>
          <w:sz w:val="26"/>
          <w:u w:val="none"/>
        </w:rPr>
        <w:t>systems</w:t>
      </w:r>
      <w:r>
        <w:rPr>
          <w:rStyle w:val="DraftingNote"/>
          <w:b w:val="0"/>
          <w:color w:val="auto"/>
          <w:sz w:val="26"/>
          <w:u w:val="none"/>
        </w:rPr>
        <w:t xml:space="preserve">. </w:t>
      </w:r>
      <w:r w:rsidR="00DC4E56">
        <w:rPr>
          <w:rStyle w:val="DraftingNote"/>
          <w:b w:val="0"/>
          <w:color w:val="auto"/>
          <w:sz w:val="26"/>
          <w:u w:val="none"/>
        </w:rPr>
        <w:t xml:space="preserve">A body of literature </w:t>
      </w:r>
      <w:r>
        <w:rPr>
          <w:rStyle w:val="DraftingNote"/>
          <w:b w:val="0"/>
          <w:color w:val="auto"/>
          <w:sz w:val="26"/>
          <w:u w:val="none"/>
        </w:rPr>
        <w:t xml:space="preserve">measuring </w:t>
      </w:r>
      <w:r w:rsidR="00DC4E56">
        <w:rPr>
          <w:rStyle w:val="DraftingNote"/>
          <w:b w:val="0"/>
          <w:color w:val="auto"/>
          <w:sz w:val="26"/>
          <w:u w:val="none"/>
        </w:rPr>
        <w:t xml:space="preserve">the strength and quality of </w:t>
      </w:r>
      <w:r w:rsidR="004C2C67">
        <w:rPr>
          <w:rStyle w:val="DraftingNote"/>
          <w:b w:val="0"/>
          <w:color w:val="auto"/>
          <w:sz w:val="26"/>
          <w:u w:val="none"/>
        </w:rPr>
        <w:t>patents</w:t>
      </w:r>
      <w:r w:rsidR="00DC4E56">
        <w:rPr>
          <w:rStyle w:val="DraftingNote"/>
          <w:b w:val="0"/>
          <w:color w:val="auto"/>
          <w:sz w:val="26"/>
          <w:u w:val="none"/>
        </w:rPr>
        <w:t xml:space="preserve"> system</w:t>
      </w:r>
      <w:r w:rsidR="000E078E">
        <w:rPr>
          <w:rStyle w:val="DraftingNote"/>
          <w:b w:val="0"/>
          <w:color w:val="auto"/>
          <w:sz w:val="26"/>
          <w:u w:val="none"/>
        </w:rPr>
        <w:t>s</w:t>
      </w:r>
      <w:r w:rsidR="00DC4E56">
        <w:rPr>
          <w:rStyle w:val="DraftingNote"/>
          <w:b w:val="0"/>
          <w:color w:val="auto"/>
          <w:sz w:val="26"/>
          <w:u w:val="none"/>
        </w:rPr>
        <w:t xml:space="preserve"> in different countries has developed in recent decades (Ginarte and Park 1997; Lerner 2002; Park 2008</w:t>
      </w:r>
      <w:r w:rsidR="00A01B69">
        <w:rPr>
          <w:rStyle w:val="DraftingNote"/>
          <w:b w:val="0"/>
          <w:color w:val="auto"/>
          <w:sz w:val="26"/>
          <w:u w:val="none"/>
        </w:rPr>
        <w:t>;</w:t>
      </w:r>
      <w:r w:rsidR="00A01B69" w:rsidRPr="00A01B69">
        <w:rPr>
          <w:rStyle w:val="DraftingNote"/>
          <w:b w:val="0"/>
          <w:color w:val="auto"/>
          <w:sz w:val="26"/>
          <w:u w:val="none"/>
        </w:rPr>
        <w:t xml:space="preserve"> </w:t>
      </w:r>
      <w:r w:rsidR="00A01B69">
        <w:rPr>
          <w:rStyle w:val="DraftingNote"/>
          <w:b w:val="0"/>
          <w:color w:val="auto"/>
          <w:sz w:val="26"/>
          <w:u w:val="none"/>
        </w:rPr>
        <w:t>Rapp and Rozek 1990</w:t>
      </w:r>
      <w:r w:rsidR="00DC4E56">
        <w:rPr>
          <w:rStyle w:val="DraftingNote"/>
          <w:b w:val="0"/>
          <w:color w:val="auto"/>
          <w:sz w:val="26"/>
          <w:u w:val="none"/>
        </w:rPr>
        <w:t xml:space="preserve">). </w:t>
      </w:r>
    </w:p>
    <w:p w:rsidR="00165995" w:rsidRDefault="00DC4E56" w:rsidP="00DC4E56">
      <w:pPr>
        <w:pStyle w:val="BodyText"/>
        <w:rPr>
          <w:rStyle w:val="DraftingNote"/>
          <w:b w:val="0"/>
          <w:color w:val="auto"/>
          <w:sz w:val="26"/>
          <w:u w:val="none"/>
        </w:rPr>
      </w:pPr>
      <w:r>
        <w:rPr>
          <w:rStyle w:val="DraftingNote"/>
          <w:b w:val="0"/>
          <w:color w:val="auto"/>
          <w:sz w:val="26"/>
          <w:u w:val="none"/>
        </w:rPr>
        <w:t>Strength and quality of patent</w:t>
      </w:r>
      <w:r w:rsidR="007B7185">
        <w:rPr>
          <w:rStyle w:val="DraftingNote"/>
          <w:b w:val="0"/>
          <w:color w:val="auto"/>
          <w:sz w:val="26"/>
          <w:u w:val="none"/>
        </w:rPr>
        <w:t>s</w:t>
      </w:r>
      <w:r w:rsidR="00DE4858">
        <w:rPr>
          <w:rStyle w:val="DraftingNote"/>
          <w:b w:val="0"/>
          <w:color w:val="auto"/>
          <w:sz w:val="26"/>
          <w:u w:val="none"/>
        </w:rPr>
        <w:t xml:space="preserve"> </w:t>
      </w:r>
      <w:r>
        <w:rPr>
          <w:rStyle w:val="DraftingNote"/>
          <w:b w:val="0"/>
          <w:color w:val="auto"/>
          <w:sz w:val="26"/>
          <w:u w:val="none"/>
        </w:rPr>
        <w:t>s</w:t>
      </w:r>
      <w:r w:rsidR="00DE4858">
        <w:rPr>
          <w:rStyle w:val="DraftingNote"/>
          <w:b w:val="0"/>
          <w:color w:val="auto"/>
          <w:sz w:val="26"/>
          <w:u w:val="none"/>
        </w:rPr>
        <w:t>ystems</w:t>
      </w:r>
      <w:r>
        <w:rPr>
          <w:rStyle w:val="DraftingNote"/>
          <w:b w:val="0"/>
          <w:color w:val="auto"/>
          <w:sz w:val="26"/>
          <w:u w:val="none"/>
        </w:rPr>
        <w:t xml:space="preserve"> </w:t>
      </w:r>
      <w:r w:rsidR="00DE4858">
        <w:rPr>
          <w:rStyle w:val="DraftingNote"/>
          <w:b w:val="0"/>
          <w:color w:val="auto"/>
          <w:sz w:val="26"/>
          <w:u w:val="none"/>
        </w:rPr>
        <w:t>are</w:t>
      </w:r>
      <w:r>
        <w:rPr>
          <w:rStyle w:val="DraftingNote"/>
          <w:b w:val="0"/>
          <w:color w:val="auto"/>
          <w:sz w:val="26"/>
          <w:u w:val="none"/>
        </w:rPr>
        <w:t xml:space="preserve"> difficult </w:t>
      </w:r>
      <w:r w:rsidR="00DE4858">
        <w:rPr>
          <w:rStyle w:val="DraftingNote"/>
          <w:b w:val="0"/>
          <w:color w:val="auto"/>
          <w:sz w:val="26"/>
          <w:u w:val="none"/>
        </w:rPr>
        <w:t xml:space="preserve">concepts </w:t>
      </w:r>
      <w:r>
        <w:rPr>
          <w:rStyle w:val="DraftingNote"/>
          <w:b w:val="0"/>
          <w:color w:val="auto"/>
          <w:sz w:val="26"/>
          <w:u w:val="none"/>
        </w:rPr>
        <w:t>to define</w:t>
      </w:r>
      <w:r w:rsidR="00DE4858">
        <w:rPr>
          <w:rStyle w:val="DraftingNote"/>
          <w:b w:val="0"/>
          <w:color w:val="auto"/>
          <w:sz w:val="26"/>
          <w:u w:val="none"/>
        </w:rPr>
        <w:t>.</w:t>
      </w:r>
      <w:r>
        <w:rPr>
          <w:rStyle w:val="DraftingNote"/>
          <w:b w:val="0"/>
          <w:color w:val="auto"/>
          <w:sz w:val="26"/>
          <w:u w:val="none"/>
        </w:rPr>
        <w:t xml:space="preserve"> </w:t>
      </w:r>
      <w:r w:rsidR="00DE4858">
        <w:rPr>
          <w:rStyle w:val="DraftingNote"/>
          <w:b w:val="0"/>
          <w:color w:val="auto"/>
          <w:sz w:val="26"/>
          <w:u w:val="none"/>
        </w:rPr>
        <w:t>D</w:t>
      </w:r>
      <w:r w:rsidR="006F5BAE">
        <w:rPr>
          <w:rStyle w:val="DraftingNote"/>
          <w:b w:val="0"/>
          <w:color w:val="auto"/>
          <w:sz w:val="26"/>
          <w:u w:val="none"/>
        </w:rPr>
        <w:t>efinitions of s</w:t>
      </w:r>
      <w:r w:rsidR="00965608">
        <w:rPr>
          <w:rStyle w:val="DraftingNote"/>
          <w:b w:val="0"/>
          <w:color w:val="auto"/>
          <w:sz w:val="26"/>
          <w:u w:val="none"/>
        </w:rPr>
        <w:t xml:space="preserve">trength </w:t>
      </w:r>
      <w:r w:rsidR="00DE4858">
        <w:rPr>
          <w:rStyle w:val="DraftingNote"/>
          <w:b w:val="0"/>
          <w:color w:val="auto"/>
          <w:sz w:val="26"/>
          <w:u w:val="none"/>
        </w:rPr>
        <w:t xml:space="preserve">usually </w:t>
      </w:r>
      <w:r w:rsidR="007B7185">
        <w:rPr>
          <w:rStyle w:val="DraftingNote"/>
          <w:b w:val="0"/>
          <w:color w:val="auto"/>
          <w:sz w:val="26"/>
          <w:u w:val="none"/>
        </w:rPr>
        <w:t>relate to the</w:t>
      </w:r>
      <w:r w:rsidR="00331333">
        <w:rPr>
          <w:rStyle w:val="DraftingNote"/>
          <w:b w:val="0"/>
          <w:color w:val="auto"/>
          <w:sz w:val="26"/>
          <w:u w:val="none"/>
        </w:rPr>
        <w:t xml:space="preserve"> </w:t>
      </w:r>
      <w:r w:rsidR="00965608">
        <w:rPr>
          <w:rStyle w:val="DraftingNote"/>
          <w:b w:val="0"/>
          <w:color w:val="auto"/>
          <w:sz w:val="26"/>
          <w:u w:val="none"/>
        </w:rPr>
        <w:t>coverage</w:t>
      </w:r>
      <w:r w:rsidR="00331333">
        <w:rPr>
          <w:rStyle w:val="DraftingNote"/>
          <w:b w:val="0"/>
          <w:color w:val="auto"/>
          <w:sz w:val="26"/>
          <w:u w:val="none"/>
        </w:rPr>
        <w:t xml:space="preserve"> and</w:t>
      </w:r>
      <w:r w:rsidR="00965608">
        <w:rPr>
          <w:rStyle w:val="DraftingNote"/>
          <w:b w:val="0"/>
          <w:color w:val="auto"/>
          <w:sz w:val="26"/>
          <w:u w:val="none"/>
        </w:rPr>
        <w:t xml:space="preserve"> duration</w:t>
      </w:r>
      <w:r w:rsidR="00331333">
        <w:rPr>
          <w:rStyle w:val="DraftingNote"/>
          <w:b w:val="0"/>
          <w:color w:val="auto"/>
          <w:sz w:val="26"/>
          <w:u w:val="none"/>
        </w:rPr>
        <w:t xml:space="preserve"> of patents</w:t>
      </w:r>
      <w:r w:rsidR="00965608">
        <w:rPr>
          <w:rStyle w:val="DraftingNote"/>
          <w:b w:val="0"/>
          <w:color w:val="auto"/>
          <w:sz w:val="26"/>
          <w:u w:val="none"/>
        </w:rPr>
        <w:t>, enforcement mechanisms available</w:t>
      </w:r>
      <w:r w:rsidR="00331333">
        <w:rPr>
          <w:rStyle w:val="DraftingNote"/>
          <w:b w:val="0"/>
          <w:color w:val="auto"/>
          <w:sz w:val="26"/>
          <w:u w:val="none"/>
        </w:rPr>
        <w:t xml:space="preserve"> to patent holders</w:t>
      </w:r>
      <w:r w:rsidR="00965608">
        <w:rPr>
          <w:rStyle w:val="DraftingNote"/>
          <w:b w:val="0"/>
          <w:color w:val="auto"/>
          <w:sz w:val="26"/>
          <w:u w:val="none"/>
        </w:rPr>
        <w:t xml:space="preserve"> and </w:t>
      </w:r>
      <w:r w:rsidR="00331333">
        <w:rPr>
          <w:rStyle w:val="DraftingNote"/>
          <w:b w:val="0"/>
          <w:color w:val="auto"/>
          <w:sz w:val="26"/>
          <w:u w:val="none"/>
        </w:rPr>
        <w:t>safeguards on patents, such as compulsory licensing</w:t>
      </w:r>
      <w:r w:rsidR="00965608">
        <w:rPr>
          <w:rStyle w:val="DraftingNote"/>
          <w:b w:val="0"/>
          <w:color w:val="auto"/>
          <w:sz w:val="26"/>
          <w:u w:val="none"/>
        </w:rPr>
        <w:t xml:space="preserve">. </w:t>
      </w:r>
      <w:r w:rsidR="006F5BAE">
        <w:rPr>
          <w:rStyle w:val="DraftingNote"/>
          <w:b w:val="0"/>
          <w:color w:val="auto"/>
          <w:sz w:val="26"/>
          <w:u w:val="none"/>
        </w:rPr>
        <w:t xml:space="preserve">Definitions of quality tend to relate more to the stringency and transparency of the patent process. </w:t>
      </w:r>
      <w:r>
        <w:rPr>
          <w:rStyle w:val="DraftingNote"/>
          <w:b w:val="0"/>
          <w:color w:val="auto"/>
          <w:sz w:val="26"/>
          <w:u w:val="none"/>
        </w:rPr>
        <w:t xml:space="preserve">The effects of strength and quality on innovation and growth </w:t>
      </w:r>
      <w:r w:rsidR="00DE4858">
        <w:rPr>
          <w:rStyle w:val="DraftingNote"/>
          <w:b w:val="0"/>
          <w:color w:val="auto"/>
          <w:sz w:val="26"/>
          <w:u w:val="none"/>
        </w:rPr>
        <w:t>are</w:t>
      </w:r>
      <w:r>
        <w:rPr>
          <w:rStyle w:val="DraftingNote"/>
          <w:b w:val="0"/>
          <w:color w:val="auto"/>
          <w:sz w:val="26"/>
          <w:u w:val="none"/>
        </w:rPr>
        <w:t xml:space="preserve"> also disputed. </w:t>
      </w:r>
      <w:r w:rsidR="008F5553">
        <w:rPr>
          <w:rStyle w:val="DraftingNote"/>
          <w:b w:val="0"/>
          <w:color w:val="auto"/>
          <w:sz w:val="26"/>
          <w:u w:val="none"/>
        </w:rPr>
        <w:t>For example, a</w:t>
      </w:r>
      <w:r>
        <w:rPr>
          <w:rStyle w:val="DraftingNote"/>
          <w:b w:val="0"/>
          <w:color w:val="auto"/>
          <w:sz w:val="26"/>
          <w:u w:val="none"/>
        </w:rPr>
        <w:t xml:space="preserve"> </w:t>
      </w:r>
      <w:r w:rsidR="006F5BAE">
        <w:rPr>
          <w:rStyle w:val="DraftingNote"/>
          <w:b w:val="0"/>
          <w:color w:val="auto"/>
          <w:sz w:val="26"/>
          <w:u w:val="none"/>
        </w:rPr>
        <w:t xml:space="preserve">‘strong’ </w:t>
      </w:r>
      <w:r>
        <w:rPr>
          <w:rStyle w:val="DraftingNote"/>
          <w:b w:val="0"/>
          <w:color w:val="auto"/>
          <w:sz w:val="26"/>
          <w:u w:val="none"/>
        </w:rPr>
        <w:t>patent</w:t>
      </w:r>
      <w:r w:rsidR="007B7185">
        <w:rPr>
          <w:rStyle w:val="DraftingNote"/>
          <w:b w:val="0"/>
          <w:color w:val="auto"/>
          <w:sz w:val="26"/>
          <w:u w:val="none"/>
        </w:rPr>
        <w:t>s</w:t>
      </w:r>
      <w:r>
        <w:rPr>
          <w:rStyle w:val="DraftingNote"/>
          <w:b w:val="0"/>
          <w:color w:val="auto"/>
          <w:sz w:val="26"/>
          <w:u w:val="none"/>
        </w:rPr>
        <w:t xml:space="preserve"> system </w:t>
      </w:r>
      <w:r w:rsidR="006F5BAE">
        <w:rPr>
          <w:rStyle w:val="DraftingNote"/>
          <w:b w:val="0"/>
          <w:color w:val="auto"/>
          <w:sz w:val="26"/>
          <w:u w:val="none"/>
        </w:rPr>
        <w:t xml:space="preserve">might have perverse effects </w:t>
      </w:r>
      <w:r w:rsidR="00DE4858">
        <w:rPr>
          <w:rStyle w:val="DraftingNote"/>
          <w:b w:val="0"/>
          <w:color w:val="auto"/>
          <w:sz w:val="26"/>
          <w:u w:val="none"/>
        </w:rPr>
        <w:t xml:space="preserve">and discourage </w:t>
      </w:r>
      <w:r w:rsidR="006F5BAE">
        <w:rPr>
          <w:rStyle w:val="DraftingNote"/>
          <w:b w:val="0"/>
          <w:color w:val="auto"/>
          <w:sz w:val="26"/>
          <w:u w:val="none"/>
        </w:rPr>
        <w:t>innovation</w:t>
      </w:r>
      <w:r w:rsidR="008F5553">
        <w:rPr>
          <w:rStyle w:val="DraftingNote"/>
          <w:b w:val="0"/>
          <w:color w:val="auto"/>
          <w:sz w:val="26"/>
          <w:u w:val="none"/>
        </w:rPr>
        <w:t xml:space="preserve"> du</w:t>
      </w:r>
      <w:r w:rsidR="006F5BAE">
        <w:rPr>
          <w:rStyle w:val="DraftingNote"/>
          <w:b w:val="0"/>
          <w:color w:val="auto"/>
          <w:sz w:val="26"/>
          <w:u w:val="none"/>
        </w:rPr>
        <w:t>e to difficulties accessing patented materials to develop incremental inventions. A strong patent</w:t>
      </w:r>
      <w:r w:rsidR="007B7185">
        <w:rPr>
          <w:rStyle w:val="DraftingNote"/>
          <w:b w:val="0"/>
          <w:color w:val="auto"/>
          <w:sz w:val="26"/>
          <w:u w:val="none"/>
        </w:rPr>
        <w:t>s</w:t>
      </w:r>
      <w:r w:rsidR="006F5BAE">
        <w:rPr>
          <w:rStyle w:val="DraftingNote"/>
          <w:b w:val="0"/>
          <w:color w:val="auto"/>
          <w:sz w:val="26"/>
          <w:u w:val="none"/>
        </w:rPr>
        <w:t xml:space="preserve"> system might also put strain on the </w:t>
      </w:r>
      <w:r w:rsidR="00020381">
        <w:rPr>
          <w:rStyle w:val="DraftingNote"/>
          <w:b w:val="0"/>
          <w:color w:val="auto"/>
          <w:sz w:val="26"/>
          <w:u w:val="none"/>
        </w:rPr>
        <w:t xml:space="preserve">relevant </w:t>
      </w:r>
      <w:r w:rsidR="006F5BAE">
        <w:rPr>
          <w:rStyle w:val="DraftingNote"/>
          <w:b w:val="0"/>
          <w:color w:val="auto"/>
          <w:sz w:val="26"/>
          <w:u w:val="none"/>
        </w:rPr>
        <w:t xml:space="preserve">patent office </w:t>
      </w:r>
      <w:r w:rsidR="007B7185">
        <w:rPr>
          <w:rStyle w:val="DraftingNote"/>
          <w:b w:val="0"/>
          <w:color w:val="auto"/>
          <w:sz w:val="26"/>
          <w:u w:val="none"/>
        </w:rPr>
        <w:t xml:space="preserve">due to a large number of applications, which might lead to </w:t>
      </w:r>
      <w:r w:rsidR="006F5BAE">
        <w:rPr>
          <w:rStyle w:val="DraftingNote"/>
          <w:b w:val="0"/>
          <w:color w:val="auto"/>
          <w:sz w:val="26"/>
          <w:u w:val="none"/>
        </w:rPr>
        <w:t xml:space="preserve">delays in </w:t>
      </w:r>
      <w:r w:rsidR="00331333">
        <w:rPr>
          <w:rStyle w:val="DraftingNote"/>
          <w:b w:val="0"/>
          <w:color w:val="auto"/>
          <w:sz w:val="26"/>
          <w:u w:val="none"/>
        </w:rPr>
        <w:t>t</w:t>
      </w:r>
      <w:r w:rsidR="006F5BAE">
        <w:rPr>
          <w:rStyle w:val="DraftingNote"/>
          <w:b w:val="0"/>
          <w:color w:val="auto"/>
          <w:sz w:val="26"/>
          <w:u w:val="none"/>
        </w:rPr>
        <w:t xml:space="preserve">he patent process and other problems. </w:t>
      </w:r>
      <w:r w:rsidR="001E0DB2">
        <w:rPr>
          <w:rStyle w:val="DraftingNote"/>
          <w:b w:val="0"/>
          <w:color w:val="auto"/>
          <w:sz w:val="26"/>
          <w:u w:val="none"/>
        </w:rPr>
        <w:t>A high quality patents system might mean patent applications have to pass a high inventive threshold</w:t>
      </w:r>
      <w:r w:rsidR="0059504D">
        <w:rPr>
          <w:rStyle w:val="DraftingNote"/>
          <w:b w:val="0"/>
          <w:color w:val="auto"/>
          <w:sz w:val="26"/>
          <w:u w:val="none"/>
        </w:rPr>
        <w:t xml:space="preserve">, and therefore </w:t>
      </w:r>
      <w:r w:rsidR="003B7FAE">
        <w:rPr>
          <w:rStyle w:val="DraftingNote"/>
          <w:b w:val="0"/>
          <w:color w:val="auto"/>
          <w:sz w:val="26"/>
          <w:u w:val="none"/>
        </w:rPr>
        <w:t xml:space="preserve">that </w:t>
      </w:r>
      <w:r w:rsidR="0059504D">
        <w:rPr>
          <w:rStyle w:val="DraftingNote"/>
          <w:b w:val="0"/>
          <w:color w:val="auto"/>
          <w:sz w:val="26"/>
          <w:u w:val="none"/>
        </w:rPr>
        <w:t xml:space="preserve">granted patents are </w:t>
      </w:r>
      <w:r w:rsidR="003B7FAE">
        <w:rPr>
          <w:rStyle w:val="DraftingNote"/>
          <w:b w:val="0"/>
          <w:color w:val="auto"/>
          <w:sz w:val="26"/>
          <w:u w:val="none"/>
        </w:rPr>
        <w:t xml:space="preserve">of </w:t>
      </w:r>
      <w:r w:rsidR="0059504D">
        <w:rPr>
          <w:rStyle w:val="DraftingNote"/>
          <w:b w:val="0"/>
          <w:color w:val="auto"/>
          <w:sz w:val="26"/>
          <w:u w:val="none"/>
        </w:rPr>
        <w:t xml:space="preserve">‘high quality’. </w:t>
      </w:r>
      <w:r w:rsidR="003B7FAE">
        <w:rPr>
          <w:rStyle w:val="DraftingNote"/>
          <w:b w:val="0"/>
          <w:color w:val="auto"/>
          <w:sz w:val="26"/>
          <w:u w:val="none"/>
        </w:rPr>
        <w:t>However, t</w:t>
      </w:r>
      <w:r w:rsidR="0059504D">
        <w:rPr>
          <w:rStyle w:val="DraftingNote"/>
          <w:b w:val="0"/>
          <w:color w:val="auto"/>
          <w:sz w:val="26"/>
          <w:u w:val="none"/>
        </w:rPr>
        <w:t xml:space="preserve">he degree to which the quality of </w:t>
      </w:r>
      <w:r w:rsidR="008C44D2">
        <w:rPr>
          <w:rStyle w:val="DraftingNote"/>
          <w:b w:val="0"/>
          <w:color w:val="auto"/>
          <w:sz w:val="26"/>
          <w:u w:val="none"/>
        </w:rPr>
        <w:t xml:space="preserve">a </w:t>
      </w:r>
      <w:r w:rsidR="0059504D">
        <w:rPr>
          <w:rStyle w:val="DraftingNote"/>
          <w:b w:val="0"/>
          <w:color w:val="auto"/>
          <w:sz w:val="26"/>
          <w:u w:val="none"/>
        </w:rPr>
        <w:t>patents systems impacts on the quality of patents is uncertain</w:t>
      </w:r>
      <w:r w:rsidR="001E0DB2">
        <w:rPr>
          <w:rStyle w:val="DraftingNote"/>
          <w:b w:val="0"/>
          <w:color w:val="auto"/>
          <w:sz w:val="26"/>
          <w:u w:val="none"/>
        </w:rPr>
        <w:t xml:space="preserve">. </w:t>
      </w:r>
      <w:r w:rsidR="00165995">
        <w:rPr>
          <w:rStyle w:val="DraftingNote"/>
          <w:b w:val="0"/>
          <w:color w:val="auto"/>
          <w:sz w:val="26"/>
          <w:u w:val="none"/>
        </w:rPr>
        <w:t xml:space="preserve">Care must be taken when comparing countries because there has been much </w:t>
      </w:r>
      <w:r w:rsidR="00ED2745">
        <w:rPr>
          <w:rStyle w:val="DraftingNote"/>
          <w:b w:val="0"/>
          <w:color w:val="auto"/>
          <w:sz w:val="26"/>
          <w:u w:val="none"/>
        </w:rPr>
        <w:t xml:space="preserve">patent </w:t>
      </w:r>
      <w:r w:rsidR="00165995">
        <w:rPr>
          <w:rStyle w:val="DraftingNote"/>
          <w:b w:val="0"/>
          <w:color w:val="auto"/>
          <w:sz w:val="26"/>
          <w:u w:val="none"/>
        </w:rPr>
        <w:t xml:space="preserve">reform in recent years. Many of these reforms were designed to improve the strength </w:t>
      </w:r>
      <w:r w:rsidR="007B7185">
        <w:rPr>
          <w:rStyle w:val="DraftingNote"/>
          <w:b w:val="0"/>
          <w:color w:val="auto"/>
          <w:sz w:val="26"/>
          <w:u w:val="none"/>
        </w:rPr>
        <w:t>and/</w:t>
      </w:r>
      <w:r w:rsidR="00165995">
        <w:rPr>
          <w:rStyle w:val="DraftingNote"/>
          <w:b w:val="0"/>
          <w:color w:val="auto"/>
          <w:sz w:val="26"/>
          <w:u w:val="none"/>
        </w:rPr>
        <w:t>or quality of patent</w:t>
      </w:r>
      <w:r w:rsidR="007B7185">
        <w:rPr>
          <w:rStyle w:val="DraftingNote"/>
          <w:b w:val="0"/>
          <w:color w:val="auto"/>
          <w:sz w:val="26"/>
          <w:u w:val="none"/>
        </w:rPr>
        <w:t>s</w:t>
      </w:r>
      <w:r w:rsidR="00165995">
        <w:rPr>
          <w:rStyle w:val="DraftingNote"/>
          <w:b w:val="0"/>
          <w:color w:val="auto"/>
          <w:sz w:val="26"/>
          <w:u w:val="none"/>
        </w:rPr>
        <w:t xml:space="preserve"> systems, which has altered </w:t>
      </w:r>
      <w:r w:rsidR="007B7185">
        <w:rPr>
          <w:rStyle w:val="DraftingNote"/>
          <w:b w:val="0"/>
          <w:color w:val="auto"/>
          <w:sz w:val="26"/>
          <w:u w:val="none"/>
        </w:rPr>
        <w:t xml:space="preserve">world </w:t>
      </w:r>
      <w:r w:rsidR="00165995">
        <w:rPr>
          <w:rStyle w:val="DraftingNote"/>
          <w:b w:val="0"/>
          <w:color w:val="auto"/>
          <w:sz w:val="26"/>
          <w:u w:val="none"/>
        </w:rPr>
        <w:t>rankings.</w:t>
      </w:r>
    </w:p>
    <w:p w:rsidR="00E01B41" w:rsidRDefault="00331333" w:rsidP="008F6A1C">
      <w:pPr>
        <w:pStyle w:val="BodyText"/>
        <w:rPr>
          <w:rStyle w:val="DraftingNote"/>
          <w:b w:val="0"/>
          <w:color w:val="auto"/>
          <w:sz w:val="26"/>
          <w:u w:val="none"/>
        </w:rPr>
      </w:pPr>
      <w:r>
        <w:rPr>
          <w:rStyle w:val="DraftingNote"/>
          <w:b w:val="0"/>
          <w:color w:val="auto"/>
          <w:sz w:val="26"/>
          <w:u w:val="none"/>
        </w:rPr>
        <w:lastRenderedPageBreak/>
        <w:t>Park (2008) found that</w:t>
      </w:r>
      <w:r w:rsidR="008F5553">
        <w:rPr>
          <w:rStyle w:val="DraftingNote"/>
          <w:b w:val="0"/>
          <w:color w:val="auto"/>
          <w:sz w:val="26"/>
          <w:u w:val="none"/>
        </w:rPr>
        <w:t>,</w:t>
      </w:r>
      <w:r>
        <w:rPr>
          <w:rStyle w:val="DraftingNote"/>
          <w:b w:val="0"/>
          <w:color w:val="auto"/>
          <w:sz w:val="26"/>
          <w:u w:val="none"/>
        </w:rPr>
        <w:t xml:space="preserve"> in 2005</w:t>
      </w:r>
      <w:r w:rsidR="00523F7F">
        <w:rPr>
          <w:rStyle w:val="DraftingNote"/>
          <w:b w:val="0"/>
          <w:color w:val="auto"/>
          <w:sz w:val="26"/>
          <w:u w:val="none"/>
        </w:rPr>
        <w:t>,</w:t>
      </w:r>
      <w:r>
        <w:rPr>
          <w:rStyle w:val="DraftingNote"/>
          <w:b w:val="0"/>
          <w:color w:val="auto"/>
          <w:sz w:val="26"/>
          <w:u w:val="none"/>
        </w:rPr>
        <w:t xml:space="preserve"> most developed countries had strong patents systems</w:t>
      </w:r>
      <w:r w:rsidR="008F6A1C">
        <w:rPr>
          <w:rStyle w:val="DraftingNote"/>
          <w:b w:val="0"/>
          <w:color w:val="auto"/>
          <w:sz w:val="26"/>
          <w:u w:val="none"/>
        </w:rPr>
        <w:t xml:space="preserve"> and that almost all strong patent</w:t>
      </w:r>
      <w:r w:rsidR="007B7185">
        <w:rPr>
          <w:rStyle w:val="DraftingNote"/>
          <w:b w:val="0"/>
          <w:color w:val="auto"/>
          <w:sz w:val="26"/>
          <w:u w:val="none"/>
        </w:rPr>
        <w:t>s</w:t>
      </w:r>
      <w:r w:rsidR="008F6A1C">
        <w:rPr>
          <w:rStyle w:val="DraftingNote"/>
          <w:b w:val="0"/>
          <w:color w:val="auto"/>
          <w:sz w:val="26"/>
          <w:u w:val="none"/>
        </w:rPr>
        <w:t xml:space="preserve"> systems were in developed countries</w:t>
      </w:r>
      <w:r>
        <w:rPr>
          <w:rStyle w:val="DraftingNote"/>
          <w:b w:val="0"/>
          <w:color w:val="auto"/>
          <w:sz w:val="26"/>
          <w:u w:val="none"/>
        </w:rPr>
        <w:t xml:space="preserve">. </w:t>
      </w:r>
      <w:r w:rsidR="00DC4E56">
        <w:rPr>
          <w:rStyle w:val="DraftingNote"/>
          <w:b w:val="0"/>
          <w:color w:val="auto"/>
          <w:sz w:val="26"/>
          <w:u w:val="none"/>
        </w:rPr>
        <w:t>Park measured the strength of patent</w:t>
      </w:r>
      <w:r w:rsidR="007B7185">
        <w:rPr>
          <w:rStyle w:val="DraftingNote"/>
          <w:b w:val="0"/>
          <w:color w:val="auto"/>
          <w:sz w:val="26"/>
          <w:u w:val="none"/>
        </w:rPr>
        <w:t>s</w:t>
      </w:r>
      <w:r w:rsidR="00DC4E56">
        <w:rPr>
          <w:rStyle w:val="DraftingNote"/>
          <w:b w:val="0"/>
          <w:color w:val="auto"/>
          <w:sz w:val="26"/>
          <w:u w:val="none"/>
        </w:rPr>
        <w:t xml:space="preserve"> systems on a five point scale based on: coverage (inventions that are patentable); </w:t>
      </w:r>
      <w:r w:rsidR="006F5BAE">
        <w:rPr>
          <w:rStyle w:val="DraftingNote"/>
          <w:b w:val="0"/>
          <w:color w:val="auto"/>
          <w:sz w:val="26"/>
          <w:u w:val="none"/>
        </w:rPr>
        <w:t xml:space="preserve">membership of international treaties; </w:t>
      </w:r>
      <w:r w:rsidR="00DC4E56">
        <w:rPr>
          <w:rStyle w:val="DraftingNote"/>
          <w:b w:val="0"/>
          <w:color w:val="auto"/>
          <w:sz w:val="26"/>
          <w:u w:val="none"/>
        </w:rPr>
        <w:t xml:space="preserve">duration of protection; enforcement mechanisms; and </w:t>
      </w:r>
      <w:r w:rsidR="00965608">
        <w:rPr>
          <w:rStyle w:val="DraftingNote"/>
          <w:b w:val="0"/>
          <w:color w:val="auto"/>
          <w:sz w:val="26"/>
          <w:u w:val="none"/>
        </w:rPr>
        <w:t>safeguards</w:t>
      </w:r>
      <w:r w:rsidR="00DC4E56">
        <w:rPr>
          <w:rStyle w:val="DraftingNote"/>
          <w:b w:val="0"/>
          <w:color w:val="auto"/>
          <w:sz w:val="26"/>
          <w:u w:val="none"/>
        </w:rPr>
        <w:t xml:space="preserve">. </w:t>
      </w:r>
      <w:r>
        <w:rPr>
          <w:rStyle w:val="DraftingNote"/>
          <w:b w:val="0"/>
          <w:color w:val="auto"/>
          <w:sz w:val="26"/>
          <w:u w:val="none"/>
        </w:rPr>
        <w:t>On this scale, in 2005, t</w:t>
      </w:r>
      <w:r w:rsidR="00DC4E56">
        <w:rPr>
          <w:rStyle w:val="DraftingNote"/>
          <w:b w:val="0"/>
          <w:color w:val="auto"/>
          <w:sz w:val="26"/>
          <w:u w:val="none"/>
        </w:rPr>
        <w:t>he U</w:t>
      </w:r>
      <w:r w:rsidR="006570D5">
        <w:rPr>
          <w:rStyle w:val="DraftingNote"/>
          <w:b w:val="0"/>
          <w:color w:val="auto"/>
          <w:sz w:val="26"/>
          <w:u w:val="none"/>
        </w:rPr>
        <w:t xml:space="preserve">nited </w:t>
      </w:r>
      <w:r w:rsidR="00DC4E56">
        <w:rPr>
          <w:rStyle w:val="DraftingNote"/>
          <w:b w:val="0"/>
          <w:color w:val="auto"/>
          <w:sz w:val="26"/>
          <w:u w:val="none"/>
        </w:rPr>
        <w:t>S</w:t>
      </w:r>
      <w:r w:rsidR="006570D5">
        <w:rPr>
          <w:rStyle w:val="DraftingNote"/>
          <w:b w:val="0"/>
          <w:color w:val="auto"/>
          <w:sz w:val="26"/>
          <w:u w:val="none"/>
        </w:rPr>
        <w:t>tates</w:t>
      </w:r>
      <w:r w:rsidR="00DC4E56">
        <w:rPr>
          <w:rStyle w:val="DraftingNote"/>
          <w:b w:val="0"/>
          <w:color w:val="auto"/>
          <w:sz w:val="26"/>
          <w:u w:val="none"/>
        </w:rPr>
        <w:t xml:space="preserve"> had a score of 4.9; Japan had a score of 4.7; and most European Union members had a score of about 4.5. Australia had a slightly lower score (4.2).</w:t>
      </w:r>
      <w:r w:rsidR="008F6A1C">
        <w:rPr>
          <w:rStyle w:val="DraftingNote"/>
          <w:b w:val="0"/>
          <w:color w:val="auto"/>
          <w:sz w:val="26"/>
          <w:u w:val="none"/>
        </w:rPr>
        <w:t xml:space="preserve"> </w:t>
      </w:r>
    </w:p>
    <w:p w:rsidR="008F6A1C" w:rsidRPr="008F6A1C" w:rsidRDefault="008F5553" w:rsidP="008F6A1C">
      <w:pPr>
        <w:pStyle w:val="BodyText"/>
        <w:rPr>
          <w:rStyle w:val="DraftingNote"/>
          <w:b w:val="0"/>
          <w:color w:val="auto"/>
          <w:sz w:val="26"/>
          <w:u w:val="none"/>
        </w:rPr>
      </w:pPr>
      <w:r>
        <w:rPr>
          <w:rStyle w:val="DraftingNote"/>
          <w:b w:val="0"/>
          <w:color w:val="auto"/>
          <w:sz w:val="26"/>
          <w:u w:val="none"/>
        </w:rPr>
        <w:t>T</w:t>
      </w:r>
      <w:r w:rsidR="008F6A1C">
        <w:rPr>
          <w:rStyle w:val="DraftingNote"/>
          <w:b w:val="0"/>
          <w:color w:val="auto"/>
          <w:sz w:val="26"/>
          <w:u w:val="none"/>
        </w:rPr>
        <w:t xml:space="preserve">he </w:t>
      </w:r>
      <w:r w:rsidR="008F6A1C" w:rsidRPr="008F6A1C">
        <w:rPr>
          <w:rStyle w:val="DraftingNote"/>
          <w:b w:val="0"/>
          <w:color w:val="auto"/>
          <w:sz w:val="26"/>
          <w:u w:val="none"/>
        </w:rPr>
        <w:t>International Property Rights Index</w:t>
      </w:r>
      <w:r w:rsidR="008F6A1C">
        <w:rPr>
          <w:rStyle w:val="DraftingNote"/>
          <w:b w:val="0"/>
          <w:color w:val="auto"/>
          <w:sz w:val="26"/>
          <w:u w:val="none"/>
        </w:rPr>
        <w:t xml:space="preserve">, which includes </w:t>
      </w:r>
      <w:r w:rsidR="00020381">
        <w:rPr>
          <w:rStyle w:val="DraftingNote"/>
          <w:b w:val="0"/>
          <w:color w:val="auto"/>
          <w:sz w:val="26"/>
          <w:u w:val="none"/>
        </w:rPr>
        <w:t xml:space="preserve">IP </w:t>
      </w:r>
      <w:r w:rsidR="008F6A1C" w:rsidRPr="008F6A1C">
        <w:rPr>
          <w:rStyle w:val="DraftingNote"/>
          <w:b w:val="0"/>
          <w:color w:val="auto"/>
          <w:sz w:val="26"/>
          <w:u w:val="none"/>
        </w:rPr>
        <w:t>rights as one of three core components</w:t>
      </w:r>
      <w:r w:rsidR="008F6A1C">
        <w:rPr>
          <w:rStyle w:val="DraftingNote"/>
          <w:b w:val="0"/>
          <w:color w:val="auto"/>
          <w:sz w:val="26"/>
          <w:u w:val="none"/>
        </w:rPr>
        <w:t xml:space="preserve">, </w:t>
      </w:r>
      <w:r w:rsidR="00A01B69">
        <w:rPr>
          <w:rStyle w:val="DraftingNote"/>
          <w:b w:val="0"/>
          <w:color w:val="auto"/>
          <w:sz w:val="26"/>
          <w:u w:val="none"/>
        </w:rPr>
        <w:t>shows</w:t>
      </w:r>
      <w:r w:rsidR="008F6A1C">
        <w:rPr>
          <w:rStyle w:val="DraftingNote"/>
          <w:b w:val="0"/>
          <w:color w:val="auto"/>
          <w:sz w:val="26"/>
          <w:u w:val="none"/>
        </w:rPr>
        <w:t xml:space="preserve"> that developed countries </w:t>
      </w:r>
      <w:r w:rsidR="001736C2">
        <w:rPr>
          <w:rStyle w:val="DraftingNote"/>
          <w:b w:val="0"/>
          <w:color w:val="auto"/>
          <w:sz w:val="26"/>
          <w:u w:val="none"/>
        </w:rPr>
        <w:t xml:space="preserve">provided the strongest </w:t>
      </w:r>
      <w:r w:rsidR="00020381">
        <w:rPr>
          <w:rStyle w:val="DraftingNote"/>
          <w:b w:val="0"/>
          <w:color w:val="auto"/>
          <w:sz w:val="26"/>
          <w:u w:val="none"/>
        </w:rPr>
        <w:t>IP</w:t>
      </w:r>
      <w:r w:rsidR="001736C2">
        <w:rPr>
          <w:rStyle w:val="DraftingNote"/>
          <w:b w:val="0"/>
          <w:color w:val="auto"/>
          <w:sz w:val="26"/>
          <w:u w:val="none"/>
        </w:rPr>
        <w:t xml:space="preserve"> protection</w:t>
      </w:r>
      <w:r w:rsidR="008F6A1C" w:rsidRPr="008F6A1C">
        <w:rPr>
          <w:rStyle w:val="DraftingNote"/>
          <w:b w:val="0"/>
          <w:color w:val="auto"/>
          <w:sz w:val="26"/>
          <w:u w:val="none"/>
        </w:rPr>
        <w:t xml:space="preserve">. In 2012, Finland had the highest score on the </w:t>
      </w:r>
      <w:r w:rsidR="00020381">
        <w:rPr>
          <w:rStyle w:val="DraftingNote"/>
          <w:b w:val="0"/>
          <w:color w:val="auto"/>
          <w:sz w:val="26"/>
          <w:u w:val="none"/>
        </w:rPr>
        <w:t>IP</w:t>
      </w:r>
      <w:r w:rsidR="008F6A1C" w:rsidRPr="008F6A1C">
        <w:rPr>
          <w:rStyle w:val="DraftingNote"/>
          <w:b w:val="0"/>
          <w:color w:val="auto"/>
          <w:sz w:val="26"/>
          <w:u w:val="none"/>
        </w:rPr>
        <w:t xml:space="preserve"> measure of 8.6</w:t>
      </w:r>
      <w:r w:rsidR="008F6A1C">
        <w:rPr>
          <w:rStyle w:val="DraftingNote"/>
          <w:b w:val="0"/>
          <w:color w:val="auto"/>
          <w:sz w:val="26"/>
          <w:u w:val="none"/>
        </w:rPr>
        <w:t xml:space="preserve"> out of 10</w:t>
      </w:r>
      <w:r w:rsidR="008F6A1C" w:rsidRPr="008F6A1C">
        <w:rPr>
          <w:rStyle w:val="DraftingNote"/>
          <w:b w:val="0"/>
          <w:color w:val="auto"/>
          <w:sz w:val="26"/>
          <w:u w:val="none"/>
        </w:rPr>
        <w:t xml:space="preserve">. </w:t>
      </w:r>
      <w:r w:rsidR="00871325">
        <w:rPr>
          <w:rStyle w:val="DraftingNote"/>
          <w:b w:val="0"/>
          <w:color w:val="auto"/>
          <w:sz w:val="26"/>
          <w:u w:val="none"/>
        </w:rPr>
        <w:t xml:space="preserve">Japan and the United States were in equal fourth position and the United Kingdom was in ninth position. </w:t>
      </w:r>
      <w:r w:rsidR="008F6A1C" w:rsidRPr="008F6A1C">
        <w:rPr>
          <w:rStyle w:val="DraftingNote"/>
          <w:b w:val="0"/>
          <w:color w:val="auto"/>
          <w:sz w:val="26"/>
          <w:u w:val="none"/>
        </w:rPr>
        <w:t>Australia was ranked equal 18th with a score of 7.8</w:t>
      </w:r>
      <w:r w:rsidR="008F6A1C">
        <w:rPr>
          <w:rStyle w:val="DraftingNote"/>
          <w:b w:val="0"/>
          <w:color w:val="auto"/>
          <w:sz w:val="26"/>
          <w:u w:val="none"/>
        </w:rPr>
        <w:t xml:space="preserve"> (Tiwari 2012)</w:t>
      </w:r>
      <w:r w:rsidR="008F6A1C" w:rsidRPr="008F6A1C">
        <w:rPr>
          <w:rStyle w:val="DraftingNote"/>
          <w:b w:val="0"/>
          <w:color w:val="auto"/>
          <w:sz w:val="26"/>
          <w:u w:val="none"/>
        </w:rPr>
        <w:t xml:space="preserve">. </w:t>
      </w:r>
    </w:p>
    <w:p w:rsidR="001910B5" w:rsidRDefault="001910B5" w:rsidP="00DC4E56">
      <w:pPr>
        <w:pStyle w:val="BodyText"/>
        <w:rPr>
          <w:rStyle w:val="DraftingNote"/>
          <w:b w:val="0"/>
          <w:color w:val="auto"/>
          <w:sz w:val="26"/>
          <w:u w:val="none"/>
        </w:rPr>
      </w:pPr>
      <w:r>
        <w:rPr>
          <w:rStyle w:val="DraftingNote"/>
          <w:b w:val="0"/>
          <w:color w:val="auto"/>
          <w:sz w:val="26"/>
          <w:u w:val="none"/>
        </w:rPr>
        <w:t>The desirability of a strong patent</w:t>
      </w:r>
      <w:r w:rsidR="007B7185">
        <w:rPr>
          <w:rStyle w:val="DraftingNote"/>
          <w:b w:val="0"/>
          <w:color w:val="auto"/>
          <w:sz w:val="26"/>
          <w:u w:val="none"/>
        </w:rPr>
        <w:t>s</w:t>
      </w:r>
      <w:r>
        <w:rPr>
          <w:rStyle w:val="DraftingNote"/>
          <w:b w:val="0"/>
          <w:color w:val="auto"/>
          <w:sz w:val="26"/>
          <w:u w:val="none"/>
        </w:rPr>
        <w:t xml:space="preserve"> system is contested. </w:t>
      </w:r>
      <w:r w:rsidR="00DC4E56">
        <w:rPr>
          <w:rStyle w:val="DraftingNote"/>
          <w:b w:val="0"/>
          <w:color w:val="auto"/>
          <w:sz w:val="26"/>
          <w:u w:val="none"/>
        </w:rPr>
        <w:t xml:space="preserve">For example, </w:t>
      </w:r>
      <w:r w:rsidR="00772DEA">
        <w:rPr>
          <w:rStyle w:val="DraftingNote"/>
          <w:b w:val="0"/>
          <w:color w:val="auto"/>
          <w:sz w:val="26"/>
          <w:u w:val="none"/>
        </w:rPr>
        <w:t>de</w:t>
      </w:r>
      <w:r w:rsidR="00923156">
        <w:rPr>
          <w:rStyle w:val="DraftingNote"/>
          <w:b w:val="0"/>
          <w:color w:val="auto"/>
          <w:sz w:val="26"/>
          <w:u w:val="none"/>
        </w:rPr>
        <w:t> </w:t>
      </w:r>
      <w:r w:rsidR="00772DEA">
        <w:rPr>
          <w:rStyle w:val="DraftingNote"/>
          <w:b w:val="0"/>
          <w:color w:val="auto"/>
          <w:sz w:val="26"/>
          <w:u w:val="none"/>
        </w:rPr>
        <w:t>Saint</w:t>
      </w:r>
      <w:r w:rsidR="00772DEA">
        <w:rPr>
          <w:rStyle w:val="DraftingNote"/>
          <w:b w:val="0"/>
          <w:color w:val="auto"/>
          <w:sz w:val="26"/>
          <w:u w:val="none"/>
        </w:rPr>
        <w:noBreakHyphen/>
        <w:t xml:space="preserve">Georges </w:t>
      </w:r>
      <w:r w:rsidR="005620D7">
        <w:rPr>
          <w:rStyle w:val="DraftingNote"/>
          <w:b w:val="0"/>
          <w:color w:val="auto"/>
          <w:sz w:val="26"/>
          <w:u w:val="none"/>
        </w:rPr>
        <w:t>and v</w:t>
      </w:r>
      <w:r w:rsidR="00DC4E56">
        <w:rPr>
          <w:rStyle w:val="DraftingNote"/>
          <w:b w:val="0"/>
          <w:color w:val="auto"/>
          <w:sz w:val="26"/>
          <w:u w:val="none"/>
        </w:rPr>
        <w:t xml:space="preserve">an Pottelsberghe (2011) argued that most </w:t>
      </w:r>
      <w:r>
        <w:rPr>
          <w:rStyle w:val="DraftingNote"/>
          <w:b w:val="0"/>
          <w:color w:val="auto"/>
          <w:sz w:val="26"/>
          <w:u w:val="none"/>
        </w:rPr>
        <w:t>literature on patent strength overlook</w:t>
      </w:r>
      <w:r w:rsidR="008F5553">
        <w:rPr>
          <w:rStyle w:val="DraftingNote"/>
          <w:b w:val="0"/>
          <w:color w:val="auto"/>
          <w:sz w:val="26"/>
          <w:u w:val="none"/>
        </w:rPr>
        <w:t>s</w:t>
      </w:r>
      <w:r>
        <w:rPr>
          <w:rStyle w:val="DraftingNote"/>
          <w:b w:val="0"/>
          <w:color w:val="auto"/>
          <w:sz w:val="26"/>
          <w:u w:val="none"/>
        </w:rPr>
        <w:t xml:space="preserve"> the quality </w:t>
      </w:r>
      <w:r w:rsidR="001425DA">
        <w:rPr>
          <w:rStyle w:val="DraftingNote"/>
          <w:b w:val="0"/>
          <w:color w:val="auto"/>
          <w:sz w:val="26"/>
          <w:u w:val="none"/>
        </w:rPr>
        <w:t xml:space="preserve">and transparency </w:t>
      </w:r>
      <w:r>
        <w:rPr>
          <w:rStyle w:val="DraftingNote"/>
          <w:b w:val="0"/>
          <w:color w:val="auto"/>
          <w:sz w:val="26"/>
          <w:u w:val="none"/>
        </w:rPr>
        <w:t>of patents</w:t>
      </w:r>
      <w:r w:rsidR="0025594E">
        <w:rPr>
          <w:rStyle w:val="DraftingNote"/>
          <w:b w:val="0"/>
          <w:color w:val="auto"/>
          <w:sz w:val="26"/>
          <w:u w:val="none"/>
        </w:rPr>
        <w:t xml:space="preserve"> systems</w:t>
      </w:r>
      <w:r w:rsidR="00DC4E56">
        <w:rPr>
          <w:rStyle w:val="DraftingNote"/>
          <w:b w:val="0"/>
          <w:color w:val="auto"/>
          <w:sz w:val="26"/>
          <w:u w:val="none"/>
        </w:rPr>
        <w:t xml:space="preserve">. </w:t>
      </w:r>
      <w:r w:rsidR="005620D7">
        <w:rPr>
          <w:rStyle w:val="DraftingNote"/>
          <w:b w:val="0"/>
          <w:color w:val="auto"/>
          <w:sz w:val="26"/>
          <w:u w:val="none"/>
        </w:rPr>
        <w:t>The authors</w:t>
      </w:r>
      <w:r w:rsidR="00DC4E56">
        <w:rPr>
          <w:rStyle w:val="DraftingNote"/>
          <w:b w:val="0"/>
          <w:color w:val="auto"/>
          <w:sz w:val="26"/>
          <w:u w:val="none"/>
        </w:rPr>
        <w:t xml:space="preserve"> argued that patent</w:t>
      </w:r>
      <w:r w:rsidR="007B7185">
        <w:rPr>
          <w:rStyle w:val="DraftingNote"/>
          <w:b w:val="0"/>
          <w:color w:val="auto"/>
          <w:sz w:val="26"/>
          <w:u w:val="none"/>
        </w:rPr>
        <w:t>s</w:t>
      </w:r>
      <w:r w:rsidR="00DC4E56">
        <w:rPr>
          <w:rStyle w:val="DraftingNote"/>
          <w:b w:val="0"/>
          <w:color w:val="auto"/>
          <w:sz w:val="26"/>
          <w:u w:val="none"/>
        </w:rPr>
        <w:t xml:space="preserve"> systems typically classified as </w:t>
      </w:r>
      <w:r w:rsidR="00DE4858">
        <w:rPr>
          <w:rStyle w:val="DraftingNote"/>
          <w:b w:val="0"/>
          <w:color w:val="auto"/>
          <w:sz w:val="26"/>
          <w:u w:val="none"/>
        </w:rPr>
        <w:t>‘</w:t>
      </w:r>
      <w:r w:rsidR="00DC4E56">
        <w:rPr>
          <w:rStyle w:val="DraftingNote"/>
          <w:b w:val="0"/>
          <w:color w:val="auto"/>
          <w:sz w:val="26"/>
          <w:u w:val="none"/>
        </w:rPr>
        <w:t>stronger</w:t>
      </w:r>
      <w:r w:rsidR="00DE4858">
        <w:rPr>
          <w:rStyle w:val="DraftingNote"/>
          <w:b w:val="0"/>
          <w:color w:val="auto"/>
          <w:sz w:val="26"/>
          <w:u w:val="none"/>
        </w:rPr>
        <w:t>’</w:t>
      </w:r>
      <w:r w:rsidR="00DC4E56">
        <w:rPr>
          <w:rStyle w:val="DraftingNote"/>
          <w:b w:val="0"/>
          <w:color w:val="auto"/>
          <w:sz w:val="26"/>
          <w:u w:val="none"/>
        </w:rPr>
        <w:t xml:space="preserve"> were more ‘applicant friendly’</w:t>
      </w:r>
      <w:r w:rsidR="00E01B41">
        <w:rPr>
          <w:rStyle w:val="DraftingNote"/>
          <w:b w:val="0"/>
          <w:color w:val="auto"/>
          <w:sz w:val="26"/>
          <w:u w:val="none"/>
        </w:rPr>
        <w:t>,</w:t>
      </w:r>
      <w:r w:rsidR="001425DA">
        <w:rPr>
          <w:rStyle w:val="DraftingNote"/>
          <w:b w:val="0"/>
          <w:color w:val="auto"/>
          <w:sz w:val="26"/>
          <w:u w:val="none"/>
        </w:rPr>
        <w:t xml:space="preserve"> rather than high quality</w:t>
      </w:r>
      <w:r w:rsidR="00E01B41">
        <w:rPr>
          <w:rStyle w:val="DraftingNote"/>
          <w:b w:val="0"/>
          <w:color w:val="auto"/>
          <w:sz w:val="26"/>
          <w:u w:val="none"/>
        </w:rPr>
        <w:t xml:space="preserve">, and </w:t>
      </w:r>
      <w:r w:rsidR="00DC4E56">
        <w:rPr>
          <w:rStyle w:val="DraftingNote"/>
          <w:b w:val="0"/>
          <w:color w:val="auto"/>
          <w:sz w:val="26"/>
          <w:u w:val="none"/>
        </w:rPr>
        <w:t xml:space="preserve">developed a quality index </w:t>
      </w:r>
      <w:r>
        <w:rPr>
          <w:rStyle w:val="DraftingNote"/>
          <w:b w:val="0"/>
          <w:color w:val="auto"/>
          <w:sz w:val="26"/>
          <w:u w:val="none"/>
        </w:rPr>
        <w:t xml:space="preserve">for 32 countries based </w:t>
      </w:r>
      <w:r w:rsidR="00DC4E56">
        <w:rPr>
          <w:rStyle w:val="DraftingNote"/>
          <w:b w:val="0"/>
          <w:color w:val="auto"/>
          <w:sz w:val="26"/>
          <w:u w:val="none"/>
        </w:rPr>
        <w:t>on nine components</w:t>
      </w:r>
      <w:r w:rsidR="007B7185">
        <w:rPr>
          <w:rStyle w:val="DraftingNote"/>
          <w:b w:val="0"/>
          <w:color w:val="auto"/>
          <w:sz w:val="26"/>
          <w:u w:val="none"/>
        </w:rPr>
        <w:t xml:space="preserve"> outlined in table B</w:t>
      </w:r>
      <w:r w:rsidR="003E5D5D">
        <w:rPr>
          <w:rStyle w:val="DraftingNote"/>
          <w:b w:val="0"/>
          <w:color w:val="auto"/>
          <w:sz w:val="26"/>
          <w:u w:val="none"/>
        </w:rPr>
        <w:t>.4.</w:t>
      </w:r>
    </w:p>
    <w:p w:rsidR="003E5D5D" w:rsidRDefault="003E5D5D" w:rsidP="003E5D5D">
      <w:pPr>
        <w:pStyle w:val="TableTitle"/>
      </w:pPr>
      <w:r>
        <w:rPr>
          <w:b w:val="0"/>
        </w:rPr>
        <w:t xml:space="preserve">Table </w:t>
      </w:r>
      <w:r w:rsidR="00A92E22">
        <w:fldChar w:fldCharType="begin"/>
      </w:r>
      <w:r w:rsidR="00A92E22">
        <w:instrText xml:space="preserve"> COMMENTS  \* MERGEFORMAT </w:instrText>
      </w:r>
      <w:r w:rsidR="00A92E22">
        <w:fldChar w:fldCharType="separate"/>
      </w:r>
      <w:proofErr w:type="spellStart"/>
      <w:r w:rsidR="00C54A38">
        <w:rPr>
          <w:b w:val="0"/>
        </w:rPr>
        <w:t>B.</w:t>
      </w:r>
      <w:r w:rsidR="00A92E22">
        <w:rPr>
          <w:b w:val="0"/>
        </w:rPr>
        <w:fldChar w:fldCharType="end"/>
      </w:r>
      <w:r w:rsidR="00794E05">
        <w:rPr>
          <w:b w:val="0"/>
        </w:rPr>
        <w:fldChar w:fldCharType="begin"/>
      </w:r>
      <w:r>
        <w:rPr>
          <w:b w:val="0"/>
        </w:rPr>
        <w:instrText xml:space="preserve"> SEQ Table \* ARABIC </w:instrText>
      </w:r>
      <w:r w:rsidR="00794E05">
        <w:rPr>
          <w:b w:val="0"/>
        </w:rPr>
        <w:fldChar w:fldCharType="separate"/>
      </w:r>
      <w:r w:rsidR="006367F1">
        <w:rPr>
          <w:b w:val="0"/>
          <w:noProof/>
        </w:rPr>
        <w:t>4</w:t>
      </w:r>
      <w:proofErr w:type="spellEnd"/>
      <w:r w:rsidR="00794E05">
        <w:rPr>
          <w:b w:val="0"/>
        </w:rPr>
        <w:fldChar w:fldCharType="end"/>
      </w:r>
      <w:r>
        <w:tab/>
        <w:t xml:space="preserve">Components of </w:t>
      </w:r>
      <w:r w:rsidR="00E01B41">
        <w:t xml:space="preserve">patent </w:t>
      </w:r>
      <w:r>
        <w:t xml:space="preserve">quality index </w:t>
      </w:r>
    </w:p>
    <w:tbl>
      <w:tblPr>
        <w:tblW w:w="5000" w:type="pct"/>
        <w:tblCellMar>
          <w:left w:w="0" w:type="dxa"/>
          <w:right w:w="0" w:type="dxa"/>
        </w:tblCellMar>
        <w:tblLook w:val="0000" w:firstRow="0" w:lastRow="0" w:firstColumn="0" w:lastColumn="0" w:noHBand="0" w:noVBand="0"/>
      </w:tblPr>
      <w:tblGrid>
        <w:gridCol w:w="2930"/>
        <w:gridCol w:w="5859"/>
      </w:tblGrid>
      <w:tr w:rsidR="003E5D5D" w:rsidTr="003E5D5D">
        <w:tc>
          <w:tcPr>
            <w:tcW w:w="1667" w:type="pct"/>
            <w:tcBorders>
              <w:top w:val="single" w:sz="6" w:space="0" w:color="auto"/>
              <w:bottom w:val="single" w:sz="6" w:space="0" w:color="auto"/>
            </w:tcBorders>
            <w:shd w:val="clear" w:color="auto" w:fill="auto"/>
          </w:tcPr>
          <w:p w:rsidR="003E5D5D" w:rsidRDefault="003E5D5D" w:rsidP="003E5D5D">
            <w:pPr>
              <w:pStyle w:val="TableColumnHeading"/>
              <w:jc w:val="left"/>
            </w:pPr>
            <w:r>
              <w:t>Component</w:t>
            </w:r>
          </w:p>
        </w:tc>
        <w:tc>
          <w:tcPr>
            <w:tcW w:w="3333" w:type="pct"/>
            <w:tcBorders>
              <w:top w:val="single" w:sz="6" w:space="0" w:color="auto"/>
              <w:bottom w:val="single" w:sz="6" w:space="0" w:color="auto"/>
            </w:tcBorders>
            <w:shd w:val="clear" w:color="auto" w:fill="auto"/>
          </w:tcPr>
          <w:p w:rsidR="003E5D5D" w:rsidRDefault="003E5D5D" w:rsidP="00E6061D">
            <w:pPr>
              <w:pStyle w:val="TableColumnHeading"/>
              <w:ind w:right="28"/>
              <w:jc w:val="left"/>
            </w:pPr>
            <w:r>
              <w:t>Assumed effect on quality</w:t>
            </w:r>
          </w:p>
        </w:tc>
      </w:tr>
      <w:tr w:rsidR="003E5D5D" w:rsidTr="003E5D5D">
        <w:tc>
          <w:tcPr>
            <w:tcW w:w="1667" w:type="pct"/>
            <w:tcBorders>
              <w:top w:val="single" w:sz="6" w:space="0" w:color="auto"/>
            </w:tcBorders>
          </w:tcPr>
          <w:p w:rsidR="003E5D5D" w:rsidRDefault="003E5D5D" w:rsidP="003E5D5D">
            <w:pPr>
              <w:pStyle w:val="TableUnitsRow"/>
              <w:jc w:val="left"/>
            </w:pPr>
            <w:r>
              <w:t>First-to-file</w:t>
            </w:r>
            <w:r w:rsidR="00E6061D">
              <w:t xml:space="preserve"> system</w:t>
            </w:r>
          </w:p>
        </w:tc>
        <w:tc>
          <w:tcPr>
            <w:tcW w:w="3333" w:type="pct"/>
            <w:tcBorders>
              <w:top w:val="single" w:sz="6" w:space="0" w:color="auto"/>
            </w:tcBorders>
          </w:tcPr>
          <w:p w:rsidR="003E5D5D" w:rsidRDefault="003E5D5D" w:rsidP="00E6061D">
            <w:pPr>
              <w:pStyle w:val="TableUnitsRow"/>
              <w:ind w:right="28"/>
              <w:jc w:val="left"/>
            </w:pPr>
            <w:r>
              <w:t>A first-to-file patent</w:t>
            </w:r>
            <w:r w:rsidR="007B7185">
              <w:t>s</w:t>
            </w:r>
            <w:r>
              <w:t xml:space="preserve"> system i</w:t>
            </w:r>
            <w:r w:rsidR="00E6061D">
              <w:t>nc</w:t>
            </w:r>
            <w:r>
              <w:t>rease</w:t>
            </w:r>
            <w:r w:rsidR="00E6061D">
              <w:t>s</w:t>
            </w:r>
            <w:r>
              <w:t xml:space="preserve"> patent quality because i</w:t>
            </w:r>
            <w:r w:rsidR="0092623D">
              <w:t>t encourages earlier disclosure</w:t>
            </w:r>
          </w:p>
        </w:tc>
      </w:tr>
      <w:tr w:rsidR="003E5D5D" w:rsidTr="003E5D5D">
        <w:tc>
          <w:tcPr>
            <w:tcW w:w="1667" w:type="pct"/>
          </w:tcPr>
          <w:p w:rsidR="003E5D5D" w:rsidRDefault="003E5D5D" w:rsidP="003E5D5D">
            <w:pPr>
              <w:pStyle w:val="TableBodyText"/>
              <w:jc w:val="left"/>
            </w:pPr>
            <w:r>
              <w:t>Published search report</w:t>
            </w:r>
          </w:p>
        </w:tc>
        <w:tc>
          <w:tcPr>
            <w:tcW w:w="3333" w:type="pct"/>
          </w:tcPr>
          <w:p w:rsidR="003E5D5D" w:rsidRDefault="003E5D5D" w:rsidP="00E6061D">
            <w:pPr>
              <w:pStyle w:val="TableBodyText"/>
              <w:ind w:right="28"/>
              <w:jc w:val="left"/>
            </w:pPr>
            <w:r>
              <w:t>A published search report for prior knowledge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Time limit to request examination</w:t>
            </w:r>
          </w:p>
        </w:tc>
        <w:tc>
          <w:tcPr>
            <w:tcW w:w="3333" w:type="pct"/>
          </w:tcPr>
          <w:p w:rsidR="003E5D5D" w:rsidRDefault="003E5D5D" w:rsidP="00E6061D">
            <w:pPr>
              <w:pStyle w:val="TableBodyText"/>
              <w:ind w:right="28"/>
              <w:jc w:val="left"/>
            </w:pPr>
            <w:r>
              <w:t>A shorter time limit to request examination after filing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Length of post-grant opposition period</w:t>
            </w:r>
          </w:p>
        </w:tc>
        <w:tc>
          <w:tcPr>
            <w:tcW w:w="3333" w:type="pct"/>
          </w:tcPr>
          <w:p w:rsidR="003E5D5D" w:rsidRDefault="003E5D5D" w:rsidP="00E6061D">
            <w:pPr>
              <w:pStyle w:val="TableBodyText"/>
              <w:ind w:right="28"/>
              <w:jc w:val="left"/>
            </w:pPr>
            <w:r>
              <w:t xml:space="preserve">A longer </w:t>
            </w:r>
            <w:r w:rsidR="00E6061D">
              <w:t>post-grant</w:t>
            </w:r>
            <w:r>
              <w:t xml:space="preserve"> opposition period increase</w:t>
            </w:r>
            <w:r w:rsidR="00E6061D">
              <w:t>s</w:t>
            </w:r>
            <w:r>
              <w:t xml:space="preserve"> quality since more time is allowed </w:t>
            </w:r>
            <w:r w:rsidR="00E6061D">
              <w:t xml:space="preserve">to challenge </w:t>
            </w:r>
            <w:r>
              <w:t>‘poor quality’ patent</w:t>
            </w:r>
            <w:r w:rsidR="00E6061D">
              <w:t>s</w:t>
            </w:r>
            <w:r>
              <w:t xml:space="preserve"> </w:t>
            </w:r>
          </w:p>
        </w:tc>
      </w:tr>
      <w:tr w:rsidR="003E5D5D" w:rsidTr="003E5D5D">
        <w:tc>
          <w:tcPr>
            <w:tcW w:w="1667" w:type="pct"/>
          </w:tcPr>
          <w:p w:rsidR="003E5D5D" w:rsidRDefault="003E5D5D" w:rsidP="003E5D5D">
            <w:pPr>
              <w:pStyle w:val="TableBodyText"/>
              <w:jc w:val="left"/>
            </w:pPr>
            <w:r>
              <w:t>Grace period</w:t>
            </w:r>
          </w:p>
        </w:tc>
        <w:tc>
          <w:tcPr>
            <w:tcW w:w="3333" w:type="pct"/>
          </w:tcPr>
          <w:p w:rsidR="003E5D5D" w:rsidRDefault="003E5D5D" w:rsidP="00E6061D">
            <w:pPr>
              <w:pStyle w:val="TableBodyText"/>
              <w:ind w:right="28"/>
              <w:jc w:val="left"/>
            </w:pPr>
            <w:r>
              <w:t>A shorter grace period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Time period patent application is hidden</w:t>
            </w:r>
          </w:p>
        </w:tc>
        <w:tc>
          <w:tcPr>
            <w:tcW w:w="3333" w:type="pct"/>
          </w:tcPr>
          <w:p w:rsidR="003E5D5D" w:rsidRDefault="003E5D5D" w:rsidP="00E6061D">
            <w:pPr>
              <w:pStyle w:val="TableBodyText"/>
              <w:ind w:right="28"/>
              <w:jc w:val="left"/>
            </w:pPr>
            <w:r>
              <w:t>A shorter period of time where a patent appl</w:t>
            </w:r>
            <w:r w:rsidR="00E6061D">
              <w:t xml:space="preserve">ication is hidden </w:t>
            </w:r>
            <w:r>
              <w:t>increase</w:t>
            </w:r>
            <w:r w:rsidR="00E6061D">
              <w:t>s</w:t>
            </w:r>
            <w:r w:rsidR="0092623D">
              <w:t xml:space="preserve"> patent quality</w:t>
            </w:r>
            <w:r>
              <w:t xml:space="preserve">  </w:t>
            </w:r>
          </w:p>
        </w:tc>
      </w:tr>
      <w:tr w:rsidR="003E5D5D" w:rsidTr="003E5D5D">
        <w:tc>
          <w:tcPr>
            <w:tcW w:w="1667" w:type="pct"/>
          </w:tcPr>
          <w:p w:rsidR="003E5D5D" w:rsidRDefault="00FD6E10" w:rsidP="00FD6E10">
            <w:pPr>
              <w:pStyle w:val="TableBodyText"/>
              <w:jc w:val="left"/>
            </w:pPr>
            <w:r>
              <w:t>Continuation-in-part application</w:t>
            </w:r>
          </w:p>
        </w:tc>
        <w:tc>
          <w:tcPr>
            <w:tcW w:w="3333" w:type="pct"/>
          </w:tcPr>
          <w:p w:rsidR="003E5D5D" w:rsidRDefault="00FD6E10" w:rsidP="00E6061D">
            <w:pPr>
              <w:pStyle w:val="TableBodyText"/>
              <w:ind w:right="28"/>
              <w:jc w:val="left"/>
            </w:pPr>
            <w:r>
              <w:t>Existence of continuation-in part applications (related to previously granted patents) decrease</w:t>
            </w:r>
            <w:r w:rsidR="00E6061D">
              <w:t>s</w:t>
            </w:r>
            <w:r>
              <w:t xml:space="preserve"> patent </w:t>
            </w:r>
            <w:r w:rsidR="0092623D">
              <w:t>qualit</w:t>
            </w:r>
            <w:r w:rsidR="00391629">
              <w:t>y</w:t>
            </w:r>
            <w:r>
              <w:t xml:space="preserve">.  </w:t>
            </w:r>
          </w:p>
        </w:tc>
      </w:tr>
      <w:tr w:rsidR="003E5D5D" w:rsidTr="003E5D5D">
        <w:tc>
          <w:tcPr>
            <w:tcW w:w="1667" w:type="pct"/>
          </w:tcPr>
          <w:p w:rsidR="003E5D5D" w:rsidRDefault="00FD6E10" w:rsidP="003E5D5D">
            <w:pPr>
              <w:pStyle w:val="TableBodyText"/>
              <w:jc w:val="left"/>
            </w:pPr>
            <w:r>
              <w:t>Incentives to patent examiners</w:t>
            </w:r>
          </w:p>
        </w:tc>
        <w:tc>
          <w:tcPr>
            <w:tcW w:w="3333" w:type="pct"/>
          </w:tcPr>
          <w:p w:rsidR="003E5D5D" w:rsidRDefault="00FD6E10" w:rsidP="00BB52D1">
            <w:pPr>
              <w:pStyle w:val="TableBodyText"/>
              <w:ind w:right="28"/>
              <w:jc w:val="left"/>
            </w:pPr>
            <w:r>
              <w:t>Greater incentives, based on salaries, increase patent quality thr</w:t>
            </w:r>
            <w:r w:rsidR="0092623D">
              <w:t>ough higher quality examination</w:t>
            </w:r>
            <w:r>
              <w:t xml:space="preserve">.  </w:t>
            </w:r>
          </w:p>
        </w:tc>
      </w:tr>
      <w:tr w:rsidR="003E5D5D" w:rsidTr="003E5D5D">
        <w:tc>
          <w:tcPr>
            <w:tcW w:w="1667" w:type="pct"/>
            <w:tcBorders>
              <w:bottom w:val="single" w:sz="6" w:space="0" w:color="auto"/>
            </w:tcBorders>
            <w:shd w:val="clear" w:color="auto" w:fill="auto"/>
          </w:tcPr>
          <w:p w:rsidR="003E5D5D" w:rsidRDefault="00FD6E10" w:rsidP="003E5D5D">
            <w:pPr>
              <w:pStyle w:val="TableBodyText"/>
              <w:jc w:val="left"/>
            </w:pPr>
            <w:r>
              <w:t>Workload of patent examiners</w:t>
            </w:r>
          </w:p>
        </w:tc>
        <w:tc>
          <w:tcPr>
            <w:tcW w:w="3333" w:type="pct"/>
            <w:tcBorders>
              <w:bottom w:val="single" w:sz="6" w:space="0" w:color="auto"/>
            </w:tcBorders>
            <w:shd w:val="clear" w:color="auto" w:fill="auto"/>
          </w:tcPr>
          <w:p w:rsidR="003E5D5D" w:rsidRDefault="00FD6E10" w:rsidP="00BB52D1">
            <w:pPr>
              <w:pStyle w:val="TableBodyText"/>
              <w:ind w:right="28"/>
              <w:jc w:val="left"/>
            </w:pPr>
            <w:r>
              <w:t>Greater workload, measured by claims per examiner, decrease</w:t>
            </w:r>
            <w:r w:rsidR="00BB52D1">
              <w:t>s</w:t>
            </w:r>
            <w:r w:rsidR="0092623D">
              <w:t xml:space="preserve"> patent qualit</w:t>
            </w:r>
            <w:r w:rsidR="00391629">
              <w:t>y</w:t>
            </w:r>
            <w:r>
              <w:t xml:space="preserve">. </w:t>
            </w:r>
          </w:p>
        </w:tc>
      </w:tr>
    </w:tbl>
    <w:p w:rsidR="00FD6E10" w:rsidRDefault="003E5D5D" w:rsidP="00FD6E10">
      <w:pPr>
        <w:pStyle w:val="Source"/>
      </w:pPr>
      <w:r>
        <w:rPr>
          <w:i/>
        </w:rPr>
        <w:t>Source</w:t>
      </w:r>
      <w:r>
        <w:t xml:space="preserve">: </w:t>
      </w:r>
      <w:r w:rsidR="005620D7">
        <w:t>de Saint-Georges and v</w:t>
      </w:r>
      <w:r w:rsidR="00FD6E10">
        <w:t>an Pottelsberghe (2011).</w:t>
      </w:r>
    </w:p>
    <w:p w:rsidR="00DC4E56" w:rsidRDefault="008F5553" w:rsidP="00DC4E56">
      <w:pPr>
        <w:pStyle w:val="BodyText"/>
        <w:rPr>
          <w:rStyle w:val="DraftingNote"/>
          <w:b w:val="0"/>
          <w:color w:val="auto"/>
          <w:sz w:val="26"/>
          <w:u w:val="none"/>
        </w:rPr>
      </w:pPr>
      <w:r>
        <w:rPr>
          <w:rStyle w:val="DraftingNote"/>
          <w:b w:val="0"/>
          <w:color w:val="auto"/>
          <w:sz w:val="26"/>
          <w:u w:val="none"/>
        </w:rPr>
        <w:lastRenderedPageBreak/>
        <w:t>After calculating indices</w:t>
      </w:r>
      <w:r w:rsidR="00DC4E56">
        <w:rPr>
          <w:rStyle w:val="DraftingNote"/>
          <w:b w:val="0"/>
          <w:color w:val="auto"/>
          <w:sz w:val="26"/>
          <w:u w:val="none"/>
        </w:rPr>
        <w:t>, countries were</w:t>
      </w:r>
      <w:r w:rsidR="007E6040">
        <w:rPr>
          <w:rStyle w:val="DraftingNote"/>
          <w:b w:val="0"/>
          <w:color w:val="auto"/>
          <w:sz w:val="26"/>
          <w:u w:val="none"/>
        </w:rPr>
        <w:t xml:space="preserve"> ranked as </w:t>
      </w:r>
      <w:r w:rsidR="00F856B6">
        <w:rPr>
          <w:rStyle w:val="DraftingNote"/>
          <w:b w:val="0"/>
          <w:color w:val="auto"/>
          <w:sz w:val="26"/>
          <w:u w:val="none"/>
        </w:rPr>
        <w:t>having</w:t>
      </w:r>
      <w:r w:rsidR="007E6040">
        <w:rPr>
          <w:rStyle w:val="DraftingNote"/>
          <w:b w:val="0"/>
          <w:color w:val="auto"/>
          <w:sz w:val="26"/>
          <w:u w:val="none"/>
        </w:rPr>
        <w:t xml:space="preserve"> a high</w:t>
      </w:r>
      <w:r w:rsidR="00DC4E56">
        <w:rPr>
          <w:rStyle w:val="DraftingNote"/>
          <w:b w:val="0"/>
          <w:color w:val="auto"/>
          <w:sz w:val="26"/>
          <w:u w:val="none"/>
        </w:rPr>
        <w:t>, medium</w:t>
      </w:r>
      <w:r w:rsidR="007E6040">
        <w:rPr>
          <w:rStyle w:val="DraftingNote"/>
          <w:b w:val="0"/>
          <w:color w:val="auto"/>
          <w:sz w:val="26"/>
          <w:u w:val="none"/>
        </w:rPr>
        <w:noBreakHyphen/>
      </w:r>
      <w:r w:rsidR="00DC4E56">
        <w:rPr>
          <w:rStyle w:val="DraftingNote"/>
          <w:b w:val="0"/>
          <w:color w:val="auto"/>
          <w:sz w:val="26"/>
          <w:u w:val="none"/>
        </w:rPr>
        <w:t>high, medium</w:t>
      </w:r>
      <w:r w:rsidR="007E6040">
        <w:rPr>
          <w:rStyle w:val="DraftingNote"/>
          <w:b w:val="0"/>
          <w:color w:val="auto"/>
          <w:sz w:val="26"/>
          <w:u w:val="none"/>
        </w:rPr>
        <w:noBreakHyphen/>
      </w:r>
      <w:r w:rsidR="00DC4E56">
        <w:rPr>
          <w:rStyle w:val="DraftingNote"/>
          <w:b w:val="0"/>
          <w:color w:val="auto"/>
          <w:sz w:val="26"/>
          <w:u w:val="none"/>
        </w:rPr>
        <w:t>low or low quality patent</w:t>
      </w:r>
      <w:r w:rsidR="007B7185">
        <w:rPr>
          <w:rStyle w:val="DraftingNote"/>
          <w:b w:val="0"/>
          <w:color w:val="auto"/>
          <w:sz w:val="26"/>
          <w:u w:val="none"/>
        </w:rPr>
        <w:t xml:space="preserve">s </w:t>
      </w:r>
      <w:r w:rsidR="005620D7">
        <w:rPr>
          <w:rStyle w:val="DraftingNote"/>
          <w:b w:val="0"/>
          <w:color w:val="auto"/>
          <w:sz w:val="26"/>
          <w:u w:val="none"/>
        </w:rPr>
        <w:t>system. The author</w:t>
      </w:r>
      <w:r w:rsidR="00DC4E56">
        <w:rPr>
          <w:rStyle w:val="DraftingNote"/>
          <w:b w:val="0"/>
          <w:color w:val="auto"/>
          <w:sz w:val="26"/>
          <w:u w:val="none"/>
        </w:rPr>
        <w:t>s</w:t>
      </w:r>
      <w:r w:rsidR="005620D7">
        <w:rPr>
          <w:rStyle w:val="DraftingNote"/>
          <w:b w:val="0"/>
          <w:color w:val="auto"/>
          <w:sz w:val="26"/>
          <w:u w:val="none"/>
        </w:rPr>
        <w:t>’</w:t>
      </w:r>
      <w:r w:rsidR="00DC4E56">
        <w:rPr>
          <w:rStyle w:val="DraftingNote"/>
          <w:b w:val="0"/>
          <w:color w:val="auto"/>
          <w:sz w:val="26"/>
          <w:u w:val="none"/>
        </w:rPr>
        <w:t xml:space="preserve"> results show</w:t>
      </w:r>
      <w:r>
        <w:rPr>
          <w:rStyle w:val="DraftingNote"/>
          <w:b w:val="0"/>
          <w:color w:val="auto"/>
          <w:sz w:val="26"/>
          <w:u w:val="none"/>
        </w:rPr>
        <w:t>ed</w:t>
      </w:r>
      <w:r w:rsidR="00DC4E56">
        <w:rPr>
          <w:rStyle w:val="DraftingNote"/>
          <w:b w:val="0"/>
          <w:color w:val="auto"/>
          <w:sz w:val="26"/>
          <w:u w:val="none"/>
        </w:rPr>
        <w:t xml:space="preserve"> variation in rankings for comparable markets to Australia. The European Patent Office </w:t>
      </w:r>
      <w:r w:rsidR="00AE11FC">
        <w:rPr>
          <w:rStyle w:val="DraftingNote"/>
          <w:b w:val="0"/>
          <w:color w:val="auto"/>
          <w:sz w:val="26"/>
          <w:u w:val="none"/>
        </w:rPr>
        <w:t xml:space="preserve">(EPO) </w:t>
      </w:r>
      <w:r w:rsidR="00DC4E56">
        <w:rPr>
          <w:rStyle w:val="DraftingNote"/>
          <w:b w:val="0"/>
          <w:color w:val="auto"/>
          <w:sz w:val="26"/>
          <w:u w:val="none"/>
        </w:rPr>
        <w:t>and the U</w:t>
      </w:r>
      <w:r w:rsidR="006570D5">
        <w:rPr>
          <w:rStyle w:val="DraftingNote"/>
          <w:b w:val="0"/>
          <w:color w:val="auto"/>
          <w:sz w:val="26"/>
          <w:u w:val="none"/>
        </w:rPr>
        <w:t xml:space="preserve">nited </w:t>
      </w:r>
      <w:r w:rsidR="00DC4E56">
        <w:rPr>
          <w:rStyle w:val="DraftingNote"/>
          <w:b w:val="0"/>
          <w:color w:val="auto"/>
          <w:sz w:val="26"/>
          <w:u w:val="none"/>
        </w:rPr>
        <w:t>K</w:t>
      </w:r>
      <w:r w:rsidR="006570D5">
        <w:rPr>
          <w:rStyle w:val="DraftingNote"/>
          <w:b w:val="0"/>
          <w:color w:val="auto"/>
          <w:sz w:val="26"/>
          <w:u w:val="none"/>
        </w:rPr>
        <w:t>ingdom</w:t>
      </w:r>
      <w:r w:rsidR="00DC4E56">
        <w:rPr>
          <w:rStyle w:val="DraftingNote"/>
          <w:b w:val="0"/>
          <w:color w:val="auto"/>
          <w:sz w:val="26"/>
          <w:u w:val="none"/>
        </w:rPr>
        <w:t xml:space="preserve"> and Scandinavian countries had the highest ranking</w:t>
      </w:r>
      <w:r w:rsidR="007E6040">
        <w:rPr>
          <w:rStyle w:val="DraftingNote"/>
          <w:b w:val="0"/>
          <w:color w:val="auto"/>
          <w:sz w:val="26"/>
          <w:u w:val="none"/>
        </w:rPr>
        <w:t>s</w:t>
      </w:r>
      <w:r w:rsidR="00DC4E56">
        <w:rPr>
          <w:rStyle w:val="DraftingNote"/>
          <w:b w:val="0"/>
          <w:color w:val="auto"/>
          <w:sz w:val="26"/>
          <w:u w:val="none"/>
        </w:rPr>
        <w:t>. Australia had a medium</w:t>
      </w:r>
      <w:r w:rsidR="007E6040">
        <w:rPr>
          <w:rStyle w:val="DraftingNote"/>
          <w:b w:val="0"/>
          <w:color w:val="auto"/>
          <w:sz w:val="26"/>
          <w:u w:val="none"/>
        </w:rPr>
        <w:noBreakHyphen/>
      </w:r>
      <w:r w:rsidR="00DC4E56">
        <w:rPr>
          <w:rStyle w:val="DraftingNote"/>
          <w:b w:val="0"/>
          <w:color w:val="auto"/>
          <w:sz w:val="26"/>
          <w:u w:val="none"/>
        </w:rPr>
        <w:t xml:space="preserve">low ranking. </w:t>
      </w:r>
      <w:r w:rsidR="007E6040">
        <w:rPr>
          <w:rStyle w:val="DraftingNote"/>
          <w:b w:val="0"/>
          <w:color w:val="auto"/>
          <w:sz w:val="26"/>
          <w:u w:val="none"/>
        </w:rPr>
        <w:t>C</w:t>
      </w:r>
      <w:r w:rsidR="00DC4E56">
        <w:rPr>
          <w:rStyle w:val="DraftingNote"/>
          <w:b w:val="0"/>
          <w:color w:val="auto"/>
          <w:sz w:val="26"/>
          <w:u w:val="none"/>
        </w:rPr>
        <w:t>omparable countries including Canada, New Zealand and the U</w:t>
      </w:r>
      <w:r w:rsidR="006570D5">
        <w:rPr>
          <w:rStyle w:val="DraftingNote"/>
          <w:b w:val="0"/>
          <w:color w:val="auto"/>
          <w:sz w:val="26"/>
          <w:u w:val="none"/>
        </w:rPr>
        <w:t xml:space="preserve">nited </w:t>
      </w:r>
      <w:r w:rsidR="00DC4E56">
        <w:rPr>
          <w:rStyle w:val="DraftingNote"/>
          <w:b w:val="0"/>
          <w:color w:val="auto"/>
          <w:sz w:val="26"/>
          <w:u w:val="none"/>
        </w:rPr>
        <w:t>S</w:t>
      </w:r>
      <w:r w:rsidR="006570D5">
        <w:rPr>
          <w:rStyle w:val="DraftingNote"/>
          <w:b w:val="0"/>
          <w:color w:val="auto"/>
          <w:sz w:val="26"/>
          <w:u w:val="none"/>
        </w:rPr>
        <w:t>tates</w:t>
      </w:r>
      <w:r w:rsidR="00DC4E56">
        <w:rPr>
          <w:rStyle w:val="DraftingNote"/>
          <w:b w:val="0"/>
          <w:color w:val="auto"/>
          <w:sz w:val="26"/>
          <w:u w:val="none"/>
        </w:rPr>
        <w:t xml:space="preserve"> had a low ranking (table </w:t>
      </w:r>
      <w:r w:rsidR="003E5D5D">
        <w:rPr>
          <w:rStyle w:val="DraftingNote"/>
          <w:b w:val="0"/>
          <w:color w:val="auto"/>
          <w:sz w:val="26"/>
          <w:u w:val="none"/>
        </w:rPr>
        <w:t>B</w:t>
      </w:r>
      <w:r w:rsidR="00DC4E56">
        <w:rPr>
          <w:rStyle w:val="DraftingNote"/>
          <w:b w:val="0"/>
          <w:color w:val="auto"/>
          <w:sz w:val="26"/>
          <w:u w:val="none"/>
        </w:rPr>
        <w:t>.</w:t>
      </w:r>
      <w:r w:rsidR="003E5D5D">
        <w:rPr>
          <w:rStyle w:val="DraftingNote"/>
          <w:b w:val="0"/>
          <w:color w:val="auto"/>
          <w:sz w:val="26"/>
          <w:u w:val="none"/>
        </w:rPr>
        <w:t>5</w:t>
      </w:r>
      <w:r w:rsidR="00DC4E56">
        <w:rPr>
          <w:rStyle w:val="DraftingNote"/>
          <w:b w:val="0"/>
          <w:color w:val="auto"/>
          <w:sz w:val="26"/>
          <w:u w:val="none"/>
        </w:rPr>
        <w:t>).</w:t>
      </w:r>
      <w:r w:rsidR="008121D4">
        <w:rPr>
          <w:rStyle w:val="DraftingNote"/>
          <w:b w:val="0"/>
          <w:color w:val="auto"/>
          <w:sz w:val="26"/>
          <w:u w:val="none"/>
        </w:rPr>
        <w:t xml:space="preserve"> These rankings do not take into account recent patent reforms. For example, </w:t>
      </w:r>
      <w:r w:rsidR="003C5D8D">
        <w:rPr>
          <w:rStyle w:val="DraftingNote"/>
          <w:b w:val="0"/>
          <w:color w:val="auto"/>
          <w:sz w:val="26"/>
          <w:u w:val="none"/>
        </w:rPr>
        <w:t xml:space="preserve">Australia, </w:t>
      </w:r>
      <w:r w:rsidR="008121D4">
        <w:rPr>
          <w:rStyle w:val="DraftingNote"/>
          <w:b w:val="0"/>
          <w:color w:val="auto"/>
          <w:sz w:val="26"/>
          <w:u w:val="none"/>
        </w:rPr>
        <w:t xml:space="preserve">New Zealand and the United States have made reforms to their patents systems (discussed in detail in section B.3) that might improve their rankings on this index. </w:t>
      </w:r>
    </w:p>
    <w:p w:rsidR="00DC4E56" w:rsidRDefault="00FD6E10" w:rsidP="00DC4E56">
      <w:pPr>
        <w:pStyle w:val="TableTitle"/>
      </w:pPr>
      <w:r>
        <w:rPr>
          <w:b w:val="0"/>
        </w:rPr>
        <w:t xml:space="preserve">Table </w:t>
      </w:r>
      <w:r w:rsidR="00A92E22">
        <w:fldChar w:fldCharType="begin"/>
      </w:r>
      <w:r w:rsidR="00A92E22">
        <w:instrText xml:space="preserve"> COMMENTS  \* MERGEFORMAT </w:instrText>
      </w:r>
      <w:r w:rsidR="00A92E22">
        <w:fldChar w:fldCharType="separate"/>
      </w:r>
      <w:proofErr w:type="spellStart"/>
      <w:r w:rsidR="00C54A38">
        <w:rPr>
          <w:b w:val="0"/>
        </w:rPr>
        <w:t>B.</w:t>
      </w:r>
      <w:r w:rsidR="00A92E22">
        <w:rPr>
          <w:b w:val="0"/>
        </w:rPr>
        <w:fldChar w:fldCharType="end"/>
      </w:r>
      <w:r w:rsidR="00794E05">
        <w:rPr>
          <w:b w:val="0"/>
        </w:rPr>
        <w:fldChar w:fldCharType="begin"/>
      </w:r>
      <w:r>
        <w:rPr>
          <w:b w:val="0"/>
        </w:rPr>
        <w:instrText xml:space="preserve"> SEQ Table \* ARABIC </w:instrText>
      </w:r>
      <w:r w:rsidR="00794E05">
        <w:rPr>
          <w:b w:val="0"/>
        </w:rPr>
        <w:fldChar w:fldCharType="separate"/>
      </w:r>
      <w:r w:rsidR="006367F1">
        <w:rPr>
          <w:b w:val="0"/>
          <w:noProof/>
        </w:rPr>
        <w:t>5</w:t>
      </w:r>
      <w:proofErr w:type="spellEnd"/>
      <w:r w:rsidR="00794E05">
        <w:rPr>
          <w:b w:val="0"/>
        </w:rPr>
        <w:fldChar w:fldCharType="end"/>
      </w:r>
      <w:r>
        <w:tab/>
      </w:r>
      <w:r w:rsidR="00DC4E56">
        <w:t>Quality of patent</w:t>
      </w:r>
      <w:r w:rsidR="007B7185">
        <w:t>s</w:t>
      </w:r>
      <w:r w:rsidR="00924F8B">
        <w:t xml:space="preserve"> systems</w:t>
      </w:r>
      <w:r w:rsidR="00DC4E56" w:rsidRPr="00924F8B">
        <w:rPr>
          <w:vertAlign w:val="superscript"/>
        </w:rPr>
        <w:t>a</w:t>
      </w:r>
    </w:p>
    <w:tbl>
      <w:tblPr>
        <w:tblW w:w="5000" w:type="pct"/>
        <w:tblCellMar>
          <w:left w:w="0" w:type="dxa"/>
          <w:right w:w="0" w:type="dxa"/>
        </w:tblCellMar>
        <w:tblLook w:val="0000" w:firstRow="0" w:lastRow="0" w:firstColumn="0" w:lastColumn="0" w:noHBand="0" w:noVBand="0"/>
      </w:tblPr>
      <w:tblGrid>
        <w:gridCol w:w="1761"/>
        <w:gridCol w:w="7028"/>
      </w:tblGrid>
      <w:tr w:rsidR="00DC4E56" w:rsidTr="00DC4E56">
        <w:tc>
          <w:tcPr>
            <w:tcW w:w="1002" w:type="pct"/>
            <w:tcBorders>
              <w:top w:val="single" w:sz="6" w:space="0" w:color="auto"/>
              <w:bottom w:val="single" w:sz="6" w:space="0" w:color="auto"/>
            </w:tcBorders>
            <w:shd w:val="clear" w:color="auto" w:fill="auto"/>
          </w:tcPr>
          <w:p w:rsidR="00DC4E56" w:rsidRDefault="00DC4E56" w:rsidP="00DC4E56">
            <w:pPr>
              <w:pStyle w:val="TableColumnHeading"/>
              <w:jc w:val="left"/>
            </w:pPr>
            <w:r>
              <w:t>Ranking</w:t>
            </w:r>
          </w:p>
        </w:tc>
        <w:tc>
          <w:tcPr>
            <w:tcW w:w="3998" w:type="pct"/>
            <w:tcBorders>
              <w:top w:val="single" w:sz="6" w:space="0" w:color="auto"/>
              <w:bottom w:val="single" w:sz="6" w:space="0" w:color="auto"/>
            </w:tcBorders>
            <w:shd w:val="clear" w:color="auto" w:fill="auto"/>
          </w:tcPr>
          <w:p w:rsidR="00DC4E56" w:rsidRDefault="00DC4E56" w:rsidP="00DC4E56">
            <w:pPr>
              <w:pStyle w:val="TableColumnHeading"/>
              <w:jc w:val="left"/>
            </w:pPr>
            <w:r>
              <w:t>Countries</w:t>
            </w:r>
          </w:p>
        </w:tc>
      </w:tr>
      <w:tr w:rsidR="00DC4E56" w:rsidTr="00DC4E56">
        <w:tc>
          <w:tcPr>
            <w:tcW w:w="1002" w:type="pct"/>
          </w:tcPr>
          <w:p w:rsidR="00DC4E56" w:rsidRDefault="00DC4E56" w:rsidP="0092623D">
            <w:pPr>
              <w:pStyle w:val="TableBodyText"/>
              <w:spacing w:before="80"/>
              <w:jc w:val="left"/>
            </w:pPr>
            <w:r>
              <w:t>High</w:t>
            </w:r>
          </w:p>
        </w:tc>
        <w:tc>
          <w:tcPr>
            <w:tcW w:w="3998" w:type="pct"/>
          </w:tcPr>
          <w:p w:rsidR="00DC4E56" w:rsidRDefault="00DC4E56" w:rsidP="0092623D">
            <w:pPr>
              <w:pStyle w:val="TableBodyText"/>
              <w:spacing w:before="80"/>
              <w:jc w:val="left"/>
            </w:pPr>
            <w:r>
              <w:t>European Patent Office, United Kingdom, Sweden, Norway, Denmark, Finland</w:t>
            </w:r>
          </w:p>
        </w:tc>
      </w:tr>
      <w:tr w:rsidR="00DC4E56" w:rsidTr="00DC4E56">
        <w:tc>
          <w:tcPr>
            <w:tcW w:w="1002" w:type="pct"/>
          </w:tcPr>
          <w:p w:rsidR="00DC4E56" w:rsidRDefault="007E6040" w:rsidP="00DC4E56">
            <w:pPr>
              <w:pStyle w:val="TableBodyText"/>
              <w:jc w:val="left"/>
            </w:pPr>
            <w:r>
              <w:t>Medium</w:t>
            </w:r>
            <w:r>
              <w:noBreakHyphen/>
            </w:r>
            <w:r w:rsidR="00DC4E56">
              <w:t>high</w:t>
            </w:r>
          </w:p>
        </w:tc>
        <w:tc>
          <w:tcPr>
            <w:tcW w:w="3998" w:type="pct"/>
          </w:tcPr>
          <w:p w:rsidR="00DC4E56" w:rsidRDefault="00DC4E56" w:rsidP="00DC4E56">
            <w:pPr>
              <w:pStyle w:val="TableBodyText"/>
              <w:jc w:val="left"/>
            </w:pPr>
            <w:r>
              <w:t>Austria, Poland, China, The Netherlands, France, Japan, Switzerland, Chile, Russia, Colombia, South Korea, Turkey, Malaysia</w:t>
            </w:r>
          </w:p>
        </w:tc>
      </w:tr>
      <w:tr w:rsidR="00DC4E56" w:rsidTr="00DC4E56">
        <w:tc>
          <w:tcPr>
            <w:tcW w:w="1002" w:type="pct"/>
          </w:tcPr>
          <w:p w:rsidR="00DC4E56" w:rsidRDefault="00DC4E56" w:rsidP="007E6040">
            <w:pPr>
              <w:pStyle w:val="TableBodyText"/>
              <w:jc w:val="left"/>
            </w:pPr>
            <w:r>
              <w:t>Medium</w:t>
            </w:r>
            <w:r w:rsidR="007E6040">
              <w:noBreakHyphen/>
            </w:r>
            <w:r>
              <w:t>low</w:t>
            </w:r>
          </w:p>
        </w:tc>
        <w:tc>
          <w:tcPr>
            <w:tcW w:w="3998" w:type="pct"/>
          </w:tcPr>
          <w:p w:rsidR="00DC4E56" w:rsidRDefault="00DC4E56" w:rsidP="00E01B41">
            <w:pPr>
              <w:pStyle w:val="TableBodyText"/>
              <w:jc w:val="left"/>
            </w:pPr>
            <w:r>
              <w:t>Australia, Greece, Germany</w:t>
            </w:r>
            <w:r w:rsidR="00E01B41">
              <w:t>,</w:t>
            </w:r>
            <w:r>
              <w:t xml:space="preserve"> Singapore, Spain, Brazil, Thailand, Mexico</w:t>
            </w:r>
          </w:p>
        </w:tc>
      </w:tr>
      <w:tr w:rsidR="00DC4E56" w:rsidTr="00DC4E56">
        <w:tc>
          <w:tcPr>
            <w:tcW w:w="1002" w:type="pct"/>
            <w:tcBorders>
              <w:bottom w:val="single" w:sz="6" w:space="0" w:color="auto"/>
            </w:tcBorders>
            <w:shd w:val="clear" w:color="auto" w:fill="auto"/>
          </w:tcPr>
          <w:p w:rsidR="00DC4E56" w:rsidRDefault="00DC4E56" w:rsidP="00DC4E56">
            <w:pPr>
              <w:pStyle w:val="TableBodyText"/>
              <w:jc w:val="left"/>
            </w:pPr>
            <w:r>
              <w:t>Low</w:t>
            </w:r>
          </w:p>
        </w:tc>
        <w:tc>
          <w:tcPr>
            <w:tcW w:w="3998" w:type="pct"/>
            <w:tcBorders>
              <w:bottom w:val="single" w:sz="6" w:space="0" w:color="auto"/>
            </w:tcBorders>
            <w:shd w:val="clear" w:color="auto" w:fill="auto"/>
          </w:tcPr>
          <w:p w:rsidR="00DC4E56" w:rsidRDefault="00DC4E56" w:rsidP="00DC4E56">
            <w:pPr>
              <w:pStyle w:val="TableBodyText"/>
              <w:jc w:val="left"/>
            </w:pPr>
            <w:r>
              <w:t>India, New Zealand, South Africa, Canada, United States</w:t>
            </w:r>
          </w:p>
        </w:tc>
      </w:tr>
    </w:tbl>
    <w:p w:rsidR="00DC4E56" w:rsidRDefault="001910B5" w:rsidP="00DC4E56">
      <w:pPr>
        <w:pStyle w:val="Note"/>
      </w:pPr>
      <w:r>
        <w:rPr>
          <w:rStyle w:val="NoteLabel"/>
        </w:rPr>
        <w:t>a</w:t>
      </w:r>
      <w:r w:rsidR="00DC4E56">
        <w:t xml:space="preserve"> Countries within a category are listed in order of </w:t>
      </w:r>
      <w:r w:rsidR="002B4630">
        <w:t xml:space="preserve">their </w:t>
      </w:r>
      <w:r w:rsidR="00DC4E56">
        <w:t xml:space="preserve">scores </w:t>
      </w:r>
      <w:r w:rsidR="002B4630">
        <w:t>based on the author’s preferred index</w:t>
      </w:r>
      <w:r w:rsidR="00DC4E56">
        <w:t>.</w:t>
      </w:r>
    </w:p>
    <w:p w:rsidR="00DC4E56" w:rsidRDefault="00DC4E56" w:rsidP="00DC4E56">
      <w:pPr>
        <w:pStyle w:val="Source"/>
      </w:pPr>
      <w:r>
        <w:rPr>
          <w:i/>
        </w:rPr>
        <w:t>Source</w:t>
      </w:r>
      <w:r>
        <w:t xml:space="preserve">: </w:t>
      </w:r>
      <w:r w:rsidR="005620D7">
        <w:t>de Saint-Georges and van Pottelsberghe (2011).</w:t>
      </w:r>
    </w:p>
    <w:p w:rsidR="00C12944" w:rsidRDefault="00C12944" w:rsidP="00C12944">
      <w:pPr>
        <w:pStyle w:val="BodyText"/>
      </w:pPr>
      <w:r>
        <w:t xml:space="preserve">Patent grant rates are used by some authors as a measure of patent quality. Grant rates appear to </w:t>
      </w:r>
      <w:r w:rsidR="008F5553">
        <w:t xml:space="preserve">be </w:t>
      </w:r>
      <w:r w:rsidR="002B4630">
        <w:t xml:space="preserve">broadly </w:t>
      </w:r>
      <w:r>
        <w:t xml:space="preserve">similar in key comparable markets: </w:t>
      </w:r>
    </w:p>
    <w:p w:rsidR="00C12944" w:rsidRDefault="00C12944" w:rsidP="00C12944">
      <w:pPr>
        <w:pStyle w:val="ListBullet"/>
      </w:pPr>
      <w:r>
        <w:t xml:space="preserve">In 2011, among applications to the </w:t>
      </w:r>
      <w:r w:rsidR="007C7730">
        <w:t>EPO</w:t>
      </w:r>
      <w:r>
        <w:t>: 22 per cent were abandoned after search; 31 per cent were stopped during examination; and 47 per cent were granted</w:t>
      </w:r>
      <w:r w:rsidR="003F6AAD">
        <w:t xml:space="preserve"> (EPO 2012</w:t>
      </w:r>
      <w:r w:rsidR="00123253">
        <w:t>b</w:t>
      </w:r>
      <w:r w:rsidR="003F6AAD">
        <w:t>)</w:t>
      </w:r>
      <w:r>
        <w:t>.</w:t>
      </w:r>
    </w:p>
    <w:p w:rsidR="00C12944" w:rsidRDefault="00C12944" w:rsidP="00C12944">
      <w:pPr>
        <w:pStyle w:val="ListBullet"/>
      </w:pPr>
      <w:r>
        <w:t>In 2011, about 535 000 patent applications were made to the U</w:t>
      </w:r>
      <w:r w:rsidR="006570D5">
        <w:t xml:space="preserve">nited </w:t>
      </w:r>
      <w:r>
        <w:t>S</w:t>
      </w:r>
      <w:r w:rsidR="006570D5">
        <w:t>tates</w:t>
      </w:r>
      <w:r>
        <w:t xml:space="preserve"> Patent and Trademark Office. About 250 000 patents were granted, which implies a grant rate of about 45</w:t>
      </w:r>
      <w:r w:rsidR="00240FBB">
        <w:t xml:space="preserve"> </w:t>
      </w:r>
      <w:r>
        <w:t>per</w:t>
      </w:r>
      <w:r w:rsidR="00240FBB">
        <w:t xml:space="preserve"> </w:t>
      </w:r>
      <w:r>
        <w:t>cent</w:t>
      </w:r>
      <w:r w:rsidR="00240FBB">
        <w:t xml:space="preserve"> </w:t>
      </w:r>
      <w:r w:rsidR="003F6AAD">
        <w:t>(US</w:t>
      </w:r>
      <w:r w:rsidR="00123253">
        <w:t xml:space="preserve"> </w:t>
      </w:r>
      <w:r w:rsidR="003F6AAD">
        <w:t>P</w:t>
      </w:r>
      <w:r w:rsidR="00123253">
        <w:t xml:space="preserve">atent and </w:t>
      </w:r>
      <w:r w:rsidR="003F6AAD">
        <w:t>T</w:t>
      </w:r>
      <w:r w:rsidR="00123253">
        <w:t xml:space="preserve">rademark </w:t>
      </w:r>
      <w:r w:rsidR="003F6AAD">
        <w:t>O</w:t>
      </w:r>
      <w:r w:rsidR="00123253">
        <w:t>ffice</w:t>
      </w:r>
      <w:r w:rsidR="00240FBB">
        <w:t> </w:t>
      </w:r>
      <w:r w:rsidR="008121D4">
        <w:t>2012c</w:t>
      </w:r>
      <w:r w:rsidR="003F6AAD">
        <w:t>)</w:t>
      </w:r>
      <w:r>
        <w:t>.</w:t>
      </w:r>
    </w:p>
    <w:p w:rsidR="001F1B0B" w:rsidRDefault="001F1B0B" w:rsidP="00C12944">
      <w:pPr>
        <w:pStyle w:val="ListBullet"/>
      </w:pPr>
      <w:r>
        <w:t>In 2011, about 220 000 patents were granted by the Japanese Patent Office. About 60 per cent of applications were granted and about 40 per cent were rejected</w:t>
      </w:r>
      <w:r w:rsidR="00011313">
        <w:t xml:space="preserve"> (JPO 2012</w:t>
      </w:r>
      <w:r w:rsidR="00123253">
        <w:t>b</w:t>
      </w:r>
      <w:r w:rsidR="00011313">
        <w:t>)</w:t>
      </w:r>
      <w:r>
        <w:t>.</w:t>
      </w:r>
    </w:p>
    <w:p w:rsidR="00397C17" w:rsidRDefault="00397C17" w:rsidP="00E3644D">
      <w:pPr>
        <w:pStyle w:val="BodyText"/>
      </w:pPr>
      <w:r>
        <w:t xml:space="preserve">In 2010, the ratio of patent applications to grants was about 60 per cent in Australia. This ratio </w:t>
      </w:r>
      <w:r w:rsidR="003D4912">
        <w:t>fluctuated between 35</w:t>
      </w:r>
      <w:r w:rsidR="0001547A">
        <w:t xml:space="preserve"> </w:t>
      </w:r>
      <w:r w:rsidR="003D4912">
        <w:t>and 80</w:t>
      </w:r>
      <w:r w:rsidR="0001547A">
        <w:t xml:space="preserve"> </w:t>
      </w:r>
      <w:r w:rsidR="003D4912">
        <w:t>per</w:t>
      </w:r>
      <w:r w:rsidR="0001547A">
        <w:t xml:space="preserve"> </w:t>
      </w:r>
      <w:r w:rsidR="003D4912">
        <w:t>cent between 1995 and 2010</w:t>
      </w:r>
      <w:r>
        <w:t xml:space="preserve"> (chapter 4). </w:t>
      </w:r>
    </w:p>
    <w:p w:rsidR="000D4A39" w:rsidRDefault="00A356F8" w:rsidP="009730C2">
      <w:pPr>
        <w:pStyle w:val="Heading2"/>
        <w:rPr>
          <w:rStyle w:val="DraftingNote"/>
          <w:b/>
          <w:color w:val="auto"/>
          <w:sz w:val="32"/>
          <w:u w:val="none"/>
        </w:rPr>
      </w:pPr>
      <w:r w:rsidRPr="009730C2">
        <w:rPr>
          <w:rStyle w:val="DraftingNote"/>
          <w:b/>
          <w:color w:val="auto"/>
          <w:sz w:val="32"/>
          <w:u w:val="none"/>
        </w:rPr>
        <w:lastRenderedPageBreak/>
        <w:t>B.</w:t>
      </w:r>
      <w:r w:rsidR="00863F5F">
        <w:rPr>
          <w:rStyle w:val="DraftingNote"/>
          <w:b/>
          <w:color w:val="auto"/>
          <w:sz w:val="32"/>
          <w:u w:val="none"/>
        </w:rPr>
        <w:t>3</w:t>
      </w:r>
      <w:r w:rsidRPr="009730C2">
        <w:rPr>
          <w:rStyle w:val="DraftingNote"/>
          <w:b/>
          <w:color w:val="auto"/>
          <w:sz w:val="32"/>
          <w:u w:val="none"/>
        </w:rPr>
        <w:tab/>
      </w:r>
      <w:r w:rsidR="009730C2">
        <w:rPr>
          <w:rStyle w:val="DraftingNote"/>
          <w:b/>
          <w:color w:val="auto"/>
          <w:sz w:val="32"/>
          <w:u w:val="none"/>
        </w:rPr>
        <w:t xml:space="preserve">Reforms of </w:t>
      </w:r>
      <w:r w:rsidR="007D3606">
        <w:rPr>
          <w:rStyle w:val="DraftingNote"/>
          <w:b/>
          <w:color w:val="auto"/>
          <w:sz w:val="32"/>
          <w:u w:val="none"/>
        </w:rPr>
        <w:t>patent</w:t>
      </w:r>
      <w:r w:rsidR="007B7185">
        <w:rPr>
          <w:rStyle w:val="DraftingNote"/>
          <w:b/>
          <w:color w:val="auto"/>
          <w:sz w:val="32"/>
          <w:u w:val="none"/>
        </w:rPr>
        <w:t>s</w:t>
      </w:r>
      <w:r w:rsidR="007D3606">
        <w:rPr>
          <w:rStyle w:val="DraftingNote"/>
          <w:b/>
          <w:color w:val="auto"/>
          <w:sz w:val="32"/>
          <w:u w:val="none"/>
        </w:rPr>
        <w:t xml:space="preserve"> systems</w:t>
      </w:r>
    </w:p>
    <w:p w:rsidR="0065656D" w:rsidRDefault="00A67011" w:rsidP="00E07DD6">
      <w:pPr>
        <w:pStyle w:val="BodyText"/>
        <w:rPr>
          <w:szCs w:val="26"/>
        </w:rPr>
      </w:pPr>
      <w:r>
        <w:rPr>
          <w:szCs w:val="26"/>
        </w:rPr>
        <w:t xml:space="preserve">There have been many patent reforms in Australia and comparable markets in recent years. </w:t>
      </w:r>
      <w:r w:rsidR="006551AC">
        <w:rPr>
          <w:szCs w:val="26"/>
        </w:rPr>
        <w:t>Australia an</w:t>
      </w:r>
      <w:r w:rsidR="00442821">
        <w:rPr>
          <w:szCs w:val="26"/>
        </w:rPr>
        <w:t>d comparable markets are signato</w:t>
      </w:r>
      <w:r w:rsidR="006551AC">
        <w:rPr>
          <w:szCs w:val="26"/>
        </w:rPr>
        <w:t>r</w:t>
      </w:r>
      <w:r w:rsidR="00442821">
        <w:rPr>
          <w:szCs w:val="26"/>
        </w:rPr>
        <w:t>i</w:t>
      </w:r>
      <w:r w:rsidR="006551AC">
        <w:rPr>
          <w:szCs w:val="26"/>
        </w:rPr>
        <w:t xml:space="preserve">es </w:t>
      </w:r>
      <w:r w:rsidR="00442821">
        <w:rPr>
          <w:szCs w:val="26"/>
        </w:rPr>
        <w:t xml:space="preserve">of </w:t>
      </w:r>
      <w:r w:rsidR="0065656D">
        <w:rPr>
          <w:szCs w:val="26"/>
        </w:rPr>
        <w:t xml:space="preserve">the Paris Convention, TRIPS and other </w:t>
      </w:r>
      <w:r w:rsidR="006551AC">
        <w:rPr>
          <w:szCs w:val="26"/>
        </w:rPr>
        <w:t>international IP agreements, which means th</w:t>
      </w:r>
      <w:r w:rsidR="0065656D">
        <w:rPr>
          <w:szCs w:val="26"/>
        </w:rPr>
        <w:t xml:space="preserve">at there are many </w:t>
      </w:r>
      <w:r w:rsidR="006551AC">
        <w:rPr>
          <w:szCs w:val="26"/>
        </w:rPr>
        <w:t>similarities between patents systems.</w:t>
      </w:r>
      <w:r w:rsidR="0058481E">
        <w:rPr>
          <w:szCs w:val="26"/>
        </w:rPr>
        <w:t xml:space="preserve"> Many </w:t>
      </w:r>
      <w:r w:rsidR="006551AC">
        <w:rPr>
          <w:szCs w:val="26"/>
        </w:rPr>
        <w:t xml:space="preserve">recent </w:t>
      </w:r>
      <w:r w:rsidR="0058481E">
        <w:rPr>
          <w:szCs w:val="26"/>
        </w:rPr>
        <w:t>reforms involve further harmonisation of patents systems</w:t>
      </w:r>
      <w:r w:rsidR="0065656D">
        <w:rPr>
          <w:szCs w:val="26"/>
        </w:rPr>
        <w:t xml:space="preserve">. </w:t>
      </w:r>
    </w:p>
    <w:p w:rsidR="0065656D" w:rsidRDefault="0065656D" w:rsidP="0065656D">
      <w:pPr>
        <w:pStyle w:val="BodyText"/>
        <w:rPr>
          <w:szCs w:val="26"/>
        </w:rPr>
      </w:pPr>
      <w:r>
        <w:rPr>
          <w:rStyle w:val="DraftingNote"/>
          <w:b w:val="0"/>
          <w:color w:val="auto"/>
          <w:sz w:val="26"/>
          <w:u w:val="none"/>
        </w:rPr>
        <w:t xml:space="preserve">Worldwide, patent applications have grown markedly in the past decade, which has led to considerable pressure on patent offices and consequent backlogs of applications. Many recent reforms aim to address this issue through greater cooperation between patent offices, including by sharing resources. </w:t>
      </w:r>
      <w:r w:rsidR="0058481E">
        <w:rPr>
          <w:szCs w:val="26"/>
        </w:rPr>
        <w:t xml:space="preserve">As part of these reforms, a number of multilateral </w:t>
      </w:r>
      <w:r w:rsidR="00442821">
        <w:rPr>
          <w:szCs w:val="26"/>
        </w:rPr>
        <w:t>forums</w:t>
      </w:r>
      <w:r w:rsidR="0058481E">
        <w:rPr>
          <w:szCs w:val="26"/>
        </w:rPr>
        <w:t xml:space="preserve"> have been established. </w:t>
      </w:r>
    </w:p>
    <w:p w:rsidR="00A67011" w:rsidRPr="00246ADD" w:rsidRDefault="0058481E" w:rsidP="0065656D">
      <w:pPr>
        <w:pStyle w:val="BodyText"/>
        <w:rPr>
          <w:szCs w:val="26"/>
        </w:rPr>
      </w:pPr>
      <w:r>
        <w:rPr>
          <w:szCs w:val="26"/>
        </w:rPr>
        <w:t>Other k</w:t>
      </w:r>
      <w:r w:rsidR="00A67011">
        <w:rPr>
          <w:szCs w:val="26"/>
        </w:rPr>
        <w:t xml:space="preserve">ey themes include </w:t>
      </w:r>
      <w:r w:rsidR="00C625E9">
        <w:rPr>
          <w:szCs w:val="26"/>
        </w:rPr>
        <w:t>raising the threshold for patentability of inventions</w:t>
      </w:r>
      <w:r w:rsidR="00A67011">
        <w:rPr>
          <w:szCs w:val="26"/>
        </w:rPr>
        <w:t>,</w:t>
      </w:r>
      <w:r>
        <w:rPr>
          <w:szCs w:val="26"/>
        </w:rPr>
        <w:t xml:space="preserve"> introducing accelerated </w:t>
      </w:r>
      <w:r w:rsidR="0065656D">
        <w:rPr>
          <w:szCs w:val="26"/>
        </w:rPr>
        <w:t>examination processes and providing fee discounts for small and medium enterprises</w:t>
      </w:r>
      <w:r w:rsidR="00A67011">
        <w:rPr>
          <w:szCs w:val="26"/>
        </w:rPr>
        <w:t>.</w:t>
      </w:r>
    </w:p>
    <w:p w:rsidR="009730C2" w:rsidRDefault="009730C2" w:rsidP="009730C2">
      <w:pPr>
        <w:pStyle w:val="Heading3"/>
      </w:pPr>
      <w:r>
        <w:t>Recent reforms in Australia</w:t>
      </w:r>
    </w:p>
    <w:p w:rsidR="00C508F9" w:rsidRDefault="00E07DD6" w:rsidP="00E07DD6">
      <w:pPr>
        <w:pStyle w:val="BodyText"/>
        <w:rPr>
          <w:szCs w:val="26"/>
        </w:rPr>
      </w:pPr>
      <w:r>
        <w:rPr>
          <w:szCs w:val="26"/>
        </w:rPr>
        <w:t>There ha</w:t>
      </w:r>
      <w:r w:rsidR="00C508F9">
        <w:rPr>
          <w:szCs w:val="26"/>
        </w:rPr>
        <w:t>s been much debate about Australia’s patents system and broader IP system in recent years, especially with respect to gene patents</w:t>
      </w:r>
      <w:r w:rsidR="00A56D75">
        <w:rPr>
          <w:szCs w:val="26"/>
        </w:rPr>
        <w:t xml:space="preserve">. The Australian Government </w:t>
      </w:r>
      <w:r w:rsidR="00C508F9">
        <w:rPr>
          <w:szCs w:val="26"/>
        </w:rPr>
        <w:t>established a number of inquiries into the patents system</w:t>
      </w:r>
      <w:r w:rsidR="00A56D75">
        <w:rPr>
          <w:szCs w:val="26"/>
        </w:rPr>
        <w:t xml:space="preserve"> including</w:t>
      </w:r>
      <w:r w:rsidR="00C508F9">
        <w:rPr>
          <w:szCs w:val="26"/>
        </w:rPr>
        <w:t>:</w:t>
      </w:r>
    </w:p>
    <w:p w:rsidR="00B16D15" w:rsidRPr="00165152" w:rsidRDefault="00B16D15" w:rsidP="00B16D15">
      <w:pPr>
        <w:pStyle w:val="ListBullet"/>
      </w:pPr>
      <w:r w:rsidRPr="00165152">
        <w:t>Review</w:t>
      </w:r>
      <w:r w:rsidRPr="00165152">
        <w:rPr>
          <w:szCs w:val="26"/>
        </w:rPr>
        <w:t xml:space="preserve"> of </w:t>
      </w:r>
      <w:r w:rsidR="00020381">
        <w:rPr>
          <w:szCs w:val="26"/>
        </w:rPr>
        <w:t>I</w:t>
      </w:r>
      <w:r w:rsidR="005A79BE">
        <w:rPr>
          <w:szCs w:val="26"/>
        </w:rPr>
        <w:t xml:space="preserve">ntellectual </w:t>
      </w:r>
      <w:r w:rsidR="00020381">
        <w:rPr>
          <w:szCs w:val="26"/>
        </w:rPr>
        <w:t>P</w:t>
      </w:r>
      <w:r w:rsidR="005A79BE">
        <w:rPr>
          <w:szCs w:val="26"/>
        </w:rPr>
        <w:t>roperty L</w:t>
      </w:r>
      <w:r w:rsidRPr="00165152">
        <w:rPr>
          <w:szCs w:val="26"/>
        </w:rPr>
        <w:t xml:space="preserve">egislation </w:t>
      </w:r>
      <w:r w:rsidR="005A79BE">
        <w:rPr>
          <w:szCs w:val="26"/>
        </w:rPr>
        <w:t>U</w:t>
      </w:r>
      <w:r w:rsidRPr="00165152">
        <w:rPr>
          <w:szCs w:val="26"/>
        </w:rPr>
        <w:t xml:space="preserve">nder </w:t>
      </w:r>
      <w:r w:rsidR="005A79BE">
        <w:rPr>
          <w:szCs w:val="26"/>
        </w:rPr>
        <w:t>T</w:t>
      </w:r>
      <w:r w:rsidRPr="00165152">
        <w:rPr>
          <w:szCs w:val="26"/>
        </w:rPr>
        <w:t>he Competition Principles Agreement</w:t>
      </w:r>
      <w:r w:rsidR="00C508F9" w:rsidRPr="00165152">
        <w:rPr>
          <w:szCs w:val="26"/>
        </w:rPr>
        <w:t xml:space="preserve"> </w:t>
      </w:r>
      <w:r w:rsidRPr="00165152">
        <w:rPr>
          <w:szCs w:val="26"/>
        </w:rPr>
        <w:t>(IPCRC</w:t>
      </w:r>
      <w:r w:rsidR="00923156">
        <w:rPr>
          <w:szCs w:val="26"/>
        </w:rPr>
        <w:t> </w:t>
      </w:r>
      <w:r w:rsidRPr="00165152">
        <w:rPr>
          <w:szCs w:val="26"/>
        </w:rPr>
        <w:t>2000)</w:t>
      </w:r>
    </w:p>
    <w:p w:rsidR="00B16D15" w:rsidRPr="00165152" w:rsidRDefault="00B16D15" w:rsidP="00B16D15">
      <w:pPr>
        <w:pStyle w:val="ListBullet"/>
      </w:pPr>
      <w:r w:rsidRPr="00165152">
        <w:t xml:space="preserve">Genes and </w:t>
      </w:r>
      <w:r w:rsidR="005A79BE">
        <w:t>I</w:t>
      </w:r>
      <w:r w:rsidRPr="00165152">
        <w:t xml:space="preserve">ngenuity: </w:t>
      </w:r>
      <w:r w:rsidR="005A79BE">
        <w:t>G</w:t>
      </w:r>
      <w:r w:rsidR="00B32B3C" w:rsidRPr="00165152">
        <w:t xml:space="preserve">ene </w:t>
      </w:r>
      <w:r w:rsidR="005A79BE">
        <w:t>P</w:t>
      </w:r>
      <w:r w:rsidRPr="00165152">
        <w:t xml:space="preserve">atenting and </w:t>
      </w:r>
      <w:r w:rsidR="005A79BE">
        <w:t>H</w:t>
      </w:r>
      <w:r w:rsidRPr="00165152">
        <w:t xml:space="preserve">uman </w:t>
      </w:r>
      <w:r w:rsidR="005A79BE">
        <w:t>H</w:t>
      </w:r>
      <w:r w:rsidRPr="00165152">
        <w:t>ealth (ALRC 200</w:t>
      </w:r>
      <w:r w:rsidR="00A56D75" w:rsidRPr="00165152">
        <w:t>4</w:t>
      </w:r>
      <w:r w:rsidRPr="00165152">
        <w:t>)</w:t>
      </w:r>
    </w:p>
    <w:p w:rsidR="00B16D15" w:rsidRPr="00165152" w:rsidRDefault="00A56D75" w:rsidP="00B16D15">
      <w:pPr>
        <w:pStyle w:val="ListBullet"/>
        <w:rPr>
          <w:szCs w:val="26"/>
        </w:rPr>
      </w:pPr>
      <w:r w:rsidRPr="00165152">
        <w:rPr>
          <w:szCs w:val="26"/>
        </w:rPr>
        <w:t xml:space="preserve">Review of </w:t>
      </w:r>
      <w:r w:rsidR="00A030E3">
        <w:rPr>
          <w:szCs w:val="26"/>
        </w:rPr>
        <w:t>Crown Use Provisions for Patents and D</w:t>
      </w:r>
      <w:r w:rsidRPr="00165152">
        <w:rPr>
          <w:szCs w:val="26"/>
        </w:rPr>
        <w:t>esigns (ACIP 2005</w:t>
      </w:r>
      <w:r w:rsidR="003967E1">
        <w:rPr>
          <w:szCs w:val="26"/>
        </w:rPr>
        <w:t>a</w:t>
      </w:r>
      <w:r w:rsidRPr="00165152">
        <w:rPr>
          <w:szCs w:val="26"/>
        </w:rPr>
        <w:t>)</w:t>
      </w:r>
    </w:p>
    <w:p w:rsidR="00A56D75" w:rsidRPr="00165152" w:rsidRDefault="00A56D75" w:rsidP="00A56D75">
      <w:pPr>
        <w:pStyle w:val="ListBullet"/>
        <w:rPr>
          <w:szCs w:val="26"/>
        </w:rPr>
      </w:pPr>
      <w:r w:rsidRPr="00165152">
        <w:rPr>
          <w:szCs w:val="26"/>
        </w:rPr>
        <w:t xml:space="preserve">Gene </w:t>
      </w:r>
      <w:r w:rsidR="00A030E3">
        <w:rPr>
          <w:szCs w:val="26"/>
        </w:rPr>
        <w:t>P</w:t>
      </w:r>
      <w:r w:rsidRPr="00165152">
        <w:rPr>
          <w:szCs w:val="26"/>
        </w:rPr>
        <w:t>atents (SCARC 2010)</w:t>
      </w:r>
    </w:p>
    <w:p w:rsidR="00A56D75" w:rsidRDefault="00A56D75" w:rsidP="00B16D15">
      <w:pPr>
        <w:pStyle w:val="ListBullet"/>
        <w:rPr>
          <w:szCs w:val="26"/>
        </w:rPr>
      </w:pPr>
      <w:r w:rsidRPr="00165152">
        <w:rPr>
          <w:szCs w:val="26"/>
        </w:rPr>
        <w:t xml:space="preserve">Patentable </w:t>
      </w:r>
      <w:r w:rsidR="00A030E3">
        <w:rPr>
          <w:szCs w:val="26"/>
        </w:rPr>
        <w:t>S</w:t>
      </w:r>
      <w:r w:rsidRPr="00165152">
        <w:rPr>
          <w:szCs w:val="26"/>
        </w:rPr>
        <w:t xml:space="preserve">ubject </w:t>
      </w:r>
      <w:r w:rsidR="00A030E3">
        <w:rPr>
          <w:szCs w:val="26"/>
        </w:rPr>
        <w:t>M</w:t>
      </w:r>
      <w:r w:rsidRPr="00165152">
        <w:rPr>
          <w:szCs w:val="26"/>
        </w:rPr>
        <w:t>atter (ACIP 2010</w:t>
      </w:r>
      <w:r w:rsidR="003967E1">
        <w:rPr>
          <w:szCs w:val="26"/>
        </w:rPr>
        <w:t>c</w:t>
      </w:r>
      <w:r>
        <w:rPr>
          <w:szCs w:val="26"/>
        </w:rPr>
        <w:t>)</w:t>
      </w:r>
      <w:r w:rsidR="00165152">
        <w:rPr>
          <w:szCs w:val="26"/>
        </w:rPr>
        <w:t>.</w:t>
      </w:r>
    </w:p>
    <w:p w:rsidR="00E66828" w:rsidRDefault="00E66828" w:rsidP="00E07DD6">
      <w:pPr>
        <w:pStyle w:val="BodyText"/>
        <w:rPr>
          <w:szCs w:val="26"/>
        </w:rPr>
      </w:pPr>
      <w:r>
        <w:rPr>
          <w:szCs w:val="26"/>
        </w:rPr>
        <w:t>The Intellectual</w:t>
      </w:r>
      <w:r w:rsidR="00461A5B">
        <w:rPr>
          <w:szCs w:val="26"/>
        </w:rPr>
        <w:t xml:space="preserve"> Property Competition Review Committee (IPCRC 2000) </w:t>
      </w:r>
      <w:r w:rsidR="00A75A13">
        <w:rPr>
          <w:szCs w:val="26"/>
        </w:rPr>
        <w:t>recommended that s</w:t>
      </w:r>
      <w:r w:rsidR="00C625E9">
        <w:rPr>
          <w:szCs w:val="26"/>
        </w:rPr>
        <w:t>.</w:t>
      </w:r>
      <w:r w:rsidR="0073085E">
        <w:rPr>
          <w:szCs w:val="26"/>
        </w:rPr>
        <w:t> </w:t>
      </w:r>
      <w:r w:rsidR="00A75A13">
        <w:rPr>
          <w:szCs w:val="26"/>
        </w:rPr>
        <w:t xml:space="preserve">135 of the Patents Act, concerning the </w:t>
      </w:r>
      <w:r w:rsidR="009E25A8">
        <w:rPr>
          <w:szCs w:val="26"/>
        </w:rPr>
        <w:t xml:space="preserve">‘reasonable requirements of the </w:t>
      </w:r>
      <w:r w:rsidR="00A75A13">
        <w:rPr>
          <w:szCs w:val="26"/>
        </w:rPr>
        <w:t>public</w:t>
      </w:r>
      <w:r w:rsidR="009E25A8">
        <w:rPr>
          <w:szCs w:val="26"/>
        </w:rPr>
        <w:t>’</w:t>
      </w:r>
      <w:r w:rsidR="00A75A13">
        <w:rPr>
          <w:szCs w:val="26"/>
        </w:rPr>
        <w:t xml:space="preserve"> test for compulsory licensing, be repealed and replaced with a competition test. The Government partly agreed with this recommendation, agreeing to introduce a competition test but decid</w:t>
      </w:r>
      <w:r w:rsidR="00246ADD">
        <w:rPr>
          <w:szCs w:val="26"/>
        </w:rPr>
        <w:t>ed</w:t>
      </w:r>
      <w:r w:rsidR="00A75A13">
        <w:rPr>
          <w:szCs w:val="26"/>
        </w:rPr>
        <w:t xml:space="preserve"> to retain the </w:t>
      </w:r>
      <w:r w:rsidR="009E25A8">
        <w:rPr>
          <w:szCs w:val="26"/>
        </w:rPr>
        <w:t xml:space="preserve">‘reasonable requirements of the </w:t>
      </w:r>
      <w:r w:rsidR="00A75A13">
        <w:rPr>
          <w:szCs w:val="26"/>
        </w:rPr>
        <w:t>public</w:t>
      </w:r>
      <w:r w:rsidR="009E25A8">
        <w:rPr>
          <w:szCs w:val="26"/>
        </w:rPr>
        <w:t xml:space="preserve">’ </w:t>
      </w:r>
      <w:r w:rsidR="00A75A13">
        <w:rPr>
          <w:szCs w:val="26"/>
        </w:rPr>
        <w:t xml:space="preserve">test. A competition test was introduced as part of amendments to the Patents Act in 2006. The competition test is discussed in more detail in chapter 6. </w:t>
      </w:r>
    </w:p>
    <w:p w:rsidR="00B21561" w:rsidRDefault="00B21561" w:rsidP="00E12BBC">
      <w:pPr>
        <w:pStyle w:val="Heading4"/>
      </w:pPr>
      <w:r>
        <w:lastRenderedPageBreak/>
        <w:t>Raising the Bar</w:t>
      </w:r>
    </w:p>
    <w:p w:rsidR="00E07DD6" w:rsidRDefault="00E66828" w:rsidP="006E5E5A">
      <w:pPr>
        <w:pStyle w:val="BodyText"/>
        <w:rPr>
          <w:szCs w:val="26"/>
        </w:rPr>
      </w:pPr>
      <w:r w:rsidRPr="00E66828">
        <w:rPr>
          <w:szCs w:val="26"/>
        </w:rPr>
        <w:t xml:space="preserve">In 2011, the Australian Government provided a combined response to the </w:t>
      </w:r>
      <w:r w:rsidR="00923156">
        <w:rPr>
          <w:szCs w:val="26"/>
        </w:rPr>
        <w:br/>
      </w:r>
      <w:r w:rsidRPr="00E66828">
        <w:rPr>
          <w:szCs w:val="26"/>
        </w:rPr>
        <w:t>ALRC (2004), SCARC (2010) and ACIP (2010</w:t>
      </w:r>
      <w:r w:rsidR="003967E1">
        <w:rPr>
          <w:szCs w:val="26"/>
        </w:rPr>
        <w:t>c</w:t>
      </w:r>
      <w:r w:rsidRPr="00E66828">
        <w:rPr>
          <w:szCs w:val="26"/>
        </w:rPr>
        <w:t>).</w:t>
      </w:r>
      <w:r w:rsidR="00A75A13">
        <w:rPr>
          <w:szCs w:val="26"/>
        </w:rPr>
        <w:t xml:space="preserve"> </w:t>
      </w:r>
      <w:r w:rsidR="006E5E5A">
        <w:rPr>
          <w:szCs w:val="26"/>
        </w:rPr>
        <w:t xml:space="preserve">Recommendations from these reports were part of the </w:t>
      </w:r>
      <w:r w:rsidR="00E07DD6">
        <w:rPr>
          <w:szCs w:val="26"/>
        </w:rPr>
        <w:t>latest package of reforms</w:t>
      </w:r>
      <w:r w:rsidR="006E5E5A">
        <w:rPr>
          <w:szCs w:val="26"/>
        </w:rPr>
        <w:t xml:space="preserve"> to the patents system</w:t>
      </w:r>
      <w:r w:rsidR="00E07DD6">
        <w:rPr>
          <w:szCs w:val="26"/>
        </w:rPr>
        <w:t xml:space="preserve"> — titled ‘Raising the Bar’</w:t>
      </w:r>
      <w:r w:rsidR="006E5E5A">
        <w:rPr>
          <w:szCs w:val="26"/>
        </w:rPr>
        <w:t>. These reforms have</w:t>
      </w:r>
      <w:r w:rsidR="00E07DD6">
        <w:rPr>
          <w:szCs w:val="26"/>
        </w:rPr>
        <w:t xml:space="preserve"> led to extensive changes, </w:t>
      </w:r>
      <w:r w:rsidR="006E5E5A">
        <w:rPr>
          <w:szCs w:val="26"/>
        </w:rPr>
        <w:t xml:space="preserve">but left compulsory licensing untouched. These reforms are discussed in more detail in </w:t>
      </w:r>
      <w:r w:rsidR="00E07DD6">
        <w:rPr>
          <w:szCs w:val="26"/>
        </w:rPr>
        <w:t>box </w:t>
      </w:r>
      <w:proofErr w:type="spellStart"/>
      <w:r w:rsidR="00794E05">
        <w:rPr>
          <w:szCs w:val="26"/>
        </w:rPr>
        <w:fldChar w:fldCharType="begin"/>
      </w:r>
      <w:r w:rsidR="00E07DD6">
        <w:rPr>
          <w:szCs w:val="26"/>
        </w:rPr>
        <w:instrText xml:space="preserve"> LINK Word.Document.12 "\\\\mel_1\\groups\\InquiryC\\Patents\\Draft Report\\Chapter 3 (Key features of patents systems).docx" "OLE_LINK1" \a \t </w:instrText>
      </w:r>
      <w:r w:rsidR="00794E05">
        <w:rPr>
          <w:szCs w:val="26"/>
        </w:rPr>
        <w:fldChar w:fldCharType="separate"/>
      </w:r>
      <w:r w:rsidR="006E5E5A">
        <w:t>B</w:t>
      </w:r>
      <w:r w:rsidR="00E07DD6">
        <w:t>.</w:t>
      </w:r>
      <w:r w:rsidR="00B32B3C">
        <w:t>3</w:t>
      </w:r>
      <w:proofErr w:type="spellEnd"/>
      <w:r w:rsidR="00794E05">
        <w:rPr>
          <w:szCs w:val="26"/>
        </w:rPr>
        <w:fldChar w:fldCharType="end"/>
      </w:r>
      <w:r w:rsidR="00E07DD6">
        <w:rPr>
          <w:szCs w:val="26"/>
        </w:rPr>
        <w:t>.</w:t>
      </w:r>
    </w:p>
    <w:p w:rsidR="00E07DD6" w:rsidRDefault="00E07DD6" w:rsidP="00E07DD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7DD6" w:rsidTr="00B16D15">
        <w:tc>
          <w:tcPr>
            <w:tcW w:w="8771" w:type="dxa"/>
            <w:tcBorders>
              <w:top w:val="single" w:sz="6" w:space="0" w:color="auto"/>
              <w:bottom w:val="nil"/>
            </w:tcBorders>
          </w:tcPr>
          <w:p w:rsidR="00E07DD6" w:rsidRDefault="00E07DD6" w:rsidP="00B16D15">
            <w:pPr>
              <w:pStyle w:val="BoxTitle"/>
            </w:pPr>
            <w:r>
              <w:rPr>
                <w:b w:val="0"/>
              </w:rPr>
              <w:t xml:space="preserve">Box </w:t>
            </w:r>
            <w:bookmarkStart w:id="5" w:name="OLE_LINK1"/>
            <w:r w:rsidR="00794E05">
              <w:rPr>
                <w:b w:val="0"/>
              </w:rPr>
              <w:fldChar w:fldCharType="begin"/>
            </w:r>
            <w:r>
              <w:rPr>
                <w:b w:val="0"/>
              </w:rPr>
              <w:instrText xml:space="preserve"> COMMENTS  \* MERGEFORMAT </w:instrText>
            </w:r>
            <w:r w:rsidR="00794E05">
              <w:rPr>
                <w:b w:val="0"/>
              </w:rPr>
              <w:fldChar w:fldCharType="separate"/>
            </w:r>
            <w:proofErr w:type="spellStart"/>
            <w:r w:rsidR="002B4630">
              <w:rPr>
                <w:b w:val="0"/>
              </w:rPr>
              <w:t>B.</w:t>
            </w:r>
            <w:r w:rsidR="00794E05">
              <w:rPr>
                <w:b w:val="0"/>
              </w:rPr>
              <w:fldChar w:fldCharType="end"/>
            </w:r>
            <w:r w:rsidR="00794E05">
              <w:rPr>
                <w:b w:val="0"/>
              </w:rPr>
              <w:fldChar w:fldCharType="begin"/>
            </w:r>
            <w:r>
              <w:rPr>
                <w:b w:val="0"/>
              </w:rPr>
              <w:instrText xml:space="preserve"> SEQ Box \* ARABIC </w:instrText>
            </w:r>
            <w:r w:rsidR="00794E05">
              <w:rPr>
                <w:b w:val="0"/>
              </w:rPr>
              <w:fldChar w:fldCharType="separate"/>
            </w:r>
            <w:r w:rsidR="006367F1">
              <w:rPr>
                <w:b w:val="0"/>
                <w:noProof/>
              </w:rPr>
              <w:t>3</w:t>
            </w:r>
            <w:proofErr w:type="spellEnd"/>
            <w:r w:rsidR="00794E05">
              <w:rPr>
                <w:b w:val="0"/>
              </w:rPr>
              <w:fldChar w:fldCharType="end"/>
            </w:r>
            <w:bookmarkEnd w:id="5"/>
            <w:r>
              <w:tab/>
            </w:r>
            <w:r w:rsidRPr="00FE21C9">
              <w:t>‘Raising the Bar’ reforms</w:t>
            </w:r>
          </w:p>
        </w:tc>
      </w:tr>
      <w:tr w:rsidR="00E07DD6" w:rsidTr="00B16D15">
        <w:trPr>
          <w:cantSplit/>
        </w:trPr>
        <w:tc>
          <w:tcPr>
            <w:tcW w:w="8771" w:type="dxa"/>
            <w:tcBorders>
              <w:top w:val="nil"/>
              <w:left w:val="single" w:sz="6" w:space="0" w:color="auto"/>
              <w:bottom w:val="nil"/>
              <w:right w:val="single" w:sz="6" w:space="0" w:color="auto"/>
            </w:tcBorders>
          </w:tcPr>
          <w:p w:rsidR="00E07DD6" w:rsidRDefault="00E07DD6" w:rsidP="00B16D15">
            <w:pPr>
              <w:pStyle w:val="Box"/>
            </w:pPr>
            <w:r>
              <w:t xml:space="preserve">The intellectual property (IP) system was significantly changed with the passage of the </w:t>
            </w:r>
            <w:r w:rsidRPr="0092623D">
              <w:rPr>
                <w:i/>
              </w:rPr>
              <w:t>Intellectual Property Laws Amendment (Raising the Bar) Act 2012</w:t>
            </w:r>
            <w:r>
              <w:t xml:space="preserve"> (Cwlth). The amendments apply to the </w:t>
            </w:r>
            <w:r w:rsidRPr="002311CD">
              <w:rPr>
                <w:i/>
              </w:rPr>
              <w:t>Patents Act 1990</w:t>
            </w:r>
            <w:r>
              <w:t xml:space="preserve"> (Cwlth)</w:t>
            </w:r>
            <w:r w:rsidR="00C508F9">
              <w:t xml:space="preserve"> and other IP legislation</w:t>
            </w:r>
            <w:r>
              <w:t>. The changes addressed six key areas:</w:t>
            </w:r>
          </w:p>
          <w:p w:rsidR="00E07DD6" w:rsidRDefault="00E07DD6" w:rsidP="00E07DD6">
            <w:pPr>
              <w:pStyle w:val="BoxListBullet"/>
              <w:spacing w:before="120"/>
            </w:pPr>
            <w:r>
              <w:t xml:space="preserve">Patent standards — raises the standard of Australia’s patents to align more closely with </w:t>
            </w:r>
            <w:r w:rsidR="00962415">
              <w:t xml:space="preserve">higher patent standards </w:t>
            </w:r>
            <w:r w:rsidR="00823D18">
              <w:t>in comparable markets</w:t>
            </w:r>
            <w:r>
              <w:t>. It does this by:</w:t>
            </w:r>
          </w:p>
          <w:p w:rsidR="00E07DD6" w:rsidRDefault="00E07DD6" w:rsidP="00E07DD6">
            <w:pPr>
              <w:pStyle w:val="BoxListBullet2"/>
              <w:tabs>
                <w:tab w:val="left" w:pos="284"/>
              </w:tabs>
            </w:pPr>
            <w:r>
              <w:t xml:space="preserve">raising standards </w:t>
            </w:r>
            <w:r w:rsidR="00A16A8F">
              <w:t>for</w:t>
            </w:r>
            <w:r>
              <w:t xml:space="preserve"> information provided in patent applications and specifications, and requiring that the patent has a credible use consistent with the information provided</w:t>
            </w:r>
          </w:p>
          <w:p w:rsidR="00E07DD6" w:rsidRDefault="00E07DD6" w:rsidP="00E07DD6">
            <w:pPr>
              <w:pStyle w:val="BoxListBullet2"/>
              <w:tabs>
                <w:tab w:val="left" w:pos="284"/>
              </w:tabs>
            </w:pPr>
            <w:r>
              <w:t>raising the standard for inventiveness</w:t>
            </w:r>
            <w:r w:rsidR="00962415">
              <w:t>, including by taking into account common general knowledge from overseas</w:t>
            </w:r>
          </w:p>
          <w:p w:rsidR="00E07DD6" w:rsidRDefault="00E07DD6" w:rsidP="00E07DD6">
            <w:pPr>
              <w:pStyle w:val="BoxListBullet2"/>
              <w:tabs>
                <w:tab w:val="left" w:pos="284"/>
              </w:tabs>
            </w:pPr>
            <w:r>
              <w:t>ensuring that a consistent standard of proof is applied by the Commissioner of Patents.</w:t>
            </w:r>
          </w:p>
          <w:p w:rsidR="00E07DD6" w:rsidRDefault="00E07DD6" w:rsidP="00E07DD6">
            <w:pPr>
              <w:pStyle w:val="BoxListBullet"/>
              <w:spacing w:before="120"/>
            </w:pPr>
            <w:r>
              <w:t>Research freedom — distinguishes between research and commercial activities, leaving researchers free to conduct their experiments without having to gain approval from a patent holder. It also introduces an exemption for activities undertaken solely for the purpose of gaining regulatory approval to market or manufacture a patented technology.</w:t>
            </w:r>
          </w:p>
          <w:p w:rsidR="00E07DD6" w:rsidRDefault="00E07DD6" w:rsidP="00E07DD6">
            <w:pPr>
              <w:pStyle w:val="BoxListBullet"/>
              <w:spacing w:before="120"/>
            </w:pPr>
            <w:r>
              <w:t>Application process — introduces changes aimed at making the patent and trade mark application process more efficient</w:t>
            </w:r>
            <w:r w:rsidR="00310BE0">
              <w:t xml:space="preserve">, in part through preventing </w:t>
            </w:r>
            <w:r w:rsidR="00823D18">
              <w:t>‘gaming’</w:t>
            </w:r>
            <w:r>
              <w:t>.</w:t>
            </w:r>
            <w:r w:rsidR="00310BE0">
              <w:t xml:space="preserve"> Thes</w:t>
            </w:r>
            <w:r w:rsidR="00823D18">
              <w:t xml:space="preserve">e </w:t>
            </w:r>
            <w:r w:rsidR="00310BE0">
              <w:t xml:space="preserve">changes target two key areas — opposition proceedings and divisional applications. </w:t>
            </w:r>
          </w:p>
          <w:p w:rsidR="00E07DD6" w:rsidRDefault="00E07DD6" w:rsidP="00E07DD6">
            <w:pPr>
              <w:pStyle w:val="BoxListBullet"/>
              <w:spacing w:before="120"/>
            </w:pPr>
            <w:r>
              <w:t xml:space="preserve">Attorney profession — permits patent and trade mark attorneys to conduct all aspects of their business through a corporate structure and extends the definition of ‘privileged’ communications within the </w:t>
            </w:r>
            <w:r w:rsidR="00020381">
              <w:t>IP</w:t>
            </w:r>
            <w:r>
              <w:t xml:space="preserve"> field.</w:t>
            </w:r>
          </w:p>
          <w:p w:rsidR="00E07DD6" w:rsidRDefault="00E07DD6" w:rsidP="00E07DD6">
            <w:pPr>
              <w:pStyle w:val="BoxListBullet"/>
              <w:spacing w:before="120"/>
            </w:pPr>
            <w:r>
              <w:t>Trade mark and copyright infringement — introduces changes aimed at improving the ability of trade mark and copyright owners to enforce their rights.</w:t>
            </w:r>
          </w:p>
          <w:p w:rsidR="00E07DD6" w:rsidRDefault="00E07DD6" w:rsidP="00240FBB">
            <w:pPr>
              <w:pStyle w:val="BoxListBullet"/>
              <w:spacing w:before="120"/>
            </w:pPr>
            <w:r>
              <w:t>Technical improvements in the IP system — introduces changes aimed at modernising aspects of Australia's IP system, increasing transparency in the decision making process, and generally making the system easier to use.</w:t>
            </w:r>
          </w:p>
        </w:tc>
      </w:tr>
      <w:tr w:rsidR="00E07DD6" w:rsidTr="00B16D15">
        <w:trPr>
          <w:cantSplit/>
        </w:trPr>
        <w:tc>
          <w:tcPr>
            <w:tcW w:w="8771" w:type="dxa"/>
            <w:tcBorders>
              <w:top w:val="nil"/>
              <w:left w:val="single" w:sz="6" w:space="0" w:color="auto"/>
              <w:bottom w:val="nil"/>
              <w:right w:val="single" w:sz="6" w:space="0" w:color="auto"/>
            </w:tcBorders>
          </w:tcPr>
          <w:p w:rsidR="00E07DD6" w:rsidRDefault="00E07DD6" w:rsidP="00C508F9">
            <w:pPr>
              <w:pStyle w:val="BoxSource"/>
            </w:pPr>
            <w:r>
              <w:rPr>
                <w:i/>
              </w:rPr>
              <w:t>Source</w:t>
            </w:r>
            <w:r w:rsidRPr="00167F06">
              <w:t xml:space="preserve">: </w:t>
            </w:r>
            <w:r w:rsidRPr="00FE21C9">
              <w:t>Carr (2011).</w:t>
            </w:r>
          </w:p>
        </w:tc>
      </w:tr>
      <w:tr w:rsidR="00E07DD6" w:rsidTr="00B16D15">
        <w:trPr>
          <w:cantSplit/>
        </w:trPr>
        <w:tc>
          <w:tcPr>
            <w:tcW w:w="8771" w:type="dxa"/>
            <w:tcBorders>
              <w:top w:val="nil"/>
              <w:left w:val="single" w:sz="6" w:space="0" w:color="auto"/>
              <w:bottom w:val="single" w:sz="6" w:space="0" w:color="auto"/>
              <w:right w:val="single" w:sz="6" w:space="0" w:color="auto"/>
            </w:tcBorders>
          </w:tcPr>
          <w:p w:rsidR="00E07DD6" w:rsidRDefault="00E07DD6" w:rsidP="00B16D15">
            <w:pPr>
              <w:pStyle w:val="Box"/>
              <w:spacing w:before="0" w:line="120" w:lineRule="exact"/>
            </w:pPr>
          </w:p>
        </w:tc>
      </w:tr>
      <w:tr w:rsidR="00E07DD6" w:rsidTr="00B16D15">
        <w:tc>
          <w:tcPr>
            <w:tcW w:w="8771" w:type="dxa"/>
            <w:tcBorders>
              <w:top w:val="nil"/>
              <w:left w:val="nil"/>
              <w:bottom w:val="nil"/>
              <w:right w:val="nil"/>
            </w:tcBorders>
          </w:tcPr>
          <w:p w:rsidR="00E07DD6" w:rsidRDefault="00E07DD6" w:rsidP="00B16D15">
            <w:pPr>
              <w:pStyle w:val="Box"/>
              <w:keepNext w:val="0"/>
              <w:spacing w:before="60" w:after="60" w:line="80" w:lineRule="exact"/>
              <w:rPr>
                <w:b/>
                <w:color w:val="FF00FF"/>
                <w:sz w:val="14"/>
              </w:rPr>
            </w:pPr>
          </w:p>
        </w:tc>
      </w:tr>
    </w:tbl>
    <w:p w:rsidR="00917BD7" w:rsidRDefault="00923D5E" w:rsidP="00E07DD6">
      <w:pPr>
        <w:pStyle w:val="BodyText"/>
      </w:pPr>
      <w:r>
        <w:lastRenderedPageBreak/>
        <w:t xml:space="preserve">Most provisions came into effect on 15 April 2013. However, the regulatory use exemption (for non-pharmaceutical patents) and the experimental use exemption were introduced immediately. </w:t>
      </w:r>
    </w:p>
    <w:p w:rsidR="006E5E5A" w:rsidRDefault="004C51E6" w:rsidP="00E07DD6">
      <w:pPr>
        <w:pStyle w:val="BodyText"/>
      </w:pPr>
      <w:r>
        <w:t>There have been a number of other amendments to the</w:t>
      </w:r>
      <w:r w:rsidR="002311CD">
        <w:t xml:space="preserve"> Patents Act </w:t>
      </w:r>
      <w:r w:rsidR="00A01B69">
        <w:t>in recent years.</w:t>
      </w:r>
      <w:r>
        <w:t xml:space="preserve"> </w:t>
      </w:r>
      <w:r w:rsidR="00A01B69">
        <w:t>F</w:t>
      </w:r>
      <w:r>
        <w:t>or example, amendments as a result of the Australia</w:t>
      </w:r>
      <w:r w:rsidR="006570D5">
        <w:t>–</w:t>
      </w:r>
      <w:r>
        <w:t>U</w:t>
      </w:r>
      <w:r w:rsidR="006570D5">
        <w:t xml:space="preserve">nited </w:t>
      </w:r>
      <w:r>
        <w:t>S</w:t>
      </w:r>
      <w:r w:rsidR="006570D5">
        <w:t>tates</w:t>
      </w:r>
      <w:r>
        <w:t xml:space="preserve"> Free Trade Agreement. </w:t>
      </w:r>
      <w:r w:rsidR="00E07DD6">
        <w:t>More changes are in prospect</w:t>
      </w:r>
      <w:r>
        <w:t>:</w:t>
      </w:r>
      <w:r w:rsidR="006E5E5A">
        <w:t xml:space="preserve"> </w:t>
      </w:r>
    </w:p>
    <w:p w:rsidR="006E5E5A" w:rsidRDefault="00E07DD6" w:rsidP="004C51E6">
      <w:pPr>
        <w:pStyle w:val="ListBullet"/>
      </w:pPr>
      <w:r>
        <w:t>ACIP is investigating the effectiveness of innovation patents (ACIP 201</w:t>
      </w:r>
      <w:r w:rsidR="00EF02EF">
        <w:t>1</w:t>
      </w:r>
      <w:r>
        <w:t>)</w:t>
      </w:r>
      <w:r w:rsidR="004C51E6">
        <w:t xml:space="preserve"> and </w:t>
      </w:r>
      <w:r w:rsidR="00246ADD">
        <w:t xml:space="preserve">might </w:t>
      </w:r>
      <w:r w:rsidR="004C51E6">
        <w:t xml:space="preserve">recommend changes to </w:t>
      </w:r>
      <w:r w:rsidR="00246ADD">
        <w:t>the</w:t>
      </w:r>
      <w:r w:rsidR="004C51E6">
        <w:t xml:space="preserve"> innovation patents system</w:t>
      </w:r>
      <w:r w:rsidR="00A01B69">
        <w:t>.</w:t>
      </w:r>
    </w:p>
    <w:p w:rsidR="0050624D" w:rsidRDefault="00960255" w:rsidP="00F50C80">
      <w:pPr>
        <w:pStyle w:val="ListBullet"/>
      </w:pPr>
      <w:r>
        <w:t>T</w:t>
      </w:r>
      <w:r w:rsidR="006E5E5A">
        <w:t xml:space="preserve">he Australian Government announced its </w:t>
      </w:r>
      <w:r w:rsidR="00917BD7">
        <w:t>intention to implement a TRIPS P</w:t>
      </w:r>
      <w:r w:rsidR="006E5E5A">
        <w:t>rotocol</w:t>
      </w:r>
      <w:r w:rsidR="00924D1F">
        <w:t xml:space="preserve">, </w:t>
      </w:r>
      <w:r w:rsidR="006E5E5A">
        <w:t>w</w:t>
      </w:r>
      <w:r w:rsidR="00246ADD">
        <w:t>hich</w:t>
      </w:r>
      <w:r w:rsidR="006E5E5A">
        <w:t xml:space="preserve"> allows compulsory licensing for export of patented pharmaceuticals to developing countries</w:t>
      </w:r>
      <w:r w:rsidR="00246ADD">
        <w:t>,</w:t>
      </w:r>
      <w:r w:rsidR="006E5E5A">
        <w:t xml:space="preserve"> and has released an exposure draft of the Bill</w:t>
      </w:r>
      <w:r w:rsidR="004C51E6">
        <w:t xml:space="preserve"> (di</w:t>
      </w:r>
      <w:r w:rsidR="00246ADD">
        <w:t>s</w:t>
      </w:r>
      <w:r w:rsidR="004C51E6">
        <w:t>cussed in more detail in appendix D</w:t>
      </w:r>
      <w:r w:rsidR="00246ADD">
        <w:t>)</w:t>
      </w:r>
      <w:r w:rsidR="006E5E5A">
        <w:t>.</w:t>
      </w:r>
    </w:p>
    <w:p w:rsidR="0060474D" w:rsidRPr="00A904D6" w:rsidRDefault="0060474D" w:rsidP="0050624D">
      <w:pPr>
        <w:pStyle w:val="Heading3"/>
      </w:pPr>
      <w:r>
        <w:t>Multilateral reforms</w:t>
      </w:r>
      <w:r w:rsidRPr="00A904D6">
        <w:t xml:space="preserve"> </w:t>
      </w:r>
    </w:p>
    <w:p w:rsidR="0060474D" w:rsidRDefault="0060474D" w:rsidP="00FE6CB9">
      <w:pPr>
        <w:pStyle w:val="Heading4"/>
        <w:spacing w:before="240"/>
      </w:pPr>
      <w:r w:rsidRPr="00EB75AB">
        <w:rPr>
          <w:bCs/>
        </w:rPr>
        <w:t>T</w:t>
      </w:r>
      <w:r w:rsidR="00A92E22">
        <w:rPr>
          <w:bCs/>
        </w:rPr>
        <w:t xml:space="preserve">RIPS </w:t>
      </w:r>
      <w:r w:rsidR="00917BD7">
        <w:t>P</w:t>
      </w:r>
      <w:r>
        <w:t xml:space="preserve">rotocol </w:t>
      </w:r>
    </w:p>
    <w:p w:rsidR="0060474D" w:rsidRPr="00C53E24" w:rsidRDefault="0060474D" w:rsidP="0060474D">
      <w:pPr>
        <w:pStyle w:val="BodyText"/>
        <w:rPr>
          <w:lang w:eastAsia="en-US"/>
        </w:rPr>
      </w:pPr>
      <w:r>
        <w:rPr>
          <w:lang w:eastAsia="en-US"/>
        </w:rPr>
        <w:t xml:space="preserve">A number of countries have implemented </w:t>
      </w:r>
      <w:r w:rsidR="00A01B69">
        <w:rPr>
          <w:lang w:eastAsia="en-US"/>
        </w:rPr>
        <w:t>the a</w:t>
      </w:r>
      <w:r w:rsidR="008C6398">
        <w:rPr>
          <w:lang w:eastAsia="en-US"/>
        </w:rPr>
        <w:t xml:space="preserve">bove </w:t>
      </w:r>
      <w:r w:rsidR="00A01B69">
        <w:rPr>
          <w:lang w:eastAsia="en-US"/>
        </w:rPr>
        <w:t xml:space="preserve">mentioned </w:t>
      </w:r>
      <w:r w:rsidR="00917BD7">
        <w:rPr>
          <w:lang w:eastAsia="en-US"/>
        </w:rPr>
        <w:t>TRIPS P</w:t>
      </w:r>
      <w:r>
        <w:rPr>
          <w:lang w:eastAsia="en-US"/>
        </w:rPr>
        <w:t>rotocol</w:t>
      </w:r>
      <w:r w:rsidR="00A92E22">
        <w:rPr>
          <w:lang w:eastAsia="en-US"/>
        </w:rPr>
        <w:t xml:space="preserve"> (discussed further in chapter 8)</w:t>
      </w:r>
      <w:r>
        <w:rPr>
          <w:lang w:eastAsia="en-US"/>
        </w:rPr>
        <w:t xml:space="preserve">. </w:t>
      </w:r>
    </w:p>
    <w:p w:rsidR="0060474D" w:rsidRPr="00C837EC" w:rsidRDefault="0060474D" w:rsidP="00A01B69">
      <w:pPr>
        <w:pStyle w:val="Heading4"/>
      </w:pPr>
      <w:r w:rsidRPr="00C837EC">
        <w:t xml:space="preserve">International cooperation between patent offices </w:t>
      </w:r>
    </w:p>
    <w:p w:rsidR="0060474D" w:rsidRDefault="0060474D" w:rsidP="0060474D">
      <w:pPr>
        <w:pStyle w:val="BodyText"/>
        <w:rPr>
          <w:rStyle w:val="DraftingNote"/>
          <w:b w:val="0"/>
          <w:color w:val="auto"/>
          <w:sz w:val="26"/>
          <w:u w:val="none"/>
        </w:rPr>
      </w:pPr>
      <w:r>
        <w:rPr>
          <w:rStyle w:val="DraftingNote"/>
          <w:b w:val="0"/>
          <w:color w:val="auto"/>
          <w:sz w:val="26"/>
          <w:u w:val="none"/>
        </w:rPr>
        <w:t>Cooperation between patent offices can reduce the costs of the patent process through sharing resources. The greater the harmonisation between patents systems</w:t>
      </w:r>
      <w:r w:rsidR="002F4AA9">
        <w:rPr>
          <w:rStyle w:val="DraftingNote"/>
          <w:b w:val="0"/>
          <w:color w:val="auto"/>
          <w:sz w:val="26"/>
          <w:u w:val="none"/>
        </w:rPr>
        <w:t>,</w:t>
      </w:r>
      <w:r>
        <w:rPr>
          <w:rStyle w:val="DraftingNote"/>
          <w:b w:val="0"/>
          <w:color w:val="auto"/>
          <w:sz w:val="26"/>
          <w:u w:val="none"/>
        </w:rPr>
        <w:t xml:space="preserve"> the greater the scope for cooperation. Cooperation is especially important since patent applications have been rising in recent years. Two projects are outlined below. Many other forums and projects to promote cooperation have also been established in recent years.</w:t>
      </w:r>
    </w:p>
    <w:p w:rsidR="0060474D" w:rsidRPr="00A01B69" w:rsidRDefault="0060474D" w:rsidP="00A01B69">
      <w:pPr>
        <w:pStyle w:val="Heading4"/>
      </w:pPr>
      <w:r w:rsidRPr="00A01B69">
        <w:t xml:space="preserve">Five IP </w:t>
      </w:r>
      <w:r w:rsidR="00EF74A3" w:rsidRPr="00A01B69">
        <w:t>O</w:t>
      </w:r>
      <w:r w:rsidRPr="00A01B69">
        <w:t xml:space="preserve">ffices </w:t>
      </w:r>
      <w:r w:rsidR="00EF74A3" w:rsidRPr="00A01B69">
        <w:t>forum</w:t>
      </w:r>
    </w:p>
    <w:p w:rsidR="0060474D" w:rsidRDefault="0060474D" w:rsidP="0060474D">
      <w:pPr>
        <w:pStyle w:val="BodyText"/>
        <w:rPr>
          <w:rStyle w:val="DraftingNote"/>
          <w:b w:val="0"/>
          <w:color w:val="auto"/>
          <w:sz w:val="26"/>
          <w:u w:val="none"/>
        </w:rPr>
      </w:pPr>
      <w:r w:rsidRPr="002F4A87">
        <w:rPr>
          <w:rStyle w:val="DraftingNote"/>
          <w:b w:val="0"/>
          <w:color w:val="auto"/>
          <w:sz w:val="26"/>
          <w:u w:val="none"/>
        </w:rPr>
        <w:t xml:space="preserve">The heads of the five largest </w:t>
      </w:r>
      <w:r w:rsidR="00020381">
        <w:rPr>
          <w:rStyle w:val="DraftingNote"/>
          <w:b w:val="0"/>
          <w:color w:val="auto"/>
          <w:sz w:val="26"/>
          <w:u w:val="none"/>
        </w:rPr>
        <w:t>IP</w:t>
      </w:r>
      <w:r w:rsidRPr="002F4A87">
        <w:rPr>
          <w:rStyle w:val="DraftingNote"/>
          <w:b w:val="0"/>
          <w:color w:val="auto"/>
          <w:sz w:val="26"/>
          <w:u w:val="none"/>
        </w:rPr>
        <w:t xml:space="preserve"> offices — </w:t>
      </w:r>
      <w:r>
        <w:rPr>
          <w:rStyle w:val="DraftingNote"/>
          <w:b w:val="0"/>
          <w:color w:val="auto"/>
          <w:sz w:val="26"/>
          <w:u w:val="none"/>
        </w:rPr>
        <w:t>E</w:t>
      </w:r>
      <w:r w:rsidR="00EF74A3">
        <w:rPr>
          <w:rStyle w:val="DraftingNote"/>
          <w:b w:val="0"/>
          <w:color w:val="auto"/>
          <w:sz w:val="26"/>
          <w:u w:val="none"/>
        </w:rPr>
        <w:t xml:space="preserve">uropean </w:t>
      </w:r>
      <w:r>
        <w:rPr>
          <w:rStyle w:val="DraftingNote"/>
          <w:b w:val="0"/>
          <w:color w:val="auto"/>
          <w:sz w:val="26"/>
          <w:u w:val="none"/>
        </w:rPr>
        <w:t>P</w:t>
      </w:r>
      <w:r w:rsidR="00EF74A3">
        <w:rPr>
          <w:rStyle w:val="DraftingNote"/>
          <w:b w:val="0"/>
          <w:color w:val="auto"/>
          <w:sz w:val="26"/>
          <w:u w:val="none"/>
        </w:rPr>
        <w:t xml:space="preserve">atent </w:t>
      </w:r>
      <w:r>
        <w:rPr>
          <w:rStyle w:val="DraftingNote"/>
          <w:b w:val="0"/>
          <w:color w:val="auto"/>
          <w:sz w:val="26"/>
          <w:u w:val="none"/>
        </w:rPr>
        <w:t>O</w:t>
      </w:r>
      <w:r w:rsidR="00EF74A3">
        <w:rPr>
          <w:rStyle w:val="DraftingNote"/>
          <w:b w:val="0"/>
          <w:color w:val="auto"/>
          <w:sz w:val="26"/>
          <w:u w:val="none"/>
        </w:rPr>
        <w:t>ffice</w:t>
      </w:r>
      <w:r w:rsidRPr="002F4A87">
        <w:rPr>
          <w:rStyle w:val="DraftingNote"/>
          <w:b w:val="0"/>
          <w:color w:val="auto"/>
          <w:sz w:val="26"/>
          <w:u w:val="none"/>
        </w:rPr>
        <w:t>, J</w:t>
      </w:r>
      <w:r w:rsidR="007C7730">
        <w:rPr>
          <w:rStyle w:val="DraftingNote"/>
          <w:b w:val="0"/>
          <w:color w:val="auto"/>
          <w:sz w:val="26"/>
          <w:u w:val="none"/>
        </w:rPr>
        <w:t xml:space="preserve">apan </w:t>
      </w:r>
      <w:r>
        <w:rPr>
          <w:rStyle w:val="DraftingNote"/>
          <w:b w:val="0"/>
          <w:color w:val="auto"/>
          <w:sz w:val="26"/>
          <w:u w:val="none"/>
        </w:rPr>
        <w:t>P</w:t>
      </w:r>
      <w:r w:rsidR="007C7730">
        <w:rPr>
          <w:rStyle w:val="DraftingNote"/>
          <w:b w:val="0"/>
          <w:color w:val="auto"/>
          <w:sz w:val="26"/>
          <w:u w:val="none"/>
        </w:rPr>
        <w:t xml:space="preserve">atent </w:t>
      </w:r>
      <w:r>
        <w:rPr>
          <w:rStyle w:val="DraftingNote"/>
          <w:b w:val="0"/>
          <w:color w:val="auto"/>
          <w:sz w:val="26"/>
          <w:u w:val="none"/>
        </w:rPr>
        <w:t>O</w:t>
      </w:r>
      <w:r w:rsidR="007C7730">
        <w:rPr>
          <w:rStyle w:val="DraftingNote"/>
          <w:b w:val="0"/>
          <w:color w:val="auto"/>
          <w:sz w:val="26"/>
          <w:u w:val="none"/>
        </w:rPr>
        <w:t>ffice</w:t>
      </w:r>
      <w:r w:rsidRPr="002F4A87">
        <w:rPr>
          <w:rStyle w:val="DraftingNote"/>
          <w:b w:val="0"/>
          <w:color w:val="auto"/>
          <w:sz w:val="26"/>
          <w:u w:val="none"/>
        </w:rPr>
        <w:t xml:space="preserve">, </w:t>
      </w:r>
      <w:r w:rsidR="004F2825">
        <w:rPr>
          <w:rStyle w:val="DraftingNote"/>
          <w:b w:val="0"/>
          <w:color w:val="auto"/>
          <w:sz w:val="26"/>
          <w:u w:val="none"/>
        </w:rPr>
        <w:t xml:space="preserve">South </w:t>
      </w:r>
      <w:r w:rsidRPr="002F4A87">
        <w:rPr>
          <w:rStyle w:val="DraftingNote"/>
          <w:b w:val="0"/>
          <w:color w:val="auto"/>
          <w:sz w:val="26"/>
          <w:u w:val="none"/>
        </w:rPr>
        <w:t>K</w:t>
      </w:r>
      <w:r w:rsidR="00560362">
        <w:rPr>
          <w:rStyle w:val="DraftingNote"/>
          <w:b w:val="0"/>
          <w:color w:val="auto"/>
          <w:sz w:val="26"/>
          <w:u w:val="none"/>
        </w:rPr>
        <w:t xml:space="preserve">orean </w:t>
      </w:r>
      <w:r>
        <w:rPr>
          <w:rStyle w:val="DraftingNote"/>
          <w:b w:val="0"/>
          <w:color w:val="auto"/>
          <w:sz w:val="26"/>
          <w:u w:val="none"/>
        </w:rPr>
        <w:t>I</w:t>
      </w:r>
      <w:r w:rsidR="00560362">
        <w:rPr>
          <w:rStyle w:val="DraftingNote"/>
          <w:b w:val="0"/>
          <w:color w:val="auto"/>
          <w:sz w:val="26"/>
          <w:u w:val="none"/>
        </w:rPr>
        <w:t xml:space="preserve">ntellectual </w:t>
      </w:r>
      <w:r>
        <w:rPr>
          <w:rStyle w:val="DraftingNote"/>
          <w:b w:val="0"/>
          <w:color w:val="auto"/>
          <w:sz w:val="26"/>
          <w:u w:val="none"/>
        </w:rPr>
        <w:t>P</w:t>
      </w:r>
      <w:r w:rsidR="00560362">
        <w:rPr>
          <w:rStyle w:val="DraftingNote"/>
          <w:b w:val="0"/>
          <w:color w:val="auto"/>
          <w:sz w:val="26"/>
          <w:u w:val="none"/>
        </w:rPr>
        <w:t xml:space="preserve">roperty </w:t>
      </w:r>
      <w:r>
        <w:rPr>
          <w:rStyle w:val="DraftingNote"/>
          <w:b w:val="0"/>
          <w:color w:val="auto"/>
          <w:sz w:val="26"/>
          <w:u w:val="none"/>
        </w:rPr>
        <w:t>O</w:t>
      </w:r>
      <w:r w:rsidR="00560362">
        <w:rPr>
          <w:rStyle w:val="DraftingNote"/>
          <w:b w:val="0"/>
          <w:color w:val="auto"/>
          <w:sz w:val="26"/>
          <w:u w:val="none"/>
        </w:rPr>
        <w:t>ffice</w:t>
      </w:r>
      <w:r w:rsidRPr="002F4A87">
        <w:rPr>
          <w:rStyle w:val="DraftingNote"/>
          <w:b w:val="0"/>
          <w:color w:val="auto"/>
          <w:sz w:val="26"/>
          <w:u w:val="none"/>
        </w:rPr>
        <w:t xml:space="preserve">, </w:t>
      </w:r>
      <w:r w:rsidR="00386199">
        <w:rPr>
          <w:rStyle w:val="DraftingNote"/>
          <w:b w:val="0"/>
          <w:color w:val="auto"/>
          <w:sz w:val="26"/>
          <w:u w:val="none"/>
        </w:rPr>
        <w:t>State Intellectual Property Office of the People’s Republic of China</w:t>
      </w:r>
      <w:r>
        <w:rPr>
          <w:rStyle w:val="DraftingNote"/>
          <w:b w:val="0"/>
          <w:color w:val="auto"/>
          <w:sz w:val="26"/>
          <w:u w:val="none"/>
        </w:rPr>
        <w:t>,</w:t>
      </w:r>
      <w:r w:rsidRPr="002F4A87">
        <w:rPr>
          <w:rStyle w:val="DraftingNote"/>
          <w:b w:val="0"/>
          <w:color w:val="auto"/>
          <w:sz w:val="26"/>
          <w:u w:val="none"/>
        </w:rPr>
        <w:t xml:space="preserve"> and U</w:t>
      </w:r>
      <w:r w:rsidR="00560362">
        <w:rPr>
          <w:rStyle w:val="DraftingNote"/>
          <w:b w:val="0"/>
          <w:color w:val="auto"/>
          <w:sz w:val="26"/>
          <w:u w:val="none"/>
        </w:rPr>
        <w:t xml:space="preserve">nited </w:t>
      </w:r>
      <w:r w:rsidRPr="002F4A87">
        <w:rPr>
          <w:rStyle w:val="DraftingNote"/>
          <w:b w:val="0"/>
          <w:color w:val="auto"/>
          <w:sz w:val="26"/>
          <w:u w:val="none"/>
        </w:rPr>
        <w:t>S</w:t>
      </w:r>
      <w:r w:rsidR="00560362">
        <w:rPr>
          <w:rStyle w:val="DraftingNote"/>
          <w:b w:val="0"/>
          <w:color w:val="auto"/>
          <w:sz w:val="26"/>
          <w:u w:val="none"/>
        </w:rPr>
        <w:t xml:space="preserve">tates </w:t>
      </w:r>
      <w:r w:rsidRPr="002F4A87">
        <w:rPr>
          <w:rStyle w:val="DraftingNote"/>
          <w:b w:val="0"/>
          <w:color w:val="auto"/>
          <w:sz w:val="26"/>
          <w:u w:val="none"/>
        </w:rPr>
        <w:t>P</w:t>
      </w:r>
      <w:r w:rsidR="00560362">
        <w:rPr>
          <w:rStyle w:val="DraftingNote"/>
          <w:b w:val="0"/>
          <w:color w:val="auto"/>
          <w:sz w:val="26"/>
          <w:u w:val="none"/>
        </w:rPr>
        <w:t xml:space="preserve">atent and </w:t>
      </w:r>
      <w:r w:rsidRPr="002F4A87">
        <w:rPr>
          <w:rStyle w:val="DraftingNote"/>
          <w:b w:val="0"/>
          <w:color w:val="auto"/>
          <w:sz w:val="26"/>
          <w:u w:val="none"/>
        </w:rPr>
        <w:t>T</w:t>
      </w:r>
      <w:r w:rsidR="00560362">
        <w:rPr>
          <w:rStyle w:val="DraftingNote"/>
          <w:b w:val="0"/>
          <w:color w:val="auto"/>
          <w:sz w:val="26"/>
          <w:u w:val="none"/>
        </w:rPr>
        <w:t xml:space="preserve">rademark </w:t>
      </w:r>
      <w:r w:rsidRPr="002F4A87">
        <w:rPr>
          <w:rStyle w:val="DraftingNote"/>
          <w:b w:val="0"/>
          <w:color w:val="auto"/>
          <w:sz w:val="26"/>
          <w:u w:val="none"/>
        </w:rPr>
        <w:t>O</w:t>
      </w:r>
      <w:r w:rsidR="00560362">
        <w:rPr>
          <w:rStyle w:val="DraftingNote"/>
          <w:b w:val="0"/>
          <w:color w:val="auto"/>
          <w:sz w:val="26"/>
          <w:u w:val="none"/>
        </w:rPr>
        <w:t>ffice</w:t>
      </w:r>
      <w:r>
        <w:rPr>
          <w:rStyle w:val="DraftingNote"/>
          <w:b w:val="0"/>
          <w:color w:val="auto"/>
          <w:sz w:val="26"/>
          <w:u w:val="none"/>
        </w:rPr>
        <w:t xml:space="preserve"> — met in </w:t>
      </w:r>
      <w:r w:rsidR="004F2825">
        <w:rPr>
          <w:rStyle w:val="DraftingNote"/>
          <w:b w:val="0"/>
          <w:color w:val="auto"/>
          <w:sz w:val="26"/>
          <w:u w:val="none"/>
        </w:rPr>
        <w:t xml:space="preserve">South </w:t>
      </w:r>
      <w:r>
        <w:rPr>
          <w:rStyle w:val="DraftingNote"/>
          <w:b w:val="0"/>
          <w:color w:val="auto"/>
          <w:sz w:val="26"/>
          <w:u w:val="none"/>
        </w:rPr>
        <w:t xml:space="preserve">Korea in 2008. Together these offices account for about 90 per cent of patents filed worldwide. After the meeting, these five offices established the Five IP Offices forum. The foundation projects agreed to were developing common staff training policies, application processes and examination practices. The offices also agreed to establish a shared set of literature to assess novelty and improve machine </w:t>
      </w:r>
      <w:r>
        <w:rPr>
          <w:rStyle w:val="DraftingNote"/>
          <w:b w:val="0"/>
          <w:color w:val="auto"/>
          <w:sz w:val="26"/>
          <w:u w:val="none"/>
        </w:rPr>
        <w:lastRenderedPageBreak/>
        <w:t>translation services to assist users of the IP system</w:t>
      </w:r>
      <w:r w:rsidR="008F0393">
        <w:rPr>
          <w:rStyle w:val="DraftingNote"/>
          <w:b w:val="0"/>
          <w:color w:val="auto"/>
          <w:sz w:val="26"/>
          <w:u w:val="none"/>
        </w:rPr>
        <w:t xml:space="preserve">. The </w:t>
      </w:r>
      <w:r w:rsidR="003A3E7E">
        <w:rPr>
          <w:rStyle w:val="DraftingNote"/>
          <w:b w:val="0"/>
          <w:color w:val="auto"/>
          <w:sz w:val="26"/>
          <w:u w:val="none"/>
        </w:rPr>
        <w:t xml:space="preserve">forum has continued to develop. For example, the </w:t>
      </w:r>
      <w:r w:rsidR="008F0393">
        <w:rPr>
          <w:rStyle w:val="DraftingNote"/>
          <w:b w:val="0"/>
          <w:color w:val="auto"/>
          <w:sz w:val="26"/>
          <w:u w:val="none"/>
        </w:rPr>
        <w:t>fourth IP5 E</w:t>
      </w:r>
      <w:r w:rsidR="00084FE2">
        <w:rPr>
          <w:rStyle w:val="DraftingNote"/>
          <w:b w:val="0"/>
          <w:color w:val="auto"/>
          <w:sz w:val="26"/>
          <w:u w:val="none"/>
        </w:rPr>
        <w:t xml:space="preserve">xaminers’ </w:t>
      </w:r>
      <w:r w:rsidR="008F0393">
        <w:rPr>
          <w:rStyle w:val="DraftingNote"/>
          <w:b w:val="0"/>
          <w:color w:val="auto"/>
          <w:sz w:val="26"/>
          <w:u w:val="none"/>
        </w:rPr>
        <w:t>W</w:t>
      </w:r>
      <w:r w:rsidR="00084FE2">
        <w:rPr>
          <w:rStyle w:val="DraftingNote"/>
          <w:b w:val="0"/>
          <w:color w:val="auto"/>
          <w:sz w:val="26"/>
          <w:u w:val="none"/>
        </w:rPr>
        <w:t xml:space="preserve">orkshop was held in October 2012 in Beijing. These workshops have provided </w:t>
      </w:r>
      <w:r w:rsidR="003A3E7E">
        <w:rPr>
          <w:rStyle w:val="DraftingNote"/>
          <w:b w:val="0"/>
          <w:color w:val="auto"/>
          <w:sz w:val="26"/>
          <w:u w:val="none"/>
        </w:rPr>
        <w:t xml:space="preserve">opportunities for </w:t>
      </w:r>
      <w:r w:rsidR="00084FE2">
        <w:rPr>
          <w:rStyle w:val="DraftingNote"/>
          <w:b w:val="0"/>
          <w:color w:val="auto"/>
          <w:sz w:val="26"/>
          <w:u w:val="none"/>
        </w:rPr>
        <w:t xml:space="preserve">patent examiners from different offices to </w:t>
      </w:r>
      <w:r w:rsidR="008F0393">
        <w:rPr>
          <w:rStyle w:val="DraftingNote"/>
          <w:b w:val="0"/>
          <w:color w:val="auto"/>
          <w:sz w:val="26"/>
          <w:u w:val="none"/>
        </w:rPr>
        <w:t>learn from each other and enhance cooperation between offices</w:t>
      </w:r>
      <w:r>
        <w:rPr>
          <w:rStyle w:val="DraftingNote"/>
          <w:b w:val="0"/>
          <w:color w:val="auto"/>
          <w:sz w:val="26"/>
          <w:u w:val="none"/>
        </w:rPr>
        <w:t xml:space="preserve"> (</w:t>
      </w:r>
      <w:r>
        <w:t>Five IP Offices 2012)</w:t>
      </w:r>
      <w:r>
        <w:rPr>
          <w:rStyle w:val="DraftingNote"/>
          <w:b w:val="0"/>
          <w:color w:val="auto"/>
          <w:sz w:val="26"/>
          <w:u w:val="none"/>
        </w:rPr>
        <w:t xml:space="preserve">. </w:t>
      </w:r>
    </w:p>
    <w:p w:rsidR="0060474D" w:rsidRDefault="0060474D" w:rsidP="0060474D">
      <w:pPr>
        <w:pStyle w:val="Heading5"/>
        <w:rPr>
          <w:rStyle w:val="DraftingNote"/>
          <w:b w:val="0"/>
          <w:color w:val="auto"/>
          <w:sz w:val="26"/>
          <w:u w:val="none"/>
        </w:rPr>
      </w:pPr>
      <w:r>
        <w:rPr>
          <w:rStyle w:val="DraftingNote"/>
          <w:b w:val="0"/>
          <w:color w:val="auto"/>
          <w:sz w:val="26"/>
          <w:u w:val="none"/>
        </w:rPr>
        <w:t xml:space="preserve">Patent Prosecution Highway </w:t>
      </w:r>
    </w:p>
    <w:p w:rsidR="0060474D" w:rsidRDefault="0060474D" w:rsidP="0060474D">
      <w:pPr>
        <w:pStyle w:val="BodyText"/>
        <w:rPr>
          <w:rStyle w:val="DraftingNote"/>
          <w:b w:val="0"/>
          <w:color w:val="auto"/>
          <w:sz w:val="26"/>
          <w:u w:val="none"/>
        </w:rPr>
      </w:pPr>
      <w:r>
        <w:rPr>
          <w:rStyle w:val="DraftingNote"/>
          <w:b w:val="0"/>
          <w:color w:val="auto"/>
          <w:sz w:val="26"/>
          <w:u w:val="none"/>
        </w:rPr>
        <w:t xml:space="preserve">Many inventors apply for patents in multiple countries. Under the Patent Prosecution Highway (PPH), an applicant for a patent may, in participating countries, request that the office of second filing fast track examination of corresponding claims when the office of first filing ruled that the application included at least one patentable claim. The PPH speeds up examinations by allowing examiners in one national office to reuse search and examination results from another office. </w:t>
      </w:r>
    </w:p>
    <w:p w:rsidR="005C7071" w:rsidRDefault="005C7071" w:rsidP="005C7071">
      <w:pPr>
        <w:pStyle w:val="Heading3"/>
      </w:pPr>
      <w:r>
        <w:t>Recent reforms in other markets</w:t>
      </w:r>
    </w:p>
    <w:p w:rsidR="005C7071" w:rsidRDefault="005C7071" w:rsidP="005C7071">
      <w:pPr>
        <w:pStyle w:val="BodyText"/>
      </w:pPr>
      <w:r>
        <w:t>There ha</w:t>
      </w:r>
      <w:r w:rsidR="00246ADD">
        <w:t xml:space="preserve">ve been many reforms </w:t>
      </w:r>
      <w:r>
        <w:t>of patent</w:t>
      </w:r>
      <w:r w:rsidR="007B7185">
        <w:t>s</w:t>
      </w:r>
      <w:r>
        <w:t xml:space="preserve"> systems in comparable markets in recent years. </w:t>
      </w:r>
      <w:r w:rsidR="004A6C6D">
        <w:t>This section examines</w:t>
      </w:r>
      <w:r w:rsidR="00246ADD">
        <w:t xml:space="preserve"> some key reforms</w:t>
      </w:r>
      <w:r w:rsidR="002B4630">
        <w:t>.</w:t>
      </w:r>
    </w:p>
    <w:p w:rsidR="00494663" w:rsidRDefault="00494663" w:rsidP="0035382A">
      <w:pPr>
        <w:pStyle w:val="Heading4"/>
      </w:pPr>
      <w:r>
        <w:t>E</w:t>
      </w:r>
      <w:r w:rsidR="00513AAC">
        <w:t>U</w:t>
      </w:r>
      <w:r w:rsidR="004A6C6D">
        <w:t xml:space="preserve"> reforms</w:t>
      </w:r>
    </w:p>
    <w:p w:rsidR="00186A03" w:rsidRDefault="00186A03" w:rsidP="00186A03">
      <w:pPr>
        <w:pStyle w:val="BodyText"/>
      </w:pPr>
      <w:r>
        <w:t>European patent law is relevant when considering comparable markets in Europe, as these countries have both national patent laws and are affected by European laws.</w:t>
      </w:r>
    </w:p>
    <w:p w:rsidR="00494663" w:rsidRDefault="00494663" w:rsidP="0035382A">
      <w:pPr>
        <w:pStyle w:val="Heading5"/>
      </w:pPr>
      <w:r>
        <w:t>European patents and unitary patents</w:t>
      </w:r>
    </w:p>
    <w:p w:rsidR="00186A03" w:rsidRDefault="00186A03" w:rsidP="00186A03">
      <w:pPr>
        <w:pStyle w:val="BodyText"/>
      </w:pPr>
      <w:r>
        <w:t xml:space="preserve">The Convention of the Grant of European Patents, commonly referred to as the European Patent Convention (EPC), was signed by 16 countries in 1973 and came into force in 1977. The EPC allows for European patents to be granted. To obtain a European patent, a single patent application in one language can be filed at the </w:t>
      </w:r>
      <w:r w:rsidR="002F4A87">
        <w:t>EPO</w:t>
      </w:r>
      <w:r>
        <w:t xml:space="preserve"> or at a national patent office. European patents are essentially a group of independent</w:t>
      </w:r>
      <w:r w:rsidR="00C625E9">
        <w:t>,</w:t>
      </w:r>
      <w:r>
        <w:t xml:space="preserve"> nationally</w:t>
      </w:r>
      <w:r>
        <w:noBreakHyphen/>
        <w:t>enforceable and nationally</w:t>
      </w:r>
      <w:r>
        <w:noBreakHyphen/>
        <w:t>revocabl</w:t>
      </w:r>
      <w:r w:rsidR="003D4912">
        <w:t>e</w:t>
      </w:r>
      <w:r>
        <w:t xml:space="preserve"> patents. At the time of writing, all 27 EU member states as well as 11 other European countries</w:t>
      </w:r>
      <w:r w:rsidR="00C97AEF">
        <w:t xml:space="preserve"> offered European patents</w:t>
      </w:r>
      <w:r>
        <w:t>. Once a European patent is granted it has to be validated in each member state (EPO 2012</w:t>
      </w:r>
      <w:r w:rsidR="00123253">
        <w:t>c</w:t>
      </w:r>
      <w:r>
        <w:t xml:space="preserve">). </w:t>
      </w:r>
    </w:p>
    <w:p w:rsidR="00186A03" w:rsidRDefault="00186A03" w:rsidP="00186A03">
      <w:pPr>
        <w:pStyle w:val="BodyText"/>
      </w:pPr>
      <w:r>
        <w:t>In 2011, the European Union Council decided to allow 25 member states to establish a unitary patent</w:t>
      </w:r>
      <w:r w:rsidR="007B7185">
        <w:t>s</w:t>
      </w:r>
      <w:r>
        <w:t xml:space="preserve"> system. </w:t>
      </w:r>
      <w:r w:rsidR="003D264C">
        <w:t xml:space="preserve">Enabling EU legislation was approved by the </w:t>
      </w:r>
      <w:r w:rsidR="003D264C">
        <w:lastRenderedPageBreak/>
        <w:t xml:space="preserve">European Parliament in December 2012 and will come into force on 1 January 2014. </w:t>
      </w:r>
      <w:r>
        <w:t>Unitary patents, also known as ‘community patents’, will be automatically valid in all participating countries</w:t>
      </w:r>
      <w:r w:rsidR="00F25B29">
        <w:t>, unlike European patents</w:t>
      </w:r>
      <w:r>
        <w:t>. Advantages of unitary patents include fewer translation and renewal requirements</w:t>
      </w:r>
      <w:r w:rsidR="00F25B29">
        <w:t>. European patents will continue to be available</w:t>
      </w:r>
      <w:r>
        <w:t xml:space="preserve"> (EPO 2012</w:t>
      </w:r>
      <w:r w:rsidR="00123253">
        <w:t>c</w:t>
      </w:r>
      <w:r w:rsidR="003C5D8D">
        <w:t>; European Parliament 2012</w:t>
      </w:r>
      <w:r w:rsidR="000B67E3">
        <w:t>a</w:t>
      </w:r>
      <w:r>
        <w:t xml:space="preserve">). </w:t>
      </w:r>
    </w:p>
    <w:p w:rsidR="005C7071" w:rsidRDefault="005C7071" w:rsidP="0035382A">
      <w:pPr>
        <w:pStyle w:val="Heading5"/>
      </w:pPr>
      <w:r>
        <w:t>European Patent Office ‘Raising the Bar’ initiatives</w:t>
      </w:r>
    </w:p>
    <w:p w:rsidR="0059101F" w:rsidRDefault="005C7071" w:rsidP="005C7071">
      <w:pPr>
        <w:pStyle w:val="BodyText"/>
        <w:rPr>
          <w:rStyle w:val="DraftingNote"/>
          <w:b w:val="0"/>
          <w:color w:val="auto"/>
          <w:sz w:val="26"/>
          <w:u w:val="none"/>
        </w:rPr>
      </w:pPr>
      <w:r>
        <w:rPr>
          <w:rStyle w:val="DraftingNote"/>
          <w:b w:val="0"/>
          <w:color w:val="auto"/>
          <w:sz w:val="26"/>
          <w:u w:val="none"/>
        </w:rPr>
        <w:t xml:space="preserve">In response to criticism from stakeholders, the </w:t>
      </w:r>
      <w:r w:rsidR="002F4A87">
        <w:rPr>
          <w:rStyle w:val="DraftingNote"/>
          <w:b w:val="0"/>
          <w:color w:val="auto"/>
          <w:sz w:val="26"/>
          <w:u w:val="none"/>
        </w:rPr>
        <w:t>EPO</w:t>
      </w:r>
      <w:r>
        <w:rPr>
          <w:rStyle w:val="DraftingNote"/>
          <w:b w:val="0"/>
          <w:color w:val="auto"/>
          <w:sz w:val="26"/>
          <w:u w:val="none"/>
        </w:rPr>
        <w:t xml:space="preserve"> launched a series of measures in 2010 to ‘raise the bar’. The</w:t>
      </w:r>
      <w:r w:rsidR="00A030E3">
        <w:rPr>
          <w:rStyle w:val="DraftingNote"/>
          <w:b w:val="0"/>
          <w:color w:val="auto"/>
          <w:sz w:val="26"/>
          <w:u w:val="none"/>
        </w:rPr>
        <w:t xml:space="preserve"> aims of the </w:t>
      </w:r>
      <w:r>
        <w:rPr>
          <w:rStyle w:val="DraftingNote"/>
          <w:b w:val="0"/>
          <w:color w:val="auto"/>
          <w:sz w:val="26"/>
          <w:u w:val="none"/>
        </w:rPr>
        <w:t xml:space="preserve">measures </w:t>
      </w:r>
      <w:r w:rsidR="00A030E3">
        <w:rPr>
          <w:rStyle w:val="DraftingNote"/>
          <w:b w:val="0"/>
          <w:color w:val="auto"/>
          <w:sz w:val="26"/>
          <w:u w:val="none"/>
        </w:rPr>
        <w:t xml:space="preserve">were </w:t>
      </w:r>
      <w:r>
        <w:rPr>
          <w:rStyle w:val="DraftingNote"/>
          <w:b w:val="0"/>
          <w:color w:val="auto"/>
          <w:sz w:val="26"/>
          <w:u w:val="none"/>
        </w:rPr>
        <w:t xml:space="preserve">to </w:t>
      </w:r>
      <w:r w:rsidR="00A030E3">
        <w:rPr>
          <w:rStyle w:val="DraftingNote"/>
          <w:b w:val="0"/>
          <w:color w:val="auto"/>
          <w:sz w:val="26"/>
          <w:u w:val="none"/>
        </w:rPr>
        <w:t xml:space="preserve">clarify the scope of the search for prior knowledge, </w:t>
      </w:r>
      <w:r>
        <w:rPr>
          <w:rStyle w:val="DraftingNote"/>
          <w:b w:val="0"/>
          <w:color w:val="auto"/>
          <w:sz w:val="26"/>
          <w:u w:val="none"/>
        </w:rPr>
        <w:t>save time in the application process</w:t>
      </w:r>
      <w:r w:rsidR="00A030E3">
        <w:rPr>
          <w:rStyle w:val="DraftingNote"/>
          <w:b w:val="0"/>
          <w:color w:val="auto"/>
          <w:sz w:val="26"/>
          <w:u w:val="none"/>
        </w:rPr>
        <w:t xml:space="preserve"> </w:t>
      </w:r>
      <w:r w:rsidR="008F5553">
        <w:rPr>
          <w:rStyle w:val="DraftingNote"/>
          <w:b w:val="0"/>
          <w:color w:val="auto"/>
          <w:sz w:val="26"/>
          <w:u w:val="none"/>
        </w:rPr>
        <w:t xml:space="preserve">and </w:t>
      </w:r>
      <w:r>
        <w:rPr>
          <w:rStyle w:val="DraftingNote"/>
          <w:b w:val="0"/>
          <w:color w:val="auto"/>
          <w:sz w:val="26"/>
          <w:u w:val="none"/>
        </w:rPr>
        <w:t xml:space="preserve">increase the chance of worthy applicants being granted robust patents (EPO 2009). </w:t>
      </w:r>
    </w:p>
    <w:p w:rsidR="005C7071" w:rsidRDefault="005C7071" w:rsidP="005C7071">
      <w:pPr>
        <w:pStyle w:val="BodyText"/>
        <w:rPr>
          <w:rStyle w:val="DraftingNote"/>
          <w:b w:val="0"/>
          <w:color w:val="auto"/>
          <w:sz w:val="26"/>
          <w:u w:val="none"/>
        </w:rPr>
      </w:pPr>
      <w:r>
        <w:rPr>
          <w:rStyle w:val="DraftingNote"/>
          <w:b w:val="0"/>
          <w:color w:val="auto"/>
          <w:sz w:val="26"/>
          <w:u w:val="none"/>
        </w:rPr>
        <w:t>The first series of reforms included:</w:t>
      </w:r>
    </w:p>
    <w:p w:rsidR="005C7071" w:rsidRDefault="008F5553" w:rsidP="005C7071">
      <w:pPr>
        <w:pStyle w:val="ListBullet"/>
        <w:rPr>
          <w:rStyle w:val="DraftingNote"/>
          <w:b w:val="0"/>
          <w:color w:val="auto"/>
          <w:sz w:val="26"/>
          <w:u w:val="none"/>
        </w:rPr>
      </w:pPr>
      <w:r>
        <w:rPr>
          <w:rStyle w:val="DraftingNote"/>
          <w:b w:val="0"/>
          <w:color w:val="auto"/>
          <w:sz w:val="26"/>
          <w:u w:val="none"/>
        </w:rPr>
        <w:t>i</w:t>
      </w:r>
      <w:r w:rsidR="005C7071">
        <w:rPr>
          <w:rStyle w:val="DraftingNote"/>
          <w:b w:val="0"/>
          <w:color w:val="auto"/>
          <w:sz w:val="26"/>
          <w:u w:val="none"/>
        </w:rPr>
        <w:t>ntroducing time limits for filing divisional applications (applications related to a previously filed application)</w:t>
      </w:r>
    </w:p>
    <w:p w:rsidR="005C7071" w:rsidRDefault="008F5553" w:rsidP="005C7071">
      <w:pPr>
        <w:pStyle w:val="ListBullet"/>
        <w:rPr>
          <w:rStyle w:val="DraftingNote"/>
          <w:b w:val="0"/>
          <w:color w:val="auto"/>
          <w:sz w:val="26"/>
          <w:u w:val="none"/>
        </w:rPr>
      </w:pPr>
      <w:r>
        <w:rPr>
          <w:rStyle w:val="DraftingNote"/>
          <w:b w:val="0"/>
          <w:color w:val="auto"/>
          <w:sz w:val="26"/>
          <w:u w:val="none"/>
        </w:rPr>
        <w:t>w</w:t>
      </w:r>
      <w:r w:rsidR="005C7071">
        <w:rPr>
          <w:rStyle w:val="DraftingNote"/>
          <w:b w:val="0"/>
          <w:color w:val="auto"/>
          <w:sz w:val="26"/>
          <w:u w:val="none"/>
        </w:rPr>
        <w:t xml:space="preserve">here it is unclear to the patent examiner what subject matter should be searched for, the applicant will be invited to file a statement indicating relevant subject matter </w:t>
      </w:r>
    </w:p>
    <w:p w:rsidR="005C7071" w:rsidRDefault="008F5553" w:rsidP="005C7071">
      <w:pPr>
        <w:pStyle w:val="ListBullet"/>
        <w:rPr>
          <w:rStyle w:val="DraftingNote"/>
          <w:b w:val="0"/>
          <w:color w:val="auto"/>
          <w:sz w:val="26"/>
          <w:u w:val="none"/>
        </w:rPr>
      </w:pPr>
      <w:r>
        <w:rPr>
          <w:rStyle w:val="DraftingNote"/>
          <w:b w:val="0"/>
          <w:color w:val="auto"/>
          <w:sz w:val="26"/>
          <w:u w:val="none"/>
        </w:rPr>
        <w:t>e</w:t>
      </w:r>
      <w:r w:rsidR="005C7071">
        <w:rPr>
          <w:rStyle w:val="DraftingNote"/>
          <w:b w:val="0"/>
          <w:color w:val="auto"/>
          <w:sz w:val="26"/>
          <w:u w:val="none"/>
        </w:rPr>
        <w:t>xaminers will only search one independent claim per category.</w:t>
      </w:r>
    </w:p>
    <w:p w:rsidR="005C7071" w:rsidRDefault="005A79BE" w:rsidP="005C7071">
      <w:pPr>
        <w:pStyle w:val="BodyText"/>
        <w:rPr>
          <w:rStyle w:val="DraftingNote"/>
          <w:b w:val="0"/>
          <w:color w:val="auto"/>
          <w:sz w:val="26"/>
          <w:u w:val="none"/>
        </w:rPr>
      </w:pPr>
      <w:r>
        <w:rPr>
          <w:rStyle w:val="DraftingNote"/>
          <w:b w:val="0"/>
          <w:color w:val="auto"/>
          <w:sz w:val="26"/>
          <w:u w:val="none"/>
        </w:rPr>
        <w:t>Kossonakou</w:t>
      </w:r>
      <w:r w:rsidR="005B0F7E">
        <w:rPr>
          <w:rStyle w:val="DraftingNote"/>
          <w:b w:val="0"/>
          <w:color w:val="auto"/>
          <w:sz w:val="26"/>
          <w:u w:val="none"/>
        </w:rPr>
        <w:t xml:space="preserve"> </w:t>
      </w:r>
      <w:r w:rsidR="00DF6F0B">
        <w:rPr>
          <w:rStyle w:val="DraftingNote"/>
          <w:b w:val="0"/>
          <w:color w:val="auto"/>
          <w:sz w:val="26"/>
          <w:u w:val="none"/>
        </w:rPr>
        <w:t>(2009) suggested that t</w:t>
      </w:r>
      <w:r w:rsidR="005C7071">
        <w:rPr>
          <w:rStyle w:val="DraftingNote"/>
          <w:b w:val="0"/>
          <w:color w:val="auto"/>
          <w:sz w:val="26"/>
          <w:u w:val="none"/>
        </w:rPr>
        <w:t>hese reforms are likely to encourage higher</w:t>
      </w:r>
      <w:r w:rsidR="00DF6F0B">
        <w:rPr>
          <w:rStyle w:val="DraftingNote"/>
          <w:b w:val="0"/>
          <w:color w:val="auto"/>
          <w:sz w:val="26"/>
          <w:u w:val="none"/>
        </w:rPr>
        <w:noBreakHyphen/>
      </w:r>
      <w:r w:rsidR="005C7071">
        <w:rPr>
          <w:rStyle w:val="DraftingNote"/>
          <w:b w:val="0"/>
          <w:color w:val="auto"/>
          <w:sz w:val="26"/>
          <w:u w:val="none"/>
        </w:rPr>
        <w:t xml:space="preserve">quality applications, lead to an earlier focus on the scope of the patent application and assist applicants to decide whether to enter </w:t>
      </w:r>
      <w:r w:rsidR="005B0F7E">
        <w:rPr>
          <w:rStyle w:val="DraftingNote"/>
          <w:b w:val="0"/>
          <w:color w:val="auto"/>
          <w:sz w:val="26"/>
          <w:u w:val="none"/>
        </w:rPr>
        <w:t xml:space="preserve">the </w:t>
      </w:r>
      <w:r w:rsidR="005C7071">
        <w:rPr>
          <w:rStyle w:val="DraftingNote"/>
          <w:b w:val="0"/>
          <w:color w:val="auto"/>
          <w:sz w:val="26"/>
          <w:u w:val="none"/>
        </w:rPr>
        <w:t xml:space="preserve">examination phase. </w:t>
      </w:r>
    </w:p>
    <w:p w:rsidR="005C7071" w:rsidRDefault="00BC3880" w:rsidP="0035382A">
      <w:pPr>
        <w:pStyle w:val="Heading4"/>
      </w:pPr>
      <w:r>
        <w:t>U</w:t>
      </w:r>
      <w:r w:rsidR="00513AAC">
        <w:t>S</w:t>
      </w:r>
      <w:r>
        <w:t xml:space="preserve"> reforms — </w:t>
      </w:r>
      <w:r w:rsidR="00EB75AB">
        <w:t>Leahy-</w:t>
      </w:r>
      <w:r w:rsidR="005C7071">
        <w:t>Smith Act</w:t>
      </w:r>
      <w:r w:rsidR="001910B5">
        <w:t xml:space="preserve"> (US)</w:t>
      </w:r>
    </w:p>
    <w:p w:rsidR="005C7071" w:rsidRDefault="005C7071" w:rsidP="005C7071">
      <w:pPr>
        <w:pStyle w:val="BodyText"/>
      </w:pPr>
      <w:r w:rsidRPr="00966837">
        <w:t xml:space="preserve">The Leahy-Smith Act America Invents Act </w:t>
      </w:r>
      <w:r>
        <w:t>was passed by the US Congress in September 2011</w:t>
      </w:r>
      <w:r w:rsidR="00BF13CB">
        <w:t xml:space="preserve"> and came into force in March 2013</w:t>
      </w:r>
      <w:r>
        <w:t>.</w:t>
      </w:r>
      <w:r w:rsidR="00BF13CB">
        <w:t xml:space="preserve"> </w:t>
      </w:r>
      <w:r>
        <w:t>The Act:</w:t>
      </w:r>
    </w:p>
    <w:p w:rsidR="005C7071" w:rsidRDefault="005C7071" w:rsidP="005C7071">
      <w:pPr>
        <w:pStyle w:val="ListBullet"/>
      </w:pPr>
      <w:r>
        <w:t>move</w:t>
      </w:r>
      <w:r w:rsidR="001C5FA3">
        <w:t>d</w:t>
      </w:r>
      <w:r>
        <w:t xml:space="preserve"> the US patent</w:t>
      </w:r>
      <w:r w:rsidR="007B7185">
        <w:t>s</w:t>
      </w:r>
      <w:r>
        <w:t xml:space="preserve"> system to a ‘first</w:t>
      </w:r>
      <w:r w:rsidR="008F5553">
        <w:t>-</w:t>
      </w:r>
      <w:r>
        <w:t>to</w:t>
      </w:r>
      <w:r w:rsidR="008F5553">
        <w:t>-</w:t>
      </w:r>
      <w:r>
        <w:t>file’ system from a ‘first</w:t>
      </w:r>
      <w:r w:rsidR="008F5553">
        <w:t>-</w:t>
      </w:r>
      <w:r>
        <w:t>to</w:t>
      </w:r>
      <w:r w:rsidR="008F5553">
        <w:t>-</w:t>
      </w:r>
      <w:r>
        <w:t>invent’ system</w:t>
      </w:r>
    </w:p>
    <w:p w:rsidR="005C7071" w:rsidRPr="00EF14BC" w:rsidRDefault="0035382A" w:rsidP="005C7071">
      <w:pPr>
        <w:pStyle w:val="ListBullet"/>
        <w:rPr>
          <w:rStyle w:val="DraftingNote"/>
          <w:b w:val="0"/>
          <w:color w:val="auto"/>
          <w:sz w:val="26"/>
          <w:u w:val="none"/>
        </w:rPr>
      </w:pPr>
      <w:r>
        <w:t>introduce</w:t>
      </w:r>
      <w:r w:rsidR="001C5FA3">
        <w:t>d</w:t>
      </w:r>
      <w:r>
        <w:t xml:space="preserve"> a</w:t>
      </w:r>
      <w:r w:rsidR="005C7071">
        <w:t xml:space="preserve"> prioritised examination procedure</w:t>
      </w:r>
      <w:r>
        <w:t xml:space="preserve"> </w:t>
      </w:r>
      <w:r w:rsidR="005C7071">
        <w:t>known as ‘Track one’</w:t>
      </w:r>
      <w:r>
        <w:t xml:space="preserve">, </w:t>
      </w:r>
      <w:r w:rsidR="005C7071">
        <w:t xml:space="preserve">available for a fee at the time of filing a patent application </w:t>
      </w:r>
    </w:p>
    <w:p w:rsidR="005C7071" w:rsidRPr="00EF14BC" w:rsidRDefault="00474A32" w:rsidP="005C7071">
      <w:pPr>
        <w:pStyle w:val="ListBullet"/>
        <w:rPr>
          <w:rStyle w:val="DraftingNote"/>
          <w:b w:val="0"/>
          <w:color w:val="auto"/>
          <w:sz w:val="26"/>
          <w:u w:val="none"/>
        </w:rPr>
      </w:pPr>
      <w:r>
        <w:t>aim</w:t>
      </w:r>
      <w:r w:rsidR="001C5FA3">
        <w:t>ed</w:t>
      </w:r>
      <w:r>
        <w:t xml:space="preserve"> to </w:t>
      </w:r>
      <w:r w:rsidR="005C7071">
        <w:t>reduce litigation</w:t>
      </w:r>
      <w:r>
        <w:t>. I</w:t>
      </w:r>
      <w:r w:rsidR="005C7071">
        <w:t>nterference proceedings, where two parties claim identical or substantially similar inventions, were eliminated and post-grant opposition, where third parties can challenge the valid</w:t>
      </w:r>
      <w:r>
        <w:t>ity of a patent, was introduced</w:t>
      </w:r>
      <w:r w:rsidR="005C7071">
        <w:t xml:space="preserve"> </w:t>
      </w:r>
    </w:p>
    <w:p w:rsidR="005C7071" w:rsidRPr="004A08AF" w:rsidRDefault="0035382A" w:rsidP="005C7071">
      <w:pPr>
        <w:pStyle w:val="ListBullet"/>
      </w:pPr>
      <w:r>
        <w:rPr>
          <w:rStyle w:val="DraftingNote"/>
          <w:b w:val="0"/>
          <w:color w:val="auto"/>
          <w:sz w:val="26"/>
          <w:u w:val="none"/>
        </w:rPr>
        <w:t>allow</w:t>
      </w:r>
      <w:r w:rsidR="001C5FA3">
        <w:rPr>
          <w:rStyle w:val="DraftingNote"/>
          <w:b w:val="0"/>
          <w:color w:val="auto"/>
          <w:sz w:val="26"/>
          <w:u w:val="none"/>
        </w:rPr>
        <w:t>ed</w:t>
      </w:r>
      <w:r>
        <w:rPr>
          <w:rStyle w:val="DraftingNote"/>
          <w:b w:val="0"/>
          <w:color w:val="auto"/>
          <w:sz w:val="26"/>
          <w:u w:val="none"/>
        </w:rPr>
        <w:t xml:space="preserve"> t</w:t>
      </w:r>
      <w:r w:rsidR="005C7071" w:rsidRPr="004A08AF">
        <w:rPr>
          <w:rStyle w:val="DraftingNote"/>
          <w:b w:val="0"/>
          <w:color w:val="auto"/>
          <w:sz w:val="26"/>
          <w:u w:val="none"/>
        </w:rPr>
        <w:t xml:space="preserve">he </w:t>
      </w:r>
      <w:r w:rsidR="002F4A87">
        <w:rPr>
          <w:rStyle w:val="DraftingNote"/>
          <w:b w:val="0"/>
          <w:color w:val="auto"/>
          <w:sz w:val="26"/>
          <w:u w:val="none"/>
        </w:rPr>
        <w:t xml:space="preserve">USPTO </w:t>
      </w:r>
      <w:r w:rsidR="008F5553">
        <w:rPr>
          <w:rStyle w:val="DraftingNote"/>
          <w:b w:val="0"/>
          <w:color w:val="auto"/>
          <w:sz w:val="26"/>
          <w:u w:val="none"/>
        </w:rPr>
        <w:t>t</w:t>
      </w:r>
      <w:r w:rsidR="005C7071" w:rsidRPr="004A08AF">
        <w:rPr>
          <w:rStyle w:val="DraftingNote"/>
          <w:b w:val="0"/>
          <w:color w:val="auto"/>
          <w:sz w:val="26"/>
          <w:u w:val="none"/>
        </w:rPr>
        <w:t xml:space="preserve">o set its own fees rather than </w:t>
      </w:r>
      <w:r>
        <w:rPr>
          <w:rStyle w:val="DraftingNote"/>
          <w:b w:val="0"/>
          <w:color w:val="auto"/>
          <w:sz w:val="26"/>
          <w:u w:val="none"/>
        </w:rPr>
        <w:t xml:space="preserve">the US </w:t>
      </w:r>
      <w:r w:rsidR="005C7071" w:rsidRPr="004A08AF">
        <w:rPr>
          <w:rStyle w:val="DraftingNote"/>
          <w:b w:val="0"/>
          <w:color w:val="auto"/>
          <w:sz w:val="26"/>
          <w:u w:val="none"/>
        </w:rPr>
        <w:t xml:space="preserve">Congress. </w:t>
      </w:r>
    </w:p>
    <w:p w:rsidR="00BF6121" w:rsidRDefault="00BF6121" w:rsidP="0035382A">
      <w:pPr>
        <w:pStyle w:val="Heading4"/>
      </w:pPr>
      <w:r>
        <w:lastRenderedPageBreak/>
        <w:t>Japan</w:t>
      </w:r>
      <w:r w:rsidR="00513AAC">
        <w:t>ese</w:t>
      </w:r>
      <w:r>
        <w:t xml:space="preserve"> reforms</w:t>
      </w:r>
    </w:p>
    <w:p w:rsidR="00BF6121" w:rsidRDefault="00BF6121" w:rsidP="00BF6121">
      <w:pPr>
        <w:pStyle w:val="BodyText"/>
        <w:rPr>
          <w:lang w:eastAsia="en-US"/>
        </w:rPr>
      </w:pPr>
      <w:r>
        <w:rPr>
          <w:lang w:eastAsia="en-US"/>
        </w:rPr>
        <w:t xml:space="preserve">The </w:t>
      </w:r>
      <w:r w:rsidR="00EB75AB">
        <w:rPr>
          <w:lang w:eastAsia="en-US"/>
        </w:rPr>
        <w:t xml:space="preserve">JPO </w:t>
      </w:r>
      <w:r>
        <w:rPr>
          <w:lang w:eastAsia="en-US"/>
        </w:rPr>
        <w:t xml:space="preserve">has put in place measures to improve the quality of the patents system. For example, the Quality Management Office was established </w:t>
      </w:r>
      <w:r w:rsidR="007940DD">
        <w:rPr>
          <w:lang w:eastAsia="en-US"/>
        </w:rPr>
        <w:t xml:space="preserve">in 2007 </w:t>
      </w:r>
      <w:r>
        <w:rPr>
          <w:lang w:eastAsia="en-US"/>
        </w:rPr>
        <w:t>(JPO 2012</w:t>
      </w:r>
      <w:r w:rsidR="00123253">
        <w:rPr>
          <w:lang w:eastAsia="en-US"/>
        </w:rPr>
        <w:t>b</w:t>
      </w:r>
      <w:r>
        <w:rPr>
          <w:lang w:eastAsia="en-US"/>
        </w:rPr>
        <w:t xml:space="preserve">). </w:t>
      </w:r>
      <w:r w:rsidR="00C36474">
        <w:rPr>
          <w:lang w:eastAsia="en-US"/>
        </w:rPr>
        <w:t>Japan has also made changes to expedite its patent application process by providing applicants with a facility to search for prior art, shortening the time limit for requests for examination from seven to three years and introducing an accelerated examination system.</w:t>
      </w:r>
    </w:p>
    <w:p w:rsidR="007940DD" w:rsidRDefault="003F2AC1" w:rsidP="00BF6121">
      <w:pPr>
        <w:pStyle w:val="BodyText"/>
        <w:rPr>
          <w:lang w:eastAsia="en-US"/>
        </w:rPr>
      </w:pPr>
      <w:r>
        <w:rPr>
          <w:lang w:eastAsia="en-US"/>
        </w:rPr>
        <w:t>In 201</w:t>
      </w:r>
      <w:r w:rsidR="00FF7522">
        <w:rPr>
          <w:lang w:eastAsia="en-US"/>
        </w:rPr>
        <w:t>2</w:t>
      </w:r>
      <w:r>
        <w:rPr>
          <w:lang w:eastAsia="en-US"/>
        </w:rPr>
        <w:t>, amendments made to the Japanese Patents Act</w:t>
      </w:r>
      <w:r w:rsidR="00FF7522">
        <w:rPr>
          <w:lang w:eastAsia="en-US"/>
        </w:rPr>
        <w:t xml:space="preserve"> came into force</w:t>
      </w:r>
      <w:r>
        <w:rPr>
          <w:lang w:eastAsia="en-US"/>
        </w:rPr>
        <w:t>, which aimed to</w:t>
      </w:r>
      <w:r w:rsidR="00FF7522">
        <w:rPr>
          <w:lang w:eastAsia="en-US"/>
        </w:rPr>
        <w:t xml:space="preserve"> provide</w:t>
      </w:r>
      <w:r>
        <w:rPr>
          <w:lang w:eastAsia="en-US"/>
        </w:rPr>
        <w:t xml:space="preserve">: </w:t>
      </w:r>
    </w:p>
    <w:p w:rsidR="003F2AC1" w:rsidRDefault="003F2AC1" w:rsidP="003F2AC1">
      <w:pPr>
        <w:pStyle w:val="ListBullet"/>
      </w:pPr>
      <w:r>
        <w:t xml:space="preserve">greater protection for licensing agreements, by making it easier to register a licence with the JPO and be protected by registration  </w:t>
      </w:r>
    </w:p>
    <w:p w:rsidR="00FF7522" w:rsidRDefault="003F2AC1" w:rsidP="003F2AC1">
      <w:pPr>
        <w:pStyle w:val="ListBullet"/>
      </w:pPr>
      <w:r>
        <w:t xml:space="preserve">appropriate protection to inventors in relation to results from joint research and development </w:t>
      </w:r>
      <w:r w:rsidR="00FF7522">
        <w:t>programs</w:t>
      </w:r>
    </w:p>
    <w:p w:rsidR="003F2AC1" w:rsidRDefault="00FF7522" w:rsidP="003F2AC1">
      <w:pPr>
        <w:pStyle w:val="ListBullet"/>
      </w:pPr>
      <w:r>
        <w:t>greater</w:t>
      </w:r>
      <w:r w:rsidR="003F2AC1">
        <w:t xml:space="preserve"> convenience for users of the IP system and reduce</w:t>
      </w:r>
      <w:r w:rsidR="00110DBE">
        <w:t>d</w:t>
      </w:r>
      <w:r w:rsidR="003F2AC1">
        <w:t xml:space="preserve"> burdens on small and medium enterprises</w:t>
      </w:r>
      <w:r>
        <w:t xml:space="preserve">, through extending </w:t>
      </w:r>
      <w:r w:rsidR="00617D56">
        <w:t>f</w:t>
      </w:r>
      <w:r>
        <w:t>ee reductions for these enterprises from three to 10 years</w:t>
      </w:r>
    </w:p>
    <w:p w:rsidR="003F2AC1" w:rsidRDefault="003F2AC1" w:rsidP="003F2AC1">
      <w:pPr>
        <w:pStyle w:val="ListBullet"/>
      </w:pPr>
      <w:r>
        <w:t>quick and efficient settlement of IP disputes</w:t>
      </w:r>
      <w:r w:rsidR="00FF7522">
        <w:t xml:space="preserve"> (M</w:t>
      </w:r>
      <w:r w:rsidR="001738EC">
        <w:t>ETI 2012</w:t>
      </w:r>
      <w:r w:rsidR="00FF7522">
        <w:t>)</w:t>
      </w:r>
      <w:r>
        <w:t>.</w:t>
      </w:r>
    </w:p>
    <w:p w:rsidR="005C7071" w:rsidRDefault="005C7071" w:rsidP="0035382A">
      <w:pPr>
        <w:pStyle w:val="Heading4"/>
      </w:pPr>
      <w:r>
        <w:t xml:space="preserve">New Zealand </w:t>
      </w:r>
      <w:r w:rsidR="00EC243A">
        <w:t xml:space="preserve">reforms </w:t>
      </w:r>
    </w:p>
    <w:p w:rsidR="00EC243A" w:rsidRDefault="00EC243A" w:rsidP="007518B1">
      <w:pPr>
        <w:pStyle w:val="Heading5"/>
        <w:spacing w:before="240"/>
      </w:pPr>
      <w:r>
        <w:t>New Zealand Patents Bill</w:t>
      </w:r>
    </w:p>
    <w:p w:rsidR="005C7071" w:rsidRDefault="00110DBE" w:rsidP="005C7071">
      <w:pPr>
        <w:pStyle w:val="BodyText"/>
      </w:pPr>
      <w:r>
        <w:t>A B</w:t>
      </w:r>
      <w:r w:rsidR="005C7071">
        <w:t xml:space="preserve">ill was </w:t>
      </w:r>
      <w:r w:rsidR="005C7071" w:rsidRPr="00923D5E">
        <w:t>introduced</w:t>
      </w:r>
      <w:r w:rsidR="005C7071">
        <w:t xml:space="preserve"> into the New Zealand Parliament in </w:t>
      </w:r>
      <w:r w:rsidR="001C616B">
        <w:t xml:space="preserve">July </w:t>
      </w:r>
      <w:r w:rsidR="005C7071">
        <w:t xml:space="preserve">2008 to repeal and replace </w:t>
      </w:r>
      <w:r w:rsidR="005C7071" w:rsidRPr="00966837">
        <w:t>the Patents Act 1953</w:t>
      </w:r>
      <w:r w:rsidRPr="00966837">
        <w:t xml:space="preserve"> (NZ</w:t>
      </w:r>
      <w:r>
        <w:t>)</w:t>
      </w:r>
      <w:r w:rsidR="005C7071">
        <w:t xml:space="preserve">. The </w:t>
      </w:r>
      <w:r w:rsidR="0070246F">
        <w:t xml:space="preserve">Patents </w:t>
      </w:r>
      <w:r w:rsidR="005C7071">
        <w:t>Bill was designed to increase patent standards in New Zealand and harmonise with the rest of the world. Commentary in a report by Parliament on the Bill note</w:t>
      </w:r>
      <w:r>
        <w:t>d</w:t>
      </w:r>
      <w:r w:rsidR="005C7071">
        <w:t xml:space="preserve"> that New Zealand has a low threshold for patentability compared to other countries, which can disadvantage New Zealand, since technology freely available in other countries can be subject to patents in</w:t>
      </w:r>
      <w:r w:rsidR="00966837">
        <w:br/>
      </w:r>
      <w:r w:rsidR="005C7071">
        <w:t>New Zealand</w:t>
      </w:r>
      <w:r w:rsidR="002E3358">
        <w:t xml:space="preserve"> (NZ Parliament Commerce Select Committee 2010)</w:t>
      </w:r>
      <w:r w:rsidR="005C7071">
        <w:t>. The new Bill includes an ‘absolute novelty’ standard which consider</w:t>
      </w:r>
      <w:r w:rsidR="00850C30">
        <w:t>s</w:t>
      </w:r>
      <w:r w:rsidR="005C7071">
        <w:t xml:space="preserve"> worldwide</w:t>
      </w:r>
      <w:r w:rsidR="008F5553">
        <w:t>,</w:t>
      </w:r>
      <w:r w:rsidR="005C7071">
        <w:t xml:space="preserve"> rather than local</w:t>
      </w:r>
      <w:r w:rsidR="008F5553">
        <w:t>,</w:t>
      </w:r>
      <w:r w:rsidR="005C7071">
        <w:t xml:space="preserve"> prior knowledge. As part of these changes, more patent examiners will be employed and higher fees will be charged. </w:t>
      </w:r>
    </w:p>
    <w:p w:rsidR="005C7071" w:rsidRDefault="005C7071" w:rsidP="005C7071">
      <w:pPr>
        <w:pStyle w:val="BodyText"/>
      </w:pPr>
      <w:r>
        <w:t>The Bill was introduced into Parliament prior to an election in late 2008</w:t>
      </w:r>
      <w:r w:rsidR="00110DBE">
        <w:t xml:space="preserve"> and </w:t>
      </w:r>
      <w:r>
        <w:t>was rein</w:t>
      </w:r>
      <w:r w:rsidR="00850C30">
        <w:t>troduced</w:t>
      </w:r>
      <w:r>
        <w:t xml:space="preserve"> after that election. The </w:t>
      </w:r>
      <w:r w:rsidR="00110DBE">
        <w:t xml:space="preserve">first reading of the </w:t>
      </w:r>
      <w:r>
        <w:t xml:space="preserve">Bill </w:t>
      </w:r>
      <w:r w:rsidR="00110DBE">
        <w:t>was</w:t>
      </w:r>
      <w:r>
        <w:t xml:space="preserve"> in May 2009 and </w:t>
      </w:r>
      <w:r w:rsidR="00110DBE">
        <w:t xml:space="preserve">it </w:t>
      </w:r>
      <w:r>
        <w:t>was then passed to the N</w:t>
      </w:r>
      <w:r w:rsidR="00110DBE">
        <w:t>Z</w:t>
      </w:r>
      <w:r>
        <w:t xml:space="preserve"> Parliament Commerce Select Committee and opened for submissions. The Committee reported back to Parliament </w:t>
      </w:r>
      <w:r w:rsidR="001C4244">
        <w:t xml:space="preserve">in 2010 </w:t>
      </w:r>
      <w:r>
        <w:t>and recommended two key changes</w:t>
      </w:r>
      <w:r w:rsidR="00110DBE">
        <w:t xml:space="preserve"> —</w:t>
      </w:r>
      <w:r>
        <w:t xml:space="preserve"> that both computer software a</w:t>
      </w:r>
      <w:r w:rsidR="00110DBE">
        <w:t xml:space="preserve">nd methods of </w:t>
      </w:r>
      <w:r w:rsidR="00110DBE">
        <w:lastRenderedPageBreak/>
        <w:t>medical treatment</w:t>
      </w:r>
      <w:r>
        <w:t xml:space="preserve"> of human being</w:t>
      </w:r>
      <w:r w:rsidR="00850C30">
        <w:t>s</w:t>
      </w:r>
      <w:r>
        <w:t xml:space="preserve"> not be patentable and that a separate bill be developed to regulate patent attorneys. </w:t>
      </w:r>
      <w:r w:rsidR="0070246F">
        <w:t>On 12</w:t>
      </w:r>
      <w:r w:rsidR="008C566B">
        <w:t xml:space="preserve"> </w:t>
      </w:r>
      <w:r w:rsidR="0070246F">
        <w:t>September</w:t>
      </w:r>
      <w:r w:rsidR="008C566B">
        <w:t xml:space="preserve"> </w:t>
      </w:r>
      <w:r w:rsidR="0070246F">
        <w:t xml:space="preserve">2012, the New Zealand Parliament held a second reading </w:t>
      </w:r>
      <w:r w:rsidR="00AA2028">
        <w:t>debate</w:t>
      </w:r>
      <w:r w:rsidR="0070246F">
        <w:t xml:space="preserve"> for the Bill. </w:t>
      </w:r>
      <w:r>
        <w:t>At the time of writing, the Bill ha</w:t>
      </w:r>
      <w:r w:rsidR="008F5553">
        <w:t>d</w:t>
      </w:r>
      <w:r>
        <w:t xml:space="preserve"> not yet been passed.</w:t>
      </w:r>
    </w:p>
    <w:p w:rsidR="001F1916" w:rsidRDefault="001F1916" w:rsidP="001F1916">
      <w:pPr>
        <w:pStyle w:val="Heading5"/>
      </w:pPr>
      <w:r>
        <w:t>Trans-Tasman integration</w:t>
      </w:r>
    </w:p>
    <w:p w:rsidR="00E40E4A" w:rsidRDefault="00E40E4A" w:rsidP="005C7071">
      <w:pPr>
        <w:pStyle w:val="BodyText"/>
      </w:pPr>
      <w:r>
        <w:t>The Trans-Tasman Outcomes Implementation Group, jointly chaired by representatives of the Australian Treasury and N</w:t>
      </w:r>
      <w:r w:rsidR="00110DBE">
        <w:t>Z</w:t>
      </w:r>
      <w:r>
        <w:t xml:space="preserve"> Ministry of Business, Innovation and Employment, recently authored a progress report on integration between the Australian and New Zealand economies. Th</w:t>
      </w:r>
      <w:r w:rsidR="008F5553">
        <w:t>e</w:t>
      </w:r>
      <w:r>
        <w:t xml:space="preserve"> report noted</w:t>
      </w:r>
      <w:r w:rsidR="001F1916">
        <w:t xml:space="preserve"> that </w:t>
      </w:r>
      <w:r>
        <w:t xml:space="preserve">governments have agreed to a single regulatory framework </w:t>
      </w:r>
      <w:r w:rsidRPr="00E40E4A">
        <w:t xml:space="preserve">for patent attorneys, a single trade mark regime, a single application and examination process for patents filed in both countries, and a single plant variety right regime. Progress is on track for all outcomes except the plant variety rights regime </w:t>
      </w:r>
      <w:r>
        <w:t xml:space="preserve">(TTOIG 2012). </w:t>
      </w:r>
    </w:p>
    <w:p w:rsidR="00AC1C7C" w:rsidRDefault="002412FF" w:rsidP="0035382A">
      <w:pPr>
        <w:pStyle w:val="Heading4"/>
      </w:pPr>
      <w:r>
        <w:t xml:space="preserve">South </w:t>
      </w:r>
      <w:r w:rsidR="00AC1C7C">
        <w:t xml:space="preserve">Korean </w:t>
      </w:r>
      <w:r w:rsidR="00BC3880">
        <w:t>reforms</w:t>
      </w:r>
    </w:p>
    <w:p w:rsidR="00AC1C7C" w:rsidRDefault="00AC1C7C" w:rsidP="005C7071">
      <w:pPr>
        <w:pStyle w:val="BodyText"/>
      </w:pPr>
      <w:r>
        <w:t xml:space="preserve">In October 2008, the </w:t>
      </w:r>
      <w:r w:rsidR="002F4A87">
        <w:t xml:space="preserve">KIPO </w:t>
      </w:r>
      <w:r>
        <w:t>launched the Three-Track Patent Examination system, which</w:t>
      </w:r>
      <w:r w:rsidR="001F1916">
        <w:t>,</w:t>
      </w:r>
      <w:r>
        <w:t xml:space="preserve"> as the name suggests</w:t>
      </w:r>
      <w:r w:rsidR="001F1916">
        <w:t>,</w:t>
      </w:r>
      <w:r>
        <w:t xml:space="preserve"> gives applicants the opportunity to select from three different types of examinations:</w:t>
      </w:r>
    </w:p>
    <w:p w:rsidR="00AC1C7C" w:rsidRDefault="008F5553" w:rsidP="00AC1C7C">
      <w:pPr>
        <w:pStyle w:val="ListBullet"/>
      </w:pPr>
      <w:r>
        <w:t>a</w:t>
      </w:r>
      <w:r w:rsidR="00AC1C7C">
        <w:t>n accelerated examination (which is performed within three months of an examination request)</w:t>
      </w:r>
    </w:p>
    <w:p w:rsidR="00AC1C7C" w:rsidRDefault="008F5553" w:rsidP="00AC1C7C">
      <w:pPr>
        <w:pStyle w:val="ListBullet"/>
      </w:pPr>
      <w:r>
        <w:t>a</w:t>
      </w:r>
      <w:r w:rsidR="00AC1C7C">
        <w:t xml:space="preserve"> regular examination</w:t>
      </w:r>
    </w:p>
    <w:p w:rsidR="00AC1C7C" w:rsidRDefault="008F5553" w:rsidP="00AC1C7C">
      <w:pPr>
        <w:pStyle w:val="ListBullet"/>
      </w:pPr>
      <w:r>
        <w:t>c</w:t>
      </w:r>
      <w:r w:rsidR="00AC1C7C">
        <w:t>ustomer-deferred examination (which is performed within three months of the date specified by the applicant)</w:t>
      </w:r>
      <w:r>
        <w:t>.</w:t>
      </w:r>
    </w:p>
    <w:p w:rsidR="00AC1C7C" w:rsidRDefault="00AC1C7C" w:rsidP="005C7071">
      <w:pPr>
        <w:pStyle w:val="BodyText"/>
      </w:pPr>
      <w:r>
        <w:t>From 2008 to 2010, between 10 and 15 per cent of applicants selec</w:t>
      </w:r>
      <w:r w:rsidR="00565575">
        <w:t>ted an accelerated examination</w:t>
      </w:r>
      <w:r w:rsidR="00E81C8D">
        <w:t xml:space="preserve"> (KIPO 2012).</w:t>
      </w:r>
    </w:p>
    <w:p w:rsidR="00B03ED4" w:rsidRDefault="00E61BBF" w:rsidP="005C7071">
      <w:pPr>
        <w:pStyle w:val="BodyText"/>
      </w:pPr>
      <w:r>
        <w:t xml:space="preserve">South </w:t>
      </w:r>
      <w:r w:rsidR="00B03ED4">
        <w:t xml:space="preserve">Korea also amended its patents legislation </w:t>
      </w:r>
      <w:r w:rsidR="00917BD7">
        <w:t>in 2010 to implement the TRIPS P</w:t>
      </w:r>
      <w:r w:rsidR="00B03ED4">
        <w:t xml:space="preserve">rotocol and </w:t>
      </w:r>
      <w:r w:rsidR="00E34FDC">
        <w:t xml:space="preserve">to </w:t>
      </w:r>
      <w:r w:rsidR="00B03ED4">
        <w:t>introduce a regulatory approval exemption for pharmaceutical products.</w:t>
      </w:r>
    </w:p>
    <w:p w:rsidR="00F55C3A" w:rsidRDefault="00F55C3A" w:rsidP="005C7071">
      <w:pPr>
        <w:pStyle w:val="BodyText"/>
      </w:pPr>
      <w:r>
        <w:t xml:space="preserve">In December 2012, the KIPO signed a memorandum of understanding with the EPO on simplifying the process for </w:t>
      </w:r>
      <w:r w:rsidR="00F23CF7">
        <w:t xml:space="preserve">South </w:t>
      </w:r>
      <w:r>
        <w:t>Koreans applying for patents in Europe.</w:t>
      </w:r>
    </w:p>
    <w:p w:rsidR="00565575" w:rsidRDefault="00565575" w:rsidP="0035382A">
      <w:pPr>
        <w:pStyle w:val="Heading4"/>
      </w:pPr>
      <w:r>
        <w:lastRenderedPageBreak/>
        <w:t xml:space="preserve">Chinese </w:t>
      </w:r>
      <w:r w:rsidR="008C739B">
        <w:t>reforms</w:t>
      </w:r>
    </w:p>
    <w:p w:rsidR="00BB13C2" w:rsidRDefault="00FD727E" w:rsidP="00C53E24">
      <w:pPr>
        <w:pStyle w:val="BodyText"/>
      </w:pPr>
      <w:r w:rsidRPr="00A904D6">
        <w:t xml:space="preserve">China’s first Patents </w:t>
      </w:r>
      <w:r w:rsidR="00AA2028">
        <w:t>Law</w:t>
      </w:r>
      <w:r w:rsidRPr="00A904D6">
        <w:t xml:space="preserve"> </w:t>
      </w:r>
      <w:r w:rsidR="003E4FA1">
        <w:t xml:space="preserve">came into force in </w:t>
      </w:r>
      <w:r w:rsidRPr="00A904D6">
        <w:t>1985</w:t>
      </w:r>
      <w:r w:rsidR="003E4FA1">
        <w:t>, which included compulsory licensing provisions</w:t>
      </w:r>
      <w:r w:rsidRPr="00A904D6">
        <w:t xml:space="preserve">. </w:t>
      </w:r>
      <w:r w:rsidR="003E4FA1">
        <w:t xml:space="preserve">The </w:t>
      </w:r>
      <w:r w:rsidR="002311CD">
        <w:t>Law</w:t>
      </w:r>
      <w:r w:rsidR="003E4FA1">
        <w:t xml:space="preserve"> was amended in 1992, 2000 and 2008</w:t>
      </w:r>
      <w:r w:rsidR="00A768A3">
        <w:t xml:space="preserve"> </w:t>
      </w:r>
      <w:r w:rsidR="00A768A3" w:rsidRPr="00A904D6">
        <w:t>(Ma 2011)</w:t>
      </w:r>
      <w:r w:rsidR="00A904D6" w:rsidRPr="00A904D6">
        <w:t>.</w:t>
      </w:r>
      <w:r w:rsidR="003E4FA1">
        <w:t xml:space="preserve"> The 2008 amendments came into force in 2009 and included: </w:t>
      </w:r>
      <w:r w:rsidR="00A904D6" w:rsidRPr="00A904D6">
        <w:t xml:space="preserve"> </w:t>
      </w:r>
    </w:p>
    <w:p w:rsidR="00BB13C2" w:rsidRDefault="003E4FA1" w:rsidP="003E4FA1">
      <w:pPr>
        <w:pStyle w:val="ListBullet"/>
      </w:pPr>
      <w:r>
        <w:t xml:space="preserve">introducing an ‘absolute’ novelty standard, which considers worldwide prior knowledge </w:t>
      </w:r>
    </w:p>
    <w:p w:rsidR="00BB13C2" w:rsidRDefault="003E4FA1" w:rsidP="003E4FA1">
      <w:pPr>
        <w:pStyle w:val="ListBullet"/>
      </w:pPr>
      <w:r>
        <w:t>removal of the requirement for Chinese applicants to file first in China</w:t>
      </w:r>
    </w:p>
    <w:p w:rsidR="00B910B2" w:rsidRPr="001738EC" w:rsidRDefault="00A904D6" w:rsidP="004C4214">
      <w:pPr>
        <w:pStyle w:val="ListBullet"/>
      </w:pPr>
      <w:r w:rsidRPr="00A904D6">
        <w:t>amendments relate</w:t>
      </w:r>
      <w:r w:rsidR="003E4FA1">
        <w:t>d</w:t>
      </w:r>
      <w:r w:rsidRPr="00A904D6">
        <w:t xml:space="preserve"> to compulsory licensing.</w:t>
      </w:r>
      <w:r w:rsidR="00B910B2" w:rsidRPr="001738EC">
        <w:rPr>
          <w:szCs w:val="26"/>
        </w:rPr>
        <w:t xml:space="preserve"> </w:t>
      </w:r>
    </w:p>
    <w:sectPr w:rsidR="00B910B2" w:rsidRPr="001738EC" w:rsidSect="0059420B">
      <w:headerReference w:type="even" r:id="rId39"/>
      <w:headerReference w:type="default" r:id="rId40"/>
      <w:footerReference w:type="even" r:id="rId41"/>
      <w:footerReference w:type="default" r:id="rId42"/>
      <w:headerReference w:type="first" r:id="rId43"/>
      <w:footerReference w:type="first" r:id="rId44"/>
      <w:pgSz w:w="11907" w:h="16840" w:code="9"/>
      <w:pgMar w:top="1985" w:right="1304" w:bottom="1418" w:left="1814" w:header="1701" w:footer="567" w:gutter="0"/>
      <w:pgNumType w:start="23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BD7" w:rsidRDefault="00917BD7">
      <w:r>
        <w:separator/>
      </w:r>
    </w:p>
  </w:endnote>
  <w:endnote w:type="continuationSeparator" w:id="0">
    <w:p w:rsidR="00917BD7" w:rsidRDefault="00917BD7">
      <w:r>
        <w:continuationSeparator/>
      </w:r>
    </w:p>
  </w:endnote>
  <w:endnote w:type="continuationNotice" w:id="1">
    <w:p w:rsidR="00917BD7" w:rsidRDefault="00917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17BD7">
      <w:trPr>
        <w:trHeight w:hRule="exact" w:val="740"/>
      </w:trPr>
      <w:tc>
        <w:tcPr>
          <w:tcW w:w="510" w:type="dxa"/>
          <w:tcBorders>
            <w:top w:val="single" w:sz="6" w:space="0" w:color="auto"/>
          </w:tcBorders>
        </w:tcPr>
        <w:p w:rsidR="00917BD7" w:rsidRDefault="00917BD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F3FB8">
            <w:rPr>
              <w:rStyle w:val="PageNumber"/>
              <w:noProof/>
            </w:rPr>
            <w:t>260</w:t>
          </w:r>
          <w:r>
            <w:rPr>
              <w:rStyle w:val="PageNumber"/>
            </w:rPr>
            <w:fldChar w:fldCharType="end"/>
          </w:r>
        </w:p>
      </w:tc>
      <w:tc>
        <w:tcPr>
          <w:tcW w:w="1644" w:type="dxa"/>
          <w:tcBorders>
            <w:top w:val="single" w:sz="6" w:space="0" w:color="auto"/>
          </w:tcBorders>
        </w:tcPr>
        <w:p w:rsidR="00917BD7" w:rsidRDefault="007640D6" w:rsidP="0019293B">
          <w:pPr>
            <w:pStyle w:val="Footer"/>
          </w:pPr>
          <w:fldSimple w:instr=" SUBJECT  \* MERGEFORMAT ">
            <w:r w:rsidR="006367F1">
              <w:t>Compulsory licensing of patents</w:t>
            </w:r>
          </w:fldSimple>
        </w:p>
      </w:tc>
      <w:tc>
        <w:tcPr>
          <w:tcW w:w="6634" w:type="dxa"/>
        </w:tcPr>
        <w:p w:rsidR="00917BD7" w:rsidRDefault="00917BD7" w:rsidP="00745121">
          <w:pPr>
            <w:pStyle w:val="Footer"/>
            <w:jc w:val="center"/>
          </w:pPr>
        </w:p>
      </w:tc>
    </w:tr>
  </w:tbl>
  <w:p w:rsidR="00917BD7" w:rsidRDefault="00917BD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917BD7" w:rsidTr="00D57FB5">
      <w:trPr>
        <w:trHeight w:hRule="exact" w:val="740"/>
      </w:trPr>
      <w:tc>
        <w:tcPr>
          <w:tcW w:w="6663" w:type="dxa"/>
        </w:tcPr>
        <w:p w:rsidR="00917BD7" w:rsidRDefault="00917BD7" w:rsidP="00D57FB5">
          <w:pPr>
            <w:pStyle w:val="Footer"/>
            <w:ind w:right="360" w:firstLine="360"/>
          </w:pPr>
        </w:p>
      </w:tc>
      <w:tc>
        <w:tcPr>
          <w:tcW w:w="1615" w:type="dxa"/>
          <w:tcBorders>
            <w:top w:val="single" w:sz="6" w:space="0" w:color="auto"/>
          </w:tcBorders>
        </w:tcPr>
        <w:p w:rsidR="00917BD7" w:rsidRDefault="007640D6">
          <w:pPr>
            <w:pStyle w:val="Footer"/>
          </w:pPr>
          <w:fldSimple w:instr=" TITLE  \* MERGEFORMAT ">
            <w:r w:rsidR="006367F1">
              <w:t>More detail on patents systems</w:t>
            </w:r>
          </w:fldSimple>
          <w:bookmarkStart w:id="6" w:name="OLE_LINK2"/>
        </w:p>
      </w:tc>
      <w:tc>
        <w:tcPr>
          <w:tcW w:w="510" w:type="dxa"/>
          <w:tcBorders>
            <w:top w:val="single" w:sz="6" w:space="0" w:color="auto"/>
          </w:tcBorders>
        </w:tcPr>
        <w:p w:rsidR="00917BD7" w:rsidRDefault="00917BD7">
          <w:pPr>
            <w:pStyle w:val="Footer"/>
            <w:jc w:val="right"/>
          </w:pPr>
          <w:r>
            <w:rPr>
              <w:rStyle w:val="PageNumber"/>
            </w:rPr>
            <w:fldChar w:fldCharType="begin"/>
          </w:r>
          <w:r>
            <w:rPr>
              <w:rStyle w:val="PageNumber"/>
            </w:rPr>
            <w:instrText xml:space="preserve">PAGE  </w:instrText>
          </w:r>
          <w:r>
            <w:rPr>
              <w:rStyle w:val="PageNumber"/>
            </w:rPr>
            <w:fldChar w:fldCharType="separate"/>
          </w:r>
          <w:r w:rsidR="008F3FB8">
            <w:rPr>
              <w:rStyle w:val="PageNumber"/>
              <w:noProof/>
            </w:rPr>
            <w:t>239</w:t>
          </w:r>
          <w:r>
            <w:rPr>
              <w:rStyle w:val="PageNumber"/>
            </w:rPr>
            <w:fldChar w:fldCharType="end"/>
          </w:r>
        </w:p>
      </w:tc>
    </w:tr>
    <w:bookmarkEnd w:id="6"/>
  </w:tbl>
  <w:p w:rsidR="00917BD7" w:rsidRDefault="00917BD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D7" w:rsidRDefault="00917B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BD7" w:rsidRDefault="00917BD7">
      <w:r>
        <w:separator/>
      </w:r>
    </w:p>
  </w:footnote>
  <w:footnote w:type="continuationSeparator" w:id="0">
    <w:p w:rsidR="00917BD7" w:rsidRDefault="00917BD7">
      <w:r>
        <w:continuationSeparator/>
      </w:r>
    </w:p>
  </w:footnote>
  <w:footnote w:type="continuationNotice" w:id="1">
    <w:p w:rsidR="00917BD7" w:rsidRDefault="00917B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17BD7">
      <w:tc>
        <w:tcPr>
          <w:tcW w:w="2155" w:type="dxa"/>
          <w:tcBorders>
            <w:top w:val="single" w:sz="24" w:space="0" w:color="auto"/>
          </w:tcBorders>
        </w:tcPr>
        <w:p w:rsidR="00917BD7" w:rsidRDefault="00917BD7" w:rsidP="0019293B">
          <w:pPr>
            <w:pStyle w:val="HeaderEven"/>
          </w:pPr>
        </w:p>
      </w:tc>
      <w:tc>
        <w:tcPr>
          <w:tcW w:w="6634" w:type="dxa"/>
          <w:tcBorders>
            <w:top w:val="single" w:sz="6" w:space="0" w:color="auto"/>
          </w:tcBorders>
        </w:tcPr>
        <w:p w:rsidR="00917BD7" w:rsidRDefault="00917BD7" w:rsidP="0019293B">
          <w:pPr>
            <w:pStyle w:val="HeaderEven"/>
          </w:pPr>
        </w:p>
      </w:tc>
    </w:tr>
  </w:tbl>
  <w:p w:rsidR="00917BD7" w:rsidRDefault="00917BD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17BD7">
      <w:tc>
        <w:tcPr>
          <w:tcW w:w="6634" w:type="dxa"/>
          <w:tcBorders>
            <w:top w:val="single" w:sz="6" w:space="0" w:color="auto"/>
          </w:tcBorders>
        </w:tcPr>
        <w:p w:rsidR="00917BD7" w:rsidRDefault="00917BD7" w:rsidP="00E669E2">
          <w:pPr>
            <w:pStyle w:val="HeaderOdd"/>
          </w:pPr>
        </w:p>
      </w:tc>
      <w:tc>
        <w:tcPr>
          <w:tcW w:w="2155" w:type="dxa"/>
          <w:tcBorders>
            <w:top w:val="single" w:sz="24" w:space="0" w:color="auto"/>
          </w:tcBorders>
        </w:tcPr>
        <w:p w:rsidR="00917BD7" w:rsidRDefault="00917BD7" w:rsidP="00E669E2">
          <w:pPr>
            <w:pStyle w:val="HeaderOdd"/>
          </w:pPr>
        </w:p>
      </w:tc>
    </w:tr>
  </w:tbl>
  <w:p w:rsidR="00917BD7" w:rsidRDefault="00917BD7"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D7" w:rsidRDefault="00917B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More detail on patents systems"/>
    <w:docVar w:name="ShortReportTitle" w:val="Compulsory licensing of patents"/>
  </w:docVars>
  <w:rsids>
    <w:rsidRoot w:val="000D4A39"/>
    <w:rsid w:val="000019CA"/>
    <w:rsid w:val="000036F7"/>
    <w:rsid w:val="00006C22"/>
    <w:rsid w:val="00010890"/>
    <w:rsid w:val="00011313"/>
    <w:rsid w:val="0001547A"/>
    <w:rsid w:val="00015CDD"/>
    <w:rsid w:val="00020381"/>
    <w:rsid w:val="000227D5"/>
    <w:rsid w:val="000245AA"/>
    <w:rsid w:val="0003664B"/>
    <w:rsid w:val="0004111F"/>
    <w:rsid w:val="00054BFF"/>
    <w:rsid w:val="000565B3"/>
    <w:rsid w:val="00062747"/>
    <w:rsid w:val="00065592"/>
    <w:rsid w:val="0006644A"/>
    <w:rsid w:val="0007150B"/>
    <w:rsid w:val="0007354C"/>
    <w:rsid w:val="00080613"/>
    <w:rsid w:val="000840B3"/>
    <w:rsid w:val="00084FE2"/>
    <w:rsid w:val="00090919"/>
    <w:rsid w:val="00090BA0"/>
    <w:rsid w:val="00090DE0"/>
    <w:rsid w:val="000938F5"/>
    <w:rsid w:val="00096246"/>
    <w:rsid w:val="00096E55"/>
    <w:rsid w:val="000B601B"/>
    <w:rsid w:val="000B67E3"/>
    <w:rsid w:val="000B6AFA"/>
    <w:rsid w:val="000C207E"/>
    <w:rsid w:val="000C27FF"/>
    <w:rsid w:val="000C7047"/>
    <w:rsid w:val="000D11E0"/>
    <w:rsid w:val="000D2D2E"/>
    <w:rsid w:val="000D4A39"/>
    <w:rsid w:val="000E078E"/>
    <w:rsid w:val="000E37C9"/>
    <w:rsid w:val="000E5459"/>
    <w:rsid w:val="000F0035"/>
    <w:rsid w:val="000F0067"/>
    <w:rsid w:val="000F420B"/>
    <w:rsid w:val="000F664D"/>
    <w:rsid w:val="000F6830"/>
    <w:rsid w:val="001010B1"/>
    <w:rsid w:val="00101913"/>
    <w:rsid w:val="00110116"/>
    <w:rsid w:val="00110DBE"/>
    <w:rsid w:val="00112266"/>
    <w:rsid w:val="001138C8"/>
    <w:rsid w:val="00116BE6"/>
    <w:rsid w:val="00120072"/>
    <w:rsid w:val="0012052F"/>
    <w:rsid w:val="00123253"/>
    <w:rsid w:val="00126EB8"/>
    <w:rsid w:val="001274D4"/>
    <w:rsid w:val="001363AA"/>
    <w:rsid w:val="00140EE1"/>
    <w:rsid w:val="00141687"/>
    <w:rsid w:val="001425DA"/>
    <w:rsid w:val="00144C5F"/>
    <w:rsid w:val="00150638"/>
    <w:rsid w:val="00163427"/>
    <w:rsid w:val="00165152"/>
    <w:rsid w:val="00165995"/>
    <w:rsid w:val="00171D42"/>
    <w:rsid w:val="001736C2"/>
    <w:rsid w:val="001738EC"/>
    <w:rsid w:val="00182FD4"/>
    <w:rsid w:val="00183E82"/>
    <w:rsid w:val="00186A03"/>
    <w:rsid w:val="001878BB"/>
    <w:rsid w:val="00187AB3"/>
    <w:rsid w:val="001910B5"/>
    <w:rsid w:val="00191AE0"/>
    <w:rsid w:val="0019293B"/>
    <w:rsid w:val="00196193"/>
    <w:rsid w:val="00197B0D"/>
    <w:rsid w:val="001A0DAA"/>
    <w:rsid w:val="001B248E"/>
    <w:rsid w:val="001B6293"/>
    <w:rsid w:val="001B74DF"/>
    <w:rsid w:val="001C0865"/>
    <w:rsid w:val="001C3ABA"/>
    <w:rsid w:val="001C4244"/>
    <w:rsid w:val="001C5FA3"/>
    <w:rsid w:val="001C616B"/>
    <w:rsid w:val="001C6A9B"/>
    <w:rsid w:val="001C7653"/>
    <w:rsid w:val="001D3065"/>
    <w:rsid w:val="001E062F"/>
    <w:rsid w:val="001E0DB2"/>
    <w:rsid w:val="001E350C"/>
    <w:rsid w:val="001E62B8"/>
    <w:rsid w:val="001E7BE8"/>
    <w:rsid w:val="001F0248"/>
    <w:rsid w:val="001F1916"/>
    <w:rsid w:val="001F1B0B"/>
    <w:rsid w:val="001F3EB3"/>
    <w:rsid w:val="001F4F86"/>
    <w:rsid w:val="001F560E"/>
    <w:rsid w:val="001F5CD9"/>
    <w:rsid w:val="00202C2C"/>
    <w:rsid w:val="00204D86"/>
    <w:rsid w:val="00206E9F"/>
    <w:rsid w:val="002135AB"/>
    <w:rsid w:val="002137FC"/>
    <w:rsid w:val="0021397D"/>
    <w:rsid w:val="002144BE"/>
    <w:rsid w:val="00215C19"/>
    <w:rsid w:val="00220A0A"/>
    <w:rsid w:val="00221E15"/>
    <w:rsid w:val="00224077"/>
    <w:rsid w:val="0022715C"/>
    <w:rsid w:val="002311CD"/>
    <w:rsid w:val="00235472"/>
    <w:rsid w:val="00236B8A"/>
    <w:rsid w:val="00240FBB"/>
    <w:rsid w:val="002412FF"/>
    <w:rsid w:val="0024185E"/>
    <w:rsid w:val="00242279"/>
    <w:rsid w:val="00245C82"/>
    <w:rsid w:val="00246ADD"/>
    <w:rsid w:val="002557C5"/>
    <w:rsid w:val="0025594E"/>
    <w:rsid w:val="00257BC5"/>
    <w:rsid w:val="002602E8"/>
    <w:rsid w:val="00261DE8"/>
    <w:rsid w:val="00274908"/>
    <w:rsid w:val="00276022"/>
    <w:rsid w:val="00285477"/>
    <w:rsid w:val="00286F55"/>
    <w:rsid w:val="00291B40"/>
    <w:rsid w:val="00291EC5"/>
    <w:rsid w:val="00295D68"/>
    <w:rsid w:val="002A01C3"/>
    <w:rsid w:val="002A5AE2"/>
    <w:rsid w:val="002A7480"/>
    <w:rsid w:val="002B4008"/>
    <w:rsid w:val="002B4630"/>
    <w:rsid w:val="002B72C1"/>
    <w:rsid w:val="002C4267"/>
    <w:rsid w:val="002C68F7"/>
    <w:rsid w:val="002D0E8E"/>
    <w:rsid w:val="002D5DC1"/>
    <w:rsid w:val="002E2A9D"/>
    <w:rsid w:val="002E3358"/>
    <w:rsid w:val="002E4F4C"/>
    <w:rsid w:val="002E5DD2"/>
    <w:rsid w:val="002F4A87"/>
    <w:rsid w:val="002F4AA9"/>
    <w:rsid w:val="002F5EC0"/>
    <w:rsid w:val="00301189"/>
    <w:rsid w:val="003058E7"/>
    <w:rsid w:val="00310BE0"/>
    <w:rsid w:val="00310ED7"/>
    <w:rsid w:val="00315887"/>
    <w:rsid w:val="0032292A"/>
    <w:rsid w:val="00323E09"/>
    <w:rsid w:val="003273FE"/>
    <w:rsid w:val="00331333"/>
    <w:rsid w:val="00331C89"/>
    <w:rsid w:val="00333932"/>
    <w:rsid w:val="0034541A"/>
    <w:rsid w:val="003518AA"/>
    <w:rsid w:val="00352165"/>
    <w:rsid w:val="00353182"/>
    <w:rsid w:val="0035382A"/>
    <w:rsid w:val="0035546A"/>
    <w:rsid w:val="003565D9"/>
    <w:rsid w:val="003602E1"/>
    <w:rsid w:val="00361AC8"/>
    <w:rsid w:val="00361F0D"/>
    <w:rsid w:val="003674CC"/>
    <w:rsid w:val="0037026F"/>
    <w:rsid w:val="00371240"/>
    <w:rsid w:val="00374731"/>
    <w:rsid w:val="00376E59"/>
    <w:rsid w:val="00382DCA"/>
    <w:rsid w:val="00386199"/>
    <w:rsid w:val="00386E7A"/>
    <w:rsid w:val="00391629"/>
    <w:rsid w:val="003919F9"/>
    <w:rsid w:val="00393D06"/>
    <w:rsid w:val="00393E6F"/>
    <w:rsid w:val="003967E1"/>
    <w:rsid w:val="00397C17"/>
    <w:rsid w:val="003A043B"/>
    <w:rsid w:val="003A2E33"/>
    <w:rsid w:val="003A3E7E"/>
    <w:rsid w:val="003B2ECF"/>
    <w:rsid w:val="003B7FAE"/>
    <w:rsid w:val="003C0A43"/>
    <w:rsid w:val="003C2E99"/>
    <w:rsid w:val="003C38B5"/>
    <w:rsid w:val="003C3AFC"/>
    <w:rsid w:val="003C5D8D"/>
    <w:rsid w:val="003C5D99"/>
    <w:rsid w:val="003C622A"/>
    <w:rsid w:val="003C6308"/>
    <w:rsid w:val="003D07FE"/>
    <w:rsid w:val="003D264C"/>
    <w:rsid w:val="003D4912"/>
    <w:rsid w:val="003D5979"/>
    <w:rsid w:val="003E0352"/>
    <w:rsid w:val="003E2F2B"/>
    <w:rsid w:val="003E2F59"/>
    <w:rsid w:val="003E3478"/>
    <w:rsid w:val="003E4FA1"/>
    <w:rsid w:val="003E5D5D"/>
    <w:rsid w:val="003F0789"/>
    <w:rsid w:val="003F2AC1"/>
    <w:rsid w:val="003F6AAD"/>
    <w:rsid w:val="00401882"/>
    <w:rsid w:val="004100C8"/>
    <w:rsid w:val="004117D9"/>
    <w:rsid w:val="00411B45"/>
    <w:rsid w:val="00411DBD"/>
    <w:rsid w:val="00412833"/>
    <w:rsid w:val="00412ACE"/>
    <w:rsid w:val="00412C58"/>
    <w:rsid w:val="00415510"/>
    <w:rsid w:val="00416830"/>
    <w:rsid w:val="00421408"/>
    <w:rsid w:val="00422687"/>
    <w:rsid w:val="00424D4E"/>
    <w:rsid w:val="00430320"/>
    <w:rsid w:val="00431249"/>
    <w:rsid w:val="00434474"/>
    <w:rsid w:val="00434C19"/>
    <w:rsid w:val="00435391"/>
    <w:rsid w:val="00435DD3"/>
    <w:rsid w:val="004410F0"/>
    <w:rsid w:val="00442821"/>
    <w:rsid w:val="00444DCE"/>
    <w:rsid w:val="00450079"/>
    <w:rsid w:val="00450810"/>
    <w:rsid w:val="00450FD8"/>
    <w:rsid w:val="0045159A"/>
    <w:rsid w:val="00454CE2"/>
    <w:rsid w:val="0045567D"/>
    <w:rsid w:val="00461A5B"/>
    <w:rsid w:val="00463A93"/>
    <w:rsid w:val="00474A32"/>
    <w:rsid w:val="004769F7"/>
    <w:rsid w:val="00477144"/>
    <w:rsid w:val="00477A81"/>
    <w:rsid w:val="00490A15"/>
    <w:rsid w:val="00491380"/>
    <w:rsid w:val="0049459F"/>
    <w:rsid w:val="00494663"/>
    <w:rsid w:val="00497DDE"/>
    <w:rsid w:val="00497E84"/>
    <w:rsid w:val="004A0379"/>
    <w:rsid w:val="004A3621"/>
    <w:rsid w:val="004A38DD"/>
    <w:rsid w:val="004A556F"/>
    <w:rsid w:val="004A6C6D"/>
    <w:rsid w:val="004B2CDC"/>
    <w:rsid w:val="004B43AE"/>
    <w:rsid w:val="004B68FA"/>
    <w:rsid w:val="004C2C67"/>
    <w:rsid w:val="004C30ED"/>
    <w:rsid w:val="004C39DA"/>
    <w:rsid w:val="004C4214"/>
    <w:rsid w:val="004C4964"/>
    <w:rsid w:val="004C4968"/>
    <w:rsid w:val="004C51E6"/>
    <w:rsid w:val="004C62C6"/>
    <w:rsid w:val="004D5675"/>
    <w:rsid w:val="004E22C6"/>
    <w:rsid w:val="004E2800"/>
    <w:rsid w:val="004F2825"/>
    <w:rsid w:val="004F51AA"/>
    <w:rsid w:val="004F6AD2"/>
    <w:rsid w:val="00504E21"/>
    <w:rsid w:val="0050624D"/>
    <w:rsid w:val="0050765E"/>
    <w:rsid w:val="005114CD"/>
    <w:rsid w:val="00513AAC"/>
    <w:rsid w:val="00514228"/>
    <w:rsid w:val="00523639"/>
    <w:rsid w:val="00523F7F"/>
    <w:rsid w:val="0052442F"/>
    <w:rsid w:val="00531FE5"/>
    <w:rsid w:val="00533644"/>
    <w:rsid w:val="00540F7F"/>
    <w:rsid w:val="005566F9"/>
    <w:rsid w:val="00560059"/>
    <w:rsid w:val="00560362"/>
    <w:rsid w:val="005620D7"/>
    <w:rsid w:val="00562365"/>
    <w:rsid w:val="00565575"/>
    <w:rsid w:val="00573AC3"/>
    <w:rsid w:val="005749C7"/>
    <w:rsid w:val="00580D39"/>
    <w:rsid w:val="00581267"/>
    <w:rsid w:val="00583C39"/>
    <w:rsid w:val="0058481E"/>
    <w:rsid w:val="00585F6B"/>
    <w:rsid w:val="00587F28"/>
    <w:rsid w:val="005909CF"/>
    <w:rsid w:val="0059101F"/>
    <w:rsid w:val="005916FF"/>
    <w:rsid w:val="00591E71"/>
    <w:rsid w:val="0059420B"/>
    <w:rsid w:val="0059504D"/>
    <w:rsid w:val="005A0D41"/>
    <w:rsid w:val="005A373D"/>
    <w:rsid w:val="005A54D4"/>
    <w:rsid w:val="005A79BE"/>
    <w:rsid w:val="005B0392"/>
    <w:rsid w:val="005B0F7E"/>
    <w:rsid w:val="005C006D"/>
    <w:rsid w:val="005C67BE"/>
    <w:rsid w:val="005C7071"/>
    <w:rsid w:val="005D018D"/>
    <w:rsid w:val="005D2807"/>
    <w:rsid w:val="005D79C7"/>
    <w:rsid w:val="005E6547"/>
    <w:rsid w:val="005F1FFD"/>
    <w:rsid w:val="005F6851"/>
    <w:rsid w:val="00601ECE"/>
    <w:rsid w:val="00603233"/>
    <w:rsid w:val="0060464C"/>
    <w:rsid w:val="0060474D"/>
    <w:rsid w:val="00607BF1"/>
    <w:rsid w:val="00607DD9"/>
    <w:rsid w:val="0061002F"/>
    <w:rsid w:val="00611C85"/>
    <w:rsid w:val="00617D56"/>
    <w:rsid w:val="00630D4D"/>
    <w:rsid w:val="00632A74"/>
    <w:rsid w:val="006367F1"/>
    <w:rsid w:val="006456E7"/>
    <w:rsid w:val="00645D40"/>
    <w:rsid w:val="006551AC"/>
    <w:rsid w:val="0065656D"/>
    <w:rsid w:val="00656641"/>
    <w:rsid w:val="006570D5"/>
    <w:rsid w:val="00661748"/>
    <w:rsid w:val="00665A2D"/>
    <w:rsid w:val="0067056C"/>
    <w:rsid w:val="00672178"/>
    <w:rsid w:val="00684441"/>
    <w:rsid w:val="00687CF5"/>
    <w:rsid w:val="00694974"/>
    <w:rsid w:val="006A10CB"/>
    <w:rsid w:val="006A4655"/>
    <w:rsid w:val="006B183B"/>
    <w:rsid w:val="006B2B3C"/>
    <w:rsid w:val="006B2BEE"/>
    <w:rsid w:val="006B34A4"/>
    <w:rsid w:val="006B455A"/>
    <w:rsid w:val="006B580C"/>
    <w:rsid w:val="006B6805"/>
    <w:rsid w:val="006B745A"/>
    <w:rsid w:val="006C1D81"/>
    <w:rsid w:val="006C51D3"/>
    <w:rsid w:val="006C6FE7"/>
    <w:rsid w:val="006C7038"/>
    <w:rsid w:val="006D4061"/>
    <w:rsid w:val="006E0699"/>
    <w:rsid w:val="006E5E5A"/>
    <w:rsid w:val="006E6146"/>
    <w:rsid w:val="006E71F7"/>
    <w:rsid w:val="006E73EF"/>
    <w:rsid w:val="006F4AE8"/>
    <w:rsid w:val="006F5BAE"/>
    <w:rsid w:val="00700232"/>
    <w:rsid w:val="0070246F"/>
    <w:rsid w:val="00703D72"/>
    <w:rsid w:val="007122BB"/>
    <w:rsid w:val="00713D53"/>
    <w:rsid w:val="00714D4D"/>
    <w:rsid w:val="00716F05"/>
    <w:rsid w:val="00721BB6"/>
    <w:rsid w:val="00722672"/>
    <w:rsid w:val="0073085E"/>
    <w:rsid w:val="0073444D"/>
    <w:rsid w:val="00736349"/>
    <w:rsid w:val="00740F1A"/>
    <w:rsid w:val="00745121"/>
    <w:rsid w:val="00746880"/>
    <w:rsid w:val="007518B1"/>
    <w:rsid w:val="00756784"/>
    <w:rsid w:val="007604BB"/>
    <w:rsid w:val="007640D6"/>
    <w:rsid w:val="007658E8"/>
    <w:rsid w:val="00772DEA"/>
    <w:rsid w:val="00776E1F"/>
    <w:rsid w:val="00783D60"/>
    <w:rsid w:val="00785232"/>
    <w:rsid w:val="00786862"/>
    <w:rsid w:val="007878E7"/>
    <w:rsid w:val="00787A46"/>
    <w:rsid w:val="007940DD"/>
    <w:rsid w:val="00794165"/>
    <w:rsid w:val="00794E05"/>
    <w:rsid w:val="007A21EB"/>
    <w:rsid w:val="007A4608"/>
    <w:rsid w:val="007A7E80"/>
    <w:rsid w:val="007B098B"/>
    <w:rsid w:val="007B1A93"/>
    <w:rsid w:val="007B29E8"/>
    <w:rsid w:val="007B7185"/>
    <w:rsid w:val="007C1202"/>
    <w:rsid w:val="007C14AF"/>
    <w:rsid w:val="007C36C9"/>
    <w:rsid w:val="007C75B5"/>
    <w:rsid w:val="007C7730"/>
    <w:rsid w:val="007D3606"/>
    <w:rsid w:val="007D6401"/>
    <w:rsid w:val="007E01E4"/>
    <w:rsid w:val="007E2519"/>
    <w:rsid w:val="007E5C93"/>
    <w:rsid w:val="007E6040"/>
    <w:rsid w:val="007E7DA7"/>
    <w:rsid w:val="007F3136"/>
    <w:rsid w:val="007F6439"/>
    <w:rsid w:val="007F7107"/>
    <w:rsid w:val="00800854"/>
    <w:rsid w:val="00800D4C"/>
    <w:rsid w:val="00800E65"/>
    <w:rsid w:val="008029C4"/>
    <w:rsid w:val="00806616"/>
    <w:rsid w:val="00806857"/>
    <w:rsid w:val="00806972"/>
    <w:rsid w:val="0081030F"/>
    <w:rsid w:val="00810A17"/>
    <w:rsid w:val="00811FB1"/>
    <w:rsid w:val="008121D4"/>
    <w:rsid w:val="008179AE"/>
    <w:rsid w:val="0082087D"/>
    <w:rsid w:val="008209CD"/>
    <w:rsid w:val="00823D18"/>
    <w:rsid w:val="00830F23"/>
    <w:rsid w:val="00835771"/>
    <w:rsid w:val="00841061"/>
    <w:rsid w:val="00842933"/>
    <w:rsid w:val="00844017"/>
    <w:rsid w:val="00850C30"/>
    <w:rsid w:val="00854E76"/>
    <w:rsid w:val="0086082C"/>
    <w:rsid w:val="00863F5F"/>
    <w:rsid w:val="00864ADC"/>
    <w:rsid w:val="00867E2A"/>
    <w:rsid w:val="00871325"/>
    <w:rsid w:val="0087242C"/>
    <w:rsid w:val="00880153"/>
    <w:rsid w:val="00880F97"/>
    <w:rsid w:val="0088133A"/>
    <w:rsid w:val="00887347"/>
    <w:rsid w:val="008903FF"/>
    <w:rsid w:val="0089285E"/>
    <w:rsid w:val="00893983"/>
    <w:rsid w:val="0089436C"/>
    <w:rsid w:val="008955C7"/>
    <w:rsid w:val="008A29CB"/>
    <w:rsid w:val="008B3F5A"/>
    <w:rsid w:val="008B5081"/>
    <w:rsid w:val="008B683D"/>
    <w:rsid w:val="008C44D2"/>
    <w:rsid w:val="008C510A"/>
    <w:rsid w:val="008C566B"/>
    <w:rsid w:val="008C6398"/>
    <w:rsid w:val="008C739B"/>
    <w:rsid w:val="008C74BA"/>
    <w:rsid w:val="008D2B2A"/>
    <w:rsid w:val="008D365C"/>
    <w:rsid w:val="008D77FE"/>
    <w:rsid w:val="008E1713"/>
    <w:rsid w:val="008F0393"/>
    <w:rsid w:val="008F3093"/>
    <w:rsid w:val="008F311F"/>
    <w:rsid w:val="008F3FB8"/>
    <w:rsid w:val="008F5553"/>
    <w:rsid w:val="008F6A1C"/>
    <w:rsid w:val="009030BF"/>
    <w:rsid w:val="0091032F"/>
    <w:rsid w:val="009122F3"/>
    <w:rsid w:val="009125DB"/>
    <w:rsid w:val="00913C39"/>
    <w:rsid w:val="00914368"/>
    <w:rsid w:val="00917BD7"/>
    <w:rsid w:val="0092089E"/>
    <w:rsid w:val="00923156"/>
    <w:rsid w:val="00923D5E"/>
    <w:rsid w:val="00924D1F"/>
    <w:rsid w:val="00924F8B"/>
    <w:rsid w:val="0092623D"/>
    <w:rsid w:val="0092637B"/>
    <w:rsid w:val="00927D1E"/>
    <w:rsid w:val="00931076"/>
    <w:rsid w:val="009345D9"/>
    <w:rsid w:val="00934B15"/>
    <w:rsid w:val="00942B62"/>
    <w:rsid w:val="00956A0C"/>
    <w:rsid w:val="00956BD9"/>
    <w:rsid w:val="0096007B"/>
    <w:rsid w:val="00960081"/>
    <w:rsid w:val="00960255"/>
    <w:rsid w:val="00960318"/>
    <w:rsid w:val="00960AE3"/>
    <w:rsid w:val="00962415"/>
    <w:rsid w:val="00962489"/>
    <w:rsid w:val="009624A6"/>
    <w:rsid w:val="00965608"/>
    <w:rsid w:val="00966837"/>
    <w:rsid w:val="00967212"/>
    <w:rsid w:val="00970B55"/>
    <w:rsid w:val="009730C2"/>
    <w:rsid w:val="0097345A"/>
    <w:rsid w:val="00983145"/>
    <w:rsid w:val="009836F2"/>
    <w:rsid w:val="009854FE"/>
    <w:rsid w:val="0098722D"/>
    <w:rsid w:val="00990C2C"/>
    <w:rsid w:val="00993FAA"/>
    <w:rsid w:val="00995AF2"/>
    <w:rsid w:val="009A0861"/>
    <w:rsid w:val="009A5D6A"/>
    <w:rsid w:val="009B0094"/>
    <w:rsid w:val="009B0BF2"/>
    <w:rsid w:val="009B6ADA"/>
    <w:rsid w:val="009C1C3A"/>
    <w:rsid w:val="009C32D0"/>
    <w:rsid w:val="009C60EA"/>
    <w:rsid w:val="009C612C"/>
    <w:rsid w:val="009D7F6E"/>
    <w:rsid w:val="009E0E49"/>
    <w:rsid w:val="009E25A8"/>
    <w:rsid w:val="009E5C21"/>
    <w:rsid w:val="009F0407"/>
    <w:rsid w:val="009F0D1B"/>
    <w:rsid w:val="009F696D"/>
    <w:rsid w:val="009F6BC6"/>
    <w:rsid w:val="00A01B69"/>
    <w:rsid w:val="00A030E3"/>
    <w:rsid w:val="00A12305"/>
    <w:rsid w:val="00A16A8F"/>
    <w:rsid w:val="00A17328"/>
    <w:rsid w:val="00A23A20"/>
    <w:rsid w:val="00A24ECC"/>
    <w:rsid w:val="00A25743"/>
    <w:rsid w:val="00A268B9"/>
    <w:rsid w:val="00A2703A"/>
    <w:rsid w:val="00A3062F"/>
    <w:rsid w:val="00A31C5B"/>
    <w:rsid w:val="00A33DFF"/>
    <w:rsid w:val="00A35115"/>
    <w:rsid w:val="00A356F8"/>
    <w:rsid w:val="00A3692D"/>
    <w:rsid w:val="00A36D8E"/>
    <w:rsid w:val="00A36D9A"/>
    <w:rsid w:val="00A5289B"/>
    <w:rsid w:val="00A551E2"/>
    <w:rsid w:val="00A554AB"/>
    <w:rsid w:val="00A56D75"/>
    <w:rsid w:val="00A57062"/>
    <w:rsid w:val="00A602DA"/>
    <w:rsid w:val="00A6116C"/>
    <w:rsid w:val="00A62DC6"/>
    <w:rsid w:val="00A640C4"/>
    <w:rsid w:val="00A65711"/>
    <w:rsid w:val="00A66949"/>
    <w:rsid w:val="00A67011"/>
    <w:rsid w:val="00A728C3"/>
    <w:rsid w:val="00A75A13"/>
    <w:rsid w:val="00A768A3"/>
    <w:rsid w:val="00A83F03"/>
    <w:rsid w:val="00A841BC"/>
    <w:rsid w:val="00A904D6"/>
    <w:rsid w:val="00A9185E"/>
    <w:rsid w:val="00A91DE0"/>
    <w:rsid w:val="00A92B53"/>
    <w:rsid w:val="00A92E22"/>
    <w:rsid w:val="00A94FA6"/>
    <w:rsid w:val="00AA08DD"/>
    <w:rsid w:val="00AA2028"/>
    <w:rsid w:val="00AA2573"/>
    <w:rsid w:val="00AA49A0"/>
    <w:rsid w:val="00AA6710"/>
    <w:rsid w:val="00AB0681"/>
    <w:rsid w:val="00AB1E33"/>
    <w:rsid w:val="00AB479A"/>
    <w:rsid w:val="00AC1C7C"/>
    <w:rsid w:val="00AC3960"/>
    <w:rsid w:val="00AC6C32"/>
    <w:rsid w:val="00AD2FEB"/>
    <w:rsid w:val="00AD520B"/>
    <w:rsid w:val="00AE11FC"/>
    <w:rsid w:val="00AE49EC"/>
    <w:rsid w:val="00B025F5"/>
    <w:rsid w:val="00B03ED4"/>
    <w:rsid w:val="00B043E5"/>
    <w:rsid w:val="00B15650"/>
    <w:rsid w:val="00B16D15"/>
    <w:rsid w:val="00B17172"/>
    <w:rsid w:val="00B213FF"/>
    <w:rsid w:val="00B21561"/>
    <w:rsid w:val="00B2359D"/>
    <w:rsid w:val="00B30E90"/>
    <w:rsid w:val="00B32B3C"/>
    <w:rsid w:val="00B3413C"/>
    <w:rsid w:val="00B425C3"/>
    <w:rsid w:val="00B440AD"/>
    <w:rsid w:val="00B4537F"/>
    <w:rsid w:val="00B53E7E"/>
    <w:rsid w:val="00B6188A"/>
    <w:rsid w:val="00B6342E"/>
    <w:rsid w:val="00B66896"/>
    <w:rsid w:val="00B67F01"/>
    <w:rsid w:val="00B70568"/>
    <w:rsid w:val="00B7113F"/>
    <w:rsid w:val="00B72E91"/>
    <w:rsid w:val="00B7320E"/>
    <w:rsid w:val="00B743F0"/>
    <w:rsid w:val="00B75AC6"/>
    <w:rsid w:val="00B77006"/>
    <w:rsid w:val="00B774F2"/>
    <w:rsid w:val="00B85D2A"/>
    <w:rsid w:val="00B910B2"/>
    <w:rsid w:val="00B945D4"/>
    <w:rsid w:val="00BA3FB4"/>
    <w:rsid w:val="00BA73B6"/>
    <w:rsid w:val="00BA7E27"/>
    <w:rsid w:val="00BA7F78"/>
    <w:rsid w:val="00BB13C2"/>
    <w:rsid w:val="00BB2603"/>
    <w:rsid w:val="00BB4A76"/>
    <w:rsid w:val="00BB4FCD"/>
    <w:rsid w:val="00BB51FF"/>
    <w:rsid w:val="00BB52D1"/>
    <w:rsid w:val="00BC2451"/>
    <w:rsid w:val="00BC3880"/>
    <w:rsid w:val="00BC50DC"/>
    <w:rsid w:val="00BD13EA"/>
    <w:rsid w:val="00BD1924"/>
    <w:rsid w:val="00BE0F1D"/>
    <w:rsid w:val="00BE3808"/>
    <w:rsid w:val="00BF13CB"/>
    <w:rsid w:val="00BF2297"/>
    <w:rsid w:val="00BF4300"/>
    <w:rsid w:val="00BF6121"/>
    <w:rsid w:val="00BF6BA8"/>
    <w:rsid w:val="00C062E9"/>
    <w:rsid w:val="00C07B64"/>
    <w:rsid w:val="00C100DA"/>
    <w:rsid w:val="00C105AA"/>
    <w:rsid w:val="00C12944"/>
    <w:rsid w:val="00C13483"/>
    <w:rsid w:val="00C13721"/>
    <w:rsid w:val="00C14FE4"/>
    <w:rsid w:val="00C16E57"/>
    <w:rsid w:val="00C20CCB"/>
    <w:rsid w:val="00C3066D"/>
    <w:rsid w:val="00C3533B"/>
    <w:rsid w:val="00C36474"/>
    <w:rsid w:val="00C413B3"/>
    <w:rsid w:val="00C4306F"/>
    <w:rsid w:val="00C47AF3"/>
    <w:rsid w:val="00C508F9"/>
    <w:rsid w:val="00C53E24"/>
    <w:rsid w:val="00C543F4"/>
    <w:rsid w:val="00C54A38"/>
    <w:rsid w:val="00C625E9"/>
    <w:rsid w:val="00C6291C"/>
    <w:rsid w:val="00C633CB"/>
    <w:rsid w:val="00C63736"/>
    <w:rsid w:val="00C72C9C"/>
    <w:rsid w:val="00C73F1D"/>
    <w:rsid w:val="00C75159"/>
    <w:rsid w:val="00C81D4A"/>
    <w:rsid w:val="00C8762C"/>
    <w:rsid w:val="00C91271"/>
    <w:rsid w:val="00C97AEF"/>
    <w:rsid w:val="00C97DB8"/>
    <w:rsid w:val="00CA00F9"/>
    <w:rsid w:val="00CA2961"/>
    <w:rsid w:val="00CA3CFF"/>
    <w:rsid w:val="00CA4116"/>
    <w:rsid w:val="00CB07B4"/>
    <w:rsid w:val="00CB50D7"/>
    <w:rsid w:val="00CB7177"/>
    <w:rsid w:val="00CC1998"/>
    <w:rsid w:val="00CC1D8A"/>
    <w:rsid w:val="00CC4946"/>
    <w:rsid w:val="00CC6BDE"/>
    <w:rsid w:val="00CC7187"/>
    <w:rsid w:val="00CE6BC4"/>
    <w:rsid w:val="00CF295F"/>
    <w:rsid w:val="00CF3FD8"/>
    <w:rsid w:val="00CF76A5"/>
    <w:rsid w:val="00D00FB4"/>
    <w:rsid w:val="00D02C2A"/>
    <w:rsid w:val="00D037A4"/>
    <w:rsid w:val="00D05778"/>
    <w:rsid w:val="00D05BEA"/>
    <w:rsid w:val="00D1335A"/>
    <w:rsid w:val="00D14D99"/>
    <w:rsid w:val="00D176CD"/>
    <w:rsid w:val="00D17D45"/>
    <w:rsid w:val="00D270A4"/>
    <w:rsid w:val="00D27232"/>
    <w:rsid w:val="00D31FE9"/>
    <w:rsid w:val="00D32EAA"/>
    <w:rsid w:val="00D34E1B"/>
    <w:rsid w:val="00D35C79"/>
    <w:rsid w:val="00D376BA"/>
    <w:rsid w:val="00D45634"/>
    <w:rsid w:val="00D45F11"/>
    <w:rsid w:val="00D5568A"/>
    <w:rsid w:val="00D57FB5"/>
    <w:rsid w:val="00D63D73"/>
    <w:rsid w:val="00D64452"/>
    <w:rsid w:val="00D65888"/>
    <w:rsid w:val="00D66E1E"/>
    <w:rsid w:val="00D74E6E"/>
    <w:rsid w:val="00D75722"/>
    <w:rsid w:val="00D80CF5"/>
    <w:rsid w:val="00D82F11"/>
    <w:rsid w:val="00D8458C"/>
    <w:rsid w:val="00D91099"/>
    <w:rsid w:val="00DA1A86"/>
    <w:rsid w:val="00DA5BBA"/>
    <w:rsid w:val="00DA60FD"/>
    <w:rsid w:val="00DA6F4A"/>
    <w:rsid w:val="00DB0578"/>
    <w:rsid w:val="00DB26D2"/>
    <w:rsid w:val="00DB29F3"/>
    <w:rsid w:val="00DB3E2B"/>
    <w:rsid w:val="00DB67C9"/>
    <w:rsid w:val="00DC0C95"/>
    <w:rsid w:val="00DC0DF0"/>
    <w:rsid w:val="00DC1EA6"/>
    <w:rsid w:val="00DC4E56"/>
    <w:rsid w:val="00DD6580"/>
    <w:rsid w:val="00DE4858"/>
    <w:rsid w:val="00DE4F77"/>
    <w:rsid w:val="00DF1CF4"/>
    <w:rsid w:val="00DF64BB"/>
    <w:rsid w:val="00DF6F0B"/>
    <w:rsid w:val="00E01B41"/>
    <w:rsid w:val="00E02313"/>
    <w:rsid w:val="00E04276"/>
    <w:rsid w:val="00E07DD6"/>
    <w:rsid w:val="00E12BBC"/>
    <w:rsid w:val="00E15E42"/>
    <w:rsid w:val="00E17C72"/>
    <w:rsid w:val="00E21FC6"/>
    <w:rsid w:val="00E247D8"/>
    <w:rsid w:val="00E2588C"/>
    <w:rsid w:val="00E34AB4"/>
    <w:rsid w:val="00E34FDC"/>
    <w:rsid w:val="00E3644D"/>
    <w:rsid w:val="00E36ADD"/>
    <w:rsid w:val="00E40821"/>
    <w:rsid w:val="00E40E4A"/>
    <w:rsid w:val="00E43115"/>
    <w:rsid w:val="00E431A9"/>
    <w:rsid w:val="00E43644"/>
    <w:rsid w:val="00E45029"/>
    <w:rsid w:val="00E46019"/>
    <w:rsid w:val="00E6061D"/>
    <w:rsid w:val="00E61BBF"/>
    <w:rsid w:val="00E63EA6"/>
    <w:rsid w:val="00E66828"/>
    <w:rsid w:val="00E669E2"/>
    <w:rsid w:val="00E76135"/>
    <w:rsid w:val="00E81C8D"/>
    <w:rsid w:val="00E82F4F"/>
    <w:rsid w:val="00E87959"/>
    <w:rsid w:val="00E915F1"/>
    <w:rsid w:val="00E91A86"/>
    <w:rsid w:val="00E95104"/>
    <w:rsid w:val="00E96949"/>
    <w:rsid w:val="00EA3C6B"/>
    <w:rsid w:val="00EA3EE1"/>
    <w:rsid w:val="00EB1910"/>
    <w:rsid w:val="00EB2175"/>
    <w:rsid w:val="00EB47B1"/>
    <w:rsid w:val="00EB75AB"/>
    <w:rsid w:val="00EC03A8"/>
    <w:rsid w:val="00EC243A"/>
    <w:rsid w:val="00EC2844"/>
    <w:rsid w:val="00EC5500"/>
    <w:rsid w:val="00ED2745"/>
    <w:rsid w:val="00ED4D9F"/>
    <w:rsid w:val="00EE012F"/>
    <w:rsid w:val="00EE150C"/>
    <w:rsid w:val="00EE1660"/>
    <w:rsid w:val="00EF02EF"/>
    <w:rsid w:val="00EF1B3B"/>
    <w:rsid w:val="00EF222B"/>
    <w:rsid w:val="00EF2913"/>
    <w:rsid w:val="00EF6A2A"/>
    <w:rsid w:val="00EF6C6C"/>
    <w:rsid w:val="00EF74A3"/>
    <w:rsid w:val="00F056FC"/>
    <w:rsid w:val="00F05FEF"/>
    <w:rsid w:val="00F06D57"/>
    <w:rsid w:val="00F06DB5"/>
    <w:rsid w:val="00F10476"/>
    <w:rsid w:val="00F12DCE"/>
    <w:rsid w:val="00F135D8"/>
    <w:rsid w:val="00F161E7"/>
    <w:rsid w:val="00F23CF7"/>
    <w:rsid w:val="00F25B29"/>
    <w:rsid w:val="00F25FDC"/>
    <w:rsid w:val="00F30C4F"/>
    <w:rsid w:val="00F31299"/>
    <w:rsid w:val="00F3534A"/>
    <w:rsid w:val="00F40AA3"/>
    <w:rsid w:val="00F41765"/>
    <w:rsid w:val="00F4538E"/>
    <w:rsid w:val="00F50C80"/>
    <w:rsid w:val="00F51609"/>
    <w:rsid w:val="00F55C3A"/>
    <w:rsid w:val="00F5659D"/>
    <w:rsid w:val="00F6582D"/>
    <w:rsid w:val="00F76105"/>
    <w:rsid w:val="00F85325"/>
    <w:rsid w:val="00F856B6"/>
    <w:rsid w:val="00F872C5"/>
    <w:rsid w:val="00F87381"/>
    <w:rsid w:val="00F907ED"/>
    <w:rsid w:val="00F948CA"/>
    <w:rsid w:val="00FB25F8"/>
    <w:rsid w:val="00FC7D79"/>
    <w:rsid w:val="00FD22B1"/>
    <w:rsid w:val="00FD30C3"/>
    <w:rsid w:val="00FD6896"/>
    <w:rsid w:val="00FD6E10"/>
    <w:rsid w:val="00FD727E"/>
    <w:rsid w:val="00FE076E"/>
    <w:rsid w:val="00FE481D"/>
    <w:rsid w:val="00FE6CB9"/>
    <w:rsid w:val="00FF6339"/>
    <w:rsid w:val="00FF67A5"/>
    <w:rsid w:val="00FF6C92"/>
    <w:rsid w:val="00FF73B1"/>
    <w:rsid w:val="00FF7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4E56"/>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basedOn w:val="DefaultParagraphFont"/>
    <w:link w:val="BodyText"/>
    <w:rsid w:val="005C7071"/>
    <w:rPr>
      <w:sz w:val="26"/>
    </w:rPr>
  </w:style>
  <w:style w:type="character" w:styleId="Hyperlink">
    <w:name w:val="Hyperlink"/>
    <w:basedOn w:val="DefaultParagraphFont"/>
    <w:rsid w:val="00C105AA"/>
    <w:rPr>
      <w:color w:val="0000FF" w:themeColor="hyperlink"/>
      <w:u w:val="single"/>
    </w:rPr>
  </w:style>
  <w:style w:type="character" w:styleId="FollowedHyperlink">
    <w:name w:val="FollowedHyperlink"/>
    <w:basedOn w:val="DefaultParagraphFont"/>
    <w:rsid w:val="004C4214"/>
    <w:rPr>
      <w:color w:val="800080" w:themeColor="followedHyperlink"/>
      <w:u w:val="single"/>
    </w:rPr>
  </w:style>
  <w:style w:type="character" w:customStyle="1" w:styleId="ReferenceChar">
    <w:name w:val="Reference Char"/>
    <w:basedOn w:val="DefaultParagraphFont"/>
    <w:link w:val="Reference"/>
    <w:rsid w:val="00454CE2"/>
    <w:rPr>
      <w:sz w:val="26"/>
    </w:rPr>
  </w:style>
  <w:style w:type="character" w:styleId="Strong">
    <w:name w:val="Strong"/>
    <w:basedOn w:val="DefaultParagraphFont"/>
    <w:uiPriority w:val="22"/>
    <w:qFormat/>
    <w:rsid w:val="00BF2297"/>
    <w:rPr>
      <w:b/>
      <w:bCs/>
    </w:rPr>
  </w:style>
  <w:style w:type="paragraph" w:styleId="CommentSubject">
    <w:name w:val="annotation subject"/>
    <w:basedOn w:val="CommentText"/>
    <w:next w:val="CommentText"/>
    <w:link w:val="CommentSubjectChar"/>
    <w:rsid w:val="00540F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0F7F"/>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540F7F"/>
    <w:rPr>
      <w:rFonts w:ascii="Calibri" w:eastAsiaTheme="minorHAnsi" w:hAnsi="Calibri" w:cs="Calibri"/>
      <w:b/>
      <w:bCs/>
      <w:szCs w:val="22"/>
      <w:lang w:eastAsia="en-US"/>
    </w:rPr>
  </w:style>
  <w:style w:type="paragraph" w:styleId="Revision">
    <w:name w:val="Revision"/>
    <w:hidden/>
    <w:uiPriority w:val="99"/>
    <w:semiHidden/>
    <w:rsid w:val="00F41765"/>
    <w:rPr>
      <w:rFonts w:ascii="Calibri" w:eastAsiaTheme="minorHAnsi" w:hAnsi="Calibri" w:cs="Calibri"/>
      <w:sz w:val="22"/>
      <w:szCs w:val="22"/>
      <w:lang w:eastAsia="en-US"/>
    </w:rPr>
  </w:style>
  <w:style w:type="character" w:customStyle="1" w:styleId="FooterChar">
    <w:name w:val="Footer Char"/>
    <w:basedOn w:val="DefaultParagraphFont"/>
    <w:link w:val="Footer"/>
    <w:rsid w:val="00D57FB5"/>
    <w:rPr>
      <w:caps/>
      <w:spacing w:val="-4"/>
      <w:sz w:val="16"/>
    </w:rPr>
  </w:style>
  <w:style w:type="paragraph" w:customStyle="1" w:styleId="BoxSpaceAbove">
    <w:name w:val="Box Space Above"/>
    <w:basedOn w:val="BodyText"/>
    <w:rsid w:val="00240FBB"/>
    <w:pPr>
      <w:keepNext/>
      <w:spacing w:before="360" w:line="80" w:lineRule="exact"/>
      <w:jc w:val="left"/>
    </w:pPr>
  </w:style>
  <w:style w:type="paragraph" w:customStyle="1" w:styleId="BoxSpaceBelow">
    <w:name w:val="Box Space Below"/>
    <w:basedOn w:val="Box"/>
    <w:rsid w:val="00240FBB"/>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4E56"/>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basedOn w:val="DefaultParagraphFont"/>
    <w:link w:val="BodyText"/>
    <w:rsid w:val="005C7071"/>
    <w:rPr>
      <w:sz w:val="26"/>
    </w:rPr>
  </w:style>
  <w:style w:type="character" w:styleId="Hyperlink">
    <w:name w:val="Hyperlink"/>
    <w:basedOn w:val="DefaultParagraphFont"/>
    <w:rsid w:val="00C105AA"/>
    <w:rPr>
      <w:color w:val="0000FF" w:themeColor="hyperlink"/>
      <w:u w:val="single"/>
    </w:rPr>
  </w:style>
  <w:style w:type="character" w:styleId="FollowedHyperlink">
    <w:name w:val="FollowedHyperlink"/>
    <w:basedOn w:val="DefaultParagraphFont"/>
    <w:rsid w:val="004C4214"/>
    <w:rPr>
      <w:color w:val="800080" w:themeColor="followedHyperlink"/>
      <w:u w:val="single"/>
    </w:rPr>
  </w:style>
  <w:style w:type="character" w:customStyle="1" w:styleId="ReferenceChar">
    <w:name w:val="Reference Char"/>
    <w:basedOn w:val="DefaultParagraphFont"/>
    <w:link w:val="Reference"/>
    <w:rsid w:val="00454CE2"/>
    <w:rPr>
      <w:sz w:val="26"/>
    </w:rPr>
  </w:style>
  <w:style w:type="character" w:styleId="Strong">
    <w:name w:val="Strong"/>
    <w:basedOn w:val="DefaultParagraphFont"/>
    <w:uiPriority w:val="22"/>
    <w:qFormat/>
    <w:rsid w:val="00BF2297"/>
    <w:rPr>
      <w:b/>
      <w:bCs/>
    </w:rPr>
  </w:style>
  <w:style w:type="paragraph" w:styleId="CommentSubject">
    <w:name w:val="annotation subject"/>
    <w:basedOn w:val="CommentText"/>
    <w:next w:val="CommentText"/>
    <w:link w:val="CommentSubjectChar"/>
    <w:rsid w:val="00540F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0F7F"/>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540F7F"/>
    <w:rPr>
      <w:rFonts w:ascii="Calibri" w:eastAsiaTheme="minorHAnsi" w:hAnsi="Calibri" w:cs="Calibri"/>
      <w:b/>
      <w:bCs/>
      <w:szCs w:val="22"/>
      <w:lang w:eastAsia="en-US"/>
    </w:rPr>
  </w:style>
  <w:style w:type="paragraph" w:styleId="Revision">
    <w:name w:val="Revision"/>
    <w:hidden/>
    <w:uiPriority w:val="99"/>
    <w:semiHidden/>
    <w:rsid w:val="00F41765"/>
    <w:rPr>
      <w:rFonts w:ascii="Calibri" w:eastAsiaTheme="minorHAnsi" w:hAnsi="Calibri" w:cs="Calibri"/>
      <w:sz w:val="22"/>
      <w:szCs w:val="22"/>
      <w:lang w:eastAsia="en-US"/>
    </w:rPr>
  </w:style>
  <w:style w:type="character" w:customStyle="1" w:styleId="FooterChar">
    <w:name w:val="Footer Char"/>
    <w:basedOn w:val="DefaultParagraphFont"/>
    <w:link w:val="Footer"/>
    <w:rsid w:val="00D57FB5"/>
    <w:rPr>
      <w:caps/>
      <w:spacing w:val="-4"/>
      <w:sz w:val="16"/>
    </w:rPr>
  </w:style>
  <w:style w:type="paragraph" w:customStyle="1" w:styleId="BoxSpaceAbove">
    <w:name w:val="Box Space Above"/>
    <w:basedOn w:val="BodyText"/>
    <w:rsid w:val="00240FBB"/>
    <w:pPr>
      <w:keepNext/>
      <w:spacing w:before="360" w:line="80" w:lineRule="exact"/>
      <w:jc w:val="left"/>
    </w:pPr>
  </w:style>
  <w:style w:type="paragraph" w:customStyle="1" w:styleId="BoxSpaceBelow">
    <w:name w:val="Box Space Below"/>
    <w:basedOn w:val="Box"/>
    <w:rsid w:val="00240FBB"/>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15947">
      <w:bodyDiv w:val="1"/>
      <w:marLeft w:val="0"/>
      <w:marRight w:val="0"/>
      <w:marTop w:val="0"/>
      <w:marBottom w:val="0"/>
      <w:divBdr>
        <w:top w:val="none" w:sz="0" w:space="0" w:color="auto"/>
        <w:left w:val="none" w:sz="0" w:space="0" w:color="auto"/>
        <w:bottom w:val="none" w:sz="0" w:space="0" w:color="auto"/>
        <w:right w:val="none" w:sz="0" w:space="0" w:color="auto"/>
      </w:divBdr>
    </w:div>
    <w:div w:id="1065955765">
      <w:bodyDiv w:val="1"/>
      <w:marLeft w:val="0"/>
      <w:marRight w:val="0"/>
      <w:marTop w:val="0"/>
      <w:marBottom w:val="0"/>
      <w:divBdr>
        <w:top w:val="none" w:sz="0" w:space="0" w:color="auto"/>
        <w:left w:val="none" w:sz="0" w:space="0" w:color="auto"/>
        <w:bottom w:val="none" w:sz="0" w:space="0" w:color="auto"/>
        <w:right w:val="none" w:sz="0" w:space="0" w:color="auto"/>
      </w:divBdr>
      <w:divsChild>
        <w:div w:id="266160602">
          <w:marLeft w:val="0"/>
          <w:marRight w:val="0"/>
          <w:marTop w:val="0"/>
          <w:marBottom w:val="0"/>
          <w:divBdr>
            <w:top w:val="none" w:sz="0" w:space="0" w:color="auto"/>
            <w:left w:val="none" w:sz="0" w:space="0" w:color="auto"/>
            <w:bottom w:val="none" w:sz="0" w:space="0" w:color="auto"/>
            <w:right w:val="none" w:sz="0" w:space="0" w:color="auto"/>
          </w:divBdr>
          <w:divsChild>
            <w:div w:id="2045329072">
              <w:marLeft w:val="0"/>
              <w:marRight w:val="0"/>
              <w:marTop w:val="0"/>
              <w:marBottom w:val="0"/>
              <w:divBdr>
                <w:top w:val="none" w:sz="0" w:space="0" w:color="auto"/>
                <w:left w:val="none" w:sz="0" w:space="0" w:color="auto"/>
                <w:bottom w:val="none" w:sz="0" w:space="0" w:color="auto"/>
                <w:right w:val="none" w:sz="0" w:space="0" w:color="auto"/>
              </w:divBdr>
              <w:divsChild>
                <w:div w:id="745496009">
                  <w:marLeft w:val="0"/>
                  <w:marRight w:val="0"/>
                  <w:marTop w:val="0"/>
                  <w:marBottom w:val="0"/>
                  <w:divBdr>
                    <w:top w:val="none" w:sz="0" w:space="0" w:color="auto"/>
                    <w:left w:val="none" w:sz="0" w:space="0" w:color="auto"/>
                    <w:bottom w:val="none" w:sz="0" w:space="0" w:color="auto"/>
                    <w:right w:val="none" w:sz="0" w:space="0" w:color="auto"/>
                  </w:divBdr>
                  <w:divsChild>
                    <w:div w:id="129290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748977">
      <w:bodyDiv w:val="1"/>
      <w:marLeft w:val="0"/>
      <w:marRight w:val="0"/>
      <w:marTop w:val="0"/>
      <w:marBottom w:val="0"/>
      <w:divBdr>
        <w:top w:val="none" w:sz="0" w:space="0" w:color="auto"/>
        <w:left w:val="none" w:sz="0" w:space="0" w:color="auto"/>
        <w:bottom w:val="none" w:sz="0" w:space="0" w:color="auto"/>
        <w:right w:val="none" w:sz="0" w:space="0" w:color="auto"/>
      </w:divBdr>
      <w:divsChild>
        <w:div w:id="1921405697">
          <w:marLeft w:val="0"/>
          <w:marRight w:val="0"/>
          <w:marTop w:val="0"/>
          <w:marBottom w:val="0"/>
          <w:divBdr>
            <w:top w:val="none" w:sz="0" w:space="0" w:color="auto"/>
            <w:left w:val="none" w:sz="0" w:space="0" w:color="auto"/>
            <w:bottom w:val="none" w:sz="0" w:space="0" w:color="auto"/>
            <w:right w:val="none" w:sz="0" w:space="0" w:color="auto"/>
          </w:divBdr>
          <w:divsChild>
            <w:div w:id="1439059056">
              <w:marLeft w:val="600"/>
              <w:marRight w:val="600"/>
              <w:marTop w:val="0"/>
              <w:marBottom w:val="0"/>
              <w:divBdr>
                <w:top w:val="none" w:sz="0" w:space="0" w:color="auto"/>
                <w:left w:val="none" w:sz="0" w:space="0" w:color="auto"/>
                <w:bottom w:val="none" w:sz="0" w:space="0" w:color="auto"/>
                <w:right w:val="none" w:sz="0" w:space="0" w:color="auto"/>
              </w:divBdr>
              <w:divsChild>
                <w:div w:id="375472498">
                  <w:marLeft w:val="0"/>
                  <w:marRight w:val="0"/>
                  <w:marTop w:val="0"/>
                  <w:marBottom w:val="0"/>
                  <w:divBdr>
                    <w:top w:val="none" w:sz="0" w:space="0" w:color="auto"/>
                    <w:left w:val="none" w:sz="0" w:space="0" w:color="auto"/>
                    <w:bottom w:val="none" w:sz="0" w:space="0" w:color="auto"/>
                    <w:right w:val="none" w:sz="0" w:space="0" w:color="auto"/>
                  </w:divBdr>
                  <w:divsChild>
                    <w:div w:id="1264993108">
                      <w:marLeft w:val="0"/>
                      <w:marRight w:val="0"/>
                      <w:marTop w:val="0"/>
                      <w:marBottom w:val="0"/>
                      <w:divBdr>
                        <w:top w:val="none" w:sz="0" w:space="0" w:color="auto"/>
                        <w:left w:val="none" w:sz="0" w:space="0" w:color="auto"/>
                        <w:bottom w:val="none" w:sz="0" w:space="0" w:color="auto"/>
                        <w:right w:val="none" w:sz="0" w:space="0" w:color="auto"/>
                      </w:divBdr>
                      <w:divsChild>
                        <w:div w:id="597295182">
                          <w:marLeft w:val="0"/>
                          <w:marRight w:val="4050"/>
                          <w:marTop w:val="0"/>
                          <w:marBottom w:val="0"/>
                          <w:divBdr>
                            <w:top w:val="none" w:sz="0" w:space="0" w:color="auto"/>
                            <w:left w:val="none" w:sz="0" w:space="0" w:color="auto"/>
                            <w:bottom w:val="none" w:sz="0" w:space="0" w:color="auto"/>
                            <w:right w:val="none" w:sz="0" w:space="0" w:color="auto"/>
                          </w:divBdr>
                          <w:divsChild>
                            <w:div w:id="794099816">
                              <w:marLeft w:val="0"/>
                              <w:marRight w:val="0"/>
                              <w:marTop w:val="0"/>
                              <w:marBottom w:val="0"/>
                              <w:divBdr>
                                <w:top w:val="none" w:sz="0" w:space="0" w:color="auto"/>
                                <w:left w:val="none" w:sz="0" w:space="0" w:color="auto"/>
                                <w:bottom w:val="none" w:sz="0" w:space="0" w:color="auto"/>
                                <w:right w:val="none" w:sz="0" w:space="0" w:color="auto"/>
                              </w:divBdr>
                              <w:divsChild>
                                <w:div w:id="1586183871">
                                  <w:marLeft w:val="0"/>
                                  <w:marRight w:val="0"/>
                                  <w:marTop w:val="0"/>
                                  <w:marBottom w:val="0"/>
                                  <w:divBdr>
                                    <w:top w:val="none" w:sz="0" w:space="0" w:color="auto"/>
                                    <w:left w:val="none" w:sz="0" w:space="0" w:color="auto"/>
                                    <w:bottom w:val="none" w:sz="0" w:space="0" w:color="auto"/>
                                    <w:right w:val="none" w:sz="0" w:space="0" w:color="auto"/>
                                  </w:divBdr>
                                  <w:divsChild>
                                    <w:div w:id="790132260">
                                      <w:marLeft w:val="0"/>
                                      <w:marRight w:val="0"/>
                                      <w:marTop w:val="0"/>
                                      <w:marBottom w:val="0"/>
                                      <w:divBdr>
                                        <w:top w:val="none" w:sz="0" w:space="0" w:color="auto"/>
                                        <w:left w:val="none" w:sz="0" w:space="0" w:color="auto"/>
                                        <w:bottom w:val="none" w:sz="0" w:space="0" w:color="auto"/>
                                        <w:right w:val="none" w:sz="0" w:space="0" w:color="auto"/>
                                      </w:divBdr>
                                      <w:divsChild>
                                        <w:div w:id="493684157">
                                          <w:marLeft w:val="0"/>
                                          <w:marRight w:val="0"/>
                                          <w:marTop w:val="0"/>
                                          <w:marBottom w:val="0"/>
                                          <w:divBdr>
                                            <w:top w:val="none" w:sz="0" w:space="0" w:color="auto"/>
                                            <w:left w:val="none" w:sz="0" w:space="0" w:color="auto"/>
                                            <w:bottom w:val="none" w:sz="0" w:space="0" w:color="auto"/>
                                            <w:right w:val="none" w:sz="0" w:space="0" w:color="auto"/>
                                          </w:divBdr>
                                          <w:divsChild>
                                            <w:div w:id="1065950054">
                                              <w:marLeft w:val="0"/>
                                              <w:marRight w:val="0"/>
                                              <w:marTop w:val="0"/>
                                              <w:marBottom w:val="225"/>
                                              <w:divBdr>
                                                <w:top w:val="single" w:sz="6" w:space="5" w:color="666666"/>
                                                <w:left w:val="single" w:sz="6" w:space="5" w:color="666666"/>
                                                <w:bottom w:val="single" w:sz="6" w:space="5" w:color="666666"/>
                                                <w:right w:val="single" w:sz="6" w:space="5" w:color="666666"/>
                                              </w:divBdr>
                                            </w:div>
                                          </w:divsChild>
                                        </w:div>
                                      </w:divsChild>
                                    </w:div>
                                  </w:divsChild>
                                </w:div>
                              </w:divsChild>
                            </w:div>
                          </w:divsChild>
                        </w:div>
                      </w:divsChild>
                    </w:div>
                  </w:divsChild>
                </w:div>
              </w:divsChild>
            </w:div>
          </w:divsChild>
        </w:div>
      </w:divsChild>
    </w:div>
    <w:div w:id="189788639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settings" Target="settings.xm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microsoft.com/office/2007/relationships/stylesWithEffects" Target="stylesWithEffects.xml"/><Relationship Id="rId38" Type="http://schemas.openxmlformats.org/officeDocument/2006/relationships/image" Target="media/image1.gi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endnotes" Target="endnotes.xm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webSettings" Target="webSettings.xml"/><Relationship Id="rId43"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530B-19B0-458B-8372-8413A4DCBB04}">
  <ds:schemaRefs>
    <ds:schemaRef ds:uri="http://schemas.openxmlformats.org/officeDocument/2006/bibliography"/>
  </ds:schemaRefs>
</ds:datastoreItem>
</file>

<file path=customXml/itemProps10.xml><?xml version="1.0" encoding="utf-8"?>
<ds:datastoreItem xmlns:ds="http://schemas.openxmlformats.org/officeDocument/2006/customXml" ds:itemID="{83EA0E18-4638-4BFF-AB97-8FA39546E6B7}">
  <ds:schemaRefs>
    <ds:schemaRef ds:uri="http://schemas.openxmlformats.org/officeDocument/2006/bibliography"/>
  </ds:schemaRefs>
</ds:datastoreItem>
</file>

<file path=customXml/itemProps11.xml><?xml version="1.0" encoding="utf-8"?>
<ds:datastoreItem xmlns:ds="http://schemas.openxmlformats.org/officeDocument/2006/customXml" ds:itemID="{A8251CA4-3CCA-4D72-A3AD-B9AD2B3BAACD}">
  <ds:schemaRefs>
    <ds:schemaRef ds:uri="http://schemas.openxmlformats.org/officeDocument/2006/bibliography"/>
  </ds:schemaRefs>
</ds:datastoreItem>
</file>

<file path=customXml/itemProps12.xml><?xml version="1.0" encoding="utf-8"?>
<ds:datastoreItem xmlns:ds="http://schemas.openxmlformats.org/officeDocument/2006/customXml" ds:itemID="{E65AE5E7-23A9-4401-8DEB-F352F03DD44E}">
  <ds:schemaRefs>
    <ds:schemaRef ds:uri="http://schemas.openxmlformats.org/officeDocument/2006/bibliography"/>
  </ds:schemaRefs>
</ds:datastoreItem>
</file>

<file path=customXml/itemProps13.xml><?xml version="1.0" encoding="utf-8"?>
<ds:datastoreItem xmlns:ds="http://schemas.openxmlformats.org/officeDocument/2006/customXml" ds:itemID="{D5F51F67-87D2-40C0-82BF-9F891645EDDF}">
  <ds:schemaRefs>
    <ds:schemaRef ds:uri="http://schemas.openxmlformats.org/officeDocument/2006/bibliography"/>
  </ds:schemaRefs>
</ds:datastoreItem>
</file>

<file path=customXml/itemProps14.xml><?xml version="1.0" encoding="utf-8"?>
<ds:datastoreItem xmlns:ds="http://schemas.openxmlformats.org/officeDocument/2006/customXml" ds:itemID="{B5AC9B7E-8D4F-4234-B770-F9EB773BCBE7}">
  <ds:schemaRefs>
    <ds:schemaRef ds:uri="http://schemas.openxmlformats.org/officeDocument/2006/bibliography"/>
  </ds:schemaRefs>
</ds:datastoreItem>
</file>

<file path=customXml/itemProps15.xml><?xml version="1.0" encoding="utf-8"?>
<ds:datastoreItem xmlns:ds="http://schemas.openxmlformats.org/officeDocument/2006/customXml" ds:itemID="{4C107E61-DF39-4DA0-A87C-FD9CFD7FB844}">
  <ds:schemaRefs>
    <ds:schemaRef ds:uri="http://schemas.openxmlformats.org/officeDocument/2006/bibliography"/>
  </ds:schemaRefs>
</ds:datastoreItem>
</file>

<file path=customXml/itemProps16.xml><?xml version="1.0" encoding="utf-8"?>
<ds:datastoreItem xmlns:ds="http://schemas.openxmlformats.org/officeDocument/2006/customXml" ds:itemID="{76A4CF03-4D0A-4B2F-B61E-4A1E782D38B3}">
  <ds:schemaRefs>
    <ds:schemaRef ds:uri="http://schemas.openxmlformats.org/officeDocument/2006/bibliography"/>
  </ds:schemaRefs>
</ds:datastoreItem>
</file>

<file path=customXml/itemProps17.xml><?xml version="1.0" encoding="utf-8"?>
<ds:datastoreItem xmlns:ds="http://schemas.openxmlformats.org/officeDocument/2006/customXml" ds:itemID="{208A6B54-EDCA-405E-A137-ADDE6EAC3BC0}">
  <ds:schemaRefs>
    <ds:schemaRef ds:uri="http://schemas.openxmlformats.org/officeDocument/2006/bibliography"/>
  </ds:schemaRefs>
</ds:datastoreItem>
</file>

<file path=customXml/itemProps18.xml><?xml version="1.0" encoding="utf-8"?>
<ds:datastoreItem xmlns:ds="http://schemas.openxmlformats.org/officeDocument/2006/customXml" ds:itemID="{63AD9448-B6D8-4A04-9C31-B73FBBA10DD9}">
  <ds:schemaRefs>
    <ds:schemaRef ds:uri="http://schemas.openxmlformats.org/officeDocument/2006/bibliography"/>
  </ds:schemaRefs>
</ds:datastoreItem>
</file>

<file path=customXml/itemProps19.xml><?xml version="1.0" encoding="utf-8"?>
<ds:datastoreItem xmlns:ds="http://schemas.openxmlformats.org/officeDocument/2006/customXml" ds:itemID="{BB73EDA5-204B-4B27-A040-A31F61282E64}">
  <ds:schemaRefs>
    <ds:schemaRef ds:uri="http://schemas.openxmlformats.org/officeDocument/2006/bibliography"/>
  </ds:schemaRefs>
</ds:datastoreItem>
</file>

<file path=customXml/itemProps2.xml><?xml version="1.0" encoding="utf-8"?>
<ds:datastoreItem xmlns:ds="http://schemas.openxmlformats.org/officeDocument/2006/customXml" ds:itemID="{6A2EC33B-71A6-4063-8446-E88AB406F1AA}">
  <ds:schemaRefs>
    <ds:schemaRef ds:uri="http://schemas.openxmlformats.org/officeDocument/2006/bibliography"/>
  </ds:schemaRefs>
</ds:datastoreItem>
</file>

<file path=customXml/itemProps20.xml><?xml version="1.0" encoding="utf-8"?>
<ds:datastoreItem xmlns:ds="http://schemas.openxmlformats.org/officeDocument/2006/customXml" ds:itemID="{9AC772E8-23A7-4AB3-A338-33610AE8CF24}">
  <ds:schemaRefs>
    <ds:schemaRef ds:uri="http://schemas.openxmlformats.org/officeDocument/2006/bibliography"/>
  </ds:schemaRefs>
</ds:datastoreItem>
</file>

<file path=customXml/itemProps21.xml><?xml version="1.0" encoding="utf-8"?>
<ds:datastoreItem xmlns:ds="http://schemas.openxmlformats.org/officeDocument/2006/customXml" ds:itemID="{6E485FA4-9865-4C5E-A0A4-576FF8A657E6}">
  <ds:schemaRefs>
    <ds:schemaRef ds:uri="http://schemas.openxmlformats.org/officeDocument/2006/bibliography"/>
  </ds:schemaRefs>
</ds:datastoreItem>
</file>

<file path=customXml/itemProps22.xml><?xml version="1.0" encoding="utf-8"?>
<ds:datastoreItem xmlns:ds="http://schemas.openxmlformats.org/officeDocument/2006/customXml" ds:itemID="{9BC9171F-9F3A-4C1F-A148-307264C4A520}">
  <ds:schemaRefs>
    <ds:schemaRef ds:uri="http://schemas.openxmlformats.org/officeDocument/2006/bibliography"/>
  </ds:schemaRefs>
</ds:datastoreItem>
</file>

<file path=customXml/itemProps23.xml><?xml version="1.0" encoding="utf-8"?>
<ds:datastoreItem xmlns:ds="http://schemas.openxmlformats.org/officeDocument/2006/customXml" ds:itemID="{308E2086-A6F6-4467-9B0F-07DB10A9D86E}">
  <ds:schemaRefs>
    <ds:schemaRef ds:uri="http://schemas.openxmlformats.org/officeDocument/2006/bibliography"/>
  </ds:schemaRefs>
</ds:datastoreItem>
</file>

<file path=customXml/itemProps24.xml><?xml version="1.0" encoding="utf-8"?>
<ds:datastoreItem xmlns:ds="http://schemas.openxmlformats.org/officeDocument/2006/customXml" ds:itemID="{8C75B4F8-AE7E-4F21-98A3-82FF97A0D990}">
  <ds:schemaRefs>
    <ds:schemaRef ds:uri="http://schemas.openxmlformats.org/officeDocument/2006/bibliography"/>
  </ds:schemaRefs>
</ds:datastoreItem>
</file>

<file path=customXml/itemProps25.xml><?xml version="1.0" encoding="utf-8"?>
<ds:datastoreItem xmlns:ds="http://schemas.openxmlformats.org/officeDocument/2006/customXml" ds:itemID="{1915A2A5-2A3F-4B50-BDF8-B796F0402C77}">
  <ds:schemaRefs>
    <ds:schemaRef ds:uri="http://schemas.openxmlformats.org/officeDocument/2006/bibliography"/>
  </ds:schemaRefs>
</ds:datastoreItem>
</file>

<file path=customXml/itemProps26.xml><?xml version="1.0" encoding="utf-8"?>
<ds:datastoreItem xmlns:ds="http://schemas.openxmlformats.org/officeDocument/2006/customXml" ds:itemID="{E6197B89-A3AD-4833-A050-D233D23F408F}">
  <ds:schemaRefs>
    <ds:schemaRef ds:uri="http://schemas.openxmlformats.org/officeDocument/2006/bibliography"/>
  </ds:schemaRefs>
</ds:datastoreItem>
</file>

<file path=customXml/itemProps27.xml><?xml version="1.0" encoding="utf-8"?>
<ds:datastoreItem xmlns:ds="http://schemas.openxmlformats.org/officeDocument/2006/customXml" ds:itemID="{C8CD5419-A18F-4A34-BB75-162A7A0AD1FB}">
  <ds:schemaRefs>
    <ds:schemaRef ds:uri="http://schemas.openxmlformats.org/officeDocument/2006/bibliography"/>
  </ds:schemaRefs>
</ds:datastoreItem>
</file>

<file path=customXml/itemProps28.xml><?xml version="1.0" encoding="utf-8"?>
<ds:datastoreItem xmlns:ds="http://schemas.openxmlformats.org/officeDocument/2006/customXml" ds:itemID="{81FC0A91-5B5C-4971-85AB-9D8CF4A128A5}">
  <ds:schemaRefs>
    <ds:schemaRef ds:uri="http://schemas.openxmlformats.org/officeDocument/2006/bibliography"/>
  </ds:schemaRefs>
</ds:datastoreItem>
</file>

<file path=customXml/itemProps29.xml><?xml version="1.0" encoding="utf-8"?>
<ds:datastoreItem xmlns:ds="http://schemas.openxmlformats.org/officeDocument/2006/customXml" ds:itemID="{67035EE2-36F8-437E-B5B9-635CBF59F2DE}">
  <ds:schemaRefs>
    <ds:schemaRef ds:uri="http://schemas.openxmlformats.org/officeDocument/2006/bibliography"/>
  </ds:schemaRefs>
</ds:datastoreItem>
</file>

<file path=customXml/itemProps3.xml><?xml version="1.0" encoding="utf-8"?>
<ds:datastoreItem xmlns:ds="http://schemas.openxmlformats.org/officeDocument/2006/customXml" ds:itemID="{1F7CBD41-5A34-4DDE-8DC5-E60F1A9B6AE3}">
  <ds:schemaRefs>
    <ds:schemaRef ds:uri="http://schemas.openxmlformats.org/officeDocument/2006/bibliography"/>
  </ds:schemaRefs>
</ds:datastoreItem>
</file>

<file path=customXml/itemProps30.xml><?xml version="1.0" encoding="utf-8"?>
<ds:datastoreItem xmlns:ds="http://schemas.openxmlformats.org/officeDocument/2006/customXml" ds:itemID="{03A55037-5314-428C-BB70-E122C20F5661}">
  <ds:schemaRefs>
    <ds:schemaRef ds:uri="http://schemas.openxmlformats.org/officeDocument/2006/bibliography"/>
  </ds:schemaRefs>
</ds:datastoreItem>
</file>

<file path=customXml/itemProps4.xml><?xml version="1.0" encoding="utf-8"?>
<ds:datastoreItem xmlns:ds="http://schemas.openxmlformats.org/officeDocument/2006/customXml" ds:itemID="{A5499582-4300-4CC6-A1A2-A16B771E2791}">
  <ds:schemaRefs>
    <ds:schemaRef ds:uri="http://schemas.openxmlformats.org/officeDocument/2006/bibliography"/>
  </ds:schemaRefs>
</ds:datastoreItem>
</file>

<file path=customXml/itemProps5.xml><?xml version="1.0" encoding="utf-8"?>
<ds:datastoreItem xmlns:ds="http://schemas.openxmlformats.org/officeDocument/2006/customXml" ds:itemID="{12A6EC6D-CB46-42A9-86CC-CA0E190422FA}">
  <ds:schemaRefs>
    <ds:schemaRef ds:uri="http://schemas.openxmlformats.org/officeDocument/2006/bibliography"/>
  </ds:schemaRefs>
</ds:datastoreItem>
</file>

<file path=customXml/itemProps6.xml><?xml version="1.0" encoding="utf-8"?>
<ds:datastoreItem xmlns:ds="http://schemas.openxmlformats.org/officeDocument/2006/customXml" ds:itemID="{4F84645E-5D29-46A1-8F40-D0494883B2EE}">
  <ds:schemaRefs>
    <ds:schemaRef ds:uri="http://schemas.openxmlformats.org/officeDocument/2006/bibliography"/>
  </ds:schemaRefs>
</ds:datastoreItem>
</file>

<file path=customXml/itemProps7.xml><?xml version="1.0" encoding="utf-8"?>
<ds:datastoreItem xmlns:ds="http://schemas.openxmlformats.org/officeDocument/2006/customXml" ds:itemID="{AC0B45AF-3ABA-46D6-883C-81673D3A26D1}">
  <ds:schemaRefs>
    <ds:schemaRef ds:uri="http://schemas.openxmlformats.org/officeDocument/2006/bibliography"/>
  </ds:schemaRefs>
</ds:datastoreItem>
</file>

<file path=customXml/itemProps8.xml><?xml version="1.0" encoding="utf-8"?>
<ds:datastoreItem xmlns:ds="http://schemas.openxmlformats.org/officeDocument/2006/customXml" ds:itemID="{62878331-E342-4010-9DD9-9FE9C0353E0A}">
  <ds:schemaRefs>
    <ds:schemaRef ds:uri="http://schemas.openxmlformats.org/officeDocument/2006/bibliography"/>
  </ds:schemaRefs>
</ds:datastoreItem>
</file>

<file path=customXml/itemProps9.xml><?xml version="1.0" encoding="utf-8"?>
<ds:datastoreItem xmlns:ds="http://schemas.openxmlformats.org/officeDocument/2006/customXml" ds:itemID="{D248C898-A8CC-4E25-9937-A7804D75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22</Pages>
  <Words>7249</Words>
  <Characters>40884</Characters>
  <Application>Microsoft Office Word</Application>
  <DocSecurity>0</DocSecurity>
  <Lines>340</Lines>
  <Paragraphs>96</Paragraphs>
  <ScaleCrop>false</ScaleCrop>
  <HeadingPairs>
    <vt:vector size="2" baseType="variant">
      <vt:variant>
        <vt:lpstr>Title</vt:lpstr>
      </vt:variant>
      <vt:variant>
        <vt:i4>1</vt:i4>
      </vt:variant>
    </vt:vector>
  </HeadingPairs>
  <TitlesOfParts>
    <vt:vector size="1" baseType="lpstr">
      <vt:lpstr>More detail on patents systems</vt:lpstr>
    </vt:vector>
  </TitlesOfParts>
  <Company>Productivity Commission</Company>
  <LinksUpToDate>false</LinksUpToDate>
  <CharactersWithSpaces>48037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detail on patents systems</dc:title>
  <dc:creator>Productivity Commission</dc:creator>
  <dc:description>B.</dc:description>
  <cp:lastModifiedBy>Productivity Commission</cp:lastModifiedBy>
  <cp:revision>2</cp:revision>
  <cp:lastPrinted>2013-03-25T23:17:00Z</cp:lastPrinted>
  <dcterms:created xsi:type="dcterms:W3CDTF">2013-05-29T02:02:00Z</dcterms:created>
  <dcterms:modified xsi:type="dcterms:W3CDTF">2013-05-29T02:02:00Z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750464191</vt:i4>
  </property>
  <property fmtid="{D5CDD505-2E9C-101B-9397-08002B2CF9AE}" pid="3" name="_NewReviewCycle">
    <vt:lpwstr/>
  </property>
  <property fmtid="{D5CDD505-2E9C-101B-9397-08002B2CF9AE}" pid="4" name="_EmailSubject">
    <vt:lpwstr>web files - patents final report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