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12890" w14:textId="77777777" w:rsidR="00A33DFF" w:rsidRPr="00384F41" w:rsidRDefault="00384F41" w:rsidP="00384F41">
      <w:pPr>
        <w:pStyle w:val="Chapter"/>
        <w:ind w:left="907" w:hanging="907"/>
        <w:rPr>
          <w:rFonts w:ascii="Times New Roman" w:hAnsi="Times New Roman" w:cs="Times New Roman"/>
        </w:rPr>
      </w:pPr>
      <w:bookmarkStart w:id="0" w:name="_AppendixNotByChapter"/>
      <w:bookmarkStart w:id="1" w:name="ChapterNumber"/>
      <w:bookmarkStart w:id="2" w:name="_GoBack"/>
      <w:bookmarkEnd w:id="0"/>
      <w:bookmarkEnd w:id="2"/>
      <w:r w:rsidRPr="00384F41">
        <w:rPr>
          <w:rFonts w:ascii="Times New Roman" w:hAnsi="Times New Roman" w:cs="Times New Roman"/>
        </w:rPr>
        <w:t>C</w:t>
      </w:r>
      <w:bookmarkEnd w:id="1"/>
      <w:r w:rsidRPr="00384F41">
        <w:rPr>
          <w:rFonts w:ascii="Times New Roman" w:hAnsi="Times New Roman" w:cs="Times New Roman"/>
        </w:rPr>
        <w:tab/>
      </w:r>
      <w:bookmarkStart w:id="3" w:name="ChapterTitle"/>
      <w:r w:rsidRPr="00384F41">
        <w:rPr>
          <w:rFonts w:ascii="Times New Roman" w:hAnsi="Times New Roman" w:cs="Times New Roman"/>
        </w:rPr>
        <w:t>Non-voluntary access arrangements in comparable markets</w:t>
      </w:r>
      <w:bookmarkEnd w:id="3"/>
    </w:p>
    <w:p w14:paraId="000E115B" w14:textId="77777777" w:rsidR="00CF3F2E" w:rsidRDefault="00533ADB" w:rsidP="00120072">
      <w:pPr>
        <w:pStyle w:val="BodyText"/>
      </w:pPr>
      <w:bookmarkStart w:id="4" w:name="begin"/>
      <w:bookmarkEnd w:id="4"/>
      <w:r>
        <w:t>Among other things, t</w:t>
      </w:r>
      <w:r w:rsidR="000800DA">
        <w:t>he t</w:t>
      </w:r>
      <w:r w:rsidR="00CF3F2E">
        <w:t xml:space="preserve">erms of </w:t>
      </w:r>
      <w:r w:rsidR="000800DA">
        <w:t>r</w:t>
      </w:r>
      <w:r w:rsidR="00CF3F2E">
        <w:t>eference for this study ask the Commission to:</w:t>
      </w:r>
    </w:p>
    <w:p w14:paraId="36BC8FF9" w14:textId="77777777" w:rsidR="00CF3F2E" w:rsidRDefault="00CF3F2E" w:rsidP="00CF3F2E">
      <w:pPr>
        <w:pStyle w:val="Quote"/>
      </w:pPr>
      <w:r>
        <w:t>Advise on the frequency, and impact, of the issue of compulsory licences in comparable markets and the common features in such compulsory licen</w:t>
      </w:r>
      <w:r w:rsidR="00A507E6">
        <w:t>c</w:t>
      </w:r>
      <w:r>
        <w:t xml:space="preserve">es. </w:t>
      </w:r>
    </w:p>
    <w:p w14:paraId="7AEC1AF9" w14:textId="77777777" w:rsidR="002C3546" w:rsidRDefault="00CF3F2E" w:rsidP="00173058">
      <w:pPr>
        <w:pStyle w:val="BodyText"/>
      </w:pPr>
      <w:r>
        <w:t xml:space="preserve">The Commission </w:t>
      </w:r>
      <w:r w:rsidR="003468B9">
        <w:t xml:space="preserve">was also </w:t>
      </w:r>
      <w:r w:rsidR="001730C6">
        <w:t>asked</w:t>
      </w:r>
      <w:r w:rsidR="003468B9">
        <w:t xml:space="preserve"> to have regard to </w:t>
      </w:r>
      <w:r>
        <w:t>‘the range of international approaches’.</w:t>
      </w:r>
      <w:r w:rsidR="007107F0">
        <w:t xml:space="preserve"> </w:t>
      </w:r>
      <w:r w:rsidR="00817BE8">
        <w:t xml:space="preserve">This appendix examines </w:t>
      </w:r>
      <w:r w:rsidR="00E84871">
        <w:t xml:space="preserve">arrangements for </w:t>
      </w:r>
      <w:r w:rsidR="00817BE8">
        <w:t xml:space="preserve">non-voluntary access </w:t>
      </w:r>
      <w:r w:rsidR="00E84871">
        <w:t xml:space="preserve">to patents </w:t>
      </w:r>
      <w:r w:rsidR="00817BE8">
        <w:t xml:space="preserve">in </w:t>
      </w:r>
      <w:r w:rsidR="00173058">
        <w:t>comparable markets</w:t>
      </w:r>
      <w:r w:rsidR="00F72FAF">
        <w:t>.</w:t>
      </w:r>
      <w:r w:rsidR="00173058">
        <w:t xml:space="preserve"> As detailed in appendix B, the Commission has included a range of countries in its international comparisons, reflecting the many different factors that can define a comparable market. </w:t>
      </w:r>
    </w:p>
    <w:p w14:paraId="4ED3AFED" w14:textId="77777777" w:rsidR="003F0B3E" w:rsidRPr="003F0B3E" w:rsidRDefault="00817BE8" w:rsidP="00E84871">
      <w:pPr>
        <w:pStyle w:val="BodyText"/>
        <w:rPr>
          <w:rStyle w:val="DraftingNote"/>
          <w:b w:val="0"/>
          <w:color w:val="auto"/>
          <w:sz w:val="26"/>
          <w:u w:val="none"/>
        </w:rPr>
      </w:pPr>
      <w:r>
        <w:t>Non</w:t>
      </w:r>
      <w:r w:rsidR="00E84871">
        <w:noBreakHyphen/>
      </w:r>
      <w:r>
        <w:t>voluntary access arrangements examined in this appendix include compulsory licensing, government</w:t>
      </w:r>
      <w:r w:rsidR="006E755C">
        <w:t xml:space="preserve"> </w:t>
      </w:r>
      <w:r>
        <w:t>use</w:t>
      </w:r>
      <w:r w:rsidR="00E84871">
        <w:t xml:space="preserve">, research and regulatory </w:t>
      </w:r>
      <w:r w:rsidR="00996F46">
        <w:t xml:space="preserve">approval </w:t>
      </w:r>
      <w:r w:rsidR="00E84871">
        <w:t>exemptions a</w:t>
      </w:r>
      <w:r>
        <w:t xml:space="preserve">nd </w:t>
      </w:r>
      <w:r w:rsidR="00E84871">
        <w:t xml:space="preserve">other </w:t>
      </w:r>
      <w:r w:rsidR="00273E4B">
        <w:t xml:space="preserve">relevant </w:t>
      </w:r>
      <w:r w:rsidR="00E84871">
        <w:t>arrangements</w:t>
      </w:r>
      <w:r>
        <w:t xml:space="preserve">. </w:t>
      </w:r>
      <w:r w:rsidR="003F0B3E">
        <w:t>Th</w:t>
      </w:r>
      <w:r w:rsidR="00E84871">
        <w:t xml:space="preserve">e features, frequency </w:t>
      </w:r>
      <w:r w:rsidR="001730C6">
        <w:t xml:space="preserve">of use </w:t>
      </w:r>
      <w:r w:rsidR="00E84871">
        <w:t xml:space="preserve">and impacts of such arrangements are examined in turn. </w:t>
      </w:r>
    </w:p>
    <w:p w14:paraId="2A10FF79" w14:textId="77777777" w:rsidR="00B67E4C" w:rsidRDefault="003814FE" w:rsidP="003814FE">
      <w:pPr>
        <w:pStyle w:val="Heading2"/>
      </w:pPr>
      <w:r>
        <w:t>C.1</w:t>
      </w:r>
      <w:r>
        <w:tab/>
      </w:r>
      <w:r w:rsidR="000128E6">
        <w:t xml:space="preserve">Features of non-voluntary access arrangements </w:t>
      </w:r>
    </w:p>
    <w:p w14:paraId="69259FC5" w14:textId="77777777" w:rsidR="00A22817" w:rsidRDefault="00A22817" w:rsidP="00A22817">
      <w:pPr>
        <w:pStyle w:val="BodyText"/>
      </w:pPr>
      <w:r>
        <w:t xml:space="preserve">As mentioned elsewhere in this report, there are many similarities between patents systems in Australia and comparable markets. These similarities are in part because comparable markets are signatories to key international </w:t>
      </w:r>
      <w:r w:rsidR="001730C6">
        <w:t>intellectual property (</w:t>
      </w:r>
      <w:r>
        <w:t>IP</w:t>
      </w:r>
      <w:r w:rsidR="001730C6">
        <w:t>)</w:t>
      </w:r>
      <w:r>
        <w:t xml:space="preserve"> agreements, such as the</w:t>
      </w:r>
      <w:r w:rsidR="00622F73">
        <w:t xml:space="preserve"> Paris Convention </w:t>
      </w:r>
      <w:r w:rsidR="00173058">
        <w:t xml:space="preserve">for the Protection of Industrial Property </w:t>
      </w:r>
      <w:r w:rsidR="00622F73">
        <w:t>and the</w:t>
      </w:r>
      <w:r w:rsidRPr="0092749E">
        <w:t xml:space="preserve"> </w:t>
      </w:r>
      <w:r>
        <w:t>Agreement on Trade-Related Aspects of Intellectual Property Rights 1994 (TRIPS</w:t>
      </w:r>
      <w:r w:rsidR="00C55690">
        <w:t xml:space="preserve"> agreement</w:t>
      </w:r>
      <w:r>
        <w:t>). Non-voluntary access to patents is permitted under these international treaties. Article 30 of TRIPS states:</w:t>
      </w:r>
    </w:p>
    <w:p w14:paraId="636F2819" w14:textId="77777777" w:rsidR="00A22817" w:rsidRDefault="00A22817" w:rsidP="00A22817">
      <w:pPr>
        <w:pStyle w:val="Quote"/>
      </w:pPr>
      <w:r>
        <w:t>Members may provide limited exceptions to the exclusive rights conferred by a patent, provided that such exceptions do not unreasonably conflict with a normal exploitation of the patent and do not unreasonably prejudice the legitimate interests of the patent owner, taking account of the legitimate interests of third parties.</w:t>
      </w:r>
    </w:p>
    <w:p w14:paraId="3A6237A0" w14:textId="77777777" w:rsidR="003814FE" w:rsidRDefault="000128E6" w:rsidP="003814FE">
      <w:pPr>
        <w:pStyle w:val="Heading3"/>
      </w:pPr>
      <w:r>
        <w:lastRenderedPageBreak/>
        <w:t>C</w:t>
      </w:r>
      <w:r w:rsidR="007107F0">
        <w:t>ompulsory licensing</w:t>
      </w:r>
    </w:p>
    <w:p w14:paraId="64FCC838" w14:textId="77777777" w:rsidR="009167DB" w:rsidRDefault="003468B9" w:rsidP="00B67E4C">
      <w:pPr>
        <w:pStyle w:val="BodyText"/>
      </w:pPr>
      <w:r>
        <w:t>The Wor</w:t>
      </w:r>
      <w:r w:rsidR="00774193">
        <w:t>ld Intellectual Property Organi</w:t>
      </w:r>
      <w:r w:rsidR="00C55690">
        <w:t>s</w:t>
      </w:r>
      <w:r>
        <w:t xml:space="preserve">ation (WIPO 2008) defines a </w:t>
      </w:r>
      <w:r w:rsidR="00425A06">
        <w:t xml:space="preserve">compulsory licence </w:t>
      </w:r>
      <w:r w:rsidR="00C005A0">
        <w:t xml:space="preserve">for a patent </w:t>
      </w:r>
      <w:r>
        <w:t>a</w:t>
      </w:r>
      <w:r w:rsidR="00425A06">
        <w:t xml:space="preserve">s a licence given to an entity or person on their request by a government authority (for example, a Patent Office) to </w:t>
      </w:r>
      <w:r w:rsidR="00E84871">
        <w:t>‘</w:t>
      </w:r>
      <w:r w:rsidR="00425A06">
        <w:t>work</w:t>
      </w:r>
      <w:r w:rsidR="00E84871">
        <w:t>’</w:t>
      </w:r>
      <w:r w:rsidR="003833A3">
        <w:rPr>
          <w:rStyle w:val="FootnoteReference"/>
        </w:rPr>
        <w:footnoteReference w:id="2"/>
      </w:r>
      <w:r w:rsidR="00425A06">
        <w:t xml:space="preserve"> a patent without the patent </w:t>
      </w:r>
      <w:r w:rsidR="00DC2816">
        <w:t>owner</w:t>
      </w:r>
      <w:r w:rsidR="00425A06">
        <w:t xml:space="preserve">’s consent. </w:t>
      </w:r>
      <w:r w:rsidR="00676D82">
        <w:t xml:space="preserve">International </w:t>
      </w:r>
      <w:r w:rsidR="00774193">
        <w:t>I</w:t>
      </w:r>
      <w:r w:rsidR="001730C6">
        <w:t>P</w:t>
      </w:r>
      <w:r w:rsidR="00774193">
        <w:t xml:space="preserve"> </w:t>
      </w:r>
      <w:r w:rsidR="00676D82">
        <w:t xml:space="preserve">treaties explicitly permit compulsory licensing (discussed in more detail in appendix D). </w:t>
      </w:r>
      <w:r>
        <w:t>WIPO released a detailed study in 2010 which showed that c</w:t>
      </w:r>
      <w:r w:rsidR="0031322F">
        <w:t xml:space="preserve">ompulsory licensing is a feature of </w:t>
      </w:r>
      <w:r w:rsidR="00774193">
        <w:t>IP</w:t>
      </w:r>
      <w:r w:rsidR="0031322F">
        <w:t xml:space="preserve"> legislation in </w:t>
      </w:r>
      <w:r w:rsidR="00986160">
        <w:t xml:space="preserve">almost all </w:t>
      </w:r>
      <w:r>
        <w:t>countries (WIPO 2010</w:t>
      </w:r>
      <w:r w:rsidR="00686A66">
        <w:t>a</w:t>
      </w:r>
      <w:r>
        <w:t>)</w:t>
      </w:r>
      <w:r w:rsidR="0031322F">
        <w:t xml:space="preserve">. </w:t>
      </w:r>
      <w:r w:rsidR="009167DB">
        <w:t xml:space="preserve">Compulsory licensing is not restricted to patents and is available for other types of </w:t>
      </w:r>
      <w:r w:rsidR="00774193">
        <w:t>IP</w:t>
      </w:r>
      <w:r w:rsidR="009167DB">
        <w:t xml:space="preserve"> in comparable markets. </w:t>
      </w:r>
    </w:p>
    <w:p w14:paraId="5099F70A" w14:textId="77777777" w:rsidR="00502283" w:rsidRDefault="003D7FAA" w:rsidP="00B67E4C">
      <w:pPr>
        <w:pStyle w:val="BodyText"/>
      </w:pPr>
      <w:r>
        <w:t>WIPO (2010</w:t>
      </w:r>
      <w:r w:rsidR="00686A66">
        <w:t>a</w:t>
      </w:r>
      <w:r>
        <w:t xml:space="preserve">) examined </w:t>
      </w:r>
      <w:r w:rsidR="00502283">
        <w:t xml:space="preserve">four grounds for use </w:t>
      </w:r>
      <w:r w:rsidR="00B67E4C">
        <w:t>of</w:t>
      </w:r>
      <w:r w:rsidR="003814FE">
        <w:t xml:space="preserve"> compulsory licensing provision</w:t>
      </w:r>
      <w:r w:rsidR="00B67E4C">
        <w:t xml:space="preserve">s </w:t>
      </w:r>
      <w:r w:rsidR="00C005A0">
        <w:t xml:space="preserve">for patents </w:t>
      </w:r>
      <w:r w:rsidR="00B67E4C">
        <w:t xml:space="preserve">in </w:t>
      </w:r>
      <w:r w:rsidR="007C7948">
        <w:t xml:space="preserve">Australia and </w:t>
      </w:r>
      <w:r w:rsidR="00492EE1">
        <w:t>selected countries</w:t>
      </w:r>
      <w:r w:rsidR="00502283">
        <w:t>:</w:t>
      </w:r>
    </w:p>
    <w:p w14:paraId="3DA72DA6" w14:textId="32020161" w:rsidR="00502283" w:rsidRDefault="003A0D87" w:rsidP="00502283">
      <w:pPr>
        <w:pStyle w:val="ListBullet"/>
      </w:pPr>
      <w:r>
        <w:t>n</w:t>
      </w:r>
      <w:r w:rsidR="00502283">
        <w:t xml:space="preserve">on-working of </w:t>
      </w:r>
      <w:r w:rsidR="00FE1864">
        <w:t xml:space="preserve">a </w:t>
      </w:r>
      <w:r w:rsidR="00502283">
        <w:t xml:space="preserve">patent (the patented product or process is </w:t>
      </w:r>
      <w:r w:rsidR="00CA36EE">
        <w:t xml:space="preserve">not </w:t>
      </w:r>
      <w:r w:rsidR="00502283">
        <w:t>produced</w:t>
      </w:r>
      <w:r w:rsidR="00AD3EBB">
        <w:t xml:space="preserve"> at all or not produced in sufficient quantities</w:t>
      </w:r>
      <w:r w:rsidR="00502283">
        <w:t>)</w:t>
      </w:r>
    </w:p>
    <w:p w14:paraId="518F0C2D" w14:textId="77777777" w:rsidR="00502283" w:rsidRDefault="003A0D87" w:rsidP="00502283">
      <w:pPr>
        <w:pStyle w:val="ListBullet"/>
      </w:pPr>
      <w:r>
        <w:t>d</w:t>
      </w:r>
      <w:r w:rsidR="00502283">
        <w:t xml:space="preserve">ependent patent </w:t>
      </w:r>
      <w:r w:rsidR="00F54ECE">
        <w:t>(where a patent cannot be worked without exploiting an earlier patented invention)</w:t>
      </w:r>
    </w:p>
    <w:p w14:paraId="77D2F023" w14:textId="11FBC540" w:rsidR="00502283" w:rsidRDefault="003A0D87" w:rsidP="00502283">
      <w:pPr>
        <w:pStyle w:val="ListBullet"/>
      </w:pPr>
      <w:r>
        <w:t>p</w:t>
      </w:r>
      <w:r w:rsidR="00502283">
        <w:t>atent abuse</w:t>
      </w:r>
      <w:r w:rsidR="003668BE">
        <w:t xml:space="preserve"> (for example, </w:t>
      </w:r>
      <w:r w:rsidR="00FE1864">
        <w:t xml:space="preserve">by </w:t>
      </w:r>
      <w:r w:rsidR="003668BE">
        <w:t>‘refusing to deal’ with an applicant for a licence</w:t>
      </w:r>
      <w:r w:rsidR="00E84871">
        <w:t xml:space="preserve"> to the patent</w:t>
      </w:r>
      <w:r w:rsidR="003668BE">
        <w:t>)</w:t>
      </w:r>
    </w:p>
    <w:p w14:paraId="72536E17" w14:textId="77777777" w:rsidR="00502283" w:rsidRDefault="003A0D87" w:rsidP="00502283">
      <w:pPr>
        <w:pStyle w:val="ListBullet"/>
      </w:pPr>
      <w:r>
        <w:t>p</w:t>
      </w:r>
      <w:r w:rsidR="00502283">
        <w:t xml:space="preserve">ublic interest </w:t>
      </w:r>
      <w:r w:rsidR="00AD3EBB">
        <w:t>(varies from country to country and commonly includes national emergencies</w:t>
      </w:r>
      <w:r w:rsidR="003668BE">
        <w:t>)</w:t>
      </w:r>
      <w:r w:rsidR="00686A66">
        <w:t>.</w:t>
      </w:r>
      <w:r w:rsidR="003468B9">
        <w:t xml:space="preserve"> </w:t>
      </w:r>
    </w:p>
    <w:p w14:paraId="05B36078" w14:textId="0ACC5D81" w:rsidR="007C7948" w:rsidRDefault="00717B97" w:rsidP="00B67E4C">
      <w:pPr>
        <w:pStyle w:val="BodyText"/>
      </w:pPr>
      <w:r>
        <w:t>In Australia</w:t>
      </w:r>
      <w:r w:rsidR="00765784">
        <w:t xml:space="preserve">, </w:t>
      </w:r>
      <w:r w:rsidR="00173058">
        <w:t xml:space="preserve">the </w:t>
      </w:r>
      <w:r w:rsidR="00BC0F06">
        <w:t xml:space="preserve">grounds for compulsory licensing in </w:t>
      </w:r>
      <w:r>
        <w:t xml:space="preserve">the </w:t>
      </w:r>
      <w:r w:rsidRPr="00717B97">
        <w:rPr>
          <w:i/>
        </w:rPr>
        <w:t>Patents Act 1990</w:t>
      </w:r>
      <w:r>
        <w:t xml:space="preserve"> </w:t>
      </w:r>
      <w:r w:rsidR="00173058">
        <w:t>(Cwlth) include</w:t>
      </w:r>
      <w:r w:rsidR="00BC0F06">
        <w:t xml:space="preserve"> the</w:t>
      </w:r>
      <w:r w:rsidR="00765784">
        <w:t xml:space="preserve"> ‘reasonable requirements of the public’ </w:t>
      </w:r>
      <w:r w:rsidR="00BC0F06">
        <w:t xml:space="preserve">rather than the ‘public interest’ </w:t>
      </w:r>
      <w:r>
        <w:t>(discussed in more detail in chapter 6).</w:t>
      </w:r>
      <w:r w:rsidR="001730C6">
        <w:t xml:space="preserve"> Despite thi</w:t>
      </w:r>
      <w:r w:rsidR="00BC0F06">
        <w:t xml:space="preserve">s difference in language, WIPO found that </w:t>
      </w:r>
      <w:r w:rsidR="00173058">
        <w:t>the above</w:t>
      </w:r>
      <w:r w:rsidR="00FC3EC4">
        <w:t xml:space="preserve"> </w:t>
      </w:r>
      <w:r w:rsidR="00173058">
        <w:t xml:space="preserve">mentioned </w:t>
      </w:r>
      <w:r w:rsidR="00BC0F06">
        <w:t xml:space="preserve">four grounds </w:t>
      </w:r>
      <w:r w:rsidR="001730C6">
        <w:t>were</w:t>
      </w:r>
      <w:r w:rsidR="00BC0F06">
        <w:t xml:space="preserve"> available in Australia.</w:t>
      </w:r>
      <w:r>
        <w:t xml:space="preserve"> These </w:t>
      </w:r>
      <w:r w:rsidR="00BC0F06">
        <w:t xml:space="preserve">four </w:t>
      </w:r>
      <w:r>
        <w:t>g</w:t>
      </w:r>
      <w:r w:rsidR="00502283">
        <w:t>rounds</w:t>
      </w:r>
      <w:r w:rsidR="007C7948">
        <w:t xml:space="preserve"> </w:t>
      </w:r>
      <w:r w:rsidR="009C3F22">
        <w:t xml:space="preserve">also </w:t>
      </w:r>
      <w:r w:rsidR="007C7948">
        <w:t xml:space="preserve">exist in </w:t>
      </w:r>
      <w:r w:rsidR="00373535">
        <w:t xml:space="preserve">legislation in </w:t>
      </w:r>
      <w:r w:rsidR="007C7948">
        <w:t>many comparable markets</w:t>
      </w:r>
      <w:r w:rsidR="00A2376A">
        <w:t xml:space="preserve">. </w:t>
      </w:r>
      <w:r w:rsidR="005A39F4">
        <w:t>For example, France, Germany, Japan, Korea and the United Kingdom have</w:t>
      </w:r>
      <w:r w:rsidR="00492EE1">
        <w:t xml:space="preserve"> explicit</w:t>
      </w:r>
      <w:r w:rsidR="005A39F4">
        <w:t xml:space="preserve"> public interest tests. </w:t>
      </w:r>
      <w:r w:rsidR="00FE1864">
        <w:t>In contrast, t</w:t>
      </w:r>
      <w:r w:rsidR="005A39F4">
        <w:t xml:space="preserve">he United States </w:t>
      </w:r>
      <w:r w:rsidR="00FE1864">
        <w:t>d</w:t>
      </w:r>
      <w:r w:rsidR="00492EE1">
        <w:t>oes not have</w:t>
      </w:r>
      <w:r w:rsidR="003468B9">
        <w:t xml:space="preserve"> provisions for</w:t>
      </w:r>
      <w:r w:rsidR="00492EE1">
        <w:t xml:space="preserve"> compulsory licensing</w:t>
      </w:r>
      <w:r w:rsidR="003468B9">
        <w:t xml:space="preserve"> in its patents legislation</w:t>
      </w:r>
      <w:r w:rsidR="00316727">
        <w:t xml:space="preserve"> (although as explained later the United States uses compulsory licensing)</w:t>
      </w:r>
      <w:r w:rsidR="005A39F4">
        <w:t xml:space="preserve">. </w:t>
      </w:r>
      <w:r w:rsidR="00492EE1">
        <w:t>As a result, n</w:t>
      </w:r>
      <w:r w:rsidR="005A39F4">
        <w:t xml:space="preserve">one of the </w:t>
      </w:r>
      <w:r w:rsidR="00373535">
        <w:t xml:space="preserve">grounds </w:t>
      </w:r>
      <w:r w:rsidR="005A39F4">
        <w:t>are explicitly provided for in US</w:t>
      </w:r>
      <w:r w:rsidR="00492EE1">
        <w:t xml:space="preserve"> </w:t>
      </w:r>
      <w:r>
        <w:t xml:space="preserve">patents </w:t>
      </w:r>
      <w:r w:rsidR="00492EE1">
        <w:t>legislation</w:t>
      </w:r>
      <w:r w:rsidR="005A39F4">
        <w:t xml:space="preserve">. </w:t>
      </w:r>
      <w:r w:rsidR="00173058">
        <w:t>Australia and m</w:t>
      </w:r>
      <w:r w:rsidR="002C6919">
        <w:t xml:space="preserve">ost comparable markets also have competition grounds for </w:t>
      </w:r>
      <w:r w:rsidR="00173058">
        <w:t xml:space="preserve">granting </w:t>
      </w:r>
      <w:r w:rsidR="002C6919">
        <w:t>compulsory licences (table</w:t>
      </w:r>
      <w:r w:rsidR="00173058">
        <w:t> </w:t>
      </w:r>
      <w:r w:rsidR="002C6919">
        <w:t>C.1).</w:t>
      </w:r>
    </w:p>
    <w:p w14:paraId="4D8895AA" w14:textId="77777777" w:rsidR="00B67E4C" w:rsidRDefault="00B67E4C" w:rsidP="00B67E4C">
      <w:pPr>
        <w:pStyle w:val="TableTitle"/>
      </w:pPr>
      <w:r>
        <w:rPr>
          <w:b w:val="0"/>
        </w:rPr>
        <w:lastRenderedPageBreak/>
        <w:t xml:space="preserve">Table </w:t>
      </w:r>
      <w:r w:rsidR="0084673B">
        <w:fldChar w:fldCharType="begin"/>
      </w:r>
      <w:r w:rsidR="0084673B">
        <w:instrText xml:space="preserve"> COMMENTS  \* MERGEFORMAT </w:instrText>
      </w:r>
      <w:r w:rsidR="0084673B">
        <w:fldChar w:fldCharType="separate"/>
      </w:r>
      <w:proofErr w:type="spellStart"/>
      <w:r w:rsidR="00384F41" w:rsidRPr="00384F41">
        <w:rPr>
          <w:b w:val="0"/>
        </w:rPr>
        <w:t>C.</w:t>
      </w:r>
      <w:r w:rsidR="0084673B">
        <w:rPr>
          <w:b w:val="0"/>
        </w:rPr>
        <w:fldChar w:fldCharType="end"/>
      </w:r>
      <w:r w:rsidR="0030683C">
        <w:rPr>
          <w:b w:val="0"/>
        </w:rPr>
        <w:fldChar w:fldCharType="begin"/>
      </w:r>
      <w:r>
        <w:rPr>
          <w:b w:val="0"/>
        </w:rPr>
        <w:instrText xml:space="preserve"> SEQ Table \* ARABIC </w:instrText>
      </w:r>
      <w:r w:rsidR="0030683C">
        <w:rPr>
          <w:b w:val="0"/>
        </w:rPr>
        <w:fldChar w:fldCharType="separate"/>
      </w:r>
      <w:r w:rsidR="002A73B1">
        <w:rPr>
          <w:b w:val="0"/>
          <w:noProof/>
        </w:rPr>
        <w:t>1</w:t>
      </w:r>
      <w:proofErr w:type="spellEnd"/>
      <w:r w:rsidR="0030683C">
        <w:rPr>
          <w:b w:val="0"/>
        </w:rPr>
        <w:fldChar w:fldCharType="end"/>
      </w:r>
      <w:r>
        <w:tab/>
      </w:r>
      <w:r w:rsidR="00502283">
        <w:t>Grounds</w:t>
      </w:r>
      <w:r w:rsidR="007C7948">
        <w:t xml:space="preserve"> </w:t>
      </w:r>
      <w:r w:rsidR="006A292B">
        <w:t xml:space="preserve">for use of compulsory licensing in </w:t>
      </w:r>
      <w:r w:rsidR="00492EE1">
        <w:t>selected countries</w:t>
      </w:r>
    </w:p>
    <w:tbl>
      <w:tblPr>
        <w:tblW w:w="5000" w:type="pct"/>
        <w:tblLayout w:type="fixed"/>
        <w:tblCellMar>
          <w:left w:w="0" w:type="dxa"/>
          <w:right w:w="0" w:type="dxa"/>
        </w:tblCellMar>
        <w:tblLook w:val="0000" w:firstRow="0" w:lastRow="0" w:firstColumn="0" w:lastColumn="0" w:noHBand="0" w:noVBand="0"/>
      </w:tblPr>
      <w:tblGrid>
        <w:gridCol w:w="1630"/>
        <w:gridCol w:w="1522"/>
        <w:gridCol w:w="1382"/>
        <w:gridCol w:w="1385"/>
        <w:gridCol w:w="1383"/>
        <w:gridCol w:w="1487"/>
      </w:tblGrid>
      <w:tr w:rsidR="006167E9" w14:paraId="00F45303" w14:textId="77777777" w:rsidTr="00055010">
        <w:tc>
          <w:tcPr>
            <w:tcW w:w="927" w:type="pct"/>
            <w:tcBorders>
              <w:top w:val="single" w:sz="4" w:space="0" w:color="auto"/>
              <w:bottom w:val="single" w:sz="4" w:space="0" w:color="auto"/>
            </w:tcBorders>
          </w:tcPr>
          <w:p w14:paraId="0BE26BD5" w14:textId="77777777" w:rsidR="00276D65" w:rsidRDefault="00276D65" w:rsidP="00B67E4C">
            <w:pPr>
              <w:pStyle w:val="TableColumnHeading"/>
              <w:jc w:val="left"/>
            </w:pPr>
          </w:p>
        </w:tc>
        <w:tc>
          <w:tcPr>
            <w:tcW w:w="866" w:type="pct"/>
            <w:tcBorders>
              <w:top w:val="single" w:sz="4" w:space="0" w:color="auto"/>
              <w:bottom w:val="single" w:sz="4" w:space="0" w:color="auto"/>
            </w:tcBorders>
          </w:tcPr>
          <w:p w14:paraId="084F9264" w14:textId="77777777" w:rsidR="00276D65" w:rsidRDefault="00276D65" w:rsidP="00C80A8D">
            <w:pPr>
              <w:pStyle w:val="TableColumnHeading"/>
              <w:spacing w:before="120"/>
            </w:pPr>
            <w:r>
              <w:t>Non-working of patent</w:t>
            </w:r>
          </w:p>
        </w:tc>
        <w:tc>
          <w:tcPr>
            <w:tcW w:w="786" w:type="pct"/>
            <w:tcBorders>
              <w:top w:val="single" w:sz="4" w:space="0" w:color="auto"/>
              <w:bottom w:val="single" w:sz="4" w:space="0" w:color="auto"/>
            </w:tcBorders>
          </w:tcPr>
          <w:p w14:paraId="6FAFA8CB" w14:textId="77777777" w:rsidR="00276D65" w:rsidRDefault="00276D65" w:rsidP="00C80A8D">
            <w:pPr>
              <w:pStyle w:val="TableColumnHeading"/>
              <w:spacing w:before="120"/>
            </w:pPr>
            <w:r>
              <w:t>Dependent patent</w:t>
            </w:r>
          </w:p>
        </w:tc>
        <w:tc>
          <w:tcPr>
            <w:tcW w:w="788" w:type="pct"/>
            <w:tcBorders>
              <w:top w:val="single" w:sz="4" w:space="0" w:color="auto"/>
              <w:bottom w:val="single" w:sz="4" w:space="0" w:color="auto"/>
            </w:tcBorders>
          </w:tcPr>
          <w:p w14:paraId="40EB62DD" w14:textId="77777777" w:rsidR="00276D65" w:rsidRDefault="00276D65" w:rsidP="00C80A8D">
            <w:pPr>
              <w:pStyle w:val="TableColumnHeading"/>
              <w:spacing w:before="120"/>
            </w:pPr>
            <w:r>
              <w:t>Patent abuse</w:t>
            </w:r>
          </w:p>
        </w:tc>
        <w:tc>
          <w:tcPr>
            <w:tcW w:w="787" w:type="pct"/>
            <w:tcBorders>
              <w:top w:val="single" w:sz="4" w:space="0" w:color="auto"/>
              <w:bottom w:val="single" w:sz="4" w:space="0" w:color="auto"/>
            </w:tcBorders>
          </w:tcPr>
          <w:p w14:paraId="213CA083" w14:textId="77777777" w:rsidR="00276D65" w:rsidRDefault="00276D65" w:rsidP="00C80A8D">
            <w:pPr>
              <w:pStyle w:val="TableColumnHeading"/>
              <w:spacing w:before="120"/>
              <w:ind w:right="28"/>
            </w:pPr>
            <w:r>
              <w:t>Public interest</w:t>
            </w:r>
          </w:p>
        </w:tc>
        <w:tc>
          <w:tcPr>
            <w:tcW w:w="846" w:type="pct"/>
            <w:tcBorders>
              <w:top w:val="single" w:sz="4" w:space="0" w:color="auto"/>
              <w:bottom w:val="single" w:sz="4" w:space="0" w:color="auto"/>
            </w:tcBorders>
          </w:tcPr>
          <w:p w14:paraId="2DE68E78" w14:textId="77777777" w:rsidR="00276D65" w:rsidRDefault="00276D65" w:rsidP="00B67E4C">
            <w:pPr>
              <w:pStyle w:val="TableColumnHeading"/>
              <w:ind w:right="28"/>
            </w:pPr>
            <w:r>
              <w:t>Competition</w:t>
            </w:r>
            <w:r w:rsidR="0084218E" w:rsidRPr="00C22656">
              <w:rPr>
                <w:rStyle w:val="NoteLabel"/>
                <w:i w:val="0"/>
              </w:rPr>
              <w:t>a</w:t>
            </w:r>
          </w:p>
        </w:tc>
      </w:tr>
      <w:tr w:rsidR="006167E9" w14:paraId="6F5A43E5" w14:textId="77777777" w:rsidTr="00055010">
        <w:tc>
          <w:tcPr>
            <w:tcW w:w="927" w:type="pct"/>
          </w:tcPr>
          <w:p w14:paraId="52712F32" w14:textId="77777777" w:rsidR="00276D65" w:rsidRDefault="00276D65" w:rsidP="00B67E4C">
            <w:pPr>
              <w:pStyle w:val="TableBodyText"/>
              <w:jc w:val="left"/>
            </w:pPr>
            <w:r>
              <w:t>Australia</w:t>
            </w:r>
          </w:p>
        </w:tc>
        <w:tc>
          <w:tcPr>
            <w:tcW w:w="866" w:type="pct"/>
          </w:tcPr>
          <w:p w14:paraId="5B2C696E" w14:textId="77777777" w:rsidR="00276D65" w:rsidRDefault="00276D65" w:rsidP="00B67E4C">
            <w:pPr>
              <w:pStyle w:val="TableBodyText"/>
            </w:pPr>
            <w:r>
              <w:t>Yes</w:t>
            </w:r>
          </w:p>
        </w:tc>
        <w:tc>
          <w:tcPr>
            <w:tcW w:w="786" w:type="pct"/>
          </w:tcPr>
          <w:p w14:paraId="51D579C0" w14:textId="77777777" w:rsidR="00276D65" w:rsidRDefault="00276D65" w:rsidP="00B67E4C">
            <w:pPr>
              <w:pStyle w:val="TableBodyText"/>
            </w:pPr>
            <w:r>
              <w:t>Yes</w:t>
            </w:r>
          </w:p>
        </w:tc>
        <w:tc>
          <w:tcPr>
            <w:tcW w:w="788" w:type="pct"/>
          </w:tcPr>
          <w:p w14:paraId="05AC9DF5" w14:textId="77777777" w:rsidR="00276D65" w:rsidRDefault="00276D65" w:rsidP="00B67E4C">
            <w:pPr>
              <w:pStyle w:val="TableBodyText"/>
            </w:pPr>
            <w:r>
              <w:t>Yes</w:t>
            </w:r>
          </w:p>
        </w:tc>
        <w:tc>
          <w:tcPr>
            <w:tcW w:w="787" w:type="pct"/>
          </w:tcPr>
          <w:p w14:paraId="4A34865C" w14:textId="77777777" w:rsidR="00276D65" w:rsidRDefault="00276D65" w:rsidP="00B67E4C">
            <w:pPr>
              <w:pStyle w:val="TableBodyText"/>
              <w:ind w:right="28"/>
            </w:pPr>
            <w:r>
              <w:t>Yes</w:t>
            </w:r>
          </w:p>
        </w:tc>
        <w:tc>
          <w:tcPr>
            <w:tcW w:w="846" w:type="pct"/>
          </w:tcPr>
          <w:p w14:paraId="5C1366C4" w14:textId="77777777" w:rsidR="00276D65" w:rsidRDefault="00276D65" w:rsidP="00276D65">
            <w:pPr>
              <w:pStyle w:val="TableBodyText"/>
            </w:pPr>
            <w:r>
              <w:t>Yes</w:t>
            </w:r>
          </w:p>
        </w:tc>
      </w:tr>
      <w:tr w:rsidR="006167E9" w14:paraId="56D2DEE8" w14:textId="77777777" w:rsidTr="00055010">
        <w:tc>
          <w:tcPr>
            <w:tcW w:w="927" w:type="pct"/>
          </w:tcPr>
          <w:p w14:paraId="74EB8819" w14:textId="77777777" w:rsidR="00276D65" w:rsidRDefault="00276D65" w:rsidP="00B67E4C">
            <w:pPr>
              <w:pStyle w:val="TableBodyText"/>
              <w:jc w:val="left"/>
            </w:pPr>
            <w:r>
              <w:t>Canada</w:t>
            </w:r>
          </w:p>
        </w:tc>
        <w:tc>
          <w:tcPr>
            <w:tcW w:w="866" w:type="pct"/>
          </w:tcPr>
          <w:p w14:paraId="0AD1141B" w14:textId="77777777" w:rsidR="00276D65" w:rsidRDefault="00276D65" w:rsidP="00B67E4C">
            <w:pPr>
              <w:pStyle w:val="TableBodyText"/>
            </w:pPr>
            <w:r>
              <w:t>Not explicitly provided</w:t>
            </w:r>
          </w:p>
        </w:tc>
        <w:tc>
          <w:tcPr>
            <w:tcW w:w="786" w:type="pct"/>
          </w:tcPr>
          <w:p w14:paraId="11FD0E60" w14:textId="77777777" w:rsidR="00276D65" w:rsidRDefault="00276D65" w:rsidP="00B67E4C">
            <w:pPr>
              <w:pStyle w:val="TableBodyText"/>
            </w:pPr>
            <w:r>
              <w:t>Not explicitly provided</w:t>
            </w:r>
          </w:p>
        </w:tc>
        <w:tc>
          <w:tcPr>
            <w:tcW w:w="788" w:type="pct"/>
          </w:tcPr>
          <w:p w14:paraId="341D460D" w14:textId="77777777" w:rsidR="00276D65" w:rsidRDefault="00276D65" w:rsidP="00B67E4C">
            <w:pPr>
              <w:pStyle w:val="TableBodyText"/>
            </w:pPr>
            <w:r>
              <w:t>Yes</w:t>
            </w:r>
          </w:p>
        </w:tc>
        <w:tc>
          <w:tcPr>
            <w:tcW w:w="787" w:type="pct"/>
          </w:tcPr>
          <w:p w14:paraId="62153E02" w14:textId="77777777" w:rsidR="00463342" w:rsidRDefault="00276D65" w:rsidP="0001155F">
            <w:pPr>
              <w:pStyle w:val="TableBodyText"/>
              <w:rPr>
                <w:i/>
              </w:rPr>
            </w:pPr>
            <w:r>
              <w:t>Not explicitly provided</w:t>
            </w:r>
          </w:p>
        </w:tc>
        <w:tc>
          <w:tcPr>
            <w:tcW w:w="846" w:type="pct"/>
          </w:tcPr>
          <w:p w14:paraId="63F8B209" w14:textId="77777777" w:rsidR="00276D65" w:rsidRDefault="00276D65" w:rsidP="00276D65">
            <w:pPr>
              <w:pStyle w:val="TableBodyText"/>
            </w:pPr>
            <w:r>
              <w:t>Yes</w:t>
            </w:r>
          </w:p>
        </w:tc>
      </w:tr>
      <w:tr w:rsidR="006167E9" w14:paraId="2591023A" w14:textId="77777777" w:rsidTr="00055010">
        <w:tc>
          <w:tcPr>
            <w:tcW w:w="927" w:type="pct"/>
          </w:tcPr>
          <w:p w14:paraId="72BE49BD" w14:textId="77777777" w:rsidR="00276D65" w:rsidRDefault="00276D65" w:rsidP="00B67E4C">
            <w:pPr>
              <w:pStyle w:val="TableBodyText"/>
              <w:jc w:val="left"/>
            </w:pPr>
            <w:r>
              <w:t>China</w:t>
            </w:r>
          </w:p>
        </w:tc>
        <w:tc>
          <w:tcPr>
            <w:tcW w:w="866" w:type="pct"/>
          </w:tcPr>
          <w:p w14:paraId="091FC13D" w14:textId="77777777" w:rsidR="00276D65" w:rsidRDefault="00276D65" w:rsidP="00235E83">
            <w:pPr>
              <w:pStyle w:val="TableBodyText"/>
            </w:pPr>
            <w:r>
              <w:t>Yes</w:t>
            </w:r>
          </w:p>
        </w:tc>
        <w:tc>
          <w:tcPr>
            <w:tcW w:w="786" w:type="pct"/>
          </w:tcPr>
          <w:p w14:paraId="2244F217" w14:textId="77777777" w:rsidR="00276D65" w:rsidRDefault="00276D65" w:rsidP="00B67E4C">
            <w:pPr>
              <w:pStyle w:val="TableBodyText"/>
            </w:pPr>
            <w:r>
              <w:t>Yes</w:t>
            </w:r>
          </w:p>
        </w:tc>
        <w:tc>
          <w:tcPr>
            <w:tcW w:w="788" w:type="pct"/>
          </w:tcPr>
          <w:p w14:paraId="4A082749" w14:textId="77777777" w:rsidR="00276D65" w:rsidRDefault="00276D65" w:rsidP="00235E83">
            <w:pPr>
              <w:pStyle w:val="TableBodyText"/>
            </w:pPr>
            <w:r>
              <w:t>Yes</w:t>
            </w:r>
          </w:p>
        </w:tc>
        <w:tc>
          <w:tcPr>
            <w:tcW w:w="787" w:type="pct"/>
          </w:tcPr>
          <w:p w14:paraId="35D7E793" w14:textId="77777777" w:rsidR="00463342" w:rsidRDefault="00276D65" w:rsidP="0001155F">
            <w:pPr>
              <w:pStyle w:val="TableBodyText"/>
              <w:rPr>
                <w:i/>
              </w:rPr>
            </w:pPr>
            <w:r>
              <w:t>Yes</w:t>
            </w:r>
          </w:p>
        </w:tc>
        <w:tc>
          <w:tcPr>
            <w:tcW w:w="846" w:type="pct"/>
          </w:tcPr>
          <w:p w14:paraId="36DBB3E4" w14:textId="77777777" w:rsidR="00276D65" w:rsidRDefault="00276D65" w:rsidP="00276D65">
            <w:pPr>
              <w:pStyle w:val="TableBodyText"/>
            </w:pPr>
            <w:r>
              <w:t>Yes</w:t>
            </w:r>
          </w:p>
        </w:tc>
      </w:tr>
      <w:tr w:rsidR="006167E9" w14:paraId="7838CB1E" w14:textId="77777777" w:rsidTr="00055010">
        <w:tc>
          <w:tcPr>
            <w:tcW w:w="927" w:type="pct"/>
          </w:tcPr>
          <w:p w14:paraId="470F4116" w14:textId="77777777" w:rsidR="00276D65" w:rsidRDefault="00276D65" w:rsidP="00B67E4C">
            <w:pPr>
              <w:pStyle w:val="TableBodyText"/>
              <w:jc w:val="left"/>
            </w:pPr>
            <w:r>
              <w:t>France</w:t>
            </w:r>
          </w:p>
        </w:tc>
        <w:tc>
          <w:tcPr>
            <w:tcW w:w="866" w:type="pct"/>
          </w:tcPr>
          <w:p w14:paraId="2F40D6EA" w14:textId="77777777" w:rsidR="00276D65" w:rsidRDefault="00276D65" w:rsidP="00B67E4C">
            <w:pPr>
              <w:pStyle w:val="TableBodyText"/>
            </w:pPr>
            <w:r>
              <w:t>Yes</w:t>
            </w:r>
          </w:p>
        </w:tc>
        <w:tc>
          <w:tcPr>
            <w:tcW w:w="786" w:type="pct"/>
          </w:tcPr>
          <w:p w14:paraId="65819464" w14:textId="77777777" w:rsidR="00276D65" w:rsidRDefault="00276D65" w:rsidP="00B67E4C">
            <w:pPr>
              <w:pStyle w:val="TableBodyText"/>
            </w:pPr>
            <w:r>
              <w:t>Yes</w:t>
            </w:r>
          </w:p>
        </w:tc>
        <w:tc>
          <w:tcPr>
            <w:tcW w:w="788" w:type="pct"/>
          </w:tcPr>
          <w:p w14:paraId="3726A1D0" w14:textId="77777777" w:rsidR="00276D65" w:rsidRDefault="00276D65" w:rsidP="00B67E4C">
            <w:pPr>
              <w:pStyle w:val="TableBodyText"/>
            </w:pPr>
            <w:r>
              <w:t>Not explicitly provided</w:t>
            </w:r>
          </w:p>
        </w:tc>
        <w:tc>
          <w:tcPr>
            <w:tcW w:w="787" w:type="pct"/>
          </w:tcPr>
          <w:p w14:paraId="601A681A" w14:textId="77777777" w:rsidR="00463342" w:rsidRDefault="00276D65" w:rsidP="0001155F">
            <w:pPr>
              <w:pStyle w:val="TableBodyText"/>
              <w:rPr>
                <w:i/>
              </w:rPr>
            </w:pPr>
            <w:r>
              <w:t>Yes</w:t>
            </w:r>
          </w:p>
        </w:tc>
        <w:tc>
          <w:tcPr>
            <w:tcW w:w="846" w:type="pct"/>
          </w:tcPr>
          <w:p w14:paraId="7018887B" w14:textId="77777777" w:rsidR="00276D65" w:rsidRDefault="00276D65" w:rsidP="00276D65">
            <w:pPr>
              <w:pStyle w:val="TableBodyText"/>
            </w:pPr>
            <w:r>
              <w:t>Yes</w:t>
            </w:r>
          </w:p>
        </w:tc>
      </w:tr>
      <w:tr w:rsidR="006167E9" w14:paraId="435C9151" w14:textId="77777777" w:rsidTr="00055010">
        <w:tc>
          <w:tcPr>
            <w:tcW w:w="927" w:type="pct"/>
          </w:tcPr>
          <w:p w14:paraId="35D54897" w14:textId="77777777" w:rsidR="00276D65" w:rsidRDefault="00276D65" w:rsidP="00B67E4C">
            <w:pPr>
              <w:pStyle w:val="TableBodyText"/>
              <w:jc w:val="left"/>
            </w:pPr>
            <w:r>
              <w:t>Germany</w:t>
            </w:r>
          </w:p>
        </w:tc>
        <w:tc>
          <w:tcPr>
            <w:tcW w:w="866" w:type="pct"/>
          </w:tcPr>
          <w:p w14:paraId="524EAB16" w14:textId="77777777" w:rsidR="00276D65" w:rsidRDefault="00276D65" w:rsidP="00B67E4C">
            <w:pPr>
              <w:pStyle w:val="TableBodyText"/>
            </w:pPr>
            <w:r>
              <w:t>Yes</w:t>
            </w:r>
          </w:p>
        </w:tc>
        <w:tc>
          <w:tcPr>
            <w:tcW w:w="786" w:type="pct"/>
          </w:tcPr>
          <w:p w14:paraId="2F0649DA" w14:textId="77777777" w:rsidR="00276D65" w:rsidRDefault="00276D65" w:rsidP="00B67E4C">
            <w:pPr>
              <w:pStyle w:val="TableBodyText"/>
            </w:pPr>
            <w:r>
              <w:t>Yes</w:t>
            </w:r>
          </w:p>
        </w:tc>
        <w:tc>
          <w:tcPr>
            <w:tcW w:w="788" w:type="pct"/>
          </w:tcPr>
          <w:p w14:paraId="1F4C0863" w14:textId="77777777" w:rsidR="00276D65" w:rsidRDefault="00276D65" w:rsidP="00B67E4C">
            <w:pPr>
              <w:pStyle w:val="TableBodyText"/>
            </w:pPr>
            <w:r>
              <w:t>Not explicitly provided</w:t>
            </w:r>
          </w:p>
        </w:tc>
        <w:tc>
          <w:tcPr>
            <w:tcW w:w="787" w:type="pct"/>
          </w:tcPr>
          <w:p w14:paraId="42EA8FC9" w14:textId="77777777" w:rsidR="00463342" w:rsidRDefault="00276D65" w:rsidP="0001155F">
            <w:pPr>
              <w:pStyle w:val="TableBodyText"/>
              <w:rPr>
                <w:i/>
              </w:rPr>
            </w:pPr>
            <w:r>
              <w:t>Yes</w:t>
            </w:r>
          </w:p>
        </w:tc>
        <w:tc>
          <w:tcPr>
            <w:tcW w:w="846" w:type="pct"/>
          </w:tcPr>
          <w:p w14:paraId="3B9AF959" w14:textId="77777777" w:rsidR="00276D65" w:rsidRDefault="00276D65" w:rsidP="00276D65">
            <w:pPr>
              <w:pStyle w:val="TableBodyText"/>
            </w:pPr>
            <w:r>
              <w:t>Yes</w:t>
            </w:r>
          </w:p>
        </w:tc>
      </w:tr>
      <w:tr w:rsidR="006167E9" w14:paraId="66484D64" w14:textId="77777777" w:rsidTr="00055010">
        <w:tc>
          <w:tcPr>
            <w:tcW w:w="927" w:type="pct"/>
          </w:tcPr>
          <w:p w14:paraId="513F9CED" w14:textId="77777777" w:rsidR="00276D65" w:rsidRDefault="00276D65" w:rsidP="00B67E4C">
            <w:pPr>
              <w:pStyle w:val="TableBodyText"/>
              <w:jc w:val="left"/>
            </w:pPr>
            <w:r>
              <w:t>Japan</w:t>
            </w:r>
            <w:r w:rsidR="00F13139" w:rsidRPr="00F13139">
              <w:rPr>
                <w:rStyle w:val="NoteLabel"/>
              </w:rPr>
              <w:t>b</w:t>
            </w:r>
          </w:p>
        </w:tc>
        <w:tc>
          <w:tcPr>
            <w:tcW w:w="866" w:type="pct"/>
          </w:tcPr>
          <w:p w14:paraId="10741B66" w14:textId="77777777" w:rsidR="00276D65" w:rsidRDefault="00276D65" w:rsidP="00B67E4C">
            <w:pPr>
              <w:pStyle w:val="TableBodyText"/>
            </w:pPr>
            <w:r>
              <w:t>Yes</w:t>
            </w:r>
          </w:p>
        </w:tc>
        <w:tc>
          <w:tcPr>
            <w:tcW w:w="786" w:type="pct"/>
          </w:tcPr>
          <w:p w14:paraId="514BCFBA" w14:textId="77777777" w:rsidR="00276D65" w:rsidRDefault="00276D65" w:rsidP="00B67E4C">
            <w:pPr>
              <w:pStyle w:val="TableBodyText"/>
            </w:pPr>
            <w:r>
              <w:t>Yes</w:t>
            </w:r>
          </w:p>
        </w:tc>
        <w:tc>
          <w:tcPr>
            <w:tcW w:w="788" w:type="pct"/>
          </w:tcPr>
          <w:p w14:paraId="646CEAD5" w14:textId="77777777" w:rsidR="00276D65" w:rsidRDefault="00276D65" w:rsidP="00B67E4C">
            <w:pPr>
              <w:pStyle w:val="TableBodyText"/>
            </w:pPr>
            <w:r>
              <w:t>Not explicitly provided</w:t>
            </w:r>
          </w:p>
        </w:tc>
        <w:tc>
          <w:tcPr>
            <w:tcW w:w="787" w:type="pct"/>
          </w:tcPr>
          <w:p w14:paraId="4179EC88" w14:textId="77777777" w:rsidR="00463342" w:rsidRDefault="00276D65" w:rsidP="0001155F">
            <w:pPr>
              <w:pStyle w:val="TableBodyText"/>
              <w:rPr>
                <w:i/>
              </w:rPr>
            </w:pPr>
            <w:r>
              <w:t>Yes</w:t>
            </w:r>
          </w:p>
        </w:tc>
        <w:tc>
          <w:tcPr>
            <w:tcW w:w="846" w:type="pct"/>
          </w:tcPr>
          <w:p w14:paraId="7D74009C" w14:textId="77777777" w:rsidR="00276D65" w:rsidRDefault="00276D65" w:rsidP="00276D65">
            <w:pPr>
              <w:pStyle w:val="TableBodyText"/>
            </w:pPr>
            <w:r>
              <w:t>No</w:t>
            </w:r>
          </w:p>
        </w:tc>
      </w:tr>
      <w:tr w:rsidR="006167E9" w14:paraId="30300EAB" w14:textId="77777777" w:rsidTr="00055010">
        <w:tc>
          <w:tcPr>
            <w:tcW w:w="927" w:type="pct"/>
          </w:tcPr>
          <w:p w14:paraId="7ECDE4BE" w14:textId="77777777" w:rsidR="00276D65" w:rsidRDefault="00276D65" w:rsidP="00B67E4C">
            <w:pPr>
              <w:pStyle w:val="TableBodyText"/>
              <w:jc w:val="left"/>
            </w:pPr>
            <w:r>
              <w:t>Korea</w:t>
            </w:r>
          </w:p>
        </w:tc>
        <w:tc>
          <w:tcPr>
            <w:tcW w:w="866" w:type="pct"/>
          </w:tcPr>
          <w:p w14:paraId="3BCD510C" w14:textId="77777777" w:rsidR="00276D65" w:rsidRPr="00533ADB" w:rsidRDefault="00276D65" w:rsidP="00533ADB">
            <w:pPr>
              <w:pStyle w:val="TableBodyText"/>
            </w:pPr>
            <w:r w:rsidRPr="00303791">
              <w:t>Yes</w:t>
            </w:r>
          </w:p>
        </w:tc>
        <w:tc>
          <w:tcPr>
            <w:tcW w:w="786" w:type="pct"/>
          </w:tcPr>
          <w:p w14:paraId="4EAB154C" w14:textId="77777777" w:rsidR="00276D65" w:rsidRPr="00533ADB" w:rsidRDefault="00276D65" w:rsidP="00533ADB">
            <w:pPr>
              <w:pStyle w:val="TableBodyText"/>
            </w:pPr>
            <w:r w:rsidRPr="00303791">
              <w:t>Yes</w:t>
            </w:r>
          </w:p>
        </w:tc>
        <w:tc>
          <w:tcPr>
            <w:tcW w:w="788" w:type="pct"/>
          </w:tcPr>
          <w:p w14:paraId="145CD995" w14:textId="77777777" w:rsidR="00276D65" w:rsidRPr="00303791" w:rsidRDefault="00276D65" w:rsidP="00533ADB">
            <w:pPr>
              <w:pStyle w:val="TableBodyText"/>
            </w:pPr>
            <w:r w:rsidRPr="00303791">
              <w:t>Yes</w:t>
            </w:r>
          </w:p>
        </w:tc>
        <w:tc>
          <w:tcPr>
            <w:tcW w:w="787" w:type="pct"/>
          </w:tcPr>
          <w:p w14:paraId="4913DBDB" w14:textId="77777777" w:rsidR="00276D65" w:rsidRPr="00303791" w:rsidRDefault="00276D65" w:rsidP="00533ADB">
            <w:pPr>
              <w:pStyle w:val="TableBodyText"/>
            </w:pPr>
            <w:r w:rsidRPr="00303791">
              <w:t>Yes</w:t>
            </w:r>
          </w:p>
        </w:tc>
        <w:tc>
          <w:tcPr>
            <w:tcW w:w="846" w:type="pct"/>
          </w:tcPr>
          <w:p w14:paraId="19E63947" w14:textId="77777777" w:rsidR="00276D65" w:rsidRPr="00303791" w:rsidRDefault="00276D65" w:rsidP="00533ADB">
            <w:pPr>
              <w:pStyle w:val="TableBodyText"/>
            </w:pPr>
            <w:r>
              <w:t>No</w:t>
            </w:r>
          </w:p>
        </w:tc>
      </w:tr>
      <w:tr w:rsidR="006167E9" w14:paraId="3320179B" w14:textId="77777777" w:rsidTr="00055010">
        <w:tc>
          <w:tcPr>
            <w:tcW w:w="927" w:type="pct"/>
          </w:tcPr>
          <w:p w14:paraId="3EAF809A" w14:textId="77777777" w:rsidR="00276D65" w:rsidRDefault="00276D65" w:rsidP="00B67E4C">
            <w:pPr>
              <w:pStyle w:val="TableBodyText"/>
              <w:jc w:val="left"/>
            </w:pPr>
            <w:r>
              <w:t>Malaysia</w:t>
            </w:r>
          </w:p>
        </w:tc>
        <w:tc>
          <w:tcPr>
            <w:tcW w:w="866" w:type="pct"/>
          </w:tcPr>
          <w:p w14:paraId="6DE55C8C" w14:textId="77777777" w:rsidR="00276D65" w:rsidRPr="00303791" w:rsidRDefault="00276D65" w:rsidP="00533ADB">
            <w:pPr>
              <w:pStyle w:val="TableBodyText"/>
            </w:pPr>
            <w:r w:rsidRPr="00303791">
              <w:t>Yes</w:t>
            </w:r>
          </w:p>
        </w:tc>
        <w:tc>
          <w:tcPr>
            <w:tcW w:w="786" w:type="pct"/>
          </w:tcPr>
          <w:p w14:paraId="131C6770" w14:textId="77777777" w:rsidR="00276D65" w:rsidRPr="00303791" w:rsidRDefault="00276D65" w:rsidP="00533ADB">
            <w:pPr>
              <w:pStyle w:val="TableBodyText"/>
            </w:pPr>
            <w:r w:rsidRPr="00303791">
              <w:t>Yes</w:t>
            </w:r>
          </w:p>
        </w:tc>
        <w:tc>
          <w:tcPr>
            <w:tcW w:w="788" w:type="pct"/>
          </w:tcPr>
          <w:p w14:paraId="43B901D6" w14:textId="77777777" w:rsidR="00276D65" w:rsidRPr="00303791" w:rsidRDefault="00276D65" w:rsidP="00533ADB">
            <w:pPr>
              <w:pStyle w:val="TableBodyText"/>
            </w:pPr>
            <w:r w:rsidRPr="00303791">
              <w:t>Yes</w:t>
            </w:r>
          </w:p>
        </w:tc>
        <w:tc>
          <w:tcPr>
            <w:tcW w:w="787" w:type="pct"/>
          </w:tcPr>
          <w:p w14:paraId="2B8859E4" w14:textId="77777777" w:rsidR="00276D65" w:rsidRPr="00303791" w:rsidRDefault="00276D65" w:rsidP="00533ADB">
            <w:pPr>
              <w:pStyle w:val="TableBodyText"/>
            </w:pPr>
            <w:r>
              <w:t>Not explicitly provided</w:t>
            </w:r>
          </w:p>
        </w:tc>
        <w:tc>
          <w:tcPr>
            <w:tcW w:w="846" w:type="pct"/>
          </w:tcPr>
          <w:p w14:paraId="28ED4FEE" w14:textId="77777777" w:rsidR="00276D65" w:rsidRDefault="00276D65" w:rsidP="00533ADB">
            <w:pPr>
              <w:pStyle w:val="TableBodyText"/>
            </w:pPr>
            <w:r>
              <w:t>Yes</w:t>
            </w:r>
          </w:p>
        </w:tc>
      </w:tr>
      <w:tr w:rsidR="006167E9" w14:paraId="7E806DFC" w14:textId="77777777" w:rsidTr="00055010">
        <w:tc>
          <w:tcPr>
            <w:tcW w:w="927" w:type="pct"/>
          </w:tcPr>
          <w:p w14:paraId="71366D59" w14:textId="77777777" w:rsidR="00276D65" w:rsidRDefault="00276D65" w:rsidP="00B67E4C">
            <w:pPr>
              <w:pStyle w:val="TableBodyText"/>
              <w:jc w:val="left"/>
            </w:pPr>
            <w:r>
              <w:t>New Zealand</w:t>
            </w:r>
          </w:p>
        </w:tc>
        <w:tc>
          <w:tcPr>
            <w:tcW w:w="866" w:type="pct"/>
          </w:tcPr>
          <w:p w14:paraId="500DD994" w14:textId="77777777" w:rsidR="00276D65" w:rsidRPr="00303791" w:rsidRDefault="00276D65" w:rsidP="00533ADB">
            <w:pPr>
              <w:pStyle w:val="TableBodyText"/>
            </w:pPr>
            <w:r w:rsidRPr="00303791">
              <w:t>Yes</w:t>
            </w:r>
          </w:p>
        </w:tc>
        <w:tc>
          <w:tcPr>
            <w:tcW w:w="786" w:type="pct"/>
          </w:tcPr>
          <w:p w14:paraId="3E60F27C" w14:textId="77777777" w:rsidR="00276D65" w:rsidRPr="00303791" w:rsidRDefault="00276D65" w:rsidP="00533ADB">
            <w:pPr>
              <w:pStyle w:val="TableBodyText"/>
            </w:pPr>
            <w:r w:rsidRPr="00303791">
              <w:t>Not explicitly provided</w:t>
            </w:r>
          </w:p>
        </w:tc>
        <w:tc>
          <w:tcPr>
            <w:tcW w:w="788" w:type="pct"/>
          </w:tcPr>
          <w:p w14:paraId="28435238" w14:textId="77777777" w:rsidR="00276D65" w:rsidRPr="00303791" w:rsidRDefault="00276D65" w:rsidP="00533ADB">
            <w:pPr>
              <w:pStyle w:val="TableBodyText"/>
            </w:pPr>
            <w:r w:rsidRPr="00303791">
              <w:t>Not explicitly provided</w:t>
            </w:r>
          </w:p>
        </w:tc>
        <w:tc>
          <w:tcPr>
            <w:tcW w:w="787" w:type="pct"/>
          </w:tcPr>
          <w:p w14:paraId="39B5F9A6" w14:textId="77777777" w:rsidR="00276D65" w:rsidRPr="00303791" w:rsidRDefault="00276D65" w:rsidP="00533ADB">
            <w:pPr>
              <w:pStyle w:val="TableBodyText"/>
            </w:pPr>
            <w:r w:rsidRPr="00303791">
              <w:t>Not explicitly provided</w:t>
            </w:r>
          </w:p>
        </w:tc>
        <w:tc>
          <w:tcPr>
            <w:tcW w:w="846" w:type="pct"/>
          </w:tcPr>
          <w:p w14:paraId="15371DD7" w14:textId="77777777" w:rsidR="00276D65" w:rsidRPr="00303791" w:rsidRDefault="00276D65" w:rsidP="00533ADB">
            <w:pPr>
              <w:pStyle w:val="TableBodyText"/>
            </w:pPr>
            <w:r>
              <w:t>No</w:t>
            </w:r>
          </w:p>
        </w:tc>
      </w:tr>
      <w:tr w:rsidR="006167E9" w14:paraId="4FF5791C" w14:textId="77777777" w:rsidTr="00055010">
        <w:tc>
          <w:tcPr>
            <w:tcW w:w="927" w:type="pct"/>
          </w:tcPr>
          <w:p w14:paraId="2008552F" w14:textId="77777777" w:rsidR="00276D65" w:rsidRDefault="00276D65" w:rsidP="00B67E4C">
            <w:pPr>
              <w:pStyle w:val="TableBodyText"/>
              <w:jc w:val="left"/>
            </w:pPr>
            <w:r>
              <w:t>United Kingdom</w:t>
            </w:r>
          </w:p>
        </w:tc>
        <w:tc>
          <w:tcPr>
            <w:tcW w:w="866" w:type="pct"/>
          </w:tcPr>
          <w:p w14:paraId="7AB8B0A1" w14:textId="77777777" w:rsidR="00276D65" w:rsidRPr="00303791" w:rsidRDefault="00276D65" w:rsidP="00B67E4C">
            <w:pPr>
              <w:pStyle w:val="TableBodyText"/>
            </w:pPr>
            <w:r w:rsidRPr="00303791">
              <w:t>Yes</w:t>
            </w:r>
          </w:p>
        </w:tc>
        <w:tc>
          <w:tcPr>
            <w:tcW w:w="786" w:type="pct"/>
          </w:tcPr>
          <w:p w14:paraId="1A5D1869" w14:textId="77777777" w:rsidR="00276D65" w:rsidRPr="00303791" w:rsidRDefault="00276D65" w:rsidP="00B67E4C">
            <w:pPr>
              <w:pStyle w:val="TableBodyText"/>
            </w:pPr>
            <w:r w:rsidRPr="00303791">
              <w:t>Yes</w:t>
            </w:r>
          </w:p>
        </w:tc>
        <w:tc>
          <w:tcPr>
            <w:tcW w:w="788" w:type="pct"/>
          </w:tcPr>
          <w:p w14:paraId="007E3ACE" w14:textId="77777777" w:rsidR="00276D65" w:rsidRPr="00303791" w:rsidRDefault="00276D65" w:rsidP="00B67E4C">
            <w:pPr>
              <w:pStyle w:val="TableBodyText"/>
            </w:pPr>
            <w:r w:rsidRPr="00303791">
              <w:t>Yes</w:t>
            </w:r>
          </w:p>
        </w:tc>
        <w:tc>
          <w:tcPr>
            <w:tcW w:w="787" w:type="pct"/>
          </w:tcPr>
          <w:p w14:paraId="05A2AF54" w14:textId="77777777" w:rsidR="00276D65" w:rsidRPr="00303791" w:rsidRDefault="00276D65" w:rsidP="00B67E4C">
            <w:pPr>
              <w:pStyle w:val="TableBodyText"/>
            </w:pPr>
            <w:r w:rsidRPr="00303791">
              <w:t>Yes</w:t>
            </w:r>
          </w:p>
        </w:tc>
        <w:tc>
          <w:tcPr>
            <w:tcW w:w="846" w:type="pct"/>
          </w:tcPr>
          <w:p w14:paraId="4D2CEFB9" w14:textId="77777777" w:rsidR="00276D65" w:rsidRPr="00303791" w:rsidRDefault="00276D65" w:rsidP="00B67E4C">
            <w:pPr>
              <w:pStyle w:val="TableBodyText"/>
            </w:pPr>
            <w:r>
              <w:t>Yes</w:t>
            </w:r>
          </w:p>
        </w:tc>
      </w:tr>
      <w:tr w:rsidR="006167E9" w14:paraId="7E6D0A6E" w14:textId="77777777" w:rsidTr="00055010">
        <w:tc>
          <w:tcPr>
            <w:tcW w:w="927" w:type="pct"/>
            <w:tcBorders>
              <w:bottom w:val="single" w:sz="4" w:space="0" w:color="auto"/>
            </w:tcBorders>
          </w:tcPr>
          <w:p w14:paraId="17340D27" w14:textId="77777777" w:rsidR="00276D65" w:rsidRDefault="00276D65" w:rsidP="00B67E4C">
            <w:pPr>
              <w:pStyle w:val="TableBodyText"/>
              <w:jc w:val="left"/>
            </w:pPr>
            <w:r>
              <w:t>United States</w:t>
            </w:r>
          </w:p>
        </w:tc>
        <w:tc>
          <w:tcPr>
            <w:tcW w:w="866" w:type="pct"/>
            <w:tcBorders>
              <w:bottom w:val="single" w:sz="4" w:space="0" w:color="auto"/>
            </w:tcBorders>
          </w:tcPr>
          <w:p w14:paraId="42E94CD0" w14:textId="77777777" w:rsidR="00276D65" w:rsidRPr="00303791" w:rsidRDefault="00276D65" w:rsidP="00B67E4C">
            <w:pPr>
              <w:pStyle w:val="TableBodyText"/>
            </w:pPr>
            <w:r w:rsidRPr="00303791">
              <w:t>Not explicitly provided</w:t>
            </w:r>
          </w:p>
        </w:tc>
        <w:tc>
          <w:tcPr>
            <w:tcW w:w="786" w:type="pct"/>
            <w:tcBorders>
              <w:bottom w:val="single" w:sz="4" w:space="0" w:color="auto"/>
            </w:tcBorders>
          </w:tcPr>
          <w:p w14:paraId="0B349185" w14:textId="77777777" w:rsidR="00276D65" w:rsidRPr="00303791" w:rsidRDefault="00276D65" w:rsidP="00B67E4C">
            <w:pPr>
              <w:pStyle w:val="TableBodyText"/>
            </w:pPr>
            <w:r w:rsidRPr="00303791">
              <w:t>Not explicitly provided</w:t>
            </w:r>
          </w:p>
        </w:tc>
        <w:tc>
          <w:tcPr>
            <w:tcW w:w="788" w:type="pct"/>
            <w:tcBorders>
              <w:bottom w:val="single" w:sz="4" w:space="0" w:color="auto"/>
            </w:tcBorders>
          </w:tcPr>
          <w:p w14:paraId="7ABF5981" w14:textId="77777777" w:rsidR="00276D65" w:rsidRPr="00303791" w:rsidRDefault="00276D65" w:rsidP="00B67E4C">
            <w:pPr>
              <w:pStyle w:val="TableBodyText"/>
            </w:pPr>
            <w:r w:rsidRPr="00303791">
              <w:t>Not explicitly provided</w:t>
            </w:r>
          </w:p>
        </w:tc>
        <w:tc>
          <w:tcPr>
            <w:tcW w:w="787" w:type="pct"/>
            <w:tcBorders>
              <w:bottom w:val="single" w:sz="4" w:space="0" w:color="auto"/>
            </w:tcBorders>
          </w:tcPr>
          <w:p w14:paraId="19D9A0ED" w14:textId="77777777" w:rsidR="00276D65" w:rsidRPr="00303791" w:rsidRDefault="00276D65" w:rsidP="00B67E4C">
            <w:pPr>
              <w:pStyle w:val="TableBodyText"/>
            </w:pPr>
            <w:r w:rsidRPr="00303791">
              <w:t>Not explicitly provided</w:t>
            </w:r>
          </w:p>
        </w:tc>
        <w:tc>
          <w:tcPr>
            <w:tcW w:w="846" w:type="pct"/>
            <w:tcBorders>
              <w:bottom w:val="single" w:sz="4" w:space="0" w:color="auto"/>
            </w:tcBorders>
          </w:tcPr>
          <w:p w14:paraId="4CFF6FB3" w14:textId="77777777" w:rsidR="00276D65" w:rsidRPr="00303791" w:rsidRDefault="00276D65" w:rsidP="00B67E4C">
            <w:pPr>
              <w:pStyle w:val="TableBodyText"/>
            </w:pPr>
            <w:r>
              <w:t>Yes</w:t>
            </w:r>
          </w:p>
        </w:tc>
      </w:tr>
    </w:tbl>
    <w:p w14:paraId="38360716" w14:textId="0896B01F" w:rsidR="0084218E" w:rsidRDefault="0084218E" w:rsidP="00716F63">
      <w:pPr>
        <w:pStyle w:val="Source"/>
        <w:spacing w:after="0"/>
        <w:rPr>
          <w:i/>
        </w:rPr>
      </w:pPr>
      <w:r w:rsidRPr="0084218E">
        <w:rPr>
          <w:rStyle w:val="NoteLabel"/>
        </w:rPr>
        <w:t>a</w:t>
      </w:r>
      <w:r>
        <w:rPr>
          <w:i/>
        </w:rPr>
        <w:t xml:space="preserve"> </w:t>
      </w:r>
      <w:r w:rsidRPr="0084218E">
        <w:t xml:space="preserve">Competition grounds typically relate to breaches of competition </w:t>
      </w:r>
      <w:r>
        <w:t>law</w:t>
      </w:r>
      <w:r w:rsidRPr="0084218E">
        <w:t>.</w:t>
      </w:r>
      <w:r w:rsidR="00F13139">
        <w:t xml:space="preserve"> </w:t>
      </w:r>
      <w:r w:rsidR="00D75CDC">
        <w:t xml:space="preserve"> </w:t>
      </w:r>
      <w:r w:rsidR="001D5FB2" w:rsidRPr="001D5FB2">
        <w:rPr>
          <w:rStyle w:val="NoteLabel"/>
        </w:rPr>
        <w:t>b</w:t>
      </w:r>
      <w:r w:rsidR="001D5FB2">
        <w:t xml:space="preserve"> Japan does not have competition grounds for compulsory licensing of a patent. However, if a court finds a patent was used to breach Japanese competition law</w:t>
      </w:r>
      <w:r w:rsidR="00E77D81">
        <w:t>,</w:t>
      </w:r>
      <w:r w:rsidR="001D5FB2">
        <w:t xml:space="preserve"> the court can revoke that patent. To date</w:t>
      </w:r>
      <w:r w:rsidR="00E77D81">
        <w:t>,</w:t>
      </w:r>
      <w:r w:rsidR="001D5FB2">
        <w:t xml:space="preserve"> no patents have been revoked for this reason.</w:t>
      </w:r>
    </w:p>
    <w:p w14:paraId="0BBAAAD7" w14:textId="77777777" w:rsidR="00B67E4C" w:rsidRDefault="00B67E4C" w:rsidP="00B67E4C">
      <w:pPr>
        <w:pStyle w:val="Source"/>
      </w:pPr>
      <w:r>
        <w:rPr>
          <w:i/>
        </w:rPr>
        <w:t>Source</w:t>
      </w:r>
      <w:r w:rsidR="00E77D81">
        <w:rPr>
          <w:i/>
        </w:rPr>
        <w:t>s</w:t>
      </w:r>
      <w:r>
        <w:t xml:space="preserve">: </w:t>
      </w:r>
      <w:r w:rsidR="00E77D81">
        <w:t>W</w:t>
      </w:r>
      <w:r>
        <w:t xml:space="preserve">IPO </w:t>
      </w:r>
      <w:r w:rsidR="003468B9">
        <w:t>(</w:t>
      </w:r>
      <w:r>
        <w:t>2010</w:t>
      </w:r>
      <w:r w:rsidR="00686A66">
        <w:t>a</w:t>
      </w:r>
      <w:r w:rsidR="003468B9">
        <w:t>)</w:t>
      </w:r>
      <w:r w:rsidR="00E77D81">
        <w:t xml:space="preserve">; </w:t>
      </w:r>
      <w:r w:rsidR="0084218E">
        <w:t>WIPO (2011b)</w:t>
      </w:r>
      <w:r w:rsidR="00E77D81">
        <w:t>; national legislation.</w:t>
      </w:r>
    </w:p>
    <w:p w14:paraId="1338B766" w14:textId="77777777" w:rsidR="00700244" w:rsidRDefault="00700244" w:rsidP="00700244">
      <w:pPr>
        <w:pStyle w:val="BodyText"/>
      </w:pPr>
      <w:r>
        <w:t xml:space="preserve">Typical conditions </w:t>
      </w:r>
      <w:r w:rsidR="008146C9">
        <w:t xml:space="preserve">for a </w:t>
      </w:r>
      <w:r>
        <w:t>compulsory licen</w:t>
      </w:r>
      <w:r w:rsidR="00301C09">
        <w:t>ce</w:t>
      </w:r>
      <w:r>
        <w:t xml:space="preserve"> include:</w:t>
      </w:r>
    </w:p>
    <w:p w14:paraId="01E08DDD" w14:textId="77777777" w:rsidR="00700244" w:rsidRDefault="003D7FAA" w:rsidP="00170C07">
      <w:pPr>
        <w:pStyle w:val="ListBullet"/>
      </w:pPr>
      <w:r>
        <w:t>t</w:t>
      </w:r>
      <w:r w:rsidR="002B74FA">
        <w:t>he</w:t>
      </w:r>
      <w:r w:rsidR="00700244">
        <w:t xml:space="preserve"> licence </w:t>
      </w:r>
      <w:r w:rsidR="002B74FA">
        <w:t>is</w:t>
      </w:r>
      <w:r w:rsidR="00700244">
        <w:t xml:space="preserve"> non-excludable and non-assignable</w:t>
      </w:r>
    </w:p>
    <w:p w14:paraId="1EAF078B" w14:textId="77777777" w:rsidR="00700244" w:rsidRDefault="003D7FAA" w:rsidP="00700244">
      <w:pPr>
        <w:pStyle w:val="ListBullet"/>
      </w:pPr>
      <w:r>
        <w:t>i</w:t>
      </w:r>
      <w:r w:rsidR="00700244">
        <w:t xml:space="preserve">f </w:t>
      </w:r>
      <w:r w:rsidR="002B74FA">
        <w:t>the</w:t>
      </w:r>
      <w:r w:rsidR="00700244">
        <w:t xml:space="preserve"> licence is not used within </w:t>
      </w:r>
      <w:r w:rsidR="002B74FA">
        <w:t>a set period</w:t>
      </w:r>
      <w:r w:rsidR="0065600E">
        <w:t>,</w:t>
      </w:r>
      <w:r w:rsidR="00700244">
        <w:t xml:space="preserve"> </w:t>
      </w:r>
      <w:r w:rsidR="002B74FA">
        <w:t>the patent owner</w:t>
      </w:r>
      <w:r w:rsidR="00700244">
        <w:t xml:space="preserve"> can request </w:t>
      </w:r>
      <w:r w:rsidR="002B74FA">
        <w:t>that the licence</w:t>
      </w:r>
      <w:r w:rsidR="00700244">
        <w:t xml:space="preserve"> be cancelled </w:t>
      </w:r>
    </w:p>
    <w:p w14:paraId="3BC11213" w14:textId="77777777" w:rsidR="00C30FF7" w:rsidRDefault="003D7FAA" w:rsidP="00170C07">
      <w:pPr>
        <w:pStyle w:val="ListBullet"/>
      </w:pPr>
      <w:r>
        <w:t>t</w:t>
      </w:r>
      <w:r w:rsidR="00C30FF7">
        <w:t xml:space="preserve">he licence is predominantly for the </w:t>
      </w:r>
      <w:r w:rsidR="00865C2C">
        <w:t xml:space="preserve">supply </w:t>
      </w:r>
      <w:r w:rsidR="00C30FF7">
        <w:t>of the domestic market</w:t>
      </w:r>
    </w:p>
    <w:p w14:paraId="78DF44AE" w14:textId="77777777" w:rsidR="00700244" w:rsidRDefault="003D7FAA" w:rsidP="00170C07">
      <w:pPr>
        <w:pStyle w:val="ListBullet"/>
      </w:pPr>
      <w:r>
        <w:t>c</w:t>
      </w:r>
      <w:r w:rsidR="00700244">
        <w:t xml:space="preserve">ompensation </w:t>
      </w:r>
      <w:r w:rsidR="00D33CF9">
        <w:t>is</w:t>
      </w:r>
      <w:r w:rsidR="00700244">
        <w:t xml:space="preserve"> paid to </w:t>
      </w:r>
      <w:r w:rsidR="002B74FA">
        <w:t>the patent owner</w:t>
      </w:r>
      <w:r w:rsidR="00A2376A">
        <w:t xml:space="preserve"> (WIPO 2011</w:t>
      </w:r>
      <w:r w:rsidR="00210ADA">
        <w:t>b</w:t>
      </w:r>
      <w:r w:rsidR="00A2376A">
        <w:t>)</w:t>
      </w:r>
      <w:r w:rsidR="00700244">
        <w:t>.</w:t>
      </w:r>
    </w:p>
    <w:p w14:paraId="285AC8FD" w14:textId="77777777" w:rsidR="00DC2816" w:rsidRDefault="00A2376A" w:rsidP="00A2376A">
      <w:pPr>
        <w:pStyle w:val="BodyText"/>
      </w:pPr>
      <w:r>
        <w:t xml:space="preserve">In most countries, an applicant for a compulsory licence must have made a genuine effort to negotiate </w:t>
      </w:r>
      <w:r w:rsidR="00BF7E83">
        <w:t xml:space="preserve">with the patent owner for </w:t>
      </w:r>
      <w:r>
        <w:t>a licence on reasonable terms.</w:t>
      </w:r>
      <w:r w:rsidR="00BF7E83">
        <w:t xml:space="preserve"> In countries where non-working of a patent is a ground for compulsory licensing, patent owners are given a time limit to work the patent</w:t>
      </w:r>
      <w:r w:rsidR="008146C9">
        <w:t xml:space="preserve"> before this ground can be used</w:t>
      </w:r>
      <w:r w:rsidR="00E77D81">
        <w:t xml:space="preserve">. This is </w:t>
      </w:r>
      <w:r w:rsidR="008146C9">
        <w:t xml:space="preserve">typically three years after </w:t>
      </w:r>
      <w:r w:rsidR="000800DA">
        <w:t xml:space="preserve">the date the </w:t>
      </w:r>
      <w:r w:rsidR="00127F14">
        <w:t xml:space="preserve">patent </w:t>
      </w:r>
      <w:r w:rsidR="000800DA">
        <w:t xml:space="preserve">was </w:t>
      </w:r>
      <w:r w:rsidR="008146C9">
        <w:t>grant</w:t>
      </w:r>
      <w:r w:rsidR="000800DA">
        <w:t>ed</w:t>
      </w:r>
      <w:r w:rsidR="00BF7E83">
        <w:t>.</w:t>
      </w:r>
    </w:p>
    <w:p w14:paraId="3DDD5C77" w14:textId="77777777" w:rsidR="00313BBB" w:rsidRDefault="00DC2816" w:rsidP="00A2376A">
      <w:pPr>
        <w:pStyle w:val="BodyText"/>
      </w:pPr>
      <w:r>
        <w:t>Reichman (2006)</w:t>
      </w:r>
      <w:r w:rsidR="00A2376A">
        <w:t xml:space="preserve"> </w:t>
      </w:r>
      <w:r w:rsidR="00313BBB">
        <w:t>noted there were at least six types of compulsory licen</w:t>
      </w:r>
      <w:r w:rsidR="00A507E6">
        <w:t>c</w:t>
      </w:r>
      <w:r w:rsidR="00313BBB">
        <w:t>es recognised around the world</w:t>
      </w:r>
      <w:r w:rsidR="00CC47EA">
        <w:t xml:space="preserve"> —</w:t>
      </w:r>
      <w:r w:rsidR="00313BBB">
        <w:t xml:space="preserve"> </w:t>
      </w:r>
      <w:r w:rsidR="00CC47EA">
        <w:t>c</w:t>
      </w:r>
      <w:r w:rsidR="00313BBB">
        <w:t>ompulsory licences:</w:t>
      </w:r>
    </w:p>
    <w:p w14:paraId="703110CD" w14:textId="77777777" w:rsidR="000B36F7" w:rsidRPr="000B36F7" w:rsidRDefault="00313BBB" w:rsidP="00A2376A">
      <w:pPr>
        <w:pStyle w:val="ListNumber"/>
        <w:rPr>
          <w:rStyle w:val="DraftingNote"/>
          <w:b w:val="0"/>
          <w:color w:val="auto"/>
          <w:sz w:val="26"/>
          <w:u w:val="none"/>
        </w:rPr>
      </w:pPr>
      <w:r>
        <w:t>to rectify abuses of the patent</w:t>
      </w:r>
      <w:r w:rsidR="00E76DE0">
        <w:t xml:space="preserve"> owner</w:t>
      </w:r>
      <w:r>
        <w:t>’s exclusive rights</w:t>
      </w:r>
      <w:r w:rsidR="007512EA">
        <w:t xml:space="preserve"> </w:t>
      </w:r>
    </w:p>
    <w:p w14:paraId="255E84EE" w14:textId="77777777" w:rsidR="00313BBB" w:rsidRDefault="00313BBB" w:rsidP="00A2376A">
      <w:pPr>
        <w:pStyle w:val="ListNumber"/>
      </w:pPr>
      <w:r>
        <w:lastRenderedPageBreak/>
        <w:t xml:space="preserve">issued in the public interest, to address environmental, public health, national security or economic development concerns by promoting third-party production of the patented products (at </w:t>
      </w:r>
      <w:r w:rsidR="003A0D87">
        <w:t xml:space="preserve">a </w:t>
      </w:r>
      <w:r>
        <w:t>lower price)</w:t>
      </w:r>
    </w:p>
    <w:p w14:paraId="361E6D10" w14:textId="77777777" w:rsidR="00417374" w:rsidRDefault="00313BBB" w:rsidP="00417374">
      <w:pPr>
        <w:pStyle w:val="ListNumber"/>
      </w:pPr>
      <w:r>
        <w:t>issued on behalf of owners of dependent patents, that is, to allow holders of improvements patents to make use of dominant patents that would otherwise block technical progress</w:t>
      </w:r>
      <w:r w:rsidR="00417374" w:rsidRPr="00417374">
        <w:t xml:space="preserve"> </w:t>
      </w:r>
    </w:p>
    <w:p w14:paraId="484AC70B" w14:textId="77777777" w:rsidR="00417374" w:rsidRDefault="00417374" w:rsidP="00417374">
      <w:pPr>
        <w:pStyle w:val="ListNumber"/>
      </w:pPr>
      <w:r>
        <w:t>to rectify violations of competition law</w:t>
      </w:r>
    </w:p>
    <w:p w14:paraId="77C2CEBA" w14:textId="77777777" w:rsidR="00417374" w:rsidRDefault="00417374" w:rsidP="00A2376A">
      <w:pPr>
        <w:pStyle w:val="ListNumber"/>
      </w:pPr>
      <w:r>
        <w:t xml:space="preserve">for export of pharmaceutical products to developing countries that lack the capacity to manufacture needed drugs </w:t>
      </w:r>
    </w:p>
    <w:p w14:paraId="0781BEB1" w14:textId="77777777" w:rsidR="00212BAC" w:rsidRPr="00417374" w:rsidRDefault="00313BBB" w:rsidP="00417374">
      <w:pPr>
        <w:pStyle w:val="ListNumber"/>
        <w:rPr>
          <w:rStyle w:val="DraftingNote"/>
          <w:b w:val="0"/>
          <w:color w:val="auto"/>
          <w:sz w:val="26"/>
          <w:u w:val="none"/>
        </w:rPr>
      </w:pPr>
      <w:r>
        <w:t>imposed by governments to permit them and their contractors to make non</w:t>
      </w:r>
      <w:r>
        <w:noBreakHyphen/>
        <w:t xml:space="preserve">commercial public use of the patents without consent of the </w:t>
      </w:r>
      <w:r w:rsidR="000800DA">
        <w:t>patent holder</w:t>
      </w:r>
      <w:r w:rsidR="00417374">
        <w:t>.</w:t>
      </w:r>
    </w:p>
    <w:p w14:paraId="177D4F5D" w14:textId="21D29E07" w:rsidR="00417374" w:rsidRDefault="00417374" w:rsidP="00417374">
      <w:pPr>
        <w:pStyle w:val="BodyText"/>
      </w:pPr>
      <w:r>
        <w:t>The first three types of compulsory licensing noted by Reichman are allowed in most comparable markets, as demonstrated in table C.1. The fourth and fifth types of compulsory licensing are discussed in more detail below. The sixth type of compulsory licensing — use by governments — is considered separately to other forms of compulsory licensing</w:t>
      </w:r>
      <w:r w:rsidR="00FE1864">
        <w:t xml:space="preserve"> (</w:t>
      </w:r>
      <w:r w:rsidR="00C9404A">
        <w:t xml:space="preserve">specifically, </w:t>
      </w:r>
      <w:r w:rsidR="00FE1864">
        <w:t>chapt</w:t>
      </w:r>
      <w:r w:rsidR="000F5F92">
        <w:t xml:space="preserve">er 7 considers Crown use). </w:t>
      </w:r>
      <w:proofErr w:type="spellStart"/>
      <w:r w:rsidR="000F5F92">
        <w:t>WIPO</w:t>
      </w:r>
      <w:proofErr w:type="spellEnd"/>
      <w:r w:rsidR="000F5F92">
        <w:t> </w:t>
      </w:r>
      <w:r w:rsidR="00FE1864">
        <w:t>(</w:t>
      </w:r>
      <w:proofErr w:type="spellStart"/>
      <w:r w:rsidR="00FE1864">
        <w:t>2010a</w:t>
      </w:r>
      <w:proofErr w:type="spellEnd"/>
      <w:r w:rsidR="00FE1864">
        <w:t>) found that t</w:t>
      </w:r>
      <w:r>
        <w:t>he distinction between government use of patents and compulsory licensing is not always clear.</w:t>
      </w:r>
      <w:r w:rsidR="00A67680">
        <w:t xml:space="preserve"> Some other forms of compulsory licensing are </w:t>
      </w:r>
      <w:r w:rsidR="00C005A0">
        <w:t xml:space="preserve">also </w:t>
      </w:r>
      <w:r w:rsidR="00A67680">
        <w:t>briefly considered below.</w:t>
      </w:r>
    </w:p>
    <w:p w14:paraId="3D5A6C11" w14:textId="77777777" w:rsidR="00417374" w:rsidRDefault="00417374" w:rsidP="00417374">
      <w:pPr>
        <w:pStyle w:val="Heading4"/>
      </w:pPr>
      <w:r>
        <w:t xml:space="preserve">Competition issues </w:t>
      </w:r>
    </w:p>
    <w:p w14:paraId="50F09461" w14:textId="5D2BD0E3" w:rsidR="00417374" w:rsidRDefault="00417374" w:rsidP="00417374">
      <w:pPr>
        <w:pStyle w:val="BodyText"/>
      </w:pPr>
      <w:r>
        <w:t xml:space="preserve">In a survey on </w:t>
      </w:r>
      <w:r w:rsidR="00FE1864">
        <w:t xml:space="preserve">the </w:t>
      </w:r>
      <w:r>
        <w:t>compulsory licensing provisions of 34 countries, WIPO (2011</w:t>
      </w:r>
      <w:r w:rsidR="006F4514">
        <w:t>b</w:t>
      </w:r>
      <w:r>
        <w:t xml:space="preserve">) found that in most countries these provisions were not specifically designed to address anticompetitive uses of IP rights. Most </w:t>
      </w:r>
      <w:r w:rsidR="002C6919">
        <w:t xml:space="preserve">compulsory licensing </w:t>
      </w:r>
      <w:r>
        <w:t>provisions in national IP laws did not c</w:t>
      </w:r>
      <w:r w:rsidR="00D84459">
        <w:t>ontain language addressing anti</w:t>
      </w:r>
      <w:r>
        <w:t xml:space="preserve">competitive uses of IP rights. </w:t>
      </w:r>
      <w:r w:rsidR="00C005A0">
        <w:t xml:space="preserve">However, some countries address anticompetitive uses of IP rights in competition legislation. </w:t>
      </w:r>
      <w:r>
        <w:t xml:space="preserve">Australia </w:t>
      </w:r>
      <w:r w:rsidR="00C005A0">
        <w:t xml:space="preserve">stands in contrast to most comparable markets as it has </w:t>
      </w:r>
      <w:r>
        <w:t>a competition test in its patent law (discussed in more detail in chapter 6).</w:t>
      </w:r>
    </w:p>
    <w:p w14:paraId="38791CAA" w14:textId="77777777" w:rsidR="00E77D81" w:rsidRDefault="00417374" w:rsidP="00F01D64">
      <w:pPr>
        <w:pStyle w:val="BodyText"/>
      </w:pPr>
      <w:r>
        <w:rPr>
          <w:szCs w:val="26"/>
        </w:rPr>
        <w:t>Among developed economies, the U</w:t>
      </w:r>
      <w:r w:rsidR="00294890">
        <w:rPr>
          <w:szCs w:val="26"/>
        </w:rPr>
        <w:t xml:space="preserve">nited </w:t>
      </w:r>
      <w:r>
        <w:rPr>
          <w:szCs w:val="26"/>
        </w:rPr>
        <w:t>S</w:t>
      </w:r>
      <w:r w:rsidR="00294890">
        <w:rPr>
          <w:szCs w:val="26"/>
        </w:rPr>
        <w:t>tates</w:t>
      </w:r>
      <w:r>
        <w:rPr>
          <w:szCs w:val="26"/>
        </w:rPr>
        <w:t xml:space="preserve"> appears to be relatively unusual in the emphasis it places on using compulsory licensing to remedy antitrust violations and open markets to competition, compared to other public interest grounds (Reichman and Hasenzahl 2003; WIPO 2011b; Yosick 2001</w:t>
      </w:r>
      <w:r w:rsidRPr="000B36F7">
        <w:t xml:space="preserve">). </w:t>
      </w:r>
    </w:p>
    <w:p w14:paraId="194D6DEB" w14:textId="25836A3C" w:rsidR="00F01D64" w:rsidRDefault="00E82BEA" w:rsidP="00F01D64">
      <w:pPr>
        <w:pStyle w:val="BodyText"/>
      </w:pPr>
      <w:r>
        <w:t xml:space="preserve">The ‘essential facilities doctrine’ </w:t>
      </w:r>
      <w:r w:rsidR="00E77D81">
        <w:t>has been applied to IP in comparable markets, most notably in the European Union and</w:t>
      </w:r>
      <w:r w:rsidR="000800DA">
        <w:t>,</w:t>
      </w:r>
      <w:r w:rsidR="00E77D81">
        <w:t xml:space="preserve"> in some cases</w:t>
      </w:r>
      <w:r w:rsidR="000800DA">
        <w:t>,</w:t>
      </w:r>
      <w:r w:rsidR="00E77D81">
        <w:t xml:space="preserve"> in the United States. This doctrine </w:t>
      </w:r>
      <w:r w:rsidR="00F01D64">
        <w:t xml:space="preserve">refers to the principle that a firm’s general right to refuse to deal with others may need to be limited </w:t>
      </w:r>
      <w:r w:rsidR="00EA267C">
        <w:t xml:space="preserve">in some cases to ensure </w:t>
      </w:r>
      <w:r w:rsidR="00F01D64">
        <w:t>competition</w:t>
      </w:r>
      <w:r w:rsidR="00EA267C">
        <w:t xml:space="preserve">. </w:t>
      </w:r>
    </w:p>
    <w:p w14:paraId="4A7E80C6" w14:textId="77777777" w:rsidR="00417374" w:rsidRDefault="00417374" w:rsidP="00417374">
      <w:pPr>
        <w:pStyle w:val="Heading4"/>
      </w:pPr>
      <w:r>
        <w:lastRenderedPageBreak/>
        <w:t xml:space="preserve">Provisions to use compulsory licences for exports to developing countries </w:t>
      </w:r>
    </w:p>
    <w:p w14:paraId="721F12CE" w14:textId="5EAEF1D4" w:rsidR="00417374" w:rsidRDefault="00417374" w:rsidP="00417374">
      <w:pPr>
        <w:pStyle w:val="BodyText"/>
      </w:pPr>
      <w:r>
        <w:t>In November 2001, the World Trade Organi</w:t>
      </w:r>
      <w:r w:rsidR="00E77D81">
        <w:t>s</w:t>
      </w:r>
      <w:r>
        <w:t>ation (WTO) published the ‘</w:t>
      </w:r>
      <w:r w:rsidRPr="00F91162">
        <w:t xml:space="preserve">Declaration on the TRIPS </w:t>
      </w:r>
      <w:r>
        <w:t>a</w:t>
      </w:r>
      <w:r w:rsidRPr="00F91162">
        <w:t xml:space="preserve">greement on </w:t>
      </w:r>
      <w:r>
        <w:t>p</w:t>
      </w:r>
      <w:r w:rsidRPr="00F91162">
        <w:t xml:space="preserve">ublic </w:t>
      </w:r>
      <w:r>
        <w:t>h</w:t>
      </w:r>
      <w:r w:rsidRPr="00F91162">
        <w:t>ealth</w:t>
      </w:r>
      <w:r>
        <w:t>’</w:t>
      </w:r>
      <w:r w:rsidRPr="00F91162">
        <w:t xml:space="preserve"> </w:t>
      </w:r>
      <w:r>
        <w:t>(WTO 2001).</w:t>
      </w:r>
      <w:r w:rsidR="006921D3">
        <w:t xml:space="preserve"> Following this declaration, a </w:t>
      </w:r>
      <w:r w:rsidR="00C9404A">
        <w:t>p</w:t>
      </w:r>
      <w:r>
        <w:t>rotocol to amend TRIP</w:t>
      </w:r>
      <w:r w:rsidR="006921D3">
        <w:t xml:space="preserve">S was adopted by the WTO. This </w:t>
      </w:r>
      <w:r w:rsidR="00C9404A">
        <w:t>p</w:t>
      </w:r>
      <w:r>
        <w:t xml:space="preserve">rotocol allows compulsory licensing for the purpose of exporting pharmaceuticals to developing countries. </w:t>
      </w:r>
    </w:p>
    <w:p w14:paraId="2D2151BD" w14:textId="3E248D88" w:rsidR="00417374" w:rsidRDefault="00417374" w:rsidP="00417374">
      <w:pPr>
        <w:pStyle w:val="BodyText"/>
      </w:pPr>
      <w:r>
        <w:t>In 2011, the Australia</w:t>
      </w:r>
      <w:r w:rsidR="0084189D">
        <w:t>n</w:t>
      </w:r>
      <w:r>
        <w:t xml:space="preserve"> Government announced i</w:t>
      </w:r>
      <w:r w:rsidR="006921D3">
        <w:t xml:space="preserve">ts intention to implement this </w:t>
      </w:r>
      <w:r w:rsidR="00C9404A">
        <w:t>p</w:t>
      </w:r>
      <w:r>
        <w:t>rotocol (Carr and Emerson 2011). This follows several other countries</w:t>
      </w:r>
      <w:r w:rsidR="001730C6">
        <w:t>,</w:t>
      </w:r>
      <w:r>
        <w:t xml:space="preserve"> including Canada, EU members and </w:t>
      </w:r>
      <w:r w:rsidR="00E77D81">
        <w:t xml:space="preserve">South </w:t>
      </w:r>
      <w:r>
        <w:t>Korea, wh</w:t>
      </w:r>
      <w:r w:rsidR="00E77D81">
        <w:t xml:space="preserve">ich </w:t>
      </w:r>
      <w:r w:rsidR="006921D3">
        <w:t xml:space="preserve">have already implemented the </w:t>
      </w:r>
      <w:r w:rsidR="00C9404A">
        <w:t>p</w:t>
      </w:r>
      <w:r>
        <w:t>rotocol. Discussion of the draft Australian Bill, including background to</w:t>
      </w:r>
      <w:r w:rsidR="004422B8">
        <w:t>,</w:t>
      </w:r>
      <w:r>
        <w:t xml:space="preserve"> and rationale for</w:t>
      </w:r>
      <w:r w:rsidR="004422B8">
        <w:t>,</w:t>
      </w:r>
      <w:r w:rsidR="006921D3">
        <w:t xml:space="preserve"> the TRIPS P</w:t>
      </w:r>
      <w:r>
        <w:t>rotocol, is included in chapter 8. TRIPS and other international agreements are discussed in appendix D</w:t>
      </w:r>
      <w:r w:rsidR="004043DE">
        <w:t>.</w:t>
      </w:r>
    </w:p>
    <w:p w14:paraId="72497E86" w14:textId="77777777" w:rsidR="00417374" w:rsidRDefault="00417374" w:rsidP="00643BD4">
      <w:pPr>
        <w:pStyle w:val="Heading4"/>
      </w:pPr>
      <w:r>
        <w:t xml:space="preserve">Other types of compulsory licensing </w:t>
      </w:r>
    </w:p>
    <w:p w14:paraId="0887C3BC" w14:textId="77777777" w:rsidR="00643BD4" w:rsidRPr="00D84459" w:rsidRDefault="003468B9" w:rsidP="00774193">
      <w:pPr>
        <w:pStyle w:val="Heading5"/>
        <w:spacing w:before="240"/>
        <w:rPr>
          <w:rStyle w:val="DraftingNote"/>
          <w:b w:val="0"/>
          <w:color w:val="auto"/>
          <w:sz w:val="26"/>
          <w:u w:val="none"/>
        </w:rPr>
      </w:pPr>
      <w:r w:rsidRPr="00D84459">
        <w:rPr>
          <w:rStyle w:val="DraftingNote"/>
          <w:b w:val="0"/>
          <w:color w:val="auto"/>
          <w:sz w:val="26"/>
          <w:u w:val="none"/>
        </w:rPr>
        <w:t>Sector-s</w:t>
      </w:r>
      <w:r w:rsidR="00643BD4" w:rsidRPr="00D84459">
        <w:rPr>
          <w:rStyle w:val="DraftingNote"/>
          <w:b w:val="0"/>
          <w:color w:val="auto"/>
          <w:sz w:val="26"/>
          <w:u w:val="none"/>
        </w:rPr>
        <w:t>pecific compulsory licensing provisions</w:t>
      </w:r>
    </w:p>
    <w:p w14:paraId="5B6CA9E2" w14:textId="77777777" w:rsidR="003468B9" w:rsidRDefault="001F3D8E" w:rsidP="00865C2C">
      <w:pPr>
        <w:pStyle w:val="BodyText"/>
      </w:pPr>
      <w:r>
        <w:t xml:space="preserve">Internationally, a number of </w:t>
      </w:r>
      <w:r w:rsidR="00295FBE">
        <w:t>public</w:t>
      </w:r>
      <w:r>
        <w:t>-</w:t>
      </w:r>
      <w:r w:rsidR="00295FBE">
        <w:t>health</w:t>
      </w:r>
      <w:r w:rsidR="0084189D">
        <w:t>-</w:t>
      </w:r>
      <w:r w:rsidR="00295FBE">
        <w:t>specific</w:t>
      </w:r>
      <w:r>
        <w:t xml:space="preserve"> compulsory licensing provisions exist. </w:t>
      </w:r>
      <w:r w:rsidR="00643BD4">
        <w:t>The French</w:t>
      </w:r>
      <w:r w:rsidR="003468B9">
        <w:t xml:space="preserve">, </w:t>
      </w:r>
      <w:r w:rsidR="00643BD4">
        <w:t xml:space="preserve">Belgian and Swiss governments </w:t>
      </w:r>
      <w:r w:rsidR="003468B9">
        <w:t>have</w:t>
      </w:r>
      <w:r w:rsidR="00643BD4">
        <w:t xml:space="preserve"> adapted their patent</w:t>
      </w:r>
      <w:r w:rsidR="000A4C92">
        <w:t>s</w:t>
      </w:r>
      <w:r w:rsidR="00643BD4">
        <w:t xml:space="preserve"> legislation </w:t>
      </w:r>
      <w:r w:rsidR="003468B9">
        <w:t>to</w:t>
      </w:r>
      <w:r w:rsidR="00643BD4">
        <w:t xml:space="preserve"> introduce </w:t>
      </w:r>
      <w:r w:rsidR="009F2764">
        <w:t>s</w:t>
      </w:r>
      <w:r w:rsidR="00643BD4">
        <w:t>pecific</w:t>
      </w:r>
      <w:r w:rsidR="003468B9">
        <w:t xml:space="preserve"> com</w:t>
      </w:r>
      <w:r w:rsidR="00643BD4">
        <w:t xml:space="preserve">pulsory licences to address concerns raised by </w:t>
      </w:r>
      <w:r w:rsidR="003468B9">
        <w:t xml:space="preserve">gene </w:t>
      </w:r>
      <w:r w:rsidR="00643BD4">
        <w:t>patents (Van Zimmeren and Van Overwalle 2011).</w:t>
      </w:r>
      <w:r w:rsidR="00295FBE">
        <w:t xml:space="preserve"> Public-health</w:t>
      </w:r>
      <w:r w:rsidR="0084189D">
        <w:t>-</w:t>
      </w:r>
      <w:r w:rsidR="00295FBE">
        <w:t>specific compulsory licensing is examined as an alternative mechanism to more general compulsory licensing in chapter 9.</w:t>
      </w:r>
    </w:p>
    <w:p w14:paraId="72BE31D8" w14:textId="77777777" w:rsidR="003468B9" w:rsidRDefault="00643BD4" w:rsidP="00865C2C">
      <w:pPr>
        <w:pStyle w:val="BodyText"/>
      </w:pPr>
      <w:r>
        <w:t xml:space="preserve">An amendment to the </w:t>
      </w:r>
      <w:r w:rsidR="00E77D81">
        <w:t xml:space="preserve">Swiss patents legislation </w:t>
      </w:r>
      <w:r>
        <w:t xml:space="preserve">in 2008 allowed </w:t>
      </w:r>
      <w:r w:rsidR="003468B9">
        <w:t xml:space="preserve">for </w:t>
      </w:r>
      <w:r>
        <w:t>automatic compulsory licen</w:t>
      </w:r>
      <w:r w:rsidR="003468B9">
        <w:t>ces</w:t>
      </w:r>
      <w:r>
        <w:t xml:space="preserve"> on certain ‘research tools’. This allows anyone to use a patent for a biological invention as a tool or means for research (Schovsbo</w:t>
      </w:r>
      <w:r w:rsidR="000B36F7">
        <w:t> </w:t>
      </w:r>
      <w:r>
        <w:t>2009).</w:t>
      </w:r>
      <w:r w:rsidR="00865C2C">
        <w:t xml:space="preserve"> </w:t>
      </w:r>
    </w:p>
    <w:p w14:paraId="058B1725" w14:textId="77777777" w:rsidR="00643BD4" w:rsidRDefault="00865C2C" w:rsidP="00865C2C">
      <w:pPr>
        <w:pStyle w:val="BodyText"/>
      </w:pPr>
      <w:r>
        <w:t xml:space="preserve">In the past, </w:t>
      </w:r>
      <w:r w:rsidR="00E77D81">
        <w:t xml:space="preserve">sector-specific </w:t>
      </w:r>
      <w:r>
        <w:t>compulsory licen</w:t>
      </w:r>
      <w:r w:rsidR="00A507E6">
        <w:t>c</w:t>
      </w:r>
      <w:r>
        <w:t xml:space="preserve">es </w:t>
      </w:r>
      <w:r w:rsidR="00E77D81">
        <w:t xml:space="preserve">were </w:t>
      </w:r>
      <w:r>
        <w:t>provided for in Canada and the U</w:t>
      </w:r>
      <w:r w:rsidR="0062249E">
        <w:t xml:space="preserve">nited </w:t>
      </w:r>
      <w:r>
        <w:t>K</w:t>
      </w:r>
      <w:r w:rsidR="0062249E">
        <w:t>ingdom</w:t>
      </w:r>
      <w:r>
        <w:t xml:space="preserve"> </w:t>
      </w:r>
      <w:r w:rsidR="00643BD4">
        <w:t>for food, medicines and surgical and curative devices (Correa</w:t>
      </w:r>
      <w:r w:rsidR="006F4514">
        <w:t> </w:t>
      </w:r>
      <w:r w:rsidR="00C42013">
        <w:t>1999</w:t>
      </w:r>
      <w:r w:rsidR="00643BD4">
        <w:t xml:space="preserve">). </w:t>
      </w:r>
    </w:p>
    <w:p w14:paraId="44039AAB" w14:textId="30D6A245" w:rsidR="00A67680" w:rsidRDefault="00CE4F81" w:rsidP="00643BD4">
      <w:pPr>
        <w:pStyle w:val="BodyText"/>
      </w:pPr>
      <w:r>
        <w:t>In the U</w:t>
      </w:r>
      <w:r w:rsidR="006677B3">
        <w:t xml:space="preserve">nited </w:t>
      </w:r>
      <w:r>
        <w:t>S</w:t>
      </w:r>
      <w:r w:rsidR="006677B3">
        <w:t>tates</w:t>
      </w:r>
      <w:r>
        <w:t xml:space="preserve">, </w:t>
      </w:r>
      <w:r w:rsidR="00212BAC">
        <w:t xml:space="preserve">provisions </w:t>
      </w:r>
      <w:r w:rsidR="00B75114">
        <w:t>similar</w:t>
      </w:r>
      <w:r w:rsidR="00212BAC">
        <w:t xml:space="preserve"> to </w:t>
      </w:r>
      <w:r>
        <w:t>c</w:t>
      </w:r>
      <w:r w:rsidR="0016327B">
        <w:t xml:space="preserve">ompulsory licensing exist </w:t>
      </w:r>
      <w:r>
        <w:t>in legislation o</w:t>
      </w:r>
      <w:r w:rsidR="00EA14C5">
        <w:t xml:space="preserve">utside of </w:t>
      </w:r>
      <w:r w:rsidR="00774193">
        <w:t>IP</w:t>
      </w:r>
      <w:r w:rsidR="00EA14C5">
        <w:t xml:space="preserve"> and </w:t>
      </w:r>
      <w:r>
        <w:t>competition legislation</w:t>
      </w:r>
      <w:r w:rsidR="0016327B">
        <w:t xml:space="preserve">. </w:t>
      </w:r>
      <w:r w:rsidR="00865458">
        <w:t>‘</w:t>
      </w:r>
      <w:r w:rsidR="0016327B">
        <w:t>M</w:t>
      </w:r>
      <w:r w:rsidR="00865458">
        <w:t>andatory licensing’</w:t>
      </w:r>
      <w:r w:rsidR="00EA14C5">
        <w:t xml:space="preserve"> of patents</w:t>
      </w:r>
      <w:r w:rsidR="00B75114">
        <w:t xml:space="preserve"> is allowed for in the </w:t>
      </w:r>
      <w:r w:rsidR="00B75114" w:rsidRPr="00A507E6">
        <w:t>Clean Air Act</w:t>
      </w:r>
      <w:r w:rsidR="00865458">
        <w:t xml:space="preserve">, </w:t>
      </w:r>
      <w:r w:rsidR="00B75114">
        <w:t xml:space="preserve">and appears equivalent </w:t>
      </w:r>
      <w:r w:rsidR="00865458">
        <w:t xml:space="preserve">to </w:t>
      </w:r>
      <w:r w:rsidR="00B75114">
        <w:t>compulsory licensing</w:t>
      </w:r>
      <w:r w:rsidR="00865458">
        <w:t xml:space="preserve">. However, </w:t>
      </w:r>
      <w:r w:rsidR="00FE1864">
        <w:t xml:space="preserve">the </w:t>
      </w:r>
      <w:r w:rsidR="00865458">
        <w:t>grounds for use of th</w:t>
      </w:r>
      <w:r w:rsidR="00F311B4">
        <w:t>is</w:t>
      </w:r>
      <w:r w:rsidR="00865458">
        <w:t xml:space="preserve"> provision appear narrow and </w:t>
      </w:r>
      <w:r w:rsidR="000800DA">
        <w:t>it</w:t>
      </w:r>
      <w:r w:rsidR="00F311B4">
        <w:t xml:space="preserve"> </w:t>
      </w:r>
      <w:r w:rsidR="00865458">
        <w:t>ha</w:t>
      </w:r>
      <w:r w:rsidR="00F311B4">
        <w:t>s</w:t>
      </w:r>
      <w:r w:rsidR="00865458">
        <w:t xml:space="preserve"> not been used to date. </w:t>
      </w:r>
      <w:r>
        <w:t xml:space="preserve">Under the </w:t>
      </w:r>
      <w:r w:rsidR="00AC78E0" w:rsidRPr="00A507E6">
        <w:t>Atomic Energy Act</w:t>
      </w:r>
      <w:r w:rsidR="001730C6" w:rsidRPr="00A507E6">
        <w:t xml:space="preserve"> of 1954</w:t>
      </w:r>
      <w:r>
        <w:t xml:space="preserve">, </w:t>
      </w:r>
      <w:r w:rsidR="000E60DF">
        <w:t xml:space="preserve">a person may apply to </w:t>
      </w:r>
      <w:r w:rsidR="007E2A83">
        <w:t xml:space="preserve">the US Atomic Energy Commission </w:t>
      </w:r>
      <w:r w:rsidR="000E60DF">
        <w:t>for a licence for a patent without the patent owner’s consent</w:t>
      </w:r>
      <w:r w:rsidR="007E2A83">
        <w:t>, provided that certain conditions are met</w:t>
      </w:r>
      <w:r w:rsidR="000E60DF">
        <w:t xml:space="preserve"> </w:t>
      </w:r>
      <w:r w:rsidR="00CF00ED">
        <w:t>(Yosick 2001)</w:t>
      </w:r>
      <w:r>
        <w:t>. Th</w:t>
      </w:r>
      <w:r w:rsidR="00F311B4">
        <w:t>is</w:t>
      </w:r>
      <w:r>
        <w:t xml:space="preserve"> provision appear</w:t>
      </w:r>
      <w:r w:rsidR="00F311B4">
        <w:t>s</w:t>
      </w:r>
      <w:r>
        <w:t xml:space="preserve"> not to have been used</w:t>
      </w:r>
      <w:r w:rsidR="001D486C">
        <w:t xml:space="preserve"> either</w:t>
      </w:r>
      <w:r>
        <w:t xml:space="preserve">. </w:t>
      </w:r>
    </w:p>
    <w:p w14:paraId="59515CC0" w14:textId="321A6818" w:rsidR="00BA6462" w:rsidRDefault="00BA6462" w:rsidP="00643BD4">
      <w:pPr>
        <w:pStyle w:val="BodyText"/>
      </w:pPr>
      <w:r>
        <w:lastRenderedPageBreak/>
        <w:t xml:space="preserve">Some commentators are of the view that provisions </w:t>
      </w:r>
      <w:r w:rsidR="00B927F3">
        <w:t>in</w:t>
      </w:r>
      <w:r w:rsidR="00F57A0E">
        <w:t xml:space="preserve"> </w:t>
      </w:r>
      <w:r>
        <w:t>the</w:t>
      </w:r>
      <w:r w:rsidR="001730C6">
        <w:t xml:space="preserve"> following pieces of US legislation are also equivalent to compulsory licensing</w:t>
      </w:r>
      <w:r w:rsidR="001730C6" w:rsidRPr="00A507E6">
        <w:t>:</w:t>
      </w:r>
      <w:r w:rsidRPr="00A507E6">
        <w:t xml:space="preserve"> Energy Storage Competitiveness Act</w:t>
      </w:r>
      <w:r w:rsidR="001730C6" w:rsidRPr="00A507E6">
        <w:t xml:space="preserve"> of 2007;</w:t>
      </w:r>
      <w:r w:rsidRPr="00A507E6">
        <w:t xml:space="preserve"> Federal Insecticide, Fungicide and Rodenticide Act</w:t>
      </w:r>
      <w:r w:rsidR="001730C6" w:rsidRPr="00A507E6">
        <w:t xml:space="preserve">; </w:t>
      </w:r>
      <w:r w:rsidR="00F57A0E" w:rsidRPr="00A507E6">
        <w:t xml:space="preserve">and </w:t>
      </w:r>
      <w:r w:rsidRPr="00A507E6">
        <w:t>Plant Variety Protection Act</w:t>
      </w:r>
      <w:r w:rsidR="001730C6" w:rsidRPr="00A507E6">
        <w:t xml:space="preserve"> of 1970</w:t>
      </w:r>
      <w:r w:rsidR="0067011F">
        <w:rPr>
          <w:i/>
        </w:rPr>
        <w:t xml:space="preserve"> </w:t>
      </w:r>
      <w:r w:rsidR="003469FD" w:rsidRPr="003469FD">
        <w:t>(</w:t>
      </w:r>
      <w:r w:rsidR="00B927F3">
        <w:t xml:space="preserve">Correa 2012; </w:t>
      </w:r>
      <w:r w:rsidR="00CF00ED">
        <w:t>Barbosa</w:t>
      </w:r>
      <w:r w:rsidR="00C07AB8">
        <w:t xml:space="preserve"> </w:t>
      </w:r>
      <w:r w:rsidR="00CF00ED">
        <w:t>and</w:t>
      </w:r>
      <w:r w:rsidR="00C07AB8">
        <w:t xml:space="preserve"> </w:t>
      </w:r>
      <w:r w:rsidR="00CF00ED">
        <w:t>Grau</w:t>
      </w:r>
      <w:r w:rsidR="001730C6">
        <w:noBreakHyphen/>
      </w:r>
      <w:r w:rsidR="00CF00ED">
        <w:t>Kuntz</w:t>
      </w:r>
      <w:r w:rsidR="00C07AB8">
        <w:t xml:space="preserve"> </w:t>
      </w:r>
      <w:r w:rsidR="00CF00ED">
        <w:t>2010</w:t>
      </w:r>
      <w:r w:rsidR="00E77D81">
        <w:t>;</w:t>
      </w:r>
      <w:r w:rsidR="00E77D81" w:rsidRPr="00E77D81">
        <w:t xml:space="preserve"> </w:t>
      </w:r>
      <w:r w:rsidR="00E77D81" w:rsidRPr="003469FD">
        <w:t>WIPO 201</w:t>
      </w:r>
      <w:r w:rsidR="00E77D81">
        <w:t>1</w:t>
      </w:r>
      <w:r w:rsidR="00E77D81" w:rsidRPr="003469FD">
        <w:t>a</w:t>
      </w:r>
      <w:r w:rsidR="003469FD" w:rsidRPr="003469FD">
        <w:t>)</w:t>
      </w:r>
      <w:r w:rsidR="00F57A0E">
        <w:t>.</w:t>
      </w:r>
      <w:r>
        <w:t xml:space="preserve"> </w:t>
      </w:r>
      <w:r w:rsidR="000A4C92">
        <w:t xml:space="preserve">The Commission is not aware of </w:t>
      </w:r>
      <w:r w:rsidR="001730C6">
        <w:t xml:space="preserve">any </w:t>
      </w:r>
      <w:r w:rsidR="000A4C92">
        <w:t>uses of these provisions.</w:t>
      </w:r>
    </w:p>
    <w:p w14:paraId="2160084B" w14:textId="77777777" w:rsidR="00A2376A" w:rsidRPr="00D84459" w:rsidRDefault="00A2376A" w:rsidP="00D84459">
      <w:pPr>
        <w:pStyle w:val="Heading5"/>
        <w:rPr>
          <w:rStyle w:val="DraftingNote"/>
          <w:b w:val="0"/>
          <w:color w:val="auto"/>
          <w:sz w:val="26"/>
          <w:u w:val="none"/>
        </w:rPr>
      </w:pPr>
      <w:r w:rsidRPr="00D84459">
        <w:rPr>
          <w:rStyle w:val="DraftingNote"/>
          <w:b w:val="0"/>
          <w:color w:val="auto"/>
          <w:sz w:val="26"/>
          <w:u w:val="none"/>
        </w:rPr>
        <w:t xml:space="preserve">Government conditions on publicly-funded research </w:t>
      </w:r>
    </w:p>
    <w:p w14:paraId="7C2AF737" w14:textId="351BF075" w:rsidR="002E1061" w:rsidRDefault="002E1061" w:rsidP="002E1061">
      <w:pPr>
        <w:pStyle w:val="BodyText"/>
      </w:pPr>
      <w:r>
        <w:t xml:space="preserve">Concerns about </w:t>
      </w:r>
      <w:r w:rsidR="00FE1864">
        <w:t xml:space="preserve">the </w:t>
      </w:r>
      <w:r w:rsidR="003468B9">
        <w:t>limited</w:t>
      </w:r>
      <w:r>
        <w:t xml:space="preserve"> use of inventions resulting from publicly-funded research in the United States led to the </w:t>
      </w:r>
      <w:r w:rsidRPr="00A507E6">
        <w:t>Patent and Trademark Law Amendments Act of 1980</w:t>
      </w:r>
      <w:r w:rsidR="000800DA">
        <w:t xml:space="preserve"> (Bayh-Dole Act) </w:t>
      </w:r>
      <w:r w:rsidR="0084189D">
        <w:t>(box C.1)</w:t>
      </w:r>
      <w:r>
        <w:t xml:space="preserve">. </w:t>
      </w:r>
    </w:p>
    <w:p w14:paraId="175AEE3F" w14:textId="04AA02AD" w:rsidR="002E1061" w:rsidRDefault="002E1061" w:rsidP="002E106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1061" w14:paraId="4725619C" w14:textId="77777777" w:rsidTr="003F0B3E">
        <w:tc>
          <w:tcPr>
            <w:tcW w:w="8771" w:type="dxa"/>
            <w:tcBorders>
              <w:top w:val="single" w:sz="6" w:space="0" w:color="auto"/>
              <w:bottom w:val="nil"/>
            </w:tcBorders>
          </w:tcPr>
          <w:p w14:paraId="1672A4B5" w14:textId="77777777" w:rsidR="002E1061" w:rsidRDefault="002E1061" w:rsidP="003F0B3E">
            <w:pPr>
              <w:pStyle w:val="BoxTitle"/>
            </w:pPr>
            <w:r>
              <w:rPr>
                <w:b w:val="0"/>
              </w:rPr>
              <w:t xml:space="preserve">Box </w:t>
            </w:r>
            <w:r w:rsidR="0084673B">
              <w:fldChar w:fldCharType="begin"/>
            </w:r>
            <w:r w:rsidR="0084673B">
              <w:instrText xml:space="preserve"> COMMENTS  \* MERGEFORMAT </w:instrText>
            </w:r>
            <w:r w:rsidR="0084673B">
              <w:fldChar w:fldCharType="separate"/>
            </w:r>
            <w:proofErr w:type="spellStart"/>
            <w:r w:rsidR="00384F41" w:rsidRPr="00384F41">
              <w:rPr>
                <w:b w:val="0"/>
              </w:rPr>
              <w:t>C</w:t>
            </w:r>
            <w:r w:rsidR="00384F41">
              <w:t>.</w:t>
            </w:r>
            <w:r w:rsidR="0084673B">
              <w:fldChar w:fldCharType="end"/>
            </w:r>
            <w:r w:rsidR="0030683C">
              <w:rPr>
                <w:b w:val="0"/>
              </w:rPr>
              <w:fldChar w:fldCharType="begin"/>
            </w:r>
            <w:r>
              <w:rPr>
                <w:b w:val="0"/>
              </w:rPr>
              <w:instrText xml:space="preserve"> SEQ Box \* ARABIC </w:instrText>
            </w:r>
            <w:r w:rsidR="0030683C">
              <w:rPr>
                <w:b w:val="0"/>
              </w:rPr>
              <w:fldChar w:fldCharType="separate"/>
            </w:r>
            <w:r w:rsidR="002A73B1">
              <w:rPr>
                <w:b w:val="0"/>
                <w:noProof/>
              </w:rPr>
              <w:t>1</w:t>
            </w:r>
            <w:proofErr w:type="spellEnd"/>
            <w:r w:rsidR="0030683C">
              <w:rPr>
                <w:b w:val="0"/>
              </w:rPr>
              <w:fldChar w:fldCharType="end"/>
            </w:r>
            <w:r>
              <w:tab/>
              <w:t xml:space="preserve">The US </w:t>
            </w:r>
            <w:proofErr w:type="spellStart"/>
            <w:r>
              <w:t>Bayh</w:t>
            </w:r>
            <w:proofErr w:type="spellEnd"/>
            <w:r>
              <w:t>-Dole Act</w:t>
            </w:r>
          </w:p>
        </w:tc>
      </w:tr>
      <w:tr w:rsidR="002E1061" w14:paraId="241827D0" w14:textId="77777777" w:rsidTr="003F0B3E">
        <w:trPr>
          <w:cantSplit/>
        </w:trPr>
        <w:tc>
          <w:tcPr>
            <w:tcW w:w="8771" w:type="dxa"/>
            <w:tcBorders>
              <w:top w:val="nil"/>
              <w:left w:val="single" w:sz="6" w:space="0" w:color="auto"/>
              <w:bottom w:val="nil"/>
              <w:right w:val="single" w:sz="6" w:space="0" w:color="auto"/>
            </w:tcBorders>
          </w:tcPr>
          <w:p w14:paraId="001E7DCF" w14:textId="77777777" w:rsidR="002E1061" w:rsidRDefault="002E1061" w:rsidP="003F0B3E">
            <w:pPr>
              <w:pStyle w:val="Box"/>
            </w:pPr>
            <w:r>
              <w:rPr>
                <w:rFonts w:cs="Arial"/>
              </w:rPr>
              <w:t xml:space="preserve">The </w:t>
            </w:r>
            <w:r w:rsidRPr="00A507E6">
              <w:rPr>
                <w:rFonts w:cs="Arial"/>
              </w:rPr>
              <w:t>Patent and Trademark Act Amendments 1980</w:t>
            </w:r>
            <w:r w:rsidR="000800DA" w:rsidRPr="00A507E6">
              <w:rPr>
                <w:rFonts w:cs="Arial"/>
              </w:rPr>
              <w:t xml:space="preserve"> (</w:t>
            </w:r>
            <w:r w:rsidR="000800DA" w:rsidRPr="00D87790">
              <w:rPr>
                <w:rFonts w:cs="Arial"/>
              </w:rPr>
              <w:t>Bayh-Dole Act</w:t>
            </w:r>
            <w:r w:rsidR="000800DA">
              <w:rPr>
                <w:rFonts w:cs="Arial"/>
              </w:rPr>
              <w:t>)</w:t>
            </w:r>
            <w:r>
              <w:rPr>
                <w:rFonts w:cs="Arial"/>
              </w:rPr>
              <w:t xml:space="preserve"> was enacted in December </w:t>
            </w:r>
            <w:r w:rsidR="003833A3">
              <w:rPr>
                <w:rFonts w:cs="Arial"/>
              </w:rPr>
              <w:t>1980</w:t>
            </w:r>
            <w:r w:rsidR="0011202E">
              <w:rPr>
                <w:rFonts w:cs="Arial"/>
              </w:rPr>
              <w:t xml:space="preserve">. </w:t>
            </w:r>
            <w:r>
              <w:t xml:space="preserve">Prior to the enactment of the </w:t>
            </w:r>
            <w:r w:rsidR="0011202E">
              <w:t>Act</w:t>
            </w:r>
            <w:r>
              <w:t xml:space="preserve">, there was no government-wide policy on ownership of inventions made by government contractors and grantees </w:t>
            </w:r>
            <w:r w:rsidR="009459FD">
              <w:t>receiving</w:t>
            </w:r>
            <w:r>
              <w:t xml:space="preserve"> federal funding. Companies did not have exclusive rights under government patents to manufacture and sell resulting products. Consequently, there was limited interest by private industry in licensing government</w:t>
            </w:r>
            <w:r>
              <w:noBreakHyphen/>
              <w:t xml:space="preserve">owned patents. </w:t>
            </w:r>
          </w:p>
          <w:p w14:paraId="2CCD2366" w14:textId="77777777" w:rsidR="009459FD" w:rsidRDefault="002E1061" w:rsidP="003F0B3E">
            <w:pPr>
              <w:pStyle w:val="Box"/>
            </w:pPr>
            <w:r>
              <w:t>The Bayh-Dole Act allows for the transfer of exclusive control over government</w:t>
            </w:r>
            <w:r w:rsidR="009459FD">
              <w:t>-</w:t>
            </w:r>
            <w:r>
              <w:t xml:space="preserve">funded inventions to universities and businesses operating with federal contracts for the purpose of further development and commercialisation. The contracting parties and businesses are then permitted to exclusively licence the inventions to other parties. </w:t>
            </w:r>
          </w:p>
          <w:p w14:paraId="54D3D88C" w14:textId="77777777" w:rsidR="002E1061" w:rsidRDefault="002E1061" w:rsidP="003F0B3E">
            <w:pPr>
              <w:pStyle w:val="Box"/>
            </w:pPr>
            <w:r>
              <w:t>The US Federal Government retains</w:t>
            </w:r>
            <w:r w:rsidRPr="00F81F38">
              <w:t xml:space="preserve"> ‘march-in’ rights to licen</w:t>
            </w:r>
            <w:r w:rsidR="002C6919">
              <w:t>s</w:t>
            </w:r>
            <w:r w:rsidRPr="00F81F38">
              <w:t xml:space="preserve">e the invention to a third party, without the consent of the patent holder or original </w:t>
            </w:r>
            <w:r>
              <w:t>licensee</w:t>
            </w:r>
            <w:r w:rsidRPr="00F81F38">
              <w:t xml:space="preserve"> where it </w:t>
            </w:r>
            <w:r>
              <w:t>determines the invention was not brought to practical use within a reasonable time, if health and safety issues arise, if public use of the invention was in jeopardy, or if other legal requirements were not satisfied.</w:t>
            </w:r>
            <w:r w:rsidRPr="00F81F38">
              <w:t xml:space="preserve"> </w:t>
            </w:r>
            <w:r>
              <w:t>March</w:t>
            </w:r>
            <w:r w:rsidR="002B2254">
              <w:t>-</w:t>
            </w:r>
            <w:r>
              <w:t>in rights are equivalent to compulsory licensing.</w:t>
            </w:r>
          </w:p>
          <w:p w14:paraId="5E274893" w14:textId="77777777" w:rsidR="002E1061" w:rsidRDefault="002E1061" w:rsidP="00040C0A">
            <w:pPr>
              <w:pStyle w:val="Box"/>
            </w:pPr>
            <w:r>
              <w:t>Since the enactment of the Bayh-Dole Act</w:t>
            </w:r>
            <w:r w:rsidR="00E77D81">
              <w:t>,</w:t>
            </w:r>
            <w:r>
              <w:t xml:space="preserve"> there is evidence of a substantial increase in technology transfer from universities to industry, and ultimately the public. </w:t>
            </w:r>
          </w:p>
        </w:tc>
      </w:tr>
      <w:tr w:rsidR="002E1061" w14:paraId="470157F2" w14:textId="77777777" w:rsidTr="003F0B3E">
        <w:trPr>
          <w:cantSplit/>
        </w:trPr>
        <w:tc>
          <w:tcPr>
            <w:tcW w:w="8771" w:type="dxa"/>
            <w:tcBorders>
              <w:top w:val="nil"/>
              <w:left w:val="single" w:sz="6" w:space="0" w:color="auto"/>
              <w:bottom w:val="nil"/>
              <w:right w:val="single" w:sz="6" w:space="0" w:color="auto"/>
            </w:tcBorders>
          </w:tcPr>
          <w:p w14:paraId="4DBC2C6E" w14:textId="77777777" w:rsidR="002E1061" w:rsidRDefault="002E1061" w:rsidP="003F0B3E">
            <w:pPr>
              <w:pStyle w:val="BoxSource"/>
            </w:pPr>
            <w:r>
              <w:rPr>
                <w:i/>
              </w:rPr>
              <w:t>Source</w:t>
            </w:r>
            <w:r w:rsidRPr="00167F06">
              <w:t xml:space="preserve">: </w:t>
            </w:r>
            <w:r>
              <w:t>COGR (1999).</w:t>
            </w:r>
          </w:p>
        </w:tc>
      </w:tr>
      <w:tr w:rsidR="002E1061" w14:paraId="6AC30ADD" w14:textId="77777777" w:rsidTr="003F0B3E">
        <w:trPr>
          <w:cantSplit/>
        </w:trPr>
        <w:tc>
          <w:tcPr>
            <w:tcW w:w="8771" w:type="dxa"/>
            <w:tcBorders>
              <w:top w:val="nil"/>
              <w:left w:val="single" w:sz="6" w:space="0" w:color="auto"/>
              <w:bottom w:val="single" w:sz="6" w:space="0" w:color="auto"/>
              <w:right w:val="single" w:sz="6" w:space="0" w:color="auto"/>
            </w:tcBorders>
          </w:tcPr>
          <w:p w14:paraId="1997AC8B" w14:textId="77777777" w:rsidR="002E1061" w:rsidRDefault="002E1061" w:rsidP="003F0B3E">
            <w:pPr>
              <w:pStyle w:val="Box"/>
              <w:spacing w:before="0" w:line="120" w:lineRule="exact"/>
            </w:pPr>
          </w:p>
        </w:tc>
      </w:tr>
      <w:tr w:rsidR="002E1061" w:rsidRPr="000863A5" w14:paraId="17F68E52" w14:textId="77777777" w:rsidTr="003F0B3E">
        <w:tc>
          <w:tcPr>
            <w:tcW w:w="8771" w:type="dxa"/>
            <w:tcBorders>
              <w:top w:val="nil"/>
              <w:left w:val="nil"/>
              <w:bottom w:val="nil"/>
              <w:right w:val="nil"/>
            </w:tcBorders>
          </w:tcPr>
          <w:p w14:paraId="5784AD3B" w14:textId="5CEE49CF" w:rsidR="002E1061" w:rsidRPr="000863A5" w:rsidRDefault="002E1061" w:rsidP="003F0B3E">
            <w:pPr>
              <w:pStyle w:val="Box"/>
              <w:keepNext w:val="0"/>
              <w:spacing w:before="60" w:after="60" w:line="80" w:lineRule="exact"/>
              <w:rPr>
                <w:b/>
                <w:sz w:val="14"/>
              </w:rPr>
            </w:pPr>
          </w:p>
        </w:tc>
      </w:tr>
    </w:tbl>
    <w:p w14:paraId="68BEAA1E" w14:textId="77777777" w:rsidR="002E1061" w:rsidRDefault="009B11F1" w:rsidP="002E1061">
      <w:pPr>
        <w:pStyle w:val="BodyText"/>
      </w:pPr>
      <w:r>
        <w:t xml:space="preserve">Legislation similar to the Bayh-Dole Act </w:t>
      </w:r>
      <w:r w:rsidR="002E1061">
        <w:t>do</w:t>
      </w:r>
      <w:r w:rsidR="002B2254">
        <w:t>es</w:t>
      </w:r>
      <w:r w:rsidR="002E1061">
        <w:t xml:space="preserve"> not exist in other developed countries. </w:t>
      </w:r>
      <w:r>
        <w:t>However, c</w:t>
      </w:r>
      <w:r w:rsidR="002E1061">
        <w:t xml:space="preserve">ountries including China, Brazil, Malaysia and South Africa have passed laws on the patenting of publicly-funded research, modelled in part on the Bayh-Dole Act (Rai et al. 2008).  </w:t>
      </w:r>
    </w:p>
    <w:p w14:paraId="759121ED" w14:textId="77777777" w:rsidR="003833A3" w:rsidRDefault="003833A3" w:rsidP="003833A3">
      <w:pPr>
        <w:pStyle w:val="Heading3"/>
      </w:pPr>
      <w:r>
        <w:lastRenderedPageBreak/>
        <w:t>Government use</w:t>
      </w:r>
    </w:p>
    <w:p w14:paraId="5BCF89EA" w14:textId="77777777" w:rsidR="00B01F2C" w:rsidRDefault="00BB2829" w:rsidP="003833A3">
      <w:pPr>
        <w:pStyle w:val="BodyText"/>
      </w:pPr>
      <w:r>
        <w:t xml:space="preserve">Provisions for </w:t>
      </w:r>
      <w:r w:rsidR="00785F93">
        <w:t xml:space="preserve">non-voluntary </w:t>
      </w:r>
      <w:r>
        <w:t xml:space="preserve">government use of patents exist in almost all comparable markets. </w:t>
      </w:r>
      <w:r w:rsidR="00BA6A25">
        <w:t xml:space="preserve">The distinction between government use of patents and compulsory licensing is not always clear. </w:t>
      </w:r>
    </w:p>
    <w:p w14:paraId="43EAC9EC" w14:textId="77777777" w:rsidR="000E60DF" w:rsidRDefault="000B5FAD" w:rsidP="003833A3">
      <w:pPr>
        <w:pStyle w:val="BodyText"/>
      </w:pPr>
      <w:r>
        <w:t>The Australian Law Reform Commission (</w:t>
      </w:r>
      <w:r w:rsidR="0084189D">
        <w:t xml:space="preserve">ALRC </w:t>
      </w:r>
      <w:r>
        <w:t>2004) found that p</w:t>
      </w:r>
      <w:r w:rsidR="003833A3">
        <w:t>atents legislation in Canada, the United Kingdom and New Zealand contain</w:t>
      </w:r>
      <w:r w:rsidR="000E60DF">
        <w:t>ed</w:t>
      </w:r>
      <w:r w:rsidR="003833A3">
        <w:t xml:space="preserve"> Crown use provision</w:t>
      </w:r>
      <w:r w:rsidR="00315C55">
        <w:t>s</w:t>
      </w:r>
      <w:r w:rsidR="00372D1F">
        <w:t>, equivalent to government use. The ALRC found these provisions were</w:t>
      </w:r>
      <w:r w:rsidR="003833A3">
        <w:t xml:space="preserve"> similar to those in Australia. </w:t>
      </w:r>
      <w:r w:rsidR="00FC4AFA">
        <w:t xml:space="preserve">In these countries, </w:t>
      </w:r>
      <w:r w:rsidR="0084189D">
        <w:t>g</w:t>
      </w:r>
      <w:r w:rsidR="00FC4AFA">
        <w:t>overnment</w:t>
      </w:r>
      <w:r w:rsidR="0084189D">
        <w:t>s</w:t>
      </w:r>
      <w:r w:rsidR="00FC4AFA">
        <w:t xml:space="preserve"> </w:t>
      </w:r>
      <w:r w:rsidR="000E60DF">
        <w:t>could</w:t>
      </w:r>
      <w:r w:rsidR="00FC4AFA">
        <w:t xml:space="preserve"> use a patent without the permission of the patent holder in certain circumstances, subject to notification and remuneration of the patent holder. </w:t>
      </w:r>
    </w:p>
    <w:p w14:paraId="21513C80" w14:textId="77777777" w:rsidR="00FC4AFA" w:rsidRDefault="00C005A0" w:rsidP="003833A3">
      <w:pPr>
        <w:pStyle w:val="BodyText"/>
      </w:pPr>
      <w:r>
        <w:t>The Australian Council on Intellectual Property (ACIP 2005</w:t>
      </w:r>
      <w:r w:rsidR="00D44AA2">
        <w:t>a</w:t>
      </w:r>
      <w:r>
        <w:t>) found that g</w:t>
      </w:r>
      <w:r w:rsidR="00FC4AFA">
        <w:t>overnment use of patents d</w:t>
      </w:r>
      <w:r>
        <w:t>id</w:t>
      </w:r>
      <w:r w:rsidR="00FC4AFA">
        <w:t xml:space="preserve"> not require ministerial approval in Canada, the U</w:t>
      </w:r>
      <w:r w:rsidR="0062249E">
        <w:t xml:space="preserve">nited </w:t>
      </w:r>
      <w:r w:rsidR="00FC4AFA">
        <w:t>K</w:t>
      </w:r>
      <w:r w:rsidR="0062249E">
        <w:t>ingdom</w:t>
      </w:r>
      <w:r w:rsidR="00FC4AFA">
        <w:t xml:space="preserve"> or New Zealand. However, the Canadian Government </w:t>
      </w:r>
      <w:r>
        <w:t xml:space="preserve">was required to </w:t>
      </w:r>
      <w:r w:rsidR="00FC4AFA">
        <w:t>apply to the Commissioner of Patents for a compulsory licence to use a patent</w:t>
      </w:r>
      <w:r w:rsidR="00927E03">
        <w:t>ed</w:t>
      </w:r>
      <w:r w:rsidR="00FC4AFA">
        <w:t xml:space="preserve"> invention, subject to compensation determined by the Commissioner</w:t>
      </w:r>
      <w:r w:rsidR="000E60DF">
        <w:t xml:space="preserve"> of Patents</w:t>
      </w:r>
      <w:r w:rsidR="00FC4AFA">
        <w:t xml:space="preserve">. </w:t>
      </w:r>
      <w:r w:rsidR="00C71432">
        <w:t>These provisions c</w:t>
      </w:r>
      <w:r>
        <w:t>ould</w:t>
      </w:r>
      <w:r w:rsidR="00C71432">
        <w:t xml:space="preserve"> be used by various government departments and at different levels of governments. </w:t>
      </w:r>
      <w:r w:rsidR="00FC4AFA">
        <w:t>However, exactly which bodies ha</w:t>
      </w:r>
      <w:r>
        <w:t>d</w:t>
      </w:r>
      <w:r w:rsidR="00FC4AFA">
        <w:t xml:space="preserve"> access to </w:t>
      </w:r>
      <w:r w:rsidR="006E47D1">
        <w:t xml:space="preserve">government </w:t>
      </w:r>
      <w:r w:rsidR="00FC4AFA">
        <w:t xml:space="preserve">use provisions </w:t>
      </w:r>
      <w:r>
        <w:t>wa</w:t>
      </w:r>
      <w:r w:rsidR="00FC4AFA">
        <w:t xml:space="preserve">s uncertain. </w:t>
      </w:r>
    </w:p>
    <w:p w14:paraId="448AC534" w14:textId="77777777" w:rsidR="00372D1F" w:rsidRDefault="003833A3" w:rsidP="003833A3">
      <w:pPr>
        <w:pStyle w:val="BodyText"/>
      </w:pPr>
      <w:r>
        <w:t>In the U</w:t>
      </w:r>
      <w:r w:rsidR="006677B3">
        <w:t xml:space="preserve">nited </w:t>
      </w:r>
      <w:r>
        <w:t>S</w:t>
      </w:r>
      <w:r w:rsidR="006677B3">
        <w:t>tates</w:t>
      </w:r>
      <w:r>
        <w:t>, government-use provisions are not found in its patents legisla</w:t>
      </w:r>
      <w:r w:rsidR="00B74869">
        <w:t xml:space="preserve">tion. </w:t>
      </w:r>
      <w:r w:rsidR="00372D1F">
        <w:t>However, the US Government has power</w:t>
      </w:r>
      <w:r w:rsidR="001B65F0">
        <w:t>s</w:t>
      </w:r>
      <w:r w:rsidR="00372D1F">
        <w:t xml:space="preserve"> to use patented inventions. Reichman and Hasenzahl (2003) </w:t>
      </w:r>
      <w:r w:rsidR="001B65F0">
        <w:t>noted</w:t>
      </w:r>
      <w:r w:rsidR="00372D1F">
        <w:t xml:space="preserve"> that the US Government has broad powers to seize and use any invention</w:t>
      </w:r>
      <w:r w:rsidR="001B65F0">
        <w:t xml:space="preserve"> without incurring liability for infringement</w:t>
      </w:r>
      <w:r w:rsidR="00372D1F">
        <w:t xml:space="preserve">, subject to payment of reasonable </w:t>
      </w:r>
      <w:r w:rsidR="00372D1F" w:rsidRPr="00C55690">
        <w:t>compensation</w:t>
      </w:r>
      <w:r w:rsidR="004B673E" w:rsidRPr="00C55690">
        <w:t xml:space="preserve"> (28 U</w:t>
      </w:r>
      <w:r w:rsidR="00F311B4" w:rsidRPr="00C55690">
        <w:t>.</w:t>
      </w:r>
      <w:r w:rsidR="001730C6" w:rsidRPr="00C55690">
        <w:t>S</w:t>
      </w:r>
      <w:r w:rsidR="00F311B4" w:rsidRPr="00C55690">
        <w:t>.</w:t>
      </w:r>
      <w:r w:rsidR="001730C6" w:rsidRPr="00C55690">
        <w:t>C</w:t>
      </w:r>
      <w:r w:rsidR="00F311B4" w:rsidRPr="00C55690">
        <w:t>.</w:t>
      </w:r>
      <w:r w:rsidR="004B673E" w:rsidRPr="00C55690">
        <w:t xml:space="preserve"> </w:t>
      </w:r>
      <w:r w:rsidR="00F311B4" w:rsidRPr="00C55690">
        <w:t xml:space="preserve">§ </w:t>
      </w:r>
      <w:r w:rsidR="004B673E" w:rsidRPr="00C55690">
        <w:t>1498)</w:t>
      </w:r>
      <w:r w:rsidR="00372D1F" w:rsidRPr="00C55690">
        <w:t xml:space="preserve">. </w:t>
      </w:r>
      <w:r w:rsidR="001B65F0" w:rsidRPr="00C55690">
        <w:t>The</w:t>
      </w:r>
      <w:r w:rsidR="001B65F0">
        <w:t xml:space="preserve"> patent holder has a right to challenge any royalty awarded by the court</w:t>
      </w:r>
      <w:r w:rsidR="00403B85">
        <w:t>.</w:t>
      </w:r>
      <w:r w:rsidR="001B65F0">
        <w:t xml:space="preserve"> </w:t>
      </w:r>
      <w:r w:rsidR="00372D1F">
        <w:t xml:space="preserve"> </w:t>
      </w:r>
    </w:p>
    <w:p w14:paraId="1ABC3967" w14:textId="77777777" w:rsidR="00864F6C" w:rsidRDefault="00864F6C" w:rsidP="003833A3">
      <w:pPr>
        <w:pStyle w:val="BodyText"/>
      </w:pPr>
      <w:r>
        <w:t>Government</w:t>
      </w:r>
      <w:r w:rsidR="000E60DF">
        <w:t>-</w:t>
      </w:r>
      <w:r>
        <w:t xml:space="preserve">use provisions </w:t>
      </w:r>
      <w:r w:rsidR="004D2587">
        <w:t>exist in most European countries. In contrast, government</w:t>
      </w:r>
      <w:r w:rsidR="000E60DF">
        <w:t>-</w:t>
      </w:r>
      <w:r w:rsidR="004D2587">
        <w:t xml:space="preserve">use provisions are not explicitly provided for in </w:t>
      </w:r>
      <w:r w:rsidR="00865C2C">
        <w:t>patent</w:t>
      </w:r>
      <w:r w:rsidR="00613221">
        <w:t>s</w:t>
      </w:r>
      <w:r w:rsidR="00865C2C">
        <w:t xml:space="preserve"> legislation in </w:t>
      </w:r>
      <w:r w:rsidR="004D2587">
        <w:t>China, Japan, Korea and Malaysia (WIPO 2011</w:t>
      </w:r>
      <w:r w:rsidR="00210ADA">
        <w:t>b</w:t>
      </w:r>
      <w:r w:rsidR="004D2587">
        <w:t>).</w:t>
      </w:r>
    </w:p>
    <w:p w14:paraId="41F2F245" w14:textId="77777777" w:rsidR="00901CD2" w:rsidRDefault="00472DCC" w:rsidP="00803805">
      <w:pPr>
        <w:pStyle w:val="Heading3"/>
      </w:pPr>
      <w:r>
        <w:t>Research and regulatory approval exemptions</w:t>
      </w:r>
    </w:p>
    <w:p w14:paraId="20451058" w14:textId="77777777" w:rsidR="00901CD2" w:rsidRDefault="00472DCC" w:rsidP="00901CD2">
      <w:pPr>
        <w:pStyle w:val="BodyText"/>
      </w:pPr>
      <w:r>
        <w:t>R</w:t>
      </w:r>
      <w:r w:rsidR="00901CD2">
        <w:t xml:space="preserve">esearch </w:t>
      </w:r>
      <w:r>
        <w:t xml:space="preserve">and regulatory </w:t>
      </w:r>
      <w:r w:rsidR="00996F46">
        <w:t>approval</w:t>
      </w:r>
      <w:r w:rsidR="00901CD2">
        <w:t xml:space="preserve"> exemptions</w:t>
      </w:r>
      <w:r>
        <w:t xml:space="preserve"> provide defences against patent infringement, and can affect research activity and, consequently, affect innovation. These exemptions were recently </w:t>
      </w:r>
      <w:r w:rsidR="000E7E7A">
        <w:t xml:space="preserve">strengthened </w:t>
      </w:r>
      <w:r w:rsidR="00A25B03">
        <w:t xml:space="preserve">in Australia </w:t>
      </w:r>
      <w:r>
        <w:t>(</w:t>
      </w:r>
      <w:r w:rsidR="00A25B03">
        <w:t>discussed in detail in chapter 8</w:t>
      </w:r>
      <w:r>
        <w:t>). These exemptions also exist in comparable markets, and are discussed in turn</w:t>
      </w:r>
      <w:r w:rsidR="00A25B03">
        <w:t xml:space="preserve">. </w:t>
      </w:r>
    </w:p>
    <w:p w14:paraId="1490BA31" w14:textId="77777777" w:rsidR="00803805" w:rsidRDefault="00803805" w:rsidP="00901CD2">
      <w:pPr>
        <w:pStyle w:val="Heading4"/>
      </w:pPr>
      <w:r>
        <w:lastRenderedPageBreak/>
        <w:t>Research exemption</w:t>
      </w:r>
    </w:p>
    <w:p w14:paraId="0F43A273" w14:textId="77777777" w:rsidR="002F6BDF" w:rsidRDefault="002F6BDF" w:rsidP="002F6BDF">
      <w:pPr>
        <w:pStyle w:val="BodyText"/>
        <w:rPr>
          <w:sz w:val="24"/>
          <w:szCs w:val="24"/>
        </w:rPr>
      </w:pPr>
      <w:r>
        <w:t>WIPO (2010</w:t>
      </w:r>
      <w:r w:rsidR="00D44AA2">
        <w:t>a</w:t>
      </w:r>
      <w:r>
        <w:t>) noted that the rationale for research exemption</w:t>
      </w:r>
      <w:r w:rsidR="00C005A0">
        <w:t>s</w:t>
      </w:r>
      <w:r>
        <w:t xml:space="preserve"> was explained as follows by the W</w:t>
      </w:r>
      <w:r w:rsidR="00D41159">
        <w:t>TO</w:t>
      </w:r>
      <w:r>
        <w:t xml:space="preserve"> in a previous case</w:t>
      </w:r>
      <w:r w:rsidR="005F0986">
        <w:t xml:space="preserve"> (WTO 2000)</w:t>
      </w:r>
      <w:r>
        <w:rPr>
          <w:sz w:val="24"/>
          <w:szCs w:val="24"/>
        </w:rPr>
        <w:t>:</w:t>
      </w:r>
    </w:p>
    <w:p w14:paraId="30BBD58B" w14:textId="77777777" w:rsidR="002F6BDF" w:rsidRDefault="002F6BDF" w:rsidP="002F6BDF">
      <w:pPr>
        <w:pStyle w:val="Quote"/>
      </w:pPr>
      <w:r>
        <w:t>… a key public policy purpose underlying patent laws is to facilitate the dissemination and advancement of technical knowledge. [A]llowing the patent owner to prevent experimental use during the term of the patent would frustrate part of the purpose of the requirement that the nature of the invention be disclosed to the public</w:t>
      </w:r>
      <w:r w:rsidR="00097431">
        <w:t xml:space="preserve"> WIPO (2010a, p. 21)</w:t>
      </w:r>
      <w:r>
        <w:t xml:space="preserve">. </w:t>
      </w:r>
    </w:p>
    <w:p w14:paraId="30FBFF14" w14:textId="6B5A915E" w:rsidR="002F6BDF" w:rsidRPr="00505C24" w:rsidRDefault="002F6BDF" w:rsidP="002F6BDF">
      <w:pPr>
        <w:pStyle w:val="BodyText"/>
      </w:pPr>
      <w:r>
        <w:t xml:space="preserve">WIPO </w:t>
      </w:r>
      <w:r w:rsidR="00120DEA">
        <w:t xml:space="preserve">(2010a) </w:t>
      </w:r>
      <w:r>
        <w:t>also noted that the general objectives of research exemptions were similar across countries</w:t>
      </w:r>
      <w:r w:rsidR="00FE1864">
        <w:t xml:space="preserve">, but </w:t>
      </w:r>
      <w:r w:rsidR="007C4D54">
        <w:t>interpretation of research provisions</w:t>
      </w:r>
      <w:r w:rsidR="00097431">
        <w:t>,</w:t>
      </w:r>
      <w:r w:rsidR="007C4D54">
        <w:t xml:space="preserve"> </w:t>
      </w:r>
      <w:r w:rsidR="00BF0771">
        <w:t xml:space="preserve">and language </w:t>
      </w:r>
      <w:r w:rsidR="00C1197E">
        <w:t>used</w:t>
      </w:r>
      <w:r w:rsidR="00097431">
        <w:t>,</w:t>
      </w:r>
      <w:r w:rsidR="00FE1864">
        <w:t xml:space="preserve"> differ</w:t>
      </w:r>
      <w:r w:rsidR="00E66FBE">
        <w:t xml:space="preserve">. Some countries have broad research exemptions, while others have </w:t>
      </w:r>
      <w:r w:rsidR="0051739A">
        <w:t xml:space="preserve">much </w:t>
      </w:r>
      <w:r w:rsidR="00E66FBE">
        <w:t>narrower exemptions and, for example, allow ‘scientific research only’</w:t>
      </w:r>
      <w:r w:rsidR="00097431">
        <w:t>,</w:t>
      </w:r>
      <w:r w:rsidR="00E66FBE">
        <w:t xml:space="preserve"> or require that research be ‘without commercial or gainful intent’. </w:t>
      </w:r>
      <w:r w:rsidR="00931917">
        <w:t>In some countries</w:t>
      </w:r>
      <w:r w:rsidR="00E063D4">
        <w:t>,</w:t>
      </w:r>
      <w:r w:rsidR="00931917">
        <w:t xml:space="preserve"> research tools are not covered by this exemption. </w:t>
      </w:r>
      <w:r w:rsidR="004B119A">
        <w:t xml:space="preserve">The research exemption in the United States appears to be </w:t>
      </w:r>
      <w:r w:rsidR="00F311B4">
        <w:t xml:space="preserve">particularly </w:t>
      </w:r>
      <w:r w:rsidR="004B119A">
        <w:t xml:space="preserve">narrow (Miller 2003). </w:t>
      </w:r>
    </w:p>
    <w:p w14:paraId="4E7563FA" w14:textId="77777777" w:rsidR="0044574D" w:rsidRDefault="00E66FBE" w:rsidP="0044574D">
      <w:pPr>
        <w:pStyle w:val="BodyText"/>
      </w:pPr>
      <w:r>
        <w:t>M</w:t>
      </w:r>
      <w:r w:rsidR="00D03622">
        <w:t>any countries</w:t>
      </w:r>
      <w:r w:rsidR="000E7E7A">
        <w:t xml:space="preserve"> —</w:t>
      </w:r>
      <w:r w:rsidR="00D03622">
        <w:t xml:space="preserve"> including Japan, Korea and the United Kingdom</w:t>
      </w:r>
      <w:r w:rsidR="000E7E7A">
        <w:t xml:space="preserve"> —</w:t>
      </w:r>
      <w:r w:rsidR="00D03622">
        <w:t xml:space="preserve"> have </w:t>
      </w:r>
      <w:r w:rsidR="00C005A0">
        <w:t xml:space="preserve">research exemptions </w:t>
      </w:r>
      <w:r w:rsidR="00D03622">
        <w:t xml:space="preserve">in their national laws. In </w:t>
      </w:r>
      <w:r w:rsidR="0051739A">
        <w:t>other countries</w:t>
      </w:r>
      <w:r w:rsidR="00E063D4">
        <w:t xml:space="preserve"> —</w:t>
      </w:r>
      <w:r w:rsidR="0051739A">
        <w:t xml:space="preserve"> including Canada, New Zealand and the United States</w:t>
      </w:r>
      <w:r w:rsidR="00E063D4">
        <w:t xml:space="preserve"> —</w:t>
      </w:r>
      <w:r w:rsidR="0051739A">
        <w:t xml:space="preserve"> </w:t>
      </w:r>
      <w:r w:rsidR="00C005A0">
        <w:t xml:space="preserve">research exemptions </w:t>
      </w:r>
      <w:r w:rsidR="0051739A">
        <w:t xml:space="preserve">are not contained in national laws but are recognised in </w:t>
      </w:r>
      <w:r w:rsidR="0044574D">
        <w:t>case law</w:t>
      </w:r>
      <w:r w:rsidR="0051739A">
        <w:t xml:space="preserve"> </w:t>
      </w:r>
      <w:r>
        <w:t>(WIPO</w:t>
      </w:r>
      <w:r w:rsidR="0051739A">
        <w:t> </w:t>
      </w:r>
      <w:r>
        <w:t>2010</w:t>
      </w:r>
      <w:r w:rsidR="00D44AA2">
        <w:t>a</w:t>
      </w:r>
      <w:r>
        <w:t>)</w:t>
      </w:r>
      <w:r w:rsidR="0044574D">
        <w:t xml:space="preserve">. </w:t>
      </w:r>
      <w:r w:rsidR="00104050">
        <w:t xml:space="preserve">The scope of research exemptions varies across countries, and is sometimes difficult to determine given limited jurisprudence. </w:t>
      </w:r>
      <w:r w:rsidR="0044574D">
        <w:t>Ex</w:t>
      </w:r>
      <w:r w:rsidR="002F6BDF">
        <w:t>amples of language used in</w:t>
      </w:r>
      <w:r w:rsidR="0044574D">
        <w:t xml:space="preserve"> </w:t>
      </w:r>
      <w:r w:rsidR="0051739A">
        <w:t>national laws</w:t>
      </w:r>
      <w:r w:rsidR="0044574D">
        <w:t xml:space="preserve"> </w:t>
      </w:r>
      <w:r w:rsidR="002F6BDF">
        <w:t>follow</w:t>
      </w:r>
      <w:r w:rsidR="0044574D">
        <w:t xml:space="preserve">. </w:t>
      </w:r>
      <w:r w:rsidR="000C5F9D">
        <w:t>Section</w:t>
      </w:r>
      <w:r w:rsidR="00097431">
        <w:t> </w:t>
      </w:r>
      <w:r w:rsidR="000C5F9D">
        <w:t xml:space="preserve">60 of </w:t>
      </w:r>
      <w:r w:rsidR="000C5F9D" w:rsidRPr="00A507E6">
        <w:t>t</w:t>
      </w:r>
      <w:r w:rsidR="0044574D" w:rsidRPr="00A507E6">
        <w:t xml:space="preserve">he </w:t>
      </w:r>
      <w:r w:rsidR="0084189D" w:rsidRPr="00A507E6">
        <w:t>Patents Act</w:t>
      </w:r>
      <w:r w:rsidR="0044574D" w:rsidRPr="00A507E6">
        <w:t xml:space="preserve"> </w:t>
      </w:r>
      <w:r w:rsidR="00097431" w:rsidRPr="00A507E6">
        <w:t>1977 (</w:t>
      </w:r>
      <w:r w:rsidR="00097431">
        <w:t xml:space="preserve">UK) </w:t>
      </w:r>
      <w:r w:rsidR="0044574D">
        <w:t>states that:</w:t>
      </w:r>
    </w:p>
    <w:p w14:paraId="08895321" w14:textId="77777777" w:rsidR="0044574D" w:rsidRDefault="0044574D" w:rsidP="00537E6B">
      <w:pPr>
        <w:pStyle w:val="Quote"/>
        <w:ind w:left="709" w:hanging="369"/>
      </w:pPr>
      <w:r>
        <w:t xml:space="preserve">(5) </w:t>
      </w:r>
      <w:r w:rsidRPr="00EB69BA">
        <w:t xml:space="preserve">An act which, apart from this subsection, would </w:t>
      </w:r>
      <w:r w:rsidR="00537E6B">
        <w:t xml:space="preserve">constitute an infringement of a </w:t>
      </w:r>
      <w:r w:rsidRPr="00EB69BA">
        <w:t>patent for an invention shall not do so if</w:t>
      </w:r>
      <w:r>
        <w:t>— …</w:t>
      </w:r>
    </w:p>
    <w:p w14:paraId="1746BC48" w14:textId="77777777" w:rsidR="0044574D" w:rsidRPr="0020662E" w:rsidRDefault="0044574D" w:rsidP="00C55690">
      <w:pPr>
        <w:pStyle w:val="Quote"/>
        <w:ind w:left="1134" w:hanging="425"/>
        <w:rPr>
          <w:rStyle w:val="BodyTextChar"/>
        </w:rPr>
      </w:pPr>
      <w:r>
        <w:t xml:space="preserve">(b) </w:t>
      </w:r>
      <w:r w:rsidRPr="00EB69BA">
        <w:t>it is done for experimental purposes relating to the subject-matter of the invention</w:t>
      </w:r>
      <w:r>
        <w:t xml:space="preserve"> </w:t>
      </w:r>
    </w:p>
    <w:p w14:paraId="0FB1DED7" w14:textId="77777777" w:rsidR="0044574D" w:rsidRPr="00B036C5" w:rsidRDefault="0044574D" w:rsidP="0044574D">
      <w:pPr>
        <w:pStyle w:val="BodyText"/>
        <w:rPr>
          <w:rStyle w:val="DraftingNote"/>
          <w:b w:val="0"/>
          <w:color w:val="auto"/>
          <w:sz w:val="26"/>
          <w:u w:val="none"/>
        </w:rPr>
      </w:pPr>
      <w:r w:rsidRPr="00B036C5">
        <w:rPr>
          <w:rStyle w:val="DraftingNote"/>
          <w:b w:val="0"/>
          <w:color w:val="auto"/>
          <w:sz w:val="26"/>
          <w:u w:val="none"/>
        </w:rPr>
        <w:t>Research exemptions also exist in Japan</w:t>
      </w:r>
      <w:r>
        <w:rPr>
          <w:rStyle w:val="DraftingNote"/>
          <w:b w:val="0"/>
          <w:color w:val="auto"/>
          <w:sz w:val="26"/>
          <w:u w:val="none"/>
        </w:rPr>
        <w:t xml:space="preserve"> and Korea. An English language translation of the Japanese Patents Act notes </w:t>
      </w:r>
      <w:r w:rsidRPr="00B036C5">
        <w:rPr>
          <w:rStyle w:val="DraftingNote"/>
          <w:b w:val="0"/>
          <w:color w:val="auto"/>
          <w:sz w:val="26"/>
          <w:u w:val="none"/>
        </w:rPr>
        <w:t>‘</w:t>
      </w:r>
      <w:r w:rsidR="0042419C">
        <w:rPr>
          <w:rStyle w:val="DraftingNote"/>
          <w:b w:val="0"/>
          <w:color w:val="auto"/>
          <w:sz w:val="26"/>
          <w:u w:val="none"/>
        </w:rPr>
        <w:t>[a]</w:t>
      </w:r>
      <w:r w:rsidRPr="00B036C5">
        <w:rPr>
          <w:rStyle w:val="DraftingNote"/>
          <w:b w:val="0"/>
          <w:color w:val="auto"/>
          <w:sz w:val="26"/>
          <w:u w:val="none"/>
        </w:rPr>
        <w:t xml:space="preserve"> patent right shall not be effective against the working of the patented invention for experimental or research purposes’ (JPO 2012</w:t>
      </w:r>
      <w:r w:rsidR="00D44AA2">
        <w:rPr>
          <w:rStyle w:val="DraftingNote"/>
          <w:b w:val="0"/>
          <w:color w:val="auto"/>
          <w:sz w:val="26"/>
          <w:u w:val="none"/>
        </w:rPr>
        <w:t>a</w:t>
      </w:r>
      <w:r w:rsidRPr="00B036C5">
        <w:rPr>
          <w:rStyle w:val="DraftingNote"/>
          <w:b w:val="0"/>
          <w:color w:val="auto"/>
          <w:sz w:val="26"/>
          <w:u w:val="none"/>
        </w:rPr>
        <w:t xml:space="preserve">). </w:t>
      </w:r>
      <w:r>
        <w:rPr>
          <w:rStyle w:val="DraftingNote"/>
          <w:b w:val="0"/>
          <w:color w:val="auto"/>
          <w:sz w:val="26"/>
          <w:u w:val="none"/>
        </w:rPr>
        <w:t xml:space="preserve">An English language translation of the Korean Patents Act notes: </w:t>
      </w:r>
    </w:p>
    <w:p w14:paraId="35BE98ED" w14:textId="77777777" w:rsidR="0044574D" w:rsidRPr="008D2978" w:rsidRDefault="0044574D" w:rsidP="0044574D">
      <w:pPr>
        <w:pStyle w:val="Quote"/>
        <w:rPr>
          <w:rStyle w:val="DraftingNote"/>
          <w:b w:val="0"/>
          <w:color w:val="auto"/>
          <w:u w:val="none"/>
        </w:rPr>
      </w:pPr>
      <w:r w:rsidRPr="00436066">
        <w:rPr>
          <w:rStyle w:val="DraftingNote"/>
          <w:b w:val="0"/>
          <w:color w:val="auto"/>
          <w:u w:val="none"/>
        </w:rPr>
        <w:t>(1) The effect of a patent right does not extend to any of the following subparagraphs:</w:t>
      </w:r>
    </w:p>
    <w:p w14:paraId="6BFD8620" w14:textId="77777777" w:rsidR="0044574D" w:rsidRDefault="00537E6B" w:rsidP="00C55690">
      <w:pPr>
        <w:pStyle w:val="Quote"/>
        <w:ind w:left="1276" w:hanging="567"/>
        <w:rPr>
          <w:rStyle w:val="DraftingNote"/>
          <w:b w:val="0"/>
          <w:color w:val="auto"/>
          <w:u w:val="none"/>
        </w:rPr>
      </w:pPr>
      <w:r>
        <w:rPr>
          <w:rStyle w:val="DraftingNote"/>
          <w:b w:val="0"/>
          <w:color w:val="auto"/>
          <w:u w:val="none"/>
        </w:rPr>
        <w:t>(i)</w:t>
      </w:r>
      <w:r>
        <w:rPr>
          <w:rStyle w:val="DraftingNote"/>
          <w:b w:val="0"/>
          <w:color w:val="auto"/>
          <w:u w:val="none"/>
        </w:rPr>
        <w:tab/>
      </w:r>
      <w:r w:rsidR="0044574D" w:rsidRPr="001A6570">
        <w:rPr>
          <w:rStyle w:val="DraftingNote"/>
          <w:b w:val="0"/>
          <w:color w:val="auto"/>
          <w:u w:val="none"/>
        </w:rPr>
        <w:t>working a patented invention for research or experimental purposes (including</w:t>
      </w:r>
      <w:r w:rsidR="0044574D">
        <w:rPr>
          <w:rStyle w:val="DraftingNote"/>
          <w:b w:val="0"/>
          <w:color w:val="auto"/>
          <w:sz w:val="26"/>
          <w:u w:val="none"/>
        </w:rPr>
        <w:t xml:space="preserve"> </w:t>
      </w:r>
      <w:r w:rsidR="0044574D" w:rsidRPr="00436066">
        <w:rPr>
          <w:rStyle w:val="DraftingNote"/>
          <w:b w:val="0"/>
          <w:color w:val="auto"/>
          <w:u w:val="none"/>
        </w:rPr>
        <w:t>researches and experiments for item permits and reports of medical supplies under</w:t>
      </w:r>
      <w:r w:rsidR="0044574D">
        <w:rPr>
          <w:rStyle w:val="DraftingNote"/>
          <w:b w:val="0"/>
          <w:color w:val="auto"/>
          <w:sz w:val="26"/>
          <w:u w:val="none"/>
        </w:rPr>
        <w:t xml:space="preserve"> </w:t>
      </w:r>
      <w:r w:rsidR="0044574D" w:rsidRPr="00436066">
        <w:rPr>
          <w:rStyle w:val="DraftingNote"/>
          <w:b w:val="0"/>
          <w:color w:val="auto"/>
          <w:u w:val="none"/>
        </w:rPr>
        <w:t>the Pharmaceutical Affairs Act and for registration of agrochemicals under the</w:t>
      </w:r>
      <w:r w:rsidR="0044574D">
        <w:rPr>
          <w:rStyle w:val="DraftingNote"/>
          <w:b w:val="0"/>
          <w:color w:val="auto"/>
          <w:sz w:val="26"/>
          <w:u w:val="none"/>
        </w:rPr>
        <w:t xml:space="preserve"> </w:t>
      </w:r>
      <w:r w:rsidR="0044574D" w:rsidRPr="00436066">
        <w:rPr>
          <w:rStyle w:val="DraftingNote"/>
          <w:b w:val="0"/>
          <w:color w:val="auto"/>
          <w:u w:val="none"/>
        </w:rPr>
        <w:t>Agrochemical Management Act)</w:t>
      </w:r>
      <w:r w:rsidR="0044574D">
        <w:rPr>
          <w:rStyle w:val="DraftingNote"/>
          <w:b w:val="0"/>
          <w:color w:val="auto"/>
          <w:u w:val="none"/>
        </w:rPr>
        <w:t xml:space="preserve"> (WIPO 2012a). </w:t>
      </w:r>
    </w:p>
    <w:p w14:paraId="780F6525" w14:textId="77777777" w:rsidR="00803805" w:rsidRDefault="00803805" w:rsidP="00065EDB">
      <w:pPr>
        <w:pStyle w:val="Heading4"/>
      </w:pPr>
      <w:r>
        <w:lastRenderedPageBreak/>
        <w:t xml:space="preserve">Regulatory </w:t>
      </w:r>
      <w:r w:rsidR="00996F46">
        <w:t xml:space="preserve">approval </w:t>
      </w:r>
      <w:r>
        <w:t xml:space="preserve">exemption </w:t>
      </w:r>
    </w:p>
    <w:p w14:paraId="01A82F76" w14:textId="77777777" w:rsidR="0044574D" w:rsidRDefault="0044574D" w:rsidP="0044574D">
      <w:pPr>
        <w:pStyle w:val="BodyText"/>
        <w:rPr>
          <w:lang w:eastAsia="en-US"/>
        </w:rPr>
      </w:pPr>
      <w:r>
        <w:rPr>
          <w:lang w:eastAsia="en-US"/>
        </w:rPr>
        <w:t>In the U</w:t>
      </w:r>
      <w:r w:rsidR="006677B3">
        <w:rPr>
          <w:lang w:eastAsia="en-US"/>
        </w:rPr>
        <w:t xml:space="preserve">nited </w:t>
      </w:r>
      <w:r>
        <w:rPr>
          <w:lang w:eastAsia="en-US"/>
        </w:rPr>
        <w:t>S</w:t>
      </w:r>
      <w:r w:rsidR="006677B3">
        <w:rPr>
          <w:lang w:eastAsia="en-US"/>
        </w:rPr>
        <w:t>tates</w:t>
      </w:r>
      <w:r>
        <w:rPr>
          <w:lang w:eastAsia="en-US"/>
        </w:rPr>
        <w:t xml:space="preserve">, </w:t>
      </w:r>
      <w:r w:rsidRPr="0022715C">
        <w:rPr>
          <w:i/>
          <w:lang w:eastAsia="en-US"/>
        </w:rPr>
        <w:t xml:space="preserve">Roche </w:t>
      </w:r>
      <w:r w:rsidR="00097431">
        <w:rPr>
          <w:i/>
          <w:lang w:eastAsia="en-US"/>
        </w:rPr>
        <w:t>Products v Bolar Pharmaceuticals</w:t>
      </w:r>
      <w:r>
        <w:rPr>
          <w:lang w:eastAsia="en-US"/>
        </w:rPr>
        <w:t xml:space="preserve"> was a landmark court decision in 1984. Bolar, a generic manufacturer of pharmaceuticals, was developing a generic version of Valium, made and sold by Roche. Bolar </w:t>
      </w:r>
      <w:r w:rsidR="00996F46">
        <w:rPr>
          <w:lang w:eastAsia="en-US"/>
        </w:rPr>
        <w:t xml:space="preserve">planned to sell this generic version once the patent for Valium expired. Bolar </w:t>
      </w:r>
      <w:r>
        <w:rPr>
          <w:lang w:eastAsia="en-US"/>
        </w:rPr>
        <w:t>used patented chemicals in experiments to determine whether its generic was bio</w:t>
      </w:r>
      <w:r w:rsidR="003B1D12">
        <w:rPr>
          <w:lang w:eastAsia="en-US"/>
        </w:rPr>
        <w:noBreakHyphen/>
      </w:r>
      <w:r>
        <w:rPr>
          <w:lang w:eastAsia="en-US"/>
        </w:rPr>
        <w:t xml:space="preserve">equivalent to Valium. The court found that the experimental use exemption did not apply because Bolar planned to sell its product in competition with Valium once Roche’s Valium patent expired.  </w:t>
      </w:r>
    </w:p>
    <w:p w14:paraId="2C316E73" w14:textId="77777777" w:rsidR="0044574D" w:rsidRDefault="0044574D" w:rsidP="0044574D">
      <w:pPr>
        <w:pStyle w:val="BodyText"/>
        <w:rPr>
          <w:lang w:eastAsia="en-US"/>
        </w:rPr>
      </w:pPr>
      <w:r w:rsidRPr="00A507E6">
        <w:rPr>
          <w:lang w:eastAsia="en-US"/>
        </w:rPr>
        <w:t>The Drug Price Competition and Patent Term Restoration Act of 1984</w:t>
      </w:r>
      <w:r>
        <w:rPr>
          <w:lang w:eastAsia="en-US"/>
        </w:rPr>
        <w:t xml:space="preserve"> (also known as the Hatch-Waxman Act) overturned this decision and made it legal for a generic producer to import, manufacture and test</w:t>
      </w:r>
      <w:r w:rsidR="003B1D12">
        <w:rPr>
          <w:lang w:eastAsia="en-US"/>
        </w:rPr>
        <w:t>,</w:t>
      </w:r>
      <w:r w:rsidR="001C2451">
        <w:rPr>
          <w:lang w:eastAsia="en-US"/>
        </w:rPr>
        <w:t xml:space="preserve"> but not sell,</w:t>
      </w:r>
      <w:r>
        <w:rPr>
          <w:lang w:eastAsia="en-US"/>
        </w:rPr>
        <w:t xml:space="preserve"> a patented product prior to expiry of the patent in order to </w:t>
      </w:r>
      <w:r w:rsidR="00AB5CE7">
        <w:rPr>
          <w:lang w:eastAsia="en-US"/>
        </w:rPr>
        <w:t xml:space="preserve">obtain </w:t>
      </w:r>
      <w:r>
        <w:rPr>
          <w:lang w:eastAsia="en-US"/>
        </w:rPr>
        <w:t xml:space="preserve">regulatory </w:t>
      </w:r>
      <w:r w:rsidR="00AB5CE7">
        <w:rPr>
          <w:lang w:eastAsia="en-US"/>
        </w:rPr>
        <w:t>approval</w:t>
      </w:r>
      <w:r>
        <w:rPr>
          <w:lang w:eastAsia="en-US"/>
        </w:rPr>
        <w:t>.</w:t>
      </w:r>
      <w:r w:rsidR="00BF2BFC">
        <w:rPr>
          <w:lang w:eastAsia="en-US"/>
        </w:rPr>
        <w:t xml:space="preserve"> </w:t>
      </w:r>
      <w:r w:rsidR="001C2451">
        <w:rPr>
          <w:lang w:eastAsia="en-US"/>
        </w:rPr>
        <w:t>So</w:t>
      </w:r>
      <w:r w:rsidR="00AB5CE7">
        <w:rPr>
          <w:lang w:eastAsia="en-US"/>
        </w:rPr>
        <w:noBreakHyphen/>
      </w:r>
      <w:r w:rsidR="001C2451">
        <w:rPr>
          <w:lang w:eastAsia="en-US"/>
        </w:rPr>
        <w:t xml:space="preserve">called regulatory </w:t>
      </w:r>
      <w:r w:rsidR="00996F46">
        <w:rPr>
          <w:lang w:eastAsia="en-US"/>
        </w:rPr>
        <w:t xml:space="preserve">approval </w:t>
      </w:r>
      <w:r w:rsidR="001C2451">
        <w:rPr>
          <w:lang w:eastAsia="en-US"/>
        </w:rPr>
        <w:t>exemptions can reduce delays in competing products coming to market</w:t>
      </w:r>
      <w:r w:rsidR="00575199">
        <w:rPr>
          <w:lang w:eastAsia="en-US"/>
        </w:rPr>
        <w:t xml:space="preserve"> once a patent has expired</w:t>
      </w:r>
      <w:r w:rsidR="001C2451">
        <w:rPr>
          <w:lang w:eastAsia="en-US"/>
        </w:rPr>
        <w:t xml:space="preserve">. These exemptions are also referred to </w:t>
      </w:r>
      <w:r>
        <w:rPr>
          <w:lang w:eastAsia="en-US"/>
        </w:rPr>
        <w:t xml:space="preserve">as Bolar or </w:t>
      </w:r>
      <w:r w:rsidR="003F4777">
        <w:rPr>
          <w:lang w:eastAsia="en-US"/>
        </w:rPr>
        <w:t>Roche</w:t>
      </w:r>
      <w:r w:rsidR="003F4777">
        <w:rPr>
          <w:lang w:eastAsia="en-US"/>
        </w:rPr>
        <w:noBreakHyphen/>
      </w:r>
      <w:r>
        <w:rPr>
          <w:lang w:eastAsia="en-US"/>
        </w:rPr>
        <w:t xml:space="preserve">Bolar </w:t>
      </w:r>
      <w:r w:rsidR="003F4777">
        <w:rPr>
          <w:lang w:eastAsia="en-US"/>
        </w:rPr>
        <w:t>provisions</w:t>
      </w:r>
      <w:r>
        <w:rPr>
          <w:lang w:eastAsia="en-US"/>
        </w:rPr>
        <w:t xml:space="preserve">. </w:t>
      </w:r>
      <w:r w:rsidR="001C2451">
        <w:rPr>
          <w:lang w:eastAsia="en-US"/>
        </w:rPr>
        <w:t>These exemptions exist in m</w:t>
      </w:r>
      <w:r w:rsidR="007E6012">
        <w:rPr>
          <w:lang w:eastAsia="en-US"/>
        </w:rPr>
        <w:t>ost comparable markets (WIPO</w:t>
      </w:r>
      <w:r w:rsidR="00D55CFA">
        <w:rPr>
          <w:lang w:eastAsia="en-US"/>
        </w:rPr>
        <w:t> </w:t>
      </w:r>
      <w:r w:rsidR="007E6012">
        <w:rPr>
          <w:lang w:eastAsia="en-US"/>
        </w:rPr>
        <w:t>2010</w:t>
      </w:r>
      <w:r w:rsidR="00AB147C">
        <w:rPr>
          <w:lang w:eastAsia="en-US"/>
        </w:rPr>
        <w:t>a</w:t>
      </w:r>
      <w:r w:rsidR="007E6012">
        <w:rPr>
          <w:lang w:eastAsia="en-US"/>
        </w:rPr>
        <w:t>).</w:t>
      </w:r>
    </w:p>
    <w:p w14:paraId="7F670E89" w14:textId="77777777" w:rsidR="0044574D" w:rsidRDefault="0044574D" w:rsidP="0044574D">
      <w:pPr>
        <w:pStyle w:val="BodyText"/>
        <w:rPr>
          <w:lang w:eastAsia="en-US"/>
        </w:rPr>
      </w:pPr>
      <w:r>
        <w:rPr>
          <w:lang w:eastAsia="en-US"/>
        </w:rPr>
        <w:t xml:space="preserve">The </w:t>
      </w:r>
      <w:r w:rsidR="00D41159">
        <w:rPr>
          <w:lang w:eastAsia="en-US"/>
        </w:rPr>
        <w:t>WTO</w:t>
      </w:r>
      <w:r>
        <w:rPr>
          <w:lang w:eastAsia="en-US"/>
        </w:rPr>
        <w:t xml:space="preserve"> confirmed that th</w:t>
      </w:r>
      <w:r w:rsidR="00097431">
        <w:rPr>
          <w:lang w:eastAsia="en-US"/>
        </w:rPr>
        <w:t>ese</w:t>
      </w:r>
      <w:r>
        <w:rPr>
          <w:lang w:eastAsia="en-US"/>
        </w:rPr>
        <w:t xml:space="preserve"> exe</w:t>
      </w:r>
      <w:r w:rsidR="00097431">
        <w:rPr>
          <w:lang w:eastAsia="en-US"/>
        </w:rPr>
        <w:t>m</w:t>
      </w:r>
      <w:r>
        <w:rPr>
          <w:lang w:eastAsia="en-US"/>
        </w:rPr>
        <w:t>ption</w:t>
      </w:r>
      <w:r w:rsidR="00097431">
        <w:rPr>
          <w:lang w:eastAsia="en-US"/>
        </w:rPr>
        <w:t>s are</w:t>
      </w:r>
      <w:r>
        <w:rPr>
          <w:lang w:eastAsia="en-US"/>
        </w:rPr>
        <w:t xml:space="preserve"> legal in 2000 in a case brought by the EU against Canada (Commission on Intellectual Property Rights</w:t>
      </w:r>
      <w:r w:rsidR="00396DB3">
        <w:rPr>
          <w:lang w:eastAsia="en-US"/>
        </w:rPr>
        <w:t xml:space="preserve"> 2002</w:t>
      </w:r>
      <w:r>
        <w:rPr>
          <w:lang w:eastAsia="en-US"/>
        </w:rPr>
        <w:t>).</w:t>
      </w:r>
    </w:p>
    <w:p w14:paraId="2FA5A488" w14:textId="77777777" w:rsidR="003814FE" w:rsidRDefault="002E1061" w:rsidP="002E1061">
      <w:pPr>
        <w:pStyle w:val="Heading2"/>
      </w:pPr>
      <w:r>
        <w:t>C.2</w:t>
      </w:r>
      <w:r>
        <w:tab/>
      </w:r>
      <w:r w:rsidR="00E86D99">
        <w:t xml:space="preserve">Use and impacts of </w:t>
      </w:r>
      <w:r>
        <w:t xml:space="preserve">non-voluntary access arrangements </w:t>
      </w:r>
    </w:p>
    <w:p w14:paraId="00A5AFEE" w14:textId="77777777" w:rsidR="002E1061" w:rsidRPr="002E1061" w:rsidRDefault="00F172E6" w:rsidP="00097431">
      <w:pPr>
        <w:pStyle w:val="Heading3"/>
        <w:spacing w:before="240"/>
      </w:pPr>
      <w:r>
        <w:t>Use of c</w:t>
      </w:r>
      <w:r w:rsidR="002E1061">
        <w:t>ompulsory licensing</w:t>
      </w:r>
    </w:p>
    <w:p w14:paraId="6F5AEB9D" w14:textId="77777777" w:rsidR="002A68D3" w:rsidRDefault="00EF6793" w:rsidP="006711B1">
      <w:pPr>
        <w:pStyle w:val="BodyText"/>
      </w:pPr>
      <w:r>
        <w:t xml:space="preserve">Use of compulsory licensing in comparable markets dates </w:t>
      </w:r>
      <w:r w:rsidR="00E86D99">
        <w:t xml:space="preserve">back </w:t>
      </w:r>
      <w:r>
        <w:t>many decades</w:t>
      </w:r>
      <w:r w:rsidR="002206B2">
        <w:t xml:space="preserve">, but appears to </w:t>
      </w:r>
      <w:r w:rsidR="0018781A">
        <w:t xml:space="preserve">have </w:t>
      </w:r>
      <w:r w:rsidR="002206B2">
        <w:t>be</w:t>
      </w:r>
      <w:r w:rsidR="0018781A">
        <w:t>en</w:t>
      </w:r>
      <w:r w:rsidR="002206B2">
        <w:t xml:space="preserve"> infrequent</w:t>
      </w:r>
      <w:r w:rsidR="002A68D3">
        <w:t xml:space="preserve"> in most countries</w:t>
      </w:r>
      <w:r>
        <w:t xml:space="preserve">. </w:t>
      </w:r>
    </w:p>
    <w:p w14:paraId="0E0DE20C" w14:textId="77777777" w:rsidR="006711B1" w:rsidRDefault="006711B1" w:rsidP="006711B1">
      <w:pPr>
        <w:pStyle w:val="BodyText"/>
      </w:pPr>
      <w:r>
        <w:t>The ALRC (2004) found that few compulsory licen</w:t>
      </w:r>
      <w:r w:rsidR="00A507E6">
        <w:t>c</w:t>
      </w:r>
      <w:r>
        <w:t>es appeared to have been granted</w:t>
      </w:r>
      <w:r w:rsidR="002206B2">
        <w:t xml:space="preserve"> internationally, noting that i</w:t>
      </w:r>
      <w:r>
        <w:t>n the U</w:t>
      </w:r>
      <w:r w:rsidR="0062249E">
        <w:t xml:space="preserve">nited </w:t>
      </w:r>
      <w:r>
        <w:t>K</w:t>
      </w:r>
      <w:r w:rsidR="0062249E">
        <w:t>ingdom</w:t>
      </w:r>
      <w:r w:rsidR="002A68D3">
        <w:t>,</w:t>
      </w:r>
      <w:r>
        <w:t xml:space="preserve"> prior to 1998</w:t>
      </w:r>
      <w:r w:rsidR="002A68D3">
        <w:t>,</w:t>
      </w:r>
      <w:r>
        <w:t xml:space="preserve"> </w:t>
      </w:r>
      <w:r w:rsidR="002A68D3">
        <w:t xml:space="preserve">only </w:t>
      </w:r>
      <w:r>
        <w:t>two compulsory licences ha</w:t>
      </w:r>
      <w:r w:rsidR="002A68D3">
        <w:t>d</w:t>
      </w:r>
      <w:r>
        <w:t xml:space="preserve"> been </w:t>
      </w:r>
      <w:r w:rsidRPr="00A507E6">
        <w:t>issued under the Patents Act 1977 (UK).</w:t>
      </w:r>
      <w:r>
        <w:t xml:space="preserve"> </w:t>
      </w:r>
      <w:r w:rsidR="002206B2">
        <w:t xml:space="preserve">The ALRC also found that </w:t>
      </w:r>
      <w:r>
        <w:t xml:space="preserve">compulsory licences had rarely been used in New Zealand. </w:t>
      </w:r>
      <w:r w:rsidR="00EA14C5">
        <w:t>Likewise, t</w:t>
      </w:r>
      <w:r w:rsidR="00DE1BF6">
        <w:t xml:space="preserve">he Commission has </w:t>
      </w:r>
      <w:r w:rsidR="002206B2">
        <w:t xml:space="preserve">found </w:t>
      </w:r>
      <w:r w:rsidR="00D05E1C">
        <w:t xml:space="preserve">few </w:t>
      </w:r>
      <w:r w:rsidR="001718D0">
        <w:t xml:space="preserve">recent </w:t>
      </w:r>
      <w:r w:rsidR="00D05E1C">
        <w:t xml:space="preserve">examples of </w:t>
      </w:r>
      <w:r w:rsidR="002206B2">
        <w:t xml:space="preserve">compulsory licensing </w:t>
      </w:r>
      <w:r w:rsidR="00D05E1C">
        <w:t xml:space="preserve">provisions in </w:t>
      </w:r>
      <w:r w:rsidR="001718D0">
        <w:t xml:space="preserve">most </w:t>
      </w:r>
      <w:r w:rsidR="00D05E1C">
        <w:t>comparable markets</w:t>
      </w:r>
      <w:r w:rsidR="002076F8">
        <w:t>.</w:t>
      </w:r>
      <w:r w:rsidR="002206B2">
        <w:t xml:space="preserve"> </w:t>
      </w:r>
      <w:r w:rsidR="007A6175">
        <w:t xml:space="preserve">The Commission has found the greatest use of </w:t>
      </w:r>
      <w:r w:rsidR="00597C1E">
        <w:t xml:space="preserve">practices similar to </w:t>
      </w:r>
      <w:r w:rsidR="007A6175">
        <w:t>compulsory licensing has occurred in the U</w:t>
      </w:r>
      <w:r w:rsidR="006677B3">
        <w:t xml:space="preserve">nited </w:t>
      </w:r>
      <w:r w:rsidR="007A6175">
        <w:t>S</w:t>
      </w:r>
      <w:r w:rsidR="006677B3">
        <w:t>tates</w:t>
      </w:r>
      <w:r w:rsidR="007A6175">
        <w:t>. Compulsory licensing has also been used regularly in Canada, but</w:t>
      </w:r>
      <w:r w:rsidR="00C02F86">
        <w:t xml:space="preserve"> rarely</w:t>
      </w:r>
      <w:r w:rsidR="007A6175">
        <w:t xml:space="preserve"> in recent years. Discussion about compulsory licensing in these two countries follows. Compulsory licensing in Asia and the European Union </w:t>
      </w:r>
      <w:r w:rsidR="000E60DF">
        <w:t>is</w:t>
      </w:r>
      <w:r w:rsidR="007A6175">
        <w:t xml:space="preserve"> </w:t>
      </w:r>
      <w:r w:rsidR="00983B04">
        <w:t>also discus</w:t>
      </w:r>
      <w:r w:rsidR="007A6175">
        <w:t>sed.</w:t>
      </w:r>
    </w:p>
    <w:p w14:paraId="45A596B0" w14:textId="77777777" w:rsidR="00A27DD4" w:rsidRDefault="00A27DD4" w:rsidP="00A27DD4">
      <w:pPr>
        <w:pStyle w:val="Heading4"/>
      </w:pPr>
      <w:r>
        <w:lastRenderedPageBreak/>
        <w:t xml:space="preserve">Use in the United States </w:t>
      </w:r>
    </w:p>
    <w:p w14:paraId="7C92BDD8" w14:textId="77777777" w:rsidR="00EF6793" w:rsidRDefault="000E60DF" w:rsidP="009E732B">
      <w:pPr>
        <w:pStyle w:val="BodyText"/>
      </w:pPr>
      <w:r>
        <w:t>US</w:t>
      </w:r>
      <w:r w:rsidR="009E732B">
        <w:t xml:space="preserve"> patent</w:t>
      </w:r>
      <w:r>
        <w:t>s</w:t>
      </w:r>
      <w:r w:rsidR="009E732B">
        <w:t xml:space="preserve"> law does not provide for compulsory licensing </w:t>
      </w:r>
      <w:r w:rsidR="009E732B">
        <w:rPr>
          <w:i/>
        </w:rPr>
        <w:t>per se</w:t>
      </w:r>
      <w:r w:rsidR="009E732B">
        <w:t xml:space="preserve">. </w:t>
      </w:r>
      <w:r w:rsidR="00AB147C">
        <w:br/>
      </w:r>
      <w:r w:rsidR="009E732B">
        <w:t>Yosick (</w:t>
      </w:r>
      <w:r w:rsidR="00273E4B">
        <w:t>2001</w:t>
      </w:r>
      <w:r w:rsidR="009E732B">
        <w:t>,</w:t>
      </w:r>
      <w:r w:rsidR="00AB147C">
        <w:t xml:space="preserve"> </w:t>
      </w:r>
      <w:r w:rsidR="009E732B">
        <w:t>p.</w:t>
      </w:r>
      <w:r w:rsidR="00AB147C">
        <w:t xml:space="preserve"> </w:t>
      </w:r>
      <w:r w:rsidR="009E732B">
        <w:t xml:space="preserve">1277) noted that ‘the US patent system has generally been hostile toward the practice of compulsory licensing’ and referenced the </w:t>
      </w:r>
      <w:r w:rsidR="00C72081">
        <w:t xml:space="preserve">US </w:t>
      </w:r>
      <w:r w:rsidR="009E732B">
        <w:t>Supreme Court</w:t>
      </w:r>
      <w:r w:rsidR="00C72081">
        <w:t>,</w:t>
      </w:r>
      <w:r w:rsidR="009E732B">
        <w:t xml:space="preserve"> which </w:t>
      </w:r>
      <w:r w:rsidR="001718D0">
        <w:t xml:space="preserve">in </w:t>
      </w:r>
      <w:r w:rsidR="001718D0" w:rsidRPr="009E732B">
        <w:rPr>
          <w:i/>
        </w:rPr>
        <w:t>Chemical Co. v Rohm &amp; Haas Co</w:t>
      </w:r>
      <w:r w:rsidR="001718D0">
        <w:t xml:space="preserve"> </w:t>
      </w:r>
      <w:r w:rsidR="009E732B">
        <w:t>commented that ‘[c]ompulsory licensing is a rarity in our patent system’</w:t>
      </w:r>
      <w:r w:rsidR="009E732B" w:rsidRPr="009E732B">
        <w:rPr>
          <w:i/>
        </w:rPr>
        <w:t>.</w:t>
      </w:r>
      <w:r w:rsidR="00705441">
        <w:t xml:space="preserve"> Similarly, Reichman (2006, p. 4) noted that ‘courts and commentators frequently expressed pro-patent sentiments hostile to the very concept of non-voluntary licensing’. </w:t>
      </w:r>
      <w:r w:rsidR="009E732B">
        <w:t xml:space="preserve">Despite </w:t>
      </w:r>
      <w:r w:rsidR="00905E2A">
        <w:t>pro</w:t>
      </w:r>
      <w:r w:rsidR="00C02F86">
        <w:t>-</w:t>
      </w:r>
      <w:r w:rsidR="00905E2A">
        <w:t xml:space="preserve">patent </w:t>
      </w:r>
      <w:r w:rsidR="009E732B">
        <w:t>sentiment</w:t>
      </w:r>
      <w:r w:rsidR="00905E2A">
        <w:t>s</w:t>
      </w:r>
      <w:r w:rsidR="009E732B">
        <w:t xml:space="preserve">, </w:t>
      </w:r>
      <w:r w:rsidR="00597C1E">
        <w:t xml:space="preserve">practices similar to </w:t>
      </w:r>
      <w:r w:rsidR="009E732B">
        <w:t>compulsory licensing appear to have been used more frequently in the U</w:t>
      </w:r>
      <w:r w:rsidR="006677B3">
        <w:t xml:space="preserve">nited </w:t>
      </w:r>
      <w:r w:rsidR="009E732B">
        <w:t>S</w:t>
      </w:r>
      <w:r w:rsidR="006677B3">
        <w:t>tates</w:t>
      </w:r>
      <w:r w:rsidR="009E732B">
        <w:t xml:space="preserve"> than in other comparable markets. </w:t>
      </w:r>
      <w:r w:rsidR="00C72081">
        <w:t>Reichman (2006, p. 3) commented that ‘the United States takes a dim view of the compulsory licences that other countries prefer to employ, but it loves the compulsory licences it routinely continues to impose’.</w:t>
      </w:r>
    </w:p>
    <w:p w14:paraId="2489F47E" w14:textId="77777777" w:rsidR="009F4881" w:rsidRDefault="009F4881" w:rsidP="009F4881">
      <w:pPr>
        <w:pStyle w:val="Heading5"/>
      </w:pPr>
      <w:r>
        <w:t>Competition issues</w:t>
      </w:r>
    </w:p>
    <w:p w14:paraId="5B754456" w14:textId="77777777" w:rsidR="00905E2A" w:rsidRDefault="00991CE5" w:rsidP="009F4881">
      <w:pPr>
        <w:pStyle w:val="BodyText"/>
        <w:rPr>
          <w:szCs w:val="26"/>
        </w:rPr>
      </w:pPr>
      <w:r>
        <w:rPr>
          <w:szCs w:val="26"/>
        </w:rPr>
        <w:t xml:space="preserve">Compulsory licensing </w:t>
      </w:r>
      <w:r w:rsidR="00597C1E">
        <w:rPr>
          <w:szCs w:val="26"/>
        </w:rPr>
        <w:t xml:space="preserve">appears to have </w:t>
      </w:r>
      <w:r>
        <w:rPr>
          <w:szCs w:val="26"/>
        </w:rPr>
        <w:t>been used extensively to address competition issues in the U</w:t>
      </w:r>
      <w:r w:rsidR="006677B3">
        <w:rPr>
          <w:szCs w:val="26"/>
        </w:rPr>
        <w:t xml:space="preserve">nited </w:t>
      </w:r>
      <w:r>
        <w:rPr>
          <w:szCs w:val="26"/>
        </w:rPr>
        <w:t>S</w:t>
      </w:r>
      <w:r w:rsidR="006677B3">
        <w:rPr>
          <w:szCs w:val="26"/>
        </w:rPr>
        <w:t>tates</w:t>
      </w:r>
      <w:r>
        <w:rPr>
          <w:szCs w:val="26"/>
        </w:rPr>
        <w:t xml:space="preserve">. </w:t>
      </w:r>
      <w:r w:rsidR="00AA073F">
        <w:rPr>
          <w:szCs w:val="26"/>
        </w:rPr>
        <w:t xml:space="preserve">Reichman </w:t>
      </w:r>
      <w:r w:rsidR="008E4A78">
        <w:rPr>
          <w:szCs w:val="26"/>
        </w:rPr>
        <w:t xml:space="preserve">and Hasenzahl </w:t>
      </w:r>
      <w:r w:rsidR="00AA073F">
        <w:rPr>
          <w:szCs w:val="26"/>
        </w:rPr>
        <w:t>(2003) noted that US courts have the power to impose non</w:t>
      </w:r>
      <w:r w:rsidR="00FF3681">
        <w:rPr>
          <w:szCs w:val="26"/>
        </w:rPr>
        <w:noBreakHyphen/>
      </w:r>
      <w:r w:rsidR="00AA073F">
        <w:rPr>
          <w:szCs w:val="26"/>
        </w:rPr>
        <w:t xml:space="preserve">voluntary licences on patent holders to remedy a broad range of actual, or in the case of mergers, potential antitrust </w:t>
      </w:r>
      <w:r w:rsidR="00597C1E">
        <w:rPr>
          <w:szCs w:val="26"/>
        </w:rPr>
        <w:t xml:space="preserve">(anticompetitive) </w:t>
      </w:r>
      <w:r w:rsidR="00AA073F">
        <w:rPr>
          <w:szCs w:val="26"/>
        </w:rPr>
        <w:t>violations</w:t>
      </w:r>
      <w:r w:rsidR="00597C1E">
        <w:rPr>
          <w:szCs w:val="26"/>
        </w:rPr>
        <w:t>. These practices appear very similar to compulsory licensing</w:t>
      </w:r>
      <w:r w:rsidR="00EA267C">
        <w:rPr>
          <w:szCs w:val="26"/>
        </w:rPr>
        <w:t xml:space="preserve"> (competition issues in comparable markets are also discussed in chapter 6)</w:t>
      </w:r>
      <w:r w:rsidR="00AA073F">
        <w:rPr>
          <w:szCs w:val="26"/>
        </w:rPr>
        <w:t>.</w:t>
      </w:r>
    </w:p>
    <w:p w14:paraId="3CCB8AC8" w14:textId="77777777" w:rsidR="00EE5E52" w:rsidRDefault="0091149B" w:rsidP="00245850">
      <w:pPr>
        <w:pStyle w:val="BodyText"/>
        <w:rPr>
          <w:szCs w:val="26"/>
        </w:rPr>
      </w:pPr>
      <w:r>
        <w:rPr>
          <w:szCs w:val="26"/>
        </w:rPr>
        <w:t>There is a long history in the U</w:t>
      </w:r>
      <w:r w:rsidR="006677B3">
        <w:rPr>
          <w:szCs w:val="26"/>
        </w:rPr>
        <w:t xml:space="preserve">nited </w:t>
      </w:r>
      <w:r>
        <w:rPr>
          <w:szCs w:val="26"/>
        </w:rPr>
        <w:t>S</w:t>
      </w:r>
      <w:r w:rsidR="006677B3">
        <w:rPr>
          <w:szCs w:val="26"/>
        </w:rPr>
        <w:t>tates</w:t>
      </w:r>
      <w:r>
        <w:rPr>
          <w:szCs w:val="26"/>
        </w:rPr>
        <w:t xml:space="preserve"> of using compulsory licensing </w:t>
      </w:r>
      <w:r w:rsidR="002A5A85">
        <w:rPr>
          <w:szCs w:val="26"/>
        </w:rPr>
        <w:t xml:space="preserve">as a remedy for </w:t>
      </w:r>
      <w:r>
        <w:rPr>
          <w:szCs w:val="26"/>
        </w:rPr>
        <w:t xml:space="preserve">antitrust </w:t>
      </w:r>
      <w:r w:rsidR="002A5A85">
        <w:rPr>
          <w:szCs w:val="26"/>
        </w:rPr>
        <w:t xml:space="preserve">conduct. </w:t>
      </w:r>
      <w:r>
        <w:rPr>
          <w:szCs w:val="26"/>
        </w:rPr>
        <w:t>In 1958, Scherer found that compulsory licensing had been used in roughly 100 antitrust settlements</w:t>
      </w:r>
      <w:r w:rsidR="006F4514">
        <w:rPr>
          <w:szCs w:val="26"/>
        </w:rPr>
        <w:t xml:space="preserve"> (</w:t>
      </w:r>
      <w:r w:rsidR="00C72081">
        <w:rPr>
          <w:szCs w:val="26"/>
        </w:rPr>
        <w:t xml:space="preserve">cited in </w:t>
      </w:r>
      <w:r w:rsidR="006F4514">
        <w:rPr>
          <w:szCs w:val="26"/>
        </w:rPr>
        <w:t>Scherer</w:t>
      </w:r>
      <w:r w:rsidR="00AB147C">
        <w:rPr>
          <w:szCs w:val="26"/>
        </w:rPr>
        <w:t xml:space="preserve"> </w:t>
      </w:r>
      <w:r w:rsidR="006F4514">
        <w:rPr>
          <w:szCs w:val="26"/>
        </w:rPr>
        <w:t>2010)</w:t>
      </w:r>
      <w:r>
        <w:rPr>
          <w:szCs w:val="26"/>
        </w:rPr>
        <w:t>. There are more recent examples. I</w:t>
      </w:r>
      <w:r w:rsidR="009F4881">
        <w:rPr>
          <w:szCs w:val="26"/>
        </w:rPr>
        <w:t>n 2002, Microsoft was required to license patents on reasonable and non-discriminatory terms to software companies developing products to be interoperable with Microsoft Windows (</w:t>
      </w:r>
      <w:r w:rsidR="009F4881" w:rsidRPr="00BE4694">
        <w:rPr>
          <w:i/>
          <w:szCs w:val="26"/>
        </w:rPr>
        <w:t>United States of America v Microsoft Corporation</w:t>
      </w:r>
      <w:r w:rsidR="009F4881">
        <w:rPr>
          <w:szCs w:val="26"/>
        </w:rPr>
        <w:t>).</w:t>
      </w:r>
    </w:p>
    <w:p w14:paraId="6797F7F1" w14:textId="77777777" w:rsidR="00245850" w:rsidRPr="00127F14" w:rsidRDefault="009F4881" w:rsidP="00245850">
      <w:pPr>
        <w:pStyle w:val="BodyText"/>
      </w:pPr>
      <w:r>
        <w:t>Compulsory licensing has also been used in the U</w:t>
      </w:r>
      <w:r w:rsidR="006677B3">
        <w:t xml:space="preserve">nited </w:t>
      </w:r>
      <w:r>
        <w:t>S</w:t>
      </w:r>
      <w:r w:rsidR="006677B3">
        <w:t>tates</w:t>
      </w:r>
      <w:r>
        <w:t xml:space="preserve"> in a number of merger review cases</w:t>
      </w:r>
      <w:r w:rsidR="00597C1E">
        <w:t>. Some key cases are discussed in</w:t>
      </w:r>
      <w:r w:rsidR="00E23702">
        <w:t xml:space="preserve"> </w:t>
      </w:r>
      <w:r>
        <w:t>box C.</w:t>
      </w:r>
      <w:r w:rsidR="0084189D">
        <w:t>2</w:t>
      </w:r>
      <w:r>
        <w:t>.</w:t>
      </w:r>
      <w:r w:rsidRPr="00127F14">
        <w:t xml:space="preserve"> </w:t>
      </w:r>
    </w:p>
    <w:p w14:paraId="4C0FB7DC" w14:textId="588494C0" w:rsidR="009F4881" w:rsidRDefault="009F4881" w:rsidP="009F488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F4881" w14:paraId="238BA369" w14:textId="77777777" w:rsidTr="00CC47EA">
        <w:tc>
          <w:tcPr>
            <w:tcW w:w="8771" w:type="dxa"/>
            <w:tcBorders>
              <w:top w:val="single" w:sz="6" w:space="0" w:color="auto"/>
              <w:bottom w:val="nil"/>
            </w:tcBorders>
          </w:tcPr>
          <w:p w14:paraId="120D4E90" w14:textId="77777777" w:rsidR="009F4881" w:rsidRDefault="009F4881" w:rsidP="00CC47EA">
            <w:pPr>
              <w:pStyle w:val="BoxTitle"/>
            </w:pPr>
            <w:r>
              <w:rPr>
                <w:b w:val="0"/>
              </w:rPr>
              <w:t xml:space="preserve">Box </w:t>
            </w:r>
            <w:r w:rsidR="0084673B">
              <w:fldChar w:fldCharType="begin"/>
            </w:r>
            <w:r w:rsidR="0084673B">
              <w:instrText xml:space="preserve"> COMMENTS  \* MERGEFORMAT </w:instrText>
            </w:r>
            <w:r w:rsidR="0084673B">
              <w:fldChar w:fldCharType="separate"/>
            </w:r>
            <w:proofErr w:type="spellStart"/>
            <w:r w:rsidR="00384F41" w:rsidRPr="00384F41">
              <w:rPr>
                <w:b w:val="0"/>
              </w:rPr>
              <w:t>C.</w:t>
            </w:r>
            <w:r w:rsidR="0084673B">
              <w:rPr>
                <w:b w:val="0"/>
              </w:rPr>
              <w:fldChar w:fldCharType="end"/>
            </w:r>
            <w:r w:rsidR="0030683C">
              <w:rPr>
                <w:b w:val="0"/>
              </w:rPr>
              <w:fldChar w:fldCharType="begin"/>
            </w:r>
            <w:r>
              <w:rPr>
                <w:b w:val="0"/>
              </w:rPr>
              <w:instrText xml:space="preserve"> SEQ Box \* ARABIC </w:instrText>
            </w:r>
            <w:r w:rsidR="0030683C">
              <w:rPr>
                <w:b w:val="0"/>
              </w:rPr>
              <w:fldChar w:fldCharType="separate"/>
            </w:r>
            <w:r w:rsidR="002A73B1">
              <w:rPr>
                <w:b w:val="0"/>
                <w:noProof/>
              </w:rPr>
              <w:t>2</w:t>
            </w:r>
            <w:proofErr w:type="spellEnd"/>
            <w:r w:rsidR="0030683C">
              <w:rPr>
                <w:b w:val="0"/>
              </w:rPr>
              <w:fldChar w:fldCharType="end"/>
            </w:r>
            <w:r>
              <w:tab/>
              <w:t xml:space="preserve">Compulsory licensing in </w:t>
            </w:r>
            <w:r w:rsidR="00477AD8">
              <w:t xml:space="preserve">US </w:t>
            </w:r>
            <w:r>
              <w:t>merger review cases</w:t>
            </w:r>
          </w:p>
        </w:tc>
      </w:tr>
      <w:tr w:rsidR="009F4881" w14:paraId="15AFDC8F" w14:textId="77777777" w:rsidTr="00CC47EA">
        <w:trPr>
          <w:cantSplit/>
        </w:trPr>
        <w:tc>
          <w:tcPr>
            <w:tcW w:w="8771" w:type="dxa"/>
            <w:tcBorders>
              <w:top w:val="nil"/>
              <w:left w:val="single" w:sz="6" w:space="0" w:color="auto"/>
              <w:bottom w:val="nil"/>
              <w:right w:val="single" w:sz="6" w:space="0" w:color="auto"/>
            </w:tcBorders>
          </w:tcPr>
          <w:p w14:paraId="4C489846" w14:textId="77777777" w:rsidR="00477AD8" w:rsidRPr="00D3441D" w:rsidRDefault="00477AD8" w:rsidP="004270CB">
            <w:pPr>
              <w:pStyle w:val="Box"/>
            </w:pPr>
            <w:r w:rsidRPr="004270CB">
              <w:t>In 1998, the Department</w:t>
            </w:r>
            <w:r w:rsidR="00D41159">
              <w:t xml:space="preserve"> of Justice </w:t>
            </w:r>
            <w:r>
              <w:t xml:space="preserve">approved agricultural company Monsanto’s acquisition of DeKalb Genetics Corporation after Monsanto </w:t>
            </w:r>
            <w:r w:rsidR="00286E05">
              <w:t xml:space="preserve">agreed to </w:t>
            </w:r>
            <w:r>
              <w:t>address</w:t>
            </w:r>
            <w:r w:rsidR="00286E05">
              <w:t xml:space="preserve"> </w:t>
            </w:r>
            <w:r w:rsidR="00597C1E">
              <w:t xml:space="preserve">its </w:t>
            </w:r>
            <w:r>
              <w:t>competiti</w:t>
            </w:r>
            <w:r w:rsidR="00286E05">
              <w:t xml:space="preserve">on </w:t>
            </w:r>
            <w:r>
              <w:t xml:space="preserve">concerns. Monsanto agreed to </w:t>
            </w:r>
            <w:r w:rsidR="00286E05">
              <w:t>spin off its claims to technology used to introduce new genetic traits in corn seeds to the University of California.</w:t>
            </w:r>
            <w:r>
              <w:t xml:space="preserve"> Monsanto also made commitments to license </w:t>
            </w:r>
            <w:r w:rsidR="00286E05">
              <w:t xml:space="preserve">particular </w:t>
            </w:r>
            <w:r>
              <w:t>patented corn genetic material</w:t>
            </w:r>
            <w:r w:rsidR="00286E05">
              <w:t xml:space="preserve"> (</w:t>
            </w:r>
            <w:r w:rsidR="00D41159">
              <w:t>US</w:t>
            </w:r>
            <w:r w:rsidR="00C55690">
              <w:t> </w:t>
            </w:r>
            <w:r w:rsidR="00D41159">
              <w:t xml:space="preserve">Department of </w:t>
            </w:r>
            <w:r w:rsidR="00286E05">
              <w:t>Justice 1998)</w:t>
            </w:r>
            <w:r>
              <w:t>.</w:t>
            </w:r>
            <w:r w:rsidRPr="00D3441D">
              <w:t xml:space="preserve"> </w:t>
            </w:r>
          </w:p>
          <w:p w14:paraId="18069FC1" w14:textId="77777777" w:rsidR="002F53D5" w:rsidRPr="00BF58CC" w:rsidRDefault="002F53D5" w:rsidP="002F53D5">
            <w:pPr>
              <w:pStyle w:val="Box"/>
              <w:rPr>
                <w:rStyle w:val="DraftingNote"/>
                <w:b w:val="0"/>
                <w:color w:val="auto"/>
                <w:sz w:val="22"/>
                <w:u w:val="none"/>
              </w:rPr>
            </w:pPr>
            <w:r>
              <w:t>In 1999, the Department of Justice reached a settlement allowing Halliburton Company to merge with competitor Dresser Industries Inc. As part of the settlement, Halliburton subsidiary HESI (Halliburton Energy Services Inc.) was required to grant worldwide, royalty-free, irrevocable</w:t>
            </w:r>
            <w:r w:rsidRPr="004270CB">
              <w:t xml:space="preserve">, non-exclusive licences covering particular tools and related </w:t>
            </w:r>
            <w:r w:rsidR="00C02F86">
              <w:t>IP</w:t>
            </w:r>
            <w:r>
              <w:t xml:space="preserve"> (</w:t>
            </w:r>
            <w:r w:rsidR="00D41159">
              <w:t xml:space="preserve">US </w:t>
            </w:r>
            <w:r>
              <w:t>Department of Justice 1999)</w:t>
            </w:r>
            <w:r w:rsidRPr="004270CB">
              <w:t>.</w:t>
            </w:r>
            <w:r w:rsidR="0030683C" w:rsidRPr="0001155F">
              <w:t xml:space="preserve"> </w:t>
            </w:r>
          </w:p>
          <w:p w14:paraId="0CBEFB00" w14:textId="0823D58E" w:rsidR="009F4881" w:rsidRPr="00880717" w:rsidRDefault="009F4881" w:rsidP="00880717">
            <w:pPr>
              <w:pStyle w:val="Box"/>
              <w:rPr>
                <w:rStyle w:val="DraftingNote"/>
                <w:b w:val="0"/>
                <w:color w:val="auto"/>
                <w:sz w:val="22"/>
                <w:u w:val="none"/>
              </w:rPr>
            </w:pPr>
            <w:r>
              <w:t xml:space="preserve">In 2002, the </w:t>
            </w:r>
            <w:r w:rsidR="0029101C">
              <w:t>FTC</w:t>
            </w:r>
            <w:r>
              <w:t xml:space="preserve"> announced a consent agreement for Amgen Inc.’s proposed acquisition </w:t>
            </w:r>
            <w:r w:rsidR="00983B04">
              <w:t xml:space="preserve">of </w:t>
            </w:r>
            <w:r>
              <w:t xml:space="preserve">Immunex Corporation, which required the companies </w:t>
            </w:r>
            <w:r w:rsidR="0084189D">
              <w:t xml:space="preserve">to </w:t>
            </w:r>
            <w:r>
              <w:t xml:space="preserve">divest certain assets and license certain </w:t>
            </w:r>
            <w:r w:rsidR="00C02F86">
              <w:t>IP</w:t>
            </w:r>
            <w:r>
              <w:t xml:space="preserve"> rights. Approval was conditional on the companies granting a license for </w:t>
            </w:r>
            <w:r w:rsidR="00C02F86">
              <w:t>IP</w:t>
            </w:r>
            <w:r>
              <w:t xml:space="preserve"> rights to two other pharmaceutical companies (FTC</w:t>
            </w:r>
            <w:r w:rsidR="00AB147C">
              <w:t xml:space="preserve"> </w:t>
            </w:r>
            <w:r w:rsidR="00874BD9">
              <w:t>2002).</w:t>
            </w:r>
          </w:p>
        </w:tc>
      </w:tr>
      <w:tr w:rsidR="009F4881" w14:paraId="0A6CC34E" w14:textId="77777777" w:rsidTr="00CC47EA">
        <w:trPr>
          <w:cantSplit/>
        </w:trPr>
        <w:tc>
          <w:tcPr>
            <w:tcW w:w="8771" w:type="dxa"/>
            <w:tcBorders>
              <w:top w:val="nil"/>
              <w:left w:val="single" w:sz="6" w:space="0" w:color="auto"/>
              <w:bottom w:val="single" w:sz="6" w:space="0" w:color="auto"/>
              <w:right w:val="single" w:sz="6" w:space="0" w:color="auto"/>
            </w:tcBorders>
          </w:tcPr>
          <w:p w14:paraId="16AD1E36" w14:textId="77777777" w:rsidR="009F4881" w:rsidRDefault="009F4881" w:rsidP="00CC47EA">
            <w:pPr>
              <w:pStyle w:val="Box"/>
              <w:spacing w:before="0" w:line="120" w:lineRule="exact"/>
            </w:pPr>
          </w:p>
        </w:tc>
      </w:tr>
      <w:tr w:rsidR="009F4881" w:rsidRPr="000863A5" w14:paraId="09A8D427" w14:textId="77777777" w:rsidTr="00CC47EA">
        <w:tc>
          <w:tcPr>
            <w:tcW w:w="8771" w:type="dxa"/>
            <w:tcBorders>
              <w:top w:val="nil"/>
              <w:left w:val="nil"/>
              <w:bottom w:val="nil"/>
              <w:right w:val="nil"/>
            </w:tcBorders>
          </w:tcPr>
          <w:p w14:paraId="098D37F8" w14:textId="759719BF" w:rsidR="009F4881" w:rsidRPr="000863A5" w:rsidRDefault="009F4881" w:rsidP="00CC47EA">
            <w:pPr>
              <w:pStyle w:val="Box"/>
              <w:keepNext w:val="0"/>
              <w:spacing w:before="60" w:after="60" w:line="80" w:lineRule="exact"/>
              <w:rPr>
                <w:b/>
                <w:sz w:val="14"/>
              </w:rPr>
            </w:pPr>
          </w:p>
        </w:tc>
      </w:tr>
    </w:tbl>
    <w:p w14:paraId="2CDF9258" w14:textId="77777777" w:rsidR="00A44BE8" w:rsidRDefault="001275F5" w:rsidP="00A27DD4">
      <w:pPr>
        <w:pStyle w:val="Heading5"/>
      </w:pPr>
      <w:r>
        <w:t>Rulings in patent infringement cases</w:t>
      </w:r>
      <w:r w:rsidR="00A44BE8">
        <w:t xml:space="preserve"> </w:t>
      </w:r>
    </w:p>
    <w:p w14:paraId="61C469FF" w14:textId="77777777" w:rsidR="00874BD9" w:rsidRDefault="0054668F" w:rsidP="00D70127">
      <w:pPr>
        <w:pStyle w:val="BodyText"/>
      </w:pPr>
      <w:r>
        <w:t>Rulings in some patent infringement cases in the U</w:t>
      </w:r>
      <w:r w:rsidR="006677B3">
        <w:t xml:space="preserve">nited </w:t>
      </w:r>
      <w:r>
        <w:t>S</w:t>
      </w:r>
      <w:r w:rsidR="006677B3">
        <w:t>tates</w:t>
      </w:r>
      <w:r>
        <w:t xml:space="preserve"> appear to be </w:t>
      </w:r>
      <w:r w:rsidR="009D3DE6">
        <w:t>similar</w:t>
      </w:r>
      <w:r w:rsidR="0018780F">
        <w:t xml:space="preserve"> to </w:t>
      </w:r>
      <w:r>
        <w:t>compulsory</w:t>
      </w:r>
      <w:r w:rsidR="0018780F">
        <w:t xml:space="preserve"> licensing</w:t>
      </w:r>
      <w:r>
        <w:t xml:space="preserve">. </w:t>
      </w:r>
    </w:p>
    <w:p w14:paraId="17FDF9F6" w14:textId="7C30CB24" w:rsidR="002A5A85" w:rsidRDefault="00D70127" w:rsidP="00D70127">
      <w:pPr>
        <w:pStyle w:val="BodyText"/>
      </w:pPr>
      <w:r>
        <w:t>In the U</w:t>
      </w:r>
      <w:r w:rsidR="006677B3">
        <w:t xml:space="preserve">nited </w:t>
      </w:r>
      <w:r>
        <w:t>S</w:t>
      </w:r>
      <w:r w:rsidR="006677B3">
        <w:t>tates</w:t>
      </w:r>
      <w:r>
        <w:t xml:space="preserve">, </w:t>
      </w:r>
      <w:r w:rsidR="00DF35B9">
        <w:t xml:space="preserve">like </w:t>
      </w:r>
      <w:r w:rsidR="00D3146F">
        <w:t xml:space="preserve">in </w:t>
      </w:r>
      <w:r w:rsidR="00DF35B9">
        <w:t xml:space="preserve">other comparable markets, </w:t>
      </w:r>
      <w:r w:rsidR="00FF650A">
        <w:t>patent owners may sue for patent infringement</w:t>
      </w:r>
      <w:r w:rsidR="00874BD9">
        <w:t xml:space="preserve">, which includes </w:t>
      </w:r>
      <w:r w:rsidR="00FF650A">
        <w:t xml:space="preserve">unauthorised making, using, </w:t>
      </w:r>
      <w:r w:rsidR="007B7E95">
        <w:t xml:space="preserve">offering for sale, </w:t>
      </w:r>
      <w:r w:rsidR="00FF650A">
        <w:t>selling</w:t>
      </w:r>
      <w:r w:rsidR="007B7E95">
        <w:t>,</w:t>
      </w:r>
      <w:r w:rsidR="00FF650A">
        <w:t xml:space="preserve"> or importing of </w:t>
      </w:r>
      <w:r w:rsidR="004779C5">
        <w:t xml:space="preserve">a </w:t>
      </w:r>
      <w:r w:rsidR="00FF650A">
        <w:t xml:space="preserve">product </w:t>
      </w:r>
      <w:r w:rsidR="004779C5">
        <w:t xml:space="preserve">which falls within one of the claims of </w:t>
      </w:r>
      <w:r w:rsidR="007B7E95">
        <w:t>a</w:t>
      </w:r>
      <w:r w:rsidR="004779C5">
        <w:t xml:space="preserve"> </w:t>
      </w:r>
      <w:r w:rsidR="00FF650A">
        <w:t xml:space="preserve">patented invention. </w:t>
      </w:r>
      <w:r w:rsidR="0066505E">
        <w:t xml:space="preserve">In a patent infringement case, </w:t>
      </w:r>
      <w:r w:rsidR="00D3146F">
        <w:t>the patent owner (plaintiff</w:t>
      </w:r>
      <w:r w:rsidR="004779C5">
        <w:t>) may apply for injunctive relief, which, if granted, requires the infringer to cease infringing</w:t>
      </w:r>
      <w:r w:rsidR="007B7E95">
        <w:t xml:space="preserve"> the patent</w:t>
      </w:r>
      <w:r w:rsidR="004779C5">
        <w:t xml:space="preserve">. A key question is on what grounds </w:t>
      </w:r>
      <w:r w:rsidR="00D3146F">
        <w:t>injunctive relief should</w:t>
      </w:r>
      <w:r w:rsidR="004779C5">
        <w:t xml:space="preserve"> be granted. Some argue that patent owners should be entitled to automatic injunctive relief if their patent is found to be valid and has been infringed. </w:t>
      </w:r>
    </w:p>
    <w:p w14:paraId="056B0A7E" w14:textId="259CF63D" w:rsidR="00D70127" w:rsidRDefault="004779C5" w:rsidP="00D70127">
      <w:pPr>
        <w:pStyle w:val="BodyText"/>
      </w:pPr>
      <w:r>
        <w:t>In 2006, in</w:t>
      </w:r>
      <w:r w:rsidR="007B7E95">
        <w:t xml:space="preserve"> a landmark decision</w:t>
      </w:r>
      <w:r>
        <w:t>, the US Supreme Court denied injunctive relief</w:t>
      </w:r>
      <w:r w:rsidR="009434BC">
        <w:t xml:space="preserve"> in the case of</w:t>
      </w:r>
      <w:r w:rsidR="00AB6F37">
        <w:t xml:space="preserve"> </w:t>
      </w:r>
      <w:r w:rsidR="009434BC">
        <w:t xml:space="preserve"> </w:t>
      </w:r>
      <w:r w:rsidR="009434BC" w:rsidRPr="004779C5">
        <w:rPr>
          <w:i/>
        </w:rPr>
        <w:t>eBay v MercExchange, L.L.C.</w:t>
      </w:r>
      <w:r>
        <w:t xml:space="preserve"> </w:t>
      </w:r>
      <w:r w:rsidR="00D3146F">
        <w:t>Prior to this case</w:t>
      </w:r>
      <w:r w:rsidR="000E60DF">
        <w:t>,</w:t>
      </w:r>
      <w:r w:rsidR="00D3146F">
        <w:t xml:space="preserve"> </w:t>
      </w:r>
      <w:r w:rsidR="00BB478D">
        <w:t>there was a general rule in favour of gra</w:t>
      </w:r>
      <w:r w:rsidR="00245850">
        <w:t>n</w:t>
      </w:r>
      <w:r w:rsidR="00BB478D">
        <w:t xml:space="preserve">ting injunctive relief </w:t>
      </w:r>
      <w:r w:rsidR="00D3146F">
        <w:t xml:space="preserve">if </w:t>
      </w:r>
      <w:r w:rsidR="008E4A78">
        <w:t xml:space="preserve">it was found that </w:t>
      </w:r>
      <w:r w:rsidR="00D3146F">
        <w:t xml:space="preserve">patent infringement </w:t>
      </w:r>
      <w:r w:rsidR="008E4A78">
        <w:t xml:space="preserve">had </w:t>
      </w:r>
      <w:r w:rsidR="00D3146F">
        <w:t>occurred</w:t>
      </w:r>
      <w:r w:rsidR="00E23702">
        <w:t xml:space="preserve"> (</w:t>
      </w:r>
      <w:r w:rsidR="00FF650A">
        <w:t>box C.</w:t>
      </w:r>
      <w:r w:rsidR="0084189D">
        <w:t>3</w:t>
      </w:r>
      <w:r w:rsidR="00E23702">
        <w:t>).</w:t>
      </w:r>
    </w:p>
    <w:p w14:paraId="767E391F" w14:textId="40C3B018" w:rsidR="0056564D" w:rsidRDefault="0056564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6564D" w14:paraId="4B588577" w14:textId="77777777">
        <w:tc>
          <w:tcPr>
            <w:tcW w:w="8771" w:type="dxa"/>
            <w:tcBorders>
              <w:top w:val="single" w:sz="6" w:space="0" w:color="auto"/>
              <w:bottom w:val="nil"/>
            </w:tcBorders>
          </w:tcPr>
          <w:p w14:paraId="636240B0" w14:textId="77777777" w:rsidR="0056564D" w:rsidRDefault="0056564D" w:rsidP="00FF650A">
            <w:pPr>
              <w:pStyle w:val="BoxTitle"/>
            </w:pPr>
            <w:r>
              <w:rPr>
                <w:b w:val="0"/>
              </w:rPr>
              <w:t xml:space="preserve">Box </w:t>
            </w:r>
            <w:r w:rsidR="0084673B">
              <w:fldChar w:fldCharType="begin"/>
            </w:r>
            <w:r w:rsidR="0084673B">
              <w:instrText xml:space="preserve"> COMMENTS  \* MERGEFORMAT </w:instrText>
            </w:r>
            <w:r w:rsidR="0084673B">
              <w:fldChar w:fldCharType="separate"/>
            </w:r>
            <w:proofErr w:type="spellStart"/>
            <w:r w:rsidR="00384F41" w:rsidRPr="00384F41">
              <w:rPr>
                <w:b w:val="0"/>
              </w:rPr>
              <w:t>C.</w:t>
            </w:r>
            <w:r w:rsidR="0084673B">
              <w:rPr>
                <w:b w:val="0"/>
              </w:rPr>
              <w:fldChar w:fldCharType="end"/>
            </w:r>
            <w:r w:rsidR="0030683C">
              <w:rPr>
                <w:b w:val="0"/>
              </w:rPr>
              <w:fldChar w:fldCharType="begin"/>
            </w:r>
            <w:r>
              <w:rPr>
                <w:b w:val="0"/>
              </w:rPr>
              <w:instrText xml:space="preserve"> SEQ Box \* ARABIC </w:instrText>
            </w:r>
            <w:r w:rsidR="0030683C">
              <w:rPr>
                <w:b w:val="0"/>
              </w:rPr>
              <w:fldChar w:fldCharType="separate"/>
            </w:r>
            <w:r w:rsidR="002A73B1">
              <w:rPr>
                <w:b w:val="0"/>
                <w:noProof/>
              </w:rPr>
              <w:t>3</w:t>
            </w:r>
            <w:proofErr w:type="spellEnd"/>
            <w:r w:rsidR="0030683C">
              <w:rPr>
                <w:b w:val="0"/>
              </w:rPr>
              <w:fldChar w:fldCharType="end"/>
            </w:r>
            <w:r>
              <w:tab/>
            </w:r>
            <w:r w:rsidR="00FF650A">
              <w:t xml:space="preserve">eBay v </w:t>
            </w:r>
            <w:proofErr w:type="spellStart"/>
            <w:r w:rsidR="00FF650A">
              <w:t>MercExchange</w:t>
            </w:r>
            <w:proofErr w:type="spellEnd"/>
            <w:r w:rsidR="00FF650A">
              <w:t xml:space="preserve">, L.L.C </w:t>
            </w:r>
          </w:p>
        </w:tc>
      </w:tr>
      <w:tr w:rsidR="0056564D" w14:paraId="3DD0054E" w14:textId="77777777">
        <w:trPr>
          <w:cantSplit/>
        </w:trPr>
        <w:tc>
          <w:tcPr>
            <w:tcW w:w="8771" w:type="dxa"/>
            <w:tcBorders>
              <w:top w:val="nil"/>
              <w:left w:val="single" w:sz="6" w:space="0" w:color="auto"/>
              <w:bottom w:val="nil"/>
              <w:right w:val="single" w:sz="6" w:space="0" w:color="auto"/>
            </w:tcBorders>
          </w:tcPr>
          <w:p w14:paraId="1E0504CB" w14:textId="77777777" w:rsidR="009434BC" w:rsidRDefault="00B95918" w:rsidP="0056564D">
            <w:pPr>
              <w:pStyle w:val="Box"/>
            </w:pPr>
            <w:r>
              <w:t xml:space="preserve">In 2000, online auction company eBay initiated negotiations to purchase patents from another online auction company, MercExchange. After eBay abandoned its efforts to obtain these patents, MercExchange sued eBay </w:t>
            </w:r>
            <w:r w:rsidR="00E60D4F">
              <w:t xml:space="preserve">and a subsidiary </w:t>
            </w:r>
            <w:r>
              <w:t>for infringement</w:t>
            </w:r>
            <w:r w:rsidR="00246CA9">
              <w:t xml:space="preserve"> of three patents</w:t>
            </w:r>
            <w:r w:rsidR="009434BC">
              <w:t>.</w:t>
            </w:r>
            <w:r w:rsidR="00E60D4F">
              <w:t xml:space="preserve"> The jury in the US District Court of the Eastern District of Virginia found that the patents in question were valid and had been infringed. However, the </w:t>
            </w:r>
            <w:r w:rsidR="00C25BAA">
              <w:t>District Court</w:t>
            </w:r>
            <w:r w:rsidR="00E60D4F">
              <w:t xml:space="preserve"> </w:t>
            </w:r>
            <w:r w:rsidR="00C25BAA">
              <w:t xml:space="preserve">did not grant an injunction against eBay because: </w:t>
            </w:r>
          </w:p>
          <w:p w14:paraId="41959C10" w14:textId="77777777" w:rsidR="00E60D4F" w:rsidRDefault="00D3146F" w:rsidP="00C25BAA">
            <w:pPr>
              <w:pStyle w:val="BoxQuote"/>
            </w:pPr>
            <w:r>
              <w:t xml:space="preserve">[MercExchange’s] </w:t>
            </w:r>
            <w:r w:rsidR="00C25BAA">
              <w:t>willingness to license its patents [and] its lack of commercial activity in practi</w:t>
            </w:r>
            <w:r w:rsidR="00C72081">
              <w:t>s</w:t>
            </w:r>
            <w:r w:rsidR="00C25BAA">
              <w:t xml:space="preserve">ing its patents … are sufficient to rebut the presumption that it will suffer irreparable harm if an injunction does not issue. </w:t>
            </w:r>
          </w:p>
          <w:p w14:paraId="2390F41F" w14:textId="77777777" w:rsidR="00C25BAA" w:rsidRDefault="00C25BAA" w:rsidP="0056564D">
            <w:pPr>
              <w:pStyle w:val="Box"/>
            </w:pPr>
            <w:r>
              <w:t>On appeal, the U</w:t>
            </w:r>
            <w:r w:rsidR="00294890">
              <w:t>S</w:t>
            </w:r>
            <w:r>
              <w:t xml:space="preserve"> Court of Appeals for the Federal Circuit overturned the District Court’s decision noting that there was a </w:t>
            </w:r>
            <w:r w:rsidR="00A53FF6">
              <w:t>‘</w:t>
            </w:r>
            <w:r>
              <w:t xml:space="preserve">general </w:t>
            </w:r>
            <w:r w:rsidR="00A53FF6">
              <w:t>rule’</w:t>
            </w:r>
            <w:r>
              <w:t xml:space="preserve"> that injunctive relief </w:t>
            </w:r>
            <w:r w:rsidR="00C005A0">
              <w:t xml:space="preserve">should </w:t>
            </w:r>
            <w:r>
              <w:t>be granted if patent infringement had occurred</w:t>
            </w:r>
            <w:r w:rsidR="0084189D">
              <w:t>.</w:t>
            </w:r>
            <w:r>
              <w:t xml:space="preserve"> </w:t>
            </w:r>
          </w:p>
          <w:p w14:paraId="0AF208BB" w14:textId="77777777" w:rsidR="00125543" w:rsidRDefault="0048655B" w:rsidP="00C25BAA">
            <w:pPr>
              <w:pStyle w:val="Box"/>
            </w:pPr>
            <w:r>
              <w:t xml:space="preserve">An appeal was made by eBay. </w:t>
            </w:r>
            <w:r w:rsidR="00823BA9">
              <w:t xml:space="preserve">The US </w:t>
            </w:r>
            <w:r w:rsidR="004B511C">
              <w:t xml:space="preserve">Supreme Court agreed to hear the case and </w:t>
            </w:r>
            <w:r w:rsidR="00C25BAA">
              <w:t>overturned the Federal Circuit’s approval of an injunction</w:t>
            </w:r>
            <w:r w:rsidR="004B511C">
              <w:t xml:space="preserve">, finding that </w:t>
            </w:r>
            <w:r w:rsidR="00C25BAA">
              <w:t xml:space="preserve">courts should </w:t>
            </w:r>
            <w:r w:rsidR="00823BA9">
              <w:t>apply a</w:t>
            </w:r>
            <w:r w:rsidR="001257F2">
              <w:t xml:space="preserve"> well-established</w:t>
            </w:r>
            <w:r w:rsidR="00823BA9">
              <w:t xml:space="preserve"> </w:t>
            </w:r>
            <w:r w:rsidR="00C45188">
              <w:t xml:space="preserve">four-factor </w:t>
            </w:r>
            <w:r w:rsidR="00823BA9">
              <w:t xml:space="preserve">test </w:t>
            </w:r>
            <w:r w:rsidR="00C45188">
              <w:t xml:space="preserve">to determine whether to </w:t>
            </w:r>
            <w:r w:rsidR="00125543">
              <w:t>award injunctive relief</w:t>
            </w:r>
            <w:r>
              <w:t xml:space="preserve"> in patent infringement cases</w:t>
            </w:r>
            <w:r w:rsidR="00245850">
              <w:t>:</w:t>
            </w:r>
            <w:r w:rsidR="00C25BAA">
              <w:t xml:space="preserve"> </w:t>
            </w:r>
            <w:r w:rsidR="00125543">
              <w:t xml:space="preserve"> </w:t>
            </w:r>
          </w:p>
          <w:p w14:paraId="02459BA5" w14:textId="77777777" w:rsidR="00125543" w:rsidRDefault="00125543" w:rsidP="00125543">
            <w:pPr>
              <w:pStyle w:val="BoxQuote"/>
              <w:rPr>
                <w:i/>
              </w:rPr>
            </w:pPr>
            <w:r w:rsidRPr="0032546E">
              <w:t>That test requires a plaintiff to demonstrate: (1) that it has suffered an irreparable injury; (2) that remedies available at law are inadequate to compensate for that injury; (3) that considering the balance</w:t>
            </w:r>
            <w:r>
              <w:t xml:space="preserve"> </w:t>
            </w:r>
            <w:r w:rsidRPr="0032546E">
              <w:t>of hardships between the plaintiff and defendant, a remedy in equity is warranted; and (4) that the public interest would not be disserved by a permanent injunction.</w:t>
            </w:r>
          </w:p>
          <w:p w14:paraId="4370B4C6" w14:textId="76EE0E06" w:rsidR="004B511C" w:rsidRDefault="004B511C" w:rsidP="0056564D">
            <w:pPr>
              <w:pStyle w:val="Box"/>
            </w:pPr>
            <w:r>
              <w:t xml:space="preserve">The Supreme Court found that neither the District Court </w:t>
            </w:r>
            <w:r w:rsidR="00246CA9">
              <w:t>n</w:t>
            </w:r>
            <w:r>
              <w:t xml:space="preserve">or </w:t>
            </w:r>
            <w:r w:rsidR="00874BD9">
              <w:t xml:space="preserve">the </w:t>
            </w:r>
            <w:r>
              <w:t xml:space="preserve">Court of Appeals applied these principles fairly. </w:t>
            </w:r>
            <w:r w:rsidR="001257F2">
              <w:t xml:space="preserve">The District Court had mistakenly concluded that </w:t>
            </w:r>
            <w:r w:rsidR="00A53FF6">
              <w:t xml:space="preserve">patent owners who license their inventions cannot apply for injunctive relief. The Supreme Court </w:t>
            </w:r>
            <w:r w:rsidR="00D3146F">
              <w:t xml:space="preserve">also </w:t>
            </w:r>
            <w:r w:rsidR="00A53FF6">
              <w:t xml:space="preserve">dismissed the Federal Circuit’s ‘general rule’. </w:t>
            </w:r>
          </w:p>
          <w:p w14:paraId="55D3F3BC" w14:textId="77777777" w:rsidR="00CD28BC" w:rsidRDefault="004B511C" w:rsidP="00D3146F">
            <w:pPr>
              <w:pStyle w:val="Box"/>
            </w:pPr>
            <w:r>
              <w:t>The Supreme Court sent the case back to the District Court. In 2007, the District Court again denied an injunction</w:t>
            </w:r>
            <w:r w:rsidR="00246CA9">
              <w:t xml:space="preserve">, based on MercExchange’s history of licensing the patents, and </w:t>
            </w:r>
            <w:r w:rsidR="00127FF0">
              <w:t xml:space="preserve">determined that </w:t>
            </w:r>
            <w:r w:rsidR="00246CA9">
              <w:t>$30 million in damages was a sufficient remedy</w:t>
            </w:r>
            <w:r>
              <w:t>.</w:t>
            </w:r>
            <w:r w:rsidR="00246CA9">
              <w:t xml:space="preserve"> </w:t>
            </w:r>
          </w:p>
          <w:p w14:paraId="3F3A620B" w14:textId="77777777" w:rsidR="0056564D" w:rsidRDefault="00246CA9" w:rsidP="00D3146F">
            <w:pPr>
              <w:pStyle w:val="Box"/>
            </w:pPr>
            <w:r>
              <w:t>In 2008</w:t>
            </w:r>
            <w:r w:rsidR="00D3146F">
              <w:t>,</w:t>
            </w:r>
            <w:r>
              <w:t xml:space="preserve"> the parties announced a settlement.</w:t>
            </w:r>
            <w:r w:rsidR="0048655B">
              <w:t xml:space="preserve"> As part of this settlement MercExchange assigned patents to eBay. </w:t>
            </w:r>
          </w:p>
        </w:tc>
      </w:tr>
      <w:tr w:rsidR="0056564D" w14:paraId="6E987DDA" w14:textId="77777777">
        <w:trPr>
          <w:cantSplit/>
        </w:trPr>
        <w:tc>
          <w:tcPr>
            <w:tcW w:w="8771" w:type="dxa"/>
            <w:tcBorders>
              <w:top w:val="nil"/>
              <w:left w:val="single" w:sz="6" w:space="0" w:color="auto"/>
              <w:bottom w:val="nil"/>
              <w:right w:val="single" w:sz="6" w:space="0" w:color="auto"/>
            </w:tcBorders>
          </w:tcPr>
          <w:p w14:paraId="70685BD9" w14:textId="07CD3B22" w:rsidR="0056564D" w:rsidRDefault="0056564D" w:rsidP="00AB147C">
            <w:pPr>
              <w:pStyle w:val="BoxSource"/>
            </w:pPr>
            <w:r>
              <w:rPr>
                <w:i/>
              </w:rPr>
              <w:t>Source</w:t>
            </w:r>
            <w:r w:rsidR="00F35C4C">
              <w:rPr>
                <w:i/>
              </w:rPr>
              <w:t>s</w:t>
            </w:r>
            <w:r w:rsidRPr="00167F06">
              <w:t xml:space="preserve">: </w:t>
            </w:r>
            <w:r w:rsidR="00AB147C">
              <w:t>d</w:t>
            </w:r>
            <w:r w:rsidR="00246CA9">
              <w:t>e Wit</w:t>
            </w:r>
            <w:r>
              <w:t xml:space="preserve"> (</w:t>
            </w:r>
            <w:r w:rsidR="00246CA9">
              <w:t>2010</w:t>
            </w:r>
            <w:r>
              <w:t xml:space="preserve">); </w:t>
            </w:r>
            <w:r w:rsidR="00A53FF6">
              <w:t>Fues</w:t>
            </w:r>
            <w:r>
              <w:t xml:space="preserve"> (</w:t>
            </w:r>
            <w:r w:rsidR="00A53FF6">
              <w:t>2007</w:t>
            </w:r>
            <w:r>
              <w:t>)</w:t>
            </w:r>
            <w:r w:rsidR="004B119A">
              <w:t>; Orozco and Conley (nd)</w:t>
            </w:r>
            <w:r>
              <w:t>.</w:t>
            </w:r>
          </w:p>
        </w:tc>
      </w:tr>
      <w:tr w:rsidR="0056564D" w14:paraId="6F3ADD3F" w14:textId="77777777">
        <w:trPr>
          <w:cantSplit/>
        </w:trPr>
        <w:tc>
          <w:tcPr>
            <w:tcW w:w="8771" w:type="dxa"/>
            <w:tcBorders>
              <w:top w:val="nil"/>
              <w:left w:val="single" w:sz="6" w:space="0" w:color="auto"/>
              <w:bottom w:val="single" w:sz="6" w:space="0" w:color="auto"/>
              <w:right w:val="single" w:sz="6" w:space="0" w:color="auto"/>
            </w:tcBorders>
          </w:tcPr>
          <w:p w14:paraId="6B21154B" w14:textId="77777777" w:rsidR="0056564D" w:rsidRDefault="0056564D">
            <w:pPr>
              <w:pStyle w:val="Box"/>
              <w:spacing w:before="0" w:line="120" w:lineRule="exact"/>
            </w:pPr>
          </w:p>
        </w:tc>
      </w:tr>
      <w:tr w:rsidR="0056564D" w:rsidRPr="000863A5" w14:paraId="73B15DDC" w14:textId="77777777">
        <w:tc>
          <w:tcPr>
            <w:tcW w:w="8771" w:type="dxa"/>
            <w:tcBorders>
              <w:top w:val="nil"/>
              <w:left w:val="nil"/>
              <w:bottom w:val="nil"/>
              <w:right w:val="nil"/>
            </w:tcBorders>
          </w:tcPr>
          <w:p w14:paraId="4046B598" w14:textId="2E475E5D" w:rsidR="0056564D" w:rsidRPr="000863A5" w:rsidRDefault="0056564D" w:rsidP="00313BBB">
            <w:pPr>
              <w:pStyle w:val="Box"/>
              <w:keepNext w:val="0"/>
              <w:spacing w:before="60" w:after="60" w:line="80" w:lineRule="exact"/>
              <w:rPr>
                <w:b/>
                <w:sz w:val="14"/>
              </w:rPr>
            </w:pPr>
          </w:p>
        </w:tc>
      </w:tr>
    </w:tbl>
    <w:p w14:paraId="766AB25C" w14:textId="77777777" w:rsidR="00A53FF6" w:rsidRDefault="00D3146F" w:rsidP="00FF650A">
      <w:pPr>
        <w:pStyle w:val="BodyText"/>
      </w:pPr>
      <w:r>
        <w:t xml:space="preserve">There was much speculation after this case about its effects. </w:t>
      </w:r>
      <w:r w:rsidR="00C45188">
        <w:t xml:space="preserve">Fues (2007) found that </w:t>
      </w:r>
      <w:r w:rsidR="00C72081">
        <w:t>in post-</w:t>
      </w:r>
      <w:r w:rsidR="00C45188">
        <w:t>eBay ruling</w:t>
      </w:r>
      <w:r w:rsidR="00C72081">
        <w:t>s</w:t>
      </w:r>
      <w:r w:rsidR="008E4A78">
        <w:t>,</w:t>
      </w:r>
      <w:r w:rsidR="00C45188">
        <w:t xml:space="preserve"> many courts employed the four-factor test and granted injunctive relief. </w:t>
      </w:r>
      <w:r w:rsidR="0042114A">
        <w:t>Some courts denied injunctive relief, particularly when the plaintiffs did not use the patented inventions. A survey of post e</w:t>
      </w:r>
      <w:r w:rsidR="0042114A">
        <w:noBreakHyphen/>
        <w:t>Bay cases</w:t>
      </w:r>
      <w:r w:rsidR="0054668F">
        <w:t>,</w:t>
      </w:r>
      <w:r w:rsidR="0042114A">
        <w:t xml:space="preserve"> published in 2009</w:t>
      </w:r>
      <w:r w:rsidR="0054668F">
        <w:t>,</w:t>
      </w:r>
      <w:r w:rsidR="0042114A">
        <w:t xml:space="preserve"> found that denial of injunctive relief occurred in about 30</w:t>
      </w:r>
      <w:r w:rsidR="00B75114">
        <w:t> </w:t>
      </w:r>
      <w:r w:rsidR="0042114A">
        <w:t>per</w:t>
      </w:r>
      <w:r w:rsidR="00B75114">
        <w:t> </w:t>
      </w:r>
      <w:r w:rsidR="0042114A">
        <w:t>cent of cases</w:t>
      </w:r>
      <w:r w:rsidR="00020FAE">
        <w:t xml:space="preserve"> (Larson cited in </w:t>
      </w:r>
      <w:r w:rsidR="00AB147C">
        <w:t>d</w:t>
      </w:r>
      <w:r w:rsidR="00020FAE">
        <w:t>e Wit 2010)</w:t>
      </w:r>
      <w:r w:rsidR="0042114A">
        <w:t>.</w:t>
      </w:r>
      <w:r w:rsidR="00C45188">
        <w:t xml:space="preserve"> </w:t>
      </w:r>
    </w:p>
    <w:p w14:paraId="764973EC" w14:textId="77777777" w:rsidR="001257F2" w:rsidRPr="00F172E6" w:rsidRDefault="00175884" w:rsidP="00FF650A">
      <w:pPr>
        <w:pStyle w:val="BodyText"/>
        <w:rPr>
          <w:rStyle w:val="DraftingNote"/>
          <w:b w:val="0"/>
          <w:color w:val="auto"/>
          <w:sz w:val="26"/>
          <w:u w:val="none"/>
        </w:rPr>
      </w:pPr>
      <w:r>
        <w:lastRenderedPageBreak/>
        <w:t>D</w:t>
      </w:r>
      <w:r w:rsidR="0018780F">
        <w:t>enying in</w:t>
      </w:r>
      <w:r w:rsidR="00020FAE">
        <w:t xml:space="preserve">junctive relief </w:t>
      </w:r>
      <w:r>
        <w:t xml:space="preserve">when patent infringement has been found to have occurred </w:t>
      </w:r>
      <w:r w:rsidR="009D3DE6">
        <w:t xml:space="preserve">appears to </w:t>
      </w:r>
      <w:r w:rsidR="00D73BCB">
        <w:t xml:space="preserve">be </w:t>
      </w:r>
      <w:r w:rsidR="0018780F">
        <w:t>equivalent to compulsory licensing</w:t>
      </w:r>
      <w:r>
        <w:t xml:space="preserve">. </w:t>
      </w:r>
      <w:r w:rsidR="0018780F">
        <w:t xml:space="preserve">In </w:t>
      </w:r>
      <w:r>
        <w:t xml:space="preserve">a number of recent </w:t>
      </w:r>
      <w:r w:rsidR="0018780F">
        <w:t>cases, t</w:t>
      </w:r>
      <w:r w:rsidR="00020FAE">
        <w:t xml:space="preserve">he relevant court </w:t>
      </w:r>
      <w:r>
        <w:t xml:space="preserve">has </w:t>
      </w:r>
      <w:r w:rsidR="00A0546B">
        <w:t>allow</w:t>
      </w:r>
      <w:r>
        <w:t>ed</w:t>
      </w:r>
      <w:r w:rsidR="00127F14">
        <w:t xml:space="preserve"> use of a</w:t>
      </w:r>
      <w:r>
        <w:t xml:space="preserve"> patent </w:t>
      </w:r>
      <w:r w:rsidR="00AA073F">
        <w:t>without the patent holder’s consent</w:t>
      </w:r>
      <w:r w:rsidR="00127F14">
        <w:t xml:space="preserve"> to continue</w:t>
      </w:r>
      <w:r w:rsidR="00A0546B">
        <w:t>,</w:t>
      </w:r>
      <w:r w:rsidR="00AA073F">
        <w:t xml:space="preserve"> and determine</w:t>
      </w:r>
      <w:r w:rsidR="00CD28BC">
        <w:t xml:space="preserve">d </w:t>
      </w:r>
      <w:r w:rsidR="00127F14">
        <w:t xml:space="preserve">appropriate </w:t>
      </w:r>
      <w:r w:rsidR="00CD28BC">
        <w:t>compensation</w:t>
      </w:r>
      <w:r w:rsidR="00AA073F">
        <w:t>.</w:t>
      </w:r>
      <w:r w:rsidR="0018780F">
        <w:t xml:space="preserve"> Judge Rader </w:t>
      </w:r>
      <w:r w:rsidR="00AB147C">
        <w:br/>
      </w:r>
      <w:r w:rsidR="0018780F">
        <w:t xml:space="preserve">(in </w:t>
      </w:r>
      <w:r w:rsidR="0018780F" w:rsidRPr="0018780F">
        <w:rPr>
          <w:i/>
        </w:rPr>
        <w:t>Paice v Toyota</w:t>
      </w:r>
      <w:r w:rsidR="0018780F">
        <w:t>) noted that ‘calling a compulsory license an “</w:t>
      </w:r>
      <w:r w:rsidR="0018780F" w:rsidRPr="0018780F">
        <w:t>ongoing royalty</w:t>
      </w:r>
      <w:r w:rsidR="0018780F">
        <w:t>”</w:t>
      </w:r>
      <w:r w:rsidR="0018780F" w:rsidRPr="0018780F">
        <w:t xml:space="preserve"> does not make it any less a compulsory license</w:t>
      </w:r>
      <w:r w:rsidR="0018780F">
        <w:t>’</w:t>
      </w:r>
      <w:r w:rsidR="0018780F" w:rsidRPr="0018780F">
        <w:t>.</w:t>
      </w:r>
      <w:r w:rsidR="0018780F">
        <w:t xml:space="preserve"> </w:t>
      </w:r>
      <w:r w:rsidR="00E23702">
        <w:t xml:space="preserve">However, this view is contested. </w:t>
      </w:r>
      <w:r w:rsidR="00FF650A">
        <w:t xml:space="preserve">Key </w:t>
      </w:r>
      <w:r w:rsidR="00020FAE">
        <w:t xml:space="preserve">post-eBay cases are </w:t>
      </w:r>
      <w:r w:rsidR="00F172E6">
        <w:t>discussed in box C.</w:t>
      </w:r>
      <w:r w:rsidR="0084189D">
        <w:t>4.</w:t>
      </w:r>
    </w:p>
    <w:p w14:paraId="7AF1125A" w14:textId="13EE5847" w:rsidR="001275F5" w:rsidRDefault="001275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275F5" w14:paraId="504C085F" w14:textId="77777777">
        <w:tc>
          <w:tcPr>
            <w:tcW w:w="8771" w:type="dxa"/>
            <w:tcBorders>
              <w:top w:val="single" w:sz="6" w:space="0" w:color="auto"/>
              <w:bottom w:val="nil"/>
            </w:tcBorders>
          </w:tcPr>
          <w:p w14:paraId="0D59FD03" w14:textId="77777777" w:rsidR="001275F5" w:rsidRDefault="001275F5" w:rsidP="004F4A04">
            <w:pPr>
              <w:pStyle w:val="BoxTitle"/>
            </w:pPr>
            <w:r>
              <w:rPr>
                <w:b w:val="0"/>
              </w:rPr>
              <w:t xml:space="preserve">Box </w:t>
            </w:r>
            <w:r w:rsidR="0084673B">
              <w:fldChar w:fldCharType="begin"/>
            </w:r>
            <w:r w:rsidR="0084673B">
              <w:instrText xml:space="preserve"> COMMENTS  \* MERGEFORMAT </w:instrText>
            </w:r>
            <w:r w:rsidR="0084673B">
              <w:fldChar w:fldCharType="separate"/>
            </w:r>
            <w:proofErr w:type="spellStart"/>
            <w:r w:rsidR="00384F41" w:rsidRPr="00384F41">
              <w:rPr>
                <w:b w:val="0"/>
              </w:rPr>
              <w:t>C.</w:t>
            </w:r>
            <w:r w:rsidR="0084673B">
              <w:rPr>
                <w:b w:val="0"/>
              </w:rPr>
              <w:fldChar w:fldCharType="end"/>
            </w:r>
            <w:r w:rsidR="0030683C">
              <w:rPr>
                <w:b w:val="0"/>
              </w:rPr>
              <w:fldChar w:fldCharType="begin"/>
            </w:r>
            <w:r>
              <w:rPr>
                <w:b w:val="0"/>
              </w:rPr>
              <w:instrText xml:space="preserve"> SEQ Box \* ARABIC </w:instrText>
            </w:r>
            <w:r w:rsidR="0030683C">
              <w:rPr>
                <w:b w:val="0"/>
              </w:rPr>
              <w:fldChar w:fldCharType="separate"/>
            </w:r>
            <w:r w:rsidR="002A73B1">
              <w:rPr>
                <w:b w:val="0"/>
                <w:noProof/>
              </w:rPr>
              <w:t>4</w:t>
            </w:r>
            <w:proofErr w:type="spellEnd"/>
            <w:r w:rsidR="0030683C">
              <w:rPr>
                <w:b w:val="0"/>
              </w:rPr>
              <w:fldChar w:fldCharType="end"/>
            </w:r>
            <w:r>
              <w:tab/>
            </w:r>
            <w:r w:rsidR="004F4A04">
              <w:t>Denial of injunctive relief in selected post-eBay cases</w:t>
            </w:r>
          </w:p>
        </w:tc>
      </w:tr>
      <w:tr w:rsidR="001275F5" w14:paraId="4E69C339" w14:textId="77777777">
        <w:trPr>
          <w:cantSplit/>
        </w:trPr>
        <w:tc>
          <w:tcPr>
            <w:tcW w:w="8771" w:type="dxa"/>
            <w:tcBorders>
              <w:top w:val="nil"/>
              <w:left w:val="single" w:sz="6" w:space="0" w:color="auto"/>
              <w:bottom w:val="nil"/>
              <w:right w:val="single" w:sz="6" w:space="0" w:color="auto"/>
            </w:tcBorders>
          </w:tcPr>
          <w:p w14:paraId="0FEA0BC4" w14:textId="77777777" w:rsidR="004F4A04" w:rsidRDefault="002822D3" w:rsidP="004F4A04">
            <w:pPr>
              <w:pStyle w:val="Box"/>
            </w:pPr>
            <w:r>
              <w:rPr>
                <w:i/>
              </w:rPr>
              <w:t>z</w:t>
            </w:r>
            <w:r w:rsidR="001275F5" w:rsidRPr="00A27DD4">
              <w:rPr>
                <w:i/>
              </w:rPr>
              <w:t>4 Technologies v Microsoft Corporation</w:t>
            </w:r>
            <w:r w:rsidR="001275F5">
              <w:t xml:space="preserve"> — In 2006, Microsoft was found to have </w:t>
            </w:r>
            <w:r>
              <w:t xml:space="preserve">wilfully </w:t>
            </w:r>
            <w:r w:rsidR="001275F5">
              <w:t xml:space="preserve">infringed </w:t>
            </w:r>
            <w:r>
              <w:t>z</w:t>
            </w:r>
            <w:r w:rsidR="001275F5">
              <w:t>4</w:t>
            </w:r>
            <w:r>
              <w:t>’s patent on product activation software</w:t>
            </w:r>
            <w:r w:rsidR="00BB478D">
              <w:t>.</w:t>
            </w:r>
            <w:r w:rsidR="004F4A04">
              <w:t xml:space="preserve"> T</w:t>
            </w:r>
            <w:r>
              <w:t xml:space="preserve">he court </w:t>
            </w:r>
            <w:r w:rsidR="004F4A04">
              <w:t xml:space="preserve">denied z4 injunctive relief </w:t>
            </w:r>
            <w:r w:rsidR="00983B04">
              <w:t xml:space="preserve">and </w:t>
            </w:r>
            <w:r>
              <w:t>reject</w:t>
            </w:r>
            <w:r w:rsidR="00983B04">
              <w:t>ed</w:t>
            </w:r>
            <w:r w:rsidR="004F4A04">
              <w:t xml:space="preserve"> its argument that its licensing program would be irreparably harmed by ongoing infringement</w:t>
            </w:r>
            <w:r w:rsidR="00983B04">
              <w:t>. The court found z4</w:t>
            </w:r>
            <w:r w:rsidR="004F4A04">
              <w:t xml:space="preserve"> would lose no market share or name recognition because Microsoft did not offer product activation software separate from its own products. </w:t>
            </w:r>
            <w:r w:rsidR="00983B04">
              <w:t xml:space="preserve">It was </w:t>
            </w:r>
            <w:r w:rsidR="004F4A04">
              <w:t>also noted that the infringing feature was a small part of Microsoft’s products and that i</w:t>
            </w:r>
            <w:r w:rsidR="00983B04">
              <w:t>t</w:t>
            </w:r>
            <w:r w:rsidR="004F4A04">
              <w:t xml:space="preserve"> planned to phase out this software. </w:t>
            </w:r>
            <w:r w:rsidR="00B31088">
              <w:t>In weighing up the balance of hardships, the court commented that ‘turning off’ the activation software in Microsoft’s products would flood the market with pirated software and cause Microsoft irreparable harm.</w:t>
            </w:r>
            <w:r w:rsidR="004F4A04">
              <w:t xml:space="preserve"> </w:t>
            </w:r>
          </w:p>
          <w:p w14:paraId="20D21D38" w14:textId="77777777" w:rsidR="004F4A04" w:rsidRDefault="001275F5" w:rsidP="001275F5">
            <w:pPr>
              <w:pStyle w:val="Box"/>
            </w:pPr>
            <w:r w:rsidRPr="00A27DD4">
              <w:rPr>
                <w:i/>
              </w:rPr>
              <w:t>Paice v Toyota</w:t>
            </w:r>
            <w:r>
              <w:t xml:space="preserve"> — In 2006, Toyota was found to have infringed </w:t>
            </w:r>
            <w:r w:rsidR="004F4A04">
              <w:t xml:space="preserve">Paice’s </w:t>
            </w:r>
            <w:r>
              <w:t xml:space="preserve">patent </w:t>
            </w:r>
            <w:r w:rsidR="004F4A04">
              <w:t xml:space="preserve">on drive train technology for hybrid electric vehicles. The court denied injunctive relief and found that Paice has not suffered irreparable harm since it did not compete for market share with these vehicles. The court also found that Paice’s problems licensing its technology were not due to Toyota’s infringement.   </w:t>
            </w:r>
          </w:p>
          <w:p w14:paraId="37B7BDF8" w14:textId="77777777" w:rsidR="00610E87" w:rsidRDefault="009546AC" w:rsidP="00EB52FE">
            <w:pPr>
              <w:pStyle w:val="Box"/>
            </w:pPr>
            <w:r w:rsidRPr="00EB52FE">
              <w:rPr>
                <w:i/>
              </w:rPr>
              <w:t>Telcordia v Cisco Systems</w:t>
            </w:r>
            <w:r>
              <w:t xml:space="preserve"> — In 2009, Telcordia, a telecommunication research and development company, argued that it would suffer irreparable harm if Cisco Systems continued to infringe its patent. The </w:t>
            </w:r>
            <w:r w:rsidR="00EB52FE">
              <w:t>c</w:t>
            </w:r>
            <w:r>
              <w:t>ourt found that Cisco had wilful</w:t>
            </w:r>
            <w:r w:rsidR="00E95889">
              <w:t>ly</w:t>
            </w:r>
            <w:r>
              <w:t xml:space="preserve"> infringed Telcordia’s patents but denied injunctive relief</w:t>
            </w:r>
            <w:r w:rsidR="00E95889">
              <w:t>,</w:t>
            </w:r>
            <w:r>
              <w:t xml:space="preserve"> noting that Telcordia’s ‘lifeblood’ was its ability to enforce its patents. </w:t>
            </w:r>
          </w:p>
          <w:p w14:paraId="1EFF97A8" w14:textId="77777777" w:rsidR="00CD28BC" w:rsidRDefault="00CD28BC" w:rsidP="00CD28BC">
            <w:pPr>
              <w:pStyle w:val="Box"/>
            </w:pPr>
            <w:r>
              <w:t>In each of these three cases the defendants were allowed to continue using relevant patents, subject to paying compensation.</w:t>
            </w:r>
          </w:p>
        </w:tc>
      </w:tr>
      <w:tr w:rsidR="001275F5" w14:paraId="449A5AAF" w14:textId="77777777">
        <w:trPr>
          <w:cantSplit/>
        </w:trPr>
        <w:tc>
          <w:tcPr>
            <w:tcW w:w="8771" w:type="dxa"/>
            <w:tcBorders>
              <w:top w:val="nil"/>
              <w:left w:val="single" w:sz="6" w:space="0" w:color="auto"/>
              <w:bottom w:val="nil"/>
              <w:right w:val="single" w:sz="6" w:space="0" w:color="auto"/>
            </w:tcBorders>
          </w:tcPr>
          <w:p w14:paraId="4A734E94" w14:textId="77777777" w:rsidR="001275F5" w:rsidRDefault="00BB478D" w:rsidP="00BB478D">
            <w:pPr>
              <w:pStyle w:val="BoxSource"/>
            </w:pPr>
            <w:r>
              <w:rPr>
                <w:i/>
              </w:rPr>
              <w:t>Source</w:t>
            </w:r>
            <w:r w:rsidR="001275F5" w:rsidRPr="00167F06">
              <w:t xml:space="preserve">: </w:t>
            </w:r>
            <w:r>
              <w:t xml:space="preserve">FTC </w:t>
            </w:r>
            <w:r w:rsidR="000E60DF">
              <w:t>(</w:t>
            </w:r>
            <w:r>
              <w:t>2011</w:t>
            </w:r>
            <w:r w:rsidR="000E60DF">
              <w:t>)</w:t>
            </w:r>
            <w:r w:rsidR="001275F5">
              <w:t>.</w:t>
            </w:r>
          </w:p>
        </w:tc>
      </w:tr>
      <w:tr w:rsidR="001275F5" w14:paraId="3B0E58D6" w14:textId="77777777">
        <w:trPr>
          <w:cantSplit/>
        </w:trPr>
        <w:tc>
          <w:tcPr>
            <w:tcW w:w="8771" w:type="dxa"/>
            <w:tcBorders>
              <w:top w:val="nil"/>
              <w:left w:val="single" w:sz="6" w:space="0" w:color="auto"/>
              <w:bottom w:val="single" w:sz="6" w:space="0" w:color="auto"/>
              <w:right w:val="single" w:sz="6" w:space="0" w:color="auto"/>
            </w:tcBorders>
          </w:tcPr>
          <w:p w14:paraId="7095BA06" w14:textId="77777777" w:rsidR="001275F5" w:rsidRDefault="001275F5">
            <w:pPr>
              <w:pStyle w:val="Box"/>
              <w:spacing w:before="0" w:line="120" w:lineRule="exact"/>
            </w:pPr>
          </w:p>
        </w:tc>
      </w:tr>
      <w:tr w:rsidR="001275F5" w:rsidRPr="000863A5" w14:paraId="44690797" w14:textId="77777777">
        <w:tc>
          <w:tcPr>
            <w:tcW w:w="8771" w:type="dxa"/>
            <w:tcBorders>
              <w:top w:val="nil"/>
              <w:left w:val="nil"/>
              <w:bottom w:val="nil"/>
              <w:right w:val="nil"/>
            </w:tcBorders>
          </w:tcPr>
          <w:p w14:paraId="3072EFDF" w14:textId="2F7448C9" w:rsidR="001275F5" w:rsidRPr="000863A5" w:rsidRDefault="001275F5" w:rsidP="001275F5">
            <w:pPr>
              <w:pStyle w:val="Box"/>
              <w:keepNext w:val="0"/>
              <w:spacing w:before="60" w:after="60" w:line="80" w:lineRule="exact"/>
              <w:rPr>
                <w:b/>
                <w:sz w:val="14"/>
              </w:rPr>
            </w:pPr>
          </w:p>
        </w:tc>
      </w:tr>
    </w:tbl>
    <w:p w14:paraId="0C5513EF" w14:textId="77777777" w:rsidR="00B01484" w:rsidRDefault="00B01484" w:rsidP="00B01484">
      <w:pPr>
        <w:pStyle w:val="BodyText"/>
      </w:pPr>
      <w:r>
        <w:t xml:space="preserve">For some, these cases highlighted their concerns about the effects of non-practising entities (so-called patent trolls). In his report </w:t>
      </w:r>
      <w:r w:rsidR="00D4699F">
        <w:t>in</w:t>
      </w:r>
      <w:r>
        <w:t xml:space="preserve"> </w:t>
      </w:r>
      <w:r w:rsidR="00D4699F" w:rsidRPr="00D4699F">
        <w:rPr>
          <w:i/>
        </w:rPr>
        <w:t>eBay v Merc</w:t>
      </w:r>
      <w:r w:rsidR="00D4699F">
        <w:rPr>
          <w:i/>
        </w:rPr>
        <w:t>E</w:t>
      </w:r>
      <w:r w:rsidR="00D4699F" w:rsidRPr="00D4699F">
        <w:rPr>
          <w:i/>
        </w:rPr>
        <w:t>xchange</w:t>
      </w:r>
      <w:r w:rsidR="00D4699F">
        <w:rPr>
          <w:i/>
        </w:rPr>
        <w:t xml:space="preserve"> L.L.C.</w:t>
      </w:r>
      <w:r>
        <w:t>, Justice Kennedy drew a distinction between cases where the patent holder does not practise the invention and cases where he or she actually uses the invention</w:t>
      </w:r>
      <w:r w:rsidR="00D4699F">
        <w:t>. Justice Kennedy</w:t>
      </w:r>
      <w:r>
        <w:t xml:space="preserve"> noted:</w:t>
      </w:r>
    </w:p>
    <w:p w14:paraId="36EA76C4" w14:textId="2303D453" w:rsidR="00B01484" w:rsidRDefault="00B01484" w:rsidP="00B01484">
      <w:pPr>
        <w:pStyle w:val="Quote"/>
      </w:pPr>
      <w:r w:rsidRPr="00A53FF6">
        <w:t>An industry has developed in which firms use patents not as a basis for producing and selling goods but, instead, primarily for obtaining licensing fees.</w:t>
      </w:r>
      <w:r w:rsidR="00F35C4C">
        <w:t> </w:t>
      </w:r>
      <w:r w:rsidRPr="00A53FF6">
        <w:t>...</w:t>
      </w:r>
      <w:r w:rsidR="00F35C4C">
        <w:t> </w:t>
      </w:r>
      <w:r w:rsidRPr="00A53FF6">
        <w:t xml:space="preserve">For these firms, an injunction, and the potentially serious sanctions arising from its violation, can be </w:t>
      </w:r>
      <w:r w:rsidRPr="00A53FF6">
        <w:lastRenderedPageBreak/>
        <w:t>employed as a bargaining tool to charge exorbitant fees to companies that seek to buy licenses to practice the patent</w:t>
      </w:r>
      <w:r>
        <w:t xml:space="preserve"> (Supreme Court of the United States 2006, p. 2)</w:t>
      </w:r>
      <w:r w:rsidRPr="00A53FF6">
        <w:t xml:space="preserve">. </w:t>
      </w:r>
    </w:p>
    <w:p w14:paraId="5BDB06DB" w14:textId="77777777" w:rsidR="00AB21E2" w:rsidRPr="00AB21E2" w:rsidRDefault="00AB21E2" w:rsidP="00AB21E2">
      <w:pPr>
        <w:pStyle w:val="BodyText"/>
      </w:pPr>
      <w:r>
        <w:t xml:space="preserve">Injunctive relief has also been denied in a number of standard essential patents cases where patent infringement was found to have occurred. A standard essential patent is a patent on an invention that is required to practise an industry standard. Owners of these patents are often required to license their patent on fair, reasonable and non-discriminatory terms (FRAND) terms. In a number of patent infringement cases, courts have found infringement, but denied injunctive relief because the infringer had been prepared to license the patent on FRAND terms but had been denied by the patent holder. Standard essential patents are discussed </w:t>
      </w:r>
      <w:r w:rsidR="00C87593">
        <w:t xml:space="preserve">further </w:t>
      </w:r>
      <w:r>
        <w:t xml:space="preserve">in chapter 5. </w:t>
      </w:r>
    </w:p>
    <w:p w14:paraId="7CA2EE99" w14:textId="77777777" w:rsidR="00F172E6" w:rsidRDefault="00F172E6" w:rsidP="00F172E6">
      <w:pPr>
        <w:pStyle w:val="Heading5"/>
      </w:pPr>
      <w:r>
        <w:t>March-in rights</w:t>
      </w:r>
    </w:p>
    <w:p w14:paraId="11A86B21" w14:textId="69DACBAB" w:rsidR="009E732B" w:rsidRDefault="00F172E6" w:rsidP="009E732B">
      <w:pPr>
        <w:pStyle w:val="BodyText"/>
      </w:pPr>
      <w:r>
        <w:t xml:space="preserve">As discussed above, march-in rights equivalent to compulsory licensing are available under the Bayh-Dole Act. </w:t>
      </w:r>
      <w:r w:rsidR="009C0CC3">
        <w:t>Prior to 2012, t</w:t>
      </w:r>
      <w:r w:rsidR="009E732B">
        <w:t>here ha</w:t>
      </w:r>
      <w:r w:rsidR="009C0CC3">
        <w:t>d</w:t>
      </w:r>
      <w:r w:rsidR="009E732B">
        <w:t xml:space="preserve"> been four requests to the National Institutes of Health</w:t>
      </w:r>
      <w:r w:rsidR="009C0CC3">
        <w:t xml:space="preserve"> (NIH)</w:t>
      </w:r>
      <w:r w:rsidR="009E732B">
        <w:t xml:space="preserve"> for the Government to use march-in rights. All requests </w:t>
      </w:r>
      <w:r w:rsidR="009C0CC3">
        <w:t>were</w:t>
      </w:r>
      <w:r w:rsidR="009E732B">
        <w:t xml:space="preserve"> denied</w:t>
      </w:r>
      <w:r>
        <w:t>.</w:t>
      </w:r>
      <w:r w:rsidR="009E732B">
        <w:t xml:space="preserve"> </w:t>
      </w:r>
      <w:r w:rsidR="009C0CC3">
        <w:t xml:space="preserve">On 25 October 2012, the American Medical Students Association, Knowledge Ecology International, </w:t>
      </w:r>
      <w:r w:rsidR="000D250A">
        <w:t xml:space="preserve">the </w:t>
      </w:r>
      <w:r w:rsidR="009C0CC3">
        <w:t>U.S. Public Interest Research Group and the Universities Allied for Essential Medicine</w:t>
      </w:r>
      <w:r w:rsidR="00686A66">
        <w:t>,</w:t>
      </w:r>
      <w:r w:rsidR="009C0CC3">
        <w:t xml:space="preserve"> requested that the NIH use march-in rights for patented AIDS medication</w:t>
      </w:r>
      <w:r w:rsidR="00E95889">
        <w:t>. This was</w:t>
      </w:r>
      <w:r w:rsidR="009C0CC3">
        <w:t xml:space="preserve"> on the grounds that the </w:t>
      </w:r>
      <w:r w:rsidR="00927E03">
        <w:t xml:space="preserve">patent was developed using federal funding </w:t>
      </w:r>
      <w:r w:rsidR="009C0CC3">
        <w:t xml:space="preserve">and </w:t>
      </w:r>
      <w:r w:rsidR="00927E03">
        <w:t xml:space="preserve">the medication </w:t>
      </w:r>
      <w:r w:rsidR="009C0CC3">
        <w:t>is more expensive in the United States than in other developed countries. At the time of writing the NIH had not responded to th</w:t>
      </w:r>
      <w:r w:rsidR="00FF0342">
        <w:t>is</w:t>
      </w:r>
      <w:r w:rsidR="009C0CC3">
        <w:t xml:space="preserve"> request</w:t>
      </w:r>
      <w:r w:rsidR="00EA267C">
        <w:t xml:space="preserve"> (KEI 2012)</w:t>
      </w:r>
      <w:r w:rsidR="009C0CC3">
        <w:t>.</w:t>
      </w:r>
    </w:p>
    <w:p w14:paraId="05229B19" w14:textId="77777777" w:rsidR="005320C1" w:rsidRDefault="00F12C3B" w:rsidP="005320C1">
      <w:pPr>
        <w:pStyle w:val="Heading4"/>
      </w:pPr>
      <w:r>
        <w:t xml:space="preserve">Use in </w:t>
      </w:r>
      <w:r w:rsidR="005320C1">
        <w:t>Canada</w:t>
      </w:r>
    </w:p>
    <w:p w14:paraId="1BA4B3D9" w14:textId="77777777" w:rsidR="000E60DF" w:rsidRDefault="005A23BE" w:rsidP="00175884">
      <w:pPr>
        <w:pStyle w:val="BodyText"/>
      </w:pPr>
      <w:r w:rsidRPr="00581642">
        <w:t>Prior to 1992, Canad</w:t>
      </w:r>
      <w:r>
        <w:t>ian law imposed</w:t>
      </w:r>
      <w:r w:rsidRPr="00581642">
        <w:t xml:space="preserve"> a </w:t>
      </w:r>
      <w:r>
        <w:t>non-voluntary licence of right</w:t>
      </w:r>
      <w:r w:rsidR="003C647C">
        <w:t xml:space="preserve"> (LOR)</w:t>
      </w:r>
      <w:r>
        <w:t xml:space="preserve">, equivalent to compulsory licensing, on all </w:t>
      </w:r>
      <w:r w:rsidRPr="00581642">
        <w:t xml:space="preserve">patented pharmaceutical products </w:t>
      </w:r>
      <w:r>
        <w:t xml:space="preserve">marketed in Canada. This scheme also covered food. Under this scheme, generic pharmaceutical manufacturers could produce and market patented medicines in return for paying a royalty, which the Commissioner of Patents typically set at </w:t>
      </w:r>
      <w:r w:rsidR="00175884">
        <w:br/>
      </w:r>
      <w:r>
        <w:t>4</w:t>
      </w:r>
      <w:r w:rsidR="00175884">
        <w:t> </w:t>
      </w:r>
      <w:r>
        <w:t>per</w:t>
      </w:r>
      <w:r w:rsidR="00175884">
        <w:t> </w:t>
      </w:r>
      <w:r>
        <w:t>cent</w:t>
      </w:r>
      <w:r w:rsidR="003C647C">
        <w:t xml:space="preserve"> </w:t>
      </w:r>
      <w:r w:rsidR="00EB4E2B">
        <w:t xml:space="preserve">of revenue </w:t>
      </w:r>
      <w:r w:rsidR="003C647C">
        <w:t>(</w:t>
      </w:r>
      <w:r w:rsidR="00D84FE3">
        <w:t>Reichman 2010</w:t>
      </w:r>
      <w:r w:rsidR="003C647C">
        <w:t>)</w:t>
      </w:r>
      <w:r>
        <w:t xml:space="preserve">. </w:t>
      </w:r>
      <w:r w:rsidR="005320C1">
        <w:t>Reichman (2003) noted th</w:t>
      </w:r>
      <w:r w:rsidR="00BD2D11">
        <w:t xml:space="preserve">at this scheme </w:t>
      </w:r>
      <w:r w:rsidR="005320C1">
        <w:t>was ‘instrumental in the establishment of a generic medicine industry’ (p. 4)</w:t>
      </w:r>
      <w:r w:rsidR="001425BB">
        <w:t xml:space="preserve"> and led to some of the lowest pharmaceutical prices among developed countries</w:t>
      </w:r>
      <w:r w:rsidR="005320C1">
        <w:t>.</w:t>
      </w:r>
      <w:r w:rsidR="001425BB">
        <w:t xml:space="preserve"> From 1969 to 1992, 613 </w:t>
      </w:r>
      <w:r w:rsidR="00175884">
        <w:t xml:space="preserve">compulsory </w:t>
      </w:r>
      <w:r w:rsidR="001425BB">
        <w:t xml:space="preserve">licences were granted to manufacture or import pharmaceuticals under </w:t>
      </w:r>
      <w:r w:rsidR="00175884">
        <w:t>this scheme (Reichman 2003)</w:t>
      </w:r>
      <w:r w:rsidR="001425BB">
        <w:t xml:space="preserve">. </w:t>
      </w:r>
    </w:p>
    <w:p w14:paraId="1894544A" w14:textId="28FE04A8" w:rsidR="00175884" w:rsidRDefault="00175884" w:rsidP="00175884">
      <w:pPr>
        <w:pStyle w:val="BodyText"/>
      </w:pPr>
      <w:r>
        <w:t xml:space="preserve">From 1965 to the present, there were 56 unique applications for a compulsory licence in Canada on the ground of patent abuse. Ten of these applications were </w:t>
      </w:r>
      <w:r>
        <w:lastRenderedPageBreak/>
        <w:t>granted. Most applications were in the 1970s or 1980s. All but one application was for</w:t>
      </w:r>
      <w:r w:rsidR="00874BD9">
        <w:t xml:space="preserve"> a</w:t>
      </w:r>
      <w:r>
        <w:t xml:space="preserve"> mechanical or chemical invention (C</w:t>
      </w:r>
      <w:r w:rsidR="00774193">
        <w:t>IPO</w:t>
      </w:r>
      <w:r>
        <w:t>, pers. comm.</w:t>
      </w:r>
      <w:r w:rsidR="004C468F">
        <w:t>, 6</w:t>
      </w:r>
      <w:r w:rsidR="00DC374B">
        <w:t> </w:t>
      </w:r>
      <w:r w:rsidR="004C468F">
        <w:t>November</w:t>
      </w:r>
      <w:r w:rsidR="00DC374B">
        <w:t> </w:t>
      </w:r>
      <w:r w:rsidR="004C468F">
        <w:t>2012</w:t>
      </w:r>
      <w:r>
        <w:t xml:space="preserve">). </w:t>
      </w:r>
    </w:p>
    <w:p w14:paraId="0D72672A" w14:textId="77777777" w:rsidR="000A7C76" w:rsidRDefault="003C647C" w:rsidP="00E86D99">
      <w:pPr>
        <w:pStyle w:val="BodyText"/>
      </w:pPr>
      <w:r>
        <w:t>According to Reichman</w:t>
      </w:r>
      <w:r w:rsidR="004D6E78">
        <w:t xml:space="preserve"> </w:t>
      </w:r>
      <w:r>
        <w:t xml:space="preserve">(2010), critics argued that, although it helped to establish the generics industry, the Canadian LOR </w:t>
      </w:r>
      <w:r w:rsidR="00175884">
        <w:t xml:space="preserve">scheme </w:t>
      </w:r>
      <w:r>
        <w:t xml:space="preserve">discouraged the establishment of a research-based sector. In the early 1990s, the US Government pressed the Canadian Government to abandon its LOR scheme in exchange for US producers contributing a share of their profits to support medical research in Canada. The Canadian LOR </w:t>
      </w:r>
      <w:r w:rsidR="00C72081">
        <w:t>scheme</w:t>
      </w:r>
      <w:r>
        <w:t xml:space="preserve"> was later prohibited by the North American Free Trade Agreement (Reichman</w:t>
      </w:r>
      <w:r w:rsidR="004D6E78">
        <w:t xml:space="preserve"> </w:t>
      </w:r>
      <w:r>
        <w:t>2010).</w:t>
      </w:r>
    </w:p>
    <w:p w14:paraId="78EC6649" w14:textId="5EA53E56" w:rsidR="002076F8" w:rsidRDefault="002076F8" w:rsidP="00E86D99">
      <w:pPr>
        <w:pStyle w:val="BodyText"/>
      </w:pPr>
      <w:r>
        <w:t xml:space="preserve">Compulsory licensing has been </w:t>
      </w:r>
      <w:r w:rsidR="00A630DB">
        <w:t xml:space="preserve">less common in </w:t>
      </w:r>
      <w:r w:rsidR="00BD2D11">
        <w:t>the past two</w:t>
      </w:r>
      <w:r w:rsidR="00A630DB">
        <w:t xml:space="preserve"> decades in Canada</w:t>
      </w:r>
      <w:r w:rsidR="00BD2D11">
        <w:t>,</w:t>
      </w:r>
      <w:r w:rsidR="00A630DB">
        <w:t xml:space="preserve"> but has been used</w:t>
      </w:r>
      <w:r w:rsidR="00BD2D11">
        <w:t xml:space="preserve"> in a small number of cases</w:t>
      </w:r>
      <w:r w:rsidR="00C9404A">
        <w:t>.</w:t>
      </w:r>
    </w:p>
    <w:p w14:paraId="201CE8EC" w14:textId="3B84FCC6" w:rsidR="002076F8" w:rsidRDefault="002076F8" w:rsidP="002076F8">
      <w:pPr>
        <w:pStyle w:val="ListBullet"/>
      </w:pPr>
      <w:r>
        <w:t>In 2001, Health Canada overrode Bayer’s patent on ciprofloxacin, an anthrax treatment, and authorised production of a generic</w:t>
      </w:r>
      <w:r w:rsidR="00055010">
        <w:t xml:space="preserve"> equivalent</w:t>
      </w:r>
      <w:r>
        <w:t>. In response, Bayer offered to donate 200</w:t>
      </w:r>
      <w:r w:rsidR="004D6E78">
        <w:t xml:space="preserve"> </w:t>
      </w:r>
      <w:r>
        <w:t xml:space="preserve">000 tablets to </w:t>
      </w:r>
      <w:r w:rsidR="00A630DB">
        <w:t>f</w:t>
      </w:r>
      <w:r>
        <w:t xml:space="preserve">rontline Canadian Government workers.   </w:t>
      </w:r>
    </w:p>
    <w:p w14:paraId="10205684" w14:textId="77777777" w:rsidR="002076F8" w:rsidRDefault="002076F8" w:rsidP="002076F8">
      <w:pPr>
        <w:pStyle w:val="ListBullet"/>
      </w:pPr>
      <w:r>
        <w:t xml:space="preserve">In 2007, Canadian company Apotex was awarded a compulsory licence to make an AIDS medication, </w:t>
      </w:r>
      <w:r w:rsidRPr="005F0EDD">
        <w:rPr>
          <w:i/>
        </w:rPr>
        <w:t>TriAvir</w:t>
      </w:r>
      <w:r>
        <w:t>, in Canada for export to Rwanda. In addition, a small number of such requests made in Canada have been denied. At the time of writing, only one compulsory licence had been issued worldwide for export of pharmaceuticals to developing countries.</w:t>
      </w:r>
    </w:p>
    <w:p w14:paraId="43A3C2F2" w14:textId="77777777" w:rsidR="003728CC" w:rsidRDefault="003728CC" w:rsidP="003728CC">
      <w:pPr>
        <w:pStyle w:val="BodyText"/>
      </w:pPr>
      <w:r>
        <w:t xml:space="preserve">Licensing of IP has been used as a remedy in merger review cases in Canada. For example, the Canadian Competition </w:t>
      </w:r>
      <w:r w:rsidR="00862EAB">
        <w:t>Bureau issued a consent order for Bayer’s acquisition of Aventis Crop Science which required Bayer to divest certain assets and grant an irrevocable and non-exclusive licence of certain IP relating primarily to its canola seed treatmen</w:t>
      </w:r>
      <w:r w:rsidR="00D41159">
        <w:t xml:space="preserve">t business (Competition Bureau </w:t>
      </w:r>
      <w:r w:rsidR="00862EAB">
        <w:t xml:space="preserve">Canada 2006). </w:t>
      </w:r>
    </w:p>
    <w:p w14:paraId="7C7A9234" w14:textId="77777777" w:rsidR="006C450B" w:rsidRDefault="006C450B" w:rsidP="006C450B">
      <w:pPr>
        <w:pStyle w:val="Heading4"/>
      </w:pPr>
      <w:r>
        <w:t xml:space="preserve">Use </w:t>
      </w:r>
      <w:r w:rsidR="00F12C3B">
        <w:t>in</w:t>
      </w:r>
      <w:r>
        <w:t xml:space="preserve"> Asia </w:t>
      </w:r>
    </w:p>
    <w:p w14:paraId="0547E25C" w14:textId="4BD1F89C" w:rsidR="006C450B" w:rsidRDefault="006C450B" w:rsidP="006C450B">
      <w:pPr>
        <w:pStyle w:val="BodyText"/>
      </w:pPr>
      <w:r>
        <w:t xml:space="preserve">Compulsory licensing </w:t>
      </w:r>
      <w:r w:rsidR="00C72081">
        <w:t xml:space="preserve">of patents </w:t>
      </w:r>
      <w:r>
        <w:t xml:space="preserve">has </w:t>
      </w:r>
      <w:r w:rsidR="00C72081">
        <w:t xml:space="preserve">occurred </w:t>
      </w:r>
      <w:r>
        <w:t>infrequently in Asia</w:t>
      </w:r>
      <w:r w:rsidR="00397800">
        <w:t>. It has not been used in Japan</w:t>
      </w:r>
      <w:r w:rsidR="00CC111A">
        <w:t xml:space="preserve"> </w:t>
      </w:r>
      <w:r>
        <w:t xml:space="preserve">and has not been used in the past 20 years in Korea. However, there have been a small number of applications in recent years in Korea, which have </w:t>
      </w:r>
      <w:r w:rsidR="00175884">
        <w:t xml:space="preserve">all </w:t>
      </w:r>
      <w:r>
        <w:t xml:space="preserve">been rejected. No compulsory licence has yet been granted in China. However, there have been significant changes to Chinese patent law in recent years, including to compulsory licensing provisions. There has been speculation that China will soon use these provisions, especially after recent comments by a Chinese Government spokesperson that if China were to grant compulsory licences it would likely start with pharmaceutical patents (cited in Ma 2011). </w:t>
      </w:r>
      <w:r w:rsidR="00D14D58">
        <w:t>No compulsory licences have been applied for in recent years in New Zealand (Ministry of Business, Innovation &amp; Employment, pers. comm.</w:t>
      </w:r>
      <w:r w:rsidR="004C468F">
        <w:t>, 21</w:t>
      </w:r>
      <w:r w:rsidR="00E95889">
        <w:t> </w:t>
      </w:r>
      <w:r w:rsidR="004C468F">
        <w:t>November</w:t>
      </w:r>
      <w:r w:rsidR="00E95889">
        <w:t> </w:t>
      </w:r>
      <w:r w:rsidR="004C468F">
        <w:t>2012</w:t>
      </w:r>
      <w:r w:rsidR="00D14D58">
        <w:t>).</w:t>
      </w:r>
    </w:p>
    <w:p w14:paraId="31C39480" w14:textId="77E2040E" w:rsidR="006C450B" w:rsidRDefault="006C450B" w:rsidP="006C450B">
      <w:pPr>
        <w:pStyle w:val="BodyText"/>
      </w:pPr>
      <w:r>
        <w:lastRenderedPageBreak/>
        <w:t xml:space="preserve">There has been one instance of compulsory licensing in Malaysia in the past decade. In 2004, the Malaysian Government issued a compulsory licence </w:t>
      </w:r>
      <w:r w:rsidR="0029591D">
        <w:t xml:space="preserve">to an Indian firm </w:t>
      </w:r>
      <w:r>
        <w:t>for</w:t>
      </w:r>
      <w:r w:rsidR="0029591D">
        <w:t xml:space="preserve"> the supply of</w:t>
      </w:r>
      <w:r>
        <w:t xml:space="preserve"> </w:t>
      </w:r>
      <w:r w:rsidR="0029591D">
        <w:t xml:space="preserve">patented </w:t>
      </w:r>
      <w:r>
        <w:t>HIV/AIDS medication</w:t>
      </w:r>
      <w:r w:rsidR="00A9755C">
        <w:t xml:space="preserve"> (Feldman</w:t>
      </w:r>
      <w:r w:rsidR="00EC1DA0">
        <w:t> </w:t>
      </w:r>
      <w:r w:rsidR="00A9755C">
        <w:t>2009</w:t>
      </w:r>
      <w:r w:rsidR="00EC1DA0">
        <w:t>, p. 150</w:t>
      </w:r>
      <w:r w:rsidR="00A9755C">
        <w:t>)</w:t>
      </w:r>
      <w:r>
        <w:t xml:space="preserve">. </w:t>
      </w:r>
    </w:p>
    <w:p w14:paraId="3724CB5E" w14:textId="77777777" w:rsidR="002076F8" w:rsidRDefault="002076F8" w:rsidP="002076F8">
      <w:pPr>
        <w:pStyle w:val="Heading4"/>
      </w:pPr>
      <w:r>
        <w:t>Use in Europe</w:t>
      </w:r>
    </w:p>
    <w:p w14:paraId="199A98F6" w14:textId="5842D40C" w:rsidR="00F172E6" w:rsidRPr="002B681B" w:rsidRDefault="00F172E6" w:rsidP="002B681B">
      <w:pPr>
        <w:pStyle w:val="BodyText"/>
      </w:pPr>
      <w:r w:rsidRPr="002B681B">
        <w:rPr>
          <w:rStyle w:val="DraftingNote"/>
          <w:b w:val="0"/>
          <w:color w:val="auto"/>
          <w:sz w:val="26"/>
          <w:u w:val="none"/>
        </w:rPr>
        <w:t xml:space="preserve">Compulsory licensing </w:t>
      </w:r>
      <w:r w:rsidR="00C72081">
        <w:rPr>
          <w:rStyle w:val="DraftingNote"/>
          <w:b w:val="0"/>
          <w:color w:val="auto"/>
          <w:sz w:val="26"/>
          <w:u w:val="none"/>
        </w:rPr>
        <w:t xml:space="preserve">of patents </w:t>
      </w:r>
      <w:r w:rsidRPr="002B681B">
        <w:rPr>
          <w:rStyle w:val="DraftingNote"/>
          <w:b w:val="0"/>
          <w:color w:val="auto"/>
          <w:sz w:val="26"/>
          <w:u w:val="none"/>
        </w:rPr>
        <w:t xml:space="preserve">appears to have </w:t>
      </w:r>
      <w:r w:rsidR="00C72081">
        <w:rPr>
          <w:rStyle w:val="DraftingNote"/>
          <w:b w:val="0"/>
          <w:color w:val="auto"/>
          <w:sz w:val="26"/>
          <w:u w:val="none"/>
        </w:rPr>
        <w:t xml:space="preserve">occurred </w:t>
      </w:r>
      <w:r w:rsidRPr="002B681B">
        <w:rPr>
          <w:rStyle w:val="DraftingNote"/>
          <w:b w:val="0"/>
          <w:color w:val="auto"/>
          <w:sz w:val="26"/>
          <w:u w:val="none"/>
        </w:rPr>
        <w:t xml:space="preserve">rarely in Europe </w:t>
      </w:r>
      <w:r w:rsidR="002B681B">
        <w:rPr>
          <w:rStyle w:val="DraftingNote"/>
          <w:b w:val="0"/>
          <w:color w:val="auto"/>
          <w:sz w:val="26"/>
          <w:u w:val="none"/>
        </w:rPr>
        <w:t xml:space="preserve">in recent years. </w:t>
      </w:r>
      <w:r w:rsidR="001A017F">
        <w:rPr>
          <w:rStyle w:val="DraftingNote"/>
          <w:b w:val="0"/>
          <w:color w:val="auto"/>
          <w:sz w:val="26"/>
          <w:u w:val="none"/>
        </w:rPr>
        <w:t xml:space="preserve">Italy appears to have been </w:t>
      </w:r>
      <w:r w:rsidR="00055010">
        <w:rPr>
          <w:rStyle w:val="DraftingNote"/>
          <w:b w:val="0"/>
          <w:color w:val="auto"/>
          <w:sz w:val="26"/>
          <w:u w:val="none"/>
        </w:rPr>
        <w:t xml:space="preserve">the </w:t>
      </w:r>
      <w:r w:rsidR="001A017F">
        <w:rPr>
          <w:rStyle w:val="DraftingNote"/>
          <w:b w:val="0"/>
          <w:color w:val="auto"/>
          <w:sz w:val="26"/>
          <w:u w:val="none"/>
        </w:rPr>
        <w:t>most active</w:t>
      </w:r>
      <w:r w:rsidR="00055010">
        <w:rPr>
          <w:rStyle w:val="DraftingNote"/>
          <w:b w:val="0"/>
          <w:color w:val="auto"/>
          <w:sz w:val="26"/>
          <w:u w:val="none"/>
        </w:rPr>
        <w:t xml:space="preserve"> country</w:t>
      </w:r>
      <w:r w:rsidR="00C9404A">
        <w:rPr>
          <w:rStyle w:val="DraftingNote"/>
          <w:b w:val="0"/>
          <w:color w:val="auto"/>
          <w:sz w:val="26"/>
          <w:u w:val="none"/>
        </w:rPr>
        <w:t>.</w:t>
      </w:r>
      <w:r w:rsidR="002B681B">
        <w:rPr>
          <w:rStyle w:val="DraftingNote"/>
          <w:b w:val="0"/>
          <w:color w:val="auto"/>
          <w:sz w:val="26"/>
          <w:u w:val="none"/>
        </w:rPr>
        <w:t xml:space="preserve"> </w:t>
      </w:r>
    </w:p>
    <w:p w14:paraId="5AEAD79A" w14:textId="514E0736" w:rsidR="00D55D18" w:rsidRDefault="00D55D18" w:rsidP="00D55D18">
      <w:pPr>
        <w:pStyle w:val="ListBullet"/>
      </w:pPr>
      <w:r>
        <w:t xml:space="preserve">In 2006, the Italian Competition Authority (AGCM) closed its investigation into GlaxoSmithKline’s </w:t>
      </w:r>
      <w:r w:rsidR="001A017F">
        <w:t xml:space="preserve">(GSK) </w:t>
      </w:r>
      <w:r>
        <w:t xml:space="preserve">refusal to license patents over the active ingredients for migraine medicines to Fabbrica Italiana Sintetici (FIS). In its press release </w:t>
      </w:r>
      <w:r w:rsidR="00055010">
        <w:t xml:space="preserve">the </w:t>
      </w:r>
      <w:r>
        <w:t>AGCM noted that G</w:t>
      </w:r>
      <w:r w:rsidR="001A017F">
        <w:t xml:space="preserve">SK had agreed to license </w:t>
      </w:r>
      <w:r w:rsidR="00E95889">
        <w:t xml:space="preserve">to </w:t>
      </w:r>
      <w:r w:rsidR="001A017F">
        <w:t>FIS on terms and conditions that remedied the earlier refusal to license. Those conditions included granting a number of additional licences which would save FIS time in developing an efficient manufacturing process for the active ingredient</w:t>
      </w:r>
      <w:r w:rsidR="006316E2">
        <w:t xml:space="preserve"> (AGCM 2006).</w:t>
      </w:r>
    </w:p>
    <w:p w14:paraId="7E5E1EA9" w14:textId="77777777" w:rsidR="00D55D18" w:rsidRDefault="002076F8" w:rsidP="002076F8">
      <w:pPr>
        <w:pStyle w:val="ListBullet"/>
      </w:pPr>
      <w:r>
        <w:t xml:space="preserve">In 2007, the </w:t>
      </w:r>
      <w:r w:rsidR="00E95889">
        <w:t>AGCM</w:t>
      </w:r>
      <w:r>
        <w:t xml:space="preserve"> made a decision finalising an earlier order requiring Merck to grant a licence over an active ingredient to an Italian pharmaceutical manufacturer Dobfar, which would allow production of a generic antibiotic (UNCTAD 2011).</w:t>
      </w:r>
    </w:p>
    <w:p w14:paraId="7BCB32ED" w14:textId="77777777" w:rsidR="001A017F" w:rsidRPr="009844F7" w:rsidRDefault="001A017F" w:rsidP="001A017F">
      <w:pPr>
        <w:pStyle w:val="ListBullet"/>
        <w:rPr>
          <w:rStyle w:val="DraftingNote"/>
          <w:b w:val="0"/>
          <w:color w:val="auto"/>
          <w:sz w:val="26"/>
          <w:u w:val="none"/>
        </w:rPr>
      </w:pPr>
      <w:r>
        <w:t xml:space="preserve">In 2007, the AGCM required Merck to grant free licences to allow the manufacture and sale in Italy of an active ingredient and related </w:t>
      </w:r>
      <w:r w:rsidR="00CD28BC">
        <w:t>medicines</w:t>
      </w:r>
      <w:r w:rsidR="00DD2762">
        <w:t>,</w:t>
      </w:r>
      <w:r w:rsidR="00CD28BC">
        <w:t xml:space="preserve"> </w:t>
      </w:r>
      <w:r>
        <w:t>used to treat hypertrophy and cancer of the prostate and male baldness. These royalty free licences were remedies to earlier refusal</w:t>
      </w:r>
      <w:r w:rsidR="00DD2762">
        <w:t>s</w:t>
      </w:r>
      <w:r>
        <w:t xml:space="preserve"> to license the</w:t>
      </w:r>
      <w:r w:rsidR="00DD2762">
        <w:t>se</w:t>
      </w:r>
      <w:r>
        <w:t xml:space="preserve"> patents to Italian manufacturers</w:t>
      </w:r>
      <w:r w:rsidR="00A60C0A">
        <w:t xml:space="preserve"> (Ibanez Colomo 2007).</w:t>
      </w:r>
    </w:p>
    <w:p w14:paraId="3D6D9FEA" w14:textId="397788E5" w:rsidR="001C658A" w:rsidRPr="001C658A" w:rsidRDefault="00C72081" w:rsidP="001C658A">
      <w:pPr>
        <w:pStyle w:val="BodyText"/>
        <w:rPr>
          <w:rStyle w:val="DraftingNote"/>
          <w:b w:val="0"/>
          <w:color w:val="auto"/>
          <w:sz w:val="26"/>
          <w:u w:val="none"/>
        </w:rPr>
      </w:pPr>
      <w:r>
        <w:rPr>
          <w:rStyle w:val="DraftingNote"/>
          <w:b w:val="0"/>
          <w:color w:val="auto"/>
          <w:sz w:val="26"/>
          <w:u w:val="none"/>
        </w:rPr>
        <w:t>In the United Kingdom, t</w:t>
      </w:r>
      <w:r w:rsidR="005F5AD1">
        <w:rPr>
          <w:rStyle w:val="DraftingNote"/>
          <w:b w:val="0"/>
          <w:color w:val="auto"/>
          <w:sz w:val="26"/>
          <w:u w:val="none"/>
        </w:rPr>
        <w:t>here has been one application for a compulsory licence</w:t>
      </w:r>
      <w:r>
        <w:rPr>
          <w:rStyle w:val="DraftingNote"/>
          <w:b w:val="0"/>
          <w:color w:val="auto"/>
          <w:sz w:val="26"/>
          <w:u w:val="none"/>
        </w:rPr>
        <w:t xml:space="preserve"> for a patent</w:t>
      </w:r>
      <w:r w:rsidR="005F5AD1">
        <w:rPr>
          <w:rStyle w:val="DraftingNote"/>
          <w:b w:val="0"/>
          <w:color w:val="auto"/>
          <w:sz w:val="26"/>
          <w:u w:val="none"/>
        </w:rPr>
        <w:t xml:space="preserve"> since 1998</w:t>
      </w:r>
      <w:r w:rsidR="00744FB1">
        <w:rPr>
          <w:rStyle w:val="DraftingNote"/>
          <w:b w:val="0"/>
          <w:color w:val="auto"/>
          <w:sz w:val="26"/>
          <w:u w:val="none"/>
        </w:rPr>
        <w:t xml:space="preserve"> — </w:t>
      </w:r>
      <w:r w:rsidR="00744FB1" w:rsidRPr="0073096B">
        <w:rPr>
          <w:rStyle w:val="DraftingNote"/>
          <w:b w:val="0"/>
          <w:i/>
          <w:color w:val="auto"/>
          <w:sz w:val="26"/>
          <w:u w:val="none"/>
        </w:rPr>
        <w:t>Swansea Imports Limited v Carver Technology Limited</w:t>
      </w:r>
      <w:r w:rsidR="005F5AD1">
        <w:rPr>
          <w:rStyle w:val="DraftingNote"/>
          <w:b w:val="0"/>
          <w:color w:val="auto"/>
          <w:sz w:val="26"/>
          <w:u w:val="none"/>
        </w:rPr>
        <w:t xml:space="preserve">. </w:t>
      </w:r>
      <w:r w:rsidR="00744FB1">
        <w:rPr>
          <w:rStyle w:val="DraftingNote"/>
          <w:b w:val="0"/>
          <w:color w:val="auto"/>
          <w:sz w:val="26"/>
          <w:u w:val="none"/>
        </w:rPr>
        <w:t xml:space="preserve">The case concerned two patents </w:t>
      </w:r>
      <w:r w:rsidR="003C77DA">
        <w:rPr>
          <w:rStyle w:val="DraftingNote"/>
          <w:b w:val="0"/>
          <w:color w:val="auto"/>
          <w:sz w:val="26"/>
          <w:u w:val="none"/>
        </w:rPr>
        <w:t>related to</w:t>
      </w:r>
      <w:r w:rsidR="00744FB1">
        <w:rPr>
          <w:rStyle w:val="DraftingNote"/>
          <w:b w:val="0"/>
          <w:color w:val="auto"/>
          <w:sz w:val="26"/>
          <w:u w:val="none"/>
        </w:rPr>
        <w:t xml:space="preserve"> water heaters in caravans. Heaters using the patents had been sold for many years in the United Kingdom. Following a takeover of the patentee company, production of the heater ceased</w:t>
      </w:r>
      <w:r w:rsidR="00CA18DB">
        <w:rPr>
          <w:rStyle w:val="DraftingNote"/>
          <w:b w:val="0"/>
          <w:color w:val="auto"/>
          <w:sz w:val="26"/>
          <w:u w:val="none"/>
        </w:rPr>
        <w:t>,</w:t>
      </w:r>
      <w:r w:rsidR="00744FB1">
        <w:rPr>
          <w:rStyle w:val="DraftingNote"/>
          <w:b w:val="0"/>
          <w:color w:val="auto"/>
          <w:sz w:val="26"/>
          <w:u w:val="none"/>
        </w:rPr>
        <w:t xml:space="preserve"> and a new design was used</w:t>
      </w:r>
      <w:r w:rsidR="00CA18DB">
        <w:rPr>
          <w:rStyle w:val="DraftingNote"/>
          <w:b w:val="0"/>
          <w:color w:val="auto"/>
          <w:sz w:val="26"/>
          <w:u w:val="none"/>
        </w:rPr>
        <w:t>,</w:t>
      </w:r>
      <w:r w:rsidR="00744FB1">
        <w:rPr>
          <w:rStyle w:val="DraftingNote"/>
          <w:b w:val="0"/>
          <w:color w:val="auto"/>
          <w:sz w:val="26"/>
          <w:u w:val="none"/>
        </w:rPr>
        <w:t xml:space="preserve"> which did not fall within the scope of the</w:t>
      </w:r>
      <w:r w:rsidR="002A10BA">
        <w:rPr>
          <w:rStyle w:val="DraftingNote"/>
          <w:b w:val="0"/>
          <w:color w:val="auto"/>
          <w:sz w:val="26"/>
          <w:u w:val="none"/>
        </w:rPr>
        <w:t xml:space="preserve"> two</w:t>
      </w:r>
      <w:r w:rsidR="00744FB1">
        <w:rPr>
          <w:rStyle w:val="DraftingNote"/>
          <w:b w:val="0"/>
          <w:color w:val="auto"/>
          <w:sz w:val="26"/>
          <w:u w:val="none"/>
        </w:rPr>
        <w:t xml:space="preserve"> patents. Swansea Imports sought permission from the patent</w:t>
      </w:r>
      <w:r w:rsidR="00CA18DB">
        <w:rPr>
          <w:rStyle w:val="DraftingNote"/>
          <w:b w:val="0"/>
          <w:color w:val="auto"/>
          <w:sz w:val="26"/>
          <w:u w:val="none"/>
        </w:rPr>
        <w:t xml:space="preserve"> </w:t>
      </w:r>
      <w:r w:rsidR="003C77DA">
        <w:rPr>
          <w:rStyle w:val="DraftingNote"/>
          <w:b w:val="0"/>
          <w:color w:val="auto"/>
          <w:sz w:val="26"/>
          <w:u w:val="none"/>
        </w:rPr>
        <w:t xml:space="preserve">holder </w:t>
      </w:r>
      <w:r w:rsidR="00744FB1">
        <w:rPr>
          <w:rStyle w:val="DraftingNote"/>
          <w:b w:val="0"/>
          <w:color w:val="auto"/>
          <w:sz w:val="26"/>
          <w:u w:val="none"/>
        </w:rPr>
        <w:t xml:space="preserve">to produce and sell heaters </w:t>
      </w:r>
      <w:r w:rsidR="00CA18DB">
        <w:rPr>
          <w:rStyle w:val="DraftingNote"/>
          <w:b w:val="0"/>
          <w:color w:val="auto"/>
          <w:sz w:val="26"/>
          <w:u w:val="none"/>
        </w:rPr>
        <w:t>and spare parts using the old (patented) design, and were refused. Swansea applied to the Comptroller of Patents for a compulsory licence</w:t>
      </w:r>
      <w:r w:rsidR="00055010">
        <w:rPr>
          <w:rStyle w:val="DraftingNote"/>
          <w:b w:val="0"/>
          <w:color w:val="auto"/>
          <w:sz w:val="26"/>
          <w:u w:val="none"/>
        </w:rPr>
        <w:t>. This was</w:t>
      </w:r>
      <w:r w:rsidR="00CA18DB">
        <w:rPr>
          <w:rStyle w:val="DraftingNote"/>
          <w:b w:val="0"/>
          <w:color w:val="auto"/>
          <w:sz w:val="26"/>
          <w:u w:val="none"/>
        </w:rPr>
        <w:t xml:space="preserve"> on the ground that demand for products to replace or repair worn out heaters w</w:t>
      </w:r>
      <w:r w:rsidR="006668BF">
        <w:rPr>
          <w:rStyle w:val="DraftingNote"/>
          <w:b w:val="0"/>
          <w:color w:val="auto"/>
          <w:sz w:val="26"/>
          <w:u w:val="none"/>
        </w:rPr>
        <w:t>as</w:t>
      </w:r>
      <w:r w:rsidR="00CA18DB">
        <w:rPr>
          <w:rStyle w:val="DraftingNote"/>
          <w:b w:val="0"/>
          <w:color w:val="auto"/>
          <w:sz w:val="26"/>
          <w:u w:val="none"/>
        </w:rPr>
        <w:t xml:space="preserve"> not being met by the new design or the limited stock of the old design</w:t>
      </w:r>
      <w:r w:rsidR="003C77DA">
        <w:rPr>
          <w:rStyle w:val="DraftingNote"/>
          <w:b w:val="0"/>
          <w:color w:val="auto"/>
          <w:sz w:val="26"/>
          <w:u w:val="none"/>
        </w:rPr>
        <w:t>,</w:t>
      </w:r>
      <w:r w:rsidR="00CA18DB">
        <w:rPr>
          <w:rStyle w:val="DraftingNote"/>
          <w:b w:val="0"/>
          <w:color w:val="auto"/>
          <w:sz w:val="26"/>
          <w:u w:val="none"/>
        </w:rPr>
        <w:t xml:space="preserve"> which were available at an increased price. The </w:t>
      </w:r>
      <w:r w:rsidR="003C77DA">
        <w:rPr>
          <w:rStyle w:val="DraftingNote"/>
          <w:b w:val="0"/>
          <w:color w:val="auto"/>
          <w:sz w:val="26"/>
          <w:u w:val="none"/>
        </w:rPr>
        <w:t xml:space="preserve">Comptroller denied Swansea’s application for a compulsory licence </w:t>
      </w:r>
      <w:r w:rsidR="00CA18DB">
        <w:rPr>
          <w:rStyle w:val="DraftingNote"/>
          <w:b w:val="0"/>
          <w:color w:val="auto"/>
          <w:sz w:val="26"/>
          <w:u w:val="none"/>
        </w:rPr>
        <w:t>because Swansea did not prove that demand was not being met on reasonable terms. I</w:t>
      </w:r>
      <w:r w:rsidR="002A10BA">
        <w:rPr>
          <w:rStyle w:val="DraftingNote"/>
          <w:b w:val="0"/>
          <w:color w:val="auto"/>
          <w:sz w:val="26"/>
          <w:u w:val="none"/>
        </w:rPr>
        <w:t>n the decision, i</w:t>
      </w:r>
      <w:r w:rsidR="00CA18DB">
        <w:rPr>
          <w:rStyle w:val="DraftingNote"/>
          <w:b w:val="0"/>
          <w:color w:val="auto"/>
          <w:sz w:val="26"/>
          <w:u w:val="none"/>
        </w:rPr>
        <w:t xml:space="preserve">t was noted that </w:t>
      </w:r>
      <w:r w:rsidR="002A10BA">
        <w:rPr>
          <w:rStyle w:val="DraftingNote"/>
          <w:b w:val="0"/>
          <w:color w:val="auto"/>
          <w:sz w:val="26"/>
          <w:u w:val="none"/>
        </w:rPr>
        <w:t xml:space="preserve">if the price being charged by the </w:t>
      </w:r>
      <w:r w:rsidR="002A10BA">
        <w:rPr>
          <w:rStyle w:val="DraftingNote"/>
          <w:b w:val="0"/>
          <w:color w:val="auto"/>
          <w:sz w:val="26"/>
          <w:u w:val="none"/>
        </w:rPr>
        <w:lastRenderedPageBreak/>
        <w:t xml:space="preserve">patent owner is reasonable, and that demand is fully met at that price, then it is irrelevant whether demand would be greater at a lower price </w:t>
      </w:r>
      <w:r w:rsidR="005F5AD1">
        <w:rPr>
          <w:rStyle w:val="DraftingNote"/>
          <w:b w:val="0"/>
          <w:color w:val="auto"/>
          <w:sz w:val="26"/>
          <w:u w:val="none"/>
        </w:rPr>
        <w:t xml:space="preserve">(IPO UK 2004). </w:t>
      </w:r>
    </w:p>
    <w:p w14:paraId="319CAA8D" w14:textId="77777777" w:rsidR="00C269E1" w:rsidRDefault="00C269E1" w:rsidP="00C269E1">
      <w:pPr>
        <w:pStyle w:val="Heading5"/>
        <w:rPr>
          <w:rStyle w:val="DraftingNote"/>
          <w:b w:val="0"/>
          <w:color w:val="auto"/>
          <w:sz w:val="26"/>
          <w:u w:val="none"/>
        </w:rPr>
      </w:pPr>
      <w:r>
        <w:rPr>
          <w:rStyle w:val="DraftingNote"/>
          <w:b w:val="0"/>
          <w:color w:val="auto"/>
          <w:sz w:val="26"/>
          <w:u w:val="none"/>
        </w:rPr>
        <w:t xml:space="preserve">Competition issues </w:t>
      </w:r>
    </w:p>
    <w:p w14:paraId="6247B531" w14:textId="77777777" w:rsidR="008D1BF5" w:rsidRDefault="009844F7" w:rsidP="00F01D64">
      <w:pPr>
        <w:pStyle w:val="BodyText"/>
        <w:rPr>
          <w:rStyle w:val="DraftingNote"/>
          <w:b w:val="0"/>
          <w:color w:val="auto"/>
          <w:sz w:val="26"/>
          <w:u w:val="none"/>
        </w:rPr>
      </w:pPr>
      <w:r w:rsidRPr="009844F7">
        <w:rPr>
          <w:rStyle w:val="DraftingNote"/>
          <w:b w:val="0"/>
          <w:color w:val="auto"/>
          <w:sz w:val="26"/>
          <w:u w:val="none"/>
        </w:rPr>
        <w:t xml:space="preserve">Compulsory licensing </w:t>
      </w:r>
      <w:r w:rsidR="000C5CEC">
        <w:rPr>
          <w:rStyle w:val="DraftingNote"/>
          <w:b w:val="0"/>
          <w:color w:val="auto"/>
          <w:sz w:val="26"/>
          <w:u w:val="none"/>
        </w:rPr>
        <w:t xml:space="preserve">of IP </w:t>
      </w:r>
      <w:r w:rsidRPr="009844F7">
        <w:rPr>
          <w:rStyle w:val="DraftingNote"/>
          <w:b w:val="0"/>
          <w:color w:val="auto"/>
          <w:sz w:val="26"/>
          <w:u w:val="none"/>
        </w:rPr>
        <w:t xml:space="preserve">appears to have been used less frequently in </w:t>
      </w:r>
      <w:r w:rsidR="00C72081">
        <w:rPr>
          <w:rStyle w:val="DraftingNote"/>
          <w:b w:val="0"/>
          <w:color w:val="auto"/>
          <w:sz w:val="26"/>
          <w:u w:val="none"/>
        </w:rPr>
        <w:t xml:space="preserve">the </w:t>
      </w:r>
      <w:r w:rsidRPr="009844F7">
        <w:rPr>
          <w:rStyle w:val="DraftingNote"/>
          <w:b w:val="0"/>
          <w:color w:val="auto"/>
          <w:sz w:val="26"/>
          <w:u w:val="none"/>
        </w:rPr>
        <w:t>Europe</w:t>
      </w:r>
      <w:r w:rsidR="00C72081">
        <w:rPr>
          <w:rStyle w:val="DraftingNote"/>
          <w:b w:val="0"/>
          <w:color w:val="auto"/>
          <w:sz w:val="26"/>
          <w:u w:val="none"/>
        </w:rPr>
        <w:t>an Union</w:t>
      </w:r>
      <w:r w:rsidRPr="009844F7">
        <w:rPr>
          <w:rStyle w:val="DraftingNote"/>
          <w:b w:val="0"/>
          <w:color w:val="auto"/>
          <w:sz w:val="26"/>
          <w:u w:val="none"/>
        </w:rPr>
        <w:t xml:space="preserve"> than the U</w:t>
      </w:r>
      <w:r w:rsidR="006677B3">
        <w:rPr>
          <w:rStyle w:val="DraftingNote"/>
          <w:b w:val="0"/>
          <w:color w:val="auto"/>
          <w:sz w:val="26"/>
          <w:u w:val="none"/>
        </w:rPr>
        <w:t xml:space="preserve">nited </w:t>
      </w:r>
      <w:r w:rsidRPr="009844F7">
        <w:rPr>
          <w:rStyle w:val="DraftingNote"/>
          <w:b w:val="0"/>
          <w:color w:val="auto"/>
          <w:sz w:val="26"/>
          <w:u w:val="none"/>
        </w:rPr>
        <w:t>S</w:t>
      </w:r>
      <w:r w:rsidR="006677B3">
        <w:rPr>
          <w:rStyle w:val="DraftingNote"/>
          <w:b w:val="0"/>
          <w:color w:val="auto"/>
          <w:sz w:val="26"/>
          <w:u w:val="none"/>
        </w:rPr>
        <w:t>tates</w:t>
      </w:r>
      <w:r w:rsidRPr="009844F7">
        <w:rPr>
          <w:rStyle w:val="DraftingNote"/>
          <w:b w:val="0"/>
          <w:color w:val="auto"/>
          <w:sz w:val="26"/>
          <w:u w:val="none"/>
        </w:rPr>
        <w:t xml:space="preserve"> to address </w:t>
      </w:r>
      <w:r>
        <w:rPr>
          <w:rStyle w:val="DraftingNote"/>
          <w:b w:val="0"/>
          <w:color w:val="auto"/>
          <w:sz w:val="26"/>
          <w:u w:val="none"/>
        </w:rPr>
        <w:t xml:space="preserve">competition issues. Temple Lang (2002, p. 7) noted that ‘the question of compulsory licensing of </w:t>
      </w:r>
      <w:r w:rsidR="00C72081">
        <w:rPr>
          <w:rStyle w:val="DraftingNote"/>
          <w:b w:val="0"/>
          <w:color w:val="auto"/>
          <w:sz w:val="26"/>
          <w:u w:val="none"/>
        </w:rPr>
        <w:t>[IP] r</w:t>
      </w:r>
      <w:r>
        <w:rPr>
          <w:rStyle w:val="DraftingNote"/>
          <w:b w:val="0"/>
          <w:color w:val="auto"/>
          <w:sz w:val="26"/>
          <w:u w:val="none"/>
        </w:rPr>
        <w:t>ights has arisen very seldom in European antitrust law’.</w:t>
      </w:r>
      <w:r w:rsidR="008D1BF5">
        <w:rPr>
          <w:rStyle w:val="DraftingNote"/>
          <w:b w:val="0"/>
          <w:color w:val="auto"/>
          <w:sz w:val="26"/>
          <w:u w:val="none"/>
        </w:rPr>
        <w:t xml:space="preserve"> </w:t>
      </w:r>
      <w:r w:rsidR="00381C20">
        <w:rPr>
          <w:rStyle w:val="DraftingNote"/>
          <w:b w:val="0"/>
          <w:color w:val="auto"/>
          <w:sz w:val="26"/>
          <w:u w:val="none"/>
        </w:rPr>
        <w:t xml:space="preserve">Compulsory licensing appears to have occurred more frequently </w:t>
      </w:r>
      <w:r w:rsidR="00686A66">
        <w:rPr>
          <w:rStyle w:val="DraftingNote"/>
          <w:b w:val="0"/>
          <w:color w:val="auto"/>
          <w:sz w:val="26"/>
          <w:u w:val="none"/>
        </w:rPr>
        <w:t xml:space="preserve">in the European Union </w:t>
      </w:r>
      <w:r w:rsidR="00381C20">
        <w:rPr>
          <w:rStyle w:val="DraftingNote"/>
          <w:b w:val="0"/>
          <w:color w:val="auto"/>
          <w:sz w:val="26"/>
          <w:u w:val="none"/>
        </w:rPr>
        <w:t xml:space="preserve">for copyright than </w:t>
      </w:r>
      <w:r w:rsidR="00C72081">
        <w:rPr>
          <w:rStyle w:val="DraftingNote"/>
          <w:b w:val="0"/>
          <w:color w:val="auto"/>
          <w:sz w:val="26"/>
          <w:u w:val="none"/>
        </w:rPr>
        <w:t>for patents or other</w:t>
      </w:r>
      <w:r w:rsidR="00381C20">
        <w:rPr>
          <w:rStyle w:val="DraftingNote"/>
          <w:b w:val="0"/>
          <w:color w:val="auto"/>
          <w:sz w:val="26"/>
          <w:u w:val="none"/>
        </w:rPr>
        <w:t xml:space="preserve"> types of IP. </w:t>
      </w:r>
      <w:r w:rsidR="00017EF9">
        <w:rPr>
          <w:rStyle w:val="DraftingNote"/>
          <w:b w:val="0"/>
          <w:color w:val="auto"/>
          <w:sz w:val="26"/>
          <w:u w:val="none"/>
        </w:rPr>
        <w:t xml:space="preserve">Two </w:t>
      </w:r>
      <w:r w:rsidR="009C4ED6">
        <w:rPr>
          <w:rStyle w:val="DraftingNote"/>
          <w:b w:val="0"/>
          <w:color w:val="auto"/>
          <w:sz w:val="26"/>
          <w:u w:val="none"/>
        </w:rPr>
        <w:t xml:space="preserve">important </w:t>
      </w:r>
      <w:r w:rsidR="009C032B">
        <w:rPr>
          <w:rStyle w:val="DraftingNote"/>
          <w:b w:val="0"/>
          <w:color w:val="auto"/>
          <w:sz w:val="26"/>
          <w:u w:val="none"/>
        </w:rPr>
        <w:t xml:space="preserve">copyright </w:t>
      </w:r>
      <w:r w:rsidR="00E80622">
        <w:rPr>
          <w:rStyle w:val="DraftingNote"/>
          <w:b w:val="0"/>
          <w:color w:val="auto"/>
          <w:sz w:val="26"/>
          <w:u w:val="none"/>
        </w:rPr>
        <w:t>cases include</w:t>
      </w:r>
      <w:r w:rsidR="00343BE3">
        <w:rPr>
          <w:rStyle w:val="DraftingNote"/>
          <w:b w:val="0"/>
          <w:color w:val="auto"/>
          <w:sz w:val="26"/>
          <w:u w:val="none"/>
        </w:rPr>
        <w:t xml:space="preserve"> </w:t>
      </w:r>
      <w:r w:rsidR="00343BE3" w:rsidRPr="009C4ED6">
        <w:rPr>
          <w:rStyle w:val="DraftingNote"/>
          <w:b w:val="0"/>
          <w:i/>
          <w:color w:val="auto"/>
          <w:sz w:val="26"/>
          <w:u w:val="none"/>
        </w:rPr>
        <w:t>Radio Telefis Eireann (RTE) and Independent Television Publications Ltd (ITP) v Commission</w:t>
      </w:r>
      <w:r w:rsidR="00343BE3">
        <w:rPr>
          <w:rStyle w:val="DraftingNote"/>
          <w:b w:val="0"/>
          <w:color w:val="auto"/>
          <w:sz w:val="26"/>
          <w:u w:val="none"/>
        </w:rPr>
        <w:t xml:space="preserve">, </w:t>
      </w:r>
      <w:r w:rsidR="004D6E78">
        <w:rPr>
          <w:rStyle w:val="DraftingNote"/>
          <w:b w:val="0"/>
          <w:color w:val="auto"/>
          <w:sz w:val="26"/>
          <w:u w:val="none"/>
        </w:rPr>
        <w:t xml:space="preserve">also </w:t>
      </w:r>
      <w:r w:rsidR="00343BE3">
        <w:rPr>
          <w:rStyle w:val="DraftingNote"/>
          <w:b w:val="0"/>
          <w:color w:val="auto"/>
          <w:sz w:val="26"/>
          <w:u w:val="none"/>
        </w:rPr>
        <w:t>know</w:t>
      </w:r>
      <w:r w:rsidR="009C4ED6">
        <w:rPr>
          <w:rStyle w:val="DraftingNote"/>
          <w:b w:val="0"/>
          <w:color w:val="auto"/>
          <w:sz w:val="26"/>
          <w:u w:val="none"/>
        </w:rPr>
        <w:t>n</w:t>
      </w:r>
      <w:r w:rsidR="00343BE3">
        <w:rPr>
          <w:rStyle w:val="DraftingNote"/>
          <w:b w:val="0"/>
          <w:color w:val="auto"/>
          <w:sz w:val="26"/>
          <w:u w:val="none"/>
        </w:rPr>
        <w:t xml:space="preserve"> as the </w:t>
      </w:r>
      <w:r w:rsidR="00E80622" w:rsidRPr="004D6E78">
        <w:rPr>
          <w:rStyle w:val="DraftingNote"/>
          <w:b w:val="0"/>
          <w:color w:val="auto"/>
          <w:sz w:val="26"/>
          <w:u w:val="none"/>
        </w:rPr>
        <w:t>Magill</w:t>
      </w:r>
      <w:r w:rsidR="00E80622">
        <w:rPr>
          <w:rStyle w:val="DraftingNote"/>
          <w:b w:val="0"/>
          <w:color w:val="auto"/>
          <w:sz w:val="26"/>
          <w:u w:val="none"/>
        </w:rPr>
        <w:t xml:space="preserve"> </w:t>
      </w:r>
      <w:r w:rsidR="00343BE3">
        <w:rPr>
          <w:rStyle w:val="DraftingNote"/>
          <w:b w:val="0"/>
          <w:color w:val="auto"/>
          <w:sz w:val="26"/>
          <w:u w:val="none"/>
        </w:rPr>
        <w:t xml:space="preserve">case, </w:t>
      </w:r>
      <w:r w:rsidR="00E80622">
        <w:rPr>
          <w:rStyle w:val="DraftingNote"/>
          <w:b w:val="0"/>
          <w:color w:val="auto"/>
          <w:sz w:val="26"/>
          <w:u w:val="none"/>
        </w:rPr>
        <w:t xml:space="preserve">and </w:t>
      </w:r>
      <w:r w:rsidR="00E80622" w:rsidRPr="00F026A8">
        <w:rPr>
          <w:rStyle w:val="DraftingNote"/>
          <w:b w:val="0"/>
          <w:i/>
          <w:color w:val="auto"/>
          <w:sz w:val="26"/>
          <w:u w:val="none"/>
        </w:rPr>
        <w:t>IMS Health</w:t>
      </w:r>
      <w:r w:rsidR="00343BE3">
        <w:rPr>
          <w:rStyle w:val="DraftingNote"/>
          <w:b w:val="0"/>
          <w:i/>
          <w:color w:val="auto"/>
          <w:sz w:val="26"/>
          <w:u w:val="none"/>
        </w:rPr>
        <w:t xml:space="preserve"> v NDC Health</w:t>
      </w:r>
      <w:r w:rsidR="00B01484">
        <w:rPr>
          <w:rStyle w:val="DraftingNote"/>
          <w:b w:val="0"/>
          <w:i/>
          <w:color w:val="auto"/>
          <w:sz w:val="26"/>
          <w:u w:val="none"/>
        </w:rPr>
        <w:t xml:space="preserve"> </w:t>
      </w:r>
      <w:r w:rsidR="00B01484">
        <w:rPr>
          <w:rStyle w:val="DraftingNote"/>
          <w:b w:val="0"/>
          <w:color w:val="auto"/>
          <w:sz w:val="26"/>
          <w:u w:val="none"/>
        </w:rPr>
        <w:t>(</w:t>
      </w:r>
      <w:r w:rsidR="00D4699F">
        <w:rPr>
          <w:rStyle w:val="DraftingNote"/>
          <w:b w:val="0"/>
          <w:color w:val="auto"/>
          <w:sz w:val="26"/>
          <w:u w:val="none"/>
        </w:rPr>
        <w:t xml:space="preserve">discussed in </w:t>
      </w:r>
      <w:r w:rsidR="00B01484">
        <w:rPr>
          <w:rStyle w:val="DraftingNote"/>
          <w:b w:val="0"/>
          <w:color w:val="auto"/>
          <w:sz w:val="26"/>
          <w:u w:val="none"/>
        </w:rPr>
        <w:t>box C.5)</w:t>
      </w:r>
      <w:r w:rsidR="00343BE3">
        <w:rPr>
          <w:rStyle w:val="DraftingNote"/>
          <w:b w:val="0"/>
          <w:color w:val="auto"/>
          <w:sz w:val="26"/>
          <w:u w:val="none"/>
        </w:rPr>
        <w:t xml:space="preserve">. </w:t>
      </w:r>
      <w:r w:rsidR="009C032B">
        <w:rPr>
          <w:rStyle w:val="DraftingNote"/>
          <w:b w:val="0"/>
          <w:color w:val="auto"/>
          <w:sz w:val="26"/>
          <w:u w:val="none"/>
        </w:rPr>
        <w:t xml:space="preserve">The essential facilities doctrine was considered in these cases. </w:t>
      </w:r>
    </w:p>
    <w:p w14:paraId="77309A04" w14:textId="1E984DC0" w:rsidR="00736EE3" w:rsidRDefault="00736EE3" w:rsidP="00736EE3">
      <w:pPr>
        <w:pStyle w:val="BodyText"/>
        <w:rPr>
          <w:rStyle w:val="DraftingNote"/>
          <w:b w:val="0"/>
          <w:color w:val="auto"/>
          <w:sz w:val="26"/>
          <w:u w:val="none"/>
        </w:rPr>
      </w:pPr>
      <w:r>
        <w:rPr>
          <w:rStyle w:val="DraftingNote"/>
          <w:b w:val="0"/>
          <w:color w:val="auto"/>
          <w:sz w:val="26"/>
          <w:u w:val="none"/>
        </w:rPr>
        <w:t xml:space="preserve">In both </w:t>
      </w:r>
      <w:r w:rsidRPr="009C4ED6">
        <w:rPr>
          <w:rStyle w:val="DraftingNote"/>
          <w:b w:val="0"/>
          <w:i/>
          <w:color w:val="auto"/>
          <w:sz w:val="26"/>
          <w:u w:val="none"/>
        </w:rPr>
        <w:t>Magill</w:t>
      </w:r>
      <w:r>
        <w:rPr>
          <w:rStyle w:val="DraftingNote"/>
          <w:b w:val="0"/>
          <w:color w:val="auto"/>
          <w:sz w:val="26"/>
          <w:u w:val="none"/>
        </w:rPr>
        <w:t xml:space="preserve"> and </w:t>
      </w:r>
      <w:r w:rsidRPr="009C4ED6">
        <w:rPr>
          <w:rStyle w:val="DraftingNote"/>
          <w:b w:val="0"/>
          <w:i/>
          <w:color w:val="auto"/>
          <w:sz w:val="26"/>
          <w:u w:val="none"/>
        </w:rPr>
        <w:t>IMS Health</w:t>
      </w:r>
      <w:r>
        <w:rPr>
          <w:rStyle w:val="DraftingNote"/>
          <w:b w:val="0"/>
          <w:color w:val="auto"/>
          <w:sz w:val="26"/>
          <w:u w:val="none"/>
        </w:rPr>
        <w:t xml:space="preserve"> the European Courts held that</w:t>
      </w:r>
      <w:r w:rsidR="00C9404A">
        <w:rPr>
          <w:rStyle w:val="DraftingNote"/>
          <w:b w:val="0"/>
          <w:color w:val="auto"/>
          <w:sz w:val="26"/>
          <w:u w:val="none"/>
        </w:rPr>
        <w:t>,</w:t>
      </w:r>
      <w:r>
        <w:rPr>
          <w:rStyle w:val="DraftingNote"/>
          <w:b w:val="0"/>
          <w:color w:val="auto"/>
          <w:sz w:val="26"/>
          <w:u w:val="none"/>
        </w:rPr>
        <w:t xml:space="preserve"> in exceptional circumstances, a dominant company’s refusal to license its IP could constitute abuse of its dominant position (Kanter 2006). Specific conditions which constitute abuse were established in </w:t>
      </w:r>
      <w:r w:rsidRPr="00871C49">
        <w:rPr>
          <w:rStyle w:val="DraftingNote"/>
          <w:b w:val="0"/>
          <w:i/>
          <w:color w:val="auto"/>
          <w:sz w:val="26"/>
          <w:u w:val="none"/>
        </w:rPr>
        <w:t>Magill</w:t>
      </w:r>
      <w:r>
        <w:rPr>
          <w:rStyle w:val="DraftingNote"/>
          <w:b w:val="0"/>
          <w:color w:val="auto"/>
          <w:sz w:val="26"/>
          <w:u w:val="none"/>
        </w:rPr>
        <w:t xml:space="preserve"> and reaffirmed in </w:t>
      </w:r>
      <w:r w:rsidRPr="00871C49">
        <w:rPr>
          <w:rStyle w:val="DraftingNote"/>
          <w:b w:val="0"/>
          <w:i/>
          <w:color w:val="auto"/>
          <w:sz w:val="26"/>
          <w:u w:val="none"/>
        </w:rPr>
        <w:t>I</w:t>
      </w:r>
      <w:r>
        <w:rPr>
          <w:rStyle w:val="DraftingNote"/>
          <w:b w:val="0"/>
          <w:i/>
          <w:color w:val="auto"/>
          <w:sz w:val="26"/>
          <w:u w:val="none"/>
        </w:rPr>
        <w:t>M</w:t>
      </w:r>
      <w:r w:rsidRPr="00871C49">
        <w:rPr>
          <w:rStyle w:val="DraftingNote"/>
          <w:b w:val="0"/>
          <w:i/>
          <w:color w:val="auto"/>
          <w:sz w:val="26"/>
          <w:u w:val="none"/>
        </w:rPr>
        <w:t>S Health</w:t>
      </w:r>
      <w:r>
        <w:rPr>
          <w:rStyle w:val="DraftingNote"/>
          <w:b w:val="0"/>
          <w:color w:val="auto"/>
          <w:sz w:val="26"/>
          <w:u w:val="none"/>
        </w:rPr>
        <w:t xml:space="preserve"> </w:t>
      </w:r>
      <w:r w:rsidR="00C9404A">
        <w:rPr>
          <w:rStyle w:val="DraftingNote"/>
          <w:b w:val="0"/>
          <w:color w:val="auto"/>
          <w:sz w:val="26"/>
          <w:u w:val="none"/>
        </w:rPr>
        <w:t>as being that:</w:t>
      </w:r>
    </w:p>
    <w:p w14:paraId="1E91843D" w14:textId="3986B270" w:rsidR="00736EE3" w:rsidRDefault="00C9404A" w:rsidP="00736EE3">
      <w:pPr>
        <w:pStyle w:val="ListBullet"/>
        <w:rPr>
          <w:rStyle w:val="DraftingNote"/>
          <w:b w:val="0"/>
          <w:color w:val="auto"/>
          <w:sz w:val="26"/>
          <w:u w:val="none"/>
        </w:rPr>
      </w:pPr>
      <w:r>
        <w:rPr>
          <w:rStyle w:val="DraftingNote"/>
          <w:b w:val="0"/>
          <w:color w:val="auto"/>
          <w:sz w:val="26"/>
          <w:u w:val="none"/>
        </w:rPr>
        <w:t>th</w:t>
      </w:r>
      <w:r w:rsidR="00736EE3">
        <w:rPr>
          <w:rStyle w:val="DraftingNote"/>
          <w:b w:val="0"/>
          <w:color w:val="auto"/>
          <w:sz w:val="26"/>
          <w:u w:val="none"/>
        </w:rPr>
        <w:t>e information in question is indispensable to compete in the relevant secondary market</w:t>
      </w:r>
    </w:p>
    <w:p w14:paraId="4F8AEA81" w14:textId="307BD867" w:rsidR="00736EE3" w:rsidRDefault="00C9404A" w:rsidP="00736EE3">
      <w:pPr>
        <w:pStyle w:val="ListBullet"/>
        <w:rPr>
          <w:rStyle w:val="DraftingNote"/>
          <w:b w:val="0"/>
          <w:color w:val="auto"/>
          <w:sz w:val="26"/>
          <w:u w:val="none"/>
        </w:rPr>
      </w:pPr>
      <w:r>
        <w:rPr>
          <w:rStyle w:val="DraftingNote"/>
          <w:b w:val="0"/>
          <w:color w:val="auto"/>
          <w:sz w:val="26"/>
          <w:u w:val="none"/>
        </w:rPr>
        <w:t>t</w:t>
      </w:r>
      <w:r w:rsidR="00736EE3">
        <w:rPr>
          <w:rStyle w:val="DraftingNote"/>
          <w:b w:val="0"/>
          <w:color w:val="auto"/>
          <w:sz w:val="26"/>
          <w:u w:val="none"/>
        </w:rPr>
        <w:t>he refusal of access to essential elements would prevent the emergence of a new product which is not offered by the dominant firm and for which exists a demand</w:t>
      </w:r>
    </w:p>
    <w:p w14:paraId="1F53489B" w14:textId="4C559043" w:rsidR="00736EE3" w:rsidRDefault="00C9404A" w:rsidP="00736EE3">
      <w:pPr>
        <w:pStyle w:val="ListBullet"/>
        <w:rPr>
          <w:rStyle w:val="DraftingNote"/>
          <w:b w:val="0"/>
          <w:color w:val="auto"/>
          <w:sz w:val="26"/>
          <w:u w:val="none"/>
        </w:rPr>
      </w:pPr>
      <w:r>
        <w:rPr>
          <w:rStyle w:val="DraftingNote"/>
          <w:b w:val="0"/>
          <w:color w:val="auto"/>
          <w:sz w:val="26"/>
          <w:u w:val="none"/>
        </w:rPr>
        <w:t>t</w:t>
      </w:r>
      <w:r w:rsidR="00736EE3">
        <w:rPr>
          <w:rStyle w:val="DraftingNote"/>
          <w:b w:val="0"/>
          <w:color w:val="auto"/>
          <w:sz w:val="26"/>
          <w:u w:val="none"/>
        </w:rPr>
        <w:t>here is no objective justification for the refusal (Pil Choi 2010).</w:t>
      </w:r>
    </w:p>
    <w:p w14:paraId="591531CE" w14:textId="77777777" w:rsidR="00736EE3" w:rsidRDefault="00736EE3" w:rsidP="00736EE3">
      <w:pPr>
        <w:pStyle w:val="BodyText"/>
        <w:rPr>
          <w:rStyle w:val="DraftingNote"/>
          <w:b w:val="0"/>
          <w:color w:val="auto"/>
          <w:sz w:val="26"/>
          <w:u w:val="none"/>
        </w:rPr>
      </w:pPr>
      <w:r>
        <w:rPr>
          <w:rStyle w:val="DraftingNote"/>
          <w:b w:val="0"/>
          <w:color w:val="auto"/>
          <w:sz w:val="26"/>
          <w:u w:val="none"/>
        </w:rPr>
        <w:t xml:space="preserve">While these cases concern copyright rather than patents, precedents from these cases can be applied to patents. </w:t>
      </w:r>
    </w:p>
    <w:p w14:paraId="548BFC14" w14:textId="77777777" w:rsidR="00C9404A" w:rsidRDefault="00C9404A" w:rsidP="00C9404A">
      <w:pPr>
        <w:pStyle w:val="BodyText"/>
        <w:rPr>
          <w:rStyle w:val="DraftingNote"/>
          <w:b w:val="0"/>
          <w:color w:val="auto"/>
          <w:sz w:val="26"/>
          <w:u w:val="none"/>
        </w:rPr>
      </w:pPr>
      <w:r>
        <w:rPr>
          <w:rStyle w:val="DraftingNote"/>
          <w:b w:val="0"/>
          <w:color w:val="auto"/>
          <w:sz w:val="26"/>
          <w:u w:val="none"/>
        </w:rPr>
        <w:t>Interoperability of computer software has been another issue relevant to competition policy and IP rights in the European Union. For example, the European Commission (EC) has had a series of disputes with Microsoft. In 2004, the EC found that Microsoft had abused its near monopoly position in two respects. First, Microsoft was found to have deliberately restricted interoperability between its Windows operating system and non</w:t>
      </w:r>
      <w:r>
        <w:rPr>
          <w:rStyle w:val="DraftingNote"/>
          <w:b w:val="0"/>
          <w:color w:val="auto"/>
          <w:sz w:val="26"/>
          <w:u w:val="none"/>
        </w:rPr>
        <w:noBreakHyphen/>
        <w:t xml:space="preserve">Microsoft work group servers. Second, the EC found that Microsoft had bundled together its Windows software and Windows Media Player to prevent competition from rival media players. </w:t>
      </w:r>
    </w:p>
    <w:p w14:paraId="32450ED4" w14:textId="77777777" w:rsidR="0084673B" w:rsidRDefault="0084673B" w:rsidP="0084673B">
      <w:pPr>
        <w:pStyle w:val="BodyText"/>
        <w:rPr>
          <w:rStyle w:val="DraftingNote"/>
          <w:b w:val="0"/>
          <w:color w:val="auto"/>
          <w:sz w:val="26"/>
          <w:u w:val="none"/>
        </w:rPr>
      </w:pPr>
      <w:r>
        <w:rPr>
          <w:rStyle w:val="DraftingNote"/>
          <w:b w:val="0"/>
          <w:color w:val="auto"/>
          <w:sz w:val="26"/>
          <w:u w:val="none"/>
        </w:rPr>
        <w:t xml:space="preserve">To remedy these abuses, the EC required Microsoft to supply all necessary interface information to allow non-Microsoft work group servers to achieve interoperability and to produce a version of Windows without Windows Media Player. For copyrighted information, the EC made compulsory licences with ‘reasonable </w:t>
      </w:r>
      <w:r>
        <w:rPr>
          <w:rStyle w:val="DraftingNote"/>
          <w:b w:val="0"/>
          <w:color w:val="auto"/>
          <w:sz w:val="26"/>
          <w:u w:val="none"/>
        </w:rPr>
        <w:lastRenderedPageBreak/>
        <w:t>royalties’ available. The EC imposed a fine of €497 million (</w:t>
      </w:r>
      <w:proofErr w:type="spellStart"/>
      <w:r>
        <w:rPr>
          <w:rStyle w:val="DraftingNote"/>
          <w:b w:val="0"/>
          <w:color w:val="auto"/>
          <w:sz w:val="26"/>
          <w:u w:val="none"/>
        </w:rPr>
        <w:t>Anderman</w:t>
      </w:r>
      <w:proofErr w:type="spellEnd"/>
      <w:r>
        <w:rPr>
          <w:rStyle w:val="DraftingNote"/>
          <w:b w:val="0"/>
          <w:color w:val="auto"/>
          <w:sz w:val="26"/>
          <w:u w:val="none"/>
        </w:rPr>
        <w:t xml:space="preserve"> and Schmidt 2007). In 2007, Microsoft lost its appeal against the EC’s case (Court of First Instance 2007). In 2008, the EC found that the royalty rates Microsoft requested for interoperability information were not on reasonable terms, and imposed an additional €899 million fine (European Commission 2008). This fine was upheld in 2012, but reduced slightly (General Court of the European Union 2012). </w:t>
      </w:r>
    </w:p>
    <w:p w14:paraId="73FF0E10" w14:textId="2B11CBFF" w:rsidR="008D1BF5" w:rsidRDefault="008D1BF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D1BF5" w14:paraId="072B87A0" w14:textId="77777777">
        <w:tc>
          <w:tcPr>
            <w:tcW w:w="8771" w:type="dxa"/>
            <w:tcBorders>
              <w:top w:val="single" w:sz="6" w:space="0" w:color="auto"/>
              <w:bottom w:val="nil"/>
            </w:tcBorders>
          </w:tcPr>
          <w:p w14:paraId="1ACB5FEB" w14:textId="77777777" w:rsidR="008D1BF5" w:rsidRDefault="008D1BF5" w:rsidP="000A0352">
            <w:pPr>
              <w:pStyle w:val="BoxTitle"/>
            </w:pPr>
            <w:r>
              <w:rPr>
                <w:b w:val="0"/>
              </w:rPr>
              <w:t xml:space="preserve">Box </w:t>
            </w:r>
            <w:r>
              <w:rPr>
                <w:b w:val="0"/>
              </w:rPr>
              <w:fldChar w:fldCharType="begin"/>
            </w:r>
            <w:r>
              <w:rPr>
                <w:b w:val="0"/>
              </w:rPr>
              <w:instrText xml:space="preserve"> COMMENTS  \* MERGEFORMAT </w:instrText>
            </w:r>
            <w:r>
              <w:rPr>
                <w:b w:val="0"/>
              </w:rPr>
              <w:fldChar w:fldCharType="separate"/>
            </w:r>
            <w:proofErr w:type="spellStart"/>
            <w:r w:rsidR="00384F41">
              <w:rPr>
                <w:b w:val="0"/>
              </w:rPr>
              <w:t>C.</w:t>
            </w:r>
            <w:r>
              <w:rPr>
                <w:b w:val="0"/>
              </w:rPr>
              <w:fldChar w:fldCharType="end"/>
            </w:r>
            <w:r>
              <w:rPr>
                <w:b w:val="0"/>
              </w:rPr>
              <w:fldChar w:fldCharType="begin"/>
            </w:r>
            <w:r>
              <w:rPr>
                <w:b w:val="0"/>
              </w:rPr>
              <w:instrText xml:space="preserve"> SEQ Box \* ARABIC </w:instrText>
            </w:r>
            <w:r>
              <w:rPr>
                <w:b w:val="0"/>
              </w:rPr>
              <w:fldChar w:fldCharType="separate"/>
            </w:r>
            <w:r w:rsidR="002A73B1">
              <w:rPr>
                <w:b w:val="0"/>
                <w:noProof/>
              </w:rPr>
              <w:t>5</w:t>
            </w:r>
            <w:proofErr w:type="spellEnd"/>
            <w:r>
              <w:rPr>
                <w:b w:val="0"/>
              </w:rPr>
              <w:fldChar w:fldCharType="end"/>
            </w:r>
            <w:r>
              <w:tab/>
            </w:r>
            <w:r w:rsidR="000C5CEC">
              <w:t xml:space="preserve">Key </w:t>
            </w:r>
            <w:r w:rsidR="000A0352">
              <w:t xml:space="preserve">competition </w:t>
            </w:r>
            <w:r w:rsidR="000C5CEC">
              <w:t xml:space="preserve">cases </w:t>
            </w:r>
            <w:r w:rsidR="000A0352">
              <w:t xml:space="preserve">involving </w:t>
            </w:r>
            <w:r w:rsidR="000C5CEC">
              <w:t xml:space="preserve">compulsory licensing of IP </w:t>
            </w:r>
            <w:r>
              <w:t xml:space="preserve">in </w:t>
            </w:r>
            <w:r w:rsidR="000C5CEC">
              <w:t>the Euro</w:t>
            </w:r>
            <w:r>
              <w:t>pean Union</w:t>
            </w:r>
          </w:p>
        </w:tc>
      </w:tr>
      <w:tr w:rsidR="008D1BF5" w14:paraId="0C3EAE98" w14:textId="77777777">
        <w:trPr>
          <w:cantSplit/>
        </w:trPr>
        <w:tc>
          <w:tcPr>
            <w:tcW w:w="8771" w:type="dxa"/>
            <w:tcBorders>
              <w:top w:val="nil"/>
              <w:left w:val="single" w:sz="6" w:space="0" w:color="auto"/>
              <w:bottom w:val="nil"/>
              <w:right w:val="single" w:sz="6" w:space="0" w:color="auto"/>
            </w:tcBorders>
          </w:tcPr>
          <w:p w14:paraId="2BFEC304" w14:textId="77777777" w:rsidR="008D1BF5" w:rsidRDefault="008D1BF5">
            <w:pPr>
              <w:pStyle w:val="Box"/>
              <w:rPr>
                <w:rStyle w:val="DraftingNote"/>
                <w:rFonts w:eastAsiaTheme="minorHAnsi" w:cs="Calibri"/>
                <w:b w:val="0"/>
                <w:color w:val="auto"/>
                <w:sz w:val="26"/>
                <w:szCs w:val="22"/>
                <w:u w:val="none"/>
                <w:lang w:eastAsia="en-US"/>
              </w:rPr>
            </w:pPr>
            <w:r w:rsidRPr="000C5CEC">
              <w:rPr>
                <w:i/>
              </w:rPr>
              <w:t>Magill</w:t>
            </w:r>
            <w:r w:rsidRPr="000C5CEC">
              <w:t xml:space="preserve"> — </w:t>
            </w:r>
            <w:r w:rsidRPr="009C4ED6">
              <w:t>In the 1980s, most Irish and Northern Irish homes were able to receive television programs from the Irish State Broadcaster (RTE), ITV and the BBC. Under Irish and UK copyright law these broadcasters owned the copyright for list</w:t>
            </w:r>
            <w:r w:rsidR="000C5CEC">
              <w:t>s</w:t>
            </w:r>
            <w:r w:rsidRPr="009C4ED6">
              <w:t xml:space="preserve"> of their programs</w:t>
            </w:r>
            <w:r w:rsidR="002E7FCD">
              <w:t xml:space="preserve">, and provided this information </w:t>
            </w:r>
            <w:r w:rsidRPr="009C4ED6">
              <w:t xml:space="preserve">free of charge to newspapers. However, there was no comprehensive TV guide. In 1985, Mr Magill decided to produce a </w:t>
            </w:r>
            <w:r w:rsidR="000C5CEC">
              <w:t xml:space="preserve">TV </w:t>
            </w:r>
            <w:r w:rsidRPr="009C4ED6">
              <w:t xml:space="preserve">guide, but the broadcasters refused to provide him with a list of </w:t>
            </w:r>
            <w:r w:rsidR="000C5CEC">
              <w:t xml:space="preserve">their </w:t>
            </w:r>
            <w:r w:rsidRPr="009C4ED6">
              <w:t xml:space="preserve">programs. Magill complained to the European Commission </w:t>
            </w:r>
            <w:r w:rsidR="004D5183">
              <w:t xml:space="preserve">(EC) </w:t>
            </w:r>
            <w:r w:rsidRPr="009C4ED6">
              <w:t>that the broadcasters were abusing their dominant position</w:t>
            </w:r>
            <w:r w:rsidR="000A0352">
              <w:t>,</w:t>
            </w:r>
            <w:r w:rsidRPr="009C4ED6">
              <w:t xml:space="preserve"> and therefore breaching Article 86 of the Treaty of Rome. Despite the general presumption that IP rights allowed IP holders to refuse to license their IP, the European Court of Justice found that the broadcasters </w:t>
            </w:r>
            <w:r w:rsidR="002E7FCD">
              <w:t xml:space="preserve">had abused their dominant position because they </w:t>
            </w:r>
            <w:r w:rsidRPr="009C4ED6">
              <w:t xml:space="preserve">held information which </w:t>
            </w:r>
            <w:r w:rsidR="002E7FCD">
              <w:t xml:space="preserve">was ‘essential’ </w:t>
            </w:r>
            <w:r w:rsidRPr="009C4ED6">
              <w:t>and by refusing to license they had prevented competition. The Court found in Magill’s favour</w:t>
            </w:r>
            <w:r w:rsidR="002E7FCD">
              <w:t xml:space="preserve"> and required the broadcasters to provide list</w:t>
            </w:r>
            <w:r w:rsidR="00DD7154">
              <w:t>s</w:t>
            </w:r>
            <w:r w:rsidR="002E7FCD">
              <w:t xml:space="preserve"> of their programs to Magill</w:t>
            </w:r>
            <w:r w:rsidRPr="009C4ED6">
              <w:t>.</w:t>
            </w:r>
          </w:p>
          <w:p w14:paraId="678C4BA4" w14:textId="77777777" w:rsidR="008D1BF5" w:rsidRPr="009C4ED6" w:rsidRDefault="000C5CEC" w:rsidP="004D5183">
            <w:pPr>
              <w:pStyle w:val="Box"/>
            </w:pPr>
            <w:r w:rsidRPr="009C4ED6">
              <w:rPr>
                <w:rStyle w:val="DraftingNote"/>
                <w:b w:val="0"/>
                <w:i/>
                <w:color w:val="auto"/>
                <w:sz w:val="22"/>
                <w:u w:val="none"/>
              </w:rPr>
              <w:t>IMS Health</w:t>
            </w:r>
            <w:r w:rsidR="006C3F7A">
              <w:rPr>
                <w:rStyle w:val="DraftingNote"/>
                <w:b w:val="0"/>
                <w:i/>
                <w:color w:val="auto"/>
                <w:sz w:val="22"/>
                <w:u w:val="none"/>
              </w:rPr>
              <w:t xml:space="preserve"> v NDC Health</w:t>
            </w:r>
            <w:r>
              <w:rPr>
                <w:rStyle w:val="DraftingNote"/>
                <w:b w:val="0"/>
                <w:color w:val="auto"/>
                <w:sz w:val="22"/>
                <w:u w:val="none"/>
              </w:rPr>
              <w:t xml:space="preserve"> — </w:t>
            </w:r>
            <w:r w:rsidR="005536A4">
              <w:rPr>
                <w:rStyle w:val="DraftingNote"/>
                <w:b w:val="0"/>
                <w:color w:val="auto"/>
                <w:sz w:val="22"/>
                <w:u w:val="none"/>
              </w:rPr>
              <w:t xml:space="preserve">For many years, </w:t>
            </w:r>
            <w:r w:rsidRPr="009C4ED6">
              <w:rPr>
                <w:rStyle w:val="DraftingNote"/>
                <w:b w:val="0"/>
                <w:color w:val="auto"/>
                <w:sz w:val="22"/>
                <w:u w:val="none"/>
              </w:rPr>
              <w:t>I</w:t>
            </w:r>
            <w:r w:rsidR="005536A4">
              <w:rPr>
                <w:rStyle w:val="DraftingNote"/>
                <w:b w:val="0"/>
                <w:color w:val="auto"/>
                <w:sz w:val="22"/>
                <w:u w:val="none"/>
              </w:rPr>
              <w:t xml:space="preserve">ntercontinental </w:t>
            </w:r>
            <w:r w:rsidRPr="009C4ED6">
              <w:rPr>
                <w:rStyle w:val="DraftingNote"/>
                <w:b w:val="0"/>
                <w:color w:val="auto"/>
                <w:sz w:val="22"/>
                <w:u w:val="none"/>
              </w:rPr>
              <w:t>M</w:t>
            </w:r>
            <w:r w:rsidR="005536A4">
              <w:rPr>
                <w:rStyle w:val="DraftingNote"/>
                <w:b w:val="0"/>
                <w:color w:val="auto"/>
                <w:sz w:val="22"/>
                <w:u w:val="none"/>
              </w:rPr>
              <w:t xml:space="preserve">arketing </w:t>
            </w:r>
            <w:r w:rsidRPr="009C4ED6">
              <w:rPr>
                <w:rStyle w:val="DraftingNote"/>
                <w:b w:val="0"/>
                <w:color w:val="auto"/>
                <w:sz w:val="22"/>
                <w:u w:val="none"/>
              </w:rPr>
              <w:t>S</w:t>
            </w:r>
            <w:r w:rsidR="005536A4">
              <w:rPr>
                <w:rStyle w:val="DraftingNote"/>
                <w:b w:val="0"/>
                <w:color w:val="auto"/>
                <w:sz w:val="22"/>
                <w:u w:val="none"/>
              </w:rPr>
              <w:t>ervices</w:t>
            </w:r>
            <w:r w:rsidRPr="009C4ED6">
              <w:rPr>
                <w:rStyle w:val="DraftingNote"/>
                <w:b w:val="0"/>
                <w:color w:val="auto"/>
                <w:sz w:val="22"/>
                <w:u w:val="none"/>
              </w:rPr>
              <w:t xml:space="preserve"> Health</w:t>
            </w:r>
            <w:r w:rsidR="005536A4">
              <w:rPr>
                <w:rStyle w:val="DraftingNote"/>
                <w:b w:val="0"/>
                <w:color w:val="auto"/>
                <w:sz w:val="22"/>
                <w:u w:val="none"/>
              </w:rPr>
              <w:t xml:space="preserve"> Inc. (IMS)</w:t>
            </w:r>
            <w:r w:rsidR="00561C6D">
              <w:rPr>
                <w:rStyle w:val="DraftingNote"/>
                <w:b w:val="0"/>
                <w:color w:val="auto"/>
                <w:sz w:val="22"/>
                <w:u w:val="none"/>
              </w:rPr>
              <w:t xml:space="preserve"> </w:t>
            </w:r>
            <w:r w:rsidRPr="009C4ED6">
              <w:rPr>
                <w:rStyle w:val="DraftingNote"/>
                <w:b w:val="0"/>
                <w:color w:val="auto"/>
                <w:sz w:val="22"/>
                <w:u w:val="none"/>
              </w:rPr>
              <w:t>was</w:t>
            </w:r>
            <w:r w:rsidR="005536A4">
              <w:rPr>
                <w:rStyle w:val="DraftingNote"/>
                <w:b w:val="0"/>
                <w:color w:val="auto"/>
                <w:sz w:val="22"/>
                <w:u w:val="none"/>
              </w:rPr>
              <w:t xml:space="preserve"> the sole</w:t>
            </w:r>
            <w:r w:rsidR="003928E7">
              <w:rPr>
                <w:rStyle w:val="DraftingNote"/>
                <w:b w:val="0"/>
                <w:color w:val="auto"/>
                <w:sz w:val="22"/>
                <w:u w:val="none"/>
              </w:rPr>
              <w:t xml:space="preserve"> </w:t>
            </w:r>
            <w:r w:rsidRPr="009C4ED6">
              <w:rPr>
                <w:rStyle w:val="DraftingNote"/>
                <w:b w:val="0"/>
                <w:color w:val="auto"/>
                <w:sz w:val="22"/>
                <w:u w:val="none"/>
              </w:rPr>
              <w:t xml:space="preserve">supplier of regional sales data to the pharmaceutical industry in Germany. IMS supplied data to its </w:t>
            </w:r>
            <w:r w:rsidR="00561C6D">
              <w:rPr>
                <w:rStyle w:val="DraftingNote"/>
                <w:b w:val="0"/>
                <w:color w:val="auto"/>
                <w:sz w:val="22"/>
                <w:u w:val="none"/>
              </w:rPr>
              <w:t xml:space="preserve">customers </w:t>
            </w:r>
            <w:r w:rsidRPr="009C4ED6">
              <w:rPr>
                <w:rStyle w:val="DraftingNote"/>
                <w:b w:val="0"/>
                <w:color w:val="auto"/>
                <w:sz w:val="22"/>
                <w:u w:val="none"/>
              </w:rPr>
              <w:t xml:space="preserve">using a specific format — based on geographical units, known as ‘bricks’. </w:t>
            </w:r>
            <w:r w:rsidR="00561C6D">
              <w:rPr>
                <w:rStyle w:val="DraftingNote"/>
                <w:b w:val="0"/>
                <w:color w:val="auto"/>
                <w:sz w:val="22"/>
                <w:u w:val="none"/>
              </w:rPr>
              <w:t xml:space="preserve">This format had been developed over decades through collaboration with the pharmaceutical industry. </w:t>
            </w:r>
            <w:r w:rsidR="005536A4">
              <w:rPr>
                <w:rStyle w:val="DraftingNote"/>
                <w:b w:val="0"/>
                <w:color w:val="auto"/>
                <w:sz w:val="22"/>
                <w:u w:val="none"/>
              </w:rPr>
              <w:t>In 1999, two competitors — National Data Corporation (NDC) and AzyX — tried to enter the market. When these competitors used the brick system, IMS successfully sued for copyright infringement and w</w:t>
            </w:r>
            <w:r w:rsidR="000A0352">
              <w:rPr>
                <w:rStyle w:val="DraftingNote"/>
                <w:b w:val="0"/>
                <w:color w:val="auto"/>
                <w:sz w:val="22"/>
                <w:u w:val="none"/>
              </w:rPr>
              <w:t>as</w:t>
            </w:r>
            <w:r w:rsidR="005536A4">
              <w:rPr>
                <w:rStyle w:val="DraftingNote"/>
                <w:b w:val="0"/>
                <w:color w:val="auto"/>
                <w:sz w:val="22"/>
                <w:u w:val="none"/>
              </w:rPr>
              <w:t xml:space="preserve"> granted an injunction. </w:t>
            </w:r>
            <w:r w:rsidR="00561C6D">
              <w:rPr>
                <w:rStyle w:val="DraftingNote"/>
                <w:b w:val="0"/>
                <w:color w:val="auto"/>
                <w:sz w:val="22"/>
                <w:u w:val="none"/>
              </w:rPr>
              <w:t xml:space="preserve">IMS </w:t>
            </w:r>
            <w:r w:rsidR="005536A4">
              <w:rPr>
                <w:rStyle w:val="DraftingNote"/>
                <w:b w:val="0"/>
                <w:color w:val="auto"/>
                <w:sz w:val="22"/>
                <w:u w:val="none"/>
              </w:rPr>
              <w:t xml:space="preserve">subsequently refused to license its format to competitors. </w:t>
            </w:r>
            <w:r w:rsidRPr="009C4ED6">
              <w:rPr>
                <w:rStyle w:val="DraftingNote"/>
                <w:b w:val="0"/>
                <w:color w:val="auto"/>
                <w:sz w:val="22"/>
                <w:u w:val="none"/>
              </w:rPr>
              <w:t>In 2000,</w:t>
            </w:r>
            <w:r w:rsidR="00561C6D">
              <w:rPr>
                <w:rStyle w:val="DraftingNote"/>
                <w:b w:val="0"/>
                <w:color w:val="auto"/>
                <w:sz w:val="22"/>
                <w:u w:val="none"/>
              </w:rPr>
              <w:t xml:space="preserve"> NDC</w:t>
            </w:r>
            <w:r w:rsidRPr="009C4ED6">
              <w:rPr>
                <w:rStyle w:val="DraftingNote"/>
                <w:b w:val="0"/>
                <w:color w:val="auto"/>
                <w:sz w:val="22"/>
                <w:u w:val="none"/>
              </w:rPr>
              <w:t xml:space="preserve"> </w:t>
            </w:r>
            <w:r w:rsidR="00561C6D">
              <w:rPr>
                <w:rStyle w:val="DraftingNote"/>
                <w:b w:val="0"/>
                <w:color w:val="auto"/>
                <w:sz w:val="22"/>
                <w:u w:val="none"/>
              </w:rPr>
              <w:t xml:space="preserve">complained to the </w:t>
            </w:r>
            <w:r w:rsidR="004D5183">
              <w:rPr>
                <w:rStyle w:val="DraftingNote"/>
                <w:b w:val="0"/>
                <w:color w:val="auto"/>
                <w:sz w:val="22"/>
                <w:u w:val="none"/>
              </w:rPr>
              <w:t>EC</w:t>
            </w:r>
            <w:r w:rsidR="00561C6D">
              <w:rPr>
                <w:rStyle w:val="DraftingNote"/>
                <w:b w:val="0"/>
                <w:color w:val="auto"/>
                <w:sz w:val="22"/>
                <w:u w:val="none"/>
              </w:rPr>
              <w:t xml:space="preserve">, arguing that </w:t>
            </w:r>
            <w:r w:rsidR="00DD7154">
              <w:rPr>
                <w:rStyle w:val="DraftingNote"/>
                <w:b w:val="0"/>
                <w:color w:val="auto"/>
                <w:sz w:val="22"/>
                <w:u w:val="none"/>
              </w:rPr>
              <w:t>the brick structure was an industry standard</w:t>
            </w:r>
            <w:r w:rsidR="005536A4">
              <w:rPr>
                <w:rStyle w:val="DraftingNote"/>
                <w:b w:val="0"/>
                <w:color w:val="auto"/>
                <w:sz w:val="22"/>
                <w:u w:val="none"/>
              </w:rPr>
              <w:t>, and it could not compete without using this standard</w:t>
            </w:r>
            <w:r w:rsidR="00DD7154">
              <w:rPr>
                <w:rStyle w:val="DraftingNote"/>
                <w:b w:val="0"/>
                <w:color w:val="auto"/>
                <w:sz w:val="22"/>
                <w:u w:val="none"/>
              </w:rPr>
              <w:t>.</w:t>
            </w:r>
            <w:r w:rsidRPr="009C4ED6">
              <w:rPr>
                <w:rStyle w:val="DraftingNote"/>
                <w:b w:val="0"/>
                <w:color w:val="auto"/>
                <w:sz w:val="22"/>
                <w:u w:val="none"/>
              </w:rPr>
              <w:t xml:space="preserve"> In 2001, the </w:t>
            </w:r>
            <w:r w:rsidR="004D5183">
              <w:rPr>
                <w:rStyle w:val="DraftingNote"/>
                <w:b w:val="0"/>
                <w:color w:val="auto"/>
                <w:sz w:val="22"/>
                <w:u w:val="none"/>
              </w:rPr>
              <w:t>E</w:t>
            </w:r>
            <w:r w:rsidRPr="009C4ED6">
              <w:rPr>
                <w:rStyle w:val="DraftingNote"/>
                <w:b w:val="0"/>
                <w:color w:val="auto"/>
                <w:sz w:val="22"/>
                <w:u w:val="none"/>
              </w:rPr>
              <w:t>C issued a preliminary ruling finding that IMS had abused its dominant position in the German market and required it to lice</w:t>
            </w:r>
            <w:r w:rsidR="005536A4">
              <w:rPr>
                <w:rStyle w:val="DraftingNote"/>
                <w:b w:val="0"/>
                <w:color w:val="auto"/>
                <w:sz w:val="22"/>
                <w:u w:val="none"/>
              </w:rPr>
              <w:t>nse its brick system to NDC and</w:t>
            </w:r>
            <w:r w:rsidRPr="009C4ED6">
              <w:rPr>
                <w:rStyle w:val="DraftingNote"/>
                <w:b w:val="0"/>
                <w:color w:val="auto"/>
                <w:sz w:val="22"/>
                <w:u w:val="none"/>
              </w:rPr>
              <w:t xml:space="preserve"> AzyX.</w:t>
            </w:r>
            <w:r w:rsidR="00375F81">
              <w:rPr>
                <w:rStyle w:val="DraftingNote"/>
                <w:b w:val="0"/>
                <w:color w:val="auto"/>
                <w:sz w:val="22"/>
                <w:u w:val="none"/>
              </w:rPr>
              <w:t xml:space="preserve"> The </w:t>
            </w:r>
            <w:r w:rsidR="006C3F7A">
              <w:rPr>
                <w:rStyle w:val="DraftingNote"/>
                <w:b w:val="0"/>
                <w:color w:val="auto"/>
                <w:sz w:val="22"/>
                <w:u w:val="none"/>
              </w:rPr>
              <w:t xml:space="preserve">matter was further considered </w:t>
            </w:r>
            <w:r w:rsidR="004B02F3">
              <w:rPr>
                <w:rStyle w:val="DraftingNote"/>
                <w:b w:val="0"/>
                <w:color w:val="auto"/>
                <w:sz w:val="22"/>
                <w:u w:val="none"/>
              </w:rPr>
              <w:t>by a series of German and European courts</w:t>
            </w:r>
            <w:r w:rsidR="006C3F7A">
              <w:rPr>
                <w:rStyle w:val="DraftingNote"/>
                <w:b w:val="0"/>
                <w:color w:val="auto"/>
                <w:sz w:val="22"/>
                <w:u w:val="none"/>
              </w:rPr>
              <w:t>.</w:t>
            </w:r>
          </w:p>
        </w:tc>
      </w:tr>
      <w:tr w:rsidR="008D1BF5" w14:paraId="7123EAB6" w14:textId="77777777">
        <w:trPr>
          <w:cantSplit/>
        </w:trPr>
        <w:tc>
          <w:tcPr>
            <w:tcW w:w="8771" w:type="dxa"/>
            <w:tcBorders>
              <w:top w:val="nil"/>
              <w:left w:val="single" w:sz="6" w:space="0" w:color="auto"/>
              <w:bottom w:val="nil"/>
              <w:right w:val="single" w:sz="6" w:space="0" w:color="auto"/>
            </w:tcBorders>
          </w:tcPr>
          <w:p w14:paraId="5BBCB2CB" w14:textId="77777777" w:rsidR="008D1BF5" w:rsidRDefault="008D1BF5" w:rsidP="00737130">
            <w:pPr>
              <w:pStyle w:val="BoxSource"/>
              <w:rPr>
                <w:i/>
              </w:rPr>
            </w:pPr>
            <w:r>
              <w:rPr>
                <w:i/>
              </w:rPr>
              <w:t>Source</w:t>
            </w:r>
            <w:r w:rsidR="004D5183">
              <w:rPr>
                <w:i/>
              </w:rPr>
              <w:t>s</w:t>
            </w:r>
            <w:r w:rsidRPr="00167F06">
              <w:t xml:space="preserve">: </w:t>
            </w:r>
            <w:r w:rsidR="00A82607">
              <w:t xml:space="preserve">Delrahim (2004); </w:t>
            </w:r>
            <w:r w:rsidR="00343BE3">
              <w:t xml:space="preserve">Glazer (2006); </w:t>
            </w:r>
            <w:r w:rsidR="00CC21CF">
              <w:t>Hull</w:t>
            </w:r>
            <w:r w:rsidR="004D6E78">
              <w:t>, Atwood and Perrine</w:t>
            </w:r>
            <w:r w:rsidR="00CC21CF">
              <w:t xml:space="preserve"> (2002)</w:t>
            </w:r>
            <w:r w:rsidR="00737130">
              <w:t>.</w:t>
            </w:r>
            <w:r w:rsidR="00DD7154">
              <w:t xml:space="preserve"> </w:t>
            </w:r>
          </w:p>
        </w:tc>
      </w:tr>
      <w:tr w:rsidR="008D1BF5" w14:paraId="61F684D4" w14:textId="77777777">
        <w:trPr>
          <w:cantSplit/>
        </w:trPr>
        <w:tc>
          <w:tcPr>
            <w:tcW w:w="8771" w:type="dxa"/>
            <w:tcBorders>
              <w:top w:val="nil"/>
              <w:left w:val="single" w:sz="6" w:space="0" w:color="auto"/>
              <w:bottom w:val="single" w:sz="6" w:space="0" w:color="auto"/>
              <w:right w:val="single" w:sz="6" w:space="0" w:color="auto"/>
            </w:tcBorders>
          </w:tcPr>
          <w:p w14:paraId="09F04793" w14:textId="77777777" w:rsidR="008D1BF5" w:rsidRDefault="008D1BF5">
            <w:pPr>
              <w:pStyle w:val="Box"/>
              <w:spacing w:before="0" w:line="120" w:lineRule="exact"/>
            </w:pPr>
          </w:p>
        </w:tc>
      </w:tr>
      <w:tr w:rsidR="008D1BF5" w:rsidRPr="000863A5" w14:paraId="013FFD12" w14:textId="77777777">
        <w:tc>
          <w:tcPr>
            <w:tcW w:w="8771" w:type="dxa"/>
            <w:tcBorders>
              <w:top w:val="nil"/>
              <w:left w:val="nil"/>
              <w:bottom w:val="nil"/>
              <w:right w:val="nil"/>
            </w:tcBorders>
          </w:tcPr>
          <w:p w14:paraId="49529C38" w14:textId="64CBBEB1" w:rsidR="008D1BF5" w:rsidRPr="00626D32" w:rsidRDefault="008D1BF5" w:rsidP="000C5CEC">
            <w:pPr>
              <w:pStyle w:val="BoxSpaceBelow"/>
            </w:pPr>
          </w:p>
        </w:tc>
      </w:tr>
    </w:tbl>
    <w:p w14:paraId="66980F25" w14:textId="77777777" w:rsidR="009C032B" w:rsidRDefault="009C032B" w:rsidP="009C032B">
      <w:pPr>
        <w:pStyle w:val="BodyText"/>
        <w:rPr>
          <w:szCs w:val="26"/>
        </w:rPr>
      </w:pPr>
      <w:proofErr w:type="spellStart"/>
      <w:r>
        <w:rPr>
          <w:szCs w:val="26"/>
        </w:rPr>
        <w:t>Ezrachi</w:t>
      </w:r>
      <w:proofErr w:type="spellEnd"/>
      <w:r>
        <w:rPr>
          <w:szCs w:val="26"/>
        </w:rPr>
        <w:t xml:space="preserve"> and </w:t>
      </w:r>
      <w:proofErr w:type="spellStart"/>
      <w:r>
        <w:rPr>
          <w:szCs w:val="26"/>
        </w:rPr>
        <w:t>Maggiolino</w:t>
      </w:r>
      <w:proofErr w:type="spellEnd"/>
      <w:r>
        <w:rPr>
          <w:szCs w:val="26"/>
        </w:rPr>
        <w:t xml:space="preserve"> (2012) argued that the concept of indispensability formulated in </w:t>
      </w:r>
      <w:r w:rsidRPr="00E80CC6">
        <w:rPr>
          <w:i/>
          <w:szCs w:val="26"/>
        </w:rPr>
        <w:t>Magill</w:t>
      </w:r>
      <w:r>
        <w:rPr>
          <w:szCs w:val="26"/>
        </w:rPr>
        <w:t xml:space="preserve"> and </w:t>
      </w:r>
      <w:r w:rsidRPr="00E80CC6">
        <w:rPr>
          <w:i/>
          <w:szCs w:val="26"/>
        </w:rPr>
        <w:t>IMS Health</w:t>
      </w:r>
      <w:r>
        <w:rPr>
          <w:szCs w:val="26"/>
        </w:rPr>
        <w:t xml:space="preserve"> was broadened in the Microsoft cases to include ‘economic indispensability’, because although an alternative to using </w:t>
      </w:r>
      <w:r>
        <w:rPr>
          <w:szCs w:val="26"/>
        </w:rPr>
        <w:lastRenderedPageBreak/>
        <w:t>Microsoft products was technically possible</w:t>
      </w:r>
      <w:r w:rsidR="004D5183">
        <w:rPr>
          <w:szCs w:val="26"/>
        </w:rPr>
        <w:t>,</w:t>
      </w:r>
      <w:r>
        <w:rPr>
          <w:szCs w:val="26"/>
        </w:rPr>
        <w:t xml:space="preserve"> any alternative would not be economically viable. </w:t>
      </w:r>
    </w:p>
    <w:p w14:paraId="7289EAB6" w14:textId="77777777" w:rsidR="002076F8" w:rsidRPr="00E86D99" w:rsidRDefault="002076F8" w:rsidP="00F172E6">
      <w:pPr>
        <w:pStyle w:val="Heading3"/>
      </w:pPr>
      <w:r w:rsidRPr="00E86D99">
        <w:t>Impacts of compulsory licensing</w:t>
      </w:r>
    </w:p>
    <w:p w14:paraId="2FFE3404" w14:textId="77777777" w:rsidR="002076F8" w:rsidRDefault="002076F8" w:rsidP="002076F8">
      <w:pPr>
        <w:pStyle w:val="BodyText"/>
        <w:rPr>
          <w:rStyle w:val="DraftingNote"/>
          <w:b w:val="0"/>
          <w:color w:val="auto"/>
          <w:sz w:val="26"/>
          <w:u w:val="none"/>
        </w:rPr>
      </w:pPr>
      <w:r>
        <w:rPr>
          <w:rStyle w:val="DraftingNote"/>
          <w:b w:val="0"/>
          <w:color w:val="auto"/>
          <w:sz w:val="26"/>
          <w:u w:val="none"/>
        </w:rPr>
        <w:t>There is much speculation about the impacts of compulsory licensing provisions. Lawson (</w:t>
      </w:r>
      <w:r w:rsidRPr="00996E47">
        <w:rPr>
          <w:rStyle w:val="DraftingNote"/>
          <w:b w:val="0"/>
          <w:color w:val="auto"/>
          <w:sz w:val="26"/>
          <w:u w:val="none"/>
        </w:rPr>
        <w:t>2008</w:t>
      </w:r>
      <w:r w:rsidR="00220564">
        <w:rPr>
          <w:rStyle w:val="DraftingNote"/>
          <w:b w:val="0"/>
          <w:color w:val="auto"/>
          <w:sz w:val="26"/>
          <w:u w:val="none"/>
        </w:rPr>
        <w:t>, p. </w:t>
      </w:r>
      <w:r w:rsidR="00737130">
        <w:rPr>
          <w:rStyle w:val="DraftingNote"/>
          <w:b w:val="0"/>
          <w:color w:val="auto"/>
          <w:sz w:val="26"/>
          <w:u w:val="none"/>
        </w:rPr>
        <w:t>145</w:t>
      </w:r>
      <w:r w:rsidRPr="00996E47">
        <w:rPr>
          <w:rStyle w:val="DraftingNote"/>
          <w:b w:val="0"/>
          <w:color w:val="auto"/>
          <w:sz w:val="26"/>
          <w:u w:val="none"/>
        </w:rPr>
        <w:t>) noted ‘there have been regular assertions that compulsory licensing encourages the licensing and working of inventions sooner’.</w:t>
      </w:r>
      <w:r>
        <w:rPr>
          <w:rStyle w:val="DraftingNote"/>
          <w:b w:val="0"/>
          <w:color w:val="auto"/>
          <w:sz w:val="26"/>
          <w:u w:val="none"/>
        </w:rPr>
        <w:t xml:space="preserve"> These assertions often relate to the threat of compulsory licensing, and the consequent effect on behaviour. </w:t>
      </w:r>
      <w:r w:rsidRPr="00996E47">
        <w:rPr>
          <w:rStyle w:val="DraftingNote"/>
          <w:b w:val="0"/>
          <w:color w:val="auto"/>
          <w:sz w:val="26"/>
          <w:u w:val="none"/>
        </w:rPr>
        <w:t>Reichman (2010</w:t>
      </w:r>
      <w:r w:rsidR="00737130">
        <w:rPr>
          <w:rStyle w:val="DraftingNote"/>
          <w:b w:val="0"/>
          <w:color w:val="auto"/>
          <w:sz w:val="26"/>
          <w:u w:val="none"/>
        </w:rPr>
        <w:t>, p.</w:t>
      </w:r>
      <w:r w:rsidR="00220564">
        <w:rPr>
          <w:rStyle w:val="DraftingNote"/>
          <w:b w:val="0"/>
          <w:color w:val="auto"/>
          <w:sz w:val="26"/>
          <w:u w:val="none"/>
        </w:rPr>
        <w:t> </w:t>
      </w:r>
      <w:r w:rsidR="00737130">
        <w:rPr>
          <w:rStyle w:val="DraftingNote"/>
          <w:b w:val="0"/>
          <w:color w:val="auto"/>
          <w:sz w:val="26"/>
          <w:u w:val="none"/>
        </w:rPr>
        <w:t>596</w:t>
      </w:r>
      <w:r w:rsidRPr="00996E47">
        <w:rPr>
          <w:rStyle w:val="DraftingNote"/>
          <w:b w:val="0"/>
          <w:color w:val="auto"/>
          <w:sz w:val="26"/>
          <w:u w:val="none"/>
        </w:rPr>
        <w:t xml:space="preserve">) </w:t>
      </w:r>
      <w:r>
        <w:rPr>
          <w:rStyle w:val="DraftingNote"/>
          <w:b w:val="0"/>
          <w:color w:val="auto"/>
          <w:sz w:val="26"/>
          <w:u w:val="none"/>
        </w:rPr>
        <w:t>noted that prior to 2006, when developing countries began using compulsory licensing provisions more regularly ‘health ministries in a number of countries had quietly begun to use the threat of compulsory licenses to rein in the prices of selected medicines</w:t>
      </w:r>
      <w:r w:rsidR="00737130">
        <w:rPr>
          <w:rStyle w:val="DraftingNote"/>
          <w:b w:val="0"/>
          <w:color w:val="auto"/>
          <w:sz w:val="26"/>
          <w:u w:val="none"/>
        </w:rPr>
        <w:t>’.</w:t>
      </w:r>
      <w:r>
        <w:rPr>
          <w:rStyle w:val="DraftingNote"/>
          <w:b w:val="0"/>
          <w:color w:val="auto"/>
          <w:sz w:val="26"/>
          <w:u w:val="none"/>
        </w:rPr>
        <w:t xml:space="preserve"> This followed similar threats in developed countries. Reichman noted that, in 2001, the United States threatened Bayer with a compulsory licence on ciprofloxacin, which the U</w:t>
      </w:r>
      <w:r w:rsidR="006677B3">
        <w:rPr>
          <w:rStyle w:val="DraftingNote"/>
          <w:b w:val="0"/>
          <w:color w:val="auto"/>
          <w:sz w:val="26"/>
          <w:u w:val="none"/>
        </w:rPr>
        <w:t xml:space="preserve">nited </w:t>
      </w:r>
      <w:r>
        <w:rPr>
          <w:rStyle w:val="DraftingNote"/>
          <w:b w:val="0"/>
          <w:color w:val="auto"/>
          <w:sz w:val="26"/>
          <w:u w:val="none"/>
        </w:rPr>
        <w:t>S</w:t>
      </w:r>
      <w:r w:rsidR="006677B3">
        <w:rPr>
          <w:rStyle w:val="DraftingNote"/>
          <w:b w:val="0"/>
          <w:color w:val="auto"/>
          <w:sz w:val="26"/>
          <w:u w:val="none"/>
        </w:rPr>
        <w:t>tates</w:t>
      </w:r>
      <w:r>
        <w:rPr>
          <w:rStyle w:val="DraftingNote"/>
          <w:b w:val="0"/>
          <w:color w:val="auto"/>
          <w:sz w:val="26"/>
          <w:u w:val="none"/>
        </w:rPr>
        <w:t xml:space="preserve"> intended to stockpile as a defence against anthrax. Bayer drastically lowered its price after this threat.</w:t>
      </w:r>
      <w:r w:rsidRPr="00996E47">
        <w:t xml:space="preserve"> </w:t>
      </w:r>
      <w:r>
        <w:t>March</w:t>
      </w:r>
      <w:r>
        <w:noBreakHyphen/>
        <w:t xml:space="preserve">in rights, equivalent to compulsory licensing, also appear to have been used in licensing negotiations (ALRC 2004). Packard Love (2007) found that in 2001, Roche and Chiron reached agreement for a voluntary licence for a patent owned by Chiron for a blood screening HIV probe. This followed Roche’s request for a compulsory licence to the German Government in 2000. </w:t>
      </w:r>
    </w:p>
    <w:p w14:paraId="461E4682" w14:textId="61F02138" w:rsidR="008D713F" w:rsidRPr="00B61CD1" w:rsidRDefault="00D35E0A" w:rsidP="00BE6982">
      <w:pPr>
        <w:pStyle w:val="BodyText"/>
      </w:pPr>
      <w:r>
        <w:rPr>
          <w:rStyle w:val="DraftingNote"/>
          <w:b w:val="0"/>
          <w:color w:val="auto"/>
          <w:sz w:val="26"/>
          <w:u w:val="none"/>
        </w:rPr>
        <w:t>As discussed in chapter 2, t</w:t>
      </w:r>
      <w:r w:rsidR="002076F8">
        <w:rPr>
          <w:rStyle w:val="DraftingNote"/>
          <w:b w:val="0"/>
          <w:color w:val="auto"/>
          <w:sz w:val="26"/>
          <w:u w:val="none"/>
        </w:rPr>
        <w:t xml:space="preserve">here is limited literature which measures the effects of compulsory licensing. </w:t>
      </w:r>
      <w:r w:rsidR="002076F8">
        <w:t>Moser and Voena (2009) estimated the effects of compulsory licensing on invention</w:t>
      </w:r>
      <w:r w:rsidR="00CE682B">
        <w:t>s</w:t>
      </w:r>
      <w:r w:rsidR="002076F8">
        <w:t xml:space="preserve"> using data on the changes in patents for chemical inventions by domestic inventors differentially affected by </w:t>
      </w:r>
      <w:r w:rsidR="002076F8" w:rsidRPr="00A507E6">
        <w:t>the</w:t>
      </w:r>
      <w:r w:rsidR="00CE682B" w:rsidRPr="00A507E6">
        <w:t xml:space="preserve"> </w:t>
      </w:r>
      <w:r w:rsidR="002076F8" w:rsidRPr="00A507E6">
        <w:t>Trading with the Enemy Act</w:t>
      </w:r>
      <w:r w:rsidR="00CE682B" w:rsidRPr="00A507E6">
        <w:t xml:space="preserve"> of 1917</w:t>
      </w:r>
      <w:r w:rsidR="007F3CDB">
        <w:rPr>
          <w:i/>
        </w:rPr>
        <w:t xml:space="preserve"> </w:t>
      </w:r>
      <w:r w:rsidR="007F3CDB">
        <w:t>(US)</w:t>
      </w:r>
      <w:r w:rsidR="002076F8">
        <w:t>. The authors estimated that compulsory licensing in the U</w:t>
      </w:r>
      <w:r w:rsidR="006677B3">
        <w:t xml:space="preserve">nited </w:t>
      </w:r>
      <w:r w:rsidR="002076F8">
        <w:t>S</w:t>
      </w:r>
      <w:r w:rsidR="006677B3">
        <w:t>tates</w:t>
      </w:r>
      <w:r w:rsidR="002076F8">
        <w:t xml:space="preserve"> increased domestic invention by at least 20 per cent.</w:t>
      </w:r>
      <w:r w:rsidR="000A65A8">
        <w:t xml:space="preserve"> </w:t>
      </w:r>
      <w:r w:rsidR="0091149B" w:rsidRPr="00B61CD1">
        <w:rPr>
          <w:rStyle w:val="DraftingNote"/>
          <w:b w:val="0"/>
          <w:color w:val="auto"/>
          <w:sz w:val="26"/>
          <w:u w:val="none"/>
        </w:rPr>
        <w:t xml:space="preserve">In the </w:t>
      </w:r>
      <w:r w:rsidR="0032556E">
        <w:rPr>
          <w:rStyle w:val="DraftingNote"/>
          <w:b w:val="0"/>
          <w:color w:val="auto"/>
          <w:sz w:val="26"/>
          <w:u w:val="none"/>
        </w:rPr>
        <w:t>1950</w:t>
      </w:r>
      <w:r w:rsidR="0091149B" w:rsidRPr="00B61CD1">
        <w:rPr>
          <w:rStyle w:val="DraftingNote"/>
          <w:b w:val="0"/>
          <w:color w:val="auto"/>
          <w:sz w:val="26"/>
          <w:u w:val="none"/>
        </w:rPr>
        <w:t>s</w:t>
      </w:r>
      <w:r w:rsidR="00295D1C" w:rsidRPr="00B61CD1">
        <w:rPr>
          <w:rStyle w:val="DraftingNote"/>
          <w:b w:val="0"/>
          <w:color w:val="auto"/>
          <w:sz w:val="26"/>
          <w:u w:val="none"/>
        </w:rPr>
        <w:t xml:space="preserve">, Scherer and others conducted </w:t>
      </w:r>
      <w:r w:rsidR="0091149B" w:rsidRPr="00B61CD1">
        <w:rPr>
          <w:rStyle w:val="DraftingNote"/>
          <w:b w:val="0"/>
          <w:color w:val="auto"/>
          <w:sz w:val="26"/>
          <w:u w:val="none"/>
        </w:rPr>
        <w:t xml:space="preserve">a survey of companies </w:t>
      </w:r>
      <w:r w:rsidR="008D713F" w:rsidRPr="00B61CD1">
        <w:rPr>
          <w:rStyle w:val="DraftingNote"/>
          <w:b w:val="0"/>
          <w:color w:val="auto"/>
          <w:sz w:val="26"/>
          <w:u w:val="none"/>
        </w:rPr>
        <w:t>in the U</w:t>
      </w:r>
      <w:r w:rsidR="006677B3">
        <w:rPr>
          <w:rStyle w:val="DraftingNote"/>
          <w:b w:val="0"/>
          <w:color w:val="auto"/>
          <w:sz w:val="26"/>
          <w:u w:val="none"/>
        </w:rPr>
        <w:t xml:space="preserve">nited </w:t>
      </w:r>
      <w:r w:rsidR="008D713F" w:rsidRPr="00B61CD1">
        <w:rPr>
          <w:rStyle w:val="DraftingNote"/>
          <w:b w:val="0"/>
          <w:color w:val="auto"/>
          <w:sz w:val="26"/>
          <w:u w:val="none"/>
        </w:rPr>
        <w:t>S</w:t>
      </w:r>
      <w:r w:rsidR="006677B3">
        <w:rPr>
          <w:rStyle w:val="DraftingNote"/>
          <w:b w:val="0"/>
          <w:color w:val="auto"/>
          <w:sz w:val="26"/>
          <w:u w:val="none"/>
        </w:rPr>
        <w:t>tates</w:t>
      </w:r>
      <w:r w:rsidR="008D713F" w:rsidRPr="00B61CD1">
        <w:rPr>
          <w:rStyle w:val="DraftingNote"/>
          <w:b w:val="0"/>
          <w:color w:val="auto"/>
          <w:sz w:val="26"/>
          <w:u w:val="none"/>
        </w:rPr>
        <w:t xml:space="preserve"> </w:t>
      </w:r>
      <w:r w:rsidR="0091149B" w:rsidRPr="00B61CD1">
        <w:rPr>
          <w:rStyle w:val="DraftingNote"/>
          <w:b w:val="0"/>
          <w:color w:val="auto"/>
          <w:sz w:val="26"/>
          <w:u w:val="none"/>
        </w:rPr>
        <w:t xml:space="preserve">which </w:t>
      </w:r>
      <w:r w:rsidR="00295D1C" w:rsidRPr="00B61CD1">
        <w:rPr>
          <w:rStyle w:val="DraftingNote"/>
          <w:b w:val="0"/>
          <w:color w:val="auto"/>
          <w:sz w:val="26"/>
          <w:u w:val="none"/>
        </w:rPr>
        <w:t xml:space="preserve">were subject to </w:t>
      </w:r>
      <w:r w:rsidR="0091149B" w:rsidRPr="00B61CD1">
        <w:rPr>
          <w:rStyle w:val="DraftingNote"/>
          <w:b w:val="0"/>
          <w:color w:val="auto"/>
          <w:sz w:val="26"/>
          <w:u w:val="none"/>
        </w:rPr>
        <w:t>compulsory licensing (</w:t>
      </w:r>
      <w:r w:rsidR="003C77DA">
        <w:rPr>
          <w:rStyle w:val="DraftingNote"/>
          <w:b w:val="0"/>
          <w:color w:val="auto"/>
          <w:sz w:val="26"/>
          <w:u w:val="none"/>
        </w:rPr>
        <w:t xml:space="preserve">cited in </w:t>
      </w:r>
      <w:r w:rsidR="0091149B" w:rsidRPr="00B61CD1">
        <w:rPr>
          <w:rStyle w:val="DraftingNote"/>
          <w:b w:val="0"/>
          <w:color w:val="auto"/>
          <w:sz w:val="26"/>
          <w:u w:val="none"/>
        </w:rPr>
        <w:t>Scherer 2010)</w:t>
      </w:r>
      <w:r w:rsidR="00295D1C" w:rsidRPr="00B61CD1">
        <w:rPr>
          <w:rStyle w:val="DraftingNote"/>
          <w:b w:val="0"/>
          <w:color w:val="auto"/>
          <w:sz w:val="26"/>
          <w:u w:val="none"/>
        </w:rPr>
        <w:t xml:space="preserve">. Scherer noted that they found few negative effects of compulsory licensing on innovation. </w:t>
      </w:r>
      <w:r w:rsidR="00357197">
        <w:rPr>
          <w:rStyle w:val="DraftingNote"/>
          <w:b w:val="0"/>
          <w:color w:val="auto"/>
          <w:sz w:val="26"/>
          <w:u w:val="none"/>
        </w:rPr>
        <w:t>He</w:t>
      </w:r>
      <w:r w:rsidR="00295D1C" w:rsidRPr="00B61CD1">
        <w:rPr>
          <w:rStyle w:val="DraftingNote"/>
          <w:b w:val="0"/>
          <w:color w:val="auto"/>
          <w:sz w:val="26"/>
          <w:u w:val="none"/>
        </w:rPr>
        <w:t xml:space="preserve"> </w:t>
      </w:r>
      <w:r w:rsidR="008D713F" w:rsidRPr="00B61CD1">
        <w:rPr>
          <w:rStyle w:val="DraftingNote"/>
          <w:b w:val="0"/>
          <w:color w:val="auto"/>
          <w:sz w:val="26"/>
          <w:u w:val="none"/>
        </w:rPr>
        <w:t>further studied this issue in 1977 and found that research and development to sales ratio</w:t>
      </w:r>
      <w:r w:rsidR="003C77DA">
        <w:rPr>
          <w:rStyle w:val="DraftingNote"/>
          <w:b w:val="0"/>
          <w:color w:val="auto"/>
          <w:sz w:val="26"/>
          <w:u w:val="none"/>
        </w:rPr>
        <w:t>s</w:t>
      </w:r>
      <w:r w:rsidR="008D713F" w:rsidRPr="00B61CD1">
        <w:rPr>
          <w:rStyle w:val="DraftingNote"/>
          <w:b w:val="0"/>
          <w:color w:val="auto"/>
          <w:sz w:val="26"/>
          <w:u w:val="none"/>
        </w:rPr>
        <w:t xml:space="preserve"> were 36 per cent higher for </w:t>
      </w:r>
      <w:r w:rsidR="00357197">
        <w:rPr>
          <w:rStyle w:val="DraftingNote"/>
          <w:b w:val="0"/>
          <w:color w:val="auto"/>
          <w:sz w:val="26"/>
          <w:u w:val="none"/>
        </w:rPr>
        <w:t xml:space="preserve">companies </w:t>
      </w:r>
      <w:r w:rsidR="008D713F" w:rsidRPr="00B61CD1">
        <w:rPr>
          <w:rStyle w:val="DraftingNote"/>
          <w:b w:val="0"/>
          <w:color w:val="auto"/>
          <w:sz w:val="26"/>
          <w:u w:val="none"/>
        </w:rPr>
        <w:t xml:space="preserve">affected by compulsory licensing. Scherer noted that the impacts of compulsory licensing </w:t>
      </w:r>
      <w:r w:rsidR="003C77DA">
        <w:rPr>
          <w:rStyle w:val="DraftingNote"/>
          <w:b w:val="0"/>
          <w:color w:val="auto"/>
          <w:sz w:val="26"/>
          <w:u w:val="none"/>
        </w:rPr>
        <w:t>were</w:t>
      </w:r>
      <w:r w:rsidR="008D713F" w:rsidRPr="00B61CD1">
        <w:rPr>
          <w:rStyle w:val="DraftingNote"/>
          <w:b w:val="0"/>
          <w:color w:val="auto"/>
          <w:sz w:val="26"/>
          <w:u w:val="none"/>
        </w:rPr>
        <w:t xml:space="preserve"> likely to vary by industry</w:t>
      </w:r>
      <w:r w:rsidR="00B61CD1" w:rsidRPr="00B61CD1">
        <w:rPr>
          <w:rStyle w:val="DraftingNote"/>
          <w:b w:val="0"/>
          <w:color w:val="auto"/>
          <w:sz w:val="26"/>
          <w:u w:val="none"/>
        </w:rPr>
        <w:t>, with those industries with large research and development expenditures, such as pharmaceuticals, likely to be most impacted</w:t>
      </w:r>
      <w:r w:rsidR="008D713F" w:rsidRPr="00B61CD1">
        <w:rPr>
          <w:rStyle w:val="DraftingNote"/>
          <w:b w:val="0"/>
          <w:color w:val="auto"/>
          <w:sz w:val="26"/>
          <w:u w:val="none"/>
        </w:rPr>
        <w:t xml:space="preserve">. </w:t>
      </w:r>
      <w:r w:rsidR="000A65A8">
        <w:rPr>
          <w:rStyle w:val="DraftingNote"/>
          <w:b w:val="0"/>
          <w:color w:val="auto"/>
          <w:sz w:val="26"/>
          <w:u w:val="none"/>
        </w:rPr>
        <w:t xml:space="preserve">Taylor and Silberston (1973) </w:t>
      </w:r>
      <w:r w:rsidR="007B5CC8">
        <w:rPr>
          <w:rStyle w:val="DraftingNote"/>
          <w:b w:val="0"/>
          <w:color w:val="auto"/>
          <w:sz w:val="26"/>
          <w:u w:val="none"/>
        </w:rPr>
        <w:t>examined t</w:t>
      </w:r>
      <w:r w:rsidR="007B5B9D">
        <w:rPr>
          <w:rStyle w:val="DraftingNote"/>
          <w:b w:val="0"/>
          <w:color w:val="auto"/>
          <w:sz w:val="26"/>
          <w:u w:val="none"/>
        </w:rPr>
        <w:t xml:space="preserve">he economic impacts of </w:t>
      </w:r>
      <w:r w:rsidR="006C1390">
        <w:rPr>
          <w:rStyle w:val="DraftingNote"/>
          <w:b w:val="0"/>
          <w:color w:val="auto"/>
          <w:sz w:val="26"/>
          <w:u w:val="none"/>
        </w:rPr>
        <w:t xml:space="preserve">a worldwide regime of compulsory licensing </w:t>
      </w:r>
      <w:r w:rsidR="002F06F4">
        <w:rPr>
          <w:rStyle w:val="DraftingNote"/>
          <w:b w:val="0"/>
          <w:color w:val="auto"/>
          <w:sz w:val="26"/>
          <w:u w:val="none"/>
        </w:rPr>
        <w:t xml:space="preserve">where patents could be accessed provided </w:t>
      </w:r>
      <w:r w:rsidR="006C1390">
        <w:rPr>
          <w:rStyle w:val="DraftingNote"/>
          <w:b w:val="0"/>
          <w:color w:val="auto"/>
          <w:sz w:val="26"/>
          <w:u w:val="none"/>
        </w:rPr>
        <w:t>‘reasonable royalties’</w:t>
      </w:r>
      <w:r w:rsidR="002F06F4">
        <w:rPr>
          <w:rStyle w:val="DraftingNote"/>
          <w:b w:val="0"/>
          <w:color w:val="auto"/>
          <w:sz w:val="26"/>
          <w:u w:val="none"/>
        </w:rPr>
        <w:t xml:space="preserve"> were paid to the patent holder.</w:t>
      </w:r>
      <w:r w:rsidR="00881FE0">
        <w:rPr>
          <w:rStyle w:val="DraftingNote"/>
          <w:b w:val="0"/>
          <w:color w:val="auto"/>
          <w:sz w:val="26"/>
          <w:u w:val="none"/>
        </w:rPr>
        <w:t xml:space="preserve"> </w:t>
      </w:r>
      <w:r w:rsidR="002F06F4">
        <w:rPr>
          <w:rStyle w:val="DraftingNote"/>
          <w:b w:val="0"/>
          <w:color w:val="auto"/>
          <w:sz w:val="26"/>
          <w:u w:val="none"/>
        </w:rPr>
        <w:t>The authors used</w:t>
      </w:r>
      <w:r w:rsidR="00881FE0">
        <w:rPr>
          <w:rStyle w:val="DraftingNote"/>
          <w:b w:val="0"/>
          <w:color w:val="auto"/>
          <w:sz w:val="26"/>
          <w:u w:val="none"/>
        </w:rPr>
        <w:t xml:space="preserve"> a </w:t>
      </w:r>
      <w:r w:rsidR="007B5CC8">
        <w:rPr>
          <w:rStyle w:val="DraftingNote"/>
          <w:b w:val="0"/>
          <w:color w:val="auto"/>
          <w:sz w:val="26"/>
          <w:u w:val="none"/>
        </w:rPr>
        <w:t xml:space="preserve">survey of English </w:t>
      </w:r>
      <w:r w:rsidR="000A65A8">
        <w:rPr>
          <w:rStyle w:val="DraftingNote"/>
          <w:b w:val="0"/>
          <w:color w:val="auto"/>
          <w:sz w:val="26"/>
          <w:u w:val="none"/>
        </w:rPr>
        <w:t>companies in</w:t>
      </w:r>
      <w:r w:rsidR="007B5CC8">
        <w:rPr>
          <w:rStyle w:val="DraftingNote"/>
          <w:b w:val="0"/>
          <w:color w:val="auto"/>
          <w:sz w:val="26"/>
          <w:u w:val="none"/>
        </w:rPr>
        <w:t xml:space="preserve"> the chemicals (including pharmaceuticals), mechanical</w:t>
      </w:r>
      <w:r w:rsidR="000A65A8">
        <w:rPr>
          <w:rStyle w:val="DraftingNote"/>
          <w:b w:val="0"/>
          <w:color w:val="auto"/>
          <w:sz w:val="26"/>
          <w:u w:val="none"/>
        </w:rPr>
        <w:t xml:space="preserve"> </w:t>
      </w:r>
      <w:r w:rsidR="007B5CC8">
        <w:rPr>
          <w:rStyle w:val="DraftingNote"/>
          <w:b w:val="0"/>
          <w:color w:val="auto"/>
          <w:sz w:val="26"/>
          <w:u w:val="none"/>
        </w:rPr>
        <w:t xml:space="preserve">engineering and electrical engineering </w:t>
      </w:r>
      <w:r w:rsidR="007B5CC8">
        <w:rPr>
          <w:rStyle w:val="DraftingNote"/>
          <w:b w:val="0"/>
          <w:color w:val="auto"/>
          <w:sz w:val="26"/>
          <w:u w:val="none"/>
        </w:rPr>
        <w:lastRenderedPageBreak/>
        <w:t xml:space="preserve">industries. </w:t>
      </w:r>
      <w:r w:rsidR="006C1390">
        <w:rPr>
          <w:rStyle w:val="DraftingNote"/>
          <w:b w:val="0"/>
          <w:color w:val="auto"/>
          <w:sz w:val="26"/>
          <w:u w:val="none"/>
        </w:rPr>
        <w:t xml:space="preserve">The authors </w:t>
      </w:r>
      <w:r w:rsidR="002F06F4">
        <w:rPr>
          <w:rStyle w:val="DraftingNote"/>
          <w:b w:val="0"/>
          <w:color w:val="auto"/>
          <w:sz w:val="26"/>
          <w:u w:val="none"/>
        </w:rPr>
        <w:t>predicted</w:t>
      </w:r>
      <w:r w:rsidR="006C1390">
        <w:rPr>
          <w:rStyle w:val="DraftingNote"/>
          <w:b w:val="0"/>
          <w:color w:val="auto"/>
          <w:sz w:val="26"/>
          <w:u w:val="none"/>
        </w:rPr>
        <w:t xml:space="preserve"> that </w:t>
      </w:r>
      <w:r w:rsidR="00BE6982">
        <w:rPr>
          <w:rStyle w:val="DraftingNote"/>
          <w:b w:val="0"/>
          <w:color w:val="auto"/>
          <w:sz w:val="26"/>
          <w:u w:val="none"/>
        </w:rPr>
        <w:t xml:space="preserve">compulsory licensing would lead to an eight per cent decrease in R&amp;D expenditure, on average, </w:t>
      </w:r>
      <w:r w:rsidR="006C1390">
        <w:rPr>
          <w:rStyle w:val="DraftingNote"/>
          <w:b w:val="0"/>
          <w:color w:val="auto"/>
          <w:sz w:val="26"/>
          <w:u w:val="none"/>
        </w:rPr>
        <w:t xml:space="preserve">for the three </w:t>
      </w:r>
      <w:r w:rsidR="00BE6982">
        <w:rPr>
          <w:rStyle w:val="DraftingNote"/>
          <w:b w:val="0"/>
          <w:color w:val="auto"/>
          <w:sz w:val="26"/>
          <w:u w:val="none"/>
        </w:rPr>
        <w:t>industries.</w:t>
      </w:r>
      <w:r w:rsidR="006C1390">
        <w:rPr>
          <w:rStyle w:val="DraftingNote"/>
          <w:b w:val="0"/>
          <w:color w:val="auto"/>
          <w:sz w:val="26"/>
          <w:u w:val="none"/>
        </w:rPr>
        <w:t xml:space="preserve"> However, </w:t>
      </w:r>
      <w:r w:rsidR="00BE6982">
        <w:rPr>
          <w:rStyle w:val="DraftingNote"/>
          <w:b w:val="0"/>
          <w:color w:val="auto"/>
          <w:sz w:val="26"/>
          <w:u w:val="none"/>
        </w:rPr>
        <w:t xml:space="preserve">this figure masked variation within industries. A </w:t>
      </w:r>
      <w:r w:rsidR="006C1390">
        <w:rPr>
          <w:rStyle w:val="DraftingNote"/>
          <w:b w:val="0"/>
          <w:color w:val="auto"/>
          <w:sz w:val="26"/>
          <w:u w:val="none"/>
        </w:rPr>
        <w:t xml:space="preserve">64 per cent </w:t>
      </w:r>
      <w:r w:rsidR="00BE6982">
        <w:rPr>
          <w:rStyle w:val="DraftingNote"/>
          <w:b w:val="0"/>
          <w:color w:val="auto"/>
          <w:sz w:val="26"/>
          <w:u w:val="none"/>
        </w:rPr>
        <w:t xml:space="preserve">decrease in </w:t>
      </w:r>
      <w:r w:rsidR="006C1390">
        <w:rPr>
          <w:rStyle w:val="DraftingNote"/>
          <w:b w:val="0"/>
          <w:color w:val="auto"/>
          <w:sz w:val="26"/>
          <w:u w:val="none"/>
        </w:rPr>
        <w:t xml:space="preserve">R&amp;D expenditure was </w:t>
      </w:r>
      <w:r w:rsidR="00BE6982">
        <w:rPr>
          <w:rStyle w:val="DraftingNote"/>
          <w:b w:val="0"/>
          <w:color w:val="auto"/>
          <w:sz w:val="26"/>
          <w:u w:val="none"/>
        </w:rPr>
        <w:t xml:space="preserve">predicted in the pharmaceutical industry. </w:t>
      </w:r>
      <w:r w:rsidR="00085992">
        <w:rPr>
          <w:rStyle w:val="DraftingNote"/>
          <w:b w:val="0"/>
          <w:color w:val="auto"/>
          <w:sz w:val="26"/>
          <w:u w:val="none"/>
        </w:rPr>
        <w:t xml:space="preserve"> </w:t>
      </w:r>
      <w:r w:rsidR="000A65A8">
        <w:rPr>
          <w:rStyle w:val="DraftingNote"/>
          <w:b w:val="0"/>
          <w:color w:val="auto"/>
          <w:sz w:val="26"/>
          <w:u w:val="none"/>
        </w:rPr>
        <w:t xml:space="preserve"> </w:t>
      </w:r>
    </w:p>
    <w:p w14:paraId="1283C6E4" w14:textId="77777777" w:rsidR="006078C7" w:rsidRDefault="006078C7" w:rsidP="006078C7">
      <w:pPr>
        <w:pStyle w:val="Heading3"/>
      </w:pPr>
      <w:r>
        <w:t xml:space="preserve">Government use </w:t>
      </w:r>
    </w:p>
    <w:p w14:paraId="6471CE40" w14:textId="77777777" w:rsidR="001C0D0F" w:rsidRDefault="006078C7" w:rsidP="006078C7">
      <w:pPr>
        <w:pStyle w:val="BodyText"/>
      </w:pPr>
      <w:r w:rsidRPr="0008248A">
        <w:rPr>
          <w:rStyle w:val="DraftingNote"/>
          <w:b w:val="0"/>
          <w:color w:val="auto"/>
          <w:sz w:val="26"/>
          <w:u w:val="none"/>
        </w:rPr>
        <w:t>ACIP (2005</w:t>
      </w:r>
      <w:r w:rsidR="004D6E78">
        <w:rPr>
          <w:rStyle w:val="DraftingNote"/>
          <w:b w:val="0"/>
          <w:color w:val="auto"/>
          <w:sz w:val="26"/>
          <w:u w:val="none"/>
        </w:rPr>
        <w:t>a</w:t>
      </w:r>
      <w:r w:rsidRPr="0008248A">
        <w:rPr>
          <w:rStyle w:val="DraftingNote"/>
          <w:b w:val="0"/>
          <w:color w:val="auto"/>
          <w:sz w:val="26"/>
          <w:u w:val="none"/>
        </w:rPr>
        <w:t>) found that government</w:t>
      </w:r>
      <w:r>
        <w:rPr>
          <w:rStyle w:val="DraftingNote"/>
          <w:b w:val="0"/>
          <w:color w:val="auto"/>
          <w:sz w:val="26"/>
          <w:u w:val="none"/>
        </w:rPr>
        <w:t>-</w:t>
      </w:r>
      <w:r w:rsidRPr="0008248A">
        <w:rPr>
          <w:rStyle w:val="DraftingNote"/>
          <w:b w:val="0"/>
          <w:color w:val="auto"/>
          <w:sz w:val="26"/>
          <w:u w:val="none"/>
        </w:rPr>
        <w:t>use provisions in Canada, New Zealand and the U</w:t>
      </w:r>
      <w:r w:rsidR="0062249E">
        <w:rPr>
          <w:rStyle w:val="DraftingNote"/>
          <w:b w:val="0"/>
          <w:color w:val="auto"/>
          <w:sz w:val="26"/>
          <w:u w:val="none"/>
        </w:rPr>
        <w:t xml:space="preserve">nited </w:t>
      </w:r>
      <w:r w:rsidRPr="0008248A">
        <w:rPr>
          <w:rStyle w:val="DraftingNote"/>
          <w:b w:val="0"/>
          <w:color w:val="auto"/>
          <w:sz w:val="26"/>
          <w:u w:val="none"/>
        </w:rPr>
        <w:t>K</w:t>
      </w:r>
      <w:r w:rsidR="0062249E">
        <w:rPr>
          <w:rStyle w:val="DraftingNote"/>
          <w:b w:val="0"/>
          <w:color w:val="auto"/>
          <w:sz w:val="26"/>
          <w:u w:val="none"/>
        </w:rPr>
        <w:t>ingdom</w:t>
      </w:r>
      <w:r w:rsidRPr="0008248A">
        <w:rPr>
          <w:rStyle w:val="DraftingNote"/>
          <w:b w:val="0"/>
          <w:color w:val="auto"/>
          <w:sz w:val="26"/>
          <w:u w:val="none"/>
        </w:rPr>
        <w:t xml:space="preserve"> ha</w:t>
      </w:r>
      <w:r w:rsidR="000957C9">
        <w:rPr>
          <w:rStyle w:val="DraftingNote"/>
          <w:b w:val="0"/>
          <w:color w:val="auto"/>
          <w:sz w:val="26"/>
          <w:u w:val="none"/>
        </w:rPr>
        <w:t>d</w:t>
      </w:r>
      <w:r w:rsidRPr="0008248A">
        <w:rPr>
          <w:rStyle w:val="DraftingNote"/>
          <w:b w:val="0"/>
          <w:color w:val="auto"/>
          <w:sz w:val="26"/>
          <w:u w:val="none"/>
        </w:rPr>
        <w:t xml:space="preserve"> rarely been exercised</w:t>
      </w:r>
      <w:r>
        <w:rPr>
          <w:rStyle w:val="DraftingNote"/>
          <w:b w:val="0"/>
          <w:color w:val="auto"/>
          <w:sz w:val="26"/>
          <w:u w:val="none"/>
        </w:rPr>
        <w:t xml:space="preserve"> and that their main function appeared to be for military purposes</w:t>
      </w:r>
      <w:r w:rsidRPr="0008248A">
        <w:rPr>
          <w:rStyle w:val="DraftingNote"/>
          <w:b w:val="0"/>
          <w:color w:val="auto"/>
          <w:sz w:val="26"/>
          <w:u w:val="none"/>
        </w:rPr>
        <w:t xml:space="preserve">. </w:t>
      </w:r>
      <w:r>
        <w:t xml:space="preserve">Reichman and Hasenzahl (2003) noted that </w:t>
      </w:r>
      <w:r w:rsidR="00CE682B">
        <w:t xml:space="preserve">the </w:t>
      </w:r>
      <w:r>
        <w:t xml:space="preserve">US Government makes extensive use of other powers to seize and use inventions protected by privately-owned patents for </w:t>
      </w:r>
      <w:r w:rsidR="00865C2C">
        <w:t xml:space="preserve">defence and other purposes. </w:t>
      </w:r>
    </w:p>
    <w:p w14:paraId="7D025AA4" w14:textId="77777777" w:rsidR="006078C7" w:rsidRDefault="00865C2C" w:rsidP="006078C7">
      <w:pPr>
        <w:pStyle w:val="BodyText"/>
        <w:rPr>
          <w:rStyle w:val="DraftingNote"/>
          <w:b w:val="0"/>
          <w:color w:val="auto"/>
          <w:sz w:val="26"/>
          <w:u w:val="none"/>
        </w:rPr>
      </w:pPr>
      <w:r>
        <w:t>Non</w:t>
      </w:r>
      <w:r>
        <w:noBreakHyphen/>
      </w:r>
      <w:r w:rsidR="006078C7">
        <w:t>voluntary use of patents by government has a long history in the U</w:t>
      </w:r>
      <w:r w:rsidR="006677B3">
        <w:t xml:space="preserve">nited </w:t>
      </w:r>
      <w:r w:rsidR="006078C7">
        <w:t>S</w:t>
      </w:r>
      <w:r w:rsidR="006677B3">
        <w:t>tates</w:t>
      </w:r>
      <w:r w:rsidR="006078C7">
        <w:t>. For example, the US Government confiscated thousands of patents after World</w:t>
      </w:r>
      <w:r w:rsidR="00420FBA">
        <w:t> </w:t>
      </w:r>
      <w:r w:rsidR="006078C7">
        <w:t>War</w:t>
      </w:r>
      <w:r w:rsidR="00420FBA">
        <w:t> </w:t>
      </w:r>
      <w:r w:rsidR="00CE682B">
        <w:t>I</w:t>
      </w:r>
      <w:r w:rsidR="006078C7">
        <w:t xml:space="preserve"> under the </w:t>
      </w:r>
      <w:r w:rsidR="006078C7" w:rsidRPr="00A507E6">
        <w:t>Trading with the Enemy Act</w:t>
      </w:r>
      <w:r w:rsidR="00CE682B" w:rsidRPr="00A507E6">
        <w:t xml:space="preserve"> of 1917</w:t>
      </w:r>
      <w:r w:rsidR="006078C7" w:rsidRPr="00A507E6">
        <w:t>, discussed</w:t>
      </w:r>
      <w:r w:rsidR="006078C7">
        <w:t xml:space="preserve"> in more detail in box</w:t>
      </w:r>
      <w:r w:rsidR="008D2B27">
        <w:t> </w:t>
      </w:r>
      <w:r w:rsidR="006078C7">
        <w:t>C.</w:t>
      </w:r>
      <w:r w:rsidR="007F3CDB">
        <w:t>6</w:t>
      </w:r>
      <w:r w:rsidR="006078C7">
        <w:t xml:space="preserve">. </w:t>
      </w:r>
    </w:p>
    <w:p w14:paraId="5E5C4D46" w14:textId="2270DE28" w:rsidR="006078C7" w:rsidRDefault="006078C7" w:rsidP="006078C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078C7" w14:paraId="17883BD8" w14:textId="77777777" w:rsidTr="003F0B3E">
        <w:tc>
          <w:tcPr>
            <w:tcW w:w="8771" w:type="dxa"/>
            <w:tcBorders>
              <w:top w:val="single" w:sz="6" w:space="0" w:color="auto"/>
              <w:bottom w:val="nil"/>
            </w:tcBorders>
          </w:tcPr>
          <w:p w14:paraId="160D4E79" w14:textId="77777777" w:rsidR="006078C7" w:rsidRDefault="006078C7" w:rsidP="003F0B3E">
            <w:pPr>
              <w:pStyle w:val="BoxTitle"/>
            </w:pPr>
            <w:r>
              <w:rPr>
                <w:b w:val="0"/>
              </w:rPr>
              <w:t xml:space="preserve">Box </w:t>
            </w:r>
            <w:r w:rsidR="0084673B">
              <w:fldChar w:fldCharType="begin"/>
            </w:r>
            <w:r w:rsidR="0084673B">
              <w:instrText xml:space="preserve"> COMMENTS  \* MERGEFORMAT </w:instrText>
            </w:r>
            <w:r w:rsidR="0084673B">
              <w:fldChar w:fldCharType="separate"/>
            </w:r>
            <w:proofErr w:type="spellStart"/>
            <w:r w:rsidR="00384F41" w:rsidRPr="00384F41">
              <w:rPr>
                <w:b w:val="0"/>
              </w:rPr>
              <w:t>C.</w:t>
            </w:r>
            <w:r w:rsidR="0084673B">
              <w:rPr>
                <w:b w:val="0"/>
              </w:rPr>
              <w:fldChar w:fldCharType="end"/>
            </w:r>
            <w:r w:rsidR="0030683C">
              <w:rPr>
                <w:b w:val="0"/>
              </w:rPr>
              <w:fldChar w:fldCharType="begin"/>
            </w:r>
            <w:r>
              <w:rPr>
                <w:b w:val="0"/>
              </w:rPr>
              <w:instrText xml:space="preserve"> SEQ Box \* ARABIC </w:instrText>
            </w:r>
            <w:r w:rsidR="0030683C">
              <w:rPr>
                <w:b w:val="0"/>
              </w:rPr>
              <w:fldChar w:fldCharType="separate"/>
            </w:r>
            <w:r w:rsidR="002A73B1">
              <w:rPr>
                <w:b w:val="0"/>
                <w:noProof/>
              </w:rPr>
              <w:t>6</w:t>
            </w:r>
            <w:proofErr w:type="spellEnd"/>
            <w:r w:rsidR="0030683C">
              <w:rPr>
                <w:b w:val="0"/>
              </w:rPr>
              <w:fldChar w:fldCharType="end"/>
            </w:r>
            <w:r>
              <w:tab/>
            </w:r>
            <w:r w:rsidRPr="00A507E6">
              <w:t>Trading with the Enemy Act</w:t>
            </w:r>
            <w:r w:rsidR="00CE682B" w:rsidRPr="00A507E6">
              <w:t xml:space="preserve"> of 1917</w:t>
            </w:r>
            <w:r w:rsidRPr="00A507E6">
              <w:t xml:space="preserve"> (</w:t>
            </w:r>
            <w:r w:rsidRPr="00CE682B">
              <w:t>US)</w:t>
            </w:r>
          </w:p>
        </w:tc>
      </w:tr>
      <w:tr w:rsidR="006078C7" w14:paraId="008A692E" w14:textId="77777777" w:rsidTr="003F0B3E">
        <w:trPr>
          <w:cantSplit/>
        </w:trPr>
        <w:tc>
          <w:tcPr>
            <w:tcW w:w="8771" w:type="dxa"/>
            <w:tcBorders>
              <w:top w:val="nil"/>
              <w:left w:val="single" w:sz="6" w:space="0" w:color="auto"/>
              <w:bottom w:val="nil"/>
              <w:right w:val="single" w:sz="6" w:space="0" w:color="auto"/>
            </w:tcBorders>
          </w:tcPr>
          <w:p w14:paraId="606C96AC" w14:textId="517B4F96" w:rsidR="006078C7" w:rsidRDefault="00055010" w:rsidP="003F0B3E">
            <w:pPr>
              <w:pStyle w:val="Box"/>
            </w:pPr>
            <w:r>
              <w:t>During</w:t>
            </w:r>
            <w:r w:rsidR="006078C7">
              <w:t xml:space="preserve"> World War I, the U</w:t>
            </w:r>
            <w:r w:rsidR="00294890">
              <w:t>S</w:t>
            </w:r>
            <w:r w:rsidR="006078C7">
              <w:t xml:space="preserve"> Congress passed the</w:t>
            </w:r>
            <w:r w:rsidR="006078C7" w:rsidRPr="00A507E6">
              <w:t xml:space="preserve"> Trading with the Enemy Act</w:t>
            </w:r>
            <w:r w:rsidR="00CE682B" w:rsidRPr="00A507E6">
              <w:t xml:space="preserve"> of 1917</w:t>
            </w:r>
            <w:r w:rsidR="006078C7" w:rsidRPr="00A507E6">
              <w:t xml:space="preserve"> (TW</w:t>
            </w:r>
            <w:r w:rsidR="006078C7">
              <w:t xml:space="preserve">EA) which permitted US firms to violate enemy owned patents to assist the military. The TWEA was part of a broader strategy to restrict trade with wartime enemies and seize property owned by them. </w:t>
            </w:r>
            <w:r w:rsidR="00D33FA3">
              <w:t>O</w:t>
            </w:r>
            <w:r w:rsidR="006078C7">
              <w:t>ne week prior to the Armistice</w:t>
            </w:r>
            <w:r w:rsidR="00D33FA3">
              <w:t xml:space="preserve"> of 11</w:t>
            </w:r>
            <w:r w:rsidR="007F3CDB">
              <w:t> </w:t>
            </w:r>
            <w:r w:rsidR="00D33FA3">
              <w:t>November</w:t>
            </w:r>
            <w:r w:rsidR="007F3CDB">
              <w:t> </w:t>
            </w:r>
            <w:r w:rsidR="00D33FA3">
              <w:t>1918</w:t>
            </w:r>
            <w:r w:rsidR="006078C7">
              <w:t>, Congress amended the TWEA to seize all enemy-owned patents. On behalf of the US Government, the Chemical Founda</w:t>
            </w:r>
            <w:r w:rsidR="00A507E6">
              <w:t>tion issued non-exclusive licenc</w:t>
            </w:r>
            <w:r w:rsidR="006078C7">
              <w:t>es of enemy patents in 1919, and continued to do so until 1926. The US Government confiscated over 4 500 patents. Of these patents, 699 were licensed during this period.</w:t>
            </w:r>
          </w:p>
          <w:p w14:paraId="40DD3015" w14:textId="77777777" w:rsidR="006078C7" w:rsidRDefault="006078C7" w:rsidP="003F0B3E">
            <w:pPr>
              <w:pStyle w:val="Box"/>
            </w:pPr>
            <w:r>
              <w:t xml:space="preserve">At the time of writing, Cuba was the only country still affected by the TWEA. </w:t>
            </w:r>
          </w:p>
        </w:tc>
      </w:tr>
      <w:tr w:rsidR="006078C7" w14:paraId="4A3EEB47" w14:textId="77777777" w:rsidTr="003F0B3E">
        <w:trPr>
          <w:cantSplit/>
        </w:trPr>
        <w:tc>
          <w:tcPr>
            <w:tcW w:w="8771" w:type="dxa"/>
            <w:tcBorders>
              <w:top w:val="nil"/>
              <w:left w:val="single" w:sz="6" w:space="0" w:color="auto"/>
              <w:bottom w:val="nil"/>
              <w:right w:val="single" w:sz="6" w:space="0" w:color="auto"/>
            </w:tcBorders>
          </w:tcPr>
          <w:p w14:paraId="58F1AB21" w14:textId="77777777" w:rsidR="006078C7" w:rsidRDefault="006078C7" w:rsidP="003F0B3E">
            <w:pPr>
              <w:pStyle w:val="BoxSource"/>
            </w:pPr>
            <w:r>
              <w:rPr>
                <w:i/>
              </w:rPr>
              <w:t>Source</w:t>
            </w:r>
            <w:r w:rsidRPr="00167F06">
              <w:t xml:space="preserve">: </w:t>
            </w:r>
            <w:r>
              <w:t>Moser and Voena (2009).</w:t>
            </w:r>
          </w:p>
        </w:tc>
      </w:tr>
      <w:tr w:rsidR="006078C7" w14:paraId="0423B8E3" w14:textId="77777777" w:rsidTr="003F0B3E">
        <w:trPr>
          <w:cantSplit/>
        </w:trPr>
        <w:tc>
          <w:tcPr>
            <w:tcW w:w="8771" w:type="dxa"/>
            <w:tcBorders>
              <w:top w:val="nil"/>
              <w:left w:val="single" w:sz="6" w:space="0" w:color="auto"/>
              <w:bottom w:val="single" w:sz="6" w:space="0" w:color="auto"/>
              <w:right w:val="single" w:sz="6" w:space="0" w:color="auto"/>
            </w:tcBorders>
          </w:tcPr>
          <w:p w14:paraId="6AD4E360" w14:textId="77777777" w:rsidR="006078C7" w:rsidRDefault="006078C7" w:rsidP="003F0B3E">
            <w:pPr>
              <w:pStyle w:val="Box"/>
              <w:spacing w:before="0" w:line="120" w:lineRule="exact"/>
            </w:pPr>
          </w:p>
        </w:tc>
      </w:tr>
      <w:tr w:rsidR="006078C7" w:rsidRPr="000863A5" w14:paraId="530E4D03" w14:textId="77777777" w:rsidTr="003F0B3E">
        <w:tc>
          <w:tcPr>
            <w:tcW w:w="8771" w:type="dxa"/>
            <w:tcBorders>
              <w:top w:val="nil"/>
              <w:left w:val="nil"/>
              <w:bottom w:val="nil"/>
              <w:right w:val="nil"/>
            </w:tcBorders>
          </w:tcPr>
          <w:p w14:paraId="69789C3A" w14:textId="3AB93484" w:rsidR="006078C7" w:rsidRPr="000863A5" w:rsidRDefault="006078C7" w:rsidP="003F0B3E">
            <w:pPr>
              <w:pStyle w:val="Box"/>
              <w:keepNext w:val="0"/>
              <w:spacing w:before="60" w:after="60" w:line="80" w:lineRule="exact"/>
              <w:rPr>
                <w:b/>
                <w:sz w:val="14"/>
              </w:rPr>
            </w:pPr>
          </w:p>
        </w:tc>
      </w:tr>
    </w:tbl>
    <w:p w14:paraId="66AD542A" w14:textId="77777777" w:rsidR="006078C7" w:rsidRDefault="00865C2C" w:rsidP="006078C7">
      <w:pPr>
        <w:pStyle w:val="BodyText"/>
      </w:pPr>
      <w:r>
        <w:t>A more recent example relevant to US Government use of patents was when t</w:t>
      </w:r>
      <w:r w:rsidR="006078C7">
        <w:t>he US Government made a statement of interest in a private patent infringement action filed by NTP Inc., a patent holding company, against Research in Motion Ltd, makers of the BlackBerry device. In its statement, the US Government noted it was a major user of the BlackBerry device and stated that ‘it is imperative that some mechanism be incorporated that permits continuity of the federal government’s use</w:t>
      </w:r>
      <w:r w:rsidR="00CE682B">
        <w:t>’</w:t>
      </w:r>
      <w:r w:rsidR="006078C7">
        <w:t xml:space="preserve"> (US Government 2003, p.</w:t>
      </w:r>
      <w:r w:rsidR="007967A4">
        <w:t xml:space="preserve"> </w:t>
      </w:r>
      <w:r w:rsidR="006078C7">
        <w:t xml:space="preserve">2). The Department of Defense </w:t>
      </w:r>
      <w:r>
        <w:t xml:space="preserve">also commented on the case, and </w:t>
      </w:r>
      <w:r w:rsidR="006078C7">
        <w:t>noted that it was critical for national security that the BlackBerry network continued to be operational (IPRIA 2008).</w:t>
      </w:r>
    </w:p>
    <w:p w14:paraId="2282B490" w14:textId="77777777" w:rsidR="00C737A0" w:rsidRDefault="002C3546" w:rsidP="00C269E1">
      <w:pPr>
        <w:pStyle w:val="BodyText"/>
      </w:pPr>
      <w:r>
        <w:lastRenderedPageBreak/>
        <w:t>Government</w:t>
      </w:r>
      <w:r w:rsidR="00CE682B">
        <w:t>-</w:t>
      </w:r>
      <w:r>
        <w:t>use provisions have not been used in Canada (C</w:t>
      </w:r>
      <w:r w:rsidR="008D2B27">
        <w:t>IPO</w:t>
      </w:r>
      <w:r>
        <w:t>, pers. comm.</w:t>
      </w:r>
      <w:r w:rsidR="004C468F">
        <w:t>,</w:t>
      </w:r>
      <w:r w:rsidR="008D2B27">
        <w:br/>
      </w:r>
      <w:r w:rsidR="004C468F">
        <w:t>22 October 2012</w:t>
      </w:r>
      <w:r>
        <w:t xml:space="preserve">). </w:t>
      </w:r>
      <w:r w:rsidR="00357197">
        <w:t>Government</w:t>
      </w:r>
      <w:r w:rsidR="00CE682B">
        <w:t>-</w:t>
      </w:r>
      <w:r w:rsidR="00357197">
        <w:t xml:space="preserve">use provisions appear to have been infrequently used in EU member states and in Asia. </w:t>
      </w:r>
    </w:p>
    <w:p w14:paraId="0B55C1F8" w14:textId="77777777" w:rsidR="001C1E27" w:rsidRDefault="00785F93" w:rsidP="00C74C94">
      <w:pPr>
        <w:pStyle w:val="BodyText"/>
      </w:pPr>
      <w:r w:rsidRPr="00C005A0">
        <w:t>As mentioned above, there is much speculation about the impacts of compulsory licensing</w:t>
      </w:r>
      <w:r w:rsidR="006E755C">
        <w:t>,</w:t>
      </w:r>
      <w:r w:rsidRPr="00AD57EA">
        <w:t xml:space="preserve"> but little </w:t>
      </w:r>
      <w:r w:rsidR="00E24D7E" w:rsidRPr="00AD57EA">
        <w:t xml:space="preserve">estimation or </w:t>
      </w:r>
      <w:r w:rsidRPr="00AD57EA">
        <w:t>measurement</w:t>
      </w:r>
      <w:r w:rsidR="00E24D7E" w:rsidRPr="00AD57EA">
        <w:t xml:space="preserve"> of impacts</w:t>
      </w:r>
      <w:r w:rsidRPr="00AD57EA">
        <w:t xml:space="preserve">. </w:t>
      </w:r>
      <w:r w:rsidR="00675502" w:rsidRPr="00F306F4">
        <w:t>N</w:t>
      </w:r>
      <w:r w:rsidRPr="00F306F4">
        <w:t xml:space="preserve">on-voluntary use of patents by </w:t>
      </w:r>
      <w:r w:rsidRPr="00A85538">
        <w:t xml:space="preserve">governments </w:t>
      </w:r>
      <w:r w:rsidR="00675502" w:rsidRPr="00A85538">
        <w:t xml:space="preserve">has many similarities with compulsory licensing, and many </w:t>
      </w:r>
      <w:r w:rsidR="00420FBA" w:rsidRPr="00A85538">
        <w:t>commentators</w:t>
      </w:r>
      <w:r w:rsidR="00675502" w:rsidRPr="00A85538">
        <w:t xml:space="preserve"> consider government</w:t>
      </w:r>
      <w:r w:rsidR="006E755C">
        <w:t xml:space="preserve"> </w:t>
      </w:r>
      <w:r w:rsidR="00675502" w:rsidRPr="00A85538">
        <w:t>use to be</w:t>
      </w:r>
      <w:r w:rsidRPr="00A85538">
        <w:t xml:space="preserve"> a type of compulsory licensing. Therefore</w:t>
      </w:r>
      <w:r w:rsidR="006E755C">
        <w:t>,</w:t>
      </w:r>
      <w:r w:rsidRPr="00A85538">
        <w:t xml:space="preserve"> </w:t>
      </w:r>
      <w:r w:rsidR="00675502" w:rsidRPr="00A85538">
        <w:t xml:space="preserve">many of the </w:t>
      </w:r>
      <w:r w:rsidRPr="00A85538">
        <w:t>speculated impacts of compulsory licensing c</w:t>
      </w:r>
      <w:r w:rsidR="00E24D7E" w:rsidRPr="00A85538">
        <w:t>ould</w:t>
      </w:r>
      <w:r w:rsidRPr="00A85538">
        <w:t xml:space="preserve"> also apply to government</w:t>
      </w:r>
      <w:r w:rsidR="006E755C">
        <w:t xml:space="preserve"> </w:t>
      </w:r>
      <w:r w:rsidRPr="00A85538">
        <w:t>use. Lit</w:t>
      </w:r>
      <w:r w:rsidR="00E24D7E" w:rsidRPr="00A85538">
        <w:t>tle lit</w:t>
      </w:r>
      <w:r w:rsidRPr="00A85538">
        <w:t xml:space="preserve">erature </w:t>
      </w:r>
      <w:r w:rsidR="00420FBA" w:rsidRPr="00A85538">
        <w:t xml:space="preserve">specifically </w:t>
      </w:r>
      <w:r w:rsidRPr="00A85538">
        <w:t>on the impact of government</w:t>
      </w:r>
      <w:r w:rsidR="006E755C">
        <w:t xml:space="preserve"> </w:t>
      </w:r>
      <w:r w:rsidRPr="00A85538">
        <w:t xml:space="preserve">use of patents has been located. </w:t>
      </w:r>
    </w:p>
    <w:p w14:paraId="73FF0FC5" w14:textId="77777777" w:rsidR="00803805" w:rsidRDefault="00420FBA" w:rsidP="00803805">
      <w:pPr>
        <w:pStyle w:val="Heading3"/>
        <w:rPr>
          <w:rStyle w:val="DraftingNote"/>
          <w:b/>
          <w:color w:val="auto"/>
          <w:sz w:val="26"/>
          <w:u w:val="none"/>
        </w:rPr>
      </w:pPr>
      <w:r>
        <w:rPr>
          <w:rStyle w:val="DraftingNote"/>
          <w:b/>
          <w:color w:val="auto"/>
          <w:sz w:val="26"/>
          <w:u w:val="none"/>
        </w:rPr>
        <w:t xml:space="preserve">Research and regulatory </w:t>
      </w:r>
      <w:r w:rsidR="00996F46">
        <w:rPr>
          <w:rStyle w:val="DraftingNote"/>
          <w:b/>
          <w:color w:val="auto"/>
          <w:sz w:val="26"/>
          <w:u w:val="none"/>
        </w:rPr>
        <w:t xml:space="preserve">approval </w:t>
      </w:r>
      <w:r>
        <w:rPr>
          <w:rStyle w:val="DraftingNote"/>
          <w:b/>
          <w:color w:val="auto"/>
          <w:sz w:val="26"/>
          <w:u w:val="none"/>
        </w:rPr>
        <w:t>exemptions</w:t>
      </w:r>
    </w:p>
    <w:p w14:paraId="1B0D001D" w14:textId="77777777" w:rsidR="00FF7405" w:rsidRDefault="00AF3B7A" w:rsidP="00602ED1">
      <w:pPr>
        <w:pStyle w:val="BodyText"/>
      </w:pPr>
      <w:r>
        <w:t xml:space="preserve">As noted above, many countries have research and regulatory </w:t>
      </w:r>
      <w:r w:rsidR="00996F46">
        <w:t xml:space="preserve">approval </w:t>
      </w:r>
      <w:r>
        <w:t>exemptions</w:t>
      </w:r>
      <w:r w:rsidR="0067376C">
        <w:t xml:space="preserve">, which </w:t>
      </w:r>
      <w:r w:rsidR="00701922">
        <w:t xml:space="preserve">can be used as a </w:t>
      </w:r>
      <w:r w:rsidR="00627A3E">
        <w:t xml:space="preserve">defence </w:t>
      </w:r>
      <w:r w:rsidR="00C57952">
        <w:t xml:space="preserve">against claims of </w:t>
      </w:r>
      <w:r w:rsidR="00627A3E">
        <w:t>patent infringement</w:t>
      </w:r>
      <w:r>
        <w:t>.</w:t>
      </w:r>
      <w:r w:rsidR="008B0892">
        <w:t xml:space="preserve"> These exemptions appear to have been used </w:t>
      </w:r>
      <w:r w:rsidR="00C737A0">
        <w:t xml:space="preserve">rarely </w:t>
      </w:r>
      <w:r w:rsidR="008B0892">
        <w:t xml:space="preserve">in </w:t>
      </w:r>
      <w:r w:rsidR="002F734C">
        <w:t>comparable markets</w:t>
      </w:r>
      <w:r w:rsidR="005150CC">
        <w:t xml:space="preserve"> (Cook 2006)</w:t>
      </w:r>
      <w:r w:rsidR="008B0892">
        <w:t>.</w:t>
      </w:r>
      <w:r w:rsidR="00627A3E">
        <w:t xml:space="preserve"> </w:t>
      </w:r>
      <w:r w:rsidR="00A85538">
        <w:t>An example of use was</w:t>
      </w:r>
      <w:r w:rsidR="00F306F4">
        <w:t xml:space="preserve"> in</w:t>
      </w:r>
      <w:r w:rsidR="00A85538">
        <w:t xml:space="preserve"> </w:t>
      </w:r>
      <w:r w:rsidR="00A85538" w:rsidRPr="00AD57EA">
        <w:rPr>
          <w:i/>
        </w:rPr>
        <w:t>Madey v Duke University</w:t>
      </w:r>
      <w:r w:rsidR="003F4777">
        <w:t xml:space="preserve">, a 2002 patent infringement case in </w:t>
      </w:r>
      <w:r w:rsidR="00A85538">
        <w:t xml:space="preserve">the United States. </w:t>
      </w:r>
      <w:r w:rsidR="00461247">
        <w:t xml:space="preserve">John </w:t>
      </w:r>
      <w:r w:rsidR="003F4777">
        <w:t xml:space="preserve">Madey was the exclusive owner of patents over free electron laser (FEL) devices. He was later employed with Duke University and brought his FEL devices with him. Duke continued to use these devices after Madey </w:t>
      </w:r>
      <w:r w:rsidR="00C41743">
        <w:t xml:space="preserve">had resigned. </w:t>
      </w:r>
      <w:r w:rsidR="006634DA">
        <w:t xml:space="preserve">Madey subsequently initiated legal action. </w:t>
      </w:r>
      <w:r w:rsidR="00C41743">
        <w:t xml:space="preserve">The District Court found that Duke’s use was covered by the research exemption. However, on appeal the Federal Circuit noted the </w:t>
      </w:r>
      <w:r w:rsidR="00F306F4">
        <w:t xml:space="preserve">research </w:t>
      </w:r>
      <w:r w:rsidR="00C41743">
        <w:t xml:space="preserve">exemption was narrow and referred the matter back to the District Court. The District Court then found that Duke’s use of the patent was for educational purposes — its </w:t>
      </w:r>
      <w:r w:rsidR="00F306F4">
        <w:t xml:space="preserve">core </w:t>
      </w:r>
      <w:r w:rsidR="00C41743">
        <w:t>business — and ther</w:t>
      </w:r>
      <w:r w:rsidR="00F306F4">
        <w:t>e</w:t>
      </w:r>
      <w:r w:rsidR="00C41743">
        <w:t xml:space="preserve">fore did not qualify for the research exemption. </w:t>
      </w:r>
    </w:p>
    <w:p w14:paraId="5CCA22A3" w14:textId="77777777" w:rsidR="004428FE" w:rsidRDefault="007F3CDB" w:rsidP="004428FE">
      <w:pPr>
        <w:pStyle w:val="BodyText"/>
      </w:pPr>
      <w:r>
        <w:t>As discussed in chapter 8, r</w:t>
      </w:r>
      <w:r w:rsidR="004428FE">
        <w:t>esearch exemptions might increase research activity, and consequently increase innovation and lead to novel inventions, which can increase community welfare. Regulatory approval exemptions are likely to increase competition, by reducing the time taken for competing products to come to market once a patent for a product has expired. On the other hand, both of these exemptions might reduce incentives to innovate and therefore reduce innovation in the long term.</w:t>
      </w:r>
    </w:p>
    <w:p w14:paraId="519FB9B4" w14:textId="77777777" w:rsidR="002F734C" w:rsidRDefault="001D0F24" w:rsidP="00602ED1">
      <w:pPr>
        <w:pStyle w:val="BodyText"/>
      </w:pPr>
      <w:r>
        <w:t>There is no register of research activity</w:t>
      </w:r>
      <w:r w:rsidR="006E755C">
        <w:t>,</w:t>
      </w:r>
      <w:r>
        <w:t xml:space="preserve"> so it would be difficult to comprehensively measure the impact of these exemptions. However, </w:t>
      </w:r>
      <w:r w:rsidR="004428FE">
        <w:t xml:space="preserve">there is </w:t>
      </w:r>
      <w:r>
        <w:t xml:space="preserve">some survey evidence </w:t>
      </w:r>
      <w:r w:rsidR="004428FE">
        <w:t>on the effects of patents on research activity</w:t>
      </w:r>
      <w:r>
        <w:t xml:space="preserve">. </w:t>
      </w:r>
      <w:r w:rsidR="0067376C">
        <w:t xml:space="preserve">For example, </w:t>
      </w:r>
      <w:r w:rsidR="00FF7405">
        <w:t xml:space="preserve">Cho (2006) surveyed US laboratories conducting genetic testing and found that </w:t>
      </w:r>
      <w:r w:rsidR="007B53E2">
        <w:t xml:space="preserve">most of </w:t>
      </w:r>
      <w:r w:rsidR="00FF7405">
        <w:t xml:space="preserve">these laboratories </w:t>
      </w:r>
      <w:r w:rsidR="0067376C">
        <w:t>believed</w:t>
      </w:r>
      <w:r w:rsidR="00FF7405">
        <w:t xml:space="preserve"> patents had a negative impact on their ability </w:t>
      </w:r>
      <w:r w:rsidR="007B53E2">
        <w:t>to research.</w:t>
      </w:r>
      <w:r w:rsidR="00356BEE">
        <w:t xml:space="preserve"> About </w:t>
      </w:r>
      <w:r w:rsidR="00356BEE">
        <w:lastRenderedPageBreak/>
        <w:t>one</w:t>
      </w:r>
      <w:r w:rsidR="001C1E27">
        <w:noBreakHyphen/>
      </w:r>
      <w:r w:rsidR="00356BEE">
        <w:t xml:space="preserve">quarter of laboratories had been contacted by a patent holder or licensee and </w:t>
      </w:r>
      <w:r w:rsidR="004428FE">
        <w:t xml:space="preserve">subsequently </w:t>
      </w:r>
      <w:r w:rsidR="00356BEE">
        <w:t>prevented from continuing to offer a test</w:t>
      </w:r>
      <w:r w:rsidR="004428FE">
        <w:t>ing</w:t>
      </w:r>
      <w:r w:rsidR="00356BEE">
        <w:t xml:space="preserve"> service. </w:t>
      </w:r>
    </w:p>
    <w:p w14:paraId="77A41D35" w14:textId="77777777" w:rsidR="007D47C9" w:rsidRDefault="007D47C9" w:rsidP="00803805">
      <w:pPr>
        <w:pStyle w:val="BodyText"/>
      </w:pPr>
      <w:r>
        <w:t xml:space="preserve">A </w:t>
      </w:r>
      <w:r w:rsidR="00E1034B">
        <w:t xml:space="preserve">limited </w:t>
      </w:r>
      <w:r>
        <w:t xml:space="preserve">number of </w:t>
      </w:r>
      <w:r w:rsidR="00602ED1">
        <w:t>authors</w:t>
      </w:r>
      <w:r>
        <w:t xml:space="preserve"> have </w:t>
      </w:r>
      <w:r w:rsidR="00602ED1">
        <w:t>estimated t</w:t>
      </w:r>
      <w:r w:rsidR="00E1034B">
        <w:t>he impact</w:t>
      </w:r>
      <w:r w:rsidR="00602ED1">
        <w:t>s</w:t>
      </w:r>
      <w:r w:rsidR="00E1034B">
        <w:t xml:space="preserve"> of </w:t>
      </w:r>
      <w:r w:rsidR="00744BDE">
        <w:t xml:space="preserve">these </w:t>
      </w:r>
      <w:r w:rsidR="00E1034B">
        <w:t>exemptions</w:t>
      </w:r>
      <w:r w:rsidR="00627A3E">
        <w:t xml:space="preserve"> on research and innovation</w:t>
      </w:r>
      <w:r w:rsidR="00602ED1">
        <w:t>. For example,</w:t>
      </w:r>
      <w:r w:rsidR="00E1034B">
        <w:t xml:space="preserve"> </w:t>
      </w:r>
      <w:r w:rsidR="00E1034B">
        <w:rPr>
          <w:szCs w:val="26"/>
        </w:rPr>
        <w:t xml:space="preserve">Moschini and Yerokhin </w:t>
      </w:r>
      <w:r w:rsidR="00602ED1">
        <w:rPr>
          <w:szCs w:val="26"/>
        </w:rPr>
        <w:t>(</w:t>
      </w:r>
      <w:r w:rsidR="00E1034B">
        <w:rPr>
          <w:szCs w:val="26"/>
        </w:rPr>
        <w:t>2008)</w:t>
      </w:r>
      <w:r w:rsidR="00602ED1">
        <w:rPr>
          <w:szCs w:val="26"/>
        </w:rPr>
        <w:t xml:space="preserve"> found that research exemptions reduced community</w:t>
      </w:r>
      <w:r w:rsidR="009C032B">
        <w:rPr>
          <w:szCs w:val="26"/>
        </w:rPr>
        <w:t>-wide</w:t>
      </w:r>
      <w:r w:rsidR="00602ED1">
        <w:rPr>
          <w:szCs w:val="26"/>
        </w:rPr>
        <w:t xml:space="preserve"> welfare when the cost of establishing a research program was high, due to reduced incentives to innovate. The authors found that </w:t>
      </w:r>
      <w:r w:rsidR="00E1034B">
        <w:rPr>
          <w:szCs w:val="26"/>
        </w:rPr>
        <w:t xml:space="preserve">research exemptions </w:t>
      </w:r>
      <w:r w:rsidR="00602ED1">
        <w:rPr>
          <w:szCs w:val="26"/>
        </w:rPr>
        <w:t>increased community</w:t>
      </w:r>
      <w:r w:rsidR="009C032B">
        <w:rPr>
          <w:szCs w:val="26"/>
        </w:rPr>
        <w:t>-wide</w:t>
      </w:r>
      <w:r w:rsidR="00602ED1">
        <w:rPr>
          <w:szCs w:val="26"/>
        </w:rPr>
        <w:t xml:space="preserve"> welfare when the </w:t>
      </w:r>
      <w:r w:rsidR="00A61048">
        <w:rPr>
          <w:szCs w:val="26"/>
        </w:rPr>
        <w:t xml:space="preserve">costs of establishing a research program </w:t>
      </w:r>
      <w:r w:rsidR="00602ED1">
        <w:rPr>
          <w:szCs w:val="26"/>
        </w:rPr>
        <w:t>was</w:t>
      </w:r>
      <w:r w:rsidR="00A61048">
        <w:rPr>
          <w:szCs w:val="26"/>
        </w:rPr>
        <w:t xml:space="preserve"> low, relative to expected profits.  </w:t>
      </w:r>
    </w:p>
    <w:p w14:paraId="6E016CE4" w14:textId="77777777" w:rsidR="00716F63" w:rsidRPr="00B75114" w:rsidRDefault="00701DE6" w:rsidP="00B75114">
      <w:pPr>
        <w:pStyle w:val="BodyText"/>
      </w:pPr>
      <w:r>
        <w:t xml:space="preserve">For many countries, including Australia, it has been argued that a de facto research exemption existed prior to a </w:t>
      </w:r>
      <w:r w:rsidR="00C115AF">
        <w:t xml:space="preserve">formal </w:t>
      </w:r>
      <w:r>
        <w:t xml:space="preserve">research exemption being </w:t>
      </w:r>
      <w:r w:rsidR="00C115AF">
        <w:t>introduced</w:t>
      </w:r>
      <w:r w:rsidR="00996F46">
        <w:t xml:space="preserve"> into legislation</w:t>
      </w:r>
      <w:r>
        <w:t xml:space="preserve">. </w:t>
      </w:r>
      <w:r w:rsidR="00C57952">
        <w:t xml:space="preserve">It has also been argued that it was too difficult for researchers to check whether their research activities infringed on patents, so in practice </w:t>
      </w:r>
      <w:r w:rsidR="004428FE">
        <w:t xml:space="preserve">patent infringement was not considered. </w:t>
      </w:r>
      <w:r w:rsidR="00996F46">
        <w:t>For th</w:t>
      </w:r>
      <w:r w:rsidR="00701922">
        <w:t>ese</w:t>
      </w:r>
      <w:r w:rsidR="00996F46">
        <w:t xml:space="preserve"> reason</w:t>
      </w:r>
      <w:r w:rsidR="00701922">
        <w:t>s</w:t>
      </w:r>
      <w:r w:rsidR="00996F46">
        <w:t xml:space="preserve">, the impacts of formal research exemptions </w:t>
      </w:r>
      <w:r w:rsidR="00472DCC">
        <w:t xml:space="preserve">might be </w:t>
      </w:r>
      <w:r w:rsidR="00472DCC" w:rsidRPr="002D6C32">
        <w:t>minimal</w:t>
      </w:r>
      <w:r w:rsidR="00996F46" w:rsidRPr="002D6C32">
        <w:t xml:space="preserve">. </w:t>
      </w:r>
    </w:p>
    <w:sectPr w:rsidR="00716F63" w:rsidRPr="00B75114" w:rsidSect="003C08C1">
      <w:headerReference w:type="even" r:id="rId47"/>
      <w:headerReference w:type="default" r:id="rId48"/>
      <w:footerReference w:type="even" r:id="rId49"/>
      <w:footerReference w:type="default" r:id="rId50"/>
      <w:headerReference w:type="first" r:id="rId51"/>
      <w:footerReference w:type="first" r:id="rId52"/>
      <w:pgSz w:w="11907" w:h="16840" w:code="9"/>
      <w:pgMar w:top="1985" w:right="1304" w:bottom="1418" w:left="1814" w:header="1701" w:footer="567" w:gutter="0"/>
      <w:pgNumType w:start="26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FB3C8" w14:textId="77777777" w:rsidR="00C37AE8" w:rsidRDefault="00C37AE8">
      <w:r>
        <w:separator/>
      </w:r>
    </w:p>
  </w:endnote>
  <w:endnote w:type="continuationSeparator" w:id="0">
    <w:p w14:paraId="47812D33" w14:textId="77777777" w:rsidR="00C37AE8" w:rsidRDefault="00C37AE8">
      <w:r>
        <w:continuationSeparator/>
      </w:r>
    </w:p>
  </w:endnote>
  <w:endnote w:type="continuationNotice" w:id="1">
    <w:p w14:paraId="133C136F" w14:textId="77777777" w:rsidR="00C37AE8" w:rsidRDefault="00C37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37AE8" w14:paraId="59E3607D" w14:textId="77777777">
      <w:trPr>
        <w:trHeight w:hRule="exact" w:val="740"/>
      </w:trPr>
      <w:tc>
        <w:tcPr>
          <w:tcW w:w="510" w:type="dxa"/>
          <w:tcBorders>
            <w:top w:val="single" w:sz="6" w:space="0" w:color="auto"/>
          </w:tcBorders>
        </w:tcPr>
        <w:p w14:paraId="36C0B43E" w14:textId="77777777" w:rsidR="00C37AE8" w:rsidRDefault="00C37AE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63E7C">
            <w:rPr>
              <w:rStyle w:val="PageNumber"/>
              <w:noProof/>
            </w:rPr>
            <w:t>282</w:t>
          </w:r>
          <w:r>
            <w:rPr>
              <w:rStyle w:val="PageNumber"/>
            </w:rPr>
            <w:fldChar w:fldCharType="end"/>
          </w:r>
        </w:p>
      </w:tc>
      <w:tc>
        <w:tcPr>
          <w:tcW w:w="1644" w:type="dxa"/>
          <w:tcBorders>
            <w:top w:val="single" w:sz="6" w:space="0" w:color="auto"/>
          </w:tcBorders>
        </w:tcPr>
        <w:p w14:paraId="19CF8A03" w14:textId="77777777" w:rsidR="00C37AE8" w:rsidRDefault="00163E7C" w:rsidP="0019293B">
          <w:pPr>
            <w:pStyle w:val="Footer"/>
          </w:pPr>
          <w:r>
            <w:fldChar w:fldCharType="begin"/>
          </w:r>
          <w:r>
            <w:instrText xml:space="preserve"> SUBJECT  \* MERGEFORMAT </w:instrText>
          </w:r>
          <w:r>
            <w:fldChar w:fldCharType="separate"/>
          </w:r>
          <w:r w:rsidR="002A73B1">
            <w:t>Compulsory licensing of patents</w:t>
          </w:r>
          <w:r>
            <w:fldChar w:fldCharType="end"/>
          </w:r>
        </w:p>
      </w:tc>
      <w:tc>
        <w:tcPr>
          <w:tcW w:w="6634" w:type="dxa"/>
        </w:tcPr>
        <w:p w14:paraId="49EE669D" w14:textId="77777777" w:rsidR="00C37AE8" w:rsidRDefault="00C37AE8" w:rsidP="006E47D1">
          <w:pPr>
            <w:pStyle w:val="Footer"/>
            <w:jc w:val="center"/>
          </w:pPr>
        </w:p>
      </w:tc>
    </w:tr>
  </w:tbl>
  <w:p w14:paraId="02F971E2" w14:textId="77777777" w:rsidR="00C37AE8" w:rsidRDefault="00C37AE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C37AE8" w14:paraId="465FBAE6" w14:textId="77777777" w:rsidTr="00613ADF">
      <w:trPr>
        <w:trHeight w:hRule="exact" w:val="740"/>
      </w:trPr>
      <w:tc>
        <w:tcPr>
          <w:tcW w:w="6663" w:type="dxa"/>
        </w:tcPr>
        <w:p w14:paraId="2FA13F0C" w14:textId="77777777" w:rsidR="00C37AE8" w:rsidRDefault="00C37AE8" w:rsidP="00613ADF">
          <w:pPr>
            <w:pStyle w:val="Footer"/>
            <w:ind w:right="360" w:firstLine="360"/>
          </w:pPr>
        </w:p>
      </w:tc>
      <w:tc>
        <w:tcPr>
          <w:tcW w:w="1615" w:type="dxa"/>
          <w:tcBorders>
            <w:top w:val="single" w:sz="6" w:space="0" w:color="auto"/>
          </w:tcBorders>
        </w:tcPr>
        <w:p w14:paraId="57FC83BA" w14:textId="77777777" w:rsidR="00C37AE8" w:rsidRDefault="00163E7C" w:rsidP="009C1161">
          <w:pPr>
            <w:pStyle w:val="Footer"/>
          </w:pPr>
          <w:r>
            <w:fldChar w:fldCharType="begin"/>
          </w:r>
          <w:r>
            <w:instrText xml:space="preserve"> TITLE  \* MERGEFORMAT </w:instrText>
          </w:r>
          <w:r>
            <w:fldChar w:fldCharType="separate"/>
          </w:r>
          <w:r w:rsidR="002A73B1">
            <w:t>Non-voluntary access arrangements</w:t>
          </w:r>
          <w:r>
            <w:fldChar w:fldCharType="end"/>
          </w:r>
        </w:p>
      </w:tc>
      <w:tc>
        <w:tcPr>
          <w:tcW w:w="510" w:type="dxa"/>
          <w:tcBorders>
            <w:top w:val="single" w:sz="6" w:space="0" w:color="auto"/>
          </w:tcBorders>
        </w:tcPr>
        <w:p w14:paraId="0D5664A5" w14:textId="77777777" w:rsidR="00C37AE8" w:rsidRDefault="00C37AE8">
          <w:pPr>
            <w:pStyle w:val="Footer"/>
            <w:jc w:val="right"/>
          </w:pPr>
          <w:r>
            <w:rPr>
              <w:rStyle w:val="PageNumber"/>
            </w:rPr>
            <w:fldChar w:fldCharType="begin"/>
          </w:r>
          <w:r>
            <w:rPr>
              <w:rStyle w:val="PageNumber"/>
            </w:rPr>
            <w:instrText xml:space="preserve">PAGE  </w:instrText>
          </w:r>
          <w:r>
            <w:rPr>
              <w:rStyle w:val="PageNumber"/>
            </w:rPr>
            <w:fldChar w:fldCharType="separate"/>
          </w:r>
          <w:r w:rsidR="00163E7C">
            <w:rPr>
              <w:rStyle w:val="PageNumber"/>
              <w:noProof/>
            </w:rPr>
            <w:t>261</w:t>
          </w:r>
          <w:r>
            <w:rPr>
              <w:rStyle w:val="PageNumber"/>
            </w:rPr>
            <w:fldChar w:fldCharType="end"/>
          </w:r>
        </w:p>
      </w:tc>
    </w:tr>
  </w:tbl>
  <w:p w14:paraId="6191E2CB" w14:textId="77777777" w:rsidR="00C37AE8" w:rsidRDefault="00C37AE8">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1846" w14:textId="77777777" w:rsidR="00C37AE8" w:rsidRDefault="00C37A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C300D" w14:textId="77777777" w:rsidR="00C37AE8" w:rsidRDefault="00C37AE8">
      <w:r>
        <w:separator/>
      </w:r>
    </w:p>
  </w:footnote>
  <w:footnote w:type="continuationSeparator" w:id="0">
    <w:p w14:paraId="764FAB16" w14:textId="77777777" w:rsidR="00C37AE8" w:rsidRDefault="00C37AE8">
      <w:r>
        <w:continuationSeparator/>
      </w:r>
    </w:p>
  </w:footnote>
  <w:footnote w:type="continuationNotice" w:id="1">
    <w:p w14:paraId="26170EB5" w14:textId="77777777" w:rsidR="00C37AE8" w:rsidRDefault="00C37AE8"/>
  </w:footnote>
  <w:footnote w:id="2">
    <w:p w14:paraId="47BB63BC" w14:textId="77777777" w:rsidR="00C37AE8" w:rsidRDefault="00C37AE8">
      <w:pPr>
        <w:pStyle w:val="FootnoteText"/>
      </w:pPr>
      <w:r>
        <w:rPr>
          <w:rStyle w:val="FootnoteReference"/>
        </w:rPr>
        <w:footnoteRef/>
      </w:r>
      <w:r>
        <w:t xml:space="preserve"> </w:t>
      </w:r>
      <w:r>
        <w:tab/>
        <w:t>Section 226 of the Patents Act states that ‘work, in relation to a patented invention, means: where the invention is a product — [the patent holder] make[s] or import[s] the product; or where the invention is a method or process — [the patent holder] uses the method or process [to make or import] a product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37AE8" w14:paraId="4E151FE0" w14:textId="77777777">
      <w:tc>
        <w:tcPr>
          <w:tcW w:w="2155" w:type="dxa"/>
          <w:tcBorders>
            <w:top w:val="single" w:sz="24" w:space="0" w:color="auto"/>
          </w:tcBorders>
        </w:tcPr>
        <w:p w14:paraId="7AEDF557" w14:textId="77777777" w:rsidR="00C37AE8" w:rsidRDefault="00C37AE8" w:rsidP="0019293B">
          <w:pPr>
            <w:pStyle w:val="HeaderEven"/>
          </w:pPr>
        </w:p>
      </w:tc>
      <w:tc>
        <w:tcPr>
          <w:tcW w:w="6634" w:type="dxa"/>
          <w:tcBorders>
            <w:top w:val="single" w:sz="6" w:space="0" w:color="auto"/>
          </w:tcBorders>
        </w:tcPr>
        <w:p w14:paraId="15EA06D7" w14:textId="77777777" w:rsidR="00C37AE8" w:rsidRDefault="00C37AE8" w:rsidP="0019293B">
          <w:pPr>
            <w:pStyle w:val="HeaderEven"/>
          </w:pPr>
        </w:p>
      </w:tc>
    </w:tr>
  </w:tbl>
  <w:p w14:paraId="1B74AFF1" w14:textId="77777777" w:rsidR="00C37AE8" w:rsidRDefault="00C37AE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37AE8" w14:paraId="1F82042A" w14:textId="77777777">
      <w:tc>
        <w:tcPr>
          <w:tcW w:w="6634" w:type="dxa"/>
          <w:tcBorders>
            <w:top w:val="single" w:sz="6" w:space="0" w:color="auto"/>
          </w:tcBorders>
        </w:tcPr>
        <w:p w14:paraId="7F6C748A" w14:textId="77777777" w:rsidR="00C37AE8" w:rsidRDefault="00C37AE8" w:rsidP="00E669E2">
          <w:pPr>
            <w:pStyle w:val="HeaderOdd"/>
          </w:pPr>
        </w:p>
      </w:tc>
      <w:tc>
        <w:tcPr>
          <w:tcW w:w="2155" w:type="dxa"/>
          <w:tcBorders>
            <w:top w:val="single" w:sz="24" w:space="0" w:color="auto"/>
          </w:tcBorders>
        </w:tcPr>
        <w:p w14:paraId="7EBFCF56" w14:textId="77777777" w:rsidR="00C37AE8" w:rsidRDefault="00C37AE8" w:rsidP="00E669E2">
          <w:pPr>
            <w:pStyle w:val="HeaderOdd"/>
          </w:pPr>
        </w:p>
      </w:tc>
    </w:tr>
  </w:tbl>
  <w:p w14:paraId="59E684B7" w14:textId="77777777" w:rsidR="00C37AE8" w:rsidRDefault="00C37AE8"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C493F" w14:textId="77777777" w:rsidR="00C37AE8" w:rsidRDefault="00C37A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4"/>
  </w:num>
  <w:num w:numId="4">
    <w:abstractNumId w:val="0"/>
  </w:num>
  <w:num w:numId="5">
    <w:abstractNumId w:val="10"/>
  </w:num>
  <w:num w:numId="6">
    <w:abstractNumId w:val="1"/>
  </w:num>
  <w:num w:numId="7">
    <w:abstractNumId w:val="13"/>
  </w:num>
  <w:num w:numId="8">
    <w:abstractNumId w:val="12"/>
  </w:num>
  <w:num w:numId="9">
    <w:abstractNumId w:val="15"/>
  </w:num>
  <w:num w:numId="10">
    <w:abstractNumId w:val="5"/>
  </w:num>
  <w:num w:numId="11">
    <w:abstractNumId w:val="11"/>
  </w:num>
  <w:num w:numId="12">
    <w:abstractNumId w:val="4"/>
  </w:num>
  <w:num w:numId="13">
    <w:abstractNumId w:val="3"/>
  </w:num>
  <w:num w:numId="14">
    <w:abstractNumId w:val="6"/>
  </w:num>
  <w:num w:numId="15">
    <w:abstractNumId w:val="7"/>
  </w:num>
  <w:num w:numId="16">
    <w:abstractNumId w:val="9"/>
  </w:num>
  <w:num w:numId="1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Non-voluntary access arrangements "/>
    <w:docVar w:name="ShortReportTitle" w:val="Compulsory licensing of patents"/>
  </w:docVars>
  <w:rsids>
    <w:rsidRoot w:val="00114A79"/>
    <w:rsid w:val="0000452C"/>
    <w:rsid w:val="0001155F"/>
    <w:rsid w:val="00012763"/>
    <w:rsid w:val="000128E6"/>
    <w:rsid w:val="00017EF9"/>
    <w:rsid w:val="00020FAE"/>
    <w:rsid w:val="000245AA"/>
    <w:rsid w:val="00026ED5"/>
    <w:rsid w:val="00032F91"/>
    <w:rsid w:val="000350E3"/>
    <w:rsid w:val="0003664B"/>
    <w:rsid w:val="000405ED"/>
    <w:rsid w:val="00040C0A"/>
    <w:rsid w:val="0004111F"/>
    <w:rsid w:val="00041D10"/>
    <w:rsid w:val="00046F2C"/>
    <w:rsid w:val="00055010"/>
    <w:rsid w:val="000565B3"/>
    <w:rsid w:val="00056622"/>
    <w:rsid w:val="00056CD7"/>
    <w:rsid w:val="00057E47"/>
    <w:rsid w:val="00065EDB"/>
    <w:rsid w:val="0007150B"/>
    <w:rsid w:val="000722FB"/>
    <w:rsid w:val="0007452B"/>
    <w:rsid w:val="00074CBF"/>
    <w:rsid w:val="000800DA"/>
    <w:rsid w:val="0008248A"/>
    <w:rsid w:val="000854AC"/>
    <w:rsid w:val="00085992"/>
    <w:rsid w:val="00085E68"/>
    <w:rsid w:val="0009118F"/>
    <w:rsid w:val="00092327"/>
    <w:rsid w:val="000934EB"/>
    <w:rsid w:val="000938F5"/>
    <w:rsid w:val="000957C9"/>
    <w:rsid w:val="00096EAD"/>
    <w:rsid w:val="00096FBD"/>
    <w:rsid w:val="00097431"/>
    <w:rsid w:val="000A0352"/>
    <w:rsid w:val="000A0BF9"/>
    <w:rsid w:val="000A4C92"/>
    <w:rsid w:val="000A65A8"/>
    <w:rsid w:val="000A7C76"/>
    <w:rsid w:val="000B36F7"/>
    <w:rsid w:val="000B5FAD"/>
    <w:rsid w:val="000B601B"/>
    <w:rsid w:val="000C025C"/>
    <w:rsid w:val="000C1560"/>
    <w:rsid w:val="000C207E"/>
    <w:rsid w:val="000C4CB8"/>
    <w:rsid w:val="000C5CEC"/>
    <w:rsid w:val="000C5F9D"/>
    <w:rsid w:val="000C7F63"/>
    <w:rsid w:val="000D0EFC"/>
    <w:rsid w:val="000D250A"/>
    <w:rsid w:val="000D4F02"/>
    <w:rsid w:val="000E31E9"/>
    <w:rsid w:val="000E60DF"/>
    <w:rsid w:val="000E7CEF"/>
    <w:rsid w:val="000E7E7A"/>
    <w:rsid w:val="000F0E3B"/>
    <w:rsid w:val="000F2936"/>
    <w:rsid w:val="000F420B"/>
    <w:rsid w:val="000F5689"/>
    <w:rsid w:val="000F5F92"/>
    <w:rsid w:val="001006B8"/>
    <w:rsid w:val="00104050"/>
    <w:rsid w:val="00107413"/>
    <w:rsid w:val="00110116"/>
    <w:rsid w:val="0011202E"/>
    <w:rsid w:val="00112402"/>
    <w:rsid w:val="00114A79"/>
    <w:rsid w:val="0011613A"/>
    <w:rsid w:val="00120072"/>
    <w:rsid w:val="00120DEA"/>
    <w:rsid w:val="001235A0"/>
    <w:rsid w:val="00124A7F"/>
    <w:rsid w:val="00125543"/>
    <w:rsid w:val="001257F2"/>
    <w:rsid w:val="00126EB8"/>
    <w:rsid w:val="001274D4"/>
    <w:rsid w:val="001275F5"/>
    <w:rsid w:val="00127F14"/>
    <w:rsid w:val="00127FF0"/>
    <w:rsid w:val="00131341"/>
    <w:rsid w:val="001363AA"/>
    <w:rsid w:val="00137228"/>
    <w:rsid w:val="00141C95"/>
    <w:rsid w:val="001425BB"/>
    <w:rsid w:val="00142A39"/>
    <w:rsid w:val="00143731"/>
    <w:rsid w:val="00143E69"/>
    <w:rsid w:val="00151090"/>
    <w:rsid w:val="00154D7B"/>
    <w:rsid w:val="00155585"/>
    <w:rsid w:val="0015621F"/>
    <w:rsid w:val="0016327B"/>
    <w:rsid w:val="00163E7C"/>
    <w:rsid w:val="00170C07"/>
    <w:rsid w:val="001718D0"/>
    <w:rsid w:val="00171908"/>
    <w:rsid w:val="00171CB9"/>
    <w:rsid w:val="001721A0"/>
    <w:rsid w:val="00173058"/>
    <w:rsid w:val="001730C6"/>
    <w:rsid w:val="00175884"/>
    <w:rsid w:val="001767CB"/>
    <w:rsid w:val="00181FFA"/>
    <w:rsid w:val="00183E82"/>
    <w:rsid w:val="00184677"/>
    <w:rsid w:val="001847A4"/>
    <w:rsid w:val="00186F13"/>
    <w:rsid w:val="0018724A"/>
    <w:rsid w:val="0018780F"/>
    <w:rsid w:val="0018781A"/>
    <w:rsid w:val="001878BB"/>
    <w:rsid w:val="001909AC"/>
    <w:rsid w:val="00191AE0"/>
    <w:rsid w:val="0019293B"/>
    <w:rsid w:val="0019329A"/>
    <w:rsid w:val="001A017F"/>
    <w:rsid w:val="001B3A81"/>
    <w:rsid w:val="001B3CD4"/>
    <w:rsid w:val="001B65F0"/>
    <w:rsid w:val="001C0865"/>
    <w:rsid w:val="001C0D0F"/>
    <w:rsid w:val="001C1826"/>
    <w:rsid w:val="001C1E27"/>
    <w:rsid w:val="001C2451"/>
    <w:rsid w:val="001C2780"/>
    <w:rsid w:val="001C3ABA"/>
    <w:rsid w:val="001C4691"/>
    <w:rsid w:val="001C543C"/>
    <w:rsid w:val="001C658A"/>
    <w:rsid w:val="001C6DD9"/>
    <w:rsid w:val="001C70CE"/>
    <w:rsid w:val="001D08DA"/>
    <w:rsid w:val="001D0F24"/>
    <w:rsid w:val="001D486C"/>
    <w:rsid w:val="001D5FB2"/>
    <w:rsid w:val="001D7F09"/>
    <w:rsid w:val="001E096E"/>
    <w:rsid w:val="001E146A"/>
    <w:rsid w:val="001E3919"/>
    <w:rsid w:val="001E7BE8"/>
    <w:rsid w:val="001F0248"/>
    <w:rsid w:val="001F3D8E"/>
    <w:rsid w:val="001F3EB3"/>
    <w:rsid w:val="001F5786"/>
    <w:rsid w:val="001F6842"/>
    <w:rsid w:val="00202C2C"/>
    <w:rsid w:val="00203DE2"/>
    <w:rsid w:val="0020662E"/>
    <w:rsid w:val="002076F8"/>
    <w:rsid w:val="00210747"/>
    <w:rsid w:val="00210ADA"/>
    <w:rsid w:val="002111FE"/>
    <w:rsid w:val="00212BAC"/>
    <w:rsid w:val="0021359A"/>
    <w:rsid w:val="00213B2E"/>
    <w:rsid w:val="00216A6B"/>
    <w:rsid w:val="00220564"/>
    <w:rsid w:val="002206B2"/>
    <w:rsid w:val="00235E83"/>
    <w:rsid w:val="00235F4B"/>
    <w:rsid w:val="002410AE"/>
    <w:rsid w:val="0024160F"/>
    <w:rsid w:val="00241CDE"/>
    <w:rsid w:val="00242279"/>
    <w:rsid w:val="00242753"/>
    <w:rsid w:val="00242BD4"/>
    <w:rsid w:val="00245850"/>
    <w:rsid w:val="00245C82"/>
    <w:rsid w:val="00246BB9"/>
    <w:rsid w:val="00246CA9"/>
    <w:rsid w:val="00247D5E"/>
    <w:rsid w:val="002514F0"/>
    <w:rsid w:val="00254AE8"/>
    <w:rsid w:val="00265567"/>
    <w:rsid w:val="002731F7"/>
    <w:rsid w:val="00273E4B"/>
    <w:rsid w:val="00276D65"/>
    <w:rsid w:val="002822D3"/>
    <w:rsid w:val="00286E05"/>
    <w:rsid w:val="00290468"/>
    <w:rsid w:val="00290BA8"/>
    <w:rsid w:val="0029101C"/>
    <w:rsid w:val="00291B40"/>
    <w:rsid w:val="00294890"/>
    <w:rsid w:val="0029591D"/>
    <w:rsid w:val="00295CCE"/>
    <w:rsid w:val="00295D1C"/>
    <w:rsid w:val="00295D90"/>
    <w:rsid w:val="00295FBE"/>
    <w:rsid w:val="002A10BA"/>
    <w:rsid w:val="002A5A85"/>
    <w:rsid w:val="002A68D3"/>
    <w:rsid w:val="002A6938"/>
    <w:rsid w:val="002A73B1"/>
    <w:rsid w:val="002B2254"/>
    <w:rsid w:val="002B4008"/>
    <w:rsid w:val="002B681B"/>
    <w:rsid w:val="002B74FA"/>
    <w:rsid w:val="002C3546"/>
    <w:rsid w:val="002C6919"/>
    <w:rsid w:val="002D0E8E"/>
    <w:rsid w:val="002D5668"/>
    <w:rsid w:val="002D605F"/>
    <w:rsid w:val="002D6C32"/>
    <w:rsid w:val="002E1061"/>
    <w:rsid w:val="002E7C12"/>
    <w:rsid w:val="002E7FCD"/>
    <w:rsid w:val="002F02D7"/>
    <w:rsid w:val="002F06F4"/>
    <w:rsid w:val="002F53D5"/>
    <w:rsid w:val="002F577A"/>
    <w:rsid w:val="002F6BDF"/>
    <w:rsid w:val="002F734C"/>
    <w:rsid w:val="00301189"/>
    <w:rsid w:val="00301C09"/>
    <w:rsid w:val="00302086"/>
    <w:rsid w:val="00303791"/>
    <w:rsid w:val="0030683C"/>
    <w:rsid w:val="00310202"/>
    <w:rsid w:val="003113D2"/>
    <w:rsid w:val="00312683"/>
    <w:rsid w:val="0031322F"/>
    <w:rsid w:val="00313BBB"/>
    <w:rsid w:val="00315337"/>
    <w:rsid w:val="00315C55"/>
    <w:rsid w:val="00316727"/>
    <w:rsid w:val="00317200"/>
    <w:rsid w:val="00321718"/>
    <w:rsid w:val="00323594"/>
    <w:rsid w:val="00323E09"/>
    <w:rsid w:val="0032546E"/>
    <w:rsid w:val="0032556E"/>
    <w:rsid w:val="003255C9"/>
    <w:rsid w:val="003269E1"/>
    <w:rsid w:val="00326A1F"/>
    <w:rsid w:val="003275AE"/>
    <w:rsid w:val="003278B2"/>
    <w:rsid w:val="003325A7"/>
    <w:rsid w:val="00333932"/>
    <w:rsid w:val="00333A85"/>
    <w:rsid w:val="00334712"/>
    <w:rsid w:val="0034365C"/>
    <w:rsid w:val="00343BE3"/>
    <w:rsid w:val="00345E76"/>
    <w:rsid w:val="003460D4"/>
    <w:rsid w:val="003468B9"/>
    <w:rsid w:val="003469FD"/>
    <w:rsid w:val="0034745A"/>
    <w:rsid w:val="00347B43"/>
    <w:rsid w:val="003518AA"/>
    <w:rsid w:val="00352165"/>
    <w:rsid w:val="00352C56"/>
    <w:rsid w:val="00353182"/>
    <w:rsid w:val="003565D9"/>
    <w:rsid w:val="00356BEE"/>
    <w:rsid w:val="00356E2C"/>
    <w:rsid w:val="00357197"/>
    <w:rsid w:val="003602E1"/>
    <w:rsid w:val="00361476"/>
    <w:rsid w:val="003668BE"/>
    <w:rsid w:val="0036782C"/>
    <w:rsid w:val="0037026F"/>
    <w:rsid w:val="00371240"/>
    <w:rsid w:val="003728CC"/>
    <w:rsid w:val="00372D1F"/>
    <w:rsid w:val="00373535"/>
    <w:rsid w:val="00374731"/>
    <w:rsid w:val="00375F81"/>
    <w:rsid w:val="003814FE"/>
    <w:rsid w:val="00381C20"/>
    <w:rsid w:val="003833A3"/>
    <w:rsid w:val="00383ADE"/>
    <w:rsid w:val="00384F41"/>
    <w:rsid w:val="00390097"/>
    <w:rsid w:val="003919F9"/>
    <w:rsid w:val="003928E7"/>
    <w:rsid w:val="00396DB3"/>
    <w:rsid w:val="00397800"/>
    <w:rsid w:val="003A0D87"/>
    <w:rsid w:val="003A439E"/>
    <w:rsid w:val="003A7104"/>
    <w:rsid w:val="003B1D12"/>
    <w:rsid w:val="003B547E"/>
    <w:rsid w:val="003B761D"/>
    <w:rsid w:val="003B7A54"/>
    <w:rsid w:val="003C08C1"/>
    <w:rsid w:val="003C38B5"/>
    <w:rsid w:val="003C5D99"/>
    <w:rsid w:val="003C63A9"/>
    <w:rsid w:val="003C647C"/>
    <w:rsid w:val="003C77DA"/>
    <w:rsid w:val="003D0E08"/>
    <w:rsid w:val="003D31C7"/>
    <w:rsid w:val="003D3652"/>
    <w:rsid w:val="003D410B"/>
    <w:rsid w:val="003D7FAA"/>
    <w:rsid w:val="003E074D"/>
    <w:rsid w:val="003E0B1B"/>
    <w:rsid w:val="003E0D53"/>
    <w:rsid w:val="003E2F0C"/>
    <w:rsid w:val="003E2F59"/>
    <w:rsid w:val="003E44F0"/>
    <w:rsid w:val="003E4BF1"/>
    <w:rsid w:val="003E7C0F"/>
    <w:rsid w:val="003F0789"/>
    <w:rsid w:val="003F0A02"/>
    <w:rsid w:val="003F0B3E"/>
    <w:rsid w:val="003F141C"/>
    <w:rsid w:val="003F35EB"/>
    <w:rsid w:val="003F4777"/>
    <w:rsid w:val="003F4851"/>
    <w:rsid w:val="0040129E"/>
    <w:rsid w:val="00401882"/>
    <w:rsid w:val="00403B85"/>
    <w:rsid w:val="004043DE"/>
    <w:rsid w:val="00407475"/>
    <w:rsid w:val="004100C8"/>
    <w:rsid w:val="004114DE"/>
    <w:rsid w:val="004119A2"/>
    <w:rsid w:val="00411DBD"/>
    <w:rsid w:val="00412ACE"/>
    <w:rsid w:val="00415960"/>
    <w:rsid w:val="00417374"/>
    <w:rsid w:val="00417B45"/>
    <w:rsid w:val="004200A6"/>
    <w:rsid w:val="00420FBA"/>
    <w:rsid w:val="0042114A"/>
    <w:rsid w:val="0042398A"/>
    <w:rsid w:val="0042419C"/>
    <w:rsid w:val="00425A06"/>
    <w:rsid w:val="004270CB"/>
    <w:rsid w:val="00430672"/>
    <w:rsid w:val="00431249"/>
    <w:rsid w:val="00433C52"/>
    <w:rsid w:val="00434C19"/>
    <w:rsid w:val="004422B8"/>
    <w:rsid w:val="004428FE"/>
    <w:rsid w:val="00443421"/>
    <w:rsid w:val="00443B7D"/>
    <w:rsid w:val="0044574D"/>
    <w:rsid w:val="00445FF6"/>
    <w:rsid w:val="00450810"/>
    <w:rsid w:val="00452D8C"/>
    <w:rsid w:val="00453448"/>
    <w:rsid w:val="00454CAB"/>
    <w:rsid w:val="004574E7"/>
    <w:rsid w:val="00461247"/>
    <w:rsid w:val="00463342"/>
    <w:rsid w:val="00466C04"/>
    <w:rsid w:val="00467896"/>
    <w:rsid w:val="00472DCC"/>
    <w:rsid w:val="004757FF"/>
    <w:rsid w:val="00477144"/>
    <w:rsid w:val="004779C5"/>
    <w:rsid w:val="00477AD8"/>
    <w:rsid w:val="004802F8"/>
    <w:rsid w:val="00483C2B"/>
    <w:rsid w:val="0048547F"/>
    <w:rsid w:val="00485BB5"/>
    <w:rsid w:val="0048655B"/>
    <w:rsid w:val="0048689F"/>
    <w:rsid w:val="004900D6"/>
    <w:rsid w:val="00490ADA"/>
    <w:rsid w:val="00492EE1"/>
    <w:rsid w:val="0049459F"/>
    <w:rsid w:val="00495241"/>
    <w:rsid w:val="004A38DD"/>
    <w:rsid w:val="004B02F3"/>
    <w:rsid w:val="004B119A"/>
    <w:rsid w:val="004B43AE"/>
    <w:rsid w:val="004B511C"/>
    <w:rsid w:val="004B673E"/>
    <w:rsid w:val="004C2DFD"/>
    <w:rsid w:val="004C30ED"/>
    <w:rsid w:val="004C468F"/>
    <w:rsid w:val="004C71DF"/>
    <w:rsid w:val="004D2587"/>
    <w:rsid w:val="004D4085"/>
    <w:rsid w:val="004D5183"/>
    <w:rsid w:val="004D5675"/>
    <w:rsid w:val="004D6E78"/>
    <w:rsid w:val="004E03CF"/>
    <w:rsid w:val="004E3BEE"/>
    <w:rsid w:val="004E55BF"/>
    <w:rsid w:val="004F3C6A"/>
    <w:rsid w:val="004F4A04"/>
    <w:rsid w:val="004F6982"/>
    <w:rsid w:val="004F7796"/>
    <w:rsid w:val="005013AE"/>
    <w:rsid w:val="00502283"/>
    <w:rsid w:val="00502791"/>
    <w:rsid w:val="005076F6"/>
    <w:rsid w:val="00512B11"/>
    <w:rsid w:val="005150CC"/>
    <w:rsid w:val="0051739A"/>
    <w:rsid w:val="00517667"/>
    <w:rsid w:val="00522FDF"/>
    <w:rsid w:val="00523639"/>
    <w:rsid w:val="005259AD"/>
    <w:rsid w:val="0053063E"/>
    <w:rsid w:val="005317FE"/>
    <w:rsid w:val="00531FE5"/>
    <w:rsid w:val="005320C1"/>
    <w:rsid w:val="00533ADB"/>
    <w:rsid w:val="0053592E"/>
    <w:rsid w:val="00537E6B"/>
    <w:rsid w:val="0054046C"/>
    <w:rsid w:val="00540688"/>
    <w:rsid w:val="00541798"/>
    <w:rsid w:val="0054668F"/>
    <w:rsid w:val="005467F5"/>
    <w:rsid w:val="005522A1"/>
    <w:rsid w:val="0055240A"/>
    <w:rsid w:val="005536A4"/>
    <w:rsid w:val="00555412"/>
    <w:rsid w:val="00555773"/>
    <w:rsid w:val="005578DC"/>
    <w:rsid w:val="00561C61"/>
    <w:rsid w:val="00561C6D"/>
    <w:rsid w:val="005638B4"/>
    <w:rsid w:val="00564F49"/>
    <w:rsid w:val="005654CC"/>
    <w:rsid w:val="0056564D"/>
    <w:rsid w:val="00570B93"/>
    <w:rsid w:val="00571D61"/>
    <w:rsid w:val="00574477"/>
    <w:rsid w:val="00575199"/>
    <w:rsid w:val="00583C39"/>
    <w:rsid w:val="005870E2"/>
    <w:rsid w:val="00587970"/>
    <w:rsid w:val="005909CF"/>
    <w:rsid w:val="00591E71"/>
    <w:rsid w:val="00592B0D"/>
    <w:rsid w:val="00597C1E"/>
    <w:rsid w:val="005A0D41"/>
    <w:rsid w:val="005A23BE"/>
    <w:rsid w:val="005A39F4"/>
    <w:rsid w:val="005A7994"/>
    <w:rsid w:val="005B11F5"/>
    <w:rsid w:val="005B3FD2"/>
    <w:rsid w:val="005B750A"/>
    <w:rsid w:val="005B792D"/>
    <w:rsid w:val="005D53BE"/>
    <w:rsid w:val="005D5C3D"/>
    <w:rsid w:val="005D7502"/>
    <w:rsid w:val="005E591C"/>
    <w:rsid w:val="005E735F"/>
    <w:rsid w:val="005F048A"/>
    <w:rsid w:val="005F0986"/>
    <w:rsid w:val="005F0EDD"/>
    <w:rsid w:val="005F44FA"/>
    <w:rsid w:val="005F5827"/>
    <w:rsid w:val="005F5AD1"/>
    <w:rsid w:val="005F754D"/>
    <w:rsid w:val="00602ED1"/>
    <w:rsid w:val="006078C7"/>
    <w:rsid w:val="00607BF1"/>
    <w:rsid w:val="00610E87"/>
    <w:rsid w:val="00613221"/>
    <w:rsid w:val="00613ADF"/>
    <w:rsid w:val="00614B3E"/>
    <w:rsid w:val="006167E9"/>
    <w:rsid w:val="0062249E"/>
    <w:rsid w:val="00622F73"/>
    <w:rsid w:val="00625401"/>
    <w:rsid w:val="00627A3E"/>
    <w:rsid w:val="00630D36"/>
    <w:rsid w:val="00630D4D"/>
    <w:rsid w:val="006316E2"/>
    <w:rsid w:val="00631E96"/>
    <w:rsid w:val="00632A74"/>
    <w:rsid w:val="00633E02"/>
    <w:rsid w:val="00636D8D"/>
    <w:rsid w:val="0064023C"/>
    <w:rsid w:val="00643BD4"/>
    <w:rsid w:val="0065600E"/>
    <w:rsid w:val="006634DA"/>
    <w:rsid w:val="0066505E"/>
    <w:rsid w:val="00666367"/>
    <w:rsid w:val="006668BF"/>
    <w:rsid w:val="006677B3"/>
    <w:rsid w:val="0067011F"/>
    <w:rsid w:val="006711B1"/>
    <w:rsid w:val="0067376C"/>
    <w:rsid w:val="00674B26"/>
    <w:rsid w:val="00675502"/>
    <w:rsid w:val="00676D82"/>
    <w:rsid w:val="006845E4"/>
    <w:rsid w:val="00685BE2"/>
    <w:rsid w:val="00686539"/>
    <w:rsid w:val="00686A66"/>
    <w:rsid w:val="00690A71"/>
    <w:rsid w:val="006920AC"/>
    <w:rsid w:val="006921D3"/>
    <w:rsid w:val="00695A59"/>
    <w:rsid w:val="006A292B"/>
    <w:rsid w:val="006A376B"/>
    <w:rsid w:val="006A4655"/>
    <w:rsid w:val="006B2B3C"/>
    <w:rsid w:val="006B76C9"/>
    <w:rsid w:val="006C1390"/>
    <w:rsid w:val="006C1D81"/>
    <w:rsid w:val="006C3F7A"/>
    <w:rsid w:val="006C450B"/>
    <w:rsid w:val="006C6635"/>
    <w:rsid w:val="006C6AD6"/>
    <w:rsid w:val="006C7038"/>
    <w:rsid w:val="006C7462"/>
    <w:rsid w:val="006D5A9A"/>
    <w:rsid w:val="006E038F"/>
    <w:rsid w:val="006E10EF"/>
    <w:rsid w:val="006E3518"/>
    <w:rsid w:val="006E47D1"/>
    <w:rsid w:val="006E4B34"/>
    <w:rsid w:val="006E7301"/>
    <w:rsid w:val="006E73EF"/>
    <w:rsid w:val="006E755C"/>
    <w:rsid w:val="006F0CB3"/>
    <w:rsid w:val="006F27AD"/>
    <w:rsid w:val="006F4514"/>
    <w:rsid w:val="006F6723"/>
    <w:rsid w:val="006F6D1A"/>
    <w:rsid w:val="00700244"/>
    <w:rsid w:val="00700A2C"/>
    <w:rsid w:val="00701922"/>
    <w:rsid w:val="00701DE6"/>
    <w:rsid w:val="00704F72"/>
    <w:rsid w:val="00705441"/>
    <w:rsid w:val="00705A9A"/>
    <w:rsid w:val="007107A5"/>
    <w:rsid w:val="007107F0"/>
    <w:rsid w:val="00711FB7"/>
    <w:rsid w:val="00714D4D"/>
    <w:rsid w:val="00716C9B"/>
    <w:rsid w:val="00716F63"/>
    <w:rsid w:val="007170E9"/>
    <w:rsid w:val="00717B97"/>
    <w:rsid w:val="00725562"/>
    <w:rsid w:val="0072651E"/>
    <w:rsid w:val="0072756A"/>
    <w:rsid w:val="0073096B"/>
    <w:rsid w:val="00731A2E"/>
    <w:rsid w:val="00736064"/>
    <w:rsid w:val="00736EE3"/>
    <w:rsid w:val="00737130"/>
    <w:rsid w:val="00740121"/>
    <w:rsid w:val="007429AE"/>
    <w:rsid w:val="0074412E"/>
    <w:rsid w:val="00744BDE"/>
    <w:rsid w:val="00744FB1"/>
    <w:rsid w:val="0074750B"/>
    <w:rsid w:val="007512EA"/>
    <w:rsid w:val="00756831"/>
    <w:rsid w:val="007604BB"/>
    <w:rsid w:val="00765049"/>
    <w:rsid w:val="00765784"/>
    <w:rsid w:val="00774193"/>
    <w:rsid w:val="0077494C"/>
    <w:rsid w:val="00775864"/>
    <w:rsid w:val="0078185B"/>
    <w:rsid w:val="00785232"/>
    <w:rsid w:val="00785F93"/>
    <w:rsid w:val="007967A4"/>
    <w:rsid w:val="007A21EB"/>
    <w:rsid w:val="007A6175"/>
    <w:rsid w:val="007B0C47"/>
    <w:rsid w:val="007B1A93"/>
    <w:rsid w:val="007B2CED"/>
    <w:rsid w:val="007B3715"/>
    <w:rsid w:val="007B53E2"/>
    <w:rsid w:val="007B565A"/>
    <w:rsid w:val="007B5B9D"/>
    <w:rsid w:val="007B5CC8"/>
    <w:rsid w:val="007B7E95"/>
    <w:rsid w:val="007C36C9"/>
    <w:rsid w:val="007C4BFE"/>
    <w:rsid w:val="007C4D54"/>
    <w:rsid w:val="007C53B2"/>
    <w:rsid w:val="007C5A7E"/>
    <w:rsid w:val="007C5AC2"/>
    <w:rsid w:val="007C6470"/>
    <w:rsid w:val="007C7948"/>
    <w:rsid w:val="007D1B56"/>
    <w:rsid w:val="007D2458"/>
    <w:rsid w:val="007D47C9"/>
    <w:rsid w:val="007D4C6A"/>
    <w:rsid w:val="007D58A8"/>
    <w:rsid w:val="007D6401"/>
    <w:rsid w:val="007D6AED"/>
    <w:rsid w:val="007D7828"/>
    <w:rsid w:val="007E01E4"/>
    <w:rsid w:val="007E1695"/>
    <w:rsid w:val="007E2A83"/>
    <w:rsid w:val="007E6012"/>
    <w:rsid w:val="007F3CDB"/>
    <w:rsid w:val="007F7107"/>
    <w:rsid w:val="00803805"/>
    <w:rsid w:val="00805AD6"/>
    <w:rsid w:val="0081030F"/>
    <w:rsid w:val="0081272B"/>
    <w:rsid w:val="00813285"/>
    <w:rsid w:val="008146C9"/>
    <w:rsid w:val="00816881"/>
    <w:rsid w:val="00817BE8"/>
    <w:rsid w:val="0082087D"/>
    <w:rsid w:val="00823BA9"/>
    <w:rsid w:val="0083118C"/>
    <w:rsid w:val="0083461A"/>
    <w:rsid w:val="00834DC4"/>
    <w:rsid w:val="00835F75"/>
    <w:rsid w:val="00836E72"/>
    <w:rsid w:val="00840416"/>
    <w:rsid w:val="00840B37"/>
    <w:rsid w:val="0084189D"/>
    <w:rsid w:val="0084218E"/>
    <w:rsid w:val="00842933"/>
    <w:rsid w:val="0084673B"/>
    <w:rsid w:val="00850192"/>
    <w:rsid w:val="0085032D"/>
    <w:rsid w:val="00852CD6"/>
    <w:rsid w:val="0086082C"/>
    <w:rsid w:val="00862EAB"/>
    <w:rsid w:val="00864ADC"/>
    <w:rsid w:val="00864F6C"/>
    <w:rsid w:val="00865458"/>
    <w:rsid w:val="00865C2C"/>
    <w:rsid w:val="00871C49"/>
    <w:rsid w:val="00874BD9"/>
    <w:rsid w:val="0087550A"/>
    <w:rsid w:val="00880153"/>
    <w:rsid w:val="00880717"/>
    <w:rsid w:val="008808FD"/>
    <w:rsid w:val="00880A53"/>
    <w:rsid w:val="00880F97"/>
    <w:rsid w:val="0088133A"/>
    <w:rsid w:val="00881FE0"/>
    <w:rsid w:val="00883897"/>
    <w:rsid w:val="00883BA3"/>
    <w:rsid w:val="0089285E"/>
    <w:rsid w:val="0089436C"/>
    <w:rsid w:val="00895038"/>
    <w:rsid w:val="00896B3D"/>
    <w:rsid w:val="008A0D50"/>
    <w:rsid w:val="008A2767"/>
    <w:rsid w:val="008A42B4"/>
    <w:rsid w:val="008B0892"/>
    <w:rsid w:val="008B44F0"/>
    <w:rsid w:val="008B49F9"/>
    <w:rsid w:val="008B5090"/>
    <w:rsid w:val="008B511B"/>
    <w:rsid w:val="008B6D8C"/>
    <w:rsid w:val="008C17C0"/>
    <w:rsid w:val="008D1BF5"/>
    <w:rsid w:val="008D2B27"/>
    <w:rsid w:val="008D365C"/>
    <w:rsid w:val="008D65B2"/>
    <w:rsid w:val="008D713F"/>
    <w:rsid w:val="008E0E35"/>
    <w:rsid w:val="008E1F00"/>
    <w:rsid w:val="008E2029"/>
    <w:rsid w:val="008E4A78"/>
    <w:rsid w:val="008E73B4"/>
    <w:rsid w:val="008F61F2"/>
    <w:rsid w:val="00901CD2"/>
    <w:rsid w:val="009030BF"/>
    <w:rsid w:val="00905E2A"/>
    <w:rsid w:val="00905F36"/>
    <w:rsid w:val="009074EE"/>
    <w:rsid w:val="00907E75"/>
    <w:rsid w:val="0091032F"/>
    <w:rsid w:val="00910F71"/>
    <w:rsid w:val="0091149B"/>
    <w:rsid w:val="0091359E"/>
    <w:rsid w:val="00914368"/>
    <w:rsid w:val="009167DB"/>
    <w:rsid w:val="00922F53"/>
    <w:rsid w:val="0092702B"/>
    <w:rsid w:val="00927E03"/>
    <w:rsid w:val="00931076"/>
    <w:rsid w:val="00931917"/>
    <w:rsid w:val="00932D76"/>
    <w:rsid w:val="0093394B"/>
    <w:rsid w:val="009345D9"/>
    <w:rsid w:val="00934B15"/>
    <w:rsid w:val="00941C5A"/>
    <w:rsid w:val="00941FED"/>
    <w:rsid w:val="00942B62"/>
    <w:rsid w:val="009434BC"/>
    <w:rsid w:val="009459FD"/>
    <w:rsid w:val="009471C6"/>
    <w:rsid w:val="00947707"/>
    <w:rsid w:val="009478CD"/>
    <w:rsid w:val="009546AC"/>
    <w:rsid w:val="00956A0C"/>
    <w:rsid w:val="00956BD9"/>
    <w:rsid w:val="00962489"/>
    <w:rsid w:val="009667CE"/>
    <w:rsid w:val="0097025B"/>
    <w:rsid w:val="0098298C"/>
    <w:rsid w:val="00983B04"/>
    <w:rsid w:val="009844F7"/>
    <w:rsid w:val="00986160"/>
    <w:rsid w:val="00990C2C"/>
    <w:rsid w:val="0099189B"/>
    <w:rsid w:val="00991CE5"/>
    <w:rsid w:val="00994E9A"/>
    <w:rsid w:val="00996E47"/>
    <w:rsid w:val="00996F46"/>
    <w:rsid w:val="009B11F1"/>
    <w:rsid w:val="009B2335"/>
    <w:rsid w:val="009B7807"/>
    <w:rsid w:val="009C032B"/>
    <w:rsid w:val="009C0CC3"/>
    <w:rsid w:val="009C1161"/>
    <w:rsid w:val="009C2BB5"/>
    <w:rsid w:val="009C3F22"/>
    <w:rsid w:val="009C4ED6"/>
    <w:rsid w:val="009C6DD4"/>
    <w:rsid w:val="009D3DE6"/>
    <w:rsid w:val="009E06BB"/>
    <w:rsid w:val="009E0E07"/>
    <w:rsid w:val="009E4436"/>
    <w:rsid w:val="009E521D"/>
    <w:rsid w:val="009E732B"/>
    <w:rsid w:val="009E7842"/>
    <w:rsid w:val="009F2764"/>
    <w:rsid w:val="009F42FD"/>
    <w:rsid w:val="009F456A"/>
    <w:rsid w:val="009F4881"/>
    <w:rsid w:val="009F696D"/>
    <w:rsid w:val="009F6BC6"/>
    <w:rsid w:val="009F6F6B"/>
    <w:rsid w:val="00A03065"/>
    <w:rsid w:val="00A03403"/>
    <w:rsid w:val="00A04BAA"/>
    <w:rsid w:val="00A0546B"/>
    <w:rsid w:val="00A0559E"/>
    <w:rsid w:val="00A117F6"/>
    <w:rsid w:val="00A12388"/>
    <w:rsid w:val="00A13773"/>
    <w:rsid w:val="00A16AB7"/>
    <w:rsid w:val="00A17328"/>
    <w:rsid w:val="00A22817"/>
    <w:rsid w:val="00A231B3"/>
    <w:rsid w:val="00A2376A"/>
    <w:rsid w:val="00A23A20"/>
    <w:rsid w:val="00A23D55"/>
    <w:rsid w:val="00A24AEC"/>
    <w:rsid w:val="00A24C1E"/>
    <w:rsid w:val="00A25B03"/>
    <w:rsid w:val="00A268B9"/>
    <w:rsid w:val="00A2703A"/>
    <w:rsid w:val="00A27DD4"/>
    <w:rsid w:val="00A31ADE"/>
    <w:rsid w:val="00A33DFF"/>
    <w:rsid w:val="00A35115"/>
    <w:rsid w:val="00A36D9A"/>
    <w:rsid w:val="00A37E17"/>
    <w:rsid w:val="00A42E6B"/>
    <w:rsid w:val="00A43A0F"/>
    <w:rsid w:val="00A44BE8"/>
    <w:rsid w:val="00A507E6"/>
    <w:rsid w:val="00A534BF"/>
    <w:rsid w:val="00A53FF6"/>
    <w:rsid w:val="00A54B79"/>
    <w:rsid w:val="00A554AB"/>
    <w:rsid w:val="00A57EB6"/>
    <w:rsid w:val="00A60C0A"/>
    <w:rsid w:val="00A61048"/>
    <w:rsid w:val="00A630DB"/>
    <w:rsid w:val="00A649E4"/>
    <w:rsid w:val="00A67680"/>
    <w:rsid w:val="00A70456"/>
    <w:rsid w:val="00A73808"/>
    <w:rsid w:val="00A7553A"/>
    <w:rsid w:val="00A7656A"/>
    <w:rsid w:val="00A76715"/>
    <w:rsid w:val="00A77C9E"/>
    <w:rsid w:val="00A82607"/>
    <w:rsid w:val="00A85538"/>
    <w:rsid w:val="00A86F6D"/>
    <w:rsid w:val="00A92B53"/>
    <w:rsid w:val="00A92F57"/>
    <w:rsid w:val="00A93DAC"/>
    <w:rsid w:val="00A94B51"/>
    <w:rsid w:val="00A94FA6"/>
    <w:rsid w:val="00A9755C"/>
    <w:rsid w:val="00A975AF"/>
    <w:rsid w:val="00AA073F"/>
    <w:rsid w:val="00AA49A0"/>
    <w:rsid w:val="00AA4C23"/>
    <w:rsid w:val="00AA6710"/>
    <w:rsid w:val="00AA71C3"/>
    <w:rsid w:val="00AB016F"/>
    <w:rsid w:val="00AB0681"/>
    <w:rsid w:val="00AB147C"/>
    <w:rsid w:val="00AB15A5"/>
    <w:rsid w:val="00AB2001"/>
    <w:rsid w:val="00AB21E2"/>
    <w:rsid w:val="00AB5CE7"/>
    <w:rsid w:val="00AB6F37"/>
    <w:rsid w:val="00AC41A1"/>
    <w:rsid w:val="00AC629D"/>
    <w:rsid w:val="00AC78E0"/>
    <w:rsid w:val="00AC7D6A"/>
    <w:rsid w:val="00AD0080"/>
    <w:rsid w:val="00AD3EBB"/>
    <w:rsid w:val="00AD513F"/>
    <w:rsid w:val="00AD520B"/>
    <w:rsid w:val="00AD57EA"/>
    <w:rsid w:val="00AE5DC5"/>
    <w:rsid w:val="00AF370A"/>
    <w:rsid w:val="00AF3B7A"/>
    <w:rsid w:val="00B01484"/>
    <w:rsid w:val="00B01F2C"/>
    <w:rsid w:val="00B03309"/>
    <w:rsid w:val="00B03E5C"/>
    <w:rsid w:val="00B0678C"/>
    <w:rsid w:val="00B153FB"/>
    <w:rsid w:val="00B23CD8"/>
    <w:rsid w:val="00B24D83"/>
    <w:rsid w:val="00B25A72"/>
    <w:rsid w:val="00B3088B"/>
    <w:rsid w:val="00B31088"/>
    <w:rsid w:val="00B42A6E"/>
    <w:rsid w:val="00B440AD"/>
    <w:rsid w:val="00B470C6"/>
    <w:rsid w:val="00B52C18"/>
    <w:rsid w:val="00B53709"/>
    <w:rsid w:val="00B53E7E"/>
    <w:rsid w:val="00B6179E"/>
    <w:rsid w:val="00B61CD1"/>
    <w:rsid w:val="00B6342E"/>
    <w:rsid w:val="00B6676A"/>
    <w:rsid w:val="00B67148"/>
    <w:rsid w:val="00B67E4C"/>
    <w:rsid w:val="00B7113F"/>
    <w:rsid w:val="00B74869"/>
    <w:rsid w:val="00B75114"/>
    <w:rsid w:val="00B7614D"/>
    <w:rsid w:val="00B84A2E"/>
    <w:rsid w:val="00B927F3"/>
    <w:rsid w:val="00B9481E"/>
    <w:rsid w:val="00B95918"/>
    <w:rsid w:val="00B96370"/>
    <w:rsid w:val="00BA008F"/>
    <w:rsid w:val="00BA6462"/>
    <w:rsid w:val="00BA6A25"/>
    <w:rsid w:val="00BA73B6"/>
    <w:rsid w:val="00BA7E27"/>
    <w:rsid w:val="00BB2555"/>
    <w:rsid w:val="00BB2603"/>
    <w:rsid w:val="00BB2829"/>
    <w:rsid w:val="00BB478D"/>
    <w:rsid w:val="00BB4FCD"/>
    <w:rsid w:val="00BB759F"/>
    <w:rsid w:val="00BC0F06"/>
    <w:rsid w:val="00BC14B3"/>
    <w:rsid w:val="00BC2E04"/>
    <w:rsid w:val="00BC5F94"/>
    <w:rsid w:val="00BC7292"/>
    <w:rsid w:val="00BD13EA"/>
    <w:rsid w:val="00BD2D11"/>
    <w:rsid w:val="00BE1885"/>
    <w:rsid w:val="00BE3808"/>
    <w:rsid w:val="00BE4694"/>
    <w:rsid w:val="00BE6982"/>
    <w:rsid w:val="00BF036B"/>
    <w:rsid w:val="00BF0771"/>
    <w:rsid w:val="00BF2BFC"/>
    <w:rsid w:val="00BF3876"/>
    <w:rsid w:val="00BF58CC"/>
    <w:rsid w:val="00BF7E83"/>
    <w:rsid w:val="00C005A0"/>
    <w:rsid w:val="00C02F86"/>
    <w:rsid w:val="00C062E9"/>
    <w:rsid w:val="00C07AB8"/>
    <w:rsid w:val="00C07B64"/>
    <w:rsid w:val="00C115AF"/>
    <w:rsid w:val="00C1197E"/>
    <w:rsid w:val="00C13721"/>
    <w:rsid w:val="00C15A6C"/>
    <w:rsid w:val="00C15EBD"/>
    <w:rsid w:val="00C16C88"/>
    <w:rsid w:val="00C22656"/>
    <w:rsid w:val="00C25BAA"/>
    <w:rsid w:val="00C269E1"/>
    <w:rsid w:val="00C3066D"/>
    <w:rsid w:val="00C30FF7"/>
    <w:rsid w:val="00C3231A"/>
    <w:rsid w:val="00C32B75"/>
    <w:rsid w:val="00C37AE8"/>
    <w:rsid w:val="00C4045F"/>
    <w:rsid w:val="00C41743"/>
    <w:rsid w:val="00C42013"/>
    <w:rsid w:val="00C45188"/>
    <w:rsid w:val="00C527ED"/>
    <w:rsid w:val="00C5413A"/>
    <w:rsid w:val="00C543F4"/>
    <w:rsid w:val="00C55690"/>
    <w:rsid w:val="00C57952"/>
    <w:rsid w:val="00C57D5F"/>
    <w:rsid w:val="00C600F5"/>
    <w:rsid w:val="00C6291C"/>
    <w:rsid w:val="00C633CB"/>
    <w:rsid w:val="00C6630E"/>
    <w:rsid w:val="00C66A1F"/>
    <w:rsid w:val="00C70A44"/>
    <w:rsid w:val="00C71432"/>
    <w:rsid w:val="00C7165F"/>
    <w:rsid w:val="00C72081"/>
    <w:rsid w:val="00C737A0"/>
    <w:rsid w:val="00C74C94"/>
    <w:rsid w:val="00C76FBD"/>
    <w:rsid w:val="00C80A8D"/>
    <w:rsid w:val="00C80F17"/>
    <w:rsid w:val="00C80F8F"/>
    <w:rsid w:val="00C81D4A"/>
    <w:rsid w:val="00C83CFF"/>
    <w:rsid w:val="00C86993"/>
    <w:rsid w:val="00C86FCF"/>
    <w:rsid w:val="00C87593"/>
    <w:rsid w:val="00C8762C"/>
    <w:rsid w:val="00C92761"/>
    <w:rsid w:val="00C9404A"/>
    <w:rsid w:val="00CA00F9"/>
    <w:rsid w:val="00CA18DB"/>
    <w:rsid w:val="00CA19A0"/>
    <w:rsid w:val="00CA2961"/>
    <w:rsid w:val="00CA36EE"/>
    <w:rsid w:val="00CB048D"/>
    <w:rsid w:val="00CB1126"/>
    <w:rsid w:val="00CB2F66"/>
    <w:rsid w:val="00CB50D7"/>
    <w:rsid w:val="00CB7177"/>
    <w:rsid w:val="00CC111A"/>
    <w:rsid w:val="00CC1998"/>
    <w:rsid w:val="00CC21CF"/>
    <w:rsid w:val="00CC47EA"/>
    <w:rsid w:val="00CC4946"/>
    <w:rsid w:val="00CC7F1B"/>
    <w:rsid w:val="00CD0EAD"/>
    <w:rsid w:val="00CD28BC"/>
    <w:rsid w:val="00CD4D7D"/>
    <w:rsid w:val="00CD69C1"/>
    <w:rsid w:val="00CE1334"/>
    <w:rsid w:val="00CE4C3C"/>
    <w:rsid w:val="00CE4F81"/>
    <w:rsid w:val="00CE541A"/>
    <w:rsid w:val="00CE682B"/>
    <w:rsid w:val="00CE7D32"/>
    <w:rsid w:val="00CF00ED"/>
    <w:rsid w:val="00CF2919"/>
    <w:rsid w:val="00CF3816"/>
    <w:rsid w:val="00CF3F2E"/>
    <w:rsid w:val="00CF5A0E"/>
    <w:rsid w:val="00D03622"/>
    <w:rsid w:val="00D04C79"/>
    <w:rsid w:val="00D055C6"/>
    <w:rsid w:val="00D05E1C"/>
    <w:rsid w:val="00D078D6"/>
    <w:rsid w:val="00D10A93"/>
    <w:rsid w:val="00D14D58"/>
    <w:rsid w:val="00D211B9"/>
    <w:rsid w:val="00D24D13"/>
    <w:rsid w:val="00D270A4"/>
    <w:rsid w:val="00D3146F"/>
    <w:rsid w:val="00D31FE9"/>
    <w:rsid w:val="00D33CF9"/>
    <w:rsid w:val="00D33FA3"/>
    <w:rsid w:val="00D34104"/>
    <w:rsid w:val="00D3441D"/>
    <w:rsid w:val="00D34C24"/>
    <w:rsid w:val="00D34E1B"/>
    <w:rsid w:val="00D35E0A"/>
    <w:rsid w:val="00D376BA"/>
    <w:rsid w:val="00D41159"/>
    <w:rsid w:val="00D425FE"/>
    <w:rsid w:val="00D44AA2"/>
    <w:rsid w:val="00D46725"/>
    <w:rsid w:val="00D4699F"/>
    <w:rsid w:val="00D5568A"/>
    <w:rsid w:val="00D55CFA"/>
    <w:rsid w:val="00D55D18"/>
    <w:rsid w:val="00D62580"/>
    <w:rsid w:val="00D6317D"/>
    <w:rsid w:val="00D63777"/>
    <w:rsid w:val="00D63BB9"/>
    <w:rsid w:val="00D63D73"/>
    <w:rsid w:val="00D64452"/>
    <w:rsid w:val="00D66E1E"/>
    <w:rsid w:val="00D70127"/>
    <w:rsid w:val="00D73BCB"/>
    <w:rsid w:val="00D75722"/>
    <w:rsid w:val="00D75CDC"/>
    <w:rsid w:val="00D80CF5"/>
    <w:rsid w:val="00D84024"/>
    <w:rsid w:val="00D84459"/>
    <w:rsid w:val="00D84FE3"/>
    <w:rsid w:val="00D93F47"/>
    <w:rsid w:val="00DA13A3"/>
    <w:rsid w:val="00DA38FF"/>
    <w:rsid w:val="00DA5BBA"/>
    <w:rsid w:val="00DB67C9"/>
    <w:rsid w:val="00DC0C95"/>
    <w:rsid w:val="00DC2816"/>
    <w:rsid w:val="00DC374B"/>
    <w:rsid w:val="00DC58B9"/>
    <w:rsid w:val="00DC5FBC"/>
    <w:rsid w:val="00DD2762"/>
    <w:rsid w:val="00DD3734"/>
    <w:rsid w:val="00DD5004"/>
    <w:rsid w:val="00DD6580"/>
    <w:rsid w:val="00DD7154"/>
    <w:rsid w:val="00DE1BF6"/>
    <w:rsid w:val="00DE6EAE"/>
    <w:rsid w:val="00DF35B9"/>
    <w:rsid w:val="00DF5E06"/>
    <w:rsid w:val="00DF7F41"/>
    <w:rsid w:val="00E01665"/>
    <w:rsid w:val="00E063D4"/>
    <w:rsid w:val="00E1034B"/>
    <w:rsid w:val="00E1473F"/>
    <w:rsid w:val="00E1641B"/>
    <w:rsid w:val="00E16452"/>
    <w:rsid w:val="00E17C72"/>
    <w:rsid w:val="00E21FC6"/>
    <w:rsid w:val="00E22977"/>
    <w:rsid w:val="00E22B1E"/>
    <w:rsid w:val="00E23702"/>
    <w:rsid w:val="00E24D7E"/>
    <w:rsid w:val="00E25B05"/>
    <w:rsid w:val="00E27398"/>
    <w:rsid w:val="00E3263F"/>
    <w:rsid w:val="00E339DB"/>
    <w:rsid w:val="00E36C76"/>
    <w:rsid w:val="00E37C8C"/>
    <w:rsid w:val="00E4154E"/>
    <w:rsid w:val="00E4159C"/>
    <w:rsid w:val="00E431A9"/>
    <w:rsid w:val="00E60D4F"/>
    <w:rsid w:val="00E61274"/>
    <w:rsid w:val="00E616AA"/>
    <w:rsid w:val="00E6320D"/>
    <w:rsid w:val="00E635BC"/>
    <w:rsid w:val="00E669E2"/>
    <w:rsid w:val="00E66FBE"/>
    <w:rsid w:val="00E728A3"/>
    <w:rsid w:val="00E76135"/>
    <w:rsid w:val="00E76DE0"/>
    <w:rsid w:val="00E77D81"/>
    <w:rsid w:val="00E804E0"/>
    <w:rsid w:val="00E80622"/>
    <w:rsid w:val="00E80CC6"/>
    <w:rsid w:val="00E82BEA"/>
    <w:rsid w:val="00E82F4F"/>
    <w:rsid w:val="00E84871"/>
    <w:rsid w:val="00E85C37"/>
    <w:rsid w:val="00E86679"/>
    <w:rsid w:val="00E86D99"/>
    <w:rsid w:val="00E95348"/>
    <w:rsid w:val="00E95889"/>
    <w:rsid w:val="00E97EEB"/>
    <w:rsid w:val="00EA104D"/>
    <w:rsid w:val="00EA14C5"/>
    <w:rsid w:val="00EA267C"/>
    <w:rsid w:val="00EA6D06"/>
    <w:rsid w:val="00EA79C4"/>
    <w:rsid w:val="00EB1269"/>
    <w:rsid w:val="00EB3554"/>
    <w:rsid w:val="00EB4E2B"/>
    <w:rsid w:val="00EB52FE"/>
    <w:rsid w:val="00EB73CE"/>
    <w:rsid w:val="00EC0350"/>
    <w:rsid w:val="00EC09B4"/>
    <w:rsid w:val="00EC1DA0"/>
    <w:rsid w:val="00EC2844"/>
    <w:rsid w:val="00ED1481"/>
    <w:rsid w:val="00ED14DD"/>
    <w:rsid w:val="00ED23B9"/>
    <w:rsid w:val="00ED4FC8"/>
    <w:rsid w:val="00ED63A5"/>
    <w:rsid w:val="00ED77EA"/>
    <w:rsid w:val="00EE16B3"/>
    <w:rsid w:val="00EE48AC"/>
    <w:rsid w:val="00EE4E78"/>
    <w:rsid w:val="00EE5E52"/>
    <w:rsid w:val="00EF2DF6"/>
    <w:rsid w:val="00EF34F7"/>
    <w:rsid w:val="00EF4DC7"/>
    <w:rsid w:val="00EF5A87"/>
    <w:rsid w:val="00EF6793"/>
    <w:rsid w:val="00EF6C6C"/>
    <w:rsid w:val="00F00876"/>
    <w:rsid w:val="00F01D64"/>
    <w:rsid w:val="00F056FC"/>
    <w:rsid w:val="00F0579A"/>
    <w:rsid w:val="00F10476"/>
    <w:rsid w:val="00F11940"/>
    <w:rsid w:val="00F122D0"/>
    <w:rsid w:val="00F12C3B"/>
    <w:rsid w:val="00F13139"/>
    <w:rsid w:val="00F135D8"/>
    <w:rsid w:val="00F16FA8"/>
    <w:rsid w:val="00F172E6"/>
    <w:rsid w:val="00F22AD0"/>
    <w:rsid w:val="00F247E9"/>
    <w:rsid w:val="00F273D4"/>
    <w:rsid w:val="00F306F4"/>
    <w:rsid w:val="00F311B4"/>
    <w:rsid w:val="00F31299"/>
    <w:rsid w:val="00F32C37"/>
    <w:rsid w:val="00F33818"/>
    <w:rsid w:val="00F33CA3"/>
    <w:rsid w:val="00F3534A"/>
    <w:rsid w:val="00F35C4C"/>
    <w:rsid w:val="00F35F58"/>
    <w:rsid w:val="00F467B7"/>
    <w:rsid w:val="00F50E61"/>
    <w:rsid w:val="00F53A91"/>
    <w:rsid w:val="00F54ECE"/>
    <w:rsid w:val="00F56C63"/>
    <w:rsid w:val="00F57A0E"/>
    <w:rsid w:val="00F57C1E"/>
    <w:rsid w:val="00F63A3B"/>
    <w:rsid w:val="00F649FB"/>
    <w:rsid w:val="00F67E30"/>
    <w:rsid w:val="00F71046"/>
    <w:rsid w:val="00F72FAF"/>
    <w:rsid w:val="00F73531"/>
    <w:rsid w:val="00F74FE4"/>
    <w:rsid w:val="00F76343"/>
    <w:rsid w:val="00F765EE"/>
    <w:rsid w:val="00F81BA9"/>
    <w:rsid w:val="00F8514B"/>
    <w:rsid w:val="00F85325"/>
    <w:rsid w:val="00F90D62"/>
    <w:rsid w:val="00F91162"/>
    <w:rsid w:val="00F91FAA"/>
    <w:rsid w:val="00F9639C"/>
    <w:rsid w:val="00FA1C64"/>
    <w:rsid w:val="00FA42F1"/>
    <w:rsid w:val="00FA68CC"/>
    <w:rsid w:val="00FA6F37"/>
    <w:rsid w:val="00FB1A23"/>
    <w:rsid w:val="00FB5253"/>
    <w:rsid w:val="00FB5D38"/>
    <w:rsid w:val="00FC1B58"/>
    <w:rsid w:val="00FC2870"/>
    <w:rsid w:val="00FC3EC4"/>
    <w:rsid w:val="00FC45AB"/>
    <w:rsid w:val="00FC4AFA"/>
    <w:rsid w:val="00FC541B"/>
    <w:rsid w:val="00FC7875"/>
    <w:rsid w:val="00FD0E37"/>
    <w:rsid w:val="00FD13C3"/>
    <w:rsid w:val="00FD21E0"/>
    <w:rsid w:val="00FD22B1"/>
    <w:rsid w:val="00FD490E"/>
    <w:rsid w:val="00FE1162"/>
    <w:rsid w:val="00FE1864"/>
    <w:rsid w:val="00FE3783"/>
    <w:rsid w:val="00FE6D82"/>
    <w:rsid w:val="00FF0342"/>
    <w:rsid w:val="00FF3681"/>
    <w:rsid w:val="00FF4723"/>
    <w:rsid w:val="00FF650A"/>
    <w:rsid w:val="00FF7405"/>
    <w:rsid w:val="00FF7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16AB7"/>
    <w:rPr>
      <w:rFonts w:ascii="Calibri" w:eastAsiaTheme="minorHAnsi" w:hAnsi="Calibri" w:cs="Calibr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Default">
    <w:name w:val="Default"/>
    <w:rsid w:val="00CF3F2E"/>
    <w:pPr>
      <w:autoSpaceDE w:val="0"/>
      <w:autoSpaceDN w:val="0"/>
      <w:adjustRightInd w:val="0"/>
    </w:pPr>
    <w:rPr>
      <w:color w:val="000000"/>
      <w:sz w:val="24"/>
      <w:szCs w:val="24"/>
    </w:rPr>
  </w:style>
  <w:style w:type="character" w:styleId="Hyperlink">
    <w:name w:val="Hyperlink"/>
    <w:basedOn w:val="DefaultParagraphFont"/>
    <w:rsid w:val="00235F4B"/>
    <w:rPr>
      <w:color w:val="0000FF" w:themeColor="hyperlink"/>
      <w:u w:val="single"/>
    </w:rPr>
  </w:style>
  <w:style w:type="character" w:styleId="FollowedHyperlink">
    <w:name w:val="FollowedHyperlink"/>
    <w:basedOn w:val="DefaultParagraphFont"/>
    <w:rsid w:val="007C7948"/>
    <w:rPr>
      <w:color w:val="800080" w:themeColor="followedHyperlink"/>
      <w:u w:val="single"/>
    </w:rPr>
  </w:style>
  <w:style w:type="character" w:customStyle="1" w:styleId="BodyTextChar">
    <w:name w:val="Body Text Char"/>
    <w:basedOn w:val="DefaultParagraphFont"/>
    <w:link w:val="BodyText"/>
    <w:rsid w:val="00A16AB7"/>
    <w:rPr>
      <w:sz w:val="26"/>
    </w:rPr>
  </w:style>
  <w:style w:type="character" w:customStyle="1" w:styleId="ReferenceChar">
    <w:name w:val="Reference Char"/>
    <w:basedOn w:val="DefaultParagraphFont"/>
    <w:link w:val="Reference"/>
    <w:rsid w:val="003E2F0C"/>
    <w:rPr>
      <w:sz w:val="26"/>
    </w:rPr>
  </w:style>
  <w:style w:type="paragraph" w:styleId="CommentSubject">
    <w:name w:val="annotation subject"/>
    <w:basedOn w:val="CommentText"/>
    <w:next w:val="CommentText"/>
    <w:link w:val="CommentSubjectChar"/>
    <w:rsid w:val="00C600F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600F5"/>
    <w:rPr>
      <w:rFonts w:ascii="Calibri" w:eastAsiaTheme="minorHAnsi" w:hAnsi="Calibri" w:cs="Calibri"/>
      <w:szCs w:val="22"/>
      <w:lang w:eastAsia="en-US"/>
    </w:rPr>
  </w:style>
  <w:style w:type="character" w:customStyle="1" w:styleId="CommentSubjectChar">
    <w:name w:val="Comment Subject Char"/>
    <w:basedOn w:val="CommentTextChar"/>
    <w:link w:val="CommentSubject"/>
    <w:rsid w:val="00C600F5"/>
    <w:rPr>
      <w:rFonts w:ascii="Calibri" w:eastAsiaTheme="minorHAnsi" w:hAnsi="Calibri" w:cs="Calibri"/>
      <w:b/>
      <w:bCs/>
      <w:szCs w:val="22"/>
      <w:lang w:eastAsia="en-US"/>
    </w:rPr>
  </w:style>
  <w:style w:type="paragraph" w:customStyle="1" w:styleId="BoxSpaceAbove">
    <w:name w:val="Box Space Above"/>
    <w:basedOn w:val="BodyText"/>
    <w:rsid w:val="008D1BF5"/>
    <w:pPr>
      <w:keepNext/>
      <w:spacing w:before="360" w:line="80" w:lineRule="exact"/>
      <w:jc w:val="left"/>
    </w:pPr>
  </w:style>
  <w:style w:type="paragraph" w:customStyle="1" w:styleId="BoxSpaceBelow">
    <w:name w:val="Box Space Below"/>
    <w:basedOn w:val="Box"/>
    <w:rsid w:val="008D1BF5"/>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16AB7"/>
    <w:rPr>
      <w:rFonts w:ascii="Calibri" w:eastAsiaTheme="minorHAnsi" w:hAnsi="Calibri" w:cs="Calibr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Default">
    <w:name w:val="Default"/>
    <w:rsid w:val="00CF3F2E"/>
    <w:pPr>
      <w:autoSpaceDE w:val="0"/>
      <w:autoSpaceDN w:val="0"/>
      <w:adjustRightInd w:val="0"/>
    </w:pPr>
    <w:rPr>
      <w:color w:val="000000"/>
      <w:sz w:val="24"/>
      <w:szCs w:val="24"/>
    </w:rPr>
  </w:style>
  <w:style w:type="character" w:styleId="Hyperlink">
    <w:name w:val="Hyperlink"/>
    <w:basedOn w:val="DefaultParagraphFont"/>
    <w:rsid w:val="00235F4B"/>
    <w:rPr>
      <w:color w:val="0000FF" w:themeColor="hyperlink"/>
      <w:u w:val="single"/>
    </w:rPr>
  </w:style>
  <w:style w:type="character" w:styleId="FollowedHyperlink">
    <w:name w:val="FollowedHyperlink"/>
    <w:basedOn w:val="DefaultParagraphFont"/>
    <w:rsid w:val="007C7948"/>
    <w:rPr>
      <w:color w:val="800080" w:themeColor="followedHyperlink"/>
      <w:u w:val="single"/>
    </w:rPr>
  </w:style>
  <w:style w:type="character" w:customStyle="1" w:styleId="BodyTextChar">
    <w:name w:val="Body Text Char"/>
    <w:basedOn w:val="DefaultParagraphFont"/>
    <w:link w:val="BodyText"/>
    <w:rsid w:val="00A16AB7"/>
    <w:rPr>
      <w:sz w:val="26"/>
    </w:rPr>
  </w:style>
  <w:style w:type="character" w:customStyle="1" w:styleId="ReferenceChar">
    <w:name w:val="Reference Char"/>
    <w:basedOn w:val="DefaultParagraphFont"/>
    <w:link w:val="Reference"/>
    <w:rsid w:val="003E2F0C"/>
    <w:rPr>
      <w:sz w:val="26"/>
    </w:rPr>
  </w:style>
  <w:style w:type="paragraph" w:styleId="CommentSubject">
    <w:name w:val="annotation subject"/>
    <w:basedOn w:val="CommentText"/>
    <w:next w:val="CommentText"/>
    <w:link w:val="CommentSubjectChar"/>
    <w:rsid w:val="00C600F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600F5"/>
    <w:rPr>
      <w:rFonts w:ascii="Calibri" w:eastAsiaTheme="minorHAnsi" w:hAnsi="Calibri" w:cs="Calibri"/>
      <w:szCs w:val="22"/>
      <w:lang w:eastAsia="en-US"/>
    </w:rPr>
  </w:style>
  <w:style w:type="character" w:customStyle="1" w:styleId="CommentSubjectChar">
    <w:name w:val="Comment Subject Char"/>
    <w:basedOn w:val="CommentTextChar"/>
    <w:link w:val="CommentSubject"/>
    <w:rsid w:val="00C600F5"/>
    <w:rPr>
      <w:rFonts w:ascii="Calibri" w:eastAsiaTheme="minorHAnsi" w:hAnsi="Calibri" w:cs="Calibri"/>
      <w:b/>
      <w:bCs/>
      <w:szCs w:val="22"/>
      <w:lang w:eastAsia="en-US"/>
    </w:rPr>
  </w:style>
  <w:style w:type="paragraph" w:customStyle="1" w:styleId="BoxSpaceAbove">
    <w:name w:val="Box Space Above"/>
    <w:basedOn w:val="BodyText"/>
    <w:rsid w:val="008D1BF5"/>
    <w:pPr>
      <w:keepNext/>
      <w:spacing w:before="360" w:line="80" w:lineRule="exact"/>
      <w:jc w:val="left"/>
    </w:pPr>
  </w:style>
  <w:style w:type="paragraph" w:customStyle="1" w:styleId="BoxSpaceBelow">
    <w:name w:val="Box Space Below"/>
    <w:basedOn w:val="Box"/>
    <w:rsid w:val="008D1BF5"/>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8148">
      <w:bodyDiv w:val="1"/>
      <w:marLeft w:val="0"/>
      <w:marRight w:val="0"/>
      <w:marTop w:val="0"/>
      <w:marBottom w:val="0"/>
      <w:divBdr>
        <w:top w:val="none" w:sz="0" w:space="0" w:color="auto"/>
        <w:left w:val="none" w:sz="0" w:space="0" w:color="auto"/>
        <w:bottom w:val="none" w:sz="0" w:space="0" w:color="auto"/>
        <w:right w:val="none" w:sz="0" w:space="0" w:color="auto"/>
      </w:divBdr>
    </w:div>
    <w:div w:id="48503846">
      <w:bodyDiv w:val="1"/>
      <w:marLeft w:val="0"/>
      <w:marRight w:val="0"/>
      <w:marTop w:val="0"/>
      <w:marBottom w:val="0"/>
      <w:divBdr>
        <w:top w:val="none" w:sz="0" w:space="0" w:color="auto"/>
        <w:left w:val="none" w:sz="0" w:space="0" w:color="auto"/>
        <w:bottom w:val="none" w:sz="0" w:space="0" w:color="auto"/>
        <w:right w:val="none" w:sz="0" w:space="0" w:color="auto"/>
      </w:divBdr>
      <w:divsChild>
        <w:div w:id="969553053">
          <w:marLeft w:val="0"/>
          <w:marRight w:val="0"/>
          <w:marTop w:val="0"/>
          <w:marBottom w:val="0"/>
          <w:divBdr>
            <w:top w:val="none" w:sz="0" w:space="0" w:color="auto"/>
            <w:left w:val="none" w:sz="0" w:space="0" w:color="auto"/>
            <w:bottom w:val="none" w:sz="0" w:space="0" w:color="auto"/>
            <w:right w:val="none" w:sz="0" w:space="0" w:color="auto"/>
          </w:divBdr>
          <w:divsChild>
            <w:div w:id="283073397">
              <w:marLeft w:val="0"/>
              <w:marRight w:val="0"/>
              <w:marTop w:val="0"/>
              <w:marBottom w:val="0"/>
              <w:divBdr>
                <w:top w:val="none" w:sz="0" w:space="0" w:color="auto"/>
                <w:left w:val="none" w:sz="0" w:space="0" w:color="auto"/>
                <w:bottom w:val="none" w:sz="0" w:space="0" w:color="auto"/>
                <w:right w:val="none" w:sz="0" w:space="0" w:color="auto"/>
              </w:divBdr>
              <w:divsChild>
                <w:div w:id="700978301">
                  <w:marLeft w:val="0"/>
                  <w:marRight w:val="0"/>
                  <w:marTop w:val="0"/>
                  <w:marBottom w:val="0"/>
                  <w:divBdr>
                    <w:top w:val="none" w:sz="0" w:space="0" w:color="auto"/>
                    <w:left w:val="none" w:sz="0" w:space="0" w:color="auto"/>
                    <w:bottom w:val="none" w:sz="0" w:space="0" w:color="auto"/>
                    <w:right w:val="none" w:sz="0" w:space="0" w:color="auto"/>
                  </w:divBdr>
                  <w:divsChild>
                    <w:div w:id="521482047">
                      <w:marLeft w:val="0"/>
                      <w:marRight w:val="0"/>
                      <w:marTop w:val="0"/>
                      <w:marBottom w:val="0"/>
                      <w:divBdr>
                        <w:top w:val="none" w:sz="0" w:space="0" w:color="auto"/>
                        <w:left w:val="none" w:sz="0" w:space="0" w:color="auto"/>
                        <w:bottom w:val="none" w:sz="0" w:space="0" w:color="auto"/>
                        <w:right w:val="none" w:sz="0" w:space="0" w:color="auto"/>
                      </w:divBdr>
                      <w:divsChild>
                        <w:div w:id="1669209858">
                          <w:marLeft w:val="0"/>
                          <w:marRight w:val="0"/>
                          <w:marTop w:val="0"/>
                          <w:marBottom w:val="0"/>
                          <w:divBdr>
                            <w:top w:val="none" w:sz="0" w:space="0" w:color="auto"/>
                            <w:left w:val="none" w:sz="0" w:space="0" w:color="auto"/>
                            <w:bottom w:val="none" w:sz="0" w:space="0" w:color="auto"/>
                            <w:right w:val="none" w:sz="0" w:space="0" w:color="auto"/>
                          </w:divBdr>
                          <w:divsChild>
                            <w:div w:id="70517711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22202">
      <w:bodyDiv w:val="1"/>
      <w:marLeft w:val="0"/>
      <w:marRight w:val="0"/>
      <w:marTop w:val="0"/>
      <w:marBottom w:val="0"/>
      <w:divBdr>
        <w:top w:val="none" w:sz="0" w:space="0" w:color="auto"/>
        <w:left w:val="none" w:sz="0" w:space="0" w:color="auto"/>
        <w:bottom w:val="none" w:sz="0" w:space="0" w:color="auto"/>
        <w:right w:val="none" w:sz="0" w:space="0" w:color="auto"/>
      </w:divBdr>
      <w:divsChild>
        <w:div w:id="1813937421">
          <w:marLeft w:val="0"/>
          <w:marRight w:val="0"/>
          <w:marTop w:val="0"/>
          <w:marBottom w:val="0"/>
          <w:divBdr>
            <w:top w:val="none" w:sz="0" w:space="0" w:color="auto"/>
            <w:left w:val="none" w:sz="0" w:space="0" w:color="auto"/>
            <w:bottom w:val="none" w:sz="0" w:space="0" w:color="auto"/>
            <w:right w:val="none" w:sz="0" w:space="0" w:color="auto"/>
          </w:divBdr>
          <w:divsChild>
            <w:div w:id="1846358069">
              <w:marLeft w:val="0"/>
              <w:marRight w:val="0"/>
              <w:marTop w:val="0"/>
              <w:marBottom w:val="0"/>
              <w:divBdr>
                <w:top w:val="none" w:sz="0" w:space="0" w:color="auto"/>
                <w:left w:val="none" w:sz="0" w:space="0" w:color="auto"/>
                <w:bottom w:val="none" w:sz="0" w:space="0" w:color="auto"/>
                <w:right w:val="none" w:sz="0" w:space="0" w:color="auto"/>
              </w:divBdr>
              <w:divsChild>
                <w:div w:id="742797972">
                  <w:marLeft w:val="0"/>
                  <w:marRight w:val="0"/>
                  <w:marTop w:val="0"/>
                  <w:marBottom w:val="0"/>
                  <w:divBdr>
                    <w:top w:val="none" w:sz="0" w:space="0" w:color="auto"/>
                    <w:left w:val="none" w:sz="0" w:space="0" w:color="auto"/>
                    <w:bottom w:val="none" w:sz="0" w:space="0" w:color="auto"/>
                    <w:right w:val="none" w:sz="0" w:space="0" w:color="auto"/>
                  </w:divBdr>
                  <w:divsChild>
                    <w:div w:id="911816792">
                      <w:marLeft w:val="0"/>
                      <w:marRight w:val="0"/>
                      <w:marTop w:val="0"/>
                      <w:marBottom w:val="0"/>
                      <w:divBdr>
                        <w:top w:val="none" w:sz="0" w:space="0" w:color="auto"/>
                        <w:left w:val="none" w:sz="0" w:space="0" w:color="auto"/>
                        <w:bottom w:val="none" w:sz="0" w:space="0" w:color="auto"/>
                        <w:right w:val="none" w:sz="0" w:space="0" w:color="auto"/>
                      </w:divBdr>
                      <w:divsChild>
                        <w:div w:id="299574346">
                          <w:marLeft w:val="0"/>
                          <w:marRight w:val="0"/>
                          <w:marTop w:val="0"/>
                          <w:marBottom w:val="0"/>
                          <w:divBdr>
                            <w:top w:val="none" w:sz="0" w:space="0" w:color="auto"/>
                            <w:left w:val="none" w:sz="0" w:space="0" w:color="auto"/>
                            <w:bottom w:val="none" w:sz="0" w:space="0" w:color="auto"/>
                            <w:right w:val="none" w:sz="0" w:space="0" w:color="auto"/>
                          </w:divBdr>
                          <w:divsChild>
                            <w:div w:id="124434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42409">
      <w:bodyDiv w:val="1"/>
      <w:marLeft w:val="0"/>
      <w:marRight w:val="0"/>
      <w:marTop w:val="0"/>
      <w:marBottom w:val="0"/>
      <w:divBdr>
        <w:top w:val="none" w:sz="0" w:space="0" w:color="auto"/>
        <w:left w:val="none" w:sz="0" w:space="0" w:color="auto"/>
        <w:bottom w:val="none" w:sz="0" w:space="0" w:color="auto"/>
        <w:right w:val="none" w:sz="0" w:space="0" w:color="auto"/>
      </w:divBdr>
    </w:div>
    <w:div w:id="310182034">
      <w:bodyDiv w:val="1"/>
      <w:marLeft w:val="0"/>
      <w:marRight w:val="0"/>
      <w:marTop w:val="0"/>
      <w:marBottom w:val="0"/>
      <w:divBdr>
        <w:top w:val="none" w:sz="0" w:space="0" w:color="auto"/>
        <w:left w:val="none" w:sz="0" w:space="0" w:color="auto"/>
        <w:bottom w:val="none" w:sz="0" w:space="0" w:color="auto"/>
        <w:right w:val="none" w:sz="0" w:space="0" w:color="auto"/>
      </w:divBdr>
      <w:divsChild>
        <w:div w:id="876163052">
          <w:marLeft w:val="0"/>
          <w:marRight w:val="0"/>
          <w:marTop w:val="0"/>
          <w:marBottom w:val="0"/>
          <w:divBdr>
            <w:top w:val="single" w:sz="2" w:space="0" w:color="BBBBBB"/>
            <w:left w:val="single" w:sz="2" w:space="0" w:color="BBBBBB"/>
            <w:bottom w:val="single" w:sz="2" w:space="0" w:color="BBBBBB"/>
            <w:right w:val="single" w:sz="2" w:space="0" w:color="BBBBBB"/>
          </w:divBdr>
          <w:divsChild>
            <w:div w:id="392435218">
              <w:marLeft w:val="0"/>
              <w:marRight w:val="0"/>
              <w:marTop w:val="0"/>
              <w:marBottom w:val="0"/>
              <w:divBdr>
                <w:top w:val="none" w:sz="0" w:space="0" w:color="auto"/>
                <w:left w:val="none" w:sz="0" w:space="0" w:color="auto"/>
                <w:bottom w:val="none" w:sz="0" w:space="0" w:color="auto"/>
                <w:right w:val="none" w:sz="0" w:space="0" w:color="auto"/>
              </w:divBdr>
              <w:divsChild>
                <w:div w:id="1430812260">
                  <w:marLeft w:val="0"/>
                  <w:marRight w:val="0"/>
                  <w:marTop w:val="0"/>
                  <w:marBottom w:val="0"/>
                  <w:divBdr>
                    <w:top w:val="none" w:sz="0" w:space="0" w:color="auto"/>
                    <w:left w:val="none" w:sz="0" w:space="0" w:color="auto"/>
                    <w:bottom w:val="none" w:sz="0" w:space="0" w:color="auto"/>
                    <w:right w:val="none" w:sz="0" w:space="0" w:color="auto"/>
                  </w:divBdr>
                  <w:divsChild>
                    <w:div w:id="84629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48442">
      <w:bodyDiv w:val="1"/>
      <w:marLeft w:val="0"/>
      <w:marRight w:val="0"/>
      <w:marTop w:val="0"/>
      <w:marBottom w:val="0"/>
      <w:divBdr>
        <w:top w:val="none" w:sz="0" w:space="0" w:color="auto"/>
        <w:left w:val="none" w:sz="0" w:space="0" w:color="auto"/>
        <w:bottom w:val="none" w:sz="0" w:space="0" w:color="auto"/>
        <w:right w:val="none" w:sz="0" w:space="0" w:color="auto"/>
      </w:divBdr>
      <w:divsChild>
        <w:div w:id="129637495">
          <w:marLeft w:val="0"/>
          <w:marRight w:val="0"/>
          <w:marTop w:val="0"/>
          <w:marBottom w:val="0"/>
          <w:divBdr>
            <w:top w:val="none" w:sz="0" w:space="0" w:color="auto"/>
            <w:left w:val="none" w:sz="0" w:space="0" w:color="auto"/>
            <w:bottom w:val="none" w:sz="0" w:space="0" w:color="auto"/>
            <w:right w:val="none" w:sz="0" w:space="0" w:color="auto"/>
          </w:divBdr>
          <w:divsChild>
            <w:div w:id="2005816987">
              <w:marLeft w:val="0"/>
              <w:marRight w:val="0"/>
              <w:marTop w:val="0"/>
              <w:marBottom w:val="0"/>
              <w:divBdr>
                <w:top w:val="none" w:sz="0" w:space="0" w:color="auto"/>
                <w:left w:val="none" w:sz="0" w:space="0" w:color="auto"/>
                <w:bottom w:val="none" w:sz="0" w:space="0" w:color="auto"/>
                <w:right w:val="none" w:sz="0" w:space="0" w:color="auto"/>
              </w:divBdr>
              <w:divsChild>
                <w:div w:id="1143346667">
                  <w:marLeft w:val="0"/>
                  <w:marRight w:val="0"/>
                  <w:marTop w:val="0"/>
                  <w:marBottom w:val="0"/>
                  <w:divBdr>
                    <w:top w:val="none" w:sz="0" w:space="0" w:color="auto"/>
                    <w:left w:val="none" w:sz="0" w:space="0" w:color="auto"/>
                    <w:bottom w:val="none" w:sz="0" w:space="0" w:color="auto"/>
                    <w:right w:val="none" w:sz="0" w:space="0" w:color="auto"/>
                  </w:divBdr>
                  <w:divsChild>
                    <w:div w:id="2079670425">
                      <w:marLeft w:val="0"/>
                      <w:marRight w:val="0"/>
                      <w:marTop w:val="0"/>
                      <w:marBottom w:val="0"/>
                      <w:divBdr>
                        <w:top w:val="none" w:sz="0" w:space="0" w:color="auto"/>
                        <w:left w:val="none" w:sz="0" w:space="0" w:color="auto"/>
                        <w:bottom w:val="none" w:sz="0" w:space="0" w:color="auto"/>
                        <w:right w:val="none" w:sz="0" w:space="0" w:color="auto"/>
                      </w:divBdr>
                      <w:divsChild>
                        <w:div w:id="781996271">
                          <w:marLeft w:val="0"/>
                          <w:marRight w:val="0"/>
                          <w:marTop w:val="0"/>
                          <w:marBottom w:val="0"/>
                          <w:divBdr>
                            <w:top w:val="none" w:sz="0" w:space="0" w:color="auto"/>
                            <w:left w:val="none" w:sz="0" w:space="0" w:color="auto"/>
                            <w:bottom w:val="none" w:sz="0" w:space="0" w:color="auto"/>
                            <w:right w:val="none" w:sz="0" w:space="0" w:color="auto"/>
                          </w:divBdr>
                          <w:divsChild>
                            <w:div w:id="78620142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858945">
      <w:bodyDiv w:val="1"/>
      <w:marLeft w:val="0"/>
      <w:marRight w:val="0"/>
      <w:marTop w:val="0"/>
      <w:marBottom w:val="0"/>
      <w:divBdr>
        <w:top w:val="none" w:sz="0" w:space="0" w:color="auto"/>
        <w:left w:val="none" w:sz="0" w:space="0" w:color="auto"/>
        <w:bottom w:val="none" w:sz="0" w:space="0" w:color="auto"/>
        <w:right w:val="none" w:sz="0" w:space="0" w:color="auto"/>
      </w:divBdr>
      <w:divsChild>
        <w:div w:id="190411992">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0"/>
              <w:marBottom w:val="0"/>
              <w:divBdr>
                <w:top w:val="none" w:sz="0" w:space="0" w:color="auto"/>
                <w:left w:val="none" w:sz="0" w:space="0" w:color="auto"/>
                <w:bottom w:val="none" w:sz="0" w:space="0" w:color="auto"/>
                <w:right w:val="none" w:sz="0" w:space="0" w:color="auto"/>
              </w:divBdr>
              <w:divsChild>
                <w:div w:id="1006789665">
                  <w:marLeft w:val="0"/>
                  <w:marRight w:val="0"/>
                  <w:marTop w:val="0"/>
                  <w:marBottom w:val="0"/>
                  <w:divBdr>
                    <w:top w:val="none" w:sz="0" w:space="0" w:color="auto"/>
                    <w:left w:val="none" w:sz="0" w:space="0" w:color="auto"/>
                    <w:bottom w:val="none" w:sz="0" w:space="0" w:color="auto"/>
                    <w:right w:val="none" w:sz="0" w:space="0" w:color="auto"/>
                  </w:divBdr>
                  <w:divsChild>
                    <w:div w:id="924538017">
                      <w:marLeft w:val="0"/>
                      <w:marRight w:val="0"/>
                      <w:marTop w:val="0"/>
                      <w:marBottom w:val="0"/>
                      <w:divBdr>
                        <w:top w:val="none" w:sz="0" w:space="0" w:color="auto"/>
                        <w:left w:val="none" w:sz="0" w:space="0" w:color="auto"/>
                        <w:bottom w:val="none" w:sz="0" w:space="0" w:color="auto"/>
                        <w:right w:val="none" w:sz="0" w:space="0" w:color="auto"/>
                      </w:divBdr>
                      <w:divsChild>
                        <w:div w:id="330257519">
                          <w:marLeft w:val="0"/>
                          <w:marRight w:val="0"/>
                          <w:marTop w:val="0"/>
                          <w:marBottom w:val="0"/>
                          <w:divBdr>
                            <w:top w:val="none" w:sz="0" w:space="0" w:color="auto"/>
                            <w:left w:val="none" w:sz="0" w:space="0" w:color="auto"/>
                            <w:bottom w:val="none" w:sz="0" w:space="0" w:color="auto"/>
                            <w:right w:val="none" w:sz="0" w:space="0" w:color="auto"/>
                          </w:divBdr>
                          <w:divsChild>
                            <w:div w:id="100925473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160434">
      <w:bodyDiv w:val="1"/>
      <w:marLeft w:val="0"/>
      <w:marRight w:val="0"/>
      <w:marTop w:val="0"/>
      <w:marBottom w:val="0"/>
      <w:divBdr>
        <w:top w:val="none" w:sz="0" w:space="0" w:color="auto"/>
        <w:left w:val="none" w:sz="0" w:space="0" w:color="auto"/>
        <w:bottom w:val="none" w:sz="0" w:space="0" w:color="auto"/>
        <w:right w:val="none" w:sz="0" w:space="0" w:color="auto"/>
      </w:divBdr>
      <w:divsChild>
        <w:div w:id="1670401731">
          <w:marLeft w:val="0"/>
          <w:marRight w:val="0"/>
          <w:marTop w:val="0"/>
          <w:marBottom w:val="0"/>
          <w:divBdr>
            <w:top w:val="single" w:sz="6" w:space="0" w:color="FFFFFF"/>
            <w:left w:val="single" w:sz="6" w:space="0" w:color="FFFFFF"/>
            <w:bottom w:val="none" w:sz="0" w:space="0" w:color="auto"/>
            <w:right w:val="single" w:sz="6" w:space="0" w:color="FFFFFF"/>
          </w:divBdr>
          <w:divsChild>
            <w:div w:id="958220012">
              <w:marLeft w:val="4332"/>
              <w:marRight w:val="0"/>
              <w:marTop w:val="0"/>
              <w:marBottom w:val="0"/>
              <w:divBdr>
                <w:top w:val="none" w:sz="0" w:space="0" w:color="auto"/>
                <w:left w:val="none" w:sz="0" w:space="0" w:color="auto"/>
                <w:bottom w:val="none" w:sz="0" w:space="0" w:color="auto"/>
                <w:right w:val="none" w:sz="0" w:space="0" w:color="auto"/>
              </w:divBdr>
              <w:divsChild>
                <w:div w:id="1481918053">
                  <w:marLeft w:val="0"/>
                  <w:marRight w:val="0"/>
                  <w:marTop w:val="0"/>
                  <w:marBottom w:val="0"/>
                  <w:divBdr>
                    <w:top w:val="none" w:sz="0" w:space="0" w:color="auto"/>
                    <w:left w:val="none" w:sz="0" w:space="0" w:color="auto"/>
                    <w:bottom w:val="none" w:sz="0" w:space="0" w:color="auto"/>
                    <w:right w:val="none" w:sz="0" w:space="0" w:color="auto"/>
                  </w:divBdr>
                  <w:divsChild>
                    <w:div w:id="9413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765271">
      <w:bodyDiv w:val="1"/>
      <w:marLeft w:val="0"/>
      <w:marRight w:val="0"/>
      <w:marTop w:val="0"/>
      <w:marBottom w:val="0"/>
      <w:divBdr>
        <w:top w:val="none" w:sz="0" w:space="0" w:color="auto"/>
        <w:left w:val="none" w:sz="0" w:space="0" w:color="auto"/>
        <w:bottom w:val="none" w:sz="0" w:space="0" w:color="auto"/>
        <w:right w:val="none" w:sz="0" w:space="0" w:color="auto"/>
      </w:divBdr>
    </w:div>
    <w:div w:id="998464371">
      <w:bodyDiv w:val="1"/>
      <w:marLeft w:val="0"/>
      <w:marRight w:val="0"/>
      <w:marTop w:val="0"/>
      <w:marBottom w:val="0"/>
      <w:divBdr>
        <w:top w:val="none" w:sz="0" w:space="0" w:color="auto"/>
        <w:left w:val="none" w:sz="0" w:space="0" w:color="auto"/>
        <w:bottom w:val="none" w:sz="0" w:space="0" w:color="auto"/>
        <w:right w:val="none" w:sz="0" w:space="0" w:color="auto"/>
      </w:divBdr>
      <w:divsChild>
        <w:div w:id="1267423009">
          <w:marLeft w:val="0"/>
          <w:marRight w:val="0"/>
          <w:marTop w:val="0"/>
          <w:marBottom w:val="0"/>
          <w:divBdr>
            <w:top w:val="none" w:sz="0" w:space="0" w:color="auto"/>
            <w:left w:val="none" w:sz="0" w:space="0" w:color="auto"/>
            <w:bottom w:val="none" w:sz="0" w:space="0" w:color="auto"/>
            <w:right w:val="none" w:sz="0" w:space="0" w:color="auto"/>
          </w:divBdr>
          <w:divsChild>
            <w:div w:id="53042475">
              <w:marLeft w:val="0"/>
              <w:marRight w:val="0"/>
              <w:marTop w:val="0"/>
              <w:marBottom w:val="0"/>
              <w:divBdr>
                <w:top w:val="none" w:sz="0" w:space="0" w:color="auto"/>
                <w:left w:val="none" w:sz="0" w:space="0" w:color="auto"/>
                <w:bottom w:val="none" w:sz="0" w:space="0" w:color="auto"/>
                <w:right w:val="none" w:sz="0" w:space="0" w:color="auto"/>
              </w:divBdr>
              <w:divsChild>
                <w:div w:id="1287783448">
                  <w:marLeft w:val="0"/>
                  <w:marRight w:val="0"/>
                  <w:marTop w:val="0"/>
                  <w:marBottom w:val="0"/>
                  <w:divBdr>
                    <w:top w:val="none" w:sz="0" w:space="0" w:color="auto"/>
                    <w:left w:val="none" w:sz="0" w:space="0" w:color="auto"/>
                    <w:bottom w:val="none" w:sz="0" w:space="0" w:color="auto"/>
                    <w:right w:val="none" w:sz="0" w:space="0" w:color="auto"/>
                  </w:divBdr>
                  <w:divsChild>
                    <w:div w:id="1833989640">
                      <w:marLeft w:val="0"/>
                      <w:marRight w:val="0"/>
                      <w:marTop w:val="0"/>
                      <w:marBottom w:val="0"/>
                      <w:divBdr>
                        <w:top w:val="none" w:sz="0" w:space="0" w:color="auto"/>
                        <w:left w:val="none" w:sz="0" w:space="0" w:color="auto"/>
                        <w:bottom w:val="none" w:sz="0" w:space="0" w:color="auto"/>
                        <w:right w:val="none" w:sz="0" w:space="0" w:color="auto"/>
                      </w:divBdr>
                      <w:divsChild>
                        <w:div w:id="1750080980">
                          <w:marLeft w:val="0"/>
                          <w:marRight w:val="0"/>
                          <w:marTop w:val="0"/>
                          <w:marBottom w:val="0"/>
                          <w:divBdr>
                            <w:top w:val="none" w:sz="0" w:space="0" w:color="auto"/>
                            <w:left w:val="none" w:sz="0" w:space="0" w:color="auto"/>
                            <w:bottom w:val="none" w:sz="0" w:space="0" w:color="auto"/>
                            <w:right w:val="none" w:sz="0" w:space="0" w:color="auto"/>
                          </w:divBdr>
                          <w:divsChild>
                            <w:div w:id="6281692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140610">
      <w:bodyDiv w:val="1"/>
      <w:marLeft w:val="0"/>
      <w:marRight w:val="0"/>
      <w:marTop w:val="0"/>
      <w:marBottom w:val="0"/>
      <w:divBdr>
        <w:top w:val="none" w:sz="0" w:space="0" w:color="auto"/>
        <w:left w:val="none" w:sz="0" w:space="0" w:color="auto"/>
        <w:bottom w:val="none" w:sz="0" w:space="0" w:color="auto"/>
        <w:right w:val="none" w:sz="0" w:space="0" w:color="auto"/>
      </w:divBdr>
      <w:divsChild>
        <w:div w:id="586040860">
          <w:marLeft w:val="0"/>
          <w:marRight w:val="0"/>
          <w:marTop w:val="0"/>
          <w:marBottom w:val="0"/>
          <w:divBdr>
            <w:top w:val="none" w:sz="0" w:space="0" w:color="auto"/>
            <w:left w:val="none" w:sz="0" w:space="0" w:color="auto"/>
            <w:bottom w:val="none" w:sz="0" w:space="0" w:color="auto"/>
            <w:right w:val="none" w:sz="0" w:space="0" w:color="auto"/>
          </w:divBdr>
          <w:divsChild>
            <w:div w:id="1961837013">
              <w:marLeft w:val="0"/>
              <w:marRight w:val="0"/>
              <w:marTop w:val="0"/>
              <w:marBottom w:val="0"/>
              <w:divBdr>
                <w:top w:val="none" w:sz="0" w:space="0" w:color="auto"/>
                <w:left w:val="none" w:sz="0" w:space="0" w:color="auto"/>
                <w:bottom w:val="none" w:sz="0" w:space="0" w:color="auto"/>
                <w:right w:val="none" w:sz="0" w:space="0" w:color="auto"/>
              </w:divBdr>
              <w:divsChild>
                <w:div w:id="451561730">
                  <w:marLeft w:val="0"/>
                  <w:marRight w:val="0"/>
                  <w:marTop w:val="0"/>
                  <w:marBottom w:val="0"/>
                  <w:divBdr>
                    <w:top w:val="none" w:sz="0" w:space="0" w:color="auto"/>
                    <w:left w:val="none" w:sz="0" w:space="0" w:color="auto"/>
                    <w:bottom w:val="none" w:sz="0" w:space="0" w:color="auto"/>
                    <w:right w:val="none" w:sz="0" w:space="0" w:color="auto"/>
                  </w:divBdr>
                  <w:divsChild>
                    <w:div w:id="357779735">
                      <w:marLeft w:val="0"/>
                      <w:marRight w:val="0"/>
                      <w:marTop w:val="0"/>
                      <w:marBottom w:val="0"/>
                      <w:divBdr>
                        <w:top w:val="none" w:sz="0" w:space="0" w:color="auto"/>
                        <w:left w:val="none" w:sz="0" w:space="0" w:color="auto"/>
                        <w:bottom w:val="none" w:sz="0" w:space="0" w:color="auto"/>
                        <w:right w:val="none" w:sz="0" w:space="0" w:color="auto"/>
                      </w:divBdr>
                      <w:divsChild>
                        <w:div w:id="2083022282">
                          <w:marLeft w:val="0"/>
                          <w:marRight w:val="0"/>
                          <w:marTop w:val="0"/>
                          <w:marBottom w:val="0"/>
                          <w:divBdr>
                            <w:top w:val="none" w:sz="0" w:space="0" w:color="auto"/>
                            <w:left w:val="none" w:sz="0" w:space="0" w:color="auto"/>
                            <w:bottom w:val="none" w:sz="0" w:space="0" w:color="auto"/>
                            <w:right w:val="none" w:sz="0" w:space="0" w:color="auto"/>
                          </w:divBdr>
                          <w:divsChild>
                            <w:div w:id="96137844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988709">
      <w:bodyDiv w:val="1"/>
      <w:marLeft w:val="0"/>
      <w:marRight w:val="0"/>
      <w:marTop w:val="0"/>
      <w:marBottom w:val="0"/>
      <w:divBdr>
        <w:top w:val="none" w:sz="0" w:space="0" w:color="auto"/>
        <w:left w:val="none" w:sz="0" w:space="0" w:color="auto"/>
        <w:bottom w:val="none" w:sz="0" w:space="0" w:color="auto"/>
        <w:right w:val="none" w:sz="0" w:space="0" w:color="auto"/>
      </w:divBdr>
      <w:divsChild>
        <w:div w:id="1847164351">
          <w:marLeft w:val="0"/>
          <w:marRight w:val="0"/>
          <w:marTop w:val="0"/>
          <w:marBottom w:val="0"/>
          <w:divBdr>
            <w:top w:val="single" w:sz="2" w:space="0" w:color="000000"/>
            <w:left w:val="single" w:sz="2" w:space="8" w:color="000000"/>
            <w:bottom w:val="single" w:sz="2" w:space="0" w:color="000000"/>
            <w:right w:val="single" w:sz="2" w:space="8" w:color="000000"/>
          </w:divBdr>
          <w:divsChild>
            <w:div w:id="86548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08983">
      <w:bodyDiv w:val="1"/>
      <w:marLeft w:val="0"/>
      <w:marRight w:val="0"/>
      <w:marTop w:val="0"/>
      <w:marBottom w:val="0"/>
      <w:divBdr>
        <w:top w:val="none" w:sz="0" w:space="0" w:color="auto"/>
        <w:left w:val="none" w:sz="0" w:space="0" w:color="auto"/>
        <w:bottom w:val="none" w:sz="0" w:space="0" w:color="auto"/>
        <w:right w:val="none" w:sz="0" w:space="0" w:color="auto"/>
      </w:divBdr>
      <w:divsChild>
        <w:div w:id="240259906">
          <w:marLeft w:val="0"/>
          <w:marRight w:val="0"/>
          <w:marTop w:val="0"/>
          <w:marBottom w:val="0"/>
          <w:divBdr>
            <w:top w:val="none" w:sz="0" w:space="0" w:color="auto"/>
            <w:left w:val="none" w:sz="0" w:space="0" w:color="auto"/>
            <w:bottom w:val="none" w:sz="0" w:space="0" w:color="auto"/>
            <w:right w:val="none" w:sz="0" w:space="0" w:color="auto"/>
          </w:divBdr>
          <w:divsChild>
            <w:div w:id="324479907">
              <w:marLeft w:val="0"/>
              <w:marRight w:val="0"/>
              <w:marTop w:val="0"/>
              <w:marBottom w:val="0"/>
              <w:divBdr>
                <w:top w:val="none" w:sz="0" w:space="0" w:color="auto"/>
                <w:left w:val="none" w:sz="0" w:space="0" w:color="auto"/>
                <w:bottom w:val="none" w:sz="0" w:space="0" w:color="auto"/>
                <w:right w:val="none" w:sz="0" w:space="0" w:color="auto"/>
              </w:divBdr>
              <w:divsChild>
                <w:div w:id="1860775399">
                  <w:marLeft w:val="0"/>
                  <w:marRight w:val="0"/>
                  <w:marTop w:val="0"/>
                  <w:marBottom w:val="0"/>
                  <w:divBdr>
                    <w:top w:val="none" w:sz="0" w:space="0" w:color="auto"/>
                    <w:left w:val="none" w:sz="0" w:space="0" w:color="auto"/>
                    <w:bottom w:val="none" w:sz="0" w:space="0" w:color="auto"/>
                    <w:right w:val="none" w:sz="0" w:space="0" w:color="auto"/>
                  </w:divBdr>
                  <w:divsChild>
                    <w:div w:id="1538615703">
                      <w:marLeft w:val="0"/>
                      <w:marRight w:val="0"/>
                      <w:marTop w:val="0"/>
                      <w:marBottom w:val="0"/>
                      <w:divBdr>
                        <w:top w:val="none" w:sz="0" w:space="0" w:color="auto"/>
                        <w:left w:val="none" w:sz="0" w:space="0" w:color="auto"/>
                        <w:bottom w:val="none" w:sz="0" w:space="0" w:color="auto"/>
                        <w:right w:val="none" w:sz="0" w:space="0" w:color="auto"/>
                      </w:divBdr>
                      <w:divsChild>
                        <w:div w:id="463280045">
                          <w:marLeft w:val="0"/>
                          <w:marRight w:val="0"/>
                          <w:marTop w:val="0"/>
                          <w:marBottom w:val="0"/>
                          <w:divBdr>
                            <w:top w:val="none" w:sz="0" w:space="0" w:color="auto"/>
                            <w:left w:val="none" w:sz="0" w:space="0" w:color="auto"/>
                            <w:bottom w:val="none" w:sz="0" w:space="0" w:color="auto"/>
                            <w:right w:val="none" w:sz="0" w:space="0" w:color="auto"/>
                          </w:divBdr>
                          <w:divsChild>
                            <w:div w:id="151021640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2869972">
      <w:bodyDiv w:val="1"/>
      <w:marLeft w:val="0"/>
      <w:marRight w:val="0"/>
      <w:marTop w:val="0"/>
      <w:marBottom w:val="0"/>
      <w:divBdr>
        <w:top w:val="none" w:sz="0" w:space="0" w:color="auto"/>
        <w:left w:val="none" w:sz="0" w:space="0" w:color="auto"/>
        <w:bottom w:val="none" w:sz="0" w:space="0" w:color="auto"/>
        <w:right w:val="none" w:sz="0" w:space="0" w:color="auto"/>
      </w:divBdr>
      <w:divsChild>
        <w:div w:id="1465928321">
          <w:marLeft w:val="0"/>
          <w:marRight w:val="0"/>
          <w:marTop w:val="0"/>
          <w:marBottom w:val="0"/>
          <w:divBdr>
            <w:top w:val="none" w:sz="0" w:space="0" w:color="auto"/>
            <w:left w:val="single" w:sz="12" w:space="0" w:color="003399"/>
            <w:bottom w:val="none" w:sz="0" w:space="0" w:color="auto"/>
            <w:right w:val="single" w:sz="12" w:space="0" w:color="003399"/>
          </w:divBdr>
          <w:divsChild>
            <w:div w:id="1555655296">
              <w:marLeft w:val="0"/>
              <w:marRight w:val="0"/>
              <w:marTop w:val="0"/>
              <w:marBottom w:val="0"/>
              <w:divBdr>
                <w:top w:val="single" w:sz="12" w:space="0" w:color="C2D5E5"/>
                <w:left w:val="none" w:sz="0" w:space="0" w:color="auto"/>
                <w:bottom w:val="none" w:sz="0" w:space="0" w:color="auto"/>
                <w:right w:val="none" w:sz="0" w:space="0" w:color="auto"/>
              </w:divBdr>
              <w:divsChild>
                <w:div w:id="1336610783">
                  <w:marLeft w:val="0"/>
                  <w:marRight w:val="0"/>
                  <w:marTop w:val="0"/>
                  <w:marBottom w:val="0"/>
                  <w:divBdr>
                    <w:top w:val="none" w:sz="0" w:space="0" w:color="auto"/>
                    <w:left w:val="none" w:sz="0" w:space="0" w:color="auto"/>
                    <w:bottom w:val="none" w:sz="0" w:space="0" w:color="auto"/>
                    <w:right w:val="none" w:sz="0" w:space="0" w:color="auto"/>
                  </w:divBdr>
                  <w:divsChild>
                    <w:div w:id="1978948870">
                      <w:marLeft w:val="75"/>
                      <w:marRight w:val="75"/>
                      <w:marTop w:val="75"/>
                      <w:marBottom w:val="75"/>
                      <w:divBdr>
                        <w:top w:val="none" w:sz="0" w:space="0" w:color="auto"/>
                        <w:left w:val="none" w:sz="0" w:space="0" w:color="auto"/>
                        <w:bottom w:val="none" w:sz="0" w:space="0" w:color="auto"/>
                        <w:right w:val="none" w:sz="0" w:space="0" w:color="auto"/>
                      </w:divBdr>
                      <w:divsChild>
                        <w:div w:id="509638450">
                          <w:marLeft w:val="0"/>
                          <w:marRight w:val="0"/>
                          <w:marTop w:val="0"/>
                          <w:marBottom w:val="0"/>
                          <w:divBdr>
                            <w:top w:val="none" w:sz="0" w:space="0" w:color="auto"/>
                            <w:left w:val="none" w:sz="0" w:space="0" w:color="auto"/>
                            <w:bottom w:val="none" w:sz="0" w:space="0" w:color="auto"/>
                            <w:right w:val="none" w:sz="0" w:space="0" w:color="auto"/>
                          </w:divBdr>
                          <w:divsChild>
                            <w:div w:id="551498129">
                              <w:marLeft w:val="0"/>
                              <w:marRight w:val="0"/>
                              <w:marTop w:val="0"/>
                              <w:marBottom w:val="0"/>
                              <w:divBdr>
                                <w:top w:val="none" w:sz="0" w:space="0" w:color="auto"/>
                                <w:left w:val="none" w:sz="0" w:space="0" w:color="auto"/>
                                <w:bottom w:val="none" w:sz="0" w:space="0" w:color="auto"/>
                                <w:right w:val="none" w:sz="0" w:space="0" w:color="auto"/>
                              </w:divBdr>
                              <w:divsChild>
                                <w:div w:id="381558336">
                                  <w:marLeft w:val="0"/>
                                  <w:marRight w:val="0"/>
                                  <w:marTop w:val="75"/>
                                  <w:marBottom w:val="150"/>
                                  <w:divBdr>
                                    <w:top w:val="single" w:sz="6" w:space="0" w:color="E3EBF2"/>
                                    <w:left w:val="none" w:sz="0" w:space="0" w:color="auto"/>
                                    <w:bottom w:val="single" w:sz="6" w:space="0" w:color="E3EBF2"/>
                                    <w:right w:val="none" w:sz="0" w:space="0" w:color="auto"/>
                                  </w:divBdr>
                                </w:div>
                              </w:divsChild>
                            </w:div>
                          </w:divsChild>
                        </w:div>
                      </w:divsChild>
                    </w:div>
                  </w:divsChild>
                </w:div>
              </w:divsChild>
            </w:div>
          </w:divsChild>
        </w:div>
      </w:divsChild>
    </w:div>
    <w:div w:id="1455060281">
      <w:bodyDiv w:val="1"/>
      <w:marLeft w:val="0"/>
      <w:marRight w:val="0"/>
      <w:marTop w:val="0"/>
      <w:marBottom w:val="0"/>
      <w:divBdr>
        <w:top w:val="none" w:sz="0" w:space="0" w:color="auto"/>
        <w:left w:val="none" w:sz="0" w:space="0" w:color="auto"/>
        <w:bottom w:val="none" w:sz="0" w:space="0" w:color="auto"/>
        <w:right w:val="none" w:sz="0" w:space="0" w:color="auto"/>
      </w:divBdr>
      <w:divsChild>
        <w:div w:id="1247105949">
          <w:marLeft w:val="0"/>
          <w:marRight w:val="0"/>
          <w:marTop w:val="0"/>
          <w:marBottom w:val="0"/>
          <w:divBdr>
            <w:top w:val="none" w:sz="0" w:space="0" w:color="auto"/>
            <w:left w:val="none" w:sz="0" w:space="0" w:color="auto"/>
            <w:bottom w:val="none" w:sz="0" w:space="0" w:color="auto"/>
            <w:right w:val="none" w:sz="0" w:space="0" w:color="auto"/>
          </w:divBdr>
          <w:divsChild>
            <w:div w:id="599148848">
              <w:marLeft w:val="0"/>
              <w:marRight w:val="0"/>
              <w:marTop w:val="0"/>
              <w:marBottom w:val="0"/>
              <w:divBdr>
                <w:top w:val="none" w:sz="0" w:space="0" w:color="auto"/>
                <w:left w:val="none" w:sz="0" w:space="0" w:color="auto"/>
                <w:bottom w:val="none" w:sz="0" w:space="0" w:color="auto"/>
                <w:right w:val="none" w:sz="0" w:space="0" w:color="auto"/>
              </w:divBdr>
              <w:divsChild>
                <w:div w:id="322465841">
                  <w:marLeft w:val="0"/>
                  <w:marRight w:val="0"/>
                  <w:marTop w:val="0"/>
                  <w:marBottom w:val="0"/>
                  <w:divBdr>
                    <w:top w:val="none" w:sz="0" w:space="0" w:color="auto"/>
                    <w:left w:val="none" w:sz="0" w:space="0" w:color="auto"/>
                    <w:bottom w:val="none" w:sz="0" w:space="0" w:color="auto"/>
                    <w:right w:val="none" w:sz="0" w:space="0" w:color="auto"/>
                  </w:divBdr>
                  <w:divsChild>
                    <w:div w:id="1947303515">
                      <w:marLeft w:val="0"/>
                      <w:marRight w:val="0"/>
                      <w:marTop w:val="0"/>
                      <w:marBottom w:val="0"/>
                      <w:divBdr>
                        <w:top w:val="none" w:sz="0" w:space="0" w:color="auto"/>
                        <w:left w:val="none" w:sz="0" w:space="0" w:color="auto"/>
                        <w:bottom w:val="none" w:sz="0" w:space="0" w:color="auto"/>
                        <w:right w:val="none" w:sz="0" w:space="0" w:color="auto"/>
                      </w:divBdr>
                      <w:divsChild>
                        <w:div w:id="1442262379">
                          <w:marLeft w:val="0"/>
                          <w:marRight w:val="0"/>
                          <w:marTop w:val="0"/>
                          <w:marBottom w:val="0"/>
                          <w:divBdr>
                            <w:top w:val="none" w:sz="0" w:space="0" w:color="auto"/>
                            <w:left w:val="none" w:sz="0" w:space="0" w:color="auto"/>
                            <w:bottom w:val="none" w:sz="0" w:space="0" w:color="auto"/>
                            <w:right w:val="none" w:sz="0" w:space="0" w:color="auto"/>
                          </w:divBdr>
                          <w:divsChild>
                            <w:div w:id="34289860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868891">
      <w:bodyDiv w:val="1"/>
      <w:marLeft w:val="0"/>
      <w:marRight w:val="0"/>
      <w:marTop w:val="0"/>
      <w:marBottom w:val="0"/>
      <w:divBdr>
        <w:top w:val="none" w:sz="0" w:space="0" w:color="auto"/>
        <w:left w:val="none" w:sz="0" w:space="0" w:color="auto"/>
        <w:bottom w:val="none" w:sz="0" w:space="0" w:color="auto"/>
        <w:right w:val="none" w:sz="0" w:space="0" w:color="auto"/>
      </w:divBdr>
      <w:divsChild>
        <w:div w:id="1297099688">
          <w:marLeft w:val="0"/>
          <w:marRight w:val="0"/>
          <w:marTop w:val="0"/>
          <w:marBottom w:val="0"/>
          <w:divBdr>
            <w:top w:val="none" w:sz="0" w:space="0" w:color="auto"/>
            <w:left w:val="none" w:sz="0" w:space="0" w:color="auto"/>
            <w:bottom w:val="none" w:sz="0" w:space="0" w:color="auto"/>
            <w:right w:val="none" w:sz="0" w:space="0" w:color="auto"/>
          </w:divBdr>
          <w:divsChild>
            <w:div w:id="33312866">
              <w:marLeft w:val="0"/>
              <w:marRight w:val="0"/>
              <w:marTop w:val="0"/>
              <w:marBottom w:val="0"/>
              <w:divBdr>
                <w:top w:val="none" w:sz="0" w:space="0" w:color="auto"/>
                <w:left w:val="none" w:sz="0" w:space="0" w:color="auto"/>
                <w:bottom w:val="none" w:sz="0" w:space="0" w:color="auto"/>
                <w:right w:val="none" w:sz="0" w:space="0" w:color="auto"/>
              </w:divBdr>
              <w:divsChild>
                <w:div w:id="106198775">
                  <w:marLeft w:val="0"/>
                  <w:marRight w:val="0"/>
                  <w:marTop w:val="0"/>
                  <w:marBottom w:val="0"/>
                  <w:divBdr>
                    <w:top w:val="none" w:sz="0" w:space="0" w:color="auto"/>
                    <w:left w:val="none" w:sz="0" w:space="0" w:color="auto"/>
                    <w:bottom w:val="none" w:sz="0" w:space="0" w:color="auto"/>
                    <w:right w:val="none" w:sz="0" w:space="0" w:color="auto"/>
                  </w:divBdr>
                  <w:divsChild>
                    <w:div w:id="2119444736">
                      <w:marLeft w:val="0"/>
                      <w:marRight w:val="0"/>
                      <w:marTop w:val="0"/>
                      <w:marBottom w:val="0"/>
                      <w:divBdr>
                        <w:top w:val="none" w:sz="0" w:space="0" w:color="auto"/>
                        <w:left w:val="none" w:sz="0" w:space="0" w:color="auto"/>
                        <w:bottom w:val="none" w:sz="0" w:space="0" w:color="auto"/>
                        <w:right w:val="none" w:sz="0" w:space="0" w:color="auto"/>
                      </w:divBdr>
                      <w:divsChild>
                        <w:div w:id="617295094">
                          <w:marLeft w:val="0"/>
                          <w:marRight w:val="0"/>
                          <w:marTop w:val="0"/>
                          <w:marBottom w:val="0"/>
                          <w:divBdr>
                            <w:top w:val="none" w:sz="0" w:space="0" w:color="auto"/>
                            <w:left w:val="none" w:sz="0" w:space="0" w:color="auto"/>
                            <w:bottom w:val="none" w:sz="0" w:space="0" w:color="auto"/>
                            <w:right w:val="none" w:sz="0" w:space="0" w:color="auto"/>
                          </w:divBdr>
                          <w:divsChild>
                            <w:div w:id="79818647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302316">
      <w:bodyDiv w:val="1"/>
      <w:marLeft w:val="0"/>
      <w:marRight w:val="0"/>
      <w:marTop w:val="0"/>
      <w:marBottom w:val="0"/>
      <w:divBdr>
        <w:top w:val="none" w:sz="0" w:space="0" w:color="auto"/>
        <w:left w:val="none" w:sz="0" w:space="0" w:color="auto"/>
        <w:bottom w:val="none" w:sz="0" w:space="0" w:color="auto"/>
        <w:right w:val="none" w:sz="0" w:space="0" w:color="auto"/>
      </w:divBdr>
    </w:div>
    <w:div w:id="1700885729">
      <w:bodyDiv w:val="1"/>
      <w:marLeft w:val="0"/>
      <w:marRight w:val="0"/>
      <w:marTop w:val="0"/>
      <w:marBottom w:val="0"/>
      <w:divBdr>
        <w:top w:val="none" w:sz="0" w:space="0" w:color="auto"/>
        <w:left w:val="none" w:sz="0" w:space="0" w:color="auto"/>
        <w:bottom w:val="none" w:sz="0" w:space="0" w:color="auto"/>
        <w:right w:val="none" w:sz="0" w:space="0" w:color="auto"/>
      </w:divBdr>
      <w:divsChild>
        <w:div w:id="1262183670">
          <w:marLeft w:val="0"/>
          <w:marRight w:val="0"/>
          <w:marTop w:val="0"/>
          <w:marBottom w:val="0"/>
          <w:divBdr>
            <w:top w:val="none" w:sz="0" w:space="0" w:color="auto"/>
            <w:left w:val="none" w:sz="0" w:space="0" w:color="auto"/>
            <w:bottom w:val="none" w:sz="0" w:space="0" w:color="auto"/>
            <w:right w:val="none" w:sz="0" w:space="0" w:color="auto"/>
          </w:divBdr>
          <w:divsChild>
            <w:div w:id="115610927">
              <w:marLeft w:val="0"/>
              <w:marRight w:val="0"/>
              <w:marTop w:val="1275"/>
              <w:marBottom w:val="0"/>
              <w:divBdr>
                <w:top w:val="none" w:sz="0" w:space="0" w:color="auto"/>
                <w:left w:val="none" w:sz="0" w:space="0" w:color="auto"/>
                <w:bottom w:val="none" w:sz="0" w:space="0" w:color="auto"/>
                <w:right w:val="none" w:sz="0" w:space="0" w:color="auto"/>
              </w:divBdr>
              <w:divsChild>
                <w:div w:id="1783500080">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371178">
      <w:bodyDiv w:val="1"/>
      <w:marLeft w:val="0"/>
      <w:marRight w:val="0"/>
      <w:marTop w:val="0"/>
      <w:marBottom w:val="0"/>
      <w:divBdr>
        <w:top w:val="none" w:sz="0" w:space="0" w:color="auto"/>
        <w:left w:val="none" w:sz="0" w:space="0" w:color="auto"/>
        <w:bottom w:val="none" w:sz="0" w:space="0" w:color="auto"/>
        <w:right w:val="none" w:sz="0" w:space="0" w:color="auto"/>
      </w:divBdr>
      <w:divsChild>
        <w:div w:id="610359191">
          <w:marLeft w:val="0"/>
          <w:marRight w:val="0"/>
          <w:marTop w:val="0"/>
          <w:marBottom w:val="0"/>
          <w:divBdr>
            <w:top w:val="none" w:sz="0" w:space="0" w:color="auto"/>
            <w:left w:val="none" w:sz="0" w:space="0" w:color="auto"/>
            <w:bottom w:val="none" w:sz="0" w:space="0" w:color="auto"/>
            <w:right w:val="none" w:sz="0" w:space="0" w:color="auto"/>
          </w:divBdr>
          <w:divsChild>
            <w:div w:id="1870410520">
              <w:marLeft w:val="0"/>
              <w:marRight w:val="0"/>
              <w:marTop w:val="0"/>
              <w:marBottom w:val="0"/>
              <w:divBdr>
                <w:top w:val="none" w:sz="0" w:space="0" w:color="auto"/>
                <w:left w:val="none" w:sz="0" w:space="0" w:color="auto"/>
                <w:bottom w:val="none" w:sz="0" w:space="0" w:color="auto"/>
                <w:right w:val="none" w:sz="0" w:space="0" w:color="auto"/>
              </w:divBdr>
              <w:divsChild>
                <w:div w:id="620459973">
                  <w:marLeft w:val="0"/>
                  <w:marRight w:val="0"/>
                  <w:marTop w:val="0"/>
                  <w:marBottom w:val="0"/>
                  <w:divBdr>
                    <w:top w:val="none" w:sz="0" w:space="0" w:color="auto"/>
                    <w:left w:val="none" w:sz="0" w:space="0" w:color="auto"/>
                    <w:bottom w:val="none" w:sz="0" w:space="0" w:color="auto"/>
                    <w:right w:val="none" w:sz="0" w:space="0" w:color="auto"/>
                  </w:divBdr>
                  <w:divsChild>
                    <w:div w:id="1353536719">
                      <w:marLeft w:val="0"/>
                      <w:marRight w:val="0"/>
                      <w:marTop w:val="0"/>
                      <w:marBottom w:val="0"/>
                      <w:divBdr>
                        <w:top w:val="none" w:sz="0" w:space="0" w:color="auto"/>
                        <w:left w:val="none" w:sz="0" w:space="0" w:color="auto"/>
                        <w:bottom w:val="none" w:sz="0" w:space="0" w:color="auto"/>
                        <w:right w:val="none" w:sz="0" w:space="0" w:color="auto"/>
                      </w:divBdr>
                      <w:divsChild>
                        <w:div w:id="538015050">
                          <w:marLeft w:val="0"/>
                          <w:marRight w:val="0"/>
                          <w:marTop w:val="0"/>
                          <w:marBottom w:val="0"/>
                          <w:divBdr>
                            <w:top w:val="none" w:sz="0" w:space="0" w:color="auto"/>
                            <w:left w:val="none" w:sz="0" w:space="0" w:color="auto"/>
                            <w:bottom w:val="none" w:sz="0" w:space="0" w:color="auto"/>
                            <w:right w:val="none" w:sz="0" w:space="0" w:color="auto"/>
                          </w:divBdr>
                          <w:divsChild>
                            <w:div w:id="6893367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0534477">
      <w:bodyDiv w:val="1"/>
      <w:marLeft w:val="0"/>
      <w:marRight w:val="0"/>
      <w:marTop w:val="0"/>
      <w:marBottom w:val="0"/>
      <w:divBdr>
        <w:top w:val="none" w:sz="0" w:space="0" w:color="auto"/>
        <w:left w:val="none" w:sz="0" w:space="0" w:color="auto"/>
        <w:bottom w:val="none" w:sz="0" w:space="0" w:color="auto"/>
        <w:right w:val="none" w:sz="0" w:space="0" w:color="auto"/>
      </w:divBdr>
      <w:divsChild>
        <w:div w:id="913902008">
          <w:marLeft w:val="0"/>
          <w:marRight w:val="0"/>
          <w:marTop w:val="0"/>
          <w:marBottom w:val="0"/>
          <w:divBdr>
            <w:top w:val="none" w:sz="0" w:space="0" w:color="auto"/>
            <w:left w:val="none" w:sz="0" w:space="0" w:color="auto"/>
            <w:bottom w:val="none" w:sz="0" w:space="0" w:color="auto"/>
            <w:right w:val="none" w:sz="0" w:space="0" w:color="auto"/>
          </w:divBdr>
          <w:divsChild>
            <w:div w:id="1751809451">
              <w:marLeft w:val="0"/>
              <w:marRight w:val="0"/>
              <w:marTop w:val="0"/>
              <w:marBottom w:val="0"/>
              <w:divBdr>
                <w:top w:val="none" w:sz="0" w:space="0" w:color="auto"/>
                <w:left w:val="none" w:sz="0" w:space="0" w:color="auto"/>
                <w:bottom w:val="none" w:sz="0" w:space="0" w:color="auto"/>
                <w:right w:val="none" w:sz="0" w:space="0" w:color="auto"/>
              </w:divBdr>
              <w:divsChild>
                <w:div w:id="1014841892">
                  <w:marLeft w:val="0"/>
                  <w:marRight w:val="0"/>
                  <w:marTop w:val="0"/>
                  <w:marBottom w:val="0"/>
                  <w:divBdr>
                    <w:top w:val="none" w:sz="0" w:space="0" w:color="auto"/>
                    <w:left w:val="none" w:sz="0" w:space="0" w:color="auto"/>
                    <w:bottom w:val="none" w:sz="0" w:space="0" w:color="auto"/>
                    <w:right w:val="none" w:sz="0" w:space="0" w:color="auto"/>
                  </w:divBdr>
                  <w:divsChild>
                    <w:div w:id="912933894">
                      <w:marLeft w:val="0"/>
                      <w:marRight w:val="0"/>
                      <w:marTop w:val="0"/>
                      <w:marBottom w:val="0"/>
                      <w:divBdr>
                        <w:top w:val="none" w:sz="0" w:space="0" w:color="auto"/>
                        <w:left w:val="none" w:sz="0" w:space="0" w:color="auto"/>
                        <w:bottom w:val="none" w:sz="0" w:space="0" w:color="auto"/>
                        <w:right w:val="none" w:sz="0" w:space="0" w:color="auto"/>
                      </w:divBdr>
                      <w:divsChild>
                        <w:div w:id="1337221662">
                          <w:marLeft w:val="0"/>
                          <w:marRight w:val="0"/>
                          <w:marTop w:val="0"/>
                          <w:marBottom w:val="0"/>
                          <w:divBdr>
                            <w:top w:val="none" w:sz="0" w:space="0" w:color="auto"/>
                            <w:left w:val="none" w:sz="0" w:space="0" w:color="auto"/>
                            <w:bottom w:val="none" w:sz="0" w:space="0" w:color="auto"/>
                            <w:right w:val="none" w:sz="0" w:space="0" w:color="auto"/>
                          </w:divBdr>
                          <w:divsChild>
                            <w:div w:id="2023513253">
                              <w:marLeft w:val="0"/>
                              <w:marRight w:val="0"/>
                              <w:marTop w:val="0"/>
                              <w:marBottom w:val="0"/>
                              <w:divBdr>
                                <w:top w:val="none" w:sz="0" w:space="0" w:color="auto"/>
                                <w:left w:val="none" w:sz="0" w:space="0" w:color="auto"/>
                                <w:bottom w:val="none" w:sz="0" w:space="0" w:color="auto"/>
                                <w:right w:val="none" w:sz="0" w:space="0" w:color="auto"/>
                              </w:divBdr>
                              <w:divsChild>
                                <w:div w:id="2060979678">
                                  <w:marLeft w:val="0"/>
                                  <w:marRight w:val="0"/>
                                  <w:marTop w:val="0"/>
                                  <w:marBottom w:val="0"/>
                                  <w:divBdr>
                                    <w:top w:val="none" w:sz="0" w:space="0" w:color="auto"/>
                                    <w:left w:val="none" w:sz="0" w:space="0" w:color="auto"/>
                                    <w:bottom w:val="none" w:sz="0" w:space="0" w:color="auto"/>
                                    <w:right w:val="none" w:sz="0" w:space="0" w:color="auto"/>
                                  </w:divBdr>
                                  <w:divsChild>
                                    <w:div w:id="3071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673056">
      <w:bodyDiv w:val="1"/>
      <w:marLeft w:val="0"/>
      <w:marRight w:val="0"/>
      <w:marTop w:val="0"/>
      <w:marBottom w:val="0"/>
      <w:divBdr>
        <w:top w:val="none" w:sz="0" w:space="0" w:color="auto"/>
        <w:left w:val="none" w:sz="0" w:space="0" w:color="auto"/>
        <w:bottom w:val="none" w:sz="0" w:space="0" w:color="auto"/>
        <w:right w:val="none" w:sz="0" w:space="0" w:color="auto"/>
      </w:divBdr>
      <w:divsChild>
        <w:div w:id="495920447">
          <w:marLeft w:val="0"/>
          <w:marRight w:val="0"/>
          <w:marTop w:val="0"/>
          <w:marBottom w:val="0"/>
          <w:divBdr>
            <w:top w:val="none" w:sz="0" w:space="0" w:color="auto"/>
            <w:left w:val="none" w:sz="0" w:space="0" w:color="auto"/>
            <w:bottom w:val="none" w:sz="0" w:space="0" w:color="auto"/>
            <w:right w:val="none" w:sz="0" w:space="0" w:color="auto"/>
          </w:divBdr>
          <w:divsChild>
            <w:div w:id="1437676011">
              <w:marLeft w:val="0"/>
              <w:marRight w:val="0"/>
              <w:marTop w:val="0"/>
              <w:marBottom w:val="0"/>
              <w:divBdr>
                <w:top w:val="none" w:sz="0" w:space="0" w:color="auto"/>
                <w:left w:val="none" w:sz="0" w:space="0" w:color="auto"/>
                <w:bottom w:val="none" w:sz="0" w:space="0" w:color="auto"/>
                <w:right w:val="none" w:sz="0" w:space="0" w:color="auto"/>
              </w:divBdr>
              <w:divsChild>
                <w:div w:id="1622419054">
                  <w:marLeft w:val="0"/>
                  <w:marRight w:val="0"/>
                  <w:marTop w:val="0"/>
                  <w:marBottom w:val="0"/>
                  <w:divBdr>
                    <w:top w:val="none" w:sz="0" w:space="0" w:color="auto"/>
                    <w:left w:val="none" w:sz="0" w:space="0" w:color="auto"/>
                    <w:bottom w:val="none" w:sz="0" w:space="0" w:color="auto"/>
                    <w:right w:val="none" w:sz="0" w:space="0" w:color="auto"/>
                  </w:divBdr>
                  <w:divsChild>
                    <w:div w:id="1249998632">
                      <w:marLeft w:val="0"/>
                      <w:marRight w:val="0"/>
                      <w:marTop w:val="0"/>
                      <w:marBottom w:val="0"/>
                      <w:divBdr>
                        <w:top w:val="none" w:sz="0" w:space="0" w:color="auto"/>
                        <w:left w:val="none" w:sz="0" w:space="0" w:color="auto"/>
                        <w:bottom w:val="none" w:sz="0" w:space="0" w:color="auto"/>
                        <w:right w:val="none" w:sz="0" w:space="0" w:color="auto"/>
                      </w:divBdr>
                      <w:divsChild>
                        <w:div w:id="1551768046">
                          <w:marLeft w:val="0"/>
                          <w:marRight w:val="0"/>
                          <w:marTop w:val="0"/>
                          <w:marBottom w:val="0"/>
                          <w:divBdr>
                            <w:top w:val="none" w:sz="0" w:space="0" w:color="auto"/>
                            <w:left w:val="none" w:sz="0" w:space="0" w:color="auto"/>
                            <w:bottom w:val="none" w:sz="0" w:space="0" w:color="auto"/>
                            <w:right w:val="none" w:sz="0" w:space="0" w:color="auto"/>
                          </w:divBdr>
                          <w:divsChild>
                            <w:div w:id="2048672762">
                              <w:marLeft w:val="0"/>
                              <w:marRight w:val="0"/>
                              <w:marTop w:val="0"/>
                              <w:marBottom w:val="0"/>
                              <w:divBdr>
                                <w:top w:val="none" w:sz="0" w:space="0" w:color="auto"/>
                                <w:left w:val="none" w:sz="0" w:space="0" w:color="auto"/>
                                <w:bottom w:val="none" w:sz="0" w:space="0" w:color="auto"/>
                                <w:right w:val="none" w:sz="0" w:space="0" w:color="auto"/>
                              </w:divBdr>
                              <w:divsChild>
                                <w:div w:id="148408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customXml" Target="../customXml/item34.xml"/><Relationship Id="rId42" Type="http://schemas.microsoft.com/office/2007/relationships/stylesWithEffects" Target="stylesWithEffects.xm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styles" Target="styles.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numbering" Target="numbering.xml"/><Relationship Id="rId45" Type="http://schemas.openxmlformats.org/officeDocument/2006/relationships/footnotes" Target="footnotes.xm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webSettings" Target="webSettings.xm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settings" Target="settings.xm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1C2E5-0225-41AD-9105-84A4D2EE5A8B}">
  <ds:schemaRefs>
    <ds:schemaRef ds:uri="http://schemas.openxmlformats.org/officeDocument/2006/bibliography"/>
  </ds:schemaRefs>
</ds:datastoreItem>
</file>

<file path=customXml/itemProps10.xml><?xml version="1.0" encoding="utf-8"?>
<ds:datastoreItem xmlns:ds="http://schemas.openxmlformats.org/officeDocument/2006/customXml" ds:itemID="{3EB09820-530B-4A9B-9D69-81B83CDF062F}">
  <ds:schemaRefs>
    <ds:schemaRef ds:uri="http://schemas.openxmlformats.org/officeDocument/2006/bibliography"/>
  </ds:schemaRefs>
</ds:datastoreItem>
</file>

<file path=customXml/itemProps11.xml><?xml version="1.0" encoding="utf-8"?>
<ds:datastoreItem xmlns:ds="http://schemas.openxmlformats.org/officeDocument/2006/customXml" ds:itemID="{F8F212A8-43C2-4570-AFA5-33C09CC6A42D}">
  <ds:schemaRefs>
    <ds:schemaRef ds:uri="http://schemas.openxmlformats.org/officeDocument/2006/bibliography"/>
  </ds:schemaRefs>
</ds:datastoreItem>
</file>

<file path=customXml/itemProps12.xml><?xml version="1.0" encoding="utf-8"?>
<ds:datastoreItem xmlns:ds="http://schemas.openxmlformats.org/officeDocument/2006/customXml" ds:itemID="{9E278510-398B-407E-9A9A-8C2267BE5F18}">
  <ds:schemaRefs>
    <ds:schemaRef ds:uri="http://schemas.openxmlformats.org/officeDocument/2006/bibliography"/>
  </ds:schemaRefs>
</ds:datastoreItem>
</file>

<file path=customXml/itemProps13.xml><?xml version="1.0" encoding="utf-8"?>
<ds:datastoreItem xmlns:ds="http://schemas.openxmlformats.org/officeDocument/2006/customXml" ds:itemID="{FB8823E0-F950-4D3E-8704-CF0BF5CC0A5F}">
  <ds:schemaRefs>
    <ds:schemaRef ds:uri="http://schemas.openxmlformats.org/officeDocument/2006/bibliography"/>
  </ds:schemaRefs>
</ds:datastoreItem>
</file>

<file path=customXml/itemProps14.xml><?xml version="1.0" encoding="utf-8"?>
<ds:datastoreItem xmlns:ds="http://schemas.openxmlformats.org/officeDocument/2006/customXml" ds:itemID="{9D1087C0-8F20-4503-9BA8-753E23E3F2B2}">
  <ds:schemaRefs>
    <ds:schemaRef ds:uri="http://schemas.openxmlformats.org/officeDocument/2006/bibliography"/>
  </ds:schemaRefs>
</ds:datastoreItem>
</file>

<file path=customXml/itemProps15.xml><?xml version="1.0" encoding="utf-8"?>
<ds:datastoreItem xmlns:ds="http://schemas.openxmlformats.org/officeDocument/2006/customXml" ds:itemID="{3F9B91FF-C941-48CD-ABDD-48D814D3813B}">
  <ds:schemaRefs>
    <ds:schemaRef ds:uri="http://schemas.openxmlformats.org/officeDocument/2006/bibliography"/>
  </ds:schemaRefs>
</ds:datastoreItem>
</file>

<file path=customXml/itemProps16.xml><?xml version="1.0" encoding="utf-8"?>
<ds:datastoreItem xmlns:ds="http://schemas.openxmlformats.org/officeDocument/2006/customXml" ds:itemID="{EB164AAA-5FC3-40B3-9EE8-704C86DE5203}">
  <ds:schemaRefs>
    <ds:schemaRef ds:uri="http://schemas.openxmlformats.org/officeDocument/2006/bibliography"/>
  </ds:schemaRefs>
</ds:datastoreItem>
</file>

<file path=customXml/itemProps17.xml><?xml version="1.0" encoding="utf-8"?>
<ds:datastoreItem xmlns:ds="http://schemas.openxmlformats.org/officeDocument/2006/customXml" ds:itemID="{D277255B-07E1-4B89-9541-09D97C799F02}">
  <ds:schemaRefs>
    <ds:schemaRef ds:uri="http://schemas.openxmlformats.org/officeDocument/2006/bibliography"/>
  </ds:schemaRefs>
</ds:datastoreItem>
</file>

<file path=customXml/itemProps18.xml><?xml version="1.0" encoding="utf-8"?>
<ds:datastoreItem xmlns:ds="http://schemas.openxmlformats.org/officeDocument/2006/customXml" ds:itemID="{B25D3AD1-D14D-4D9E-8E66-889C17847E6C}">
  <ds:schemaRefs>
    <ds:schemaRef ds:uri="http://schemas.openxmlformats.org/officeDocument/2006/bibliography"/>
  </ds:schemaRefs>
</ds:datastoreItem>
</file>

<file path=customXml/itemProps19.xml><?xml version="1.0" encoding="utf-8"?>
<ds:datastoreItem xmlns:ds="http://schemas.openxmlformats.org/officeDocument/2006/customXml" ds:itemID="{FC93C5EB-7DDE-4767-845D-16106E26FC2C}">
  <ds:schemaRefs>
    <ds:schemaRef ds:uri="http://schemas.openxmlformats.org/officeDocument/2006/bibliography"/>
  </ds:schemaRefs>
</ds:datastoreItem>
</file>

<file path=customXml/itemProps2.xml><?xml version="1.0" encoding="utf-8"?>
<ds:datastoreItem xmlns:ds="http://schemas.openxmlformats.org/officeDocument/2006/customXml" ds:itemID="{BB292C15-B6E1-498D-81AD-C0A351D527C2}">
  <ds:schemaRefs>
    <ds:schemaRef ds:uri="http://schemas.openxmlformats.org/officeDocument/2006/bibliography"/>
  </ds:schemaRefs>
</ds:datastoreItem>
</file>

<file path=customXml/itemProps20.xml><?xml version="1.0" encoding="utf-8"?>
<ds:datastoreItem xmlns:ds="http://schemas.openxmlformats.org/officeDocument/2006/customXml" ds:itemID="{7CEDF53F-BD24-4CF0-919D-C165E76276F9}">
  <ds:schemaRefs>
    <ds:schemaRef ds:uri="http://schemas.openxmlformats.org/officeDocument/2006/bibliography"/>
  </ds:schemaRefs>
</ds:datastoreItem>
</file>

<file path=customXml/itemProps21.xml><?xml version="1.0" encoding="utf-8"?>
<ds:datastoreItem xmlns:ds="http://schemas.openxmlformats.org/officeDocument/2006/customXml" ds:itemID="{B6410A1B-1E53-45B0-9721-2EB86D9FFD06}">
  <ds:schemaRefs>
    <ds:schemaRef ds:uri="http://schemas.openxmlformats.org/officeDocument/2006/bibliography"/>
  </ds:schemaRefs>
</ds:datastoreItem>
</file>

<file path=customXml/itemProps22.xml><?xml version="1.0" encoding="utf-8"?>
<ds:datastoreItem xmlns:ds="http://schemas.openxmlformats.org/officeDocument/2006/customXml" ds:itemID="{7F7C1EBC-2DDD-45C0-83DB-F377582535B4}">
  <ds:schemaRefs>
    <ds:schemaRef ds:uri="http://schemas.openxmlformats.org/officeDocument/2006/bibliography"/>
  </ds:schemaRefs>
</ds:datastoreItem>
</file>

<file path=customXml/itemProps23.xml><?xml version="1.0" encoding="utf-8"?>
<ds:datastoreItem xmlns:ds="http://schemas.openxmlformats.org/officeDocument/2006/customXml" ds:itemID="{F6062222-076D-461F-B41B-1D175A525155}">
  <ds:schemaRefs>
    <ds:schemaRef ds:uri="http://schemas.openxmlformats.org/officeDocument/2006/bibliography"/>
  </ds:schemaRefs>
</ds:datastoreItem>
</file>

<file path=customXml/itemProps24.xml><?xml version="1.0" encoding="utf-8"?>
<ds:datastoreItem xmlns:ds="http://schemas.openxmlformats.org/officeDocument/2006/customXml" ds:itemID="{6FCDE978-49F2-41DA-893E-8BC75CDFCEB8}">
  <ds:schemaRefs>
    <ds:schemaRef ds:uri="http://schemas.openxmlformats.org/officeDocument/2006/bibliography"/>
  </ds:schemaRefs>
</ds:datastoreItem>
</file>

<file path=customXml/itemProps25.xml><?xml version="1.0" encoding="utf-8"?>
<ds:datastoreItem xmlns:ds="http://schemas.openxmlformats.org/officeDocument/2006/customXml" ds:itemID="{481E4CAC-26DE-4F4B-B242-250E161748A7}">
  <ds:schemaRefs>
    <ds:schemaRef ds:uri="http://schemas.openxmlformats.org/officeDocument/2006/bibliography"/>
  </ds:schemaRefs>
</ds:datastoreItem>
</file>

<file path=customXml/itemProps26.xml><?xml version="1.0" encoding="utf-8"?>
<ds:datastoreItem xmlns:ds="http://schemas.openxmlformats.org/officeDocument/2006/customXml" ds:itemID="{E0CF17BF-3C45-4143-B3EB-1227755EDAAF}">
  <ds:schemaRefs>
    <ds:schemaRef ds:uri="http://schemas.openxmlformats.org/officeDocument/2006/bibliography"/>
  </ds:schemaRefs>
</ds:datastoreItem>
</file>

<file path=customXml/itemProps27.xml><?xml version="1.0" encoding="utf-8"?>
<ds:datastoreItem xmlns:ds="http://schemas.openxmlformats.org/officeDocument/2006/customXml" ds:itemID="{0BF2E3EB-92AC-4DF2-A8A2-74660AA2B17B}">
  <ds:schemaRefs>
    <ds:schemaRef ds:uri="http://schemas.openxmlformats.org/officeDocument/2006/bibliography"/>
  </ds:schemaRefs>
</ds:datastoreItem>
</file>

<file path=customXml/itemProps28.xml><?xml version="1.0" encoding="utf-8"?>
<ds:datastoreItem xmlns:ds="http://schemas.openxmlformats.org/officeDocument/2006/customXml" ds:itemID="{E0DDFE62-3E63-4323-9EC2-4294ABB3E11D}">
  <ds:schemaRefs>
    <ds:schemaRef ds:uri="http://schemas.openxmlformats.org/officeDocument/2006/bibliography"/>
  </ds:schemaRefs>
</ds:datastoreItem>
</file>

<file path=customXml/itemProps29.xml><?xml version="1.0" encoding="utf-8"?>
<ds:datastoreItem xmlns:ds="http://schemas.openxmlformats.org/officeDocument/2006/customXml" ds:itemID="{9DFC3C6E-85D7-4CD0-9B20-CDE35BBFE03D}">
  <ds:schemaRefs>
    <ds:schemaRef ds:uri="http://schemas.openxmlformats.org/officeDocument/2006/bibliography"/>
  </ds:schemaRefs>
</ds:datastoreItem>
</file>

<file path=customXml/itemProps3.xml><?xml version="1.0" encoding="utf-8"?>
<ds:datastoreItem xmlns:ds="http://schemas.openxmlformats.org/officeDocument/2006/customXml" ds:itemID="{E7169A9A-F37B-4932-A202-402DABD7E798}">
  <ds:schemaRefs>
    <ds:schemaRef ds:uri="http://schemas.openxmlformats.org/officeDocument/2006/bibliography"/>
  </ds:schemaRefs>
</ds:datastoreItem>
</file>

<file path=customXml/itemProps30.xml><?xml version="1.0" encoding="utf-8"?>
<ds:datastoreItem xmlns:ds="http://schemas.openxmlformats.org/officeDocument/2006/customXml" ds:itemID="{0A912BA3-DCEF-4AA1-A0E9-DE1A57EF1733}">
  <ds:schemaRefs>
    <ds:schemaRef ds:uri="http://schemas.openxmlformats.org/officeDocument/2006/bibliography"/>
  </ds:schemaRefs>
</ds:datastoreItem>
</file>

<file path=customXml/itemProps31.xml><?xml version="1.0" encoding="utf-8"?>
<ds:datastoreItem xmlns:ds="http://schemas.openxmlformats.org/officeDocument/2006/customXml" ds:itemID="{55058597-AF7E-460A-9E4D-FC910780DBD3}">
  <ds:schemaRefs>
    <ds:schemaRef ds:uri="http://schemas.openxmlformats.org/officeDocument/2006/bibliography"/>
  </ds:schemaRefs>
</ds:datastoreItem>
</file>

<file path=customXml/itemProps32.xml><?xml version="1.0" encoding="utf-8"?>
<ds:datastoreItem xmlns:ds="http://schemas.openxmlformats.org/officeDocument/2006/customXml" ds:itemID="{9BAA9FC1-B644-443D-B954-0CDBB4E54E1F}">
  <ds:schemaRefs>
    <ds:schemaRef ds:uri="http://schemas.openxmlformats.org/officeDocument/2006/bibliography"/>
  </ds:schemaRefs>
</ds:datastoreItem>
</file>

<file path=customXml/itemProps33.xml><?xml version="1.0" encoding="utf-8"?>
<ds:datastoreItem xmlns:ds="http://schemas.openxmlformats.org/officeDocument/2006/customXml" ds:itemID="{247870CD-B760-4EF2-BC17-BC533F613DCC}">
  <ds:schemaRefs>
    <ds:schemaRef ds:uri="http://schemas.openxmlformats.org/officeDocument/2006/bibliography"/>
  </ds:schemaRefs>
</ds:datastoreItem>
</file>

<file path=customXml/itemProps34.xml><?xml version="1.0" encoding="utf-8"?>
<ds:datastoreItem xmlns:ds="http://schemas.openxmlformats.org/officeDocument/2006/customXml" ds:itemID="{55582625-3CB2-46AA-A204-EA41CD400C2E}">
  <ds:schemaRefs>
    <ds:schemaRef ds:uri="http://schemas.openxmlformats.org/officeDocument/2006/bibliography"/>
  </ds:schemaRefs>
</ds:datastoreItem>
</file>

<file path=customXml/itemProps35.xml><?xml version="1.0" encoding="utf-8"?>
<ds:datastoreItem xmlns:ds="http://schemas.openxmlformats.org/officeDocument/2006/customXml" ds:itemID="{4CF72FB5-1318-48E6-AF0D-7464ADCE9D93}">
  <ds:schemaRefs>
    <ds:schemaRef ds:uri="http://schemas.openxmlformats.org/officeDocument/2006/bibliography"/>
  </ds:schemaRefs>
</ds:datastoreItem>
</file>

<file path=customXml/itemProps36.xml><?xml version="1.0" encoding="utf-8"?>
<ds:datastoreItem xmlns:ds="http://schemas.openxmlformats.org/officeDocument/2006/customXml" ds:itemID="{DD11775D-81BF-4701-81F5-428308658DEE}">
  <ds:schemaRefs>
    <ds:schemaRef ds:uri="http://schemas.openxmlformats.org/officeDocument/2006/bibliography"/>
  </ds:schemaRefs>
</ds:datastoreItem>
</file>

<file path=customXml/itemProps37.xml><?xml version="1.0" encoding="utf-8"?>
<ds:datastoreItem xmlns:ds="http://schemas.openxmlformats.org/officeDocument/2006/customXml" ds:itemID="{FC71C74E-64B5-4101-8734-94963004C528}">
  <ds:schemaRefs>
    <ds:schemaRef ds:uri="http://schemas.openxmlformats.org/officeDocument/2006/bibliography"/>
  </ds:schemaRefs>
</ds:datastoreItem>
</file>

<file path=customXml/itemProps38.xml><?xml version="1.0" encoding="utf-8"?>
<ds:datastoreItem xmlns:ds="http://schemas.openxmlformats.org/officeDocument/2006/customXml" ds:itemID="{BCCA163C-2C35-40D4-A3E0-3A0908EDC8C1}">
  <ds:schemaRefs>
    <ds:schemaRef ds:uri="http://schemas.openxmlformats.org/officeDocument/2006/bibliography"/>
  </ds:schemaRefs>
</ds:datastoreItem>
</file>

<file path=customXml/itemProps39.xml><?xml version="1.0" encoding="utf-8"?>
<ds:datastoreItem xmlns:ds="http://schemas.openxmlformats.org/officeDocument/2006/customXml" ds:itemID="{DB655822-9CEC-4ABD-99BA-6EA96946E24F}">
  <ds:schemaRefs>
    <ds:schemaRef ds:uri="http://schemas.openxmlformats.org/officeDocument/2006/bibliography"/>
  </ds:schemaRefs>
</ds:datastoreItem>
</file>

<file path=customXml/itemProps4.xml><?xml version="1.0" encoding="utf-8"?>
<ds:datastoreItem xmlns:ds="http://schemas.openxmlformats.org/officeDocument/2006/customXml" ds:itemID="{8FC4B90C-FDB9-48EA-882E-8A6FC8055C30}">
  <ds:schemaRefs>
    <ds:schemaRef ds:uri="http://schemas.openxmlformats.org/officeDocument/2006/bibliography"/>
  </ds:schemaRefs>
</ds:datastoreItem>
</file>

<file path=customXml/itemProps5.xml><?xml version="1.0" encoding="utf-8"?>
<ds:datastoreItem xmlns:ds="http://schemas.openxmlformats.org/officeDocument/2006/customXml" ds:itemID="{D41619D4-A742-4E5B-82D7-EFC80623ADF8}">
  <ds:schemaRefs>
    <ds:schemaRef ds:uri="http://schemas.openxmlformats.org/officeDocument/2006/bibliography"/>
  </ds:schemaRefs>
</ds:datastoreItem>
</file>

<file path=customXml/itemProps6.xml><?xml version="1.0" encoding="utf-8"?>
<ds:datastoreItem xmlns:ds="http://schemas.openxmlformats.org/officeDocument/2006/customXml" ds:itemID="{C85C361E-6739-4F32-9E7A-1745D03F195D}">
  <ds:schemaRefs>
    <ds:schemaRef ds:uri="http://schemas.openxmlformats.org/officeDocument/2006/bibliography"/>
  </ds:schemaRefs>
</ds:datastoreItem>
</file>

<file path=customXml/itemProps7.xml><?xml version="1.0" encoding="utf-8"?>
<ds:datastoreItem xmlns:ds="http://schemas.openxmlformats.org/officeDocument/2006/customXml" ds:itemID="{20B7E1D4-0A85-4AD0-BAF5-D124CD07B640}">
  <ds:schemaRefs>
    <ds:schemaRef ds:uri="http://schemas.openxmlformats.org/officeDocument/2006/bibliography"/>
  </ds:schemaRefs>
</ds:datastoreItem>
</file>

<file path=customXml/itemProps8.xml><?xml version="1.0" encoding="utf-8"?>
<ds:datastoreItem xmlns:ds="http://schemas.openxmlformats.org/officeDocument/2006/customXml" ds:itemID="{A156928A-D85F-4916-BE6D-76365BF4AE62}">
  <ds:schemaRefs>
    <ds:schemaRef ds:uri="http://schemas.openxmlformats.org/officeDocument/2006/bibliography"/>
  </ds:schemaRefs>
</ds:datastoreItem>
</file>

<file path=customXml/itemProps9.xml><?xml version="1.0" encoding="utf-8"?>
<ds:datastoreItem xmlns:ds="http://schemas.openxmlformats.org/officeDocument/2006/customXml" ds:itemID="{A2566411-28D5-45A9-A21D-E6A006AE0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22</Pages>
  <Words>8066</Words>
  <Characters>45026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Non-voluntary access arrangements</vt:lpstr>
    </vt:vector>
  </TitlesOfParts>
  <Company>Productivity Commission</Company>
  <LinksUpToDate>false</LinksUpToDate>
  <CharactersWithSpaces>52987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Non-voluntary access arrangements</dc:title>
  <dc:creator>Productivity Commission</dc:creator>
  <dc:description>C.</dc:description>
  <cp:lastModifiedBy>Productivity Commission</cp:lastModifiedBy>
  <cp:revision>2</cp:revision>
  <cp:lastPrinted>2013-03-25T23:17:00Z</cp:lastPrinted>
  <dcterms:created xsi:type="dcterms:W3CDTF">2013-05-29T02:03:00Z</dcterms:created>
  <dcterms:modified xsi:type="dcterms:W3CDTF">2013-05-29T02:03:00Z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1318562496</vt:i4>
  </property>
  <property fmtid="{D5CDD505-2E9C-101B-9397-08002B2CF9AE}" pid="3" name="_NewReviewCycle">
    <vt:lpwstr/>
  </property>
  <property fmtid="{D5CDD505-2E9C-101B-9397-08002B2CF9AE}" pid="4" name="_EmailSubject">
    <vt:lpwstr>web files - patents final report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PreviousAdHocReviewCycleID">
    <vt:i4>998308963</vt:i4>
  </property>
  <property fmtid="{D5CDD505-2E9C-101B-9397-08002B2CF9AE}" pid="8" name="_ReviewingToolsShownOnce">
    <vt:lpwstr/>
  </property>
</Properties>
</file>