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Pr="00150455" w:rsidRDefault="00784AE9" w:rsidP="00C97B0C">
      <w:pPr>
        <w:pStyle w:val="Heading1"/>
        <w:spacing w:before="0"/>
      </w:pPr>
      <w:bookmarkStart w:id="0" w:name="ChapterTitle"/>
      <w:bookmarkStart w:id="1" w:name="_GoBack"/>
      <w:bookmarkEnd w:id="1"/>
      <w:r>
        <w:t>Revisions to Shifting the Dial</w:t>
      </w:r>
      <w:bookmarkEnd w:id="0"/>
    </w:p>
    <w:p w:rsidR="00582F75" w:rsidRPr="00150455" w:rsidRDefault="00582F75" w:rsidP="00582F75">
      <w:pPr>
        <w:pStyle w:val="BodyText"/>
      </w:pPr>
      <w:bookmarkStart w:id="2" w:name="begin"/>
      <w:bookmarkEnd w:id="2"/>
      <w:r w:rsidRPr="00150455">
        <w:t xml:space="preserve">Following checking, the </w:t>
      </w:r>
      <w:r w:rsidR="00C2183C" w:rsidRPr="00150455">
        <w:t>C</w:t>
      </w:r>
      <w:r w:rsidRPr="00150455">
        <w:t xml:space="preserve">ommission has revised some estimates </w:t>
      </w:r>
      <w:r w:rsidR="007E6D0F" w:rsidRPr="00150455">
        <w:t xml:space="preserve">in appendix B </w:t>
      </w:r>
      <w:r w:rsidRPr="00150455">
        <w:t xml:space="preserve">of the impacts of </w:t>
      </w:r>
      <w:r w:rsidR="007E6D0F" w:rsidRPr="00150455">
        <w:t xml:space="preserve">reforms that improve the efficiency of markets </w:t>
      </w:r>
      <w:r w:rsidRPr="00150455">
        <w:t>(</w:t>
      </w:r>
      <w:r w:rsidR="00746AB7" w:rsidRPr="00150455">
        <w:t xml:space="preserve">and related to that, </w:t>
      </w:r>
      <w:r w:rsidR="007E6D0F" w:rsidRPr="00150455">
        <w:t xml:space="preserve">a few corresponding changes to </w:t>
      </w:r>
      <w:r w:rsidRPr="00150455">
        <w:t xml:space="preserve">chapter 5 and supporting paper 13). </w:t>
      </w:r>
      <w:r w:rsidR="00C2183C" w:rsidRPr="00150455">
        <w:t xml:space="preserve">These address concerns about the degree to which numerical estimates are sufficiently reliable for some </w:t>
      </w:r>
      <w:r w:rsidR="006C167F" w:rsidRPr="00150455">
        <w:t xml:space="preserve">specific </w:t>
      </w:r>
      <w:r w:rsidR="00C2183C" w:rsidRPr="00150455">
        <w:t xml:space="preserve">reforms, and in other instances correct </w:t>
      </w:r>
      <w:r w:rsidR="006C167F" w:rsidRPr="00150455">
        <w:t>early</w:t>
      </w:r>
      <w:r w:rsidR="00C2183C" w:rsidRPr="00150455">
        <w:t xml:space="preserve"> estimates. The changes do not affect any qualitative judgments made </w:t>
      </w:r>
      <w:r w:rsidR="007E1C47" w:rsidRPr="00150455">
        <w:t>in appendix B or elsewhere in</w:t>
      </w:r>
      <w:r w:rsidR="00C2183C" w:rsidRPr="00150455">
        <w:t xml:space="preserve"> the report</w:t>
      </w:r>
      <w:r w:rsidR="002D785A" w:rsidRPr="00150455">
        <w:t>,</w:t>
      </w:r>
      <w:r w:rsidR="00C2183C" w:rsidRPr="00150455">
        <w:t xml:space="preserve"> or the overall view about the collective magnitude of traditional microeconomic reform. </w:t>
      </w:r>
      <w:r w:rsidRPr="00150455">
        <w:t xml:space="preserve">Some minor corrections of typos have also been made. </w:t>
      </w:r>
      <w:r w:rsidR="0084548D" w:rsidRPr="00150455">
        <w:t xml:space="preserve">The changes </w:t>
      </w:r>
      <w:r w:rsidR="00A224A5">
        <w:t>were</w:t>
      </w:r>
      <w:r w:rsidR="0084548D" w:rsidRPr="00150455">
        <w:t xml:space="preserve"> included in the report published online</w:t>
      </w:r>
      <w:r w:rsidR="00A224A5">
        <w:t xml:space="preserve"> on 4 July 2019</w:t>
      </w:r>
      <w:r w:rsidR="0084548D" w:rsidRPr="00150455">
        <w:t xml:space="preserve">. A detailed comparison of the revised and earlier published report is available </w:t>
      </w:r>
      <w:r w:rsidR="00585C69" w:rsidRPr="00150455">
        <w:t>here</w:t>
      </w:r>
      <w:r w:rsidR="0084548D" w:rsidRPr="00150455">
        <w:t>.</w:t>
      </w:r>
    </w:p>
    <w:p w:rsidR="00507086" w:rsidRPr="00150455" w:rsidRDefault="00507086" w:rsidP="00507086">
      <w:pPr>
        <w:pStyle w:val="Heading2"/>
        <w:rPr>
          <w:sz w:val="44"/>
        </w:rPr>
      </w:pPr>
      <w:r w:rsidRPr="00150455">
        <w:rPr>
          <w:sz w:val="44"/>
        </w:rPr>
        <w:t>Appendix B of the main report</w:t>
      </w:r>
    </w:p>
    <w:p w:rsidR="00217424" w:rsidRPr="00150455" w:rsidRDefault="00217424" w:rsidP="003F2698">
      <w:pPr>
        <w:pStyle w:val="BodyText"/>
        <w:rPr>
          <w:b/>
        </w:rPr>
      </w:pPr>
      <w:r w:rsidRPr="00150455">
        <w:rPr>
          <w:b/>
        </w:rPr>
        <w:t xml:space="preserve">Page 221 </w:t>
      </w:r>
      <w:r w:rsidR="00886A47" w:rsidRPr="00150455">
        <w:rPr>
          <w:b/>
        </w:rPr>
        <w:t>—</w:t>
      </w:r>
      <w:r w:rsidRPr="00150455">
        <w:rPr>
          <w:b/>
        </w:rPr>
        <w:t xml:space="preserve"> </w:t>
      </w:r>
      <w:r w:rsidR="00D87895">
        <w:rPr>
          <w:b/>
        </w:rPr>
        <w:t>second</w:t>
      </w:r>
      <w:r w:rsidRPr="00150455">
        <w:rPr>
          <w:b/>
        </w:rPr>
        <w:t xml:space="preserve"> </w:t>
      </w:r>
      <w:r w:rsidR="00D87895">
        <w:rPr>
          <w:b/>
        </w:rPr>
        <w:t>paragraph,</w:t>
      </w:r>
      <w:r w:rsidRPr="00150455">
        <w:rPr>
          <w:b/>
        </w:rPr>
        <w:t xml:space="preserve"> </w:t>
      </w:r>
      <w:r w:rsidR="00886A47" w:rsidRPr="00150455">
        <w:rPr>
          <w:b/>
        </w:rPr>
        <w:t>replaced</w:t>
      </w:r>
      <w:r w:rsidRPr="00150455">
        <w:rPr>
          <w:b/>
        </w:rPr>
        <w:t>:</w:t>
      </w:r>
    </w:p>
    <w:p w:rsidR="007503B6" w:rsidRPr="00150455" w:rsidRDefault="007503B6" w:rsidP="003F2698">
      <w:pPr>
        <w:pStyle w:val="BodyText"/>
      </w:pPr>
      <w:r w:rsidRPr="00150455">
        <w:t>“Even where government”</w:t>
      </w:r>
      <w:r w:rsidR="008363D2" w:rsidRPr="00150455">
        <w:t xml:space="preserve"> </w:t>
      </w:r>
      <w:r w:rsidRPr="00150455">
        <w:t>WITH “Where government”</w:t>
      </w:r>
    </w:p>
    <w:p w:rsidR="007503B6" w:rsidRPr="00150455" w:rsidRDefault="007503B6" w:rsidP="003F2698">
      <w:pPr>
        <w:pStyle w:val="BodyText"/>
        <w:rPr>
          <w:b/>
        </w:rPr>
      </w:pPr>
      <w:r w:rsidRPr="00150455">
        <w:rPr>
          <w:b/>
        </w:rPr>
        <w:t xml:space="preserve">Page 221— </w:t>
      </w:r>
      <w:r w:rsidR="00D87895">
        <w:rPr>
          <w:b/>
        </w:rPr>
        <w:t>third</w:t>
      </w:r>
      <w:r w:rsidRPr="00150455">
        <w:rPr>
          <w:b/>
        </w:rPr>
        <w:t xml:space="preserve"> </w:t>
      </w:r>
      <w:r w:rsidR="00D87895">
        <w:rPr>
          <w:b/>
        </w:rPr>
        <w:t>paragraph,</w:t>
      </w:r>
      <w:r w:rsidRPr="00150455">
        <w:rPr>
          <w:b/>
        </w:rPr>
        <w:t xml:space="preserve"> </w:t>
      </w:r>
      <w:r w:rsidR="00886A47" w:rsidRPr="00150455">
        <w:rPr>
          <w:b/>
        </w:rPr>
        <w:t>replaced</w:t>
      </w:r>
      <w:r w:rsidRPr="00150455">
        <w:rPr>
          <w:b/>
        </w:rPr>
        <w:t>:</w:t>
      </w:r>
    </w:p>
    <w:p w:rsidR="007503B6" w:rsidRPr="00150455" w:rsidRDefault="007503B6" w:rsidP="007503B6">
      <w:pPr>
        <w:pStyle w:val="BodyText"/>
      </w:pPr>
      <w:r w:rsidRPr="00150455">
        <w:t>“</w:t>
      </w:r>
      <w:r w:rsidR="007E1C47" w:rsidRPr="00150455">
        <w:t xml:space="preserve">… </w:t>
      </w:r>
      <w:r w:rsidRPr="00150455">
        <w:t>potentially large gains (in the order of another $5 billion) from reforms to industry assistance, government procurement, and intellectual property (IP).</w:t>
      </w:r>
      <w:r w:rsidR="00CF1089" w:rsidRPr="00150455">
        <w:t xml:space="preserve"> While the actual</w:t>
      </w:r>
      <w:r w:rsidR="007E1C47" w:rsidRPr="00150455">
        <w:t xml:space="preserve"> </w:t>
      </w:r>
      <w:r w:rsidR="0000220E" w:rsidRPr="00150455">
        <w:t>…</w:t>
      </w:r>
      <w:r w:rsidR="00340647" w:rsidRPr="00150455">
        <w:t>”</w:t>
      </w:r>
    </w:p>
    <w:p w:rsidR="00217424" w:rsidRPr="00150455" w:rsidRDefault="0000220E" w:rsidP="003F2698">
      <w:pPr>
        <w:pStyle w:val="BodyText"/>
      </w:pPr>
      <w:r w:rsidRPr="00150455">
        <w:t>WITH “</w:t>
      </w:r>
      <w:r w:rsidR="007E1C47" w:rsidRPr="00150455">
        <w:t xml:space="preserve">... </w:t>
      </w:r>
      <w:r w:rsidR="00850DF9" w:rsidRPr="00150455">
        <w:t>potentially large</w:t>
      </w:r>
      <w:r w:rsidR="007E6D0F" w:rsidRPr="00150455">
        <w:t>r</w:t>
      </w:r>
      <w:r w:rsidR="00850DF9" w:rsidRPr="00150455">
        <w:t xml:space="preserve"> gains from reforms to government procurement, intellectual property (IP), occupational </w:t>
      </w:r>
      <w:r w:rsidR="00E04446" w:rsidRPr="00150455">
        <w:t>licensing</w:t>
      </w:r>
      <w:r w:rsidR="00850DF9" w:rsidRPr="00150455">
        <w:t xml:space="preserve"> and regulatory processes. While the actual </w:t>
      </w:r>
      <w:r w:rsidR="007E1C47" w:rsidRPr="00150455">
        <w:t>…”</w:t>
      </w:r>
    </w:p>
    <w:p w:rsidR="001D15B5" w:rsidRPr="00150455" w:rsidRDefault="00FE69F2" w:rsidP="003F2698">
      <w:pPr>
        <w:pStyle w:val="BodyText"/>
        <w:rPr>
          <w:b/>
        </w:rPr>
      </w:pPr>
      <w:r w:rsidRPr="00150455">
        <w:rPr>
          <w:b/>
        </w:rPr>
        <w:t xml:space="preserve">Page 224 </w:t>
      </w:r>
      <w:r w:rsidR="00886A47" w:rsidRPr="00150455">
        <w:rPr>
          <w:b/>
        </w:rPr>
        <w:t>— d</w:t>
      </w:r>
      <w:r w:rsidR="00FC158D" w:rsidRPr="00150455">
        <w:rPr>
          <w:b/>
        </w:rPr>
        <w:t>elete</w:t>
      </w:r>
      <w:r w:rsidR="00886A47" w:rsidRPr="00150455">
        <w:rPr>
          <w:b/>
        </w:rPr>
        <w:t>d</w:t>
      </w:r>
      <w:r w:rsidR="00EA5291">
        <w:rPr>
          <w:b/>
        </w:rPr>
        <w:t xml:space="preserve"> (in third</w:t>
      </w:r>
      <w:r w:rsidR="00EA5291" w:rsidRPr="00150455">
        <w:rPr>
          <w:b/>
        </w:rPr>
        <w:t xml:space="preserve"> </w:t>
      </w:r>
      <w:r w:rsidR="00EA5291">
        <w:rPr>
          <w:b/>
        </w:rPr>
        <w:t>paragraph)</w:t>
      </w:r>
      <w:r w:rsidR="001D15B5" w:rsidRPr="00150455">
        <w:rPr>
          <w:b/>
        </w:rPr>
        <w:t>:</w:t>
      </w:r>
    </w:p>
    <w:p w:rsidR="001D15B5" w:rsidRPr="00150455" w:rsidRDefault="00FC158D" w:rsidP="001D15B5">
      <w:pPr>
        <w:pStyle w:val="BodyText"/>
      </w:pPr>
      <w:r w:rsidRPr="00150455">
        <w:t>“</w:t>
      </w:r>
      <w:r w:rsidR="00FE69F2" w:rsidRPr="00150455">
        <w:t>… in 2016</w:t>
      </w:r>
      <w:r w:rsidR="00FE69F2" w:rsidRPr="00150455">
        <w:noBreakHyphen/>
        <w:t xml:space="preserve">17 </w:t>
      </w:r>
      <w:r w:rsidR="001D15B5" w:rsidRPr="00150455">
        <w:t xml:space="preserve">(which is likely to underestimate actual costs). </w:t>
      </w:r>
    </w:p>
    <w:p w:rsidR="00340647" w:rsidRPr="00150455" w:rsidRDefault="00485ABF" w:rsidP="003F2698">
      <w:pPr>
        <w:pStyle w:val="BodyText"/>
        <w:rPr>
          <w:b/>
        </w:rPr>
      </w:pPr>
      <w:r w:rsidRPr="00150455">
        <w:rPr>
          <w:b/>
        </w:rPr>
        <w:t>Page 225 — first paragraph, replace</w:t>
      </w:r>
      <w:r w:rsidR="00886A47" w:rsidRPr="00150455">
        <w:rPr>
          <w:b/>
        </w:rPr>
        <w:t>d</w:t>
      </w:r>
      <w:r w:rsidRPr="00150455">
        <w:rPr>
          <w:b/>
        </w:rPr>
        <w:t>:</w:t>
      </w:r>
    </w:p>
    <w:p w:rsidR="00E801F5" w:rsidRPr="00150455" w:rsidRDefault="00835D25" w:rsidP="003F2698">
      <w:pPr>
        <w:pStyle w:val="BodyText"/>
      </w:pPr>
      <w:r w:rsidRPr="00150455">
        <w:t>“</w:t>
      </w:r>
      <w:r w:rsidR="00E801F5" w:rsidRPr="00150455">
        <w:t>These benefits should be similar for Western Australia and South Australia, making the change worth approximately $600 millio</w:t>
      </w:r>
      <w:r w:rsidRPr="00150455">
        <w:t>n”</w:t>
      </w:r>
      <w:r w:rsidR="00E801F5" w:rsidRPr="00150455">
        <w:t xml:space="preserve"> </w:t>
      </w:r>
    </w:p>
    <w:p w:rsidR="00485ABF" w:rsidRPr="00150455" w:rsidRDefault="00485ABF" w:rsidP="003F2698">
      <w:pPr>
        <w:pStyle w:val="BodyText"/>
      </w:pPr>
      <w:r w:rsidRPr="00150455">
        <w:t>WITH “</w:t>
      </w:r>
      <w:r w:rsidR="00E801F5" w:rsidRPr="00150455">
        <w:t>Across all the relevant jurisdictions the reform benefits in 2015</w:t>
      </w:r>
      <w:r w:rsidR="00E801F5" w:rsidRPr="00150455">
        <w:noBreakHyphen/>
        <w:t xml:space="preserve">16 could be </w:t>
      </w:r>
      <w:r w:rsidRPr="00150455">
        <w:t>$400 million”</w:t>
      </w:r>
    </w:p>
    <w:p w:rsidR="00987ACD" w:rsidRDefault="00987ACD">
      <w:pPr>
        <w:rPr>
          <w:b/>
          <w:szCs w:val="20"/>
        </w:rPr>
      </w:pPr>
      <w:r>
        <w:rPr>
          <w:b/>
        </w:rPr>
        <w:br w:type="page"/>
      </w:r>
    </w:p>
    <w:p w:rsidR="00485ABF" w:rsidRPr="00150455" w:rsidRDefault="00043204" w:rsidP="003F2698">
      <w:pPr>
        <w:pStyle w:val="BodyText"/>
        <w:rPr>
          <w:b/>
        </w:rPr>
      </w:pPr>
      <w:r w:rsidRPr="00150455">
        <w:rPr>
          <w:b/>
        </w:rPr>
        <w:lastRenderedPageBreak/>
        <w:t xml:space="preserve">Page 226 — first paragraph, </w:t>
      </w:r>
      <w:r w:rsidR="00D87895">
        <w:rPr>
          <w:b/>
        </w:rPr>
        <w:t>replaced:</w:t>
      </w:r>
    </w:p>
    <w:p w:rsidR="00043204" w:rsidRPr="00150455" w:rsidRDefault="00043204" w:rsidP="00043204">
      <w:pPr>
        <w:pStyle w:val="BodyText"/>
      </w:pPr>
      <w:r w:rsidRPr="00150455">
        <w:t>“Scaling US cost estimates of licensing requirements</w:t>
      </w:r>
      <w:r w:rsidR="000D6FD6" w:rsidRPr="00150455">
        <w:t>… enter the market.</w:t>
      </w:r>
      <w:r w:rsidRPr="00150455">
        <w:t>”</w:t>
      </w:r>
    </w:p>
    <w:p w:rsidR="00485ABF" w:rsidRPr="00150455" w:rsidRDefault="00043204" w:rsidP="003F2698">
      <w:pPr>
        <w:pStyle w:val="BodyText"/>
      </w:pPr>
      <w:r w:rsidRPr="00150455">
        <w:t xml:space="preserve">WITH “While the occupational licensing requirements in Australia are different and the economy much smaller, the costs for Australia would likely still amount to </w:t>
      </w:r>
      <w:r w:rsidR="000D6FD6" w:rsidRPr="00150455">
        <w:t xml:space="preserve">many </w:t>
      </w:r>
      <w:r w:rsidRPr="00150455">
        <w:t xml:space="preserve">billions of dollars. However, </w:t>
      </w:r>
      <w:r w:rsidR="00850DF9" w:rsidRPr="00150455">
        <w:t xml:space="preserve">many of these </w:t>
      </w:r>
      <w:r w:rsidRPr="00150455">
        <w:t>gains are</w:t>
      </w:r>
      <w:r w:rsidR="00850DF9" w:rsidRPr="00150455">
        <w:t xml:space="preserve"> transfers</w:t>
      </w:r>
      <w:r w:rsidR="000D6FD6" w:rsidRPr="00150455">
        <w:t>.</w:t>
      </w:r>
      <w:r w:rsidRPr="00150455">
        <w:t>”</w:t>
      </w:r>
    </w:p>
    <w:p w:rsidR="00531E44" w:rsidRPr="00150455" w:rsidRDefault="00531E44" w:rsidP="00120072">
      <w:pPr>
        <w:pStyle w:val="BodyText"/>
        <w:rPr>
          <w:b/>
        </w:rPr>
      </w:pPr>
      <w:r w:rsidRPr="00150455">
        <w:rPr>
          <w:b/>
        </w:rPr>
        <w:t xml:space="preserve">Page 227 — </w:t>
      </w:r>
      <w:r w:rsidR="00D87895">
        <w:rPr>
          <w:b/>
        </w:rPr>
        <w:t>fourth</w:t>
      </w:r>
      <w:r w:rsidR="00886A47" w:rsidRPr="00150455">
        <w:rPr>
          <w:b/>
        </w:rPr>
        <w:t xml:space="preserve"> row of content in t</w:t>
      </w:r>
      <w:r w:rsidRPr="00150455">
        <w:rPr>
          <w:b/>
        </w:rPr>
        <w:t>able B</w:t>
      </w:r>
      <w:r w:rsidR="00D87895">
        <w:rPr>
          <w:b/>
        </w:rPr>
        <w:t>.</w:t>
      </w:r>
      <w:r w:rsidRPr="00150455">
        <w:rPr>
          <w:b/>
        </w:rPr>
        <w:t>1, replace</w:t>
      </w:r>
      <w:r w:rsidR="00886A47" w:rsidRPr="00150455">
        <w:rPr>
          <w:b/>
        </w:rPr>
        <w:t>d</w:t>
      </w:r>
      <w:r w:rsidRPr="00150455">
        <w:rPr>
          <w:b/>
        </w:rPr>
        <w:t>:</w:t>
      </w:r>
    </w:p>
    <w:p w:rsidR="00531E44" w:rsidRPr="00150455" w:rsidRDefault="00531E44" w:rsidP="00531E44">
      <w:pPr>
        <w:pStyle w:val="BodyText"/>
      </w:pPr>
      <w:r w:rsidRPr="00150455">
        <w:t>“$200 million for each of the 3 states, totals $600 million a year”</w:t>
      </w:r>
    </w:p>
    <w:p w:rsidR="00531E44" w:rsidRPr="00150455" w:rsidRDefault="00531E44" w:rsidP="00531E44">
      <w:pPr>
        <w:pStyle w:val="BodyText"/>
      </w:pPr>
      <w:r w:rsidRPr="00150455">
        <w:t>WITH “Around $400 million a year”</w:t>
      </w:r>
    </w:p>
    <w:p w:rsidR="00531E44" w:rsidRPr="00150455" w:rsidRDefault="00531E44" w:rsidP="00531E44">
      <w:pPr>
        <w:pStyle w:val="BodyText"/>
        <w:rPr>
          <w:b/>
        </w:rPr>
      </w:pPr>
      <w:r w:rsidRPr="00150455">
        <w:rPr>
          <w:b/>
        </w:rPr>
        <w:t xml:space="preserve">Page 227 — </w:t>
      </w:r>
      <w:r w:rsidR="00D87895">
        <w:rPr>
          <w:b/>
        </w:rPr>
        <w:t>sixth</w:t>
      </w:r>
      <w:r w:rsidRPr="00150455">
        <w:rPr>
          <w:b/>
        </w:rPr>
        <w:t xml:space="preserve"> row of </w:t>
      </w:r>
      <w:r w:rsidR="00886A47" w:rsidRPr="00150455">
        <w:rPr>
          <w:b/>
        </w:rPr>
        <w:t>content in t</w:t>
      </w:r>
      <w:r w:rsidRPr="00150455">
        <w:rPr>
          <w:b/>
        </w:rPr>
        <w:t>able B.1, replace</w:t>
      </w:r>
      <w:r w:rsidR="00886A47" w:rsidRPr="00150455">
        <w:rPr>
          <w:b/>
        </w:rPr>
        <w:t>d</w:t>
      </w:r>
      <w:r w:rsidR="00ED5D1E" w:rsidRPr="00150455">
        <w:rPr>
          <w:b/>
        </w:rPr>
        <w:t>:</w:t>
      </w:r>
    </w:p>
    <w:p w:rsidR="00ED5D1E" w:rsidRPr="00150455" w:rsidRDefault="00ED5D1E" w:rsidP="00531E44">
      <w:pPr>
        <w:pStyle w:val="BodyText"/>
      </w:pPr>
      <w:r w:rsidRPr="00150455">
        <w:t>“up to $15 billion”</w:t>
      </w:r>
      <w:r w:rsidR="008363D2" w:rsidRPr="00150455">
        <w:t xml:space="preserve"> </w:t>
      </w:r>
      <w:r w:rsidRPr="00150455">
        <w:t>WITH “worth billions”</w:t>
      </w:r>
    </w:p>
    <w:p w:rsidR="00ED5D1E" w:rsidRPr="00150455" w:rsidRDefault="00C45570" w:rsidP="00531E44">
      <w:pPr>
        <w:pStyle w:val="BodyText"/>
        <w:rPr>
          <w:b/>
        </w:rPr>
      </w:pPr>
      <w:r w:rsidRPr="00150455">
        <w:rPr>
          <w:b/>
        </w:rPr>
        <w:t xml:space="preserve">Page 228 — </w:t>
      </w:r>
      <w:r w:rsidR="00D87895">
        <w:rPr>
          <w:b/>
        </w:rPr>
        <w:t>fifth</w:t>
      </w:r>
      <w:r w:rsidRPr="00150455">
        <w:rPr>
          <w:b/>
        </w:rPr>
        <w:t xml:space="preserve"> paragraph, delete</w:t>
      </w:r>
      <w:r w:rsidR="00886A47" w:rsidRPr="00150455">
        <w:rPr>
          <w:b/>
        </w:rPr>
        <w:t>d</w:t>
      </w:r>
      <w:r w:rsidRPr="00150455">
        <w:rPr>
          <w:b/>
        </w:rPr>
        <w:t xml:space="preserve"> hanging words:</w:t>
      </w:r>
    </w:p>
    <w:p w:rsidR="00531E44" w:rsidRPr="00150455" w:rsidRDefault="00C45570" w:rsidP="00120072">
      <w:pPr>
        <w:pStyle w:val="BodyText"/>
      </w:pPr>
      <w:r w:rsidRPr="00150455">
        <w:t>“and the.”</w:t>
      </w:r>
    </w:p>
    <w:p w:rsidR="00A47047" w:rsidRPr="00150455" w:rsidRDefault="00A47047" w:rsidP="00A47047">
      <w:pPr>
        <w:pStyle w:val="BodyText"/>
        <w:rPr>
          <w:b/>
        </w:rPr>
      </w:pPr>
      <w:r w:rsidRPr="00150455">
        <w:rPr>
          <w:b/>
        </w:rPr>
        <w:t xml:space="preserve">Page 229 — </w:t>
      </w:r>
      <w:r w:rsidR="00D87895">
        <w:rPr>
          <w:b/>
        </w:rPr>
        <w:t>first</w:t>
      </w:r>
      <w:r w:rsidRPr="00150455">
        <w:rPr>
          <w:b/>
        </w:rPr>
        <w:t xml:space="preserve"> paragraph,</w:t>
      </w:r>
      <w:r w:rsidR="00886A47" w:rsidRPr="00150455">
        <w:rPr>
          <w:b/>
        </w:rPr>
        <w:t xml:space="preserve"> </w:t>
      </w:r>
      <w:r w:rsidRPr="00150455">
        <w:rPr>
          <w:b/>
        </w:rPr>
        <w:t>replace</w:t>
      </w:r>
      <w:r w:rsidR="00886A47" w:rsidRPr="00150455">
        <w:rPr>
          <w:b/>
        </w:rPr>
        <w:t>d</w:t>
      </w:r>
      <w:r w:rsidRPr="00150455">
        <w:rPr>
          <w:b/>
        </w:rPr>
        <w:t>:</w:t>
      </w:r>
    </w:p>
    <w:p w:rsidR="00A47047" w:rsidRPr="00150455" w:rsidRDefault="00A47047" w:rsidP="00A47047">
      <w:pPr>
        <w:pStyle w:val="BodyText"/>
      </w:pPr>
      <w:r w:rsidRPr="00150455">
        <w:t>For example, a 20 per cent reduction would save the budget $1.5 billion, and conservatively another $200 million in avoided deadweight loss of taxation.</w:t>
      </w:r>
    </w:p>
    <w:p w:rsidR="00A47047" w:rsidRPr="00150455" w:rsidRDefault="00A47047" w:rsidP="00A47047">
      <w:pPr>
        <w:pStyle w:val="BodyText"/>
      </w:pPr>
      <w:r w:rsidRPr="00150455">
        <w:t xml:space="preserve">WITH “A cut in </w:t>
      </w:r>
      <w:r w:rsidR="000D6FD6" w:rsidRPr="00150455">
        <w:t xml:space="preserve">overall </w:t>
      </w:r>
      <w:r w:rsidRPr="00150455">
        <w:t>assistance that left R&amp;D and small business assistance at their current levels and that reduced other assistance by 50 per cent would save</w:t>
      </w:r>
      <w:r w:rsidR="00682A09" w:rsidRPr="00150455">
        <w:t xml:space="preserve"> the budget around $1.5 billion. Depending on the marginal excess burden of personal income tax,</w:t>
      </w:r>
      <w:r w:rsidRPr="00150455">
        <w:t xml:space="preserve"> </w:t>
      </w:r>
      <w:r w:rsidR="00682A09" w:rsidRPr="00150455">
        <w:t xml:space="preserve">this </w:t>
      </w:r>
      <w:r w:rsidR="002D785A" w:rsidRPr="00150455">
        <w:t>c</w:t>
      </w:r>
      <w:r w:rsidR="00682A09" w:rsidRPr="00150455">
        <w:t xml:space="preserve">ould also lead to </w:t>
      </w:r>
      <w:r w:rsidR="002D785A" w:rsidRPr="00150455">
        <w:t>roughly</w:t>
      </w:r>
      <w:r w:rsidR="00682A09" w:rsidRPr="00150455">
        <w:t xml:space="preserve"> between $</w:t>
      </w:r>
      <w:r w:rsidR="008E412B" w:rsidRPr="00150455">
        <w:t>200</w:t>
      </w:r>
      <w:r w:rsidR="00682A09" w:rsidRPr="00150455">
        <w:t xml:space="preserve"> and $500 million in avoided deadweight losses of taxation</w:t>
      </w:r>
      <w:r w:rsidR="00CF7330" w:rsidRPr="00150455">
        <w:t xml:space="preserve"> (Cao et al 2015</w:t>
      </w:r>
      <w:r w:rsidR="00FA375B" w:rsidRPr="00150455">
        <w:t>, p. 22</w:t>
      </w:r>
      <w:r w:rsidR="00CF7330" w:rsidRPr="00150455">
        <w:t>)</w:t>
      </w:r>
      <w:r w:rsidR="00B831BB" w:rsidRPr="00150455">
        <w:t>.”</w:t>
      </w:r>
    </w:p>
    <w:p w:rsidR="009D10A8" w:rsidRPr="00150455" w:rsidRDefault="009D10A8" w:rsidP="00120072">
      <w:pPr>
        <w:pStyle w:val="BodyText"/>
        <w:rPr>
          <w:b/>
        </w:rPr>
      </w:pPr>
      <w:r w:rsidRPr="00150455">
        <w:rPr>
          <w:b/>
        </w:rPr>
        <w:t>Page 230 — first paragraph, replace</w:t>
      </w:r>
      <w:r w:rsidR="00886A47" w:rsidRPr="00150455">
        <w:rPr>
          <w:b/>
        </w:rPr>
        <w:t>d</w:t>
      </w:r>
      <w:r w:rsidRPr="00150455">
        <w:rPr>
          <w:b/>
        </w:rPr>
        <w:t>:</w:t>
      </w:r>
    </w:p>
    <w:p w:rsidR="009D10A8" w:rsidRPr="00150455" w:rsidRDefault="009D10A8" w:rsidP="00120072">
      <w:pPr>
        <w:pStyle w:val="BodyText"/>
      </w:pPr>
      <w:r w:rsidRPr="00150455">
        <w:t>“(PC 2016c)”</w:t>
      </w:r>
      <w:r w:rsidR="008363D2" w:rsidRPr="00150455">
        <w:t xml:space="preserve"> </w:t>
      </w:r>
      <w:r w:rsidRPr="00150455">
        <w:t>WITH “(PC 2016d)”</w:t>
      </w:r>
    </w:p>
    <w:p w:rsidR="009D10A8" w:rsidRPr="00150455" w:rsidRDefault="009D10A8" w:rsidP="00120072">
      <w:pPr>
        <w:pStyle w:val="BodyText"/>
        <w:rPr>
          <w:b/>
        </w:rPr>
      </w:pPr>
      <w:r w:rsidRPr="00150455">
        <w:rPr>
          <w:b/>
        </w:rPr>
        <w:t xml:space="preserve">Page 230 — </w:t>
      </w:r>
      <w:r w:rsidR="00D87895">
        <w:rPr>
          <w:b/>
        </w:rPr>
        <w:t>second</w:t>
      </w:r>
      <w:r w:rsidRPr="00150455">
        <w:rPr>
          <w:b/>
        </w:rPr>
        <w:t xml:space="preserve"> paragraph, replace</w:t>
      </w:r>
      <w:r w:rsidR="00886A47" w:rsidRPr="00150455">
        <w:rPr>
          <w:b/>
        </w:rPr>
        <w:t>d</w:t>
      </w:r>
      <w:r w:rsidRPr="00150455">
        <w:rPr>
          <w:b/>
        </w:rPr>
        <w:t>:</w:t>
      </w:r>
    </w:p>
    <w:p w:rsidR="001E411C" w:rsidRPr="00150455" w:rsidRDefault="00835D25" w:rsidP="00120072">
      <w:pPr>
        <w:pStyle w:val="BodyText"/>
      </w:pPr>
      <w:r w:rsidRPr="00150455">
        <w:t>“</w:t>
      </w:r>
      <w:r w:rsidR="00FC158D" w:rsidRPr="00150455">
        <w:t xml:space="preserve">… </w:t>
      </w:r>
      <w:r w:rsidR="001E411C" w:rsidRPr="00150455">
        <w:t>does not restrict imports. With 4.5 million second hand cars traded each year (Ludlow 2015) removing these restrictions would greatly benefit consumers (if the saving applies to half the market with an average price of $12 000 falling to $6 000, this is a saving of $13.5 billion).</w:t>
      </w:r>
      <w:r w:rsidRPr="00150455">
        <w:t>”</w:t>
      </w:r>
    </w:p>
    <w:p w:rsidR="001E411C" w:rsidRPr="00150455" w:rsidRDefault="001E411C" w:rsidP="00120072">
      <w:pPr>
        <w:pStyle w:val="BodyText"/>
      </w:pPr>
      <w:r w:rsidRPr="00150455">
        <w:rPr>
          <w:rFonts w:cs="Open Sans Light"/>
          <w:szCs w:val="24"/>
        </w:rPr>
        <w:t>WITH</w:t>
      </w:r>
      <w:r w:rsidR="00B95D77" w:rsidRPr="00150455">
        <w:rPr>
          <w:rFonts w:cs="Open Sans Light"/>
          <w:sz w:val="20"/>
        </w:rPr>
        <w:t xml:space="preserve"> </w:t>
      </w:r>
      <w:r w:rsidR="00B95D77" w:rsidRPr="00150455">
        <w:t>“</w:t>
      </w:r>
      <w:r w:rsidR="00FC158D" w:rsidRPr="00150455">
        <w:t>…</w:t>
      </w:r>
      <w:r w:rsidR="00EA5291">
        <w:t xml:space="preserve">does </w:t>
      </w:r>
      <w:r w:rsidR="00FC158D" w:rsidRPr="00150455">
        <w:t xml:space="preserve">not restrict imports (Ludlow </w:t>
      </w:r>
      <w:r w:rsidRPr="00150455">
        <w:t>2015)</w:t>
      </w:r>
      <w:r w:rsidR="00FC158D" w:rsidRPr="00150455">
        <w:t>.</w:t>
      </w:r>
      <w:r w:rsidRPr="00150455">
        <w:t>The savings from deregulation are hard to estimate given unreliable data on used car sales and the prospective impact on car prices, but are still likely to be significant.</w:t>
      </w:r>
      <w:r w:rsidR="00B95D77" w:rsidRPr="00150455">
        <w:t>”</w:t>
      </w:r>
    </w:p>
    <w:p w:rsidR="009C536A" w:rsidRPr="00150455" w:rsidRDefault="005259B6" w:rsidP="009C536A">
      <w:pPr>
        <w:pStyle w:val="BodyText"/>
        <w:rPr>
          <w:b/>
        </w:rPr>
      </w:pPr>
      <w:r w:rsidRPr="00150455">
        <w:rPr>
          <w:b/>
        </w:rPr>
        <w:lastRenderedPageBreak/>
        <w:t xml:space="preserve">Page 230 — </w:t>
      </w:r>
      <w:r w:rsidR="00D87895">
        <w:rPr>
          <w:b/>
        </w:rPr>
        <w:t>fourth</w:t>
      </w:r>
      <w:r w:rsidRPr="00150455">
        <w:rPr>
          <w:b/>
        </w:rPr>
        <w:t xml:space="preserve"> paragraph, replace</w:t>
      </w:r>
      <w:r w:rsidR="00886A47" w:rsidRPr="00150455">
        <w:rPr>
          <w:b/>
        </w:rPr>
        <w:t>d</w:t>
      </w:r>
      <w:r w:rsidRPr="00150455">
        <w:rPr>
          <w:b/>
        </w:rPr>
        <w:t>:</w:t>
      </w:r>
    </w:p>
    <w:p w:rsidR="005259B6" w:rsidRPr="00150455" w:rsidRDefault="005259B6" w:rsidP="005259B6">
      <w:pPr>
        <w:pStyle w:val="BodyText"/>
      </w:pPr>
      <w:r w:rsidRPr="00150455">
        <w:t>“</w:t>
      </w:r>
      <w:r w:rsidR="00EE6438" w:rsidRPr="00150455">
        <w:t xml:space="preserve">… </w:t>
      </w:r>
      <w:r w:rsidRPr="00150455">
        <w:t>are worth, but</w:t>
      </w:r>
      <w:r w:rsidR="00E15127">
        <w:t xml:space="preserve"> </w:t>
      </w:r>
      <w:r w:rsidR="00E15127" w:rsidRPr="00E15127">
        <w:t>since innovation is a main source of productivity growth</w:t>
      </w:r>
      <w:r w:rsidRPr="00150455">
        <w:t>, even shifting it by 0.1 percentage point, would be worth $1.9 billion to the Australian economy.”</w:t>
      </w:r>
    </w:p>
    <w:p w:rsidR="005259B6" w:rsidRPr="00150455" w:rsidRDefault="005259B6" w:rsidP="005259B6">
      <w:pPr>
        <w:pStyle w:val="BodyText"/>
      </w:pPr>
      <w:r w:rsidRPr="00150455">
        <w:t>WITH “</w:t>
      </w:r>
      <w:r w:rsidR="00EE6438" w:rsidRPr="00150455">
        <w:t xml:space="preserve">… </w:t>
      </w:r>
      <w:r w:rsidRPr="00150455">
        <w:t>are worth</w:t>
      </w:r>
      <w:r w:rsidR="00EE6438" w:rsidRPr="00150455">
        <w:t>, but since innovation is a main source of productivity growth they could be substantial</w:t>
      </w:r>
      <w:r w:rsidRPr="00150455">
        <w:t>”</w:t>
      </w:r>
    </w:p>
    <w:p w:rsidR="005259B6" w:rsidRPr="00150455" w:rsidRDefault="005259B6" w:rsidP="005259B6">
      <w:pPr>
        <w:pStyle w:val="BodyText"/>
        <w:rPr>
          <w:b/>
        </w:rPr>
      </w:pPr>
      <w:r w:rsidRPr="00150455">
        <w:rPr>
          <w:b/>
        </w:rPr>
        <w:t>Page 230 — footnote 22, replace</w:t>
      </w:r>
      <w:r w:rsidR="00886A47" w:rsidRPr="00150455">
        <w:rPr>
          <w:b/>
        </w:rPr>
        <w:t>d</w:t>
      </w:r>
      <w:r w:rsidRPr="00150455">
        <w:rPr>
          <w:b/>
        </w:rPr>
        <w:t>:</w:t>
      </w:r>
    </w:p>
    <w:p w:rsidR="005259B6" w:rsidRPr="00150455" w:rsidRDefault="005259B6" w:rsidP="005259B6">
      <w:pPr>
        <w:pStyle w:val="BodyText"/>
      </w:pPr>
      <w:r w:rsidRPr="00150455">
        <w:t>“</w:t>
      </w:r>
      <w:r w:rsidR="008363D2" w:rsidRPr="00150455">
        <w:t xml:space="preserve">… </w:t>
      </w:r>
      <w:r w:rsidRPr="00150455">
        <w:t>is about 1.1, so a 0.1 percentage point improvement in MFP raises annual GDP by $1.9 billion. If MFP averages 0.7 per cent, this is a 14 per cent improvement in MFP.”</w:t>
      </w:r>
    </w:p>
    <w:p w:rsidR="00695731" w:rsidRPr="00150455" w:rsidRDefault="005259B6" w:rsidP="005259B6">
      <w:pPr>
        <w:pStyle w:val="BodyText"/>
      </w:pPr>
      <w:r w:rsidRPr="00150455">
        <w:t xml:space="preserve">WITH </w:t>
      </w:r>
      <w:r w:rsidR="00695731" w:rsidRPr="00150455">
        <w:t>“</w:t>
      </w:r>
      <w:r w:rsidR="008363D2" w:rsidRPr="00150455">
        <w:t xml:space="preserve">… </w:t>
      </w:r>
      <w:r w:rsidR="00695731" w:rsidRPr="00150455">
        <w:t>is about 1.1</w:t>
      </w:r>
      <w:r w:rsidR="0085192C" w:rsidRPr="00150455">
        <w:t>. Even were IP reform to increase MFP by</w:t>
      </w:r>
      <w:r w:rsidR="00695731" w:rsidRPr="00150455">
        <w:t xml:space="preserve"> </w:t>
      </w:r>
      <w:r w:rsidR="0085192C" w:rsidRPr="00150455">
        <w:t xml:space="preserve">just </w:t>
      </w:r>
      <w:r w:rsidR="00695731" w:rsidRPr="00150455">
        <w:t xml:space="preserve">0.01 percentage point </w:t>
      </w:r>
      <w:r w:rsidR="0085192C" w:rsidRPr="00150455">
        <w:t>this would raise</w:t>
      </w:r>
      <w:r w:rsidR="00695731" w:rsidRPr="00150455">
        <w:t xml:space="preserve"> annual GDP by $</w:t>
      </w:r>
      <w:r w:rsidR="00C33335" w:rsidRPr="00150455">
        <w:t>190 m</w:t>
      </w:r>
      <w:r w:rsidR="00695731" w:rsidRPr="00150455">
        <w:t>illion.</w:t>
      </w:r>
      <w:r w:rsidR="00C33335" w:rsidRPr="00150455">
        <w:t xml:space="preserve"> </w:t>
      </w:r>
      <w:r w:rsidR="005E2C80" w:rsidRPr="00150455">
        <w:t>The</w:t>
      </w:r>
      <w:r w:rsidR="00C33335" w:rsidRPr="00150455">
        <w:t xml:space="preserve"> </w:t>
      </w:r>
      <w:r w:rsidR="005E2C80" w:rsidRPr="00150455">
        <w:t xml:space="preserve">output </w:t>
      </w:r>
      <w:r w:rsidR="00C33335" w:rsidRPr="00150455">
        <w:t xml:space="preserve">gains </w:t>
      </w:r>
      <w:r w:rsidR="005E2C80" w:rsidRPr="00150455">
        <w:t>from IP reform may exceed this</w:t>
      </w:r>
      <w:r w:rsidR="003C444E" w:rsidRPr="00150455">
        <w:t>.</w:t>
      </w:r>
      <w:r w:rsidR="00695731" w:rsidRPr="00150455">
        <w:t>”</w:t>
      </w:r>
    </w:p>
    <w:p w:rsidR="00C33335" w:rsidRPr="00150455" w:rsidRDefault="00C33335" w:rsidP="005259B6">
      <w:pPr>
        <w:pStyle w:val="BodyText"/>
        <w:rPr>
          <w:b/>
        </w:rPr>
      </w:pPr>
      <w:r w:rsidRPr="00150455">
        <w:rPr>
          <w:b/>
        </w:rPr>
        <w:t xml:space="preserve">Page 231 </w:t>
      </w:r>
      <w:r w:rsidR="00886A47" w:rsidRPr="00150455">
        <w:rPr>
          <w:b/>
        </w:rPr>
        <w:t>— s</w:t>
      </w:r>
      <w:r w:rsidRPr="00150455">
        <w:rPr>
          <w:b/>
        </w:rPr>
        <w:t>econd row</w:t>
      </w:r>
      <w:r w:rsidR="007840F3" w:rsidRPr="00150455">
        <w:rPr>
          <w:b/>
        </w:rPr>
        <w:t>, column 2</w:t>
      </w:r>
      <w:r w:rsidRPr="00150455">
        <w:rPr>
          <w:b/>
        </w:rPr>
        <w:t xml:space="preserve"> in </w:t>
      </w:r>
      <w:r w:rsidR="00886A47" w:rsidRPr="00150455">
        <w:rPr>
          <w:b/>
        </w:rPr>
        <w:t>t</w:t>
      </w:r>
      <w:r w:rsidRPr="00150455">
        <w:rPr>
          <w:b/>
        </w:rPr>
        <w:t>able B</w:t>
      </w:r>
      <w:r w:rsidR="00164F8E">
        <w:rPr>
          <w:b/>
        </w:rPr>
        <w:t>.</w:t>
      </w:r>
      <w:r w:rsidRPr="00150455">
        <w:rPr>
          <w:b/>
        </w:rPr>
        <w:t>2, replace</w:t>
      </w:r>
      <w:r w:rsidR="00886A47" w:rsidRPr="00150455">
        <w:rPr>
          <w:b/>
        </w:rPr>
        <w:t>d</w:t>
      </w:r>
      <w:r w:rsidRPr="00150455">
        <w:rPr>
          <w:b/>
        </w:rPr>
        <w:t>:</w:t>
      </w:r>
    </w:p>
    <w:p w:rsidR="00C33335" w:rsidRPr="00150455" w:rsidRDefault="00C33335" w:rsidP="005259B6">
      <w:pPr>
        <w:pStyle w:val="BodyText"/>
      </w:pPr>
      <w:r w:rsidRPr="00150455">
        <w:t>“Harper Review 7”</w:t>
      </w:r>
      <w:r w:rsidR="008363D2" w:rsidRPr="00150455">
        <w:t xml:space="preserve"> </w:t>
      </w:r>
      <w:r w:rsidRPr="00150455">
        <w:t>WITH “Harper Review</w:t>
      </w:r>
      <w:r w:rsidR="005E2C80" w:rsidRPr="00150455">
        <w:t xml:space="preserve"> </w:t>
      </w:r>
      <w:r w:rsidRPr="00150455">
        <w:t>8”</w:t>
      </w:r>
    </w:p>
    <w:p w:rsidR="00C33335" w:rsidRPr="00150455" w:rsidRDefault="005E2C80" w:rsidP="005259B6">
      <w:pPr>
        <w:pStyle w:val="BodyText"/>
        <w:rPr>
          <w:b/>
        </w:rPr>
      </w:pPr>
      <w:r w:rsidRPr="00150455">
        <w:rPr>
          <w:b/>
        </w:rPr>
        <w:t>Page 232</w:t>
      </w:r>
      <w:r w:rsidR="00886A47" w:rsidRPr="00150455">
        <w:rPr>
          <w:b/>
        </w:rPr>
        <w:t xml:space="preserve"> —</w:t>
      </w:r>
      <w:r w:rsidRPr="00150455">
        <w:rPr>
          <w:b/>
        </w:rPr>
        <w:t xml:space="preserve"> </w:t>
      </w:r>
      <w:r w:rsidR="00D87895">
        <w:rPr>
          <w:b/>
        </w:rPr>
        <w:t>sixth</w:t>
      </w:r>
      <w:r w:rsidR="00886A47" w:rsidRPr="00150455">
        <w:rPr>
          <w:b/>
        </w:rPr>
        <w:t xml:space="preserve"> row</w:t>
      </w:r>
      <w:r w:rsidR="00164F8E">
        <w:rPr>
          <w:b/>
        </w:rPr>
        <w:t>, column 4</w:t>
      </w:r>
      <w:r w:rsidR="00886A47" w:rsidRPr="00150455">
        <w:rPr>
          <w:b/>
        </w:rPr>
        <w:t xml:space="preserve"> in t</w:t>
      </w:r>
      <w:r w:rsidRPr="00150455">
        <w:rPr>
          <w:b/>
        </w:rPr>
        <w:t>able B.2 replace</w:t>
      </w:r>
      <w:r w:rsidR="00886A47" w:rsidRPr="00150455">
        <w:rPr>
          <w:b/>
        </w:rPr>
        <w:t>d</w:t>
      </w:r>
      <w:r w:rsidRPr="00150455">
        <w:rPr>
          <w:b/>
        </w:rPr>
        <w:t>:</w:t>
      </w:r>
    </w:p>
    <w:p w:rsidR="005E2C80" w:rsidRPr="00150455" w:rsidRDefault="003F2541" w:rsidP="005E2C80">
      <w:pPr>
        <w:pStyle w:val="BodyText"/>
      </w:pPr>
      <w:r w:rsidRPr="00150455">
        <w:t>“</w:t>
      </w:r>
      <w:r w:rsidR="005E2C80" w:rsidRPr="00150455">
        <w:t>A 0.1 percentage point boost to productivity from greater innovation is worth $1.9 billion  to the economy</w:t>
      </w:r>
      <w:r w:rsidRPr="00150455">
        <w:t>”</w:t>
      </w:r>
    </w:p>
    <w:p w:rsidR="003F2541" w:rsidRPr="00150455" w:rsidRDefault="003F2541" w:rsidP="005E2C80">
      <w:pPr>
        <w:pStyle w:val="BodyText"/>
      </w:pPr>
      <w:r w:rsidRPr="00150455">
        <w:t>WITH “More efficient IP system and better economywide productivity”</w:t>
      </w:r>
    </w:p>
    <w:p w:rsidR="003F2541" w:rsidRPr="00150455" w:rsidRDefault="00055659" w:rsidP="005E2C80">
      <w:pPr>
        <w:pStyle w:val="BodyText"/>
        <w:rPr>
          <w:b/>
        </w:rPr>
      </w:pPr>
      <w:r w:rsidRPr="00150455">
        <w:rPr>
          <w:b/>
        </w:rPr>
        <w:t xml:space="preserve">Page 238 </w:t>
      </w:r>
      <w:r w:rsidR="00886A47" w:rsidRPr="00150455">
        <w:rPr>
          <w:b/>
        </w:rPr>
        <w:t xml:space="preserve">— </w:t>
      </w:r>
      <w:r w:rsidR="00B606E4" w:rsidRPr="00150455">
        <w:rPr>
          <w:b/>
        </w:rPr>
        <w:t xml:space="preserve">second row, column </w:t>
      </w:r>
      <w:r w:rsidR="00B606E4">
        <w:rPr>
          <w:b/>
        </w:rPr>
        <w:t>4</w:t>
      </w:r>
      <w:r w:rsidR="00B606E4" w:rsidRPr="00150455">
        <w:rPr>
          <w:b/>
        </w:rPr>
        <w:t xml:space="preserve"> in table B</w:t>
      </w:r>
      <w:r w:rsidR="00B606E4">
        <w:rPr>
          <w:b/>
        </w:rPr>
        <w:t>.4</w:t>
      </w:r>
      <w:r w:rsidRPr="00150455">
        <w:rPr>
          <w:b/>
        </w:rPr>
        <w:t>, replace</w:t>
      </w:r>
      <w:r w:rsidR="00886A47" w:rsidRPr="00150455">
        <w:rPr>
          <w:b/>
        </w:rPr>
        <w:t>d</w:t>
      </w:r>
      <w:r w:rsidRPr="00150455">
        <w:rPr>
          <w:b/>
        </w:rPr>
        <w:t>:</w:t>
      </w:r>
    </w:p>
    <w:p w:rsidR="00055659" w:rsidRPr="00150455" w:rsidRDefault="00055659" w:rsidP="005E2C80">
      <w:pPr>
        <w:pStyle w:val="BodyText"/>
      </w:pPr>
      <w:r w:rsidRPr="00150455">
        <w:t>“about $240 million”</w:t>
      </w:r>
      <w:r w:rsidR="008363D2" w:rsidRPr="00150455">
        <w:t xml:space="preserve"> </w:t>
      </w:r>
      <w:r w:rsidRPr="00150455">
        <w:t>WITH “about $220 million”</w:t>
      </w:r>
    </w:p>
    <w:p w:rsidR="003F2541" w:rsidRPr="00150455" w:rsidRDefault="00055659" w:rsidP="005E2C80">
      <w:pPr>
        <w:pStyle w:val="BodyText"/>
        <w:rPr>
          <w:b/>
        </w:rPr>
      </w:pPr>
      <w:r w:rsidRPr="00150455">
        <w:rPr>
          <w:b/>
        </w:rPr>
        <w:t>Page 239 —</w:t>
      </w:r>
      <w:r w:rsidR="00181007">
        <w:rPr>
          <w:b/>
        </w:rPr>
        <w:t xml:space="preserve"> </w:t>
      </w:r>
      <w:r w:rsidRPr="00150455">
        <w:rPr>
          <w:b/>
        </w:rPr>
        <w:t>delete</w:t>
      </w:r>
      <w:r w:rsidR="00886A47" w:rsidRPr="00150455">
        <w:rPr>
          <w:b/>
        </w:rPr>
        <w:t>d</w:t>
      </w:r>
      <w:r w:rsidR="00181007">
        <w:rPr>
          <w:b/>
        </w:rPr>
        <w:t xml:space="preserve"> (in fourth</w:t>
      </w:r>
      <w:r w:rsidR="00181007" w:rsidRPr="00150455">
        <w:rPr>
          <w:b/>
        </w:rPr>
        <w:t xml:space="preserve"> </w:t>
      </w:r>
      <w:r w:rsidR="00181007">
        <w:rPr>
          <w:b/>
        </w:rPr>
        <w:t>paragraph)</w:t>
      </w:r>
      <w:r w:rsidRPr="00150455">
        <w:rPr>
          <w:b/>
        </w:rPr>
        <w:t>:</w:t>
      </w:r>
    </w:p>
    <w:p w:rsidR="00055659" w:rsidRPr="00150455" w:rsidRDefault="00055659" w:rsidP="005E2C80">
      <w:pPr>
        <w:pStyle w:val="BodyText"/>
      </w:pPr>
      <w:r w:rsidRPr="00150455">
        <w:t>“include the ban”</w:t>
      </w:r>
    </w:p>
    <w:p w:rsidR="00055659" w:rsidRPr="00150455" w:rsidRDefault="00055659" w:rsidP="005E2C80">
      <w:pPr>
        <w:pStyle w:val="BodyText"/>
        <w:rPr>
          <w:b/>
        </w:rPr>
      </w:pPr>
      <w:r w:rsidRPr="00150455">
        <w:rPr>
          <w:b/>
        </w:rPr>
        <w:t xml:space="preserve">Page 239 — </w:t>
      </w:r>
      <w:r w:rsidR="00D87895">
        <w:rPr>
          <w:b/>
        </w:rPr>
        <w:t>fourth</w:t>
      </w:r>
      <w:r w:rsidRPr="00150455">
        <w:rPr>
          <w:b/>
        </w:rPr>
        <w:t xml:space="preserve"> paragraph, replace</w:t>
      </w:r>
      <w:r w:rsidR="00886A47" w:rsidRPr="00150455">
        <w:rPr>
          <w:b/>
        </w:rPr>
        <w:t>d</w:t>
      </w:r>
      <w:r w:rsidRPr="00150455">
        <w:rPr>
          <w:b/>
        </w:rPr>
        <w:t>:</w:t>
      </w:r>
    </w:p>
    <w:p w:rsidR="00055659" w:rsidRPr="00150455" w:rsidRDefault="00055659" w:rsidP="00055659">
      <w:pPr>
        <w:pStyle w:val="BodyText"/>
      </w:pPr>
      <w:r w:rsidRPr="00150455">
        <w:t>“In Tasmania and Victoria reviews of the moratorium on cultivating genetically modified organisms estimated the economic costs of extending the moratorium. Extending the moratorium for a further 5 years in Tasmania (in 2014) was estimated to impose a net cost of $1.5 million. Similarly extending for a further eight years in Victoria (in 2007) was estimated to impose a direct net cost of $110‑$115 million (PC 2016h). Removal of the remaining moratoria could result in cost savings of about $330 million over a similar time period.”</w:t>
      </w:r>
    </w:p>
    <w:p w:rsidR="00055659" w:rsidRPr="00150455" w:rsidRDefault="00055659" w:rsidP="00055659">
      <w:pPr>
        <w:pStyle w:val="BodyText"/>
      </w:pPr>
      <w:r w:rsidRPr="00150455">
        <w:t>WITH “Given previous estimates of the costs of bans (PC 2016h), there could be</w:t>
      </w:r>
      <w:r w:rsidR="002D785A" w:rsidRPr="00150455">
        <w:t xml:space="preserve"> annual</w:t>
      </w:r>
      <w:r w:rsidRPr="00150455">
        <w:t xml:space="preserve"> savings of around $30 million from removing the remaining restrictions.”</w:t>
      </w:r>
    </w:p>
    <w:p w:rsidR="00055659" w:rsidRPr="00150455" w:rsidRDefault="00055659" w:rsidP="00055659">
      <w:pPr>
        <w:pStyle w:val="BodyText"/>
        <w:rPr>
          <w:b/>
        </w:rPr>
      </w:pPr>
      <w:r w:rsidRPr="00150455">
        <w:rPr>
          <w:b/>
        </w:rPr>
        <w:lastRenderedPageBreak/>
        <w:t>Page 239 — footnote 27, replace</w:t>
      </w:r>
      <w:r w:rsidR="00886A47" w:rsidRPr="00150455">
        <w:rPr>
          <w:b/>
        </w:rPr>
        <w:t>d</w:t>
      </w:r>
      <w:r w:rsidRPr="00150455">
        <w:rPr>
          <w:b/>
        </w:rPr>
        <w:t>:</w:t>
      </w:r>
    </w:p>
    <w:p w:rsidR="00055659" w:rsidRPr="00150455" w:rsidRDefault="00055659" w:rsidP="00055659">
      <w:pPr>
        <w:pStyle w:val="BodyText"/>
      </w:pPr>
      <w:r w:rsidRPr="00150455">
        <w:t>“Assumes South Australia would face similar costs as Victoria and New South Wales would face greater costs as crop production is almost 2 times that of Victoria (DAWR 2017), (3 x $110m).”</w:t>
      </w:r>
    </w:p>
    <w:p w:rsidR="00055659" w:rsidRPr="00150455" w:rsidRDefault="00055659" w:rsidP="00055659">
      <w:pPr>
        <w:pStyle w:val="BodyText"/>
      </w:pPr>
      <w:r w:rsidRPr="00150455">
        <w:t>WITH “</w:t>
      </w:r>
      <w:r w:rsidR="005C4109" w:rsidRPr="00150455">
        <w:t>T</w:t>
      </w:r>
      <w:r w:rsidRPr="00150455">
        <w:t>he estimate reflects the assumption that: South Australia would face similar costs to those projected for Victoria</w:t>
      </w:r>
      <w:r w:rsidR="001D79FC" w:rsidRPr="00150455">
        <w:t xml:space="preserve">’s (now lapsed) </w:t>
      </w:r>
      <w:r w:rsidRPr="00150455">
        <w:t>moratorium</w:t>
      </w:r>
      <w:r w:rsidR="001D79FC" w:rsidRPr="00150455">
        <w:t>,</w:t>
      </w:r>
      <w:r w:rsidRPr="00150455">
        <w:t xml:space="preserve"> and that, New South Wales would face costs of around 1.5 times greater than that of Victoria, taking into account that while</w:t>
      </w:r>
      <w:r w:rsidR="001537FC" w:rsidRPr="00150455">
        <w:t xml:space="preserve"> its crop size is around double</w:t>
      </w:r>
      <w:r w:rsidRPr="00150455">
        <w:t xml:space="preserve"> (DAWR 2017), its moratorium is only partial.”</w:t>
      </w:r>
    </w:p>
    <w:p w:rsidR="001D79FC" w:rsidRPr="00150455" w:rsidRDefault="001D79FC" w:rsidP="00055659">
      <w:pPr>
        <w:pStyle w:val="BodyText"/>
        <w:rPr>
          <w:b/>
        </w:rPr>
      </w:pPr>
      <w:r w:rsidRPr="00150455">
        <w:rPr>
          <w:b/>
        </w:rPr>
        <w:t xml:space="preserve">Page 240 — </w:t>
      </w:r>
      <w:r w:rsidR="00150455" w:rsidRPr="00150455">
        <w:rPr>
          <w:b/>
        </w:rPr>
        <w:t>first row</w:t>
      </w:r>
      <w:r w:rsidR="00A2052C">
        <w:rPr>
          <w:b/>
        </w:rPr>
        <w:t>, column 4</w:t>
      </w:r>
      <w:r w:rsidR="00150455" w:rsidRPr="00150455">
        <w:rPr>
          <w:b/>
        </w:rPr>
        <w:t xml:space="preserve"> in </w:t>
      </w:r>
      <w:r w:rsidR="00886A47" w:rsidRPr="00150455">
        <w:rPr>
          <w:b/>
        </w:rPr>
        <w:t>t</w:t>
      </w:r>
      <w:r w:rsidRPr="00150455">
        <w:rPr>
          <w:b/>
        </w:rPr>
        <w:t>able B</w:t>
      </w:r>
      <w:r w:rsidR="00D87895">
        <w:rPr>
          <w:b/>
        </w:rPr>
        <w:t>.</w:t>
      </w:r>
      <w:r w:rsidRPr="00150455">
        <w:rPr>
          <w:b/>
        </w:rPr>
        <w:t>5, replace</w:t>
      </w:r>
      <w:r w:rsidR="00150455" w:rsidRPr="00150455">
        <w:rPr>
          <w:b/>
        </w:rPr>
        <w:t>d</w:t>
      </w:r>
      <w:r w:rsidRPr="00150455">
        <w:rPr>
          <w:b/>
        </w:rPr>
        <w:t>:</w:t>
      </w:r>
    </w:p>
    <w:p w:rsidR="001D79FC" w:rsidRPr="00150455" w:rsidRDefault="001D79FC" w:rsidP="00055659">
      <w:pPr>
        <w:pStyle w:val="BodyText"/>
      </w:pPr>
      <w:r w:rsidRPr="00150455">
        <w:t>“$330 million”</w:t>
      </w:r>
      <w:r w:rsidR="008363D2" w:rsidRPr="00150455">
        <w:t xml:space="preserve"> </w:t>
      </w:r>
      <w:r w:rsidRPr="00150455">
        <w:t>WITH “$30 million annually”</w:t>
      </w:r>
    </w:p>
    <w:p w:rsidR="00507086" w:rsidRPr="00150455" w:rsidRDefault="00507086" w:rsidP="00507086">
      <w:pPr>
        <w:pStyle w:val="Heading2"/>
        <w:rPr>
          <w:sz w:val="44"/>
        </w:rPr>
      </w:pPr>
      <w:r w:rsidRPr="00150455">
        <w:rPr>
          <w:sz w:val="44"/>
        </w:rPr>
        <w:t>Chapter 5 of the main report</w:t>
      </w:r>
    </w:p>
    <w:p w:rsidR="00CC1742" w:rsidRPr="00150455" w:rsidRDefault="00CC1742" w:rsidP="00CC1742">
      <w:pPr>
        <w:pStyle w:val="BodyText"/>
        <w:rPr>
          <w:b/>
        </w:rPr>
      </w:pPr>
      <w:r w:rsidRPr="00150455">
        <w:rPr>
          <w:b/>
        </w:rPr>
        <w:t>Page 155 —</w:t>
      </w:r>
      <w:r w:rsidR="00150455" w:rsidRPr="00150455">
        <w:rPr>
          <w:b/>
        </w:rPr>
        <w:t xml:space="preserve"> </w:t>
      </w:r>
      <w:r w:rsidR="008D0FB0">
        <w:rPr>
          <w:b/>
        </w:rPr>
        <w:t>last</w:t>
      </w:r>
      <w:r w:rsidR="008D0FB0" w:rsidRPr="00150455">
        <w:rPr>
          <w:b/>
        </w:rPr>
        <w:t xml:space="preserve"> paragraph, replaced</w:t>
      </w:r>
      <w:r w:rsidRPr="00150455">
        <w:rPr>
          <w:b/>
        </w:rPr>
        <w:t>:</w:t>
      </w:r>
    </w:p>
    <w:p w:rsidR="00CC1742" w:rsidRPr="00150455" w:rsidRDefault="00CC1742" w:rsidP="00CC1742">
      <w:pPr>
        <w:pStyle w:val="BodyText"/>
        <w:spacing w:before="160" w:line="200" w:lineRule="atLeast"/>
        <w:rPr>
          <w:rFonts w:ascii="Garamond" w:hAnsi="Garamond"/>
          <w:sz w:val="18"/>
          <w:szCs w:val="18"/>
        </w:rPr>
      </w:pPr>
      <w:r w:rsidRPr="00150455">
        <w:t>“Reforms in data alone could well deliver annual benefits of over $5.5 billion dollars. Moreover reforms to intellectual property could deliver an additional $1.9 billion from higher rates of innovation.”</w:t>
      </w:r>
      <w:r w:rsidRPr="00150455">
        <w:rPr>
          <w:rFonts w:ascii="Garamond" w:hAnsi="Garamond"/>
          <w:sz w:val="18"/>
          <w:szCs w:val="18"/>
        </w:rPr>
        <w:t xml:space="preserve"> </w:t>
      </w:r>
    </w:p>
    <w:p w:rsidR="00CC1742" w:rsidRPr="00150455" w:rsidRDefault="00CC1742" w:rsidP="00CC1742">
      <w:pPr>
        <w:pStyle w:val="BodyText"/>
        <w:spacing w:before="160" w:line="200" w:lineRule="atLeast"/>
      </w:pPr>
      <w:r w:rsidRPr="00150455">
        <w:t>WITH</w:t>
      </w:r>
      <w:r w:rsidRPr="00150455">
        <w:rPr>
          <w:rFonts w:ascii="Garamond" w:hAnsi="Garamond"/>
          <w:sz w:val="18"/>
          <w:szCs w:val="18"/>
        </w:rPr>
        <w:t xml:space="preserve"> </w:t>
      </w:r>
      <w:r w:rsidRPr="00150455">
        <w:t>“</w:t>
      </w:r>
      <w:r w:rsidR="00C36A7C" w:rsidRPr="00150455">
        <w:t>Greater availability of public</w:t>
      </w:r>
      <w:r w:rsidR="00666B7D" w:rsidRPr="00150455">
        <w:t xml:space="preserve"> data could deliver annual benefits of over $4 billion. Moreover</w:t>
      </w:r>
      <w:r w:rsidR="00C36A7C" w:rsidRPr="00150455">
        <w:t>,</w:t>
      </w:r>
      <w:r w:rsidR="00666B7D" w:rsidRPr="00150455">
        <w:t xml:space="preserve"> </w:t>
      </w:r>
      <w:r w:rsidR="00C36A7C" w:rsidRPr="00150455">
        <w:t>r</w:t>
      </w:r>
      <w:r w:rsidRPr="00150455">
        <w:t>eforms to intellectual property could deliver significant additional benefits from higher rates of innovation and human capital formation.”</w:t>
      </w:r>
    </w:p>
    <w:p w:rsidR="00507086" w:rsidRPr="00150455" w:rsidRDefault="00666B7D" w:rsidP="00507086">
      <w:pPr>
        <w:pStyle w:val="BodyText"/>
        <w:rPr>
          <w:b/>
        </w:rPr>
      </w:pPr>
      <w:r w:rsidRPr="00150455">
        <w:rPr>
          <w:b/>
        </w:rPr>
        <w:t>Page</w:t>
      </w:r>
      <w:r w:rsidR="00507086" w:rsidRPr="00150455">
        <w:rPr>
          <w:b/>
        </w:rPr>
        <w:t xml:space="preserve"> 15</w:t>
      </w:r>
      <w:r w:rsidR="00CC1742" w:rsidRPr="00150455">
        <w:rPr>
          <w:b/>
        </w:rPr>
        <w:t>6</w:t>
      </w:r>
      <w:r w:rsidR="00507086" w:rsidRPr="00150455">
        <w:rPr>
          <w:b/>
        </w:rPr>
        <w:t xml:space="preserve"> —</w:t>
      </w:r>
      <w:r w:rsidRPr="00150455">
        <w:rPr>
          <w:b/>
        </w:rPr>
        <w:t xml:space="preserve"> </w:t>
      </w:r>
      <w:r w:rsidR="00F34706">
        <w:rPr>
          <w:b/>
        </w:rPr>
        <w:t>first</w:t>
      </w:r>
      <w:r w:rsidR="00F34706" w:rsidRPr="00150455">
        <w:rPr>
          <w:b/>
        </w:rPr>
        <w:t xml:space="preserve"> paragraph, </w:t>
      </w:r>
      <w:r w:rsidR="00507086" w:rsidRPr="00150455">
        <w:rPr>
          <w:b/>
        </w:rPr>
        <w:t>replace</w:t>
      </w:r>
      <w:r w:rsidR="00150455" w:rsidRPr="00150455">
        <w:rPr>
          <w:b/>
        </w:rPr>
        <w:t>d</w:t>
      </w:r>
      <w:r w:rsidR="00E361A5">
        <w:rPr>
          <w:b/>
        </w:rPr>
        <w:t>:</w:t>
      </w:r>
    </w:p>
    <w:p w:rsidR="00507086" w:rsidRPr="00150455" w:rsidRDefault="00507086" w:rsidP="00FE76E1">
      <w:pPr>
        <w:pStyle w:val="BodyText"/>
      </w:pPr>
      <w:r w:rsidRPr="00150455">
        <w:t>“</w:t>
      </w:r>
      <w:r w:rsidR="00FC158D" w:rsidRPr="00150455">
        <w:t xml:space="preserve">… </w:t>
      </w:r>
      <w:r w:rsidR="00FE76E1" w:rsidRPr="00150455">
        <w:t>identified by the Commission would, in addition to improved consumer wellbeing, deliver an annual boost to GDP of over $3 billion, and at least this again with reforms to government procurement and industry assistance.</w:t>
      </w:r>
      <w:r w:rsidRPr="00150455">
        <w:t xml:space="preserve">” </w:t>
      </w:r>
    </w:p>
    <w:p w:rsidR="00507086" w:rsidRPr="00150455" w:rsidRDefault="00507086" w:rsidP="00507086">
      <w:pPr>
        <w:pStyle w:val="BodyText"/>
      </w:pPr>
      <w:r w:rsidRPr="00150455">
        <w:t>WITH “</w:t>
      </w:r>
      <w:r w:rsidR="00FC158D" w:rsidRPr="00150455">
        <w:t xml:space="preserve">… </w:t>
      </w:r>
      <w:r w:rsidR="00AE6017" w:rsidRPr="00150455">
        <w:t>identified by the Commission would likely deliver benefits of over $3 billion annually, with further gains from reforms whose benefits are less easily enumerated</w:t>
      </w:r>
      <w:r w:rsidR="008B678A" w:rsidRPr="00150455">
        <w:t>.</w:t>
      </w:r>
      <w:r w:rsidRPr="00150455">
        <w:t>”</w:t>
      </w:r>
    </w:p>
    <w:p w:rsidR="00666B7D" w:rsidRPr="00150455" w:rsidRDefault="00666B7D" w:rsidP="00507086">
      <w:pPr>
        <w:pStyle w:val="BodyText"/>
        <w:rPr>
          <w:b/>
        </w:rPr>
      </w:pPr>
      <w:r w:rsidRPr="00150455">
        <w:rPr>
          <w:b/>
        </w:rPr>
        <w:t xml:space="preserve">Page 156 — </w:t>
      </w:r>
      <w:r w:rsidR="002B0CE2">
        <w:rPr>
          <w:b/>
        </w:rPr>
        <w:t xml:space="preserve">quote, </w:t>
      </w:r>
      <w:r w:rsidR="00150455" w:rsidRPr="00150455">
        <w:rPr>
          <w:b/>
        </w:rPr>
        <w:t>replaced</w:t>
      </w:r>
      <w:r w:rsidRPr="00150455">
        <w:rPr>
          <w:b/>
        </w:rPr>
        <w:t>:</w:t>
      </w:r>
    </w:p>
    <w:p w:rsidR="00666B7D" w:rsidRPr="00150455" w:rsidRDefault="00C36A7C" w:rsidP="00507086">
      <w:pPr>
        <w:pStyle w:val="BodyText"/>
      </w:pPr>
      <w:r w:rsidRPr="00150455">
        <w:t>“</w:t>
      </w:r>
      <w:r w:rsidR="00666B7D" w:rsidRPr="00150455">
        <w:t>Reforms in data could deliver annual benefits of over $5.5 billion</w:t>
      </w:r>
      <w:r w:rsidRPr="00150455">
        <w:t>”</w:t>
      </w:r>
    </w:p>
    <w:p w:rsidR="00C36A7C" w:rsidRPr="00150455" w:rsidRDefault="00C36A7C" w:rsidP="00507086">
      <w:pPr>
        <w:pStyle w:val="BodyText"/>
      </w:pPr>
      <w:r w:rsidRPr="00150455">
        <w:t>WITH “Greater availability of public data could deliver annual benefits of over $4 billion”</w:t>
      </w:r>
    </w:p>
    <w:p w:rsidR="00987ACD" w:rsidRDefault="00987ACD">
      <w:pPr>
        <w:rPr>
          <w:b/>
          <w:szCs w:val="20"/>
        </w:rPr>
      </w:pPr>
      <w:r>
        <w:rPr>
          <w:b/>
        </w:rPr>
        <w:br w:type="page"/>
      </w:r>
    </w:p>
    <w:p w:rsidR="00507086" w:rsidRPr="00150455" w:rsidRDefault="00507086" w:rsidP="00507086">
      <w:pPr>
        <w:pStyle w:val="BodyText"/>
        <w:rPr>
          <w:b/>
        </w:rPr>
      </w:pPr>
      <w:r w:rsidRPr="00150455">
        <w:rPr>
          <w:b/>
        </w:rPr>
        <w:lastRenderedPageBreak/>
        <w:t xml:space="preserve">Page 166 </w:t>
      </w:r>
      <w:r w:rsidR="00150455" w:rsidRPr="00150455">
        <w:rPr>
          <w:b/>
        </w:rPr>
        <w:t xml:space="preserve">— </w:t>
      </w:r>
      <w:r w:rsidR="00CF2651">
        <w:rPr>
          <w:b/>
        </w:rPr>
        <w:t xml:space="preserve">last paragraph, </w:t>
      </w:r>
      <w:r w:rsidRPr="00150455">
        <w:rPr>
          <w:b/>
        </w:rPr>
        <w:t>replace</w:t>
      </w:r>
      <w:r w:rsidR="00150455" w:rsidRPr="00150455">
        <w:rPr>
          <w:b/>
        </w:rPr>
        <w:t>d</w:t>
      </w:r>
      <w:r w:rsidRPr="00150455">
        <w:rPr>
          <w:b/>
        </w:rPr>
        <w:t>:</w:t>
      </w:r>
    </w:p>
    <w:p w:rsidR="00507086" w:rsidRPr="00150455" w:rsidRDefault="00507086" w:rsidP="00507086">
      <w:pPr>
        <w:pStyle w:val="BodyText"/>
      </w:pPr>
      <w:r w:rsidRPr="00150455">
        <w:t>“If these reforms can release even 5 per cent of the potential value of public sector data they are worth over $4 billion to the Australian economy.”</w:t>
      </w:r>
    </w:p>
    <w:p w:rsidR="00507086" w:rsidRPr="00150455" w:rsidRDefault="00507086" w:rsidP="00507086">
      <w:pPr>
        <w:pStyle w:val="BodyText"/>
      </w:pPr>
      <w:r w:rsidRPr="00150455">
        <w:t>WITH “Some speculative assessments suggest that improvements in the availability of public data could generate value of over $4 billion annua</w:t>
      </w:r>
      <w:r w:rsidR="001E243D" w:rsidRPr="00150455">
        <w:t>lly (Lateral Economics 2014, p. </w:t>
      </w:r>
      <w:r w:rsidRPr="00150455">
        <w:t>28).</w:t>
      </w:r>
    </w:p>
    <w:p w:rsidR="00507086" w:rsidRPr="00150455" w:rsidRDefault="00507086" w:rsidP="00507086">
      <w:pPr>
        <w:pStyle w:val="BodyText"/>
        <w:rPr>
          <w:b/>
        </w:rPr>
      </w:pPr>
      <w:r w:rsidRPr="00150455">
        <w:rPr>
          <w:b/>
        </w:rPr>
        <w:t xml:space="preserve">Page 168 — </w:t>
      </w:r>
      <w:r w:rsidR="00D87895">
        <w:rPr>
          <w:b/>
        </w:rPr>
        <w:t>second</w:t>
      </w:r>
      <w:r w:rsidRPr="00150455">
        <w:rPr>
          <w:b/>
        </w:rPr>
        <w:t xml:space="preserve"> paragraph, </w:t>
      </w:r>
      <w:r w:rsidR="00D87895">
        <w:rPr>
          <w:b/>
        </w:rPr>
        <w:t>replaced:</w:t>
      </w:r>
    </w:p>
    <w:p w:rsidR="00507086" w:rsidRPr="00150455" w:rsidRDefault="00507086" w:rsidP="00507086">
      <w:pPr>
        <w:pStyle w:val="BodyText"/>
      </w:pPr>
      <w:r w:rsidRPr="00150455">
        <w:t>“</w:t>
      </w:r>
      <w:r w:rsidR="00FC158D" w:rsidRPr="00150455">
        <w:t xml:space="preserve">… </w:t>
      </w:r>
      <w:r w:rsidRPr="00150455">
        <w:t>recommended in the IP Inquiry would have on  productivity, but even shift</w:t>
      </w:r>
      <w:r w:rsidR="00FC158D" w:rsidRPr="00150455">
        <w:t xml:space="preserve">ing the dial by 0.1 percentage </w:t>
      </w:r>
      <w:r w:rsidR="008B678A" w:rsidRPr="00150455">
        <w:t xml:space="preserve">point in </w:t>
      </w:r>
      <w:r w:rsidRPr="00150455">
        <w:t>multifactor productivity is worth almost $1.9 billon to the Australian economy (appendix B).”</w:t>
      </w:r>
    </w:p>
    <w:p w:rsidR="00507086" w:rsidRPr="00150455" w:rsidRDefault="00507086" w:rsidP="00507086">
      <w:pPr>
        <w:pStyle w:val="BodyText"/>
      </w:pPr>
      <w:r w:rsidRPr="00150455">
        <w:t xml:space="preserve">WITH </w:t>
      </w:r>
      <w:r w:rsidR="00FC158D" w:rsidRPr="00150455">
        <w:t>“… recommended in the IP Inquiry would have</w:t>
      </w:r>
      <w:r w:rsidR="002D785A" w:rsidRPr="00150455">
        <w:t xml:space="preserve"> on productivity</w:t>
      </w:r>
      <w:r w:rsidRPr="00150455">
        <w:t xml:space="preserve">. Some </w:t>
      </w:r>
      <w:r w:rsidR="00FC158D" w:rsidRPr="00150455">
        <w:t xml:space="preserve">benefits </w:t>
      </w:r>
      <w:r w:rsidRPr="00150455">
        <w:t>simply comprise lower costs in the IP system, but much bigger gains will arise from greater innovation and diffusion (appendix B).”</w:t>
      </w:r>
    </w:p>
    <w:p w:rsidR="007E6D0F" w:rsidRPr="00150455" w:rsidRDefault="007E6D0F" w:rsidP="007E6D0F">
      <w:pPr>
        <w:pStyle w:val="Heading2"/>
        <w:rPr>
          <w:sz w:val="44"/>
        </w:rPr>
      </w:pPr>
      <w:r w:rsidRPr="00150455">
        <w:rPr>
          <w:sz w:val="44"/>
        </w:rPr>
        <w:t>References in the main report</w:t>
      </w:r>
    </w:p>
    <w:p w:rsidR="0085192C" w:rsidRPr="00150455" w:rsidRDefault="00150455" w:rsidP="0085192C">
      <w:pPr>
        <w:pStyle w:val="BodyText"/>
        <w:rPr>
          <w:b/>
        </w:rPr>
      </w:pPr>
      <w:r w:rsidRPr="00150455">
        <w:rPr>
          <w:b/>
        </w:rPr>
        <w:t>Included</w:t>
      </w:r>
      <w:r w:rsidR="0085192C" w:rsidRPr="00150455">
        <w:rPr>
          <w:b/>
        </w:rPr>
        <w:t>:</w:t>
      </w:r>
    </w:p>
    <w:p w:rsidR="0085192C" w:rsidRPr="00150455" w:rsidRDefault="0085192C" w:rsidP="0085192C">
      <w:pPr>
        <w:pStyle w:val="BodyText"/>
      </w:pPr>
      <w:r w:rsidRPr="00150455">
        <w:t xml:space="preserve">Cao, L., Hosking, A., Kouparitsas, M., Mullaly, D., Rimmer, X., Shi, Q., Stark, W. nd Wende, S. 2015, </w:t>
      </w:r>
      <w:r w:rsidRPr="00150455">
        <w:rPr>
          <w:i/>
        </w:rPr>
        <w:t>Understanding the Economy</w:t>
      </w:r>
      <w:r w:rsidRPr="00150455">
        <w:rPr>
          <w:i/>
        </w:rPr>
        <w:noBreakHyphen/>
        <w:t>wide Efficiency and Incidence of Major Australian Taxes</w:t>
      </w:r>
      <w:r w:rsidRPr="00150455">
        <w:t>, Treasury Working Paper, 2015</w:t>
      </w:r>
      <w:r w:rsidRPr="00150455">
        <w:noBreakHyphen/>
        <w:t>1, April.</w:t>
      </w:r>
    </w:p>
    <w:p w:rsidR="001E243D" w:rsidRPr="00150455" w:rsidRDefault="001E243D" w:rsidP="001E243D">
      <w:pPr>
        <w:pStyle w:val="BodyText"/>
      </w:pPr>
      <w:r w:rsidRPr="00150455">
        <w:t xml:space="preserve">Lateral Economics 2014, </w:t>
      </w:r>
      <w:r w:rsidRPr="00150455">
        <w:rPr>
          <w:i/>
        </w:rPr>
        <w:t>Open for Business: How Open Data Can Help Achieve the G20 Growth Target</w:t>
      </w:r>
      <w:r w:rsidRPr="00150455">
        <w:t>, A Lateral Economics report commissioned by Omidyar Network, June.</w:t>
      </w:r>
    </w:p>
    <w:p w:rsidR="007E6D0F" w:rsidRPr="00150455" w:rsidRDefault="0085192C" w:rsidP="00507086">
      <w:pPr>
        <w:pStyle w:val="BodyText"/>
        <w:rPr>
          <w:b/>
        </w:rPr>
      </w:pPr>
      <w:r w:rsidRPr="00150455">
        <w:rPr>
          <w:b/>
        </w:rPr>
        <w:t xml:space="preserve">Page 252 </w:t>
      </w:r>
      <w:r w:rsidR="00150455" w:rsidRPr="00150455">
        <w:rPr>
          <w:b/>
        </w:rPr>
        <w:t>— r</w:t>
      </w:r>
      <w:r w:rsidRPr="00150455">
        <w:rPr>
          <w:b/>
        </w:rPr>
        <w:t>eplace</w:t>
      </w:r>
      <w:r w:rsidR="00150455" w:rsidRPr="00150455">
        <w:rPr>
          <w:b/>
        </w:rPr>
        <w:t>d</w:t>
      </w:r>
      <w:r w:rsidRPr="00150455">
        <w:rPr>
          <w:b/>
        </w:rPr>
        <w:t>:</w:t>
      </w:r>
    </w:p>
    <w:p w:rsidR="0085192C" w:rsidRPr="00150455" w:rsidRDefault="0085192C" w:rsidP="0085192C">
      <w:pPr>
        <w:pStyle w:val="BodyText"/>
      </w:pPr>
      <w:r w:rsidRPr="00150455">
        <w:t>“RSM Australia 2017, Financial Analysis of Pharmacy Renumeration and Regualtion, …”</w:t>
      </w:r>
    </w:p>
    <w:p w:rsidR="0085192C" w:rsidRPr="00150455" w:rsidRDefault="0085192C" w:rsidP="0085192C">
      <w:pPr>
        <w:pStyle w:val="BodyText"/>
        <w:rPr>
          <w:spacing w:val="2"/>
        </w:rPr>
      </w:pPr>
      <w:r w:rsidRPr="00150455">
        <w:t>WITH “</w:t>
      </w:r>
      <w:r w:rsidRPr="00150455">
        <w:rPr>
          <w:spacing w:val="2"/>
        </w:rPr>
        <w:t>RSM Australia 2017, Financial Analysis of Pharmacy Remuneration and Regulation …”</w:t>
      </w:r>
    </w:p>
    <w:p w:rsidR="00C2183C" w:rsidRPr="00150455" w:rsidRDefault="00C2183C" w:rsidP="00C2183C">
      <w:pPr>
        <w:pStyle w:val="Heading2"/>
        <w:rPr>
          <w:sz w:val="44"/>
        </w:rPr>
      </w:pPr>
      <w:r w:rsidRPr="00150455">
        <w:rPr>
          <w:sz w:val="44"/>
        </w:rPr>
        <w:t>Supporting Paper 4</w:t>
      </w:r>
    </w:p>
    <w:p w:rsidR="00C2183C" w:rsidRPr="00D87895" w:rsidRDefault="00C2183C" w:rsidP="00055659">
      <w:pPr>
        <w:pStyle w:val="BodyText"/>
        <w:rPr>
          <w:b/>
        </w:rPr>
      </w:pPr>
      <w:r w:rsidRPr="00D87895">
        <w:rPr>
          <w:b/>
        </w:rPr>
        <w:t xml:space="preserve">Page </w:t>
      </w:r>
      <w:r w:rsidR="00A93FC3">
        <w:rPr>
          <w:b/>
        </w:rPr>
        <w:t>3</w:t>
      </w:r>
      <w:r w:rsidRPr="00D87895">
        <w:rPr>
          <w:b/>
        </w:rPr>
        <w:t xml:space="preserve"> </w:t>
      </w:r>
      <w:r w:rsidR="00150455" w:rsidRPr="00150455">
        <w:rPr>
          <w:b/>
        </w:rPr>
        <w:t xml:space="preserve">— </w:t>
      </w:r>
      <w:r w:rsidR="00A93FC3">
        <w:rPr>
          <w:b/>
        </w:rPr>
        <w:t xml:space="preserve">second </w:t>
      </w:r>
      <w:r w:rsidR="008014E6" w:rsidRPr="00D87895">
        <w:rPr>
          <w:b/>
        </w:rPr>
        <w:t>row</w:t>
      </w:r>
      <w:r w:rsidR="00A93FC3">
        <w:rPr>
          <w:b/>
        </w:rPr>
        <w:t>, column</w:t>
      </w:r>
      <w:r w:rsidR="008014E6" w:rsidRPr="00D87895">
        <w:rPr>
          <w:b/>
        </w:rPr>
        <w:t xml:space="preserve"> </w:t>
      </w:r>
      <w:r w:rsidR="004C459F">
        <w:rPr>
          <w:b/>
        </w:rPr>
        <w:t>3</w:t>
      </w:r>
      <w:r w:rsidR="008014E6" w:rsidRPr="00D87895">
        <w:rPr>
          <w:b/>
        </w:rPr>
        <w:t xml:space="preserve">, </w:t>
      </w:r>
      <w:r w:rsidRPr="00D87895">
        <w:rPr>
          <w:b/>
        </w:rPr>
        <w:t>table 1</w:t>
      </w:r>
      <w:r w:rsidR="008014E6" w:rsidRPr="00D87895">
        <w:rPr>
          <w:b/>
        </w:rPr>
        <w:t xml:space="preserve">, </w:t>
      </w:r>
      <w:r w:rsidR="00150455" w:rsidRPr="00D87895">
        <w:rPr>
          <w:b/>
        </w:rPr>
        <w:t>replaced</w:t>
      </w:r>
      <w:r w:rsidRPr="00D87895">
        <w:rPr>
          <w:b/>
        </w:rPr>
        <w:t>:</w:t>
      </w:r>
    </w:p>
    <w:p w:rsidR="008014E6" w:rsidRPr="00150455" w:rsidRDefault="00C2183C" w:rsidP="00055659">
      <w:pPr>
        <w:pStyle w:val="BodyText"/>
      </w:pPr>
      <w:r w:rsidRPr="00150455">
        <w:t xml:space="preserve">“Highest </w:t>
      </w:r>
      <w:r w:rsidR="008014E6" w:rsidRPr="00150455">
        <w:t xml:space="preserve">among </w:t>
      </w:r>
      <w:r w:rsidR="00A93FC3">
        <w:t xml:space="preserve">35 </w:t>
      </w:r>
      <w:r w:rsidR="008014E6" w:rsidRPr="00150455">
        <w:t>OECD countries”</w:t>
      </w:r>
      <w:r w:rsidR="008363D2" w:rsidRPr="00150455">
        <w:t xml:space="preserve"> </w:t>
      </w:r>
      <w:r w:rsidR="008014E6" w:rsidRPr="00150455">
        <w:t>WITH</w:t>
      </w:r>
      <w:r w:rsidR="00150455" w:rsidRPr="00150455">
        <w:t>:</w:t>
      </w:r>
      <w:r w:rsidR="008014E6" w:rsidRPr="00150455">
        <w:t xml:space="preserve"> “</w:t>
      </w:r>
      <w:r w:rsidR="00E44EE6">
        <w:t>14t</w:t>
      </w:r>
      <w:r w:rsidR="00D87895">
        <w:t>h</w:t>
      </w:r>
      <w:r w:rsidR="008014E6" w:rsidRPr="00150455">
        <w:t xml:space="preserve"> highest among</w:t>
      </w:r>
      <w:r w:rsidR="00A93FC3">
        <w:t xml:space="preserve"> 35</w:t>
      </w:r>
      <w:r w:rsidR="008014E6" w:rsidRPr="00150455">
        <w:t xml:space="preserve"> OECD countries”</w:t>
      </w:r>
    </w:p>
    <w:p w:rsidR="001D79FC" w:rsidRPr="00150455" w:rsidRDefault="00CB7534" w:rsidP="008E13D3">
      <w:pPr>
        <w:pStyle w:val="Heading2"/>
        <w:rPr>
          <w:sz w:val="44"/>
        </w:rPr>
      </w:pPr>
      <w:r w:rsidRPr="00150455">
        <w:rPr>
          <w:sz w:val="44"/>
        </w:rPr>
        <w:lastRenderedPageBreak/>
        <w:t>Supporting Paper 13</w:t>
      </w:r>
    </w:p>
    <w:p w:rsidR="008E13D3" w:rsidRPr="00150455" w:rsidRDefault="008E13D3" w:rsidP="008E13D3">
      <w:pPr>
        <w:pStyle w:val="BodyText"/>
        <w:rPr>
          <w:b/>
        </w:rPr>
      </w:pPr>
      <w:r w:rsidRPr="00150455">
        <w:rPr>
          <w:b/>
        </w:rPr>
        <w:t xml:space="preserve">Page 35 </w:t>
      </w:r>
      <w:r w:rsidR="00150455" w:rsidRPr="00150455">
        <w:rPr>
          <w:b/>
        </w:rPr>
        <w:t>—</w:t>
      </w:r>
      <w:r w:rsidRPr="00150455">
        <w:rPr>
          <w:b/>
        </w:rPr>
        <w:t xml:space="preserve"> </w:t>
      </w:r>
      <w:r w:rsidR="00712CF1" w:rsidRPr="00150455">
        <w:rPr>
          <w:b/>
        </w:rPr>
        <w:t>delete</w:t>
      </w:r>
      <w:r w:rsidR="00150455" w:rsidRPr="00150455">
        <w:rPr>
          <w:b/>
        </w:rPr>
        <w:t>d</w:t>
      </w:r>
      <w:r w:rsidR="00952CA1">
        <w:rPr>
          <w:b/>
        </w:rPr>
        <w:t xml:space="preserve"> (in third</w:t>
      </w:r>
      <w:r w:rsidR="00952CA1" w:rsidRPr="00150455">
        <w:rPr>
          <w:b/>
        </w:rPr>
        <w:t xml:space="preserve"> </w:t>
      </w:r>
      <w:r w:rsidR="00952CA1">
        <w:rPr>
          <w:b/>
        </w:rPr>
        <w:t>paragraph)</w:t>
      </w:r>
      <w:r w:rsidRPr="00150455">
        <w:rPr>
          <w:b/>
        </w:rPr>
        <w:t>:</w:t>
      </w:r>
    </w:p>
    <w:p w:rsidR="008E13D3" w:rsidRPr="00150455" w:rsidRDefault="008E13D3" w:rsidP="008E13D3">
      <w:pPr>
        <w:pStyle w:val="BodyText"/>
      </w:pPr>
      <w:r w:rsidRPr="00150455">
        <w:t>“The lower estimate still puts the potential annual value of public sector data provision at about $85 billion.”</w:t>
      </w:r>
    </w:p>
    <w:p w:rsidR="008E13D3" w:rsidRPr="00150455" w:rsidRDefault="008E13D3" w:rsidP="00BB6927">
      <w:pPr>
        <w:pStyle w:val="BodyText"/>
        <w:rPr>
          <w:b/>
        </w:rPr>
      </w:pPr>
      <w:r w:rsidRPr="00150455">
        <w:rPr>
          <w:b/>
        </w:rPr>
        <w:t>Page 3</w:t>
      </w:r>
      <w:r w:rsidR="008E547B">
        <w:rPr>
          <w:b/>
        </w:rPr>
        <w:t>7</w:t>
      </w:r>
      <w:r w:rsidRPr="00150455">
        <w:rPr>
          <w:b/>
        </w:rPr>
        <w:t xml:space="preserve"> — </w:t>
      </w:r>
      <w:r w:rsidR="008E547B">
        <w:rPr>
          <w:b/>
        </w:rPr>
        <w:t>first</w:t>
      </w:r>
      <w:r w:rsidRPr="00150455">
        <w:rPr>
          <w:b/>
        </w:rPr>
        <w:t xml:space="preserve"> </w:t>
      </w:r>
      <w:r w:rsidR="00D87895">
        <w:rPr>
          <w:b/>
        </w:rPr>
        <w:t>paragraph,</w:t>
      </w:r>
      <w:r w:rsidRPr="00150455">
        <w:rPr>
          <w:b/>
        </w:rPr>
        <w:t xml:space="preserve"> replace</w:t>
      </w:r>
      <w:r w:rsidR="00150455" w:rsidRPr="00150455">
        <w:rPr>
          <w:b/>
        </w:rPr>
        <w:t>d</w:t>
      </w:r>
      <w:r w:rsidRPr="00150455">
        <w:rPr>
          <w:b/>
        </w:rPr>
        <w:t>:</w:t>
      </w:r>
    </w:p>
    <w:p w:rsidR="008E13D3" w:rsidRPr="00150455" w:rsidRDefault="008E13D3" w:rsidP="008E13D3">
      <w:pPr>
        <w:pStyle w:val="BodyText"/>
      </w:pPr>
      <w:r w:rsidRPr="00150455">
        <w:t>“If these reforms … the  Australian economy”</w:t>
      </w:r>
    </w:p>
    <w:p w:rsidR="008E13D3" w:rsidRPr="00150455" w:rsidRDefault="008E13D3" w:rsidP="008E13D3">
      <w:pPr>
        <w:pStyle w:val="BodyText"/>
      </w:pPr>
      <w:r w:rsidRPr="00150455">
        <w:t xml:space="preserve">WITH “Estimates of the </w:t>
      </w:r>
      <w:r w:rsidRPr="00150455">
        <w:rPr>
          <w:i/>
        </w:rPr>
        <w:t>incremental</w:t>
      </w:r>
      <w:r w:rsidRPr="00150455">
        <w:t xml:space="preserve"> value of greater access to public data are highly speculative and assumption</w:t>
      </w:r>
      <w:r w:rsidRPr="00150455">
        <w:noBreakHyphen/>
        <w:t>based, but Lateral Economics (2014) estimates gains of 0.27 per cent of Australia’s cumulative GDP over 5 years or over $4 billion annually.”</w:t>
      </w:r>
    </w:p>
    <w:p w:rsidR="002D50B0" w:rsidRPr="00150455" w:rsidRDefault="00F07216" w:rsidP="002D50B0">
      <w:pPr>
        <w:pStyle w:val="BodyText"/>
        <w:rPr>
          <w:b/>
        </w:rPr>
      </w:pPr>
      <w:r w:rsidRPr="00150455">
        <w:rPr>
          <w:b/>
        </w:rPr>
        <w:t xml:space="preserve">Page 38 </w:t>
      </w:r>
      <w:r w:rsidR="00150455" w:rsidRPr="00150455">
        <w:rPr>
          <w:b/>
        </w:rPr>
        <w:t xml:space="preserve">— </w:t>
      </w:r>
      <w:r w:rsidR="005D4F47">
        <w:rPr>
          <w:b/>
        </w:rPr>
        <w:t xml:space="preserve">first paragraph, </w:t>
      </w:r>
      <w:r w:rsidRPr="00150455">
        <w:rPr>
          <w:b/>
        </w:rPr>
        <w:t>replace</w:t>
      </w:r>
      <w:r w:rsidR="00150455" w:rsidRPr="00150455">
        <w:rPr>
          <w:b/>
        </w:rPr>
        <w:t>d</w:t>
      </w:r>
      <w:r w:rsidRPr="00150455">
        <w:rPr>
          <w:b/>
        </w:rPr>
        <w:t>:</w:t>
      </w:r>
    </w:p>
    <w:p w:rsidR="00F07216" w:rsidRPr="00150455" w:rsidRDefault="00F07216" w:rsidP="002D50B0">
      <w:pPr>
        <w:pStyle w:val="BodyText"/>
      </w:pPr>
      <w:r w:rsidRPr="00150455">
        <w:t>“It is hard to estimate the impacts on productivity of the Commission’s IP Inquiry’s recommendations, but even shifting the dial by 0.1 percentage point in multifactor productivity is worth almost $1.9 billon to the Australian economy (after taking account of general equilibrium flow on effects).”</w:t>
      </w:r>
    </w:p>
    <w:p w:rsidR="000C67B6" w:rsidRPr="00150455" w:rsidRDefault="00F07216" w:rsidP="00055659">
      <w:pPr>
        <w:pStyle w:val="BodyText"/>
      </w:pPr>
      <w:r w:rsidRPr="00150455">
        <w:rPr>
          <w:szCs w:val="24"/>
        </w:rPr>
        <w:t>WITH</w:t>
      </w:r>
      <w:r w:rsidRPr="00150455">
        <w:rPr>
          <w:sz w:val="23"/>
          <w:szCs w:val="23"/>
        </w:rPr>
        <w:t xml:space="preserve"> </w:t>
      </w:r>
      <w:r w:rsidRPr="00150455">
        <w:t xml:space="preserve">“It is hard to estimate the benefits of the Commission’s IP Inquiry’s recommendations. Some reforms would lower costs in the IP system, but much bigger gains would arise from greater innovation and diffusion. </w:t>
      </w:r>
      <w:r w:rsidR="00FC158D" w:rsidRPr="00150455">
        <w:t>Even were IP reform to increase MFP by just 0.01 percentage point this would raise annual GDP by $190 million (after taking account of general equilibrium flow on effects). The output gains from IP reform may exceed this.”</w:t>
      </w:r>
    </w:p>
    <w:p w:rsidR="001D79FC" w:rsidRPr="00150455" w:rsidRDefault="00467E0E" w:rsidP="00055659">
      <w:pPr>
        <w:pStyle w:val="BodyText"/>
        <w:rPr>
          <w:b/>
        </w:rPr>
      </w:pPr>
      <w:r w:rsidRPr="00150455">
        <w:rPr>
          <w:b/>
        </w:rPr>
        <w:t xml:space="preserve">Page 47 </w:t>
      </w:r>
      <w:r w:rsidR="00150455" w:rsidRPr="00150455">
        <w:rPr>
          <w:b/>
        </w:rPr>
        <w:t>— i</w:t>
      </w:r>
      <w:r w:rsidRPr="00150455">
        <w:rPr>
          <w:b/>
        </w:rPr>
        <w:t>nclude</w:t>
      </w:r>
      <w:r w:rsidR="00150455" w:rsidRPr="00150455">
        <w:rPr>
          <w:b/>
        </w:rPr>
        <w:t>d</w:t>
      </w:r>
      <w:r w:rsidR="00075A95">
        <w:rPr>
          <w:b/>
        </w:rPr>
        <w:t xml:space="preserve"> in references</w:t>
      </w:r>
      <w:r w:rsidRPr="00150455">
        <w:rPr>
          <w:b/>
        </w:rPr>
        <w:t>:</w:t>
      </w:r>
    </w:p>
    <w:p w:rsidR="00D434A0" w:rsidRPr="00150455" w:rsidRDefault="00467E0E" w:rsidP="00120072">
      <w:pPr>
        <w:pStyle w:val="BodyText"/>
      </w:pPr>
      <w:r w:rsidRPr="00150455">
        <w:t xml:space="preserve">Lateral Economics 2014, </w:t>
      </w:r>
      <w:r w:rsidRPr="00150455">
        <w:rPr>
          <w:i/>
        </w:rPr>
        <w:t>Open for Business: How Open Data Can Help Achieve the G20 Growth Target</w:t>
      </w:r>
      <w:r w:rsidRPr="00150455">
        <w:t>, A Lateral Economics report commissioned by Omidyar Network, June.</w:t>
      </w:r>
    </w:p>
    <w:sectPr w:rsidR="00D434A0" w:rsidRPr="00150455" w:rsidSect="008A57F3">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0C" w:rsidRDefault="00C97B0C">
      <w:r>
        <w:separator/>
      </w:r>
    </w:p>
  </w:endnote>
  <w:endnote w:type="continuationSeparator" w:id="0">
    <w:p w:rsidR="00C97B0C" w:rsidRDefault="00C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67DA">
            <w:rPr>
              <w:rStyle w:val="PageNumber"/>
              <w:caps w:val="0"/>
              <w:noProof/>
            </w:rPr>
            <w:t>6</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784AE9">
            <w:rPr>
              <w:rFonts w:cs="Arial"/>
            </w:rPr>
            <w:t>Revisions to Shifting the Dial</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784AE9">
            <w:rPr>
              <w:rFonts w:cs="Arial"/>
            </w:rPr>
            <w:t>Revisions to Shifting the Dial</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67DA">
            <w:rPr>
              <w:rStyle w:val="PageNumber"/>
              <w:caps w:val="0"/>
              <w:noProof/>
            </w:rPr>
            <w:t>1</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0C" w:rsidRDefault="00C97B0C">
      <w:r>
        <w:separator/>
      </w:r>
    </w:p>
  </w:footnote>
  <w:footnote w:type="continuationSeparator" w:id="0">
    <w:p w:rsidR="00C97B0C" w:rsidRDefault="00C9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Revisions to Shifting the Dial"/>
    <w:docVar w:name="ShortReportTitle" w:val="Revisions to Shifting the Dial"/>
  </w:docVars>
  <w:rsids>
    <w:rsidRoot w:val="00C97B0C"/>
    <w:rsid w:val="0000220E"/>
    <w:rsid w:val="000227D5"/>
    <w:rsid w:val="000245AA"/>
    <w:rsid w:val="0003664B"/>
    <w:rsid w:val="0004111F"/>
    <w:rsid w:val="00043204"/>
    <w:rsid w:val="00055077"/>
    <w:rsid w:val="00055659"/>
    <w:rsid w:val="000565B3"/>
    <w:rsid w:val="0006288B"/>
    <w:rsid w:val="0006716F"/>
    <w:rsid w:val="0007150B"/>
    <w:rsid w:val="00075A95"/>
    <w:rsid w:val="000938F5"/>
    <w:rsid w:val="00095663"/>
    <w:rsid w:val="00096E55"/>
    <w:rsid w:val="0009783E"/>
    <w:rsid w:val="000B1022"/>
    <w:rsid w:val="000B601B"/>
    <w:rsid w:val="000C207E"/>
    <w:rsid w:val="000C67B6"/>
    <w:rsid w:val="000D41E9"/>
    <w:rsid w:val="000D6FD6"/>
    <w:rsid w:val="000F0035"/>
    <w:rsid w:val="000F04E7"/>
    <w:rsid w:val="000F060A"/>
    <w:rsid w:val="000F420B"/>
    <w:rsid w:val="000F539C"/>
    <w:rsid w:val="00110116"/>
    <w:rsid w:val="00120072"/>
    <w:rsid w:val="00126EB8"/>
    <w:rsid w:val="001274D4"/>
    <w:rsid w:val="001363AA"/>
    <w:rsid w:val="0013739A"/>
    <w:rsid w:val="00142165"/>
    <w:rsid w:val="00150455"/>
    <w:rsid w:val="001537FC"/>
    <w:rsid w:val="00154A40"/>
    <w:rsid w:val="00162434"/>
    <w:rsid w:val="00164F8E"/>
    <w:rsid w:val="00181007"/>
    <w:rsid w:val="00183E82"/>
    <w:rsid w:val="001878BB"/>
    <w:rsid w:val="00191AE0"/>
    <w:rsid w:val="0019293B"/>
    <w:rsid w:val="0019426B"/>
    <w:rsid w:val="001A6A4B"/>
    <w:rsid w:val="001B4064"/>
    <w:rsid w:val="001C0865"/>
    <w:rsid w:val="001C0AED"/>
    <w:rsid w:val="001C3ABA"/>
    <w:rsid w:val="001C5111"/>
    <w:rsid w:val="001D15B5"/>
    <w:rsid w:val="001D41E1"/>
    <w:rsid w:val="001D79FC"/>
    <w:rsid w:val="001E243D"/>
    <w:rsid w:val="001E411C"/>
    <w:rsid w:val="001E7BE8"/>
    <w:rsid w:val="001F0248"/>
    <w:rsid w:val="001F3EB3"/>
    <w:rsid w:val="001F4F86"/>
    <w:rsid w:val="00202C2C"/>
    <w:rsid w:val="00203050"/>
    <w:rsid w:val="002135AB"/>
    <w:rsid w:val="002144BE"/>
    <w:rsid w:val="00217424"/>
    <w:rsid w:val="00224936"/>
    <w:rsid w:val="002320B8"/>
    <w:rsid w:val="00242279"/>
    <w:rsid w:val="00243997"/>
    <w:rsid w:val="0024516C"/>
    <w:rsid w:val="00245C82"/>
    <w:rsid w:val="00260924"/>
    <w:rsid w:val="002724BA"/>
    <w:rsid w:val="00291B40"/>
    <w:rsid w:val="00294AAF"/>
    <w:rsid w:val="002A03DA"/>
    <w:rsid w:val="002A1554"/>
    <w:rsid w:val="002B0CE2"/>
    <w:rsid w:val="002B4008"/>
    <w:rsid w:val="002C439F"/>
    <w:rsid w:val="002C5A8C"/>
    <w:rsid w:val="002C6BBC"/>
    <w:rsid w:val="002D0C42"/>
    <w:rsid w:val="002D0E8E"/>
    <w:rsid w:val="002D50B0"/>
    <w:rsid w:val="002D6C09"/>
    <w:rsid w:val="002D785A"/>
    <w:rsid w:val="00301189"/>
    <w:rsid w:val="00301E4A"/>
    <w:rsid w:val="003168B8"/>
    <w:rsid w:val="00322D64"/>
    <w:rsid w:val="00323E09"/>
    <w:rsid w:val="00333932"/>
    <w:rsid w:val="00340143"/>
    <w:rsid w:val="00340647"/>
    <w:rsid w:val="003518AA"/>
    <w:rsid w:val="00352165"/>
    <w:rsid w:val="00353182"/>
    <w:rsid w:val="003565D9"/>
    <w:rsid w:val="003602E1"/>
    <w:rsid w:val="00361E20"/>
    <w:rsid w:val="0037026F"/>
    <w:rsid w:val="00371240"/>
    <w:rsid w:val="00374731"/>
    <w:rsid w:val="00376E59"/>
    <w:rsid w:val="00377EC1"/>
    <w:rsid w:val="00380340"/>
    <w:rsid w:val="00381617"/>
    <w:rsid w:val="003919F9"/>
    <w:rsid w:val="003920CF"/>
    <w:rsid w:val="0039591E"/>
    <w:rsid w:val="003B23C2"/>
    <w:rsid w:val="003C38B5"/>
    <w:rsid w:val="003C444E"/>
    <w:rsid w:val="003C5D99"/>
    <w:rsid w:val="003D1087"/>
    <w:rsid w:val="003E0C4C"/>
    <w:rsid w:val="003E2F59"/>
    <w:rsid w:val="003E746B"/>
    <w:rsid w:val="003E7714"/>
    <w:rsid w:val="003F0789"/>
    <w:rsid w:val="003F2541"/>
    <w:rsid w:val="003F2698"/>
    <w:rsid w:val="00401882"/>
    <w:rsid w:val="004100C8"/>
    <w:rsid w:val="00411DBD"/>
    <w:rsid w:val="00412ACE"/>
    <w:rsid w:val="004145D2"/>
    <w:rsid w:val="00425128"/>
    <w:rsid w:val="00426CB4"/>
    <w:rsid w:val="00431249"/>
    <w:rsid w:val="00434C19"/>
    <w:rsid w:val="00450810"/>
    <w:rsid w:val="00460F20"/>
    <w:rsid w:val="00462C59"/>
    <w:rsid w:val="00467987"/>
    <w:rsid w:val="00467E0E"/>
    <w:rsid w:val="00470737"/>
    <w:rsid w:val="00475AF6"/>
    <w:rsid w:val="004765C2"/>
    <w:rsid w:val="00477144"/>
    <w:rsid w:val="00485ABF"/>
    <w:rsid w:val="00491380"/>
    <w:rsid w:val="004931EC"/>
    <w:rsid w:val="0049459F"/>
    <w:rsid w:val="004A38DD"/>
    <w:rsid w:val="004B43AE"/>
    <w:rsid w:val="004C30ED"/>
    <w:rsid w:val="004C459F"/>
    <w:rsid w:val="004D0AEF"/>
    <w:rsid w:val="004D5675"/>
    <w:rsid w:val="004D60BB"/>
    <w:rsid w:val="00507086"/>
    <w:rsid w:val="0051306E"/>
    <w:rsid w:val="0051520E"/>
    <w:rsid w:val="00517795"/>
    <w:rsid w:val="00523639"/>
    <w:rsid w:val="005259B6"/>
    <w:rsid w:val="00531E44"/>
    <w:rsid w:val="00531FE5"/>
    <w:rsid w:val="005402FA"/>
    <w:rsid w:val="00541E1A"/>
    <w:rsid w:val="005729BD"/>
    <w:rsid w:val="00573437"/>
    <w:rsid w:val="00573BE3"/>
    <w:rsid w:val="00580154"/>
    <w:rsid w:val="00582F75"/>
    <w:rsid w:val="00583C39"/>
    <w:rsid w:val="00585C69"/>
    <w:rsid w:val="00586A90"/>
    <w:rsid w:val="00587F28"/>
    <w:rsid w:val="005909CF"/>
    <w:rsid w:val="00591E71"/>
    <w:rsid w:val="005A0D41"/>
    <w:rsid w:val="005B7371"/>
    <w:rsid w:val="005C4109"/>
    <w:rsid w:val="005D329F"/>
    <w:rsid w:val="005D4F47"/>
    <w:rsid w:val="005E2C80"/>
    <w:rsid w:val="005F48ED"/>
    <w:rsid w:val="00606E78"/>
    <w:rsid w:val="00607BF1"/>
    <w:rsid w:val="00630D4D"/>
    <w:rsid w:val="006323D5"/>
    <w:rsid w:val="00632A74"/>
    <w:rsid w:val="00654D42"/>
    <w:rsid w:val="00664844"/>
    <w:rsid w:val="00666B7D"/>
    <w:rsid w:val="00666E02"/>
    <w:rsid w:val="00682A09"/>
    <w:rsid w:val="00695731"/>
    <w:rsid w:val="006A4655"/>
    <w:rsid w:val="006B2B3C"/>
    <w:rsid w:val="006B75F9"/>
    <w:rsid w:val="006C167F"/>
    <w:rsid w:val="006C1D81"/>
    <w:rsid w:val="006C3551"/>
    <w:rsid w:val="006C7038"/>
    <w:rsid w:val="006E73EF"/>
    <w:rsid w:val="007056A4"/>
    <w:rsid w:val="007079C9"/>
    <w:rsid w:val="00712CF1"/>
    <w:rsid w:val="00714D4D"/>
    <w:rsid w:val="007266D3"/>
    <w:rsid w:val="00732029"/>
    <w:rsid w:val="00746AB7"/>
    <w:rsid w:val="007503B6"/>
    <w:rsid w:val="007604BB"/>
    <w:rsid w:val="00772909"/>
    <w:rsid w:val="007801F8"/>
    <w:rsid w:val="007840F3"/>
    <w:rsid w:val="00784AE9"/>
    <w:rsid w:val="00785232"/>
    <w:rsid w:val="007870BD"/>
    <w:rsid w:val="0079701E"/>
    <w:rsid w:val="007A21EB"/>
    <w:rsid w:val="007B1A93"/>
    <w:rsid w:val="007C36C9"/>
    <w:rsid w:val="007D4ACB"/>
    <w:rsid w:val="007D6401"/>
    <w:rsid w:val="007E01E4"/>
    <w:rsid w:val="007E1C47"/>
    <w:rsid w:val="007E6D0F"/>
    <w:rsid w:val="007E7A12"/>
    <w:rsid w:val="007F0FCF"/>
    <w:rsid w:val="007F7107"/>
    <w:rsid w:val="00800D4C"/>
    <w:rsid w:val="008014E6"/>
    <w:rsid w:val="0081030F"/>
    <w:rsid w:val="00812F4A"/>
    <w:rsid w:val="0082087D"/>
    <w:rsid w:val="00835771"/>
    <w:rsid w:val="00835D25"/>
    <w:rsid w:val="008363D2"/>
    <w:rsid w:val="00842933"/>
    <w:rsid w:val="0084548D"/>
    <w:rsid w:val="00850DF9"/>
    <w:rsid w:val="0085192C"/>
    <w:rsid w:val="0086082C"/>
    <w:rsid w:val="008649D5"/>
    <w:rsid w:val="00864ADC"/>
    <w:rsid w:val="00875B4A"/>
    <w:rsid w:val="00880153"/>
    <w:rsid w:val="00880F97"/>
    <w:rsid w:val="0088133A"/>
    <w:rsid w:val="00886A47"/>
    <w:rsid w:val="0089285E"/>
    <w:rsid w:val="0089436C"/>
    <w:rsid w:val="008A57F3"/>
    <w:rsid w:val="008B678A"/>
    <w:rsid w:val="008B6E44"/>
    <w:rsid w:val="008C7DDD"/>
    <w:rsid w:val="008D0FB0"/>
    <w:rsid w:val="008D365C"/>
    <w:rsid w:val="008D7622"/>
    <w:rsid w:val="008E13D3"/>
    <w:rsid w:val="008E412B"/>
    <w:rsid w:val="008E547B"/>
    <w:rsid w:val="009021A6"/>
    <w:rsid w:val="009030BF"/>
    <w:rsid w:val="00903B52"/>
    <w:rsid w:val="0091032F"/>
    <w:rsid w:val="00914368"/>
    <w:rsid w:val="00931076"/>
    <w:rsid w:val="009345D9"/>
    <w:rsid w:val="00934B15"/>
    <w:rsid w:val="00940C87"/>
    <w:rsid w:val="00942B62"/>
    <w:rsid w:val="00952CA1"/>
    <w:rsid w:val="0095323B"/>
    <w:rsid w:val="00956A0C"/>
    <w:rsid w:val="00956BD9"/>
    <w:rsid w:val="00962489"/>
    <w:rsid w:val="00967CD3"/>
    <w:rsid w:val="009770A0"/>
    <w:rsid w:val="00987ACD"/>
    <w:rsid w:val="00990C2C"/>
    <w:rsid w:val="009A5171"/>
    <w:rsid w:val="009C536A"/>
    <w:rsid w:val="009D10A8"/>
    <w:rsid w:val="009D4C2F"/>
    <w:rsid w:val="009E1844"/>
    <w:rsid w:val="009E6198"/>
    <w:rsid w:val="009F0D1B"/>
    <w:rsid w:val="009F53DD"/>
    <w:rsid w:val="009F5BBD"/>
    <w:rsid w:val="009F696D"/>
    <w:rsid w:val="009F6BC6"/>
    <w:rsid w:val="009F74EF"/>
    <w:rsid w:val="00A02826"/>
    <w:rsid w:val="00A15D5A"/>
    <w:rsid w:val="00A17328"/>
    <w:rsid w:val="00A2052C"/>
    <w:rsid w:val="00A224A5"/>
    <w:rsid w:val="00A23A20"/>
    <w:rsid w:val="00A24443"/>
    <w:rsid w:val="00A253E2"/>
    <w:rsid w:val="00A268B9"/>
    <w:rsid w:val="00A2703A"/>
    <w:rsid w:val="00A33DFF"/>
    <w:rsid w:val="00A35115"/>
    <w:rsid w:val="00A36D9A"/>
    <w:rsid w:val="00A451DC"/>
    <w:rsid w:val="00A47047"/>
    <w:rsid w:val="00A554AB"/>
    <w:rsid w:val="00A57062"/>
    <w:rsid w:val="00A579CD"/>
    <w:rsid w:val="00A67781"/>
    <w:rsid w:val="00A761F9"/>
    <w:rsid w:val="00A92B53"/>
    <w:rsid w:val="00A93FC3"/>
    <w:rsid w:val="00A94FA6"/>
    <w:rsid w:val="00A96ADC"/>
    <w:rsid w:val="00AA49A0"/>
    <w:rsid w:val="00AA6710"/>
    <w:rsid w:val="00AA67DA"/>
    <w:rsid w:val="00AB0681"/>
    <w:rsid w:val="00AC3A15"/>
    <w:rsid w:val="00AD520B"/>
    <w:rsid w:val="00AE3BCC"/>
    <w:rsid w:val="00AE6017"/>
    <w:rsid w:val="00AF7AFF"/>
    <w:rsid w:val="00B425C3"/>
    <w:rsid w:val="00B4373D"/>
    <w:rsid w:val="00B440AD"/>
    <w:rsid w:val="00B479BB"/>
    <w:rsid w:val="00B53E7E"/>
    <w:rsid w:val="00B606E4"/>
    <w:rsid w:val="00B6342E"/>
    <w:rsid w:val="00B7113F"/>
    <w:rsid w:val="00B831BB"/>
    <w:rsid w:val="00B95D77"/>
    <w:rsid w:val="00BA2BCF"/>
    <w:rsid w:val="00BA5B14"/>
    <w:rsid w:val="00BA62C1"/>
    <w:rsid w:val="00BA73B6"/>
    <w:rsid w:val="00BA7E27"/>
    <w:rsid w:val="00BB2603"/>
    <w:rsid w:val="00BB4FCD"/>
    <w:rsid w:val="00BB6927"/>
    <w:rsid w:val="00BC04E9"/>
    <w:rsid w:val="00BD13EA"/>
    <w:rsid w:val="00BD1B4D"/>
    <w:rsid w:val="00BE3808"/>
    <w:rsid w:val="00C03B88"/>
    <w:rsid w:val="00C062E9"/>
    <w:rsid w:val="00C069AA"/>
    <w:rsid w:val="00C07B64"/>
    <w:rsid w:val="00C13721"/>
    <w:rsid w:val="00C14FE4"/>
    <w:rsid w:val="00C2183C"/>
    <w:rsid w:val="00C3066D"/>
    <w:rsid w:val="00C33335"/>
    <w:rsid w:val="00C36A7C"/>
    <w:rsid w:val="00C41224"/>
    <w:rsid w:val="00C45570"/>
    <w:rsid w:val="00C52416"/>
    <w:rsid w:val="00C543F4"/>
    <w:rsid w:val="00C6291C"/>
    <w:rsid w:val="00C633CB"/>
    <w:rsid w:val="00C664CD"/>
    <w:rsid w:val="00C67C0E"/>
    <w:rsid w:val="00C736B7"/>
    <w:rsid w:val="00C81D4A"/>
    <w:rsid w:val="00C8762C"/>
    <w:rsid w:val="00C97B0C"/>
    <w:rsid w:val="00CA00F9"/>
    <w:rsid w:val="00CA2961"/>
    <w:rsid w:val="00CB50D7"/>
    <w:rsid w:val="00CB7177"/>
    <w:rsid w:val="00CB7534"/>
    <w:rsid w:val="00CB7CED"/>
    <w:rsid w:val="00CC070F"/>
    <w:rsid w:val="00CC1742"/>
    <w:rsid w:val="00CC1998"/>
    <w:rsid w:val="00CC4946"/>
    <w:rsid w:val="00CC64A1"/>
    <w:rsid w:val="00CC79FE"/>
    <w:rsid w:val="00CF1089"/>
    <w:rsid w:val="00CF2651"/>
    <w:rsid w:val="00CF3B11"/>
    <w:rsid w:val="00CF47F6"/>
    <w:rsid w:val="00CF7330"/>
    <w:rsid w:val="00D270A4"/>
    <w:rsid w:val="00D31FE9"/>
    <w:rsid w:val="00D34E1B"/>
    <w:rsid w:val="00D376BA"/>
    <w:rsid w:val="00D434A0"/>
    <w:rsid w:val="00D45634"/>
    <w:rsid w:val="00D51AD2"/>
    <w:rsid w:val="00D5568A"/>
    <w:rsid w:val="00D63D73"/>
    <w:rsid w:val="00D64452"/>
    <w:rsid w:val="00D66E1E"/>
    <w:rsid w:val="00D70696"/>
    <w:rsid w:val="00D75722"/>
    <w:rsid w:val="00D76B4A"/>
    <w:rsid w:val="00D80CF5"/>
    <w:rsid w:val="00D87895"/>
    <w:rsid w:val="00DA5BBA"/>
    <w:rsid w:val="00DB26D2"/>
    <w:rsid w:val="00DB67C9"/>
    <w:rsid w:val="00DC0C95"/>
    <w:rsid w:val="00DC4F0B"/>
    <w:rsid w:val="00DD6580"/>
    <w:rsid w:val="00E01D7F"/>
    <w:rsid w:val="00E03588"/>
    <w:rsid w:val="00E04446"/>
    <w:rsid w:val="00E05C03"/>
    <w:rsid w:val="00E15127"/>
    <w:rsid w:val="00E17C72"/>
    <w:rsid w:val="00E21FC6"/>
    <w:rsid w:val="00E361A5"/>
    <w:rsid w:val="00E365DF"/>
    <w:rsid w:val="00E41DE9"/>
    <w:rsid w:val="00E431A9"/>
    <w:rsid w:val="00E44EE6"/>
    <w:rsid w:val="00E47E1E"/>
    <w:rsid w:val="00E669E2"/>
    <w:rsid w:val="00E675F3"/>
    <w:rsid w:val="00E76135"/>
    <w:rsid w:val="00E77356"/>
    <w:rsid w:val="00E801F5"/>
    <w:rsid w:val="00E81F4D"/>
    <w:rsid w:val="00E82F4F"/>
    <w:rsid w:val="00E864DF"/>
    <w:rsid w:val="00EA5291"/>
    <w:rsid w:val="00EB2CC3"/>
    <w:rsid w:val="00EC2844"/>
    <w:rsid w:val="00EC5500"/>
    <w:rsid w:val="00ED18F8"/>
    <w:rsid w:val="00ED5D1E"/>
    <w:rsid w:val="00EE6438"/>
    <w:rsid w:val="00EE6EDA"/>
    <w:rsid w:val="00EE778E"/>
    <w:rsid w:val="00EF6719"/>
    <w:rsid w:val="00EF6C6C"/>
    <w:rsid w:val="00F056FC"/>
    <w:rsid w:val="00F0632F"/>
    <w:rsid w:val="00F069AE"/>
    <w:rsid w:val="00F07216"/>
    <w:rsid w:val="00F10476"/>
    <w:rsid w:val="00F135D8"/>
    <w:rsid w:val="00F31299"/>
    <w:rsid w:val="00F34706"/>
    <w:rsid w:val="00F3534A"/>
    <w:rsid w:val="00F35BFB"/>
    <w:rsid w:val="00F36ACC"/>
    <w:rsid w:val="00F51609"/>
    <w:rsid w:val="00F55C25"/>
    <w:rsid w:val="00F73727"/>
    <w:rsid w:val="00F766A7"/>
    <w:rsid w:val="00F81006"/>
    <w:rsid w:val="00F85325"/>
    <w:rsid w:val="00FA375B"/>
    <w:rsid w:val="00FB75B5"/>
    <w:rsid w:val="00FC158D"/>
    <w:rsid w:val="00FD1DD1"/>
    <w:rsid w:val="00FD22B1"/>
    <w:rsid w:val="00FD33F1"/>
    <w:rsid w:val="00FD3566"/>
    <w:rsid w:val="00FE3C71"/>
    <w:rsid w:val="00FE5397"/>
    <w:rsid w:val="00FE69F2"/>
    <w:rsid w:val="00FE7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A81D2FC-F8AC-45E0-84BF-DDFCB2D4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014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99C4-1B53-4A3C-8126-D4E687CB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87</TotalTime>
  <Pages>6</Pages>
  <Words>1624</Words>
  <Characters>8752</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Revisions to Shifting the Dial</vt:lpstr>
    </vt:vector>
  </TitlesOfParts>
  <Company>Productivity Commission</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Shifting the Dial</dc:title>
  <dc:subject>Revisions to Shifting the Dial</dc:subject>
  <dc:creator>Productivity Commission</dc:creator>
  <cp:keywords/>
  <dc:description>1.</dc:description>
  <cp:lastModifiedBy>Pimperl, Mark</cp:lastModifiedBy>
  <cp:revision>37</cp:revision>
  <cp:lastPrinted>2019-05-10T07:20:00Z</cp:lastPrinted>
  <dcterms:created xsi:type="dcterms:W3CDTF">2019-06-11T03:28:00Z</dcterms:created>
  <dcterms:modified xsi:type="dcterms:W3CDTF">2020-01-21T04:06:00Z</dcterms:modified>
</cp:coreProperties>
</file>