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0A6CAD" w14:textId="4F5A3562" w:rsidR="00490AE1" w:rsidRPr="00AD661E" w:rsidRDefault="00B634FC" w:rsidP="00490AE1">
      <w:pPr>
        <w:pStyle w:val="BodyText"/>
        <w:rPr>
          <w:color w:val="FFFFFF" w:themeColor="background1"/>
          <w:sz w:val="16"/>
          <w:szCs w:val="16"/>
        </w:rPr>
      </w:pPr>
      <w:bookmarkStart w:id="0" w:name="_Toc489008884"/>
      <w:bookmarkStart w:id="1" w:name="ChapterNumber"/>
      <w:r w:rsidRPr="00AD661E">
        <w:rPr>
          <w:noProof/>
        </w:rPr>
        <w:drawing>
          <wp:anchor distT="0" distB="0" distL="114300" distR="114300" simplePos="0" relativeHeight="251658240" behindDoc="0" locked="0" layoutInCell="1" allowOverlap="1" wp14:anchorId="1D0A7178" wp14:editId="4F52DC5C">
            <wp:simplePos x="0" y="0"/>
            <wp:positionH relativeFrom="page">
              <wp:posOffset>31531</wp:posOffset>
            </wp:positionH>
            <wp:positionV relativeFrom="page">
              <wp:posOffset>15767</wp:posOffset>
            </wp:positionV>
            <wp:extent cx="7558767" cy="10691998"/>
            <wp:effectExtent l="0" t="0" r="444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prod-review-supporting-papers.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58767" cy="10691998"/>
                    </a:xfrm>
                    <a:prstGeom prst="rect">
                      <a:avLst/>
                    </a:prstGeom>
                  </pic:spPr>
                </pic:pic>
              </a:graphicData>
            </a:graphic>
            <wp14:sizeRelH relativeFrom="margin">
              <wp14:pctWidth>0</wp14:pctWidth>
            </wp14:sizeRelH>
            <wp14:sizeRelV relativeFrom="margin">
              <wp14:pctHeight>0</wp14:pctHeight>
            </wp14:sizeRelV>
          </wp:anchor>
        </w:drawing>
      </w:r>
      <w:bookmarkEnd w:id="0"/>
      <w:r w:rsidR="00490AE1" w:rsidRPr="00AD661E">
        <w:rPr>
          <w:color w:val="FFFFFF" w:themeColor="background1"/>
          <w:sz w:val="16"/>
          <w:szCs w:val="16"/>
        </w:rPr>
        <w:t xml:space="preserve"> </w:t>
      </w:r>
    </w:p>
    <w:p w14:paraId="1D0A6CAE" w14:textId="0D3C60A6" w:rsidR="00B634FC" w:rsidRDefault="00B634FC" w:rsidP="00B634FC">
      <w:pPr>
        <w:pStyle w:val="BodyText"/>
        <w:rPr>
          <w:rFonts w:ascii="Arial" w:hAnsi="Arial"/>
          <w:sz w:val="22"/>
          <w:szCs w:val="26"/>
        </w:rPr>
      </w:pPr>
      <w:proofErr w:type="spellStart"/>
      <w:r w:rsidRPr="00AD661E">
        <w:rPr>
          <w:color w:val="FFFFFF" w:themeColor="background1"/>
          <w:sz w:val="16"/>
          <w:szCs w:val="16"/>
        </w:rPr>
        <w:t>anberra</w:t>
      </w:r>
      <w:proofErr w:type="spellEnd"/>
      <w:r w:rsidRPr="00AD661E">
        <w:rPr>
          <w:color w:val="FFFFFF" w:themeColor="background1"/>
          <w:sz w:val="16"/>
          <w:szCs w:val="16"/>
        </w:rPr>
        <w:t>,</w:t>
      </w:r>
      <w:r w:rsidRPr="006D4BB6">
        <w:rPr>
          <w:color w:val="FFFFFF" w:themeColor="background1"/>
        </w:rPr>
        <w:t xml:space="preserve"> August 2017</w:t>
      </w:r>
      <w:r>
        <w:br w:type="page"/>
      </w:r>
    </w:p>
    <w:p w14:paraId="1D0A6CAF" w14:textId="77777777" w:rsidR="00B634FC" w:rsidRDefault="00B634FC" w:rsidP="00B634FC">
      <w:pPr>
        <w:pStyle w:val="Copyrightsubtitle"/>
        <w:spacing w:before="0"/>
      </w:pPr>
      <w:r w:rsidRPr="008C305F">
        <w:lastRenderedPageBreak/>
        <w:fldChar w:fldCharType="begin"/>
      </w:r>
      <w:r w:rsidRPr="008C305F">
        <w:instrText>SYMBOL 227 \f "Symbol"</w:instrText>
      </w:r>
      <w:r w:rsidRPr="008C305F">
        <w:fldChar w:fldCharType="end"/>
      </w:r>
      <w:r w:rsidRPr="008C305F">
        <w:t xml:space="preserve"> Commonwealth of Australia </w:t>
      </w:r>
      <w:r>
        <w:t>2017</w:t>
      </w:r>
    </w:p>
    <w:p w14:paraId="1D0A6CB0" w14:textId="77777777" w:rsidR="00B634FC" w:rsidRPr="007809B8" w:rsidRDefault="00B634FC" w:rsidP="00B634FC">
      <w:pPr>
        <w:pStyle w:val="BodyText"/>
        <w:tabs>
          <w:tab w:val="left" w:pos="851"/>
        </w:tabs>
        <w:spacing w:before="80" w:after="80"/>
        <w:jc w:val="left"/>
        <w:rPr>
          <w:b/>
        </w:rPr>
      </w:pPr>
      <w:bookmarkStart w:id="2" w:name="ISSN"/>
      <w:bookmarkEnd w:id="2"/>
      <w:r>
        <w:rPr>
          <w:b/>
        </w:rPr>
        <w:t>ISBN</w:t>
      </w:r>
      <w:r>
        <w:rPr>
          <w:b/>
        </w:rPr>
        <w:tab/>
      </w:r>
      <w:r w:rsidRPr="005D442A">
        <w:rPr>
          <w:b/>
        </w:rPr>
        <w:t>978-1-74037-624-2</w:t>
      </w:r>
      <w:r>
        <w:rPr>
          <w:b/>
        </w:rPr>
        <w:t xml:space="preserve"> (PDF)</w:t>
      </w:r>
    </w:p>
    <w:p w14:paraId="1D0A6CB1" w14:textId="77777777" w:rsidR="00B634FC" w:rsidRDefault="00B634FC" w:rsidP="00B634FC">
      <w:pPr>
        <w:pStyle w:val="BodyText"/>
        <w:spacing w:before="120" w:after="120"/>
      </w:pPr>
      <w:r w:rsidRPr="00862D8F">
        <w:rPr>
          <w:noProof/>
          <w:sz w:val="22"/>
          <w:szCs w:val="22"/>
        </w:rPr>
        <w:drawing>
          <wp:inline distT="0" distB="0" distL="0" distR="0" wp14:anchorId="1D0A717A" wp14:editId="1D0A717B">
            <wp:extent cx="843280" cy="295043"/>
            <wp:effectExtent l="0" t="0" r="0" b="0"/>
            <wp:docPr id="16" name="Picture 16"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14:paraId="1D0A6CB2" w14:textId="77777777" w:rsidR="00B634FC" w:rsidRPr="008A3857" w:rsidRDefault="00B634FC" w:rsidP="00B634FC">
      <w:pPr>
        <w:pStyle w:val="Copyrightbodytext"/>
      </w:pPr>
      <w:r w:rsidRPr="008A3857">
        <w:t xml:space="preserve">Except for the Commonwealth Coat of Arms and content supplied by third parties, this copyright work is licensed under a Creative Commons Attribution 3.0 Australia licence. To view a copy of this licence, visit </w:t>
      </w:r>
      <w:r w:rsidRPr="00805FD7">
        <w:t>http://</w:t>
      </w:r>
      <w:proofErr w:type="spellStart"/>
      <w:r w:rsidRPr="00805FD7">
        <w:t>creativecommons.org</w:t>
      </w:r>
      <w:proofErr w:type="spellEnd"/>
      <w:r w:rsidRPr="00805FD7">
        <w:t>/licenses/by/3.0/au</w:t>
      </w:r>
      <w:r w:rsidRPr="008A3857">
        <w:rPr>
          <w:szCs w:val="24"/>
        </w:rPr>
        <w:t>.</w:t>
      </w:r>
      <w:r w:rsidRPr="008A3857">
        <w:t xml:space="preserve"> In essence, you are free to copy, communicate and adapt the work, as long as you attribute the work to the Productivity Commission (but not in any way that suggests the Commission endorses you or your use) and abide by the other licence terms.</w:t>
      </w:r>
    </w:p>
    <w:p w14:paraId="1D0A6CB3" w14:textId="77777777" w:rsidR="00B634FC" w:rsidRPr="008A3857" w:rsidRDefault="00B634FC" w:rsidP="00B634FC">
      <w:pPr>
        <w:pStyle w:val="Copyrightsubtitle"/>
        <w:spacing w:before="160"/>
      </w:pPr>
      <w:r w:rsidRPr="008A3857">
        <w:t>Use of the Commonwealth Coat of Arms</w:t>
      </w:r>
    </w:p>
    <w:p w14:paraId="1D0A6CB4" w14:textId="77777777" w:rsidR="00B634FC" w:rsidRPr="008A3857" w:rsidRDefault="00B634FC" w:rsidP="00B634FC">
      <w:pPr>
        <w:pStyle w:val="Copyrightbodytext"/>
      </w:pPr>
      <w:r w:rsidRPr="008A3857">
        <w:t>For terms of use of the Coat of Arms visit the ‘</w:t>
      </w:r>
      <w:r w:rsidRPr="00805FD7">
        <w:t>It’s an Honour</w:t>
      </w:r>
      <w:r w:rsidRPr="008A3857">
        <w:t>’ website</w:t>
      </w:r>
      <w:r w:rsidRPr="00BA0B81">
        <w:t xml:space="preserve">: </w:t>
      </w:r>
      <w:r w:rsidRPr="00805FD7">
        <w:t>http://</w:t>
      </w:r>
      <w:proofErr w:type="spellStart"/>
      <w:r w:rsidRPr="00805FD7">
        <w:t>www.itsanhonour.gov.au</w:t>
      </w:r>
      <w:proofErr w:type="spellEnd"/>
    </w:p>
    <w:p w14:paraId="1D0A6CB5" w14:textId="77777777" w:rsidR="00B634FC" w:rsidRPr="008A3857" w:rsidRDefault="00B634FC" w:rsidP="00B634FC">
      <w:pPr>
        <w:pStyle w:val="Copyrightsubtitle"/>
        <w:spacing w:before="160"/>
      </w:pPr>
      <w:r w:rsidRPr="008A3857">
        <w:t>Third party copyright</w:t>
      </w:r>
    </w:p>
    <w:p w14:paraId="1D0A6CB6" w14:textId="77777777" w:rsidR="00B634FC" w:rsidRPr="008A3857" w:rsidRDefault="00B634FC" w:rsidP="00B634FC">
      <w:pPr>
        <w:pStyle w:val="Copyrightbodytext"/>
      </w:pPr>
      <w:r w:rsidRPr="008A3857">
        <w:t>Wherever a third party holds copyright in this material, the copyright remains with that party. Their permission may be required to use the material, please contact them directly.</w:t>
      </w:r>
    </w:p>
    <w:p w14:paraId="1D0A6CB7" w14:textId="77777777" w:rsidR="00B634FC" w:rsidRPr="008A3857" w:rsidRDefault="00B634FC" w:rsidP="00B634FC">
      <w:pPr>
        <w:pStyle w:val="Copyrightsubtitle"/>
        <w:spacing w:before="160"/>
      </w:pPr>
      <w:r w:rsidRPr="008A3857">
        <w:t>Attribution</w:t>
      </w:r>
    </w:p>
    <w:p w14:paraId="1D0A6CB8" w14:textId="3C2A20AF" w:rsidR="00B634FC" w:rsidRPr="008A3857" w:rsidRDefault="00B634FC" w:rsidP="00B634FC">
      <w:pPr>
        <w:pStyle w:val="Copyrightbodytext"/>
      </w:pPr>
      <w:r w:rsidRPr="008A3857">
        <w:t xml:space="preserve">This work should be attributed as follows, </w:t>
      </w:r>
      <w:r>
        <w:rPr>
          <w:i/>
        </w:rPr>
        <w:t>So</w:t>
      </w:r>
      <w:r w:rsidR="002B00D9">
        <w:rPr>
          <w:i/>
        </w:rPr>
        <w:t xml:space="preserve">urce: Productivity Commission, </w:t>
      </w:r>
      <w:r w:rsidRPr="00BA62B2">
        <w:rPr>
          <w:i/>
        </w:rPr>
        <w:t>Productivity and Income — The Australian Story</w:t>
      </w:r>
      <w:r>
        <w:rPr>
          <w:i/>
        </w:rPr>
        <w:t>, Shifting the Dial: 5 year Productivity Review</w:t>
      </w:r>
      <w:r w:rsidR="002B00D9">
        <w:rPr>
          <w:i/>
        </w:rPr>
        <w:t>,</w:t>
      </w:r>
      <w:r>
        <w:t xml:space="preserve"> </w:t>
      </w:r>
      <w:r>
        <w:rPr>
          <w:i/>
        </w:rPr>
        <w:t>Supporting Paper No. 1.</w:t>
      </w:r>
    </w:p>
    <w:p w14:paraId="1D0A6CB9" w14:textId="1FD8293B" w:rsidR="00B634FC" w:rsidRPr="008A3857" w:rsidRDefault="00B634FC" w:rsidP="00B634FC">
      <w:pPr>
        <w:pStyle w:val="Copyrightbodytext"/>
      </w:pPr>
      <w:r w:rsidRPr="008A3857">
        <w:t xml:space="preserve">If you have adapted, modified or transformed this work in anyway, please use the following, </w:t>
      </w:r>
      <w:r w:rsidRPr="008E242D">
        <w:rPr>
          <w:i/>
        </w:rPr>
        <w:t>Source: based on Productivity Commission</w:t>
      </w:r>
      <w:r>
        <w:rPr>
          <w:i/>
        </w:rPr>
        <w:t xml:space="preserve"> data,</w:t>
      </w:r>
      <w:r w:rsidRPr="00FA5F03">
        <w:rPr>
          <w:i/>
        </w:rPr>
        <w:t xml:space="preserve"> </w:t>
      </w:r>
      <w:r w:rsidRPr="00BA62B2">
        <w:rPr>
          <w:i/>
        </w:rPr>
        <w:t>Productivity and Income — The Australian Story</w:t>
      </w:r>
      <w:r>
        <w:rPr>
          <w:i/>
        </w:rPr>
        <w:t>, Shifting the Dial: 5 year Productivity Review</w:t>
      </w:r>
      <w:r w:rsidR="002B00D9">
        <w:rPr>
          <w:i/>
        </w:rPr>
        <w:t>,</w:t>
      </w:r>
      <w:r>
        <w:t xml:space="preserve"> </w:t>
      </w:r>
      <w:r w:rsidR="002B00D9">
        <w:rPr>
          <w:i/>
        </w:rPr>
        <w:t>Supporting Paper No. </w:t>
      </w:r>
      <w:r>
        <w:rPr>
          <w:i/>
        </w:rPr>
        <w:t>1.</w:t>
      </w:r>
    </w:p>
    <w:p w14:paraId="1D0A6CBA" w14:textId="77777777" w:rsidR="00B634FC" w:rsidRPr="008A3857" w:rsidRDefault="00B634FC" w:rsidP="00B634FC">
      <w:pPr>
        <w:pStyle w:val="Copyrightsubtitle"/>
        <w:spacing w:before="160"/>
      </w:pPr>
      <w:r w:rsidRPr="008A3857">
        <w:t xml:space="preserve">An appropriate </w:t>
      </w:r>
      <w:r>
        <w:t>reference</w:t>
      </w:r>
      <w:r w:rsidRPr="008A3857">
        <w:t xml:space="preserve"> for this publication is:</w:t>
      </w:r>
    </w:p>
    <w:p w14:paraId="1D0A6CBB" w14:textId="3DB67FDF" w:rsidR="00B634FC" w:rsidRDefault="00B634FC" w:rsidP="00B634FC">
      <w:pPr>
        <w:pStyle w:val="Copyrightbodytext"/>
        <w:rPr>
          <w:b/>
        </w:rPr>
      </w:pPr>
      <w:bookmarkStart w:id="3" w:name="JEL"/>
      <w:bookmarkEnd w:id="3"/>
      <w:r>
        <w:t xml:space="preserve">Productivity Commission 2017, </w:t>
      </w:r>
      <w:r w:rsidRPr="00BA62B2">
        <w:rPr>
          <w:i/>
        </w:rPr>
        <w:t>Productivity and Income — The Australian Story</w:t>
      </w:r>
      <w:r>
        <w:rPr>
          <w:i/>
        </w:rPr>
        <w:t xml:space="preserve">, </w:t>
      </w:r>
      <w:r>
        <w:t xml:space="preserve">Shifting the Dial: 5 year </w:t>
      </w:r>
      <w:r w:rsidRPr="00713D24">
        <w:t>Productivity Review</w:t>
      </w:r>
      <w:r w:rsidR="002B00D9">
        <w:t xml:space="preserve">, </w:t>
      </w:r>
      <w:r w:rsidRPr="00713D24">
        <w:t xml:space="preserve">Supporting Paper No. </w:t>
      </w:r>
      <w:r>
        <w:t>1</w:t>
      </w:r>
      <w:r w:rsidRPr="00713D24">
        <w:t>, Canberra.</w:t>
      </w:r>
    </w:p>
    <w:p w14:paraId="1D0A6CBC" w14:textId="77777777" w:rsidR="00B634FC" w:rsidRPr="008A3857" w:rsidRDefault="00B634FC" w:rsidP="00B634FC">
      <w:pPr>
        <w:pStyle w:val="Copyrightsubtitle"/>
        <w:spacing w:before="160"/>
      </w:pPr>
      <w:r w:rsidRPr="008A3857">
        <w:t>Publications enquiries</w:t>
      </w:r>
    </w:p>
    <w:p w14:paraId="1D0A6CBD" w14:textId="77777777" w:rsidR="00B634FC" w:rsidRDefault="00B634FC" w:rsidP="00B634FC">
      <w:pPr>
        <w:pStyle w:val="Copyrightbodytext"/>
      </w:pPr>
      <w:r w:rsidRPr="008A3857">
        <w:t xml:space="preserve">Media and Publications, </w:t>
      </w:r>
      <w:r>
        <w:rPr>
          <w:szCs w:val="24"/>
        </w:rPr>
        <w:t>phone:</w:t>
      </w:r>
      <w:r w:rsidRPr="00BB5DCF">
        <w:rPr>
          <w:szCs w:val="24"/>
        </w:rPr>
        <w:t xml:space="preserve"> (03) 9653 2244 or email: </w:t>
      </w:r>
      <w:proofErr w:type="spellStart"/>
      <w:r w:rsidRPr="00BB5DCF">
        <w:rPr>
          <w:szCs w:val="24"/>
        </w:rPr>
        <w:t>maps@pc.gov.au</w:t>
      </w:r>
      <w:proofErr w:type="spellEnd"/>
    </w:p>
    <w:p w14:paraId="1D0A6CBE" w14:textId="77777777" w:rsidR="00B634FC" w:rsidRDefault="00B634FC" w:rsidP="00B634FC">
      <w:pPr>
        <w:pStyle w:val="BoxSpaceAbove"/>
        <w:spacing w:before="80"/>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B634FC" w14:paraId="1D0A6CC0" w14:textId="77777777" w:rsidTr="00603896">
        <w:tc>
          <w:tcPr>
            <w:tcW w:w="8771" w:type="dxa"/>
            <w:tcBorders>
              <w:top w:val="single" w:sz="6" w:space="0" w:color="78A22F"/>
              <w:left w:val="nil"/>
              <w:bottom w:val="nil"/>
              <w:right w:val="nil"/>
            </w:tcBorders>
            <w:shd w:val="clear" w:color="auto" w:fill="F2F2F2" w:themeFill="background1" w:themeFillShade="F2"/>
          </w:tcPr>
          <w:p w14:paraId="1D0A6CBF" w14:textId="77777777" w:rsidR="00B634FC" w:rsidRPr="008A3857" w:rsidRDefault="00B634FC" w:rsidP="00603896">
            <w:pPr>
              <w:pStyle w:val="BoxTitle"/>
              <w:rPr>
                <w:sz w:val="22"/>
                <w:szCs w:val="22"/>
              </w:rPr>
            </w:pPr>
            <w:r w:rsidRPr="008A3857">
              <w:rPr>
                <w:sz w:val="22"/>
                <w:szCs w:val="22"/>
              </w:rPr>
              <w:t>The Productivity Commission</w:t>
            </w:r>
          </w:p>
        </w:tc>
      </w:tr>
      <w:tr w:rsidR="00B634FC" w14:paraId="1D0A6CC4" w14:textId="77777777" w:rsidTr="00603896">
        <w:tc>
          <w:tcPr>
            <w:tcW w:w="8771" w:type="dxa"/>
            <w:tcBorders>
              <w:top w:val="nil"/>
              <w:left w:val="nil"/>
              <w:bottom w:val="nil"/>
              <w:right w:val="nil"/>
            </w:tcBorders>
            <w:shd w:val="clear" w:color="auto" w:fill="F2F2F2" w:themeFill="background1" w:themeFillShade="F2"/>
          </w:tcPr>
          <w:p w14:paraId="1D0A6CC1" w14:textId="77777777" w:rsidR="00B634FC" w:rsidRDefault="00B634FC" w:rsidP="00603896">
            <w:pPr>
              <w:pStyle w:val="Box"/>
              <w:spacing w:before="60"/>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w:t>
            </w:r>
            <w:r w:rsidR="0017743E">
              <w:noBreakHyphen/>
            </w:r>
            <w:r w:rsidRPr="00BB5DCF">
              <w:t>term interest of the Australian community.</w:t>
            </w:r>
          </w:p>
          <w:p w14:paraId="1D0A6CC2" w14:textId="77777777" w:rsidR="00B634FC" w:rsidRDefault="00B634FC" w:rsidP="00603896">
            <w:pPr>
              <w:pStyle w:val="Box"/>
              <w:spacing w:before="60"/>
            </w:pPr>
            <w:r w:rsidRPr="00BB5DCF">
              <w:t>The Commission’s independence is underpinned by an Act of Parliament. Its processes and outputs are open to public scrutiny and are driven by concern for the wellbeing of the community as a whole.</w:t>
            </w:r>
          </w:p>
          <w:p w14:paraId="1D0A6CC3" w14:textId="77777777" w:rsidR="00B634FC" w:rsidRDefault="00B634FC" w:rsidP="00603896">
            <w:pPr>
              <w:pStyle w:val="Box"/>
              <w:spacing w:before="60"/>
            </w:pPr>
            <w:r w:rsidRPr="00BB5DCF">
              <w:rPr>
                <w:szCs w:val="24"/>
              </w:rPr>
              <w:t>Further information on the Productivity Commission can be obtained from the Commission’s website (</w:t>
            </w:r>
            <w:proofErr w:type="spellStart"/>
            <w:r w:rsidRPr="00805FD7">
              <w:t>www.pc.gov.au</w:t>
            </w:r>
            <w:proofErr w:type="spellEnd"/>
            <w:r w:rsidRPr="00BB5DCF">
              <w:rPr>
                <w:szCs w:val="24"/>
              </w:rPr>
              <w:t>)</w:t>
            </w:r>
            <w:r>
              <w:rPr>
                <w:szCs w:val="24"/>
              </w:rPr>
              <w:t>.</w:t>
            </w:r>
          </w:p>
        </w:tc>
      </w:tr>
      <w:tr w:rsidR="00B634FC" w14:paraId="1D0A6CC6" w14:textId="77777777" w:rsidTr="00603896">
        <w:tc>
          <w:tcPr>
            <w:tcW w:w="8771" w:type="dxa"/>
            <w:tcBorders>
              <w:top w:val="nil"/>
              <w:left w:val="nil"/>
              <w:bottom w:val="single" w:sz="6" w:space="0" w:color="78A22F"/>
              <w:right w:val="nil"/>
            </w:tcBorders>
            <w:shd w:val="clear" w:color="auto" w:fill="F2F2F2" w:themeFill="background1" w:themeFillShade="F2"/>
          </w:tcPr>
          <w:p w14:paraId="1D0A6CC5" w14:textId="77777777" w:rsidR="00B634FC" w:rsidRDefault="00B634FC" w:rsidP="00603896">
            <w:pPr>
              <w:pStyle w:val="Box"/>
              <w:spacing w:before="0" w:line="120" w:lineRule="exact"/>
            </w:pPr>
          </w:p>
        </w:tc>
      </w:tr>
    </w:tbl>
    <w:p w14:paraId="1D0A6CC7" w14:textId="77777777" w:rsidR="00B634FC" w:rsidRDefault="00B634FC" w:rsidP="00B634FC">
      <w:pPr>
        <w:pStyle w:val="BodyText"/>
        <w:sectPr w:rsidR="00B634FC" w:rsidSect="00606E78">
          <w:pgSz w:w="11907" w:h="16840" w:code="9"/>
          <w:pgMar w:top="1985" w:right="1304" w:bottom="1247" w:left="1814" w:header="1701" w:footer="397" w:gutter="0"/>
          <w:pgNumType w:start="1" w:chapSep="period"/>
          <w:cols w:space="720"/>
        </w:sectPr>
      </w:pPr>
      <w:bookmarkStart w:id="4" w:name="cov"/>
      <w:bookmarkEnd w:id="4"/>
    </w:p>
    <w:p w14:paraId="1D0A6CC8" w14:textId="77777777" w:rsidR="00B634FC" w:rsidRDefault="00B634FC" w:rsidP="00B634FC">
      <w:pPr>
        <w:pStyle w:val="Chapter"/>
      </w:pPr>
      <w:bookmarkStart w:id="5" w:name="_Toc489008885"/>
      <w:r>
        <w:lastRenderedPageBreak/>
        <w:t>Cont</w:t>
      </w:r>
      <w:bookmarkStart w:id="6" w:name="_Toc489008886"/>
      <w:bookmarkEnd w:id="5"/>
      <w:r>
        <w:t>ents</w:t>
      </w:r>
      <w:bookmarkEnd w:id="6"/>
    </w:p>
    <w:p w14:paraId="1D0A6CC9" w14:textId="77777777" w:rsidR="00D85C09" w:rsidRDefault="00D85C09" w:rsidP="00D85C09">
      <w:pPr>
        <w:pStyle w:val="TOC1"/>
      </w:pPr>
      <w:r>
        <w:t>Key points</w:t>
      </w:r>
      <w:r>
        <w:tab/>
        <w:t>2</w:t>
      </w:r>
    </w:p>
    <w:p w14:paraId="1D0A6CCA" w14:textId="19324080" w:rsidR="005A3A8F" w:rsidRPr="005A3A8F" w:rsidRDefault="005A3A8F" w:rsidP="00842E3F">
      <w:pPr>
        <w:pStyle w:val="TOC1"/>
        <w:spacing w:before="360"/>
      </w:pPr>
      <w:r>
        <w:t>Productivity and income</w:t>
      </w:r>
      <w:r w:rsidR="00CB38A4">
        <w:t xml:space="preserve">: </w:t>
      </w:r>
      <w:r w:rsidRPr="005A3A8F">
        <w:t>the Australian story</w:t>
      </w:r>
      <w:r>
        <w:tab/>
        <w:t>3</w:t>
      </w:r>
    </w:p>
    <w:p w14:paraId="1D0A6CCB" w14:textId="77777777" w:rsidR="00D85C09" w:rsidRDefault="00D85C09" w:rsidP="005A3A8F">
      <w:pPr>
        <w:pStyle w:val="TOC2"/>
      </w:pPr>
      <w:r>
        <w:t>1</w:t>
      </w:r>
      <w:r>
        <w:tab/>
        <w:t>Background</w:t>
      </w:r>
      <w:r>
        <w:tab/>
        <w:t>3</w:t>
      </w:r>
    </w:p>
    <w:p w14:paraId="1D0A6CCC" w14:textId="77777777" w:rsidR="00D85C09" w:rsidRDefault="00D85C09" w:rsidP="005A3A8F">
      <w:pPr>
        <w:pStyle w:val="TOC2"/>
      </w:pPr>
      <w:r>
        <w:t>2</w:t>
      </w:r>
      <w:r>
        <w:tab/>
        <w:t>Australia’s productivity trends</w:t>
      </w:r>
      <w:r>
        <w:tab/>
        <w:t>4</w:t>
      </w:r>
    </w:p>
    <w:p w14:paraId="1D0A6CCD" w14:textId="438D6395" w:rsidR="00D85C09" w:rsidRDefault="008556F3" w:rsidP="005A3A8F">
      <w:pPr>
        <w:pStyle w:val="TOC2"/>
      </w:pPr>
      <w:r>
        <w:t>3</w:t>
      </w:r>
      <w:r>
        <w:tab/>
        <w:t>E</w:t>
      </w:r>
      <w:r w:rsidR="00D85C09">
        <w:t>xplanations for the productivity slowdown</w:t>
      </w:r>
      <w:r w:rsidR="00D85C09">
        <w:tab/>
        <w:t>29</w:t>
      </w:r>
    </w:p>
    <w:p w14:paraId="1D0A6CCE" w14:textId="77777777" w:rsidR="00D85C09" w:rsidRDefault="00D85C09" w:rsidP="005A3A8F">
      <w:pPr>
        <w:pStyle w:val="TOC2"/>
      </w:pPr>
      <w:r>
        <w:t>4</w:t>
      </w:r>
      <w:r>
        <w:tab/>
        <w:t>Implications of productivity for incomes and wages</w:t>
      </w:r>
      <w:r>
        <w:tab/>
      </w:r>
      <w:r w:rsidR="00AD661E">
        <w:t>39</w:t>
      </w:r>
    </w:p>
    <w:p w14:paraId="1D0A6CCF" w14:textId="4B8D6650" w:rsidR="00D85C09" w:rsidRDefault="00842E3F" w:rsidP="00842E3F">
      <w:pPr>
        <w:pStyle w:val="TOC2"/>
        <w:ind w:left="2268" w:hanging="1758"/>
      </w:pPr>
      <w:r w:rsidRPr="00A2294D">
        <w:rPr>
          <w:noProof/>
        </w:rPr>
        <w:t>Appendix A</w:t>
      </w:r>
      <w:r w:rsidRPr="00A2294D">
        <w:rPr>
          <w:rFonts w:asciiTheme="minorHAnsi" w:eastAsiaTheme="minorEastAsia" w:hAnsiTheme="minorHAnsi"/>
          <w:noProof/>
          <w:sz w:val="22"/>
          <w:szCs w:val="22"/>
        </w:rPr>
        <w:tab/>
      </w:r>
      <w:r w:rsidRPr="00A2294D">
        <w:rPr>
          <w:noProof/>
        </w:rPr>
        <w:t xml:space="preserve">International productivity data — which </w:t>
      </w:r>
      <w:r w:rsidRPr="00A2294D">
        <w:rPr>
          <w:noProof/>
        </w:rPr>
        <w:br/>
        <w:t>measure to use?</w:t>
      </w:r>
      <w:r>
        <w:tab/>
      </w:r>
      <w:r w:rsidR="008556F3">
        <w:t>50</w:t>
      </w:r>
    </w:p>
    <w:p w14:paraId="1D0A6CD0" w14:textId="042BB323" w:rsidR="00B634FC" w:rsidRDefault="00D85C09" w:rsidP="00F6140B">
      <w:pPr>
        <w:pStyle w:val="TOC1"/>
        <w:spacing w:before="360"/>
      </w:pPr>
      <w:r>
        <w:t>References</w:t>
      </w:r>
      <w:r>
        <w:tab/>
      </w:r>
      <w:r w:rsidR="008556F3">
        <w:t>55</w:t>
      </w:r>
    </w:p>
    <w:p w14:paraId="1D0A6CD1" w14:textId="77777777" w:rsidR="00B634FC" w:rsidRDefault="00B634FC"/>
    <w:p w14:paraId="1D0A6CD2" w14:textId="77777777" w:rsidR="00D85C09" w:rsidRDefault="00D85C09">
      <w:pPr>
        <w:sectPr w:rsidR="00D85C09" w:rsidSect="00B634FC">
          <w:headerReference w:type="default" r:id="rId16"/>
          <w:footerReference w:type="default" r:id="rId17"/>
          <w:type w:val="oddPage"/>
          <w:pgSz w:w="11907" w:h="16840" w:code="9"/>
          <w:pgMar w:top="1985" w:right="1304" w:bottom="1247" w:left="1814" w:header="1701" w:footer="397" w:gutter="0"/>
          <w:pgNumType w:start="1" w:chapSep="period"/>
          <w:cols w:space="720"/>
        </w:sectPr>
      </w:pPr>
    </w:p>
    <w:bookmarkEnd w:id="1"/>
    <w:p w14:paraId="1D0A6CD3" w14:textId="77777777" w:rsidR="00840F75" w:rsidRDefault="00840F75" w:rsidP="00840F75">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840F75" w14:paraId="1D0A6CD5" w14:textId="77777777" w:rsidTr="00840F75">
        <w:tc>
          <w:tcPr>
            <w:tcW w:w="8771" w:type="dxa"/>
            <w:tcBorders>
              <w:top w:val="single" w:sz="6" w:space="0" w:color="78A22F"/>
              <w:left w:val="nil"/>
              <w:bottom w:val="nil"/>
              <w:right w:val="nil"/>
            </w:tcBorders>
            <w:shd w:val="clear" w:color="auto" w:fill="F2F2F2"/>
          </w:tcPr>
          <w:p w14:paraId="1D0A6CD4" w14:textId="77777777" w:rsidR="00840F75" w:rsidRDefault="00840F75" w:rsidP="00F72CB6">
            <w:pPr>
              <w:pStyle w:val="BoxTitle"/>
            </w:pPr>
            <w:r>
              <w:t>Key points</w:t>
            </w:r>
            <w:r w:rsidR="005D50FA">
              <w:t xml:space="preserve"> </w:t>
            </w:r>
          </w:p>
        </w:tc>
      </w:tr>
      <w:tr w:rsidR="00840F75" w14:paraId="1D0A6CDC" w14:textId="77777777" w:rsidTr="00840F75">
        <w:tc>
          <w:tcPr>
            <w:tcW w:w="8771" w:type="dxa"/>
            <w:tcBorders>
              <w:top w:val="nil"/>
              <w:left w:val="nil"/>
              <w:bottom w:val="nil"/>
              <w:right w:val="nil"/>
            </w:tcBorders>
            <w:shd w:val="clear" w:color="auto" w:fill="F2F2F2"/>
          </w:tcPr>
          <w:p w14:paraId="1D0A6CD6" w14:textId="77777777" w:rsidR="00256592" w:rsidRDefault="006E56BC" w:rsidP="006E56BC">
            <w:pPr>
              <w:pStyle w:val="BoxListBullet"/>
            </w:pPr>
            <w:r>
              <w:t xml:space="preserve">Productivity </w:t>
            </w:r>
            <w:r w:rsidR="004801DF">
              <w:t xml:space="preserve">is </w:t>
            </w:r>
            <w:r w:rsidR="0020173D">
              <w:t xml:space="preserve">often </w:t>
            </w:r>
            <w:r>
              <w:t>spoken about</w:t>
            </w:r>
            <w:r w:rsidR="004801DF">
              <w:t xml:space="preserve"> as something desirable, but like sustainability, can mean very different things to different people. It is not about working longer hours</w:t>
            </w:r>
            <w:r w:rsidR="00766728">
              <w:t>,</w:t>
            </w:r>
            <w:r>
              <w:t xml:space="preserve"> </w:t>
            </w:r>
            <w:r w:rsidR="004801DF">
              <w:t xml:space="preserve">rather </w:t>
            </w:r>
            <w:r w:rsidR="00766728">
              <w:t xml:space="preserve">it is </w:t>
            </w:r>
            <w:r w:rsidR="004801DF">
              <w:t xml:space="preserve">about making the most of the resources we have available. </w:t>
            </w:r>
            <w:r w:rsidR="00DF5691">
              <w:t xml:space="preserve">Productivity grows when we produce more outputs for the same or </w:t>
            </w:r>
            <w:r w:rsidR="00B31242">
              <w:t>fewer</w:t>
            </w:r>
            <w:r w:rsidR="00DF5691">
              <w:t xml:space="preserve"> inputs.</w:t>
            </w:r>
            <w:r w:rsidR="00256592">
              <w:t xml:space="preserve"> </w:t>
            </w:r>
          </w:p>
          <w:p w14:paraId="1D0A6CD7" w14:textId="77777777" w:rsidR="006E56BC" w:rsidRDefault="00F72CB6" w:rsidP="009663A0">
            <w:pPr>
              <w:pStyle w:val="BoxListBullet"/>
            </w:pPr>
            <w:r>
              <w:t>The focus of policy makers on productivity is</w:t>
            </w:r>
            <w:r w:rsidDel="00766728">
              <w:t xml:space="preserve"> </w:t>
            </w:r>
            <w:r>
              <w:t xml:space="preserve">well justified. </w:t>
            </w:r>
            <w:r w:rsidR="009663A0">
              <w:t>Realising p</w:t>
            </w:r>
            <w:r w:rsidR="0020173D" w:rsidRPr="008C1068">
              <w:t xml:space="preserve">roductivity </w:t>
            </w:r>
            <w:r>
              <w:t xml:space="preserve">growth </w:t>
            </w:r>
            <w:r w:rsidR="00B740CC">
              <w:t>— improvement in</w:t>
            </w:r>
            <w:r>
              <w:t xml:space="preserve"> the efficiency of resource use over time — </w:t>
            </w:r>
            <w:r w:rsidR="0020173D">
              <w:t>is the most sustainable way of</w:t>
            </w:r>
            <w:r>
              <w:t xml:space="preserve"> growing incomes, and</w:t>
            </w:r>
            <w:r w:rsidR="0020173D">
              <w:t xml:space="preserve"> supporting the</w:t>
            </w:r>
            <w:r w:rsidR="0020173D" w:rsidRPr="008C1068">
              <w:t xml:space="preserve"> consumption of the goods and services desired by </w:t>
            </w:r>
            <w:r w:rsidR="00DF5691">
              <w:t>the community</w:t>
            </w:r>
            <w:r w:rsidR="00B740CC">
              <w:t xml:space="preserve">. This </w:t>
            </w:r>
            <w:r w:rsidR="00DF5691">
              <w:t xml:space="preserve">broad approach to productivity </w:t>
            </w:r>
            <w:r w:rsidR="00B740CC">
              <w:t>includes</w:t>
            </w:r>
            <w:r w:rsidR="0020173D">
              <w:t xml:space="preserve"> </w:t>
            </w:r>
            <w:r w:rsidR="00DF5691">
              <w:t xml:space="preserve">the ability of the economy to adapt </w:t>
            </w:r>
            <w:r w:rsidR="0020173D">
              <w:t xml:space="preserve">as </w:t>
            </w:r>
            <w:r w:rsidR="00DF5691">
              <w:t xml:space="preserve">community </w:t>
            </w:r>
            <w:r w:rsidR="0020173D">
              <w:t>desires change (for example with an ageing population)</w:t>
            </w:r>
            <w:r w:rsidR="001F0CEF">
              <w:t xml:space="preserve">, and </w:t>
            </w:r>
            <w:r w:rsidR="00B740CC">
              <w:t xml:space="preserve">as </w:t>
            </w:r>
            <w:r w:rsidR="001F0CEF">
              <w:t>resources become more scarce</w:t>
            </w:r>
            <w:r w:rsidR="00B740CC">
              <w:t xml:space="preserve"> (for example land in cities)</w:t>
            </w:r>
            <w:r w:rsidR="0020173D" w:rsidRPr="008C1068">
              <w:t>.</w:t>
            </w:r>
            <w:r w:rsidR="0020173D">
              <w:t xml:space="preserve"> </w:t>
            </w:r>
          </w:p>
          <w:p w14:paraId="1D0A6CD8" w14:textId="77777777" w:rsidR="001243B8" w:rsidRDefault="009663A0" w:rsidP="00840F75">
            <w:pPr>
              <w:pStyle w:val="BoxListBullet"/>
            </w:pPr>
            <w:r>
              <w:t>Australia</w:t>
            </w:r>
            <w:r w:rsidR="00DF5691">
              <w:t xml:space="preserve"> is</w:t>
            </w:r>
            <w:r w:rsidR="00F72CB6" w:rsidDel="00DF5691">
              <w:t xml:space="preserve"> </w:t>
            </w:r>
            <w:r w:rsidR="001243B8">
              <w:t xml:space="preserve">over five times as productive as </w:t>
            </w:r>
            <w:r w:rsidR="008C1068">
              <w:t>we were</w:t>
            </w:r>
            <w:r w:rsidR="001243B8">
              <w:t xml:space="preserve"> a century ago — this means that every </w:t>
            </w:r>
            <w:r w:rsidR="00F72CB6">
              <w:t>day</w:t>
            </w:r>
            <w:r w:rsidR="001243B8">
              <w:t xml:space="preserve">, </w:t>
            </w:r>
            <w:r w:rsidR="00F72CB6">
              <w:t>we</w:t>
            </w:r>
            <w:r w:rsidR="001243B8">
              <w:t xml:space="preserve"> generate five times as much</w:t>
            </w:r>
            <w:r w:rsidR="00F72CB6">
              <w:t xml:space="preserve"> wealth, on average,</w:t>
            </w:r>
            <w:r w:rsidR="006E56BC">
              <w:t xml:space="preserve"> </w:t>
            </w:r>
            <w:r w:rsidR="008C1068">
              <w:t xml:space="preserve">for </w:t>
            </w:r>
            <w:r w:rsidR="006E56BC">
              <w:t>the same</w:t>
            </w:r>
            <w:r w:rsidR="00F72CB6">
              <w:t xml:space="preserve"> amount of input</w:t>
            </w:r>
            <w:r w:rsidR="006E56BC">
              <w:t xml:space="preserve">. </w:t>
            </w:r>
            <w:r w:rsidR="003503B7">
              <w:t>W</w:t>
            </w:r>
            <w:r w:rsidR="006E56BC">
              <w:t xml:space="preserve">ithin the past 30 years, productivity has more than doubled. </w:t>
            </w:r>
            <w:r w:rsidR="008C1068">
              <w:t xml:space="preserve">This has delivered </w:t>
            </w:r>
            <w:r w:rsidR="001243B8">
              <w:t xml:space="preserve">substantial </w:t>
            </w:r>
            <w:r w:rsidR="008C1068">
              <w:t>growth in people’s average incomes and</w:t>
            </w:r>
            <w:r w:rsidR="003503B7">
              <w:t>,</w:t>
            </w:r>
            <w:r w:rsidR="008C1068">
              <w:t xml:space="preserve"> </w:t>
            </w:r>
            <w:r w:rsidR="00F37A8D">
              <w:t xml:space="preserve">through both wages growth and one of the most progressive tax and transfer systems in the world, the benefits have </w:t>
            </w:r>
            <w:r w:rsidR="008C1068">
              <w:t xml:space="preserve">been </w:t>
            </w:r>
            <w:r w:rsidR="001243B8">
              <w:t>broadly shared across</w:t>
            </w:r>
            <w:r w:rsidR="00A636AC">
              <w:t xml:space="preserve"> the income spectrum</w:t>
            </w:r>
            <w:r w:rsidR="008C1068">
              <w:t xml:space="preserve">. </w:t>
            </w:r>
          </w:p>
          <w:p w14:paraId="1D0A6CD9" w14:textId="59F98D19" w:rsidR="000D1CBA" w:rsidRDefault="001F0CEF" w:rsidP="00840F75">
            <w:pPr>
              <w:pStyle w:val="BoxListBullet"/>
            </w:pPr>
            <w:r>
              <w:t>Australia has not</w:t>
            </w:r>
            <w:r w:rsidDel="00F37A8D">
              <w:t xml:space="preserve"> </w:t>
            </w:r>
            <w:r>
              <w:t xml:space="preserve">experienced recession since 1991. </w:t>
            </w:r>
            <w:r w:rsidR="00F37A8D">
              <w:t>But we have benefited from strong terms of trade growth</w:t>
            </w:r>
            <w:r w:rsidR="005C68E1">
              <w:t>,</w:t>
            </w:r>
            <w:r w:rsidR="00F37A8D">
              <w:t xml:space="preserve"> which has pushed up the value of our exports compared </w:t>
            </w:r>
            <w:r w:rsidR="00D026B2">
              <w:t>with</w:t>
            </w:r>
            <w:r w:rsidR="00F37A8D">
              <w:t xml:space="preserve"> what we</w:t>
            </w:r>
            <w:r w:rsidR="00CF2342">
              <w:t xml:space="preserve"> buy from abroad. And </w:t>
            </w:r>
            <w:r w:rsidR="00F37A8D">
              <w:t xml:space="preserve">while </w:t>
            </w:r>
            <w:r w:rsidR="00CF2342">
              <w:t>the terms of trade</w:t>
            </w:r>
            <w:r w:rsidR="00F37A8D">
              <w:t xml:space="preserve"> has reversed since 2012</w:t>
            </w:r>
            <w:r w:rsidR="000F1979">
              <w:t>,</w:t>
            </w:r>
            <w:r w:rsidR="00F37A8D">
              <w:t xml:space="preserve"> it remain</w:t>
            </w:r>
            <w:r w:rsidR="00CF2342">
              <w:t>s</w:t>
            </w:r>
            <w:r w:rsidR="00F37A8D">
              <w:t xml:space="preserve"> well ab</w:t>
            </w:r>
            <w:r w:rsidR="00392986">
              <w:t>ove long</w:t>
            </w:r>
            <w:r w:rsidR="00392986">
              <w:noBreakHyphen/>
            </w:r>
            <w:r w:rsidR="00CF2342">
              <w:t>term historical levels. We have also had strong</w:t>
            </w:r>
            <w:r w:rsidR="00F37A8D">
              <w:t xml:space="preserve"> growth </w:t>
            </w:r>
            <w:r w:rsidR="00CF2342">
              <w:t xml:space="preserve">in both the population </w:t>
            </w:r>
            <w:r w:rsidR="00F37A8D">
              <w:t xml:space="preserve">and in the </w:t>
            </w:r>
            <w:r w:rsidR="000F1979">
              <w:t>stock of capital</w:t>
            </w:r>
            <w:r w:rsidR="00CF2342">
              <w:t>, and the recent trends in per capita income growth paint a less rosy picture. Importantly, p</w:t>
            </w:r>
            <w:r w:rsidR="00F37A8D">
              <w:t>roductivity growth — outputs per unit inputs — has been flat</w:t>
            </w:r>
            <w:r w:rsidR="00696785">
              <w:t>, on average,</w:t>
            </w:r>
            <w:r w:rsidR="00F37A8D">
              <w:t xml:space="preserve"> for over a decade. </w:t>
            </w:r>
          </w:p>
          <w:p w14:paraId="1D0A6CDA" w14:textId="6EA582EB" w:rsidR="00C06932" w:rsidRDefault="00B740CC" w:rsidP="00840F75">
            <w:pPr>
              <w:pStyle w:val="BoxListBullet"/>
            </w:pPr>
            <w:r>
              <w:t xml:space="preserve">The </w:t>
            </w:r>
            <w:r w:rsidR="00CF2342">
              <w:t>expansion in the mining industry has brought many benefits</w:t>
            </w:r>
            <w:r>
              <w:t xml:space="preserve"> since the mid</w:t>
            </w:r>
            <w:r>
              <w:noBreakHyphen/>
            </w:r>
            <w:proofErr w:type="spellStart"/>
            <w:r>
              <w:t>2000s</w:t>
            </w:r>
            <w:proofErr w:type="spellEnd"/>
            <w:r>
              <w:t xml:space="preserve">, but </w:t>
            </w:r>
            <w:r w:rsidR="00CF2342">
              <w:t>it employs relatively few workers, and much of the capital is</w:t>
            </w:r>
            <w:r w:rsidR="00E72F11">
              <w:t xml:space="preserve"> foreign owned. Other trade</w:t>
            </w:r>
            <w:r w:rsidR="00E72F11">
              <w:noBreakHyphen/>
            </w:r>
            <w:r w:rsidR="00CF2342">
              <w:t xml:space="preserve">exposed industries have had to face high exchange rates that eroded their external competitiveness. Those that have survived should have emerged stronger, yet there is little </w:t>
            </w:r>
            <w:r w:rsidR="000F1979">
              <w:t>sign of the</w:t>
            </w:r>
            <w:r w:rsidR="00CF2342">
              <w:t xml:space="preserve"> </w:t>
            </w:r>
            <w:r w:rsidR="003503B7">
              <w:t xml:space="preserve">general </w:t>
            </w:r>
            <w:r w:rsidR="00E848FF">
              <w:t>pick</w:t>
            </w:r>
            <w:r w:rsidR="00E848FF">
              <w:noBreakHyphen/>
            </w:r>
            <w:r w:rsidR="00CF2342">
              <w:t>up in productivity growth</w:t>
            </w:r>
            <w:r w:rsidR="003503B7">
              <w:t xml:space="preserve"> that should have emerged</w:t>
            </w:r>
            <w:r w:rsidR="00CF2342">
              <w:t>. The Australian economy remain</w:t>
            </w:r>
            <w:r w:rsidR="003503B7">
              <w:t>s</w:t>
            </w:r>
            <w:r w:rsidR="00CF2342">
              <w:t xml:space="preserve"> vulnerable to external shocks, </w:t>
            </w:r>
            <w:r w:rsidR="00E634C5">
              <w:t>with</w:t>
            </w:r>
            <w:r w:rsidR="00CF2342">
              <w:t xml:space="preserve"> domestic markets </w:t>
            </w:r>
            <w:r w:rsidR="003503B7">
              <w:t xml:space="preserve">affected </w:t>
            </w:r>
            <w:r w:rsidR="000D1CBA">
              <w:t>by a heightened perception of</w:t>
            </w:r>
            <w:r>
              <w:t xml:space="preserve"> risk</w:t>
            </w:r>
            <w:r w:rsidR="001347D9">
              <w:t xml:space="preserve"> after the global financial crisis</w:t>
            </w:r>
            <w:r>
              <w:t xml:space="preserve">, </w:t>
            </w:r>
            <w:r w:rsidR="00E634C5">
              <w:t xml:space="preserve">and looking forward, </w:t>
            </w:r>
            <w:r w:rsidR="00412794">
              <w:t xml:space="preserve">it </w:t>
            </w:r>
            <w:r w:rsidR="00E634C5">
              <w:t>is subject to</w:t>
            </w:r>
            <w:r w:rsidR="000D1CBA">
              <w:t xml:space="preserve"> </w:t>
            </w:r>
            <w:r>
              <w:t>structural pressures</w:t>
            </w:r>
            <w:r w:rsidR="00E634C5">
              <w:t xml:space="preserve"> from an ageing population</w:t>
            </w:r>
            <w:r>
              <w:t xml:space="preserve">, and </w:t>
            </w:r>
            <w:r w:rsidR="000D1CBA">
              <w:t xml:space="preserve">an unsustainable fiscal trajectory. </w:t>
            </w:r>
          </w:p>
          <w:p w14:paraId="1D0A6CDB" w14:textId="2F25DC68" w:rsidR="00840F75" w:rsidRDefault="001243B8" w:rsidP="00E72F11">
            <w:pPr>
              <w:pStyle w:val="BoxListBullet"/>
            </w:pPr>
            <w:r>
              <w:t>Governments exert significant influence on productivity outcomes through laws, regulations and other institutional ‘rules of the game’</w:t>
            </w:r>
            <w:r w:rsidR="003503B7">
              <w:t>. These rules</w:t>
            </w:r>
            <w:r>
              <w:t xml:space="preserve"> </w:t>
            </w:r>
            <w:r w:rsidR="00E72F11">
              <w:t>affect</w:t>
            </w:r>
            <w:r>
              <w:t xml:space="preserve"> the incentives facing businesses and individuals</w:t>
            </w:r>
            <w:r w:rsidR="003503B7">
              <w:t xml:space="preserve"> to work and invest</w:t>
            </w:r>
            <w:r>
              <w:t xml:space="preserve">. </w:t>
            </w:r>
            <w:r w:rsidR="003503B7">
              <w:t>Governments also provide, or influence, much of the necessary infrastructure, including social infrastructure such as education</w:t>
            </w:r>
            <w:r w:rsidR="000F1979">
              <w:t xml:space="preserve">, </w:t>
            </w:r>
            <w:r w:rsidR="003503B7">
              <w:t>that provides the services needed to support business. Getting these rules and investments</w:t>
            </w:r>
            <w:r w:rsidR="00C06932">
              <w:t xml:space="preserve"> </w:t>
            </w:r>
            <w:r w:rsidR="000F1979">
              <w:t xml:space="preserve">right </w:t>
            </w:r>
            <w:r w:rsidR="003503B7">
              <w:t>will help build productivity, getting them wrong can hamper the ability of business to deliver productivity growth</w:t>
            </w:r>
            <w:r w:rsidR="000F1979">
              <w:t>.</w:t>
            </w:r>
          </w:p>
        </w:tc>
      </w:tr>
      <w:tr w:rsidR="00840F75" w14:paraId="1D0A6CDE" w14:textId="77777777" w:rsidTr="00840F75">
        <w:tc>
          <w:tcPr>
            <w:tcW w:w="8771" w:type="dxa"/>
            <w:tcBorders>
              <w:top w:val="nil"/>
              <w:left w:val="nil"/>
              <w:bottom w:val="single" w:sz="6" w:space="0" w:color="78A22F"/>
              <w:right w:val="nil"/>
            </w:tcBorders>
            <w:shd w:val="clear" w:color="auto" w:fill="F2F2F2"/>
          </w:tcPr>
          <w:p w14:paraId="1D0A6CDD" w14:textId="77777777" w:rsidR="00840F75" w:rsidRDefault="00840F75" w:rsidP="00840F75">
            <w:pPr>
              <w:pStyle w:val="Box"/>
              <w:spacing w:before="0" w:line="120" w:lineRule="exact"/>
            </w:pPr>
          </w:p>
        </w:tc>
      </w:tr>
      <w:tr w:rsidR="00840F75" w:rsidRPr="000863A5" w14:paraId="1D0A6CE0" w14:textId="77777777" w:rsidTr="00840F75">
        <w:tc>
          <w:tcPr>
            <w:tcW w:w="8771" w:type="dxa"/>
            <w:tcBorders>
              <w:top w:val="single" w:sz="6" w:space="0" w:color="78A22F"/>
              <w:left w:val="nil"/>
              <w:bottom w:val="nil"/>
              <w:right w:val="nil"/>
            </w:tcBorders>
          </w:tcPr>
          <w:p w14:paraId="1D0A6CDF" w14:textId="77777777" w:rsidR="00840F75" w:rsidRPr="00626D32" w:rsidRDefault="00840F75" w:rsidP="00840F75">
            <w:pPr>
              <w:pStyle w:val="BoxSpaceBelow"/>
            </w:pPr>
          </w:p>
        </w:tc>
      </w:tr>
    </w:tbl>
    <w:p w14:paraId="1D0A6CE1" w14:textId="77777777" w:rsidR="00D33BA2" w:rsidRPr="00D33BA2" w:rsidRDefault="00840F75" w:rsidP="00840F75">
      <w:pPr>
        <w:pStyle w:val="BodyText"/>
      </w:pPr>
      <w:r>
        <w:br w:type="page"/>
      </w:r>
    </w:p>
    <w:p w14:paraId="1D0A6CE2" w14:textId="5D72994C" w:rsidR="00B634FC" w:rsidRPr="00EF2C62" w:rsidRDefault="00F507CA" w:rsidP="00EF2C62">
      <w:pPr>
        <w:pStyle w:val="Heading1"/>
      </w:pPr>
      <w:bookmarkStart w:id="7" w:name="begin"/>
      <w:bookmarkStart w:id="8" w:name="_Toc489008887"/>
      <w:bookmarkStart w:id="9" w:name="ChapterTitle"/>
      <w:bookmarkEnd w:id="7"/>
      <w:r w:rsidRPr="00EF2C62">
        <w:lastRenderedPageBreak/>
        <w:t>Productivity and income:</w:t>
      </w:r>
      <w:r w:rsidR="00EF2C62" w:rsidRPr="00EF2C62">
        <w:t xml:space="preserve"> </w:t>
      </w:r>
      <w:r w:rsidR="00EF2C62" w:rsidRPr="00EF2C62">
        <w:br/>
      </w:r>
      <w:r w:rsidR="00B634FC" w:rsidRPr="00EF2C62">
        <w:t>the Australian story</w:t>
      </w:r>
      <w:bookmarkEnd w:id="8"/>
      <w:bookmarkEnd w:id="9"/>
    </w:p>
    <w:p w14:paraId="1D0A6CE3" w14:textId="77777777" w:rsidR="00666E02" w:rsidRDefault="001805A2" w:rsidP="00B634FC">
      <w:pPr>
        <w:pStyle w:val="Heading2"/>
      </w:pPr>
      <w:bookmarkStart w:id="10" w:name="_Toc489008888"/>
      <w:r>
        <w:rPr>
          <w:noProof/>
        </w:rPr>
        <w:t>1</w:t>
      </w:r>
      <w:r w:rsidR="00F42BA5">
        <w:tab/>
        <w:t>Background</w:t>
      </w:r>
      <w:bookmarkEnd w:id="10"/>
    </w:p>
    <w:p w14:paraId="1D0A6CE4" w14:textId="31DFA5DE" w:rsidR="00B7123E" w:rsidRDefault="00B7123E" w:rsidP="00B7123E">
      <w:pPr>
        <w:pStyle w:val="BodyText"/>
      </w:pPr>
      <w:r>
        <w:t xml:space="preserve">The productivity slowdown observed across much of the developed world has raised concerns about the future drivers of income growth. While domestic factors such as the recent mining investment boom have driven much of Australia’s productivity performance of late, Australia has not </w:t>
      </w:r>
      <w:r w:rsidR="00FD1729">
        <w:t>been immune from broader global</w:t>
      </w:r>
      <w:r w:rsidR="003F22E0">
        <w:t>,</w:t>
      </w:r>
      <w:r>
        <w:t xml:space="preserve"> and longer term, trends</w:t>
      </w:r>
      <w:r w:rsidR="000F1979">
        <w:t>.</w:t>
      </w:r>
      <w:r>
        <w:t xml:space="preserve"> </w:t>
      </w:r>
      <w:r w:rsidR="008B43D0">
        <w:t xml:space="preserve">Across the world, the gains that have come from the opening of economies to trade </w:t>
      </w:r>
      <w:r>
        <w:t>and globalisation</w:t>
      </w:r>
      <w:r w:rsidR="008B43D0">
        <w:t xml:space="preserve"> have slowed, in part due to their success, and in part the rise in more protectionist sentiments following the global financial crisis</w:t>
      </w:r>
      <w:r w:rsidDel="008B43D0">
        <w:t>.</w:t>
      </w:r>
      <w:r>
        <w:t xml:space="preserve"> </w:t>
      </w:r>
      <w:r w:rsidR="008B43D0">
        <w:t xml:space="preserve">Moreover, developments in digital and other technologies, while holding out the promise of productivity growth, have yet to deliver. </w:t>
      </w:r>
      <w:r>
        <w:t xml:space="preserve">As a relatively small, open and capital importing country, how these developments continue to unfold, and governments’ responses to them — including our own — will have a strong bearing on Australia’s productivity potential. </w:t>
      </w:r>
    </w:p>
    <w:p w14:paraId="1D0A6CE5" w14:textId="3073C5FA" w:rsidR="00B7123E" w:rsidRPr="00AE21D9" w:rsidRDefault="00B7123E" w:rsidP="00B7123E">
      <w:pPr>
        <w:pStyle w:val="BodyText"/>
        <w:rPr>
          <w:spacing w:val="-2"/>
        </w:rPr>
      </w:pPr>
      <w:r w:rsidRPr="00AE21D9">
        <w:rPr>
          <w:spacing w:val="-2"/>
        </w:rPr>
        <w:t>Th</w:t>
      </w:r>
      <w:r w:rsidR="00526580" w:rsidRPr="00AE21D9">
        <w:rPr>
          <w:spacing w:val="-2"/>
        </w:rPr>
        <w:t>is supporting paper tells the</w:t>
      </w:r>
      <w:r w:rsidR="008B43D0" w:rsidRPr="00AE21D9">
        <w:rPr>
          <w:spacing w:val="-2"/>
        </w:rPr>
        <w:t xml:space="preserve"> story of productivity growth in Australia. </w:t>
      </w:r>
      <w:r w:rsidR="00394C6E" w:rsidRPr="00AE21D9">
        <w:rPr>
          <w:spacing w:val="-2"/>
        </w:rPr>
        <w:t xml:space="preserve">It focuses </w:t>
      </w:r>
      <w:r w:rsidR="00C11F13" w:rsidRPr="00AE21D9">
        <w:rPr>
          <w:spacing w:val="-2"/>
        </w:rPr>
        <w:t xml:space="preserve">mainly </w:t>
      </w:r>
      <w:r w:rsidR="00394C6E" w:rsidRPr="00AE21D9">
        <w:rPr>
          <w:spacing w:val="-2"/>
        </w:rPr>
        <w:t>on the market sector of the economy — the 16 industries</w:t>
      </w:r>
      <w:r w:rsidR="00DC4F67" w:rsidRPr="00AE21D9">
        <w:rPr>
          <w:spacing w:val="-2"/>
        </w:rPr>
        <w:t xml:space="preserve"> </w:t>
      </w:r>
      <w:r w:rsidR="00FD1729" w:rsidRPr="00AE21D9">
        <w:rPr>
          <w:spacing w:val="-2"/>
        </w:rPr>
        <w:t xml:space="preserve">where </w:t>
      </w:r>
      <w:r w:rsidR="00DC4F67" w:rsidRPr="00AE21D9">
        <w:rPr>
          <w:spacing w:val="-2"/>
        </w:rPr>
        <w:t>output and inputs can be measured</w:t>
      </w:r>
      <w:r w:rsidR="00FD1729" w:rsidRPr="00AE21D9">
        <w:rPr>
          <w:spacing w:val="-2"/>
        </w:rPr>
        <w:t xml:space="preserve"> reliably</w:t>
      </w:r>
      <w:r w:rsidR="00394C6E" w:rsidRPr="00AE21D9">
        <w:rPr>
          <w:spacing w:val="-2"/>
        </w:rPr>
        <w:t xml:space="preserve">, </w:t>
      </w:r>
      <w:r w:rsidR="00FD1729" w:rsidRPr="00AE21D9">
        <w:rPr>
          <w:spacing w:val="-2"/>
        </w:rPr>
        <w:t>which comprise about</w:t>
      </w:r>
      <w:r w:rsidR="00394C6E" w:rsidRPr="00AE21D9">
        <w:rPr>
          <w:spacing w:val="-2"/>
        </w:rPr>
        <w:t xml:space="preserve"> 80 per cent of GDP.</w:t>
      </w:r>
      <w:r w:rsidR="00C11F13" w:rsidRPr="00AE21D9">
        <w:rPr>
          <w:rStyle w:val="FootnoteReference"/>
          <w:spacing w:val="-2"/>
        </w:rPr>
        <w:footnoteReference w:id="2"/>
      </w:r>
      <w:r w:rsidR="00394C6E" w:rsidRPr="00AE21D9">
        <w:rPr>
          <w:spacing w:val="-2"/>
        </w:rPr>
        <w:t xml:space="preserve"> </w:t>
      </w:r>
      <w:r w:rsidR="00526580" w:rsidRPr="00AE21D9">
        <w:rPr>
          <w:spacing w:val="-2"/>
        </w:rPr>
        <w:t>The</w:t>
      </w:r>
      <w:r w:rsidRPr="00AE21D9">
        <w:rPr>
          <w:spacing w:val="-2"/>
        </w:rPr>
        <w:t xml:space="preserve"> conclusions serve a reminder of the need for ongoing reform efforts by governments. Government policies, through institutions, laws and regulations</w:t>
      </w:r>
      <w:r w:rsidR="008B43D0" w:rsidRPr="00AE21D9">
        <w:rPr>
          <w:spacing w:val="-2"/>
        </w:rPr>
        <w:t>, and investments</w:t>
      </w:r>
      <w:r w:rsidRPr="00AE21D9">
        <w:rPr>
          <w:spacing w:val="-2"/>
        </w:rPr>
        <w:t xml:space="preserve"> have </w:t>
      </w:r>
      <w:r w:rsidR="008B43D0" w:rsidRPr="00AE21D9">
        <w:rPr>
          <w:spacing w:val="-2"/>
        </w:rPr>
        <w:t xml:space="preserve">a </w:t>
      </w:r>
      <w:r w:rsidRPr="00AE21D9">
        <w:rPr>
          <w:spacing w:val="-2"/>
        </w:rPr>
        <w:t xml:space="preserve">fundamental influence on the capacities and opportunities for individuals and businesses to respond to new technologies, and to contribute to new forms of growth. As the push and pull of global trends </w:t>
      </w:r>
      <w:r w:rsidR="004F221B" w:rsidRPr="00AE21D9">
        <w:rPr>
          <w:spacing w:val="-2"/>
        </w:rPr>
        <w:t xml:space="preserve">and </w:t>
      </w:r>
      <w:r w:rsidRPr="00AE21D9">
        <w:rPr>
          <w:spacing w:val="-2"/>
        </w:rPr>
        <w:t xml:space="preserve">new technologies continue to </w:t>
      </w:r>
      <w:r w:rsidR="00F47011" w:rsidRPr="00AE21D9">
        <w:rPr>
          <w:spacing w:val="-2"/>
        </w:rPr>
        <w:t>affect</w:t>
      </w:r>
      <w:r w:rsidRPr="00AE21D9">
        <w:rPr>
          <w:spacing w:val="-2"/>
        </w:rPr>
        <w:t xml:space="preserve"> Australia, continued </w:t>
      </w:r>
      <w:r w:rsidR="003F22E0" w:rsidRPr="00AE21D9">
        <w:rPr>
          <w:spacing w:val="-2"/>
        </w:rPr>
        <w:t xml:space="preserve">reforms </w:t>
      </w:r>
      <w:r w:rsidRPr="00AE21D9">
        <w:rPr>
          <w:spacing w:val="-2"/>
        </w:rPr>
        <w:t xml:space="preserve">to policy settings are crucial, if not fundamental, to enabling </w:t>
      </w:r>
      <w:r w:rsidR="008B43D0" w:rsidRPr="00AE21D9">
        <w:rPr>
          <w:spacing w:val="-2"/>
        </w:rPr>
        <w:t xml:space="preserve">businesses to deliver </w:t>
      </w:r>
      <w:r w:rsidRPr="00AE21D9">
        <w:rPr>
          <w:spacing w:val="-2"/>
        </w:rPr>
        <w:t>growth</w:t>
      </w:r>
      <w:r w:rsidRPr="00AE21D9" w:rsidDel="008B43D0">
        <w:rPr>
          <w:spacing w:val="-2"/>
        </w:rPr>
        <w:t xml:space="preserve"> </w:t>
      </w:r>
      <w:r w:rsidRPr="00AE21D9">
        <w:rPr>
          <w:spacing w:val="-2"/>
        </w:rPr>
        <w:t xml:space="preserve">in the 21st century. </w:t>
      </w:r>
    </w:p>
    <w:p w14:paraId="1D0A6CE6" w14:textId="77777777" w:rsidR="00B7123E" w:rsidRDefault="00394C6E" w:rsidP="00B7123E">
      <w:pPr>
        <w:pStyle w:val="BodyText"/>
      </w:pPr>
      <w:r>
        <w:t>The</w:t>
      </w:r>
      <w:r w:rsidR="00B7123E">
        <w:t xml:space="preserve"> coverage </w:t>
      </w:r>
      <w:r>
        <w:t>of</w:t>
      </w:r>
      <w:r w:rsidR="00B7123E">
        <w:t xml:space="preserve"> this review </w:t>
      </w:r>
      <w:r>
        <w:t xml:space="preserve">overlaps </w:t>
      </w:r>
      <w:r w:rsidR="00B7123E">
        <w:t>with the Commission’s annual Productivity Update publication</w:t>
      </w:r>
      <w:r>
        <w:t>. Given this</w:t>
      </w:r>
      <w:r w:rsidR="00B7123E">
        <w:t>, it is proposed that</w:t>
      </w:r>
      <w:r w:rsidR="00B7123E" w:rsidDel="00394C6E">
        <w:t xml:space="preserve"> </w:t>
      </w:r>
      <w:r w:rsidR="00B7123E">
        <w:t>each</w:t>
      </w:r>
      <w:r w:rsidR="00AD0CC1">
        <w:t xml:space="preserve"> successive 5 </w:t>
      </w:r>
      <w:r w:rsidR="00B7123E">
        <w:t xml:space="preserve">yearly Productivity Review </w:t>
      </w:r>
      <w:r>
        <w:t xml:space="preserve">includes </w:t>
      </w:r>
      <w:r w:rsidR="00B7123E">
        <w:t xml:space="preserve">the </w:t>
      </w:r>
      <w:r w:rsidR="00C11F13">
        <w:t xml:space="preserve">Productivity Update </w:t>
      </w:r>
      <w:r w:rsidR="00B7123E">
        <w:t>material</w:t>
      </w:r>
      <w:r w:rsidR="00C11F13">
        <w:t>.</w:t>
      </w:r>
      <w:r w:rsidR="00B7123E">
        <w:t xml:space="preserve"> </w:t>
      </w:r>
      <w:r w:rsidR="00C11F13">
        <w:t>T</w:t>
      </w:r>
      <w:r w:rsidR="00B7123E">
        <w:t xml:space="preserve">he </w:t>
      </w:r>
      <w:r w:rsidR="00C11F13">
        <w:t>U</w:t>
      </w:r>
      <w:r w:rsidR="00B7123E">
        <w:t xml:space="preserve">pdate will </w:t>
      </w:r>
      <w:r w:rsidR="00C11F13">
        <w:t>be published as</w:t>
      </w:r>
      <w:r w:rsidR="00B7123E">
        <w:t xml:space="preserve"> a separate </w:t>
      </w:r>
      <w:r w:rsidR="00C11F13">
        <w:t xml:space="preserve">report </w:t>
      </w:r>
      <w:r w:rsidR="00B7123E">
        <w:t>in the interim years.</w:t>
      </w:r>
    </w:p>
    <w:p w14:paraId="1D0A6CE7" w14:textId="6FFCDC77" w:rsidR="00B7123E" w:rsidRDefault="00B7123E" w:rsidP="00840F75">
      <w:pPr>
        <w:pStyle w:val="BodyText"/>
      </w:pPr>
      <w:r>
        <w:t>The remainder of this paper is</w:t>
      </w:r>
      <w:r w:rsidR="00BC36BF">
        <w:t xml:space="preserve"> structured as follows. Section </w:t>
      </w:r>
      <w:r>
        <w:t xml:space="preserve">1.2 discusses the drivers of productivity growth and explores trends in Australia’s productivity performance, </w:t>
      </w:r>
      <w:r w:rsidR="005C2D5B">
        <w:t>and</w:t>
      </w:r>
      <w:r>
        <w:t xml:space="preserve"> international trends. Section</w:t>
      </w:r>
      <w:r w:rsidR="00EE434A">
        <w:t> </w:t>
      </w:r>
      <w:r>
        <w:t>1.3 discusses some explanations for the observed international pro</w:t>
      </w:r>
      <w:r w:rsidR="00BC36BF">
        <w:t>ductivity slowdown, and section </w:t>
      </w:r>
      <w:r>
        <w:t>1.4 draws implications of recent productivity performance, and international trends, for income and</w:t>
      </w:r>
      <w:r w:rsidR="00F72272">
        <w:t xml:space="preserve"> wages growth, and inequality. </w:t>
      </w:r>
    </w:p>
    <w:p w14:paraId="1D0A6CE8" w14:textId="77777777" w:rsidR="00F42BA5" w:rsidRPr="0033457E" w:rsidRDefault="001805A2" w:rsidP="0033457E">
      <w:pPr>
        <w:pStyle w:val="Heading2"/>
      </w:pPr>
      <w:bookmarkStart w:id="11" w:name="_Toc489008889"/>
      <w:r w:rsidRPr="0033457E">
        <w:lastRenderedPageBreak/>
        <w:t>2</w:t>
      </w:r>
      <w:r w:rsidR="00F42BA5" w:rsidRPr="0033457E">
        <w:tab/>
      </w:r>
      <w:r w:rsidR="00207304" w:rsidRPr="0033457E">
        <w:t>Australia’</w:t>
      </w:r>
      <w:r w:rsidR="00E96EB8" w:rsidRPr="0033457E">
        <w:t>s productivity trends</w:t>
      </w:r>
      <w:bookmarkEnd w:id="11"/>
    </w:p>
    <w:p w14:paraId="1D0A6CE9" w14:textId="77777777" w:rsidR="001817C1" w:rsidRDefault="007709A9" w:rsidP="005C3C7A">
      <w:pPr>
        <w:pStyle w:val="BodyText"/>
      </w:pPr>
      <w:r>
        <w:t xml:space="preserve">Productivity growth is </w:t>
      </w:r>
      <w:r w:rsidR="0085390F">
        <w:t>a</w:t>
      </w:r>
      <w:r w:rsidR="00833B7F">
        <w:t xml:space="preserve"> </w:t>
      </w:r>
      <w:r>
        <w:t>key source of long</w:t>
      </w:r>
      <w:r w:rsidR="00822339">
        <w:noBreakHyphen/>
      </w:r>
      <w:r>
        <w:t xml:space="preserve">term economic </w:t>
      </w:r>
      <w:r w:rsidR="002D4778">
        <w:t>and</w:t>
      </w:r>
      <w:r>
        <w:t xml:space="preserve"> income growth</w:t>
      </w:r>
      <w:r w:rsidR="002D4778">
        <w:t>, and a</w:t>
      </w:r>
      <w:r w:rsidR="000D54EF">
        <w:t xml:space="preserve">s such, </w:t>
      </w:r>
      <w:r>
        <w:t xml:space="preserve">is an important determinant of a </w:t>
      </w:r>
      <w:r w:rsidR="00005BBC">
        <w:t xml:space="preserve">country’s </w:t>
      </w:r>
      <w:r w:rsidR="0085390F">
        <w:t>average</w:t>
      </w:r>
      <w:r>
        <w:t xml:space="preserve"> </w:t>
      </w:r>
      <w:r w:rsidR="0089363F">
        <w:t>living standards</w:t>
      </w:r>
      <w:r>
        <w:t xml:space="preserve">. </w:t>
      </w:r>
      <w:r w:rsidR="006B52E3">
        <w:t>Conceptually, i</w:t>
      </w:r>
      <w:r w:rsidR="0085390F">
        <w:t xml:space="preserve">t </w:t>
      </w:r>
      <w:r w:rsidR="001C6380">
        <w:t>seeks to quantity</w:t>
      </w:r>
      <w:r w:rsidR="003F0DCD" w:rsidRPr="003F0DCD">
        <w:t xml:space="preserve"> how efficiently resources, such as capital and labour, </w:t>
      </w:r>
      <w:r w:rsidR="001C6380">
        <w:t xml:space="preserve">but also land, </w:t>
      </w:r>
      <w:r w:rsidR="0089363F">
        <w:t>energy,</w:t>
      </w:r>
      <w:r w:rsidR="001C6380">
        <w:t xml:space="preserve"> </w:t>
      </w:r>
      <w:r w:rsidR="0089363F">
        <w:t>environmental services, and other unpriced public goods,</w:t>
      </w:r>
      <w:r w:rsidR="001C6380">
        <w:t xml:space="preserve"> </w:t>
      </w:r>
      <w:r w:rsidR="003F0DCD" w:rsidRPr="003F0DCD">
        <w:t xml:space="preserve">are used to produce </w:t>
      </w:r>
      <w:r w:rsidR="006B52E3">
        <w:t xml:space="preserve">output — </w:t>
      </w:r>
      <w:r w:rsidR="003F0DCD" w:rsidRPr="003F0DCD">
        <w:t xml:space="preserve">the goods and services we </w:t>
      </w:r>
      <w:r w:rsidR="0089363F">
        <w:t xml:space="preserve">choose to </w:t>
      </w:r>
      <w:r w:rsidR="003F0DCD" w:rsidRPr="003F0DCD">
        <w:t xml:space="preserve">consume every day. </w:t>
      </w:r>
      <w:r w:rsidR="0030384B">
        <w:t>In a measured sense, g</w:t>
      </w:r>
      <w:r w:rsidR="003F0DCD" w:rsidRPr="003F0DCD">
        <w:t xml:space="preserve">rowth in productivity represents growth </w:t>
      </w:r>
      <w:r w:rsidR="006B52E3">
        <w:t>in</w:t>
      </w:r>
      <w:r w:rsidR="003F0DCD" w:rsidRPr="003F0DCD">
        <w:t xml:space="preserve"> output</w:t>
      </w:r>
      <w:r w:rsidR="002D4778">
        <w:t>s</w:t>
      </w:r>
      <w:r w:rsidR="003F0DCD" w:rsidRPr="003F0DCD">
        <w:t xml:space="preserve"> over and above </w:t>
      </w:r>
      <w:r w:rsidR="006B52E3">
        <w:t>the growth of inputs</w:t>
      </w:r>
      <w:r w:rsidR="001817C1">
        <w:t xml:space="preserve"> (box 1</w:t>
      </w:r>
      <w:r w:rsidR="0030384B">
        <w:t xml:space="preserve"> outlines the key measurement concepts</w:t>
      </w:r>
      <w:r w:rsidR="001817C1">
        <w:t>)</w:t>
      </w:r>
      <w:r w:rsidR="006B52E3">
        <w:t xml:space="preserve">. </w:t>
      </w:r>
    </w:p>
    <w:p w14:paraId="1D0A6CEA" w14:textId="77777777" w:rsidR="001C6380" w:rsidRDefault="0085390F" w:rsidP="005C3C7A">
      <w:pPr>
        <w:pStyle w:val="BodyText"/>
      </w:pPr>
      <w:r>
        <w:t>Over the long</w:t>
      </w:r>
      <w:r>
        <w:noBreakHyphen/>
        <w:t xml:space="preserve">term, productivity growth </w:t>
      </w:r>
      <w:r w:rsidR="00134A25">
        <w:t>support</w:t>
      </w:r>
      <w:r w:rsidR="0096157A">
        <w:t>s the</w:t>
      </w:r>
      <w:r w:rsidR="00134A25">
        <w:t xml:space="preserve"> </w:t>
      </w:r>
      <w:r w:rsidR="001817C1">
        <w:t xml:space="preserve">additional consumption of </w:t>
      </w:r>
      <w:r w:rsidR="001C6380">
        <w:t xml:space="preserve">the </w:t>
      </w:r>
      <w:r w:rsidR="001817C1">
        <w:t xml:space="preserve">goods and services desired by </w:t>
      </w:r>
      <w:r w:rsidR="001E41A2">
        <w:t>the population</w:t>
      </w:r>
      <w:r w:rsidR="001817C1">
        <w:t>.</w:t>
      </w:r>
      <w:r w:rsidR="006B7780">
        <w:t xml:space="preserve"> </w:t>
      </w:r>
      <w:r w:rsidR="001E41A2">
        <w:t xml:space="preserve">Tax and transfer policy </w:t>
      </w:r>
      <w:r w:rsidR="006B7780">
        <w:t xml:space="preserve">settings </w:t>
      </w:r>
      <w:r w:rsidR="001E41A2">
        <w:t xml:space="preserve">that tilt </w:t>
      </w:r>
      <w:r w:rsidR="0096157A">
        <w:t xml:space="preserve">the </w:t>
      </w:r>
      <w:r w:rsidR="001C6380">
        <w:t xml:space="preserve">distribution </w:t>
      </w:r>
      <w:r w:rsidR="0096157A">
        <w:t xml:space="preserve">of income </w:t>
      </w:r>
      <w:r w:rsidR="006B7780" w:rsidDel="001E41A2">
        <w:t xml:space="preserve">to support the </w:t>
      </w:r>
      <w:r w:rsidR="001C6380">
        <w:t>less well</w:t>
      </w:r>
      <w:r w:rsidR="001C24AE">
        <w:noBreakHyphen/>
      </w:r>
      <w:r w:rsidR="001C6380">
        <w:t>off</w:t>
      </w:r>
      <w:r w:rsidR="001E41A2">
        <w:t xml:space="preserve"> mean that </w:t>
      </w:r>
      <w:r w:rsidR="0096157A">
        <w:t>all members of society can benefit</w:t>
      </w:r>
      <w:r w:rsidR="001E41A2">
        <w:t xml:space="preserve"> from productivity growth</w:t>
      </w:r>
      <w:r w:rsidR="001C6380">
        <w:t xml:space="preserve">. </w:t>
      </w:r>
      <w:r w:rsidR="0096157A">
        <w:t>Moreover,</w:t>
      </w:r>
      <w:r w:rsidR="001C6380">
        <w:t xml:space="preserve"> productivity improvements </w:t>
      </w:r>
      <w:r w:rsidR="0096157A">
        <w:t xml:space="preserve">that increase the demand for low skilled workers mean </w:t>
      </w:r>
      <w:r w:rsidR="001C6380">
        <w:t xml:space="preserve">higher </w:t>
      </w:r>
      <w:r w:rsidR="005814D9">
        <w:t>wages</w:t>
      </w:r>
      <w:r w:rsidR="001C6380">
        <w:t xml:space="preserve"> </w:t>
      </w:r>
      <w:r w:rsidR="0096157A">
        <w:t xml:space="preserve">and employment opportunities </w:t>
      </w:r>
      <w:r w:rsidR="001C6380">
        <w:t xml:space="preserve">for those who </w:t>
      </w:r>
      <w:r w:rsidR="001E41A2">
        <w:t>have fewer skills</w:t>
      </w:r>
      <w:r w:rsidR="00B95A25">
        <w:t xml:space="preserve">. </w:t>
      </w:r>
      <w:r w:rsidR="0096157A">
        <w:t xml:space="preserve">For example, if new technologies complement the skills of care workers so that they can provide more services per hour worked, government funding will stretch further and could see an increase in the demand for these workers as the value of their service rises. Productivity growth at this end of the skill spectrum </w:t>
      </w:r>
      <w:r w:rsidR="001E41A2">
        <w:t>that grows the market</w:t>
      </w:r>
      <w:r w:rsidR="0096157A">
        <w:t xml:space="preserve"> reduce</w:t>
      </w:r>
      <w:r w:rsidR="001E41A2">
        <w:t>s</w:t>
      </w:r>
      <w:r w:rsidR="0096157A">
        <w:t xml:space="preserve"> the need for welfare payments</w:t>
      </w:r>
      <w:r w:rsidR="001C6380">
        <w:t xml:space="preserve">, </w:t>
      </w:r>
      <w:r w:rsidR="001E41A2">
        <w:t>to the benefit of these workers and the</w:t>
      </w:r>
      <w:r w:rsidR="0096157A">
        <w:t xml:space="preserve"> public budget. </w:t>
      </w:r>
    </w:p>
    <w:p w14:paraId="1D0A6CEB" w14:textId="77777777" w:rsidR="003F0DCD" w:rsidRDefault="006B7780" w:rsidP="005C3C7A">
      <w:pPr>
        <w:pStyle w:val="BodyText"/>
      </w:pPr>
      <w:r>
        <w:t xml:space="preserve">Importantly, productivity growth </w:t>
      </w:r>
      <w:r w:rsidR="0096157A" w:rsidRPr="0096157A">
        <w:t xml:space="preserve">is essential for sustainable growth, as it is only by delivering more output </w:t>
      </w:r>
      <w:r w:rsidR="00B95A25">
        <w:t xml:space="preserve">— the goods and services we consume every day — </w:t>
      </w:r>
      <w:r w:rsidR="0096157A" w:rsidRPr="0096157A">
        <w:t>for less inputs that living standards can rise without eroding the quality of the environment.</w:t>
      </w:r>
      <w:r w:rsidR="0096157A">
        <w:t xml:space="preserve"> </w:t>
      </w:r>
      <w:r w:rsidR="00A56E17">
        <w:t xml:space="preserve">By making production processes inherently more sustainable, productivity growth improves the </w:t>
      </w:r>
      <w:r w:rsidR="001C6380">
        <w:t>intergenerational equality of consumption opportunities</w:t>
      </w:r>
      <w:r w:rsidR="00A56E17">
        <w:t xml:space="preserve">. </w:t>
      </w:r>
    </w:p>
    <w:p w14:paraId="1D0A6CEC" w14:textId="187D9A9D" w:rsidR="00B15DAA" w:rsidRDefault="00A56E17" w:rsidP="005C3C7A">
      <w:pPr>
        <w:pStyle w:val="BodyText"/>
      </w:pPr>
      <w:r>
        <w:t>P</w:t>
      </w:r>
      <w:r w:rsidR="001817C1">
        <w:t xml:space="preserve">roductivity growth </w:t>
      </w:r>
      <w:r w:rsidR="00134A25">
        <w:t xml:space="preserve">should </w:t>
      </w:r>
      <w:r w:rsidR="00134A25" w:rsidRPr="0089363F">
        <w:rPr>
          <w:i/>
        </w:rPr>
        <w:t>not</w:t>
      </w:r>
      <w:r w:rsidR="0089363F">
        <w:t xml:space="preserve"> </w:t>
      </w:r>
      <w:r w:rsidR="00134A25">
        <w:t xml:space="preserve">be considered </w:t>
      </w:r>
      <w:r>
        <w:t xml:space="preserve">the </w:t>
      </w:r>
      <w:r w:rsidR="00134A25">
        <w:t xml:space="preserve">end </w:t>
      </w:r>
      <w:r w:rsidR="002D4778">
        <w:t xml:space="preserve">policy </w:t>
      </w:r>
      <w:r>
        <w:t>objective</w:t>
      </w:r>
      <w:r w:rsidR="002D4778">
        <w:t>, particularly in the short</w:t>
      </w:r>
      <w:r w:rsidR="001817C1">
        <w:noBreakHyphen/>
      </w:r>
      <w:r w:rsidR="002D4778">
        <w:t xml:space="preserve">term. Policies </w:t>
      </w:r>
      <w:r w:rsidR="005C68E1">
        <w:t>that</w:t>
      </w:r>
      <w:r w:rsidR="001817C1">
        <w:t>, for example,</w:t>
      </w:r>
      <w:r w:rsidR="002D4778">
        <w:t xml:space="preserve"> reduce unemployment or </w:t>
      </w:r>
      <w:r w:rsidR="0089363F">
        <w:t>enable greater</w:t>
      </w:r>
      <w:r w:rsidR="002D4778">
        <w:t xml:space="preserve"> labour force participation </w:t>
      </w:r>
      <w:r w:rsidR="001817C1">
        <w:t>could</w:t>
      </w:r>
      <w:r w:rsidR="002D4778">
        <w:t xml:space="preserve"> </w:t>
      </w:r>
      <w:r w:rsidR="00BC0095">
        <w:t xml:space="preserve">well </w:t>
      </w:r>
      <w:r w:rsidR="002D4778">
        <w:t>reduce productivity</w:t>
      </w:r>
      <w:r w:rsidR="0030384B">
        <w:t xml:space="preserve"> </w:t>
      </w:r>
      <w:r w:rsidR="00B15DAA">
        <w:t xml:space="preserve">per hour </w:t>
      </w:r>
      <w:r w:rsidR="0030384B">
        <w:t>(because, by definition less productiv</w:t>
      </w:r>
      <w:r w:rsidR="00AD0CC1">
        <w:t>e workers are being brought in</w:t>
      </w:r>
      <w:r w:rsidR="0030384B">
        <w:t xml:space="preserve">, and reducing the </w:t>
      </w:r>
      <w:r w:rsidR="0030384B" w:rsidRPr="00A06A48">
        <w:rPr>
          <w:i/>
        </w:rPr>
        <w:t>average</w:t>
      </w:r>
      <w:r w:rsidR="0030384B">
        <w:t xml:space="preserve"> productivity of the labour force)</w:t>
      </w:r>
      <w:r w:rsidR="002D4778">
        <w:t xml:space="preserve">, but </w:t>
      </w:r>
      <w:r w:rsidR="0030384B">
        <w:t xml:space="preserve">this </w:t>
      </w:r>
      <w:r w:rsidR="001817C1">
        <w:t xml:space="preserve">clearly </w:t>
      </w:r>
      <w:r w:rsidR="002D4778">
        <w:t>represent</w:t>
      </w:r>
      <w:r w:rsidR="0030384B">
        <w:t>s</w:t>
      </w:r>
      <w:r w:rsidR="002D4778">
        <w:t xml:space="preserve"> a socially desirable outcome.</w:t>
      </w:r>
      <w:r w:rsidR="00134A25">
        <w:t xml:space="preserve"> </w:t>
      </w:r>
      <w:r w:rsidR="00B15DAA">
        <w:t xml:space="preserve">It also entails more output </w:t>
      </w:r>
      <w:r w:rsidR="00B15DAA" w:rsidRPr="00B15DAA">
        <w:rPr>
          <w:i/>
        </w:rPr>
        <w:t>per capita</w:t>
      </w:r>
      <w:r w:rsidR="00B15DAA">
        <w:rPr>
          <w:i/>
        </w:rPr>
        <w:t xml:space="preserve">. </w:t>
      </w:r>
      <w:r w:rsidR="00B15DAA" w:rsidRPr="00B95A25">
        <w:t>I</w:t>
      </w:r>
      <w:r w:rsidR="00B15DAA" w:rsidRPr="00B15DAA">
        <w:t>n</w:t>
      </w:r>
      <w:r w:rsidR="00B15DAA">
        <w:t xml:space="preserve"> that broader sense, making better use of the total resources of a society can also be interpreted as a productivity improvement.</w:t>
      </w:r>
    </w:p>
    <w:p w14:paraId="1D0A6CED" w14:textId="5AB00A96" w:rsidR="00134A25" w:rsidRDefault="00C9206E" w:rsidP="005C3C7A">
      <w:pPr>
        <w:pStyle w:val="BodyText"/>
      </w:pPr>
      <w:r>
        <w:t>The broad definition of productivity is what matters</w:t>
      </w:r>
      <w:r w:rsidR="00696785">
        <w:t>.</w:t>
      </w:r>
      <w:r w:rsidR="00A56E17">
        <w:t xml:space="preserve"> </w:t>
      </w:r>
      <w:r w:rsidR="00696785">
        <w:t>Skills</w:t>
      </w:r>
      <w:r w:rsidR="00A56E17">
        <w:t xml:space="preserve"> built through employment </w:t>
      </w:r>
      <w:r>
        <w:t>increase</w:t>
      </w:r>
      <w:r w:rsidR="00A56E17">
        <w:t xml:space="preserve"> the quality of the labour force, contributing to higher productivity. </w:t>
      </w:r>
      <w:r>
        <w:t>And while using</w:t>
      </w:r>
      <w:r w:rsidR="00A56E17">
        <w:t xml:space="preserve"> natural resource</w:t>
      </w:r>
      <w:r>
        <w:t>s in an unsustainable way</w:t>
      </w:r>
      <w:r w:rsidR="00A56E17">
        <w:t xml:space="preserve"> can boost productivity growth in the short run </w:t>
      </w:r>
      <w:r>
        <w:t>(</w:t>
      </w:r>
      <w:r w:rsidR="00A56E17">
        <w:t>as firms save costs by not having to put environmental management strategies in place</w:t>
      </w:r>
      <w:r>
        <w:t>),</w:t>
      </w:r>
      <w:r w:rsidR="00A56E17">
        <w:t xml:space="preserve"> in the long run</w:t>
      </w:r>
      <w:r>
        <w:t xml:space="preserve"> this will sap</w:t>
      </w:r>
      <w:r w:rsidR="00A56E17">
        <w:t xml:space="preserve"> productivity growth. </w:t>
      </w:r>
      <w:r>
        <w:t>Hence using all ou</w:t>
      </w:r>
      <w:r w:rsidR="00392986">
        <w:t>r resources with a view to long</w:t>
      </w:r>
      <w:r w:rsidR="00392986">
        <w:noBreakHyphen/>
      </w:r>
      <w:r>
        <w:t xml:space="preserve">term productivity will </w:t>
      </w:r>
      <w:r w:rsidR="00134A25">
        <w:t xml:space="preserve">contribute to improved </w:t>
      </w:r>
      <w:r w:rsidR="00035A5F">
        <w:t>living standards</w:t>
      </w:r>
      <w:r w:rsidR="00134A25">
        <w:t xml:space="preserve"> </w:t>
      </w:r>
      <w:r w:rsidR="002D4778">
        <w:t xml:space="preserve">over </w:t>
      </w:r>
      <w:r>
        <w:t xml:space="preserve">time </w:t>
      </w:r>
      <w:r w:rsidR="00134A25">
        <w:t xml:space="preserve">through </w:t>
      </w:r>
      <w:r w:rsidR="00BC0095">
        <w:t>wage</w:t>
      </w:r>
      <w:r w:rsidR="00134A25">
        <w:t xml:space="preserve"> and income growth</w:t>
      </w:r>
      <w:r>
        <w:t>. This</w:t>
      </w:r>
      <w:r w:rsidR="0089363F" w:rsidDel="00C9206E">
        <w:t xml:space="preserve"> is </w:t>
      </w:r>
      <w:r w:rsidR="0089363F">
        <w:t>of primary import</w:t>
      </w:r>
      <w:r w:rsidR="00B329A5">
        <w:t>ance</w:t>
      </w:r>
      <w:r>
        <w:t xml:space="preserve"> to the Australian population and needs to be the focus of </w:t>
      </w:r>
      <w:r w:rsidR="00BC0095">
        <w:t>continued reform efforts by governments</w:t>
      </w:r>
      <w:r w:rsidR="00134A25">
        <w:t>.</w:t>
      </w:r>
      <w:r w:rsidR="00A06A48">
        <w:t xml:space="preserve"> </w:t>
      </w:r>
    </w:p>
    <w:p w14:paraId="1D0A6CEE" w14:textId="77777777" w:rsidR="006F575C" w:rsidRDefault="006F575C" w:rsidP="006F575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6F575C" w14:paraId="1D0A6CF0" w14:textId="77777777" w:rsidTr="006F575C">
        <w:tc>
          <w:tcPr>
            <w:tcW w:w="8771" w:type="dxa"/>
            <w:tcBorders>
              <w:top w:val="single" w:sz="6" w:space="0" w:color="78A22F"/>
              <w:left w:val="nil"/>
              <w:bottom w:val="nil"/>
              <w:right w:val="nil"/>
            </w:tcBorders>
            <w:shd w:val="clear" w:color="auto" w:fill="F2F2F2"/>
          </w:tcPr>
          <w:p w14:paraId="1D0A6CEF" w14:textId="77777777" w:rsidR="006F575C" w:rsidRDefault="006F575C" w:rsidP="00E6296D">
            <w:pPr>
              <w:pStyle w:val="BoxTitle"/>
            </w:pPr>
            <w:r>
              <w:rPr>
                <w:b w:val="0"/>
              </w:rPr>
              <w:t xml:space="preserve">Box </w:t>
            </w:r>
            <w:r>
              <w:rPr>
                <w:b w:val="0"/>
                <w:noProof/>
              </w:rPr>
              <w:t>1</w:t>
            </w:r>
            <w:r>
              <w:tab/>
              <w:t>Measured productivity – key concepts</w:t>
            </w:r>
          </w:p>
        </w:tc>
      </w:tr>
      <w:tr w:rsidR="006F575C" w14:paraId="1D0A6CF6" w14:textId="77777777" w:rsidTr="006F575C">
        <w:trPr>
          <w:cantSplit/>
        </w:trPr>
        <w:tc>
          <w:tcPr>
            <w:tcW w:w="8771" w:type="dxa"/>
            <w:tcBorders>
              <w:top w:val="nil"/>
              <w:left w:val="nil"/>
              <w:bottom w:val="nil"/>
              <w:right w:val="nil"/>
            </w:tcBorders>
            <w:shd w:val="clear" w:color="auto" w:fill="F2F2F2"/>
          </w:tcPr>
          <w:p w14:paraId="1D0A6CF1" w14:textId="77777777" w:rsidR="006F575C" w:rsidRDefault="006F575C" w:rsidP="006F575C">
            <w:pPr>
              <w:pStyle w:val="Box"/>
            </w:pPr>
            <w:r w:rsidRPr="005B704A">
              <w:rPr>
                <w:b/>
                <w:i/>
              </w:rPr>
              <w:t>Labour productivity</w:t>
            </w:r>
            <w:r>
              <w:t xml:space="preserve"> (LP) (output produced per unit of labour input) measures the efficiency of labour. In practice, measured LP growth reflects not only changes in the efficiency of labour in isolation but also the value added from additional capital investment (e.g. equipment, machines and information and communications technologies used in production). Growth in the ratio of (</w:t>
            </w:r>
            <w:r w:rsidRPr="005F37D1">
              <w:t>quantities</w:t>
            </w:r>
            <w:r>
              <w:t xml:space="preserve"> of) capital to labour, termed capital deepening, improves the productivity of labour because </w:t>
            </w:r>
            <w:r w:rsidRPr="006A0AE0">
              <w:t>capital and labour are complementary inputs to production.</w:t>
            </w:r>
            <w:r>
              <w:t xml:space="preserve"> However, LP also captures any improvements to the </w:t>
            </w:r>
            <w:r w:rsidRPr="003F0DCD">
              <w:rPr>
                <w:i/>
              </w:rPr>
              <w:t>quality</w:t>
            </w:r>
            <w:r>
              <w:t xml:space="preserve"> of inputs or the efficiency with which they are combined (referred to as multifactor productivity).</w:t>
            </w:r>
          </w:p>
          <w:p w14:paraId="1D0A6CF2" w14:textId="77777777" w:rsidR="006F575C" w:rsidRDefault="006F575C" w:rsidP="006F575C">
            <w:pPr>
              <w:pStyle w:val="Box"/>
            </w:pPr>
            <w:r w:rsidRPr="005B704A">
              <w:rPr>
                <w:b/>
                <w:i/>
              </w:rPr>
              <w:t>Multifactor productivity</w:t>
            </w:r>
            <w:r>
              <w:t xml:space="preserve"> (MFP) (output produced per unit of combined inputs of labour and capital) measures how efficiently both labour and capital inputs are used. It can be thought of as a weighted average of labour productivity and capital productivity. Measured MFP growth reflects changes in output (value added — gross output less intermediate inputs) occurring for reasons other than increases in the </w:t>
            </w:r>
            <w:r w:rsidRPr="005F37D1">
              <w:rPr>
                <w:i/>
              </w:rPr>
              <w:t>quantity</w:t>
            </w:r>
            <w:r>
              <w:t xml:space="preserve"> of labour and capital. </w:t>
            </w:r>
            <w:r w:rsidRPr="001F2EFC">
              <w:t>This may include new management practices that allow capital and labour to be combined more effectively</w:t>
            </w:r>
            <w:r>
              <w:t xml:space="preserve">, more advanced technology embedded in new capital, and a more skilled or educated workforce. It is thereby an indicator of technological change. </w:t>
            </w:r>
          </w:p>
          <w:p w14:paraId="1D0A6CF3" w14:textId="77777777" w:rsidR="006F575C" w:rsidRDefault="006F575C" w:rsidP="006F575C">
            <w:pPr>
              <w:pStyle w:val="Box"/>
            </w:pPr>
            <w:r>
              <w:t xml:space="preserve">MFP will also capture any </w:t>
            </w:r>
            <w:r w:rsidRPr="001F2EFC">
              <w:t xml:space="preserve">mismeasurement of labour or capital inputs, </w:t>
            </w:r>
            <w:r>
              <w:t>or</w:t>
            </w:r>
            <w:r w:rsidRPr="001F2EFC">
              <w:t xml:space="preserve"> of outputs</w:t>
            </w:r>
            <w:r>
              <w:t xml:space="preserve">. This includes the contribution of ‘free inputs’ such as rainfall. Unsurprisingly, MFP in agriculture falls during droughts. Annual MFP also reflects </w:t>
            </w:r>
            <w:r w:rsidRPr="001F2EFC">
              <w:t xml:space="preserve">changes in the </w:t>
            </w:r>
            <w:r>
              <w:t xml:space="preserve">rate of </w:t>
            </w:r>
            <w:r w:rsidRPr="001F2EFC">
              <w:t xml:space="preserve">utilisation of capital </w:t>
            </w:r>
            <w:r>
              <w:t>(</w:t>
            </w:r>
            <w:r w:rsidRPr="001F2EFC">
              <w:t xml:space="preserve">due, for example, to fluctuations in </w:t>
            </w:r>
            <w:r>
              <w:t>cyclical economic conditions</w:t>
            </w:r>
            <w:r w:rsidRPr="001F2EFC">
              <w:t xml:space="preserve">). </w:t>
            </w:r>
            <w:r>
              <w:t xml:space="preserve">As a result, productivity trends are best measured using productivity cycles, which measure </w:t>
            </w:r>
            <w:r w:rsidRPr="00B00AC3">
              <w:t xml:space="preserve">average annual </w:t>
            </w:r>
            <w:r>
              <w:t xml:space="preserve">MFP growth </w:t>
            </w:r>
            <w:r w:rsidRPr="00B00AC3">
              <w:t>between cyclical peaks</w:t>
            </w:r>
            <w:r>
              <w:t>. For manufacturing this cycle is the business cycle, while for agriculture the best measure is over the weather cycle.</w:t>
            </w:r>
          </w:p>
          <w:p w14:paraId="1D0A6CF4" w14:textId="77777777" w:rsidR="006F575C" w:rsidRDefault="006F575C" w:rsidP="006F575C">
            <w:pPr>
              <w:pStyle w:val="Box"/>
            </w:pPr>
            <w:r>
              <w:rPr>
                <w:b/>
                <w:i/>
              </w:rPr>
              <w:t xml:space="preserve">Total factor productivity </w:t>
            </w:r>
            <w:r>
              <w:t>(</w:t>
            </w:r>
            <w:proofErr w:type="spellStart"/>
            <w:r>
              <w:t>TFP</w:t>
            </w:r>
            <w:proofErr w:type="spellEnd"/>
            <w:r>
              <w:t xml:space="preserve">) is conceptually similar to MFP but, in addition to capital and labour, includes all other intermediate inputs, such as utility services like energy, as inputs to the production process. Hence </w:t>
            </w:r>
            <w:proofErr w:type="spellStart"/>
            <w:r>
              <w:t>TFP</w:t>
            </w:r>
            <w:proofErr w:type="spellEnd"/>
            <w:r>
              <w:t xml:space="preserve"> measures the ratio of gross output to all inputs, and is the measure that comes closest to the underlying concept of technological progress. </w:t>
            </w:r>
          </w:p>
          <w:p w14:paraId="1D0A6CF5" w14:textId="77777777" w:rsidR="006F575C" w:rsidRPr="00C34E15" w:rsidRDefault="006F575C" w:rsidP="006F575C">
            <w:pPr>
              <w:pStyle w:val="Box"/>
              <w:spacing w:after="120"/>
            </w:pPr>
            <w:r>
              <w:t>The ABS does produce experimental gross output</w:t>
            </w:r>
            <w:r>
              <w:noBreakHyphen/>
              <w:t xml:space="preserve">based </w:t>
            </w:r>
            <w:proofErr w:type="spellStart"/>
            <w:r>
              <w:t>TFP</w:t>
            </w:r>
            <w:proofErr w:type="spellEnd"/>
            <w:r>
              <w:t xml:space="preserve"> indicators for the market sector industries with a lag. However, given an interest in current performance, long</w:t>
            </w:r>
            <w:r>
              <w:noBreakHyphen/>
              <w:t xml:space="preserve">run trends, and comparability across industries and countries, analysis is generally reliant on indicators of LP and MFP. Furthermore, LP is of interest because of its relationship with growth in wages and therefore people’s average incomes, as discussed in section 1.3. </w:t>
            </w:r>
          </w:p>
        </w:tc>
      </w:tr>
      <w:tr w:rsidR="006F575C" w14:paraId="1D0A6CF8" w14:textId="77777777" w:rsidTr="006F575C">
        <w:trPr>
          <w:cantSplit/>
        </w:trPr>
        <w:tc>
          <w:tcPr>
            <w:tcW w:w="8771" w:type="dxa"/>
            <w:tcBorders>
              <w:top w:val="nil"/>
              <w:left w:val="nil"/>
              <w:bottom w:val="nil"/>
              <w:right w:val="nil"/>
            </w:tcBorders>
            <w:shd w:val="clear" w:color="auto" w:fill="F2F2F2"/>
          </w:tcPr>
          <w:p w14:paraId="1D0A6CF7" w14:textId="77777777" w:rsidR="006F575C" w:rsidRPr="00B250AD" w:rsidRDefault="006F575C" w:rsidP="007A5A4A">
            <w:pPr>
              <w:widowControl w:val="0"/>
              <w:autoSpaceDE w:val="0"/>
              <w:autoSpaceDN w:val="0"/>
              <w:adjustRightInd w:val="0"/>
              <w:rPr>
                <w:rFonts w:asciiTheme="minorHAnsi" w:hAnsiTheme="minorHAnsi" w:cstheme="minorHAnsi"/>
                <w:sz w:val="18"/>
                <w:szCs w:val="18"/>
              </w:rPr>
            </w:pPr>
            <w:r w:rsidRPr="00B250AD">
              <w:rPr>
                <w:rFonts w:asciiTheme="minorHAnsi" w:hAnsiTheme="minorHAnsi" w:cstheme="minorHAnsi"/>
                <w:i/>
                <w:sz w:val="18"/>
                <w:szCs w:val="18"/>
              </w:rPr>
              <w:t>Sources</w:t>
            </w:r>
            <w:r w:rsidR="007A5A4A">
              <w:rPr>
                <w:rFonts w:asciiTheme="minorHAnsi" w:hAnsiTheme="minorHAnsi" w:cstheme="minorHAnsi"/>
                <w:sz w:val="18"/>
                <w:szCs w:val="18"/>
              </w:rPr>
              <w:t xml:space="preserve">: Gordon, Zhao, and </w:t>
            </w:r>
            <w:proofErr w:type="spellStart"/>
            <w:r w:rsidR="007A5A4A">
              <w:rPr>
                <w:rFonts w:asciiTheme="minorHAnsi" w:hAnsiTheme="minorHAnsi" w:cstheme="minorHAnsi"/>
                <w:sz w:val="18"/>
                <w:szCs w:val="18"/>
              </w:rPr>
              <w:t>Gretton</w:t>
            </w:r>
            <w:proofErr w:type="spellEnd"/>
            <w:r w:rsidRPr="00B250AD">
              <w:rPr>
                <w:rFonts w:asciiTheme="minorHAnsi" w:hAnsiTheme="minorHAnsi" w:cstheme="minorHAnsi"/>
                <w:sz w:val="18"/>
                <w:szCs w:val="18"/>
              </w:rPr>
              <w:t xml:space="preserve"> (2015); PC </w:t>
            </w:r>
            <w:r w:rsidRPr="006E3A21">
              <w:rPr>
                <w:rFonts w:ascii="Arial" w:hAnsi="Arial" w:cs="Arial"/>
                <w:sz w:val="18"/>
              </w:rPr>
              <w:t>(</w:t>
            </w:r>
            <w:proofErr w:type="spellStart"/>
            <w:r w:rsidRPr="006E3A21">
              <w:rPr>
                <w:rFonts w:ascii="Arial" w:hAnsi="Arial" w:cs="Arial"/>
                <w:sz w:val="18"/>
              </w:rPr>
              <w:t>2016b</w:t>
            </w:r>
            <w:proofErr w:type="spellEnd"/>
            <w:r w:rsidRPr="006E3A21">
              <w:rPr>
                <w:rFonts w:ascii="Arial" w:hAnsi="Arial" w:cs="Arial"/>
                <w:sz w:val="18"/>
              </w:rPr>
              <w:t>)</w:t>
            </w:r>
            <w:r w:rsidRPr="00B250AD">
              <w:rPr>
                <w:rFonts w:asciiTheme="minorHAnsi" w:hAnsiTheme="minorHAnsi" w:cstheme="minorHAnsi"/>
                <w:sz w:val="18"/>
                <w:szCs w:val="18"/>
              </w:rPr>
              <w:t>.</w:t>
            </w:r>
            <w:r>
              <w:rPr>
                <w:rFonts w:asciiTheme="minorHAnsi" w:hAnsiTheme="minorHAnsi" w:cstheme="minorHAnsi"/>
                <w:sz w:val="18"/>
                <w:szCs w:val="18"/>
              </w:rPr>
              <w:t xml:space="preserve"> Note that the EU</w:t>
            </w:r>
            <w:r>
              <w:rPr>
                <w:rFonts w:asciiTheme="minorHAnsi" w:hAnsiTheme="minorHAnsi" w:cstheme="minorHAnsi"/>
                <w:sz w:val="18"/>
                <w:szCs w:val="18"/>
              </w:rPr>
              <w:noBreakHyphen/>
              <w:t xml:space="preserve"> and World</w:t>
            </w:r>
            <w:r>
              <w:rPr>
                <w:rFonts w:asciiTheme="minorHAnsi" w:hAnsiTheme="minorHAnsi" w:cstheme="minorHAnsi"/>
                <w:sz w:val="18"/>
                <w:szCs w:val="18"/>
              </w:rPr>
              <w:noBreakHyphen/>
            </w:r>
            <w:proofErr w:type="spellStart"/>
            <w:r>
              <w:rPr>
                <w:rFonts w:asciiTheme="minorHAnsi" w:hAnsiTheme="minorHAnsi" w:cstheme="minorHAnsi"/>
                <w:sz w:val="18"/>
                <w:szCs w:val="18"/>
              </w:rPr>
              <w:t>KLEMS</w:t>
            </w:r>
            <w:proofErr w:type="spellEnd"/>
            <w:r>
              <w:rPr>
                <w:rFonts w:asciiTheme="minorHAnsi" w:hAnsiTheme="minorHAnsi" w:cstheme="minorHAnsi"/>
                <w:sz w:val="18"/>
                <w:szCs w:val="18"/>
              </w:rPr>
              <w:t xml:space="preserve"> projects do not produce current </w:t>
            </w:r>
            <w:proofErr w:type="spellStart"/>
            <w:r>
              <w:rPr>
                <w:rFonts w:asciiTheme="minorHAnsi" w:hAnsiTheme="minorHAnsi" w:cstheme="minorHAnsi"/>
                <w:sz w:val="18"/>
                <w:szCs w:val="18"/>
              </w:rPr>
              <w:t>TFP</w:t>
            </w:r>
            <w:proofErr w:type="spellEnd"/>
            <w:r>
              <w:rPr>
                <w:rFonts w:asciiTheme="minorHAnsi" w:hAnsiTheme="minorHAnsi" w:cstheme="minorHAnsi"/>
                <w:sz w:val="18"/>
                <w:szCs w:val="18"/>
              </w:rPr>
              <w:t xml:space="preserve"> data for Australia, instead pointing to the ABS MFP statistics. </w:t>
            </w:r>
          </w:p>
        </w:tc>
      </w:tr>
      <w:tr w:rsidR="006F575C" w14:paraId="1D0A6CFA" w14:textId="77777777" w:rsidTr="006F575C">
        <w:trPr>
          <w:cantSplit/>
        </w:trPr>
        <w:tc>
          <w:tcPr>
            <w:tcW w:w="8771" w:type="dxa"/>
            <w:tcBorders>
              <w:top w:val="nil"/>
              <w:left w:val="nil"/>
              <w:bottom w:val="single" w:sz="6" w:space="0" w:color="78A22F"/>
              <w:right w:val="nil"/>
            </w:tcBorders>
            <w:shd w:val="clear" w:color="auto" w:fill="F2F2F2"/>
          </w:tcPr>
          <w:p w14:paraId="1D0A6CF9" w14:textId="77777777" w:rsidR="006F575C" w:rsidRDefault="006F575C" w:rsidP="006F575C">
            <w:pPr>
              <w:pStyle w:val="Box"/>
              <w:spacing w:before="0" w:line="120" w:lineRule="exact"/>
            </w:pPr>
          </w:p>
        </w:tc>
      </w:tr>
      <w:tr w:rsidR="006F575C" w:rsidRPr="000863A5" w14:paraId="1D0A6CFC" w14:textId="77777777" w:rsidTr="006F575C">
        <w:tc>
          <w:tcPr>
            <w:tcW w:w="8771" w:type="dxa"/>
            <w:tcBorders>
              <w:top w:val="single" w:sz="6" w:space="0" w:color="78A22F"/>
              <w:left w:val="nil"/>
              <w:bottom w:val="nil"/>
              <w:right w:val="nil"/>
            </w:tcBorders>
          </w:tcPr>
          <w:p w14:paraId="1D0A6CFB" w14:textId="77777777" w:rsidR="006F575C" w:rsidRPr="00626D32" w:rsidRDefault="006F575C" w:rsidP="006F575C">
            <w:pPr>
              <w:pStyle w:val="BoxSpaceBelow"/>
            </w:pPr>
          </w:p>
        </w:tc>
      </w:tr>
    </w:tbl>
    <w:p w14:paraId="1D0A6CFD" w14:textId="77777777" w:rsidR="00B756A5" w:rsidRDefault="00A56E17" w:rsidP="005C3C7A">
      <w:pPr>
        <w:pStyle w:val="BodyText"/>
      </w:pPr>
      <w:r>
        <w:t>Over the short to medium term, g</w:t>
      </w:r>
      <w:r w:rsidR="00A06A48" w:rsidRPr="00A06A48">
        <w:t xml:space="preserve">rowth in productivity </w:t>
      </w:r>
      <w:r w:rsidR="00A06A48">
        <w:t>is</w:t>
      </w:r>
      <w:r w:rsidRPr="00A06A48" w:rsidDel="00A56E17">
        <w:t xml:space="preserve"> </w:t>
      </w:r>
      <w:r w:rsidR="00A06A48" w:rsidRPr="00A06A48">
        <w:t xml:space="preserve">only one source of improvement in living standards. </w:t>
      </w:r>
      <w:r w:rsidR="00B756A5">
        <w:t>Over the course of the mining boom</w:t>
      </w:r>
      <w:r w:rsidR="00A06A48" w:rsidRPr="00A06A48">
        <w:t xml:space="preserve">, strong growth in Australia’s terms of trade </w:t>
      </w:r>
      <w:r>
        <w:t>(</w:t>
      </w:r>
      <w:proofErr w:type="spellStart"/>
      <w:r>
        <w:t>ToT</w:t>
      </w:r>
      <w:proofErr w:type="spellEnd"/>
      <w:r>
        <w:t xml:space="preserve">) </w:t>
      </w:r>
      <w:r w:rsidR="00A06A48" w:rsidRPr="00A06A48">
        <w:t xml:space="preserve">— the prices of </w:t>
      </w:r>
      <w:r w:rsidR="00B756A5">
        <w:t>products</w:t>
      </w:r>
      <w:r w:rsidR="00A06A48">
        <w:t xml:space="preserve"> exported</w:t>
      </w:r>
      <w:r w:rsidR="00A06A48" w:rsidRPr="00A06A48">
        <w:t xml:space="preserve"> relative to the prices of </w:t>
      </w:r>
      <w:r w:rsidR="00B756A5">
        <w:t>products</w:t>
      </w:r>
      <w:r w:rsidR="00A06A48" w:rsidRPr="00A06A48">
        <w:t xml:space="preserve"> </w:t>
      </w:r>
      <w:r w:rsidR="00A06A48">
        <w:t xml:space="preserve">imported </w:t>
      </w:r>
      <w:r w:rsidR="00A06A48" w:rsidRPr="00A06A48">
        <w:t>— has supported increased income</w:t>
      </w:r>
      <w:r w:rsidR="00A06A48">
        <w:t>s</w:t>
      </w:r>
      <w:r w:rsidR="00A06A48" w:rsidRPr="00A06A48">
        <w:t>. This is despite a relatively lacklustre productivity growth performance over the</w:t>
      </w:r>
      <w:r w:rsidR="00B756A5">
        <w:t xml:space="preserve"> same period</w:t>
      </w:r>
      <w:r w:rsidR="00A06A48" w:rsidRPr="00A06A48">
        <w:t xml:space="preserve">. </w:t>
      </w:r>
      <w:r>
        <w:t xml:space="preserve">But Australia has little control over the </w:t>
      </w:r>
      <w:proofErr w:type="spellStart"/>
      <w:r>
        <w:t>ToT</w:t>
      </w:r>
      <w:proofErr w:type="spellEnd"/>
      <w:r w:rsidR="002C6BA5">
        <w:t xml:space="preserve">. </w:t>
      </w:r>
      <w:r w:rsidR="00AC3E0C">
        <w:t>It</w:t>
      </w:r>
      <w:r w:rsidR="002C6BA5">
        <w:t>s</w:t>
      </w:r>
      <w:r>
        <w:t xml:space="preserve"> rise </w:t>
      </w:r>
      <w:r w:rsidR="002C6BA5">
        <w:t>reflected</w:t>
      </w:r>
      <w:r>
        <w:t xml:space="preserve"> the </w:t>
      </w:r>
      <w:r w:rsidR="002C6BA5">
        <w:t>good fortune</w:t>
      </w:r>
      <w:r>
        <w:t xml:space="preserve"> of </w:t>
      </w:r>
      <w:r w:rsidR="002C6BA5">
        <w:t xml:space="preserve">having resources that were </w:t>
      </w:r>
      <w:r>
        <w:t xml:space="preserve">in high demand in the rest of the world — and what goes up can come down. Hence the continued </w:t>
      </w:r>
      <w:r w:rsidR="00CB5069">
        <w:t>need for a focus</w:t>
      </w:r>
      <w:r w:rsidDel="00CB5069">
        <w:t xml:space="preserve"> </w:t>
      </w:r>
      <w:r>
        <w:t>on productivity by policy makers.</w:t>
      </w:r>
    </w:p>
    <w:p w14:paraId="1D0A6CFE" w14:textId="77777777" w:rsidR="00EE71CD" w:rsidRDefault="00A06A48" w:rsidP="005C3C7A">
      <w:pPr>
        <w:pStyle w:val="BodyText"/>
      </w:pPr>
      <w:r w:rsidRPr="00A06A48">
        <w:lastRenderedPageBreak/>
        <w:t>Th</w:t>
      </w:r>
      <w:r w:rsidR="00A56E17">
        <w:t>e</w:t>
      </w:r>
      <w:r w:rsidRPr="00A06A48">
        <w:t xml:space="preserve"> </w:t>
      </w:r>
      <w:r w:rsidR="00A56E17">
        <w:t xml:space="preserve">income growth driven from the rise in the </w:t>
      </w:r>
      <w:proofErr w:type="spellStart"/>
      <w:r w:rsidR="00A56E17">
        <w:t>ToT</w:t>
      </w:r>
      <w:proofErr w:type="spellEnd"/>
      <w:r w:rsidR="00A56E17">
        <w:t xml:space="preserve"> </w:t>
      </w:r>
      <w:r w:rsidRPr="00A06A48">
        <w:t xml:space="preserve">illustrates </w:t>
      </w:r>
      <w:r w:rsidR="00B756A5">
        <w:t>a key</w:t>
      </w:r>
      <w:r w:rsidRPr="00A06A48">
        <w:t xml:space="preserve"> distinction between produc</w:t>
      </w:r>
      <w:r w:rsidR="00B756A5">
        <w:t>tivity and economic efficiency</w:t>
      </w:r>
      <w:r w:rsidR="0031327A">
        <w:t xml:space="preserve">. </w:t>
      </w:r>
      <w:r w:rsidR="00A048C4">
        <w:t xml:space="preserve">Allocative efficiency </w:t>
      </w:r>
      <w:r w:rsidR="0031327A">
        <w:t xml:space="preserve">improves </w:t>
      </w:r>
      <w:r w:rsidR="000B5D19">
        <w:t>when</w:t>
      </w:r>
      <w:r w:rsidRPr="00A06A48">
        <w:t xml:space="preserve"> </w:t>
      </w:r>
      <w:r w:rsidR="0031327A">
        <w:t xml:space="preserve">people, capital and physical resources </w:t>
      </w:r>
      <w:r w:rsidRPr="00A06A48">
        <w:t xml:space="preserve">move to </w:t>
      </w:r>
      <w:r w:rsidR="00B756A5">
        <w:t>the businesses</w:t>
      </w:r>
      <w:r w:rsidRPr="00A06A48">
        <w:t xml:space="preserve"> and industries that </w:t>
      </w:r>
      <w:r w:rsidR="00CB5069">
        <w:t xml:space="preserve">value them </w:t>
      </w:r>
      <w:r w:rsidR="00B756A5">
        <w:t xml:space="preserve">most. </w:t>
      </w:r>
      <w:r w:rsidR="00A048C4">
        <w:t xml:space="preserve">As relative prices change, resources shift to where they earn a higher rate of return, raising income. For example, the mining boom drove up wages in mining so that </w:t>
      </w:r>
      <w:r w:rsidRPr="00A06A48">
        <w:t xml:space="preserve">labour </w:t>
      </w:r>
      <w:r w:rsidR="00A048C4">
        <w:t xml:space="preserve">shifted, along with </w:t>
      </w:r>
      <w:r w:rsidRPr="00A06A48">
        <w:t>capital</w:t>
      </w:r>
      <w:r w:rsidR="00A048C4">
        <w:t>,</w:t>
      </w:r>
      <w:r w:rsidRPr="00A06A48">
        <w:t xml:space="preserve"> into mining and supporting industries</w:t>
      </w:r>
      <w:r w:rsidR="00A048C4">
        <w:t>. This</w:t>
      </w:r>
      <w:r w:rsidRPr="00A06A48">
        <w:t xml:space="preserve"> raised Australia’s income but</w:t>
      </w:r>
      <w:r w:rsidR="00A048C4">
        <w:t>, for reasons to do with long project lead times and the costs of greenfield developments,</w:t>
      </w:r>
      <w:r w:rsidRPr="00A06A48">
        <w:t xml:space="preserve"> lowered its productivity growth</w:t>
      </w:r>
      <w:r w:rsidR="00122F03">
        <w:t>.</w:t>
      </w:r>
      <w:r w:rsidR="00092F05">
        <w:t xml:space="preserve"> </w:t>
      </w:r>
      <w:r w:rsidRPr="00A06A48">
        <w:t>Yet, not allowing resources to move would have reduced th</w:t>
      </w:r>
      <w:r w:rsidR="00B756A5">
        <w:t>e growth in income in Australia</w:t>
      </w:r>
      <w:r w:rsidRPr="00A06A48">
        <w:t xml:space="preserve">. </w:t>
      </w:r>
    </w:p>
    <w:p w14:paraId="1D0A6CFF" w14:textId="77777777" w:rsidR="0041741D" w:rsidRDefault="0031327A" w:rsidP="005C3C7A">
      <w:pPr>
        <w:pStyle w:val="BodyText"/>
      </w:pPr>
      <w:r>
        <w:t>S</w:t>
      </w:r>
      <w:r w:rsidR="001230FB">
        <w:t>ocial and environmental factors</w:t>
      </w:r>
      <w:r>
        <w:t xml:space="preserve"> also come into play. Governments play a central role in providing social and health insurance, reducing income inequality, </w:t>
      </w:r>
      <w:r w:rsidR="001230FB">
        <w:t xml:space="preserve">and providing opportunities for people through the education system. Notwithstanding that taxes must be raised to fund such activities (with the adverse impacts that </w:t>
      </w:r>
      <w:r w:rsidR="00144EA7">
        <w:t xml:space="preserve">taxes </w:t>
      </w:r>
      <w:r w:rsidR="001230FB">
        <w:t xml:space="preserve">can have on investment and labour supply), </w:t>
      </w:r>
      <w:r w:rsidR="00CB5069">
        <w:t>these investments are important to</w:t>
      </w:r>
      <w:r w:rsidR="001230FB">
        <w:t xml:space="preserve"> promote productivity overall. </w:t>
      </w:r>
      <w:r w:rsidR="00CB5069">
        <w:t xml:space="preserve">Some such investments can, however, be misdirected and public funds wasted. Ensuring good returns on public investment in health and education are themes pursued in the Productivity Review. </w:t>
      </w:r>
      <w:r w:rsidR="00144EA7">
        <w:t>This Review does not recommend</w:t>
      </w:r>
      <w:r w:rsidR="001230FB">
        <w:t xml:space="preserve"> </w:t>
      </w:r>
      <w:r w:rsidR="00635828">
        <w:t>subordinat</w:t>
      </w:r>
      <w:r w:rsidR="00EE71CD">
        <w:t xml:space="preserve">ing </w:t>
      </w:r>
      <w:r w:rsidR="001230FB">
        <w:t xml:space="preserve">a nation’s social and political values </w:t>
      </w:r>
      <w:r w:rsidR="00EE71CD">
        <w:t xml:space="preserve">to </w:t>
      </w:r>
      <w:r w:rsidR="00144EA7">
        <w:t xml:space="preserve">raise </w:t>
      </w:r>
      <w:r w:rsidR="00EE71CD">
        <w:t xml:space="preserve">productivity </w:t>
      </w:r>
      <w:r w:rsidR="00144EA7">
        <w:t xml:space="preserve">at all costs — such a policy focus would </w:t>
      </w:r>
      <w:r w:rsidR="00EE71CD">
        <w:t xml:space="preserve">misunderstand </w:t>
      </w:r>
      <w:r w:rsidR="00183397">
        <w:t>w</w:t>
      </w:r>
      <w:r w:rsidR="00764B61">
        <w:t>h</w:t>
      </w:r>
      <w:r w:rsidR="00183397">
        <w:t>at matters for community wellbeing</w:t>
      </w:r>
      <w:r w:rsidR="00EE71CD">
        <w:t>.</w:t>
      </w:r>
      <w:r w:rsidR="00635828">
        <w:t xml:space="preserve"> </w:t>
      </w:r>
      <w:r w:rsidR="00786BDA">
        <w:t>In considering policy reforms</w:t>
      </w:r>
      <w:r w:rsidR="00696785">
        <w:t>,</w:t>
      </w:r>
      <w:r w:rsidR="00786BDA">
        <w:t xml:space="preserve"> t</w:t>
      </w:r>
      <w:r w:rsidR="00EE71CD">
        <w:t>h</w:t>
      </w:r>
      <w:r w:rsidR="00144EA7">
        <w:t>is</w:t>
      </w:r>
      <w:r w:rsidR="00EE71CD">
        <w:t xml:space="preserve"> Productivity Review recognise</w:t>
      </w:r>
      <w:r w:rsidR="00144EA7">
        <w:t>s</w:t>
      </w:r>
      <w:r w:rsidR="00EE71CD">
        <w:t xml:space="preserve"> </w:t>
      </w:r>
      <w:r w:rsidR="00183397">
        <w:t>that</w:t>
      </w:r>
      <w:r w:rsidR="00EE71CD">
        <w:t xml:space="preserve"> </w:t>
      </w:r>
      <w:r w:rsidR="00786BDA">
        <w:t xml:space="preserve">productivity </w:t>
      </w:r>
      <w:r w:rsidR="00183397">
        <w:t>is just one of many factors, albeit a critically important one,</w:t>
      </w:r>
      <w:r w:rsidR="00786BDA">
        <w:t xml:space="preserve"> </w:t>
      </w:r>
      <w:r w:rsidR="00183397">
        <w:t xml:space="preserve">that contributes to </w:t>
      </w:r>
      <w:r w:rsidR="00696785">
        <w:t>growing</w:t>
      </w:r>
      <w:r w:rsidR="00183397">
        <w:t xml:space="preserve"> national </w:t>
      </w:r>
      <w:r w:rsidR="00EE71CD" w:rsidDel="00786BDA">
        <w:t>welfare</w:t>
      </w:r>
      <w:r w:rsidR="00EE71CD">
        <w:t>.</w:t>
      </w:r>
      <w:r w:rsidR="00092F05">
        <w:t xml:space="preserve"> </w:t>
      </w:r>
    </w:p>
    <w:p w14:paraId="1D0A6D00" w14:textId="77777777" w:rsidR="00D90257" w:rsidRPr="004E3B94" w:rsidRDefault="00D90257" w:rsidP="00D90257">
      <w:pPr>
        <w:pStyle w:val="BoxSpaceAboveElement"/>
        <w:keepLines/>
        <w:rPr>
          <w:vanish w:val="0"/>
          <w:color w:val="auto"/>
        </w:rPr>
      </w:pPr>
    </w:p>
    <w:tbl>
      <w:tblPr>
        <w:tblW w:w="4814" w:type="pct"/>
        <w:tblInd w:w="170"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D90257" w14:paraId="1D0A6D03" w14:textId="77777777" w:rsidTr="00DA091E">
        <w:trPr>
          <w:cantSplit/>
          <w:tblHeader/>
        </w:trPr>
        <w:tc>
          <w:tcPr>
            <w:tcW w:w="5000" w:type="pct"/>
            <w:tcBorders>
              <w:top w:val="single" w:sz="6" w:space="0" w:color="265A9A" w:themeColor="accent2"/>
              <w:left w:val="nil"/>
              <w:bottom w:val="nil"/>
              <w:right w:val="nil"/>
            </w:tcBorders>
            <w:shd w:val="clear" w:color="auto" w:fill="E1EBF5"/>
            <w:tcMar>
              <w:left w:w="170" w:type="dxa"/>
              <w:right w:w="170" w:type="dxa"/>
            </w:tcMar>
          </w:tcPr>
          <w:p w14:paraId="1D0A6D01" w14:textId="77777777" w:rsidR="00D90257" w:rsidRPr="00DA091E" w:rsidRDefault="00D90257" w:rsidP="0084197A">
            <w:pPr>
              <w:pStyle w:val="FindingTitle"/>
              <w:spacing w:before="120"/>
              <w:rPr>
                <w:noProof/>
              </w:rPr>
            </w:pPr>
            <w:r w:rsidRPr="00DA091E">
              <w:t xml:space="preserve">conclusion </w:t>
            </w:r>
            <w:r w:rsidR="00092F05" w:rsidRPr="00DA091E">
              <w:t>1</w:t>
            </w:r>
            <w:r w:rsidRPr="00DA091E">
              <w:t>.</w:t>
            </w:r>
            <w:r w:rsidR="00092F05" w:rsidRPr="00DA091E">
              <w:t>1</w:t>
            </w:r>
          </w:p>
          <w:p w14:paraId="1D0A6D02" w14:textId="7A55EA9B" w:rsidR="00D90257" w:rsidRPr="00DA091E" w:rsidRDefault="00144EA7" w:rsidP="00C70F0C">
            <w:pPr>
              <w:pStyle w:val="BodyText"/>
              <w:spacing w:before="60" w:line="260" w:lineRule="atLeast"/>
              <w:rPr>
                <w:rFonts w:ascii="Arial" w:hAnsi="Arial" w:cs="Arial"/>
                <w:sz w:val="20"/>
              </w:rPr>
            </w:pPr>
            <w:r w:rsidRPr="00DA091E">
              <w:rPr>
                <w:rFonts w:ascii="Arial" w:hAnsi="Arial" w:cs="Arial"/>
                <w:sz w:val="20"/>
              </w:rPr>
              <w:t>P</w:t>
            </w:r>
            <w:r w:rsidR="00EC74A2" w:rsidRPr="00DA091E">
              <w:rPr>
                <w:rFonts w:ascii="Arial" w:hAnsi="Arial" w:cs="Arial"/>
                <w:sz w:val="20"/>
              </w:rPr>
              <w:t xml:space="preserve">roductivity </w:t>
            </w:r>
            <w:r w:rsidR="00E408B3" w:rsidRPr="00DA091E">
              <w:rPr>
                <w:rFonts w:ascii="Arial" w:hAnsi="Arial" w:cs="Arial"/>
                <w:sz w:val="20"/>
              </w:rPr>
              <w:t xml:space="preserve">improvements </w:t>
            </w:r>
            <w:r w:rsidRPr="00DA091E">
              <w:rPr>
                <w:rFonts w:ascii="Arial" w:hAnsi="Arial" w:cs="Arial"/>
                <w:sz w:val="20"/>
              </w:rPr>
              <w:t>are</w:t>
            </w:r>
            <w:r w:rsidR="00EC74A2" w:rsidRPr="00DA091E">
              <w:rPr>
                <w:rFonts w:ascii="Arial" w:hAnsi="Arial" w:cs="Arial"/>
                <w:sz w:val="20"/>
              </w:rPr>
              <w:t xml:space="preserve"> essential to </w:t>
            </w:r>
            <w:r w:rsidR="00696785" w:rsidRPr="00DA091E">
              <w:rPr>
                <w:rFonts w:ascii="Arial" w:hAnsi="Arial" w:cs="Arial"/>
                <w:sz w:val="20"/>
              </w:rPr>
              <w:t>achieving</w:t>
            </w:r>
            <w:r w:rsidR="00EC74A2" w:rsidRPr="00DA091E" w:rsidDel="00144EA7">
              <w:rPr>
                <w:rFonts w:ascii="Arial" w:hAnsi="Arial" w:cs="Arial"/>
                <w:sz w:val="20"/>
              </w:rPr>
              <w:t xml:space="preserve"> </w:t>
            </w:r>
            <w:r w:rsidR="00EC74A2" w:rsidRPr="00DA091E">
              <w:rPr>
                <w:rFonts w:ascii="Arial" w:hAnsi="Arial" w:cs="Arial"/>
                <w:sz w:val="20"/>
              </w:rPr>
              <w:t>growth in average incomes and living standards</w:t>
            </w:r>
            <w:r w:rsidRPr="00DA091E">
              <w:rPr>
                <w:rFonts w:ascii="Arial" w:hAnsi="Arial" w:cs="Arial"/>
                <w:sz w:val="20"/>
              </w:rPr>
              <w:t xml:space="preserve"> over time</w:t>
            </w:r>
            <w:r w:rsidR="00EC74A2" w:rsidRPr="00DA091E">
              <w:rPr>
                <w:rFonts w:ascii="Arial" w:hAnsi="Arial" w:cs="Arial"/>
                <w:sz w:val="20"/>
              </w:rPr>
              <w:t xml:space="preserve">. </w:t>
            </w:r>
            <w:r w:rsidRPr="00DA091E">
              <w:rPr>
                <w:rFonts w:ascii="Arial" w:hAnsi="Arial" w:cs="Arial"/>
                <w:sz w:val="20"/>
              </w:rPr>
              <w:t xml:space="preserve">Doing more with the available resources, and reinvesting back in these resources, </w:t>
            </w:r>
            <w:r w:rsidR="00092F05" w:rsidRPr="00DA091E">
              <w:rPr>
                <w:rFonts w:ascii="Arial" w:hAnsi="Arial" w:cs="Arial"/>
                <w:sz w:val="20"/>
              </w:rPr>
              <w:t>help</w:t>
            </w:r>
            <w:r w:rsidRPr="00DA091E">
              <w:rPr>
                <w:rFonts w:ascii="Arial" w:hAnsi="Arial" w:cs="Arial"/>
                <w:sz w:val="20"/>
              </w:rPr>
              <w:t>s</w:t>
            </w:r>
            <w:r w:rsidR="00092F05" w:rsidRPr="00DA091E">
              <w:rPr>
                <w:rFonts w:ascii="Arial" w:hAnsi="Arial" w:cs="Arial"/>
                <w:sz w:val="20"/>
              </w:rPr>
              <w:t xml:space="preserve"> to improve social</w:t>
            </w:r>
            <w:r w:rsidRPr="00DA091E">
              <w:rPr>
                <w:rFonts w:ascii="Arial" w:hAnsi="Arial" w:cs="Arial"/>
                <w:sz w:val="20"/>
              </w:rPr>
              <w:t xml:space="preserve"> and</w:t>
            </w:r>
            <w:r w:rsidR="00092F05" w:rsidRPr="00DA091E">
              <w:rPr>
                <w:rFonts w:ascii="Arial" w:hAnsi="Arial" w:cs="Arial"/>
                <w:sz w:val="20"/>
              </w:rPr>
              <w:t xml:space="preserve"> environmental</w:t>
            </w:r>
            <w:r w:rsidRPr="00DA091E">
              <w:rPr>
                <w:rFonts w:ascii="Arial" w:hAnsi="Arial" w:cs="Arial"/>
                <w:sz w:val="20"/>
              </w:rPr>
              <w:t>,</w:t>
            </w:r>
            <w:r w:rsidR="00092F05" w:rsidRPr="00DA091E">
              <w:rPr>
                <w:rFonts w:ascii="Arial" w:hAnsi="Arial" w:cs="Arial"/>
                <w:sz w:val="20"/>
              </w:rPr>
              <w:t xml:space="preserve"> </w:t>
            </w:r>
            <w:r w:rsidRPr="00DA091E">
              <w:rPr>
                <w:rFonts w:ascii="Arial" w:hAnsi="Arial" w:cs="Arial"/>
                <w:sz w:val="20"/>
              </w:rPr>
              <w:t xml:space="preserve">as well as, </w:t>
            </w:r>
            <w:r w:rsidR="00092F05" w:rsidRPr="00DA091E">
              <w:rPr>
                <w:rFonts w:ascii="Arial" w:hAnsi="Arial" w:cs="Arial"/>
                <w:sz w:val="20"/>
              </w:rPr>
              <w:t xml:space="preserve">economic outcomes. </w:t>
            </w:r>
            <w:r w:rsidRPr="00DA091E">
              <w:rPr>
                <w:rFonts w:ascii="Arial" w:hAnsi="Arial" w:cs="Arial"/>
                <w:sz w:val="20"/>
              </w:rPr>
              <w:t>P</w:t>
            </w:r>
            <w:r w:rsidR="00476142" w:rsidRPr="00DA091E">
              <w:rPr>
                <w:rFonts w:ascii="Arial" w:hAnsi="Arial" w:cs="Arial"/>
                <w:sz w:val="20"/>
              </w:rPr>
              <w:t xml:space="preserve">olicy frameworks </w:t>
            </w:r>
            <w:r w:rsidR="00C70F0C">
              <w:rPr>
                <w:rFonts w:ascii="Arial" w:hAnsi="Arial" w:cs="Arial"/>
                <w:sz w:val="20"/>
              </w:rPr>
              <w:t>that</w:t>
            </w:r>
            <w:r w:rsidR="00476142" w:rsidRPr="00DA091E">
              <w:rPr>
                <w:rFonts w:ascii="Arial" w:hAnsi="Arial" w:cs="Arial"/>
                <w:sz w:val="20"/>
              </w:rPr>
              <w:t xml:space="preserve"> focus solely on</w:t>
            </w:r>
            <w:r w:rsidRPr="00DA091E">
              <w:rPr>
                <w:rFonts w:ascii="Arial" w:hAnsi="Arial" w:cs="Arial"/>
                <w:sz w:val="20"/>
              </w:rPr>
              <w:t xml:space="preserve"> a narrowly defined view of</w:t>
            </w:r>
            <w:r w:rsidR="00476142" w:rsidRPr="00DA091E">
              <w:rPr>
                <w:rFonts w:ascii="Arial" w:hAnsi="Arial" w:cs="Arial"/>
                <w:sz w:val="20"/>
              </w:rPr>
              <w:t xml:space="preserve"> productivity (</w:t>
            </w:r>
            <w:r w:rsidRPr="00DA091E">
              <w:rPr>
                <w:rFonts w:ascii="Arial" w:hAnsi="Arial" w:cs="Arial"/>
                <w:sz w:val="20"/>
              </w:rPr>
              <w:t>outputs per unit inputs</w:t>
            </w:r>
            <w:r w:rsidR="00476142" w:rsidRPr="00DA091E">
              <w:rPr>
                <w:rFonts w:ascii="Arial" w:hAnsi="Arial" w:cs="Arial"/>
                <w:sz w:val="20"/>
              </w:rPr>
              <w:t>) risk operating at the detriment of optimal resource allocation and the broader s</w:t>
            </w:r>
            <w:r w:rsidR="00AD0CC1" w:rsidRPr="00DA091E">
              <w:rPr>
                <w:rFonts w:ascii="Arial" w:hAnsi="Arial" w:cs="Arial"/>
                <w:sz w:val="20"/>
              </w:rPr>
              <w:t xml:space="preserve">ocial </w:t>
            </w:r>
            <w:r w:rsidR="00476142" w:rsidRPr="00DA091E">
              <w:rPr>
                <w:rFonts w:ascii="Arial" w:hAnsi="Arial" w:cs="Arial"/>
                <w:sz w:val="20"/>
              </w:rPr>
              <w:t>and environmental domains</w:t>
            </w:r>
            <w:r w:rsidR="00C70F0C">
              <w:rPr>
                <w:rFonts w:ascii="Arial" w:hAnsi="Arial" w:cs="Arial"/>
                <w:sz w:val="20"/>
              </w:rPr>
              <w:t>,</w:t>
            </w:r>
            <w:r w:rsidR="00476142" w:rsidRPr="00DA091E">
              <w:rPr>
                <w:rFonts w:ascii="Arial" w:hAnsi="Arial" w:cs="Arial"/>
                <w:sz w:val="20"/>
              </w:rPr>
              <w:t xml:space="preserve"> which all contribute strongly to community wellbeing. </w:t>
            </w:r>
          </w:p>
        </w:tc>
      </w:tr>
      <w:tr w:rsidR="00D90257" w14:paraId="1D0A6D05" w14:textId="77777777" w:rsidTr="00DA091E">
        <w:trPr>
          <w:cantSplit/>
          <w:tblHeader/>
        </w:trPr>
        <w:tc>
          <w:tcPr>
            <w:tcW w:w="5000" w:type="pct"/>
            <w:tcBorders>
              <w:top w:val="nil"/>
              <w:left w:val="nil"/>
              <w:bottom w:val="single" w:sz="6" w:space="0" w:color="265A9A" w:themeColor="accent2"/>
              <w:right w:val="nil"/>
            </w:tcBorders>
            <w:shd w:val="clear" w:color="auto" w:fill="E1EBF5"/>
            <w:tcMar>
              <w:left w:w="170" w:type="dxa"/>
              <w:right w:w="170" w:type="dxa"/>
            </w:tcMar>
          </w:tcPr>
          <w:p w14:paraId="1D0A6D04" w14:textId="77777777" w:rsidR="00D90257" w:rsidRPr="00DA091E" w:rsidRDefault="00D90257" w:rsidP="0084197A">
            <w:pPr>
              <w:pStyle w:val="Space"/>
              <w:keepLines/>
            </w:pPr>
          </w:p>
        </w:tc>
      </w:tr>
      <w:tr w:rsidR="00D90257" w:rsidRPr="000863A5" w14:paraId="1D0A6D07" w14:textId="77777777" w:rsidTr="00DA091E">
        <w:trPr>
          <w:cantSplit/>
          <w:tblHeader/>
        </w:trPr>
        <w:tc>
          <w:tcPr>
            <w:tcW w:w="5000" w:type="pct"/>
            <w:tcBorders>
              <w:top w:val="single" w:sz="6" w:space="0" w:color="265A9A" w:themeColor="accent2"/>
              <w:left w:val="nil"/>
              <w:bottom w:val="nil"/>
              <w:right w:val="nil"/>
            </w:tcBorders>
            <w:tcMar>
              <w:left w:w="170" w:type="dxa"/>
              <w:right w:w="170" w:type="dxa"/>
            </w:tcMar>
          </w:tcPr>
          <w:p w14:paraId="1D0A6D06" w14:textId="77777777" w:rsidR="00D90257" w:rsidRPr="00626D32" w:rsidRDefault="00D90257" w:rsidP="0084197A">
            <w:pPr>
              <w:pStyle w:val="BoxSpaceBelow"/>
              <w:keepLines/>
            </w:pPr>
          </w:p>
        </w:tc>
      </w:tr>
    </w:tbl>
    <w:p w14:paraId="1D0A6D08" w14:textId="77777777" w:rsidR="0030384B" w:rsidRPr="00CC648D" w:rsidRDefault="00CC648D" w:rsidP="00CC648D">
      <w:pPr>
        <w:pStyle w:val="Heading3"/>
      </w:pPr>
      <w:r w:rsidRPr="00CC648D">
        <w:t>Drivers of productivity growth</w:t>
      </w:r>
    </w:p>
    <w:p w14:paraId="1D0A6D09" w14:textId="47D095D5" w:rsidR="0030384B" w:rsidRDefault="00C66CB1" w:rsidP="0030384B">
      <w:pPr>
        <w:pStyle w:val="BodyText"/>
      </w:pPr>
      <w:r>
        <w:t>T</w:t>
      </w:r>
      <w:r w:rsidR="000732BF">
        <w:t xml:space="preserve">he drivers of productivity reflect not only policy settings, but </w:t>
      </w:r>
      <w:r w:rsidR="00C70F0C">
        <w:t xml:space="preserve">also </w:t>
      </w:r>
      <w:r w:rsidR="000732BF">
        <w:t>a mix of deeper historical and path</w:t>
      </w:r>
      <w:r w:rsidR="000732BF">
        <w:noBreakHyphen/>
        <w:t>dependent factors</w:t>
      </w:r>
      <w:r>
        <w:t>, many of which</w:t>
      </w:r>
      <w:r w:rsidR="000732BF">
        <w:t xml:space="preserve"> </w:t>
      </w:r>
      <w:r w:rsidR="00C70F0C">
        <w:t xml:space="preserve">governments </w:t>
      </w:r>
      <w:r w:rsidR="000732BF">
        <w:t xml:space="preserve">are unable to </w:t>
      </w:r>
      <w:r w:rsidR="00C70F0C">
        <w:t>affect</w:t>
      </w:r>
      <w:r w:rsidR="000732BF">
        <w:t xml:space="preserve">. </w:t>
      </w:r>
      <w:r w:rsidR="00092F05">
        <w:t>PC </w:t>
      </w:r>
      <w:r w:rsidR="00122F03" w:rsidRPr="00122F03">
        <w:t>(2009)</w:t>
      </w:r>
      <w:r w:rsidR="00C64127">
        <w:t xml:space="preserve"> </w:t>
      </w:r>
      <w:r w:rsidR="00CC648D">
        <w:t xml:space="preserve">outlines </w:t>
      </w:r>
      <w:r w:rsidR="00C301CC">
        <w:t xml:space="preserve">a framework for conceptualising the immediate, underlying, and fundamental causes of productivity growth. </w:t>
      </w:r>
    </w:p>
    <w:p w14:paraId="1D0A6D0A" w14:textId="77777777" w:rsidR="002F4E48" w:rsidRDefault="000732BF" w:rsidP="002F4E48">
      <w:pPr>
        <w:pStyle w:val="ListBullet"/>
      </w:pPr>
      <w:r w:rsidRPr="002F4E48">
        <w:rPr>
          <w:i/>
        </w:rPr>
        <w:t xml:space="preserve">Immediate </w:t>
      </w:r>
      <w:r w:rsidRPr="002F4E48">
        <w:t>causes</w:t>
      </w:r>
      <w:r>
        <w:t xml:space="preserve"> have close and tangible links t</w:t>
      </w:r>
      <w:r w:rsidR="002F4E48">
        <w:t xml:space="preserve">o input/output relationships in </w:t>
      </w:r>
      <w:r>
        <w:t>production</w:t>
      </w:r>
      <w:r w:rsidR="002F4E48">
        <w:t>, often at the level of businesses or the individual</w:t>
      </w:r>
      <w:r>
        <w:t>. They may be necessary to bring</w:t>
      </w:r>
      <w:r w:rsidR="002F4E48">
        <w:t xml:space="preserve"> about productivity </w:t>
      </w:r>
      <w:r>
        <w:t xml:space="preserve">improvement, but they may be difficult to </w:t>
      </w:r>
      <w:r w:rsidR="002F4E48">
        <w:t>engender</w:t>
      </w:r>
      <w:r>
        <w:t xml:space="preserve"> </w:t>
      </w:r>
      <w:r w:rsidR="002F4E48">
        <w:t xml:space="preserve">without policy change at the other levels. </w:t>
      </w:r>
    </w:p>
    <w:p w14:paraId="1D0A6D0B" w14:textId="77777777" w:rsidR="000732BF" w:rsidRDefault="000732BF" w:rsidP="002F4E48">
      <w:pPr>
        <w:pStyle w:val="ListBullet"/>
      </w:pPr>
      <w:r w:rsidRPr="002F4E48">
        <w:rPr>
          <w:i/>
        </w:rPr>
        <w:lastRenderedPageBreak/>
        <w:t>Underlying</w:t>
      </w:r>
      <w:r>
        <w:t xml:space="preserve"> factors can have an indirect effect o</w:t>
      </w:r>
      <w:r w:rsidR="002F4E48">
        <w:t xml:space="preserve">n productivity by promoting the </w:t>
      </w:r>
      <w:r>
        <w:t>immediate causes. They help to determine th</w:t>
      </w:r>
      <w:r w:rsidR="002F4E48">
        <w:t xml:space="preserve">e extent to which the immediate </w:t>
      </w:r>
      <w:r>
        <w:t>causes change and bring about an improvement in productivity.</w:t>
      </w:r>
    </w:p>
    <w:p w14:paraId="1D0A6D0C" w14:textId="080D1579" w:rsidR="000732BF" w:rsidRDefault="002F4E48" w:rsidP="002F4E48">
      <w:pPr>
        <w:pStyle w:val="ListBullet"/>
      </w:pPr>
      <w:r>
        <w:rPr>
          <w:i/>
        </w:rPr>
        <w:t>F</w:t>
      </w:r>
      <w:r w:rsidR="000732BF" w:rsidRPr="002F4E48">
        <w:rPr>
          <w:i/>
        </w:rPr>
        <w:t>undamental</w:t>
      </w:r>
      <w:r w:rsidR="000732BF">
        <w:t xml:space="preserve"> influences i</w:t>
      </w:r>
      <w:r>
        <w:t xml:space="preserve">nvolve deeper policy, </w:t>
      </w:r>
      <w:r w:rsidR="000732BF">
        <w:t xml:space="preserve">social and institutional factors </w:t>
      </w:r>
      <w:r w:rsidR="005C68E1">
        <w:t>that</w:t>
      </w:r>
      <w:r w:rsidR="000732BF">
        <w:t xml:space="preserve"> affect productivi</w:t>
      </w:r>
      <w:r>
        <w:t xml:space="preserve">ty in very general and indirect </w:t>
      </w:r>
      <w:r w:rsidR="000732BF">
        <w:t>fashion. They set the ‘environment</w:t>
      </w:r>
      <w:r>
        <w:t xml:space="preserve">al’ conditions </w:t>
      </w:r>
      <w:r w:rsidR="005C68E1">
        <w:t>that</w:t>
      </w:r>
      <w:r>
        <w:t xml:space="preserve"> can affect </w:t>
      </w:r>
      <w:r w:rsidR="000732BF">
        <w:t>productivity, especially over the long term.</w:t>
      </w:r>
    </w:p>
    <w:p w14:paraId="1D0A6D0D" w14:textId="07E8A91E" w:rsidR="00410846" w:rsidRDefault="00410846" w:rsidP="00410846">
      <w:pPr>
        <w:pStyle w:val="BodyText"/>
      </w:pPr>
      <w:r>
        <w:t xml:space="preserve">Productivity improvements from </w:t>
      </w:r>
      <w:r w:rsidRPr="001C1872">
        <w:rPr>
          <w:i/>
        </w:rPr>
        <w:t>immediate</w:t>
      </w:r>
      <w:r w:rsidRPr="00092F05">
        <w:rPr>
          <w:i/>
        </w:rPr>
        <w:t xml:space="preserve"> causes</w:t>
      </w:r>
      <w:r>
        <w:t xml:space="preserve"> reflect technological advance</w:t>
      </w:r>
      <w:r w:rsidR="0026140B">
        <w:t>s</w:t>
      </w:r>
      <w:r>
        <w:t xml:space="preserve">, such as better products and bringing into operation better production techniques. The accumulation of </w:t>
      </w:r>
      <w:r w:rsidR="00C50E82">
        <w:t xml:space="preserve">physical capital and </w:t>
      </w:r>
      <w:r>
        <w:t xml:space="preserve">human capital </w:t>
      </w:r>
      <w:r w:rsidR="00C50E82">
        <w:t>(</w:t>
      </w:r>
      <w:r w:rsidR="00FD4C0D">
        <w:t xml:space="preserve">the health, </w:t>
      </w:r>
      <w:r w:rsidR="00C50E82">
        <w:t>education and skills</w:t>
      </w:r>
      <w:r w:rsidR="00FD4C0D">
        <w:t xml:space="preserve"> of the workforce</w:t>
      </w:r>
      <w:r w:rsidR="00C50E82">
        <w:t xml:space="preserve">) </w:t>
      </w:r>
      <w:r>
        <w:t xml:space="preserve">and </w:t>
      </w:r>
      <w:r w:rsidR="00AD03F4">
        <w:t xml:space="preserve">accumulation of knowledge </w:t>
      </w:r>
      <w:r w:rsidR="00C50E82">
        <w:t xml:space="preserve">(such as through </w:t>
      </w:r>
      <w:r>
        <w:t>research and development</w:t>
      </w:r>
      <w:r w:rsidR="00AD03F4">
        <w:t xml:space="preserve"> and learning by doing</w:t>
      </w:r>
      <w:r w:rsidR="00C50E82">
        <w:t>)</w:t>
      </w:r>
      <w:r>
        <w:t xml:space="preserve"> are seen as central and interrelated in the development, application and refinement of new </w:t>
      </w:r>
      <w:r w:rsidR="00C50E82">
        <w:t>technologies</w:t>
      </w:r>
      <w:r w:rsidR="00AD03F4">
        <w:t xml:space="preserve"> (innovation)</w:t>
      </w:r>
      <w:r>
        <w:t>.</w:t>
      </w:r>
      <w:r w:rsidR="00C50E82">
        <w:t xml:space="preserve"> </w:t>
      </w:r>
      <w:r w:rsidR="004B7A5D">
        <w:t>S</w:t>
      </w:r>
      <w:r w:rsidR="00C50E82">
        <w:t>pecialisation in production (e</w:t>
      </w:r>
      <w:r>
        <w:t>conomies of scale and scope</w:t>
      </w:r>
      <w:r w:rsidR="00C50E82">
        <w:t xml:space="preserve">) are also important </w:t>
      </w:r>
      <w:r>
        <w:t xml:space="preserve">in bringing about improvements </w:t>
      </w:r>
      <w:r w:rsidR="00C50E82">
        <w:t xml:space="preserve">to </w:t>
      </w:r>
      <w:r>
        <w:t xml:space="preserve">productivity </w:t>
      </w:r>
      <w:r w:rsidR="00AD0CC1">
        <w:t>by</w:t>
      </w:r>
      <w:r>
        <w:t xml:space="preserve">, for example, </w:t>
      </w:r>
      <w:r w:rsidR="00AD03F4">
        <w:t>allowing more efficient technologies to be adopted</w:t>
      </w:r>
      <w:r>
        <w:t>.</w:t>
      </w:r>
      <w:r w:rsidR="00C50E82">
        <w:t xml:space="preserve"> </w:t>
      </w:r>
      <w:r w:rsidR="000D1199">
        <w:t>Not just new technologies</w:t>
      </w:r>
      <w:r w:rsidR="001C629D">
        <w:t xml:space="preserve"> improve productivity</w:t>
      </w:r>
      <w:r w:rsidR="000D1199">
        <w:t>. I</w:t>
      </w:r>
      <w:r w:rsidR="001C629D">
        <w:t xml:space="preserve">mprovements in firm </w:t>
      </w:r>
      <w:r>
        <w:t xml:space="preserve">organisation, management practices and work arrangements </w:t>
      </w:r>
      <w:r w:rsidR="001C629D">
        <w:t xml:space="preserve">can be a major source of </w:t>
      </w:r>
      <w:r>
        <w:t>productivity</w:t>
      </w:r>
      <w:r w:rsidR="001C629D">
        <w:t xml:space="preserve"> improvement</w:t>
      </w:r>
      <w:r>
        <w:t xml:space="preserve">. </w:t>
      </w:r>
      <w:r w:rsidR="001C629D">
        <w:t>C</w:t>
      </w:r>
      <w:r>
        <w:t>ontinuous review</w:t>
      </w:r>
      <w:r w:rsidR="001C629D">
        <w:t xml:space="preserve"> processes,</w:t>
      </w:r>
      <w:r>
        <w:t xml:space="preserve"> </w:t>
      </w:r>
      <w:r w:rsidR="00C50E82">
        <w:t xml:space="preserve">improvement </w:t>
      </w:r>
      <w:r>
        <w:t>of production systems</w:t>
      </w:r>
      <w:r w:rsidR="001C629D">
        <w:t xml:space="preserve"> and</w:t>
      </w:r>
      <w:r>
        <w:t xml:space="preserve"> supply arrangements</w:t>
      </w:r>
      <w:r w:rsidR="001C629D">
        <w:t xml:space="preserve"> (like procurement)</w:t>
      </w:r>
      <w:r>
        <w:t>, inventory mana</w:t>
      </w:r>
      <w:r w:rsidR="00422B26">
        <w:t>gement, quality assurance, team</w:t>
      </w:r>
      <w:r w:rsidR="00422B26">
        <w:noBreakHyphen/>
      </w:r>
      <w:r>
        <w:t xml:space="preserve">based work and </w:t>
      </w:r>
      <w:r w:rsidR="00C50E82">
        <w:t>other elements of o</w:t>
      </w:r>
      <w:r>
        <w:t>rganisational structure</w:t>
      </w:r>
      <w:r w:rsidR="001C629D">
        <w:t xml:space="preserve"> are investments by firms to improve productivity</w:t>
      </w:r>
      <w:r w:rsidR="00C50E82">
        <w:t>.</w:t>
      </w:r>
      <w:r w:rsidR="009C0C4E">
        <w:t xml:space="preserve"> Immediate causes are generally the domain of businesses and individuals</w:t>
      </w:r>
      <w:r w:rsidR="000B5D19">
        <w:t xml:space="preserve">, </w:t>
      </w:r>
      <w:r w:rsidR="001C629D">
        <w:t xml:space="preserve">but also apply to </w:t>
      </w:r>
      <w:r w:rsidR="00AD0CC1">
        <w:t>government</w:t>
      </w:r>
      <w:r w:rsidR="00AD0CC1">
        <w:noBreakHyphen/>
      </w:r>
      <w:r w:rsidR="000B5D19">
        <w:t>provided services in the non</w:t>
      </w:r>
      <w:r w:rsidR="000B5D19">
        <w:noBreakHyphen/>
        <w:t xml:space="preserve">market sector. </w:t>
      </w:r>
    </w:p>
    <w:p w14:paraId="1D0A6D0E" w14:textId="77777777" w:rsidR="00C50E82" w:rsidRDefault="00742874" w:rsidP="00C50E82">
      <w:pPr>
        <w:pStyle w:val="BodyText"/>
      </w:pPr>
      <w:r>
        <w:t xml:space="preserve">The general feature of the </w:t>
      </w:r>
      <w:r w:rsidRPr="001C1872">
        <w:rPr>
          <w:i/>
        </w:rPr>
        <w:t>underlying</w:t>
      </w:r>
      <w:r w:rsidRPr="00092F05">
        <w:rPr>
          <w:i/>
        </w:rPr>
        <w:t xml:space="preserve"> factors</w:t>
      </w:r>
      <w:r>
        <w:t xml:space="preserve"> — competition, openness of the economy to trade and investment</w:t>
      </w:r>
      <w:r w:rsidR="00F75466">
        <w:t>,</w:t>
      </w:r>
      <w:r>
        <w:t xml:space="preserve"> and demand and supply conditions — is that they help to condition the extent to which the immediate causes of productivity growth come into play.</w:t>
      </w:r>
      <w:r w:rsidR="00F75466">
        <w:t xml:space="preserve"> A change in firm organisation </w:t>
      </w:r>
      <w:r>
        <w:t xml:space="preserve">might not happen without </w:t>
      </w:r>
      <w:r w:rsidR="00F75466">
        <w:t xml:space="preserve">the </w:t>
      </w:r>
      <w:r>
        <w:t xml:space="preserve">incentive provided by competition. Access to overseas technologies and management expertise may not be possible without openness to foreign trade and investment. Inaccurate price signals and other distortions to </w:t>
      </w:r>
      <w:r w:rsidR="001C629D">
        <w:t xml:space="preserve">labour </w:t>
      </w:r>
      <w:r>
        <w:t>demand and supply outcomes can impede the accumulation of human capital</w:t>
      </w:r>
      <w:r w:rsidR="001C629D">
        <w:t xml:space="preserve">. Regulations can inhibit the adoption </w:t>
      </w:r>
      <w:r>
        <w:t>of different production methods and new technologies.</w:t>
      </w:r>
      <w:r w:rsidR="00C50E82" w:rsidRPr="00C50E82">
        <w:t xml:space="preserve"> </w:t>
      </w:r>
      <w:r w:rsidR="00C50E82">
        <w:t xml:space="preserve">Better resource allocation through competition </w:t>
      </w:r>
      <w:r w:rsidR="004B7A5D">
        <w:t>(</w:t>
      </w:r>
      <w:r w:rsidR="00422B26">
        <w:t>for example,</w:t>
      </w:r>
      <w:r w:rsidR="004B7A5D">
        <w:t xml:space="preserve"> facilitating the entry of </w:t>
      </w:r>
      <w:r w:rsidR="009C0C4E">
        <w:t>new innovative businesses</w:t>
      </w:r>
      <w:r w:rsidR="004B7A5D">
        <w:t xml:space="preserve"> or the exit of ‘unproductive’ </w:t>
      </w:r>
      <w:r w:rsidR="009C0C4E">
        <w:t>ones</w:t>
      </w:r>
      <w:r w:rsidR="004B7A5D">
        <w:t>) can</w:t>
      </w:r>
      <w:r w:rsidR="00F75466">
        <w:t xml:space="preserve"> </w:t>
      </w:r>
      <w:r w:rsidR="00C50E82">
        <w:t xml:space="preserve">improve productivity through </w:t>
      </w:r>
      <w:r w:rsidR="00F75466">
        <w:t xml:space="preserve">reallocating </w:t>
      </w:r>
      <w:r w:rsidR="00C50E82">
        <w:t xml:space="preserve">resources to </w:t>
      </w:r>
      <w:r w:rsidR="00CB1DC9">
        <w:t xml:space="preserve">more productive </w:t>
      </w:r>
      <w:r w:rsidR="00C50E82">
        <w:t xml:space="preserve">activities. </w:t>
      </w:r>
      <w:r w:rsidR="001C629D">
        <w:t>These u</w:t>
      </w:r>
      <w:r w:rsidR="000B5D19">
        <w:t>nderlying causes generally interact with government policy and policy reforms.</w:t>
      </w:r>
    </w:p>
    <w:p w14:paraId="1D0A6D0F" w14:textId="77777777" w:rsidR="00742874" w:rsidRDefault="0026140B" w:rsidP="00742874">
      <w:pPr>
        <w:pStyle w:val="BodyText"/>
      </w:pPr>
      <w:r w:rsidRPr="001C1872">
        <w:rPr>
          <w:i/>
        </w:rPr>
        <w:t>F</w:t>
      </w:r>
      <w:r w:rsidR="00742874" w:rsidRPr="001C1872">
        <w:rPr>
          <w:i/>
        </w:rPr>
        <w:t>undamental</w:t>
      </w:r>
      <w:r w:rsidR="00742874" w:rsidRPr="00092F05">
        <w:rPr>
          <w:i/>
        </w:rPr>
        <w:t xml:space="preserve"> factors</w:t>
      </w:r>
      <w:r w:rsidR="00742874">
        <w:t xml:space="preserve"> condition productive potential and its long</w:t>
      </w:r>
      <w:r w:rsidR="00742874">
        <w:noBreakHyphen/>
        <w:t xml:space="preserve">term realisation. The emphasis given </w:t>
      </w:r>
      <w:r w:rsidR="001C629D">
        <w:t xml:space="preserve">by policy makers </w:t>
      </w:r>
      <w:r w:rsidR="00742874">
        <w:t>to</w:t>
      </w:r>
      <w:r w:rsidR="004B7A5D">
        <w:t xml:space="preserve"> different</w:t>
      </w:r>
      <w:r w:rsidR="00742874">
        <w:t xml:space="preserve"> economic </w:t>
      </w:r>
      <w:r w:rsidR="004B7A5D">
        <w:t>objectives</w:t>
      </w:r>
      <w:r w:rsidR="001C629D">
        <w:t xml:space="preserve"> affects</w:t>
      </w:r>
      <w:r w:rsidR="004B7A5D">
        <w:t xml:space="preserve"> </w:t>
      </w:r>
      <w:r w:rsidR="00742874">
        <w:t>the development of productivity</w:t>
      </w:r>
      <w:r w:rsidR="004B7A5D">
        <w:noBreakHyphen/>
      </w:r>
      <w:r w:rsidR="00742874">
        <w:t xml:space="preserve">enhancing capabilities, </w:t>
      </w:r>
      <w:r w:rsidR="001C629D">
        <w:t xml:space="preserve">such as investment in education and infrastructure. </w:t>
      </w:r>
      <w:r w:rsidR="005468CA">
        <w:t>T</w:t>
      </w:r>
      <w:r w:rsidR="00742874">
        <w:t>he stability of policy settings affect</w:t>
      </w:r>
      <w:r w:rsidR="001C629D">
        <w:t>s</w:t>
      </w:r>
      <w:r w:rsidR="00742874">
        <w:t xml:space="preserve"> th</w:t>
      </w:r>
      <w:r w:rsidR="00422B26">
        <w:t>e risks involved in making long</w:t>
      </w:r>
      <w:r w:rsidR="00422B26">
        <w:noBreakHyphen/>
      </w:r>
      <w:r w:rsidR="00742874">
        <w:t xml:space="preserve">term investment decisions. Formal and informal institutional ‘rules of the game’ </w:t>
      </w:r>
      <w:r w:rsidR="001C629D">
        <w:t xml:space="preserve">affect </w:t>
      </w:r>
      <w:r w:rsidR="00742874">
        <w:t>the costs of coordinating production activities and conducting business. The</w:t>
      </w:r>
      <w:r w:rsidR="005468CA">
        <w:t>se rules</w:t>
      </w:r>
      <w:r w:rsidR="00742874">
        <w:t xml:space="preserve"> influence</w:t>
      </w:r>
      <w:r w:rsidR="004B7A5D">
        <w:t>, and sometimes limit,</w:t>
      </w:r>
      <w:r w:rsidR="00742874">
        <w:t xml:space="preserve"> the incentives </w:t>
      </w:r>
      <w:r w:rsidR="001C629D">
        <w:t xml:space="preserve">that </w:t>
      </w:r>
      <w:r w:rsidR="00742874">
        <w:t xml:space="preserve">firms and individuals </w:t>
      </w:r>
      <w:r w:rsidR="001C629D">
        <w:t xml:space="preserve">have </w:t>
      </w:r>
      <w:r w:rsidR="00742874">
        <w:t xml:space="preserve">to raise productivity. </w:t>
      </w:r>
      <w:r w:rsidR="004B7A5D">
        <w:t xml:space="preserve">Cultural and social factors also </w:t>
      </w:r>
      <w:r w:rsidR="005468CA">
        <w:t xml:space="preserve">shape </w:t>
      </w:r>
      <w:r w:rsidR="00742874">
        <w:t xml:space="preserve">the orientation of people toward change of the kind </w:t>
      </w:r>
      <w:r w:rsidR="00742874">
        <w:lastRenderedPageBreak/>
        <w:t>required to achieve further development.</w:t>
      </w:r>
      <w:r w:rsidR="001C629D">
        <w:t xml:space="preserve"> For example, new technology always comes with risks, so the risk appetite of the community will affect the rates of adoption.</w:t>
      </w:r>
    </w:p>
    <w:p w14:paraId="1D0A6D10" w14:textId="1BACF342" w:rsidR="00963F7E" w:rsidRDefault="00963F7E" w:rsidP="00742874">
      <w:pPr>
        <w:pStyle w:val="BodyText"/>
      </w:pPr>
      <w:r>
        <w:t xml:space="preserve">Measures of productivity at the aggregate and industry level are useful to provide </w:t>
      </w:r>
      <w:r w:rsidR="001C1872">
        <w:t>an</w:t>
      </w:r>
      <w:r>
        <w:t xml:space="preserve"> </w:t>
      </w:r>
      <w:r w:rsidRPr="00561419">
        <w:rPr>
          <w:i/>
        </w:rPr>
        <w:t>ex</w:t>
      </w:r>
      <w:r w:rsidR="000F5C09">
        <w:rPr>
          <w:i/>
        </w:rPr>
        <w:t> </w:t>
      </w:r>
      <w:r w:rsidRPr="00561419">
        <w:rPr>
          <w:i/>
        </w:rPr>
        <w:t>post</w:t>
      </w:r>
      <w:r>
        <w:t xml:space="preserve"> indication of what is likely to have contributed to shifts in productivity performance </w:t>
      </w:r>
      <w:r w:rsidR="001C1872">
        <w:t>at the macroeconomic level</w:t>
      </w:r>
      <w:r>
        <w:t xml:space="preserve">. </w:t>
      </w:r>
      <w:r w:rsidR="001C1872">
        <w:t>For example, broad trends in capital deepening, human capital</w:t>
      </w:r>
      <w:r w:rsidR="000F5C09">
        <w:t xml:space="preserve"> development</w:t>
      </w:r>
      <w:r w:rsidR="00CF5B53">
        <w:t xml:space="preserve">, and technological progress </w:t>
      </w:r>
      <w:r w:rsidR="001C1872">
        <w:t xml:space="preserve">can often be discerned. </w:t>
      </w:r>
      <w:r>
        <w:t xml:space="preserve">However, </w:t>
      </w:r>
      <w:r w:rsidRPr="00CF5B53">
        <w:t>measured</w:t>
      </w:r>
      <w:r>
        <w:t xml:space="preserve"> </w:t>
      </w:r>
      <w:r w:rsidR="00CF5B53">
        <w:t xml:space="preserve">aggregate </w:t>
      </w:r>
      <w:r>
        <w:t>productivity</w:t>
      </w:r>
      <w:r w:rsidR="00CF5B53">
        <w:t xml:space="preserve"> indicators </w:t>
      </w:r>
      <w:r>
        <w:t xml:space="preserve">— </w:t>
      </w:r>
      <w:r w:rsidR="005468CA">
        <w:t>which is</w:t>
      </w:r>
      <w:r>
        <w:t xml:space="preserve"> a residual (growth in aggregate output less growth in aggregate inputs) — means that little, if anything, can be discerned about the </w:t>
      </w:r>
      <w:r w:rsidRPr="00092F05">
        <w:rPr>
          <w:i/>
        </w:rPr>
        <w:t>immediate</w:t>
      </w:r>
      <w:r>
        <w:t xml:space="preserve"> or </w:t>
      </w:r>
      <w:r w:rsidRPr="00092F05">
        <w:rPr>
          <w:i/>
        </w:rPr>
        <w:t>underlying</w:t>
      </w:r>
      <w:r>
        <w:t xml:space="preserve"> drivers of productivity</w:t>
      </w:r>
      <w:r w:rsidR="005468CA">
        <w:t>.</w:t>
      </w:r>
      <w:r>
        <w:t xml:space="preserve"> </w:t>
      </w:r>
      <w:r w:rsidR="005468CA">
        <w:t>A</w:t>
      </w:r>
      <w:r>
        <w:t>t the microeconomic level</w:t>
      </w:r>
      <w:r w:rsidR="003F653F">
        <w:t>,</w:t>
      </w:r>
      <w:r w:rsidR="005468CA">
        <w:t xml:space="preserve"> these are </w:t>
      </w:r>
      <w:r>
        <w:t xml:space="preserve">drivers like skills development, innovation, research and development, managerial practises, and so on. </w:t>
      </w:r>
      <w:r w:rsidRPr="00963F7E">
        <w:t xml:space="preserve">Ultimately, any policy relevant observations or recommendations </w:t>
      </w:r>
      <w:r w:rsidR="003F653F">
        <w:t>based on</w:t>
      </w:r>
      <w:r w:rsidRPr="00963F7E">
        <w:t xml:space="preserve"> judgements about productivity must also consider the theoretical drivers of productivity growth at a detailed level, ideally alongside other indicators of performance.</w:t>
      </w:r>
      <w:r w:rsidR="00CF5B53">
        <w:t xml:space="preserve"> As discussed in section</w:t>
      </w:r>
      <w:r w:rsidR="00422B26">
        <w:t> 1.3</w:t>
      </w:r>
      <w:r w:rsidR="00CF5B53">
        <w:t xml:space="preserve"> below, there is significant scope in Australia to improve firm</w:t>
      </w:r>
      <w:r w:rsidR="00CF5B53">
        <w:noBreakHyphen/>
        <w:t>level productivity analysis to illuminate some of these factors, and in particular</w:t>
      </w:r>
      <w:r w:rsidR="004A54DB">
        <w:t>,</w:t>
      </w:r>
      <w:r w:rsidR="00CF5B53">
        <w:t xml:space="preserve"> to determine </w:t>
      </w:r>
      <w:r w:rsidR="005468CA">
        <w:t xml:space="preserve">how </w:t>
      </w:r>
      <w:r w:rsidR="00CF5B53" w:rsidRPr="00CF5B53">
        <w:t>the theoretical</w:t>
      </w:r>
      <w:r w:rsidR="00CF5B53">
        <w:t xml:space="preserve"> drivers</w:t>
      </w:r>
      <w:r w:rsidR="00CF5B53" w:rsidRPr="00CF5B53">
        <w:t xml:space="preserve"> </w:t>
      </w:r>
      <w:r w:rsidR="00CF5B53">
        <w:t>matter</w:t>
      </w:r>
      <w:r w:rsidR="00CF5B53" w:rsidRPr="00CF5B53">
        <w:t xml:space="preserve"> in practice and how </w:t>
      </w:r>
      <w:r w:rsidR="00CF5B53">
        <w:t>this may differ</w:t>
      </w:r>
      <w:r w:rsidR="00CF5B53" w:rsidRPr="00CF5B53">
        <w:t xml:space="preserve"> across </w:t>
      </w:r>
      <w:r w:rsidR="00CF5B53">
        <w:t xml:space="preserve">firms and </w:t>
      </w:r>
      <w:r w:rsidR="00CF5B53" w:rsidRPr="00CF5B53">
        <w:t>industries.</w:t>
      </w:r>
    </w:p>
    <w:p w14:paraId="1D0A6D11" w14:textId="77777777" w:rsidR="00742874" w:rsidRDefault="00742874" w:rsidP="00AE79A8">
      <w:pPr>
        <w:pStyle w:val="Heading4"/>
      </w:pPr>
      <w:r>
        <w:t>P</w:t>
      </w:r>
      <w:r w:rsidR="00015E9E">
        <w:t>olicy’s impact on p</w:t>
      </w:r>
      <w:r>
        <w:t xml:space="preserve">roductivity levels </w:t>
      </w:r>
      <w:r w:rsidR="00015E9E">
        <w:t>and</w:t>
      </w:r>
      <w:r>
        <w:t xml:space="preserve"> growth rates</w:t>
      </w:r>
    </w:p>
    <w:p w14:paraId="1D0A6D12" w14:textId="7CE5E11B" w:rsidR="009C0C4E" w:rsidRDefault="004B7A5D" w:rsidP="00742874">
      <w:pPr>
        <w:pStyle w:val="BodyText"/>
      </w:pPr>
      <w:r>
        <w:t xml:space="preserve">Policy changes </w:t>
      </w:r>
      <w:r w:rsidR="00A219EC">
        <w:t xml:space="preserve">that </w:t>
      </w:r>
      <w:r>
        <w:t xml:space="preserve">improve the settings in which businesses and individuals make decisions (including decisions on the </w:t>
      </w:r>
      <w:r w:rsidR="008C6CC8">
        <w:t>function</w:t>
      </w:r>
      <w:r>
        <w:t xml:space="preserve"> and actions of governments themselves)</w:t>
      </w:r>
      <w:r w:rsidR="008C6CC8">
        <w:t xml:space="preserve">, can permanently increase the </w:t>
      </w:r>
      <w:r w:rsidR="008C6CC8" w:rsidRPr="008C6CC8">
        <w:rPr>
          <w:i/>
        </w:rPr>
        <w:t>level</w:t>
      </w:r>
      <w:r w:rsidR="008C6CC8">
        <w:t xml:space="preserve"> of productivity. The gains in income from a</w:t>
      </w:r>
      <w:r w:rsidR="008C6CC8" w:rsidDel="005468CA">
        <w:t xml:space="preserve"> </w:t>
      </w:r>
      <w:r w:rsidR="008C6CC8">
        <w:t>higher level of productivity are enduring and result in a higher level of income than would otherwise be the case. However</w:t>
      </w:r>
      <w:r w:rsidR="00A219EC">
        <w:t>,</w:t>
      </w:r>
      <w:r w:rsidR="008C6CC8">
        <w:t xml:space="preserve"> it is </w:t>
      </w:r>
      <w:r w:rsidR="00A219EC">
        <w:t xml:space="preserve">possible that </w:t>
      </w:r>
      <w:r w:rsidR="008C6CC8">
        <w:t xml:space="preserve">policy reform </w:t>
      </w:r>
      <w:r w:rsidR="00A219EC">
        <w:t xml:space="preserve">could sometimes </w:t>
      </w:r>
      <w:r w:rsidR="008C6CC8">
        <w:t>permanent</w:t>
      </w:r>
      <w:r w:rsidR="00A219EC">
        <w:t>ly</w:t>
      </w:r>
      <w:r w:rsidR="008C6CC8">
        <w:t xml:space="preserve"> improv</w:t>
      </w:r>
      <w:r w:rsidR="00A219EC">
        <w:t>e</w:t>
      </w:r>
      <w:r w:rsidR="008C6CC8">
        <w:t xml:space="preserve"> productivity </w:t>
      </w:r>
      <w:r w:rsidR="008C6CC8" w:rsidRPr="008C6CC8">
        <w:rPr>
          <w:i/>
        </w:rPr>
        <w:t>growth</w:t>
      </w:r>
      <w:r w:rsidR="00E76E51" w:rsidRPr="00627745">
        <w:t>, relative to what it would otherwise be</w:t>
      </w:r>
      <w:r w:rsidR="008C6CC8">
        <w:t xml:space="preserve">. For example, reforms </w:t>
      </w:r>
      <w:r w:rsidR="005C68E1">
        <w:t>that</w:t>
      </w:r>
      <w:r w:rsidR="008C6CC8">
        <w:t xml:space="preserve"> indelibly increase the propensity of businesses to innovate can structurally improve produc</w:t>
      </w:r>
      <w:r w:rsidR="004B1243">
        <w:t>tivity growth because successive innovations should,</w:t>
      </w:r>
      <w:r w:rsidR="008C6CC8">
        <w:t xml:space="preserve"> over time, continuously raise the </w:t>
      </w:r>
      <w:r w:rsidR="004B1243">
        <w:t xml:space="preserve">level of output able to be produced from existing </w:t>
      </w:r>
      <w:r w:rsidR="008C6CC8">
        <w:t>labour and capital</w:t>
      </w:r>
      <w:r w:rsidR="009C0C4E">
        <w:t xml:space="preserve"> resources</w:t>
      </w:r>
      <w:r w:rsidR="00E76E51">
        <w:t xml:space="preserve"> </w:t>
      </w:r>
      <w:r w:rsidR="00E76E51" w:rsidRPr="00E76E51">
        <w:rPr>
          <w:szCs w:val="24"/>
        </w:rPr>
        <w:t>(PC 2009)</w:t>
      </w:r>
      <w:r w:rsidR="009C0C4E">
        <w:t xml:space="preserve">. </w:t>
      </w:r>
    </w:p>
    <w:p w14:paraId="1D0A6D13" w14:textId="77777777" w:rsidR="00015E9E" w:rsidRDefault="00015E9E" w:rsidP="00015E9E">
      <w:pPr>
        <w:pStyle w:val="Heading4"/>
      </w:pPr>
      <w:r>
        <w:t>The desirability of MFP versus capital deepening</w:t>
      </w:r>
      <w:r w:rsidR="005D529A">
        <w:t xml:space="preserve"> – what role for investment?</w:t>
      </w:r>
    </w:p>
    <w:p w14:paraId="1D0A6D14" w14:textId="63DCB446" w:rsidR="003C2483" w:rsidRDefault="00015E9E" w:rsidP="00B36F72">
      <w:pPr>
        <w:pStyle w:val="BodyText"/>
      </w:pPr>
      <w:r>
        <w:t xml:space="preserve">Both MFP and capital deepening are desirable sources of LP growth. MFP growth is </w:t>
      </w:r>
      <w:r w:rsidR="00425CD9">
        <w:t xml:space="preserve">particularly </w:t>
      </w:r>
      <w:r>
        <w:t>desirable because, unlike capital deepening, it does not require consumption</w:t>
      </w:r>
      <w:r w:rsidR="00425CD9">
        <w:t xml:space="preserve"> to be forgone</w:t>
      </w:r>
      <w:r w:rsidR="00401FA7">
        <w:t>. That is, capital deepening brought about by investment requires expenditure on capital</w:t>
      </w:r>
      <w:r w:rsidR="003117F2">
        <w:t>,</w:t>
      </w:r>
      <w:r w:rsidR="00401FA7">
        <w:t xml:space="preserve"> which could have been spent on other consumables, whereas MFP growth </w:t>
      </w:r>
      <w:r w:rsidR="003C2483">
        <w:t xml:space="preserve">ultimately </w:t>
      </w:r>
      <w:r w:rsidR="00401FA7">
        <w:t>requires no such trade</w:t>
      </w:r>
      <w:r w:rsidR="00E76E51">
        <w:noBreakHyphen/>
      </w:r>
      <w:r w:rsidR="00401FA7">
        <w:t>off. Furthermore, MFP growth</w:t>
      </w:r>
      <w:r>
        <w:t xml:space="preserve"> over the long</w:t>
      </w:r>
      <w:r w:rsidR="0088662F">
        <w:noBreakHyphen/>
      </w:r>
      <w:r>
        <w:t xml:space="preserve">term usually signals advancement in technology and overall economic efficiency. </w:t>
      </w:r>
    </w:p>
    <w:p w14:paraId="1D0A6D15" w14:textId="77777777" w:rsidR="00B36F72" w:rsidRDefault="003C2483" w:rsidP="00B36F72">
      <w:pPr>
        <w:pStyle w:val="BodyText"/>
      </w:pPr>
      <w:r>
        <w:t xml:space="preserve">This is not to say that investment is not needed to drive advances in technology. Investment in R&amp;D, skills and new capital can be critical. The key is that these investments return far more than their cost. And even moving closer to the frontier by </w:t>
      </w:r>
      <w:r>
        <w:lastRenderedPageBreak/>
        <w:t>adopting the technologies developed elsewhere is not costless, often requiring organisational change. Again, the key is that the return exceeds the cost of the investment required. Hence investment, widely construed to include education and facilitating infrastructure, can be inextricably linked to productivity growth</w:t>
      </w:r>
      <w:r w:rsidR="00B36F72">
        <w:t xml:space="preserve">. </w:t>
      </w:r>
      <w:r>
        <w:t>Low investment can be the death knell for MFP growth.</w:t>
      </w:r>
    </w:p>
    <w:p w14:paraId="1D0A6D16" w14:textId="77777777" w:rsidR="00015E9E" w:rsidRDefault="00066F93" w:rsidP="00015E9E">
      <w:pPr>
        <w:pStyle w:val="BodyText"/>
      </w:pPr>
      <w:r>
        <w:t xml:space="preserve">As the appreciation of the exchange rate associated with the improvement in the </w:t>
      </w:r>
      <w:proofErr w:type="spellStart"/>
      <w:r>
        <w:t>ToT</w:t>
      </w:r>
      <w:proofErr w:type="spellEnd"/>
      <w:r>
        <w:t xml:space="preserve"> lowered prices for imported consumption goods, less consumption was forgone to support the </w:t>
      </w:r>
      <w:r w:rsidR="00015E9E">
        <w:t xml:space="preserve">higher aggregate capital deepening through the mining boom </w:t>
      </w:r>
      <w:r>
        <w:t xml:space="preserve">(and </w:t>
      </w:r>
      <w:r w:rsidR="000321C0">
        <w:t xml:space="preserve">as </w:t>
      </w:r>
      <w:r>
        <w:t>much of this expansion in capital was funded with foreign capital inflow</w:t>
      </w:r>
      <w:r w:rsidR="000321C0">
        <w:t>,</w:t>
      </w:r>
      <w:r>
        <w:t xml:space="preserve"> domestic consumption was little affected). </w:t>
      </w:r>
      <w:r w:rsidR="00401FA7">
        <w:t xml:space="preserve">The subsequent </w:t>
      </w:r>
      <w:r>
        <w:t>decline in</w:t>
      </w:r>
      <w:r w:rsidR="000321C0">
        <w:t xml:space="preserve"> commodity</w:t>
      </w:r>
      <w:r w:rsidR="00401FA7">
        <w:t xml:space="preserve"> prices and the </w:t>
      </w:r>
      <w:r>
        <w:t xml:space="preserve">depreciation of the </w:t>
      </w:r>
      <w:r w:rsidR="00401FA7">
        <w:t>exchange rate</w:t>
      </w:r>
      <w:r>
        <w:t xml:space="preserve"> have contributed to</w:t>
      </w:r>
      <w:r w:rsidR="00401FA7">
        <w:t xml:space="preserve"> lower rates of income growth</w:t>
      </w:r>
      <w:r>
        <w:t>. This</w:t>
      </w:r>
      <w:r w:rsidR="00401FA7">
        <w:t xml:space="preserve"> serve</w:t>
      </w:r>
      <w:r>
        <w:t>s</w:t>
      </w:r>
      <w:r w:rsidR="00401FA7">
        <w:t xml:space="preserve"> as a reminder that</w:t>
      </w:r>
      <w:r w:rsidR="00015E9E">
        <w:t xml:space="preserve"> </w:t>
      </w:r>
      <w:r w:rsidR="00401FA7">
        <w:t>large amounts of capital investment</w:t>
      </w:r>
      <w:r w:rsidR="003C2483">
        <w:t>,</w:t>
      </w:r>
      <w:r w:rsidR="00401FA7">
        <w:t xml:space="preserve"> </w:t>
      </w:r>
      <w:r w:rsidR="00472EFF">
        <w:t xml:space="preserve">which respond to cyclical factors, </w:t>
      </w:r>
      <w:r w:rsidR="00015E9E">
        <w:t xml:space="preserve">cannot be relied upon as a sustained source of income growth. </w:t>
      </w:r>
      <w:r w:rsidR="00E42943">
        <w:t xml:space="preserve">Large capital inflows from overseas can raise national income in the short term, but may detract from resources available to other sectors of the economy, potentially lowering output in the longer term. </w:t>
      </w:r>
    </w:p>
    <w:p w14:paraId="1D0A6D17" w14:textId="10E49DB8" w:rsidR="00015E9E" w:rsidRDefault="00E42943" w:rsidP="00015E9E">
      <w:pPr>
        <w:pStyle w:val="BodyText"/>
      </w:pPr>
      <w:r>
        <w:t>More generally</w:t>
      </w:r>
      <w:r w:rsidR="00015E9E">
        <w:t xml:space="preserve">, whether productivity growth in </w:t>
      </w:r>
      <w:r w:rsidR="000321C0">
        <w:t xml:space="preserve">the </w:t>
      </w:r>
      <w:r w:rsidR="00015E9E">
        <w:t>future improve</w:t>
      </w:r>
      <w:r w:rsidR="003C538E">
        <w:t>s</w:t>
      </w:r>
      <w:r w:rsidR="00015E9E">
        <w:t xml:space="preserve"> </w:t>
      </w:r>
      <w:r w:rsidR="000321C0">
        <w:t>through</w:t>
      </w:r>
      <w:r w:rsidR="00015E9E">
        <w:t xml:space="preserve"> capital deepening</w:t>
      </w:r>
      <w:r w:rsidR="003E269F">
        <w:t xml:space="preserve"> and investment</w:t>
      </w:r>
      <w:r w:rsidR="00690C1B">
        <w:noBreakHyphen/>
      </w:r>
      <w:r w:rsidR="003E269F">
        <w:t>driven innovation</w:t>
      </w:r>
      <w:r w:rsidR="00015E9E">
        <w:t xml:space="preserve"> will depend on the prudence of the investment decisions and subsequent management of assets — that is, whether investments </w:t>
      </w:r>
      <w:r w:rsidR="00066F93">
        <w:t xml:space="preserve">have been </w:t>
      </w:r>
      <w:r w:rsidR="003117F2">
        <w:t xml:space="preserve">based on </w:t>
      </w:r>
      <w:r w:rsidR="00015E9E">
        <w:t xml:space="preserve">sound judgment of net benefits, and whether </w:t>
      </w:r>
      <w:r w:rsidR="009C7CD4">
        <w:t xml:space="preserve">the </w:t>
      </w:r>
      <w:r w:rsidR="00015E9E">
        <w:t xml:space="preserve">new capacity is </w:t>
      </w:r>
      <w:r w:rsidR="003117F2">
        <w:t>used</w:t>
      </w:r>
      <w:r w:rsidR="00015E9E">
        <w:t xml:space="preserve"> efficiently over the </w:t>
      </w:r>
      <w:r w:rsidR="003E269F">
        <w:t xml:space="preserve">lives of the </w:t>
      </w:r>
      <w:r w:rsidR="00015E9E">
        <w:t xml:space="preserve">assets. </w:t>
      </w:r>
      <w:r w:rsidR="003E269F">
        <w:t>For example, i</w:t>
      </w:r>
      <w:r w:rsidR="003C538E">
        <w:t xml:space="preserve">nfrastructure </w:t>
      </w:r>
      <w:r w:rsidR="00015E9E">
        <w:t xml:space="preserve">capacity </w:t>
      </w:r>
      <w:r w:rsidR="003E269F">
        <w:t xml:space="preserve">that is poorly utilised </w:t>
      </w:r>
      <w:r w:rsidR="00015E9E">
        <w:t xml:space="preserve">will, all else </w:t>
      </w:r>
      <w:r w:rsidR="003117F2">
        <w:t xml:space="preserve">being </w:t>
      </w:r>
      <w:r w:rsidR="00015E9E">
        <w:t xml:space="preserve">equal, detract from productivity (and income) growth. As </w:t>
      </w:r>
      <w:r w:rsidR="00401FA7">
        <w:t>discussed in chapter</w:t>
      </w:r>
      <w:r w:rsidR="00252D78">
        <w:t> </w:t>
      </w:r>
      <w:r w:rsidR="00E633E9">
        <w:t xml:space="preserve">4 </w:t>
      </w:r>
      <w:r w:rsidR="008265A6">
        <w:t xml:space="preserve">in the main report </w:t>
      </w:r>
      <w:r w:rsidR="00E76E51">
        <w:t xml:space="preserve">and </w:t>
      </w:r>
      <w:r w:rsidR="003D5FF1">
        <w:t>supporting paper</w:t>
      </w:r>
      <w:r w:rsidR="00422B26">
        <w:t> </w:t>
      </w:r>
      <w:r w:rsidR="00E633E9">
        <w:t>9</w:t>
      </w:r>
      <w:r w:rsidR="00015E9E">
        <w:t xml:space="preserve">, there are </w:t>
      </w:r>
      <w:r w:rsidR="00690C1B">
        <w:t>continuing instances</w:t>
      </w:r>
      <w:r w:rsidR="00015E9E">
        <w:t xml:space="preserve"> of poor</w:t>
      </w:r>
      <w:r w:rsidR="00690C1B">
        <w:t>, major,</w:t>
      </w:r>
      <w:r w:rsidR="00015E9E">
        <w:t xml:space="preserve"> investment decisions. An</w:t>
      </w:r>
      <w:r w:rsidR="00401FA7">
        <w:t>y</w:t>
      </w:r>
      <w:r w:rsidR="00015E9E">
        <w:t xml:space="preserve"> improvement in the </w:t>
      </w:r>
      <w:r w:rsidR="005779BC">
        <w:t xml:space="preserve">selection and </w:t>
      </w:r>
      <w:r w:rsidR="00015E9E">
        <w:t xml:space="preserve">use of </w:t>
      </w:r>
      <w:r w:rsidR="005779BC">
        <w:t>infrastructure</w:t>
      </w:r>
      <w:r w:rsidR="00015E9E">
        <w:t xml:space="preserve"> will</w:t>
      </w:r>
      <w:r w:rsidR="005779BC">
        <w:t xml:space="preserve">, other things equal, increase </w:t>
      </w:r>
      <w:r w:rsidR="00015E9E">
        <w:t>output and average income</w:t>
      </w:r>
      <w:r w:rsidR="00E76E51">
        <w:t>s</w:t>
      </w:r>
      <w:r w:rsidR="00015E9E">
        <w:t xml:space="preserve"> in Australia.</w:t>
      </w:r>
      <w:r w:rsidR="003D5FF1">
        <w:t xml:space="preserve"> </w:t>
      </w:r>
    </w:p>
    <w:p w14:paraId="1D0A6D18" w14:textId="6B187A69" w:rsidR="007011C6" w:rsidRDefault="00401FA7" w:rsidP="00401FA7">
      <w:pPr>
        <w:pStyle w:val="BodyText"/>
      </w:pPr>
      <w:r>
        <w:t xml:space="preserve">Policy settings </w:t>
      </w:r>
      <w:r w:rsidR="003117F2">
        <w:t>that</w:t>
      </w:r>
      <w:r>
        <w:t xml:space="preserve"> encourage investment at the </w:t>
      </w:r>
      <w:r w:rsidR="00F4089E">
        <w:t>firm</w:t>
      </w:r>
      <w:r>
        <w:t xml:space="preserve"> level can also have </w:t>
      </w:r>
      <w:r w:rsidR="003C538E">
        <w:t xml:space="preserve">positive </w:t>
      </w:r>
      <w:r>
        <w:t>productivity impacts</w:t>
      </w:r>
      <w:r w:rsidR="003C538E">
        <w:t xml:space="preserve"> </w:t>
      </w:r>
      <w:r w:rsidR="003117F2">
        <w:t>that</w:t>
      </w:r>
      <w:r w:rsidR="003C538E">
        <w:t xml:space="preserve"> are difficult to measure.</w:t>
      </w:r>
      <w:r>
        <w:t xml:space="preserve"> </w:t>
      </w:r>
      <w:r w:rsidR="003C538E">
        <w:t>Capital i</w:t>
      </w:r>
      <w:r>
        <w:t>nvestment</w:t>
      </w:r>
      <w:r w:rsidR="003C538E">
        <w:t xml:space="preserve">s </w:t>
      </w:r>
      <w:r w:rsidR="003E269F">
        <w:t xml:space="preserve">that </w:t>
      </w:r>
      <w:r w:rsidR="003C538E">
        <w:t>embody</w:t>
      </w:r>
      <w:r w:rsidR="003C538E" w:rsidRPr="003C538E">
        <w:t xml:space="preserve"> </w:t>
      </w:r>
      <w:r w:rsidR="003C538E">
        <w:t xml:space="preserve">new technologies </w:t>
      </w:r>
      <w:r w:rsidR="003E269F">
        <w:t>can be a catalyst for improvement where they drive more</w:t>
      </w:r>
      <w:r w:rsidR="003C538E">
        <w:t xml:space="preserve"> </w:t>
      </w:r>
      <w:r w:rsidR="00F4089E">
        <w:t>innovative</w:t>
      </w:r>
      <w:r w:rsidR="003C538E">
        <w:t xml:space="preserve"> ways of doing things</w:t>
      </w:r>
      <w:r w:rsidR="003C538E" w:rsidRPr="003C538E">
        <w:t>.</w:t>
      </w:r>
      <w:r>
        <w:t xml:space="preserve"> </w:t>
      </w:r>
      <w:r w:rsidR="003E269F">
        <w:t>In</w:t>
      </w:r>
      <w:r w:rsidR="003C538E">
        <w:t xml:space="preserve"> a dynamic setting, </w:t>
      </w:r>
      <w:r w:rsidR="003E269F">
        <w:t xml:space="preserve">if </w:t>
      </w:r>
      <w:r w:rsidR="003C538E">
        <w:t xml:space="preserve">the </w:t>
      </w:r>
      <w:r w:rsidR="00E42943">
        <w:t xml:space="preserve">return on capital </w:t>
      </w:r>
      <w:r w:rsidR="003E269F">
        <w:t xml:space="preserve">exceeds </w:t>
      </w:r>
      <w:r w:rsidR="00E42943">
        <w:t>the cost of capital</w:t>
      </w:r>
      <w:r w:rsidR="004F221B">
        <w:t>,</w:t>
      </w:r>
      <w:r w:rsidR="00E42943">
        <w:t xml:space="preserve"> the gains will </w:t>
      </w:r>
      <w:r w:rsidR="003C538E">
        <w:t xml:space="preserve">be captured </w:t>
      </w:r>
      <w:r w:rsidR="00E42943">
        <w:t xml:space="preserve">in </w:t>
      </w:r>
      <w:r w:rsidR="003E269F">
        <w:t xml:space="preserve">measured </w:t>
      </w:r>
      <w:r w:rsidR="003C538E">
        <w:t xml:space="preserve">MFP growth. </w:t>
      </w:r>
      <w:r w:rsidR="003E269F">
        <w:t>P</w:t>
      </w:r>
      <w:r w:rsidR="007011C6">
        <w:t xml:space="preserve">olicy ought </w:t>
      </w:r>
      <w:r w:rsidR="00BC198C">
        <w:t>not to</w:t>
      </w:r>
      <w:r w:rsidR="007011C6">
        <w:t xml:space="preserve"> skew decision making away from capital investment</w:t>
      </w:r>
      <w:r w:rsidR="00F4089E">
        <w:t xml:space="preserve"> where there are </w:t>
      </w:r>
      <w:r w:rsidR="003E269F">
        <w:t xml:space="preserve">expected </w:t>
      </w:r>
      <w:r w:rsidR="00F4089E">
        <w:t xml:space="preserve">net benefits to </w:t>
      </w:r>
      <w:r w:rsidR="00572268">
        <w:t>the firm</w:t>
      </w:r>
      <w:r w:rsidR="003E269F">
        <w:t xml:space="preserve"> taking into account the risks inherent in the investment</w:t>
      </w:r>
      <w:r w:rsidR="007011C6">
        <w:t>. It is difficult to imagine, for example, how business processes today would have evolved</w:t>
      </w:r>
      <w:r w:rsidR="000321C0">
        <w:t>,</w:t>
      </w:r>
      <w:r w:rsidR="007011C6">
        <w:t xml:space="preserve"> were </w:t>
      </w:r>
      <w:r w:rsidR="000321C0">
        <w:t xml:space="preserve">it </w:t>
      </w:r>
      <w:r w:rsidR="007011C6">
        <w:t xml:space="preserve">not for the gradual adoption of new and untested information and communication technologies in the </w:t>
      </w:r>
      <w:proofErr w:type="spellStart"/>
      <w:r w:rsidR="007011C6">
        <w:t>1980s</w:t>
      </w:r>
      <w:proofErr w:type="spellEnd"/>
      <w:r w:rsidR="007011C6">
        <w:t xml:space="preserve"> and </w:t>
      </w:r>
      <w:proofErr w:type="spellStart"/>
      <w:r w:rsidR="007011C6">
        <w:t>1990s</w:t>
      </w:r>
      <w:proofErr w:type="spellEnd"/>
      <w:r w:rsidR="007011C6">
        <w:t xml:space="preserve"> (many of which have been superseded).</w:t>
      </w:r>
      <w:r w:rsidR="00687BC0" w:rsidRPr="00E6296D">
        <w:rPr>
          <w:rStyle w:val="FootnoteReference"/>
        </w:rPr>
        <w:footnoteReference w:id="3"/>
      </w:r>
    </w:p>
    <w:p w14:paraId="1D0A6D19" w14:textId="3C65AE8F" w:rsidR="00D27D3D" w:rsidRDefault="007011C6" w:rsidP="00401FA7">
      <w:pPr>
        <w:pStyle w:val="BodyText"/>
      </w:pPr>
      <w:r>
        <w:lastRenderedPageBreak/>
        <w:t>Private and public</w:t>
      </w:r>
      <w:r w:rsidR="00D27D3D">
        <w:t xml:space="preserve"> capital</w:t>
      </w:r>
      <w:r>
        <w:t xml:space="preserve"> investment decisions also interact in crucial ways. Governments have a key role in the provision (and regulation) of key </w:t>
      </w:r>
      <w:r w:rsidR="000729E3">
        <w:t>infrastructure</w:t>
      </w:r>
      <w:r>
        <w:t xml:space="preserve"> like transport (</w:t>
      </w:r>
      <w:r w:rsidR="003117F2">
        <w:t>such as</w:t>
      </w:r>
      <w:r>
        <w:t xml:space="preserve"> roads</w:t>
      </w:r>
      <w:r w:rsidR="00F65A17">
        <w:t xml:space="preserve"> and</w:t>
      </w:r>
      <w:r>
        <w:t xml:space="preserve"> rail) and utilities</w:t>
      </w:r>
      <w:r w:rsidR="000729E3">
        <w:t xml:space="preserve"> (</w:t>
      </w:r>
      <w:r w:rsidR="00F65A17">
        <w:t xml:space="preserve">for example gas and water </w:t>
      </w:r>
      <w:r w:rsidR="000729E3">
        <w:t>pipelines</w:t>
      </w:r>
      <w:r w:rsidR="00F65A17">
        <w:t xml:space="preserve">, sewerage and electricity </w:t>
      </w:r>
      <w:r w:rsidR="000729E3">
        <w:t>transmission networks)</w:t>
      </w:r>
      <w:r w:rsidR="004F221B">
        <w:t xml:space="preserve"> </w:t>
      </w:r>
      <w:r>
        <w:t xml:space="preserve">on which most businesses </w:t>
      </w:r>
      <w:r w:rsidR="00572268">
        <w:t>and individuals</w:t>
      </w:r>
      <w:r>
        <w:t xml:space="preserve"> rely</w:t>
      </w:r>
      <w:r w:rsidR="00572268">
        <w:t>. Public capital investment decisions can also</w:t>
      </w:r>
      <w:r>
        <w:t xml:space="preserve"> </w:t>
      </w:r>
      <w:r w:rsidR="00572268">
        <w:t xml:space="preserve">affect </w:t>
      </w:r>
      <w:r w:rsidR="00F65A17">
        <w:t>the</w:t>
      </w:r>
      <w:r>
        <w:t xml:space="preserve"> investment decisions</w:t>
      </w:r>
      <w:r w:rsidR="00F65A17">
        <w:t xml:space="preserve"> of firms</w:t>
      </w:r>
      <w:r w:rsidR="003117F2">
        <w:t>. T</w:t>
      </w:r>
      <w:r w:rsidR="00F65A17">
        <w:t xml:space="preserve">he </w:t>
      </w:r>
      <w:r w:rsidR="00CB3BF6">
        <w:t>current debate on energy costs and their impact on businesses</w:t>
      </w:r>
      <w:r w:rsidR="00D27D3D">
        <w:t>’ viability</w:t>
      </w:r>
      <w:r w:rsidR="003117F2">
        <w:t xml:space="preserve"> is a case in point</w:t>
      </w:r>
      <w:r w:rsidR="00CB3BF6">
        <w:t xml:space="preserve">. Beyond </w:t>
      </w:r>
      <w:r w:rsidR="003117F2">
        <w:t>the</w:t>
      </w:r>
      <w:r w:rsidR="00CB3BF6">
        <w:t xml:space="preserve"> initial capital deepening effect </w:t>
      </w:r>
      <w:r w:rsidR="003117F2">
        <w:t>that</w:t>
      </w:r>
      <w:r w:rsidR="00CB3BF6">
        <w:t xml:space="preserve"> large public investments provide, they can also facilitate access to</w:t>
      </w:r>
      <w:r w:rsidR="00BC198C">
        <w:t>,</w:t>
      </w:r>
      <w:r w:rsidR="00CB3BF6">
        <w:t xml:space="preserve"> or lower the cost of</w:t>
      </w:r>
      <w:r w:rsidR="00BC198C">
        <w:t>,</w:t>
      </w:r>
      <w:r w:rsidR="00CB3BF6">
        <w:t xml:space="preserve"> intermediate or factor inputs. For example, effective transport and communications systems can lead to reduced freight </w:t>
      </w:r>
      <w:r w:rsidR="00F65A17">
        <w:t xml:space="preserve">and </w:t>
      </w:r>
      <w:r w:rsidR="00CB3BF6">
        <w:t>business travel costs, allowing greater production wit</w:t>
      </w:r>
      <w:r w:rsidR="00BC198C">
        <w:t>h the same inputs</w:t>
      </w:r>
      <w:r w:rsidR="00CB3BF6">
        <w:t xml:space="preserve">. </w:t>
      </w:r>
    </w:p>
    <w:p w14:paraId="1D0A6D1A" w14:textId="507EC51D" w:rsidR="00015E9E" w:rsidRDefault="00D27D3D" w:rsidP="00742874">
      <w:pPr>
        <w:pStyle w:val="BodyText"/>
      </w:pPr>
      <w:r>
        <w:t xml:space="preserve">Public infrastructure projects may also have </w:t>
      </w:r>
      <w:r w:rsidR="005D529A">
        <w:t xml:space="preserve">broader </w:t>
      </w:r>
      <w:r>
        <w:t xml:space="preserve">economic </w:t>
      </w:r>
      <w:r w:rsidR="0088694C">
        <w:t>effects</w:t>
      </w:r>
      <w:r w:rsidR="00930D12">
        <w:t>.</w:t>
      </w:r>
      <w:r>
        <w:t xml:space="preserve"> For example, </w:t>
      </w:r>
      <w:r w:rsidR="00F65A17">
        <w:t xml:space="preserve">the </w:t>
      </w:r>
      <w:r>
        <w:t>proximity of workers to jobs can improve labour market matching, and</w:t>
      </w:r>
      <w:r w:rsidR="0088694C">
        <w:t xml:space="preserve"> increase labour force participation</w:t>
      </w:r>
      <w:r>
        <w:t>. Greater</w:t>
      </w:r>
      <w:r w:rsidR="00930D12">
        <w:t xml:space="preserve"> effective</w:t>
      </w:r>
      <w:r>
        <w:t xml:space="preserve"> proximity of suppliers, customers and competitors can also lead to more competitive markets, while generating</w:t>
      </w:r>
      <w:r w:rsidR="00F65A17">
        <w:t xml:space="preserve"> knowledge</w:t>
      </w:r>
      <w:r>
        <w:t xml:space="preserve"> </w:t>
      </w:r>
      <w:proofErr w:type="spellStart"/>
      <w:r>
        <w:t>spillo</w:t>
      </w:r>
      <w:r w:rsidR="00930D12">
        <w:t>vers</w:t>
      </w:r>
      <w:proofErr w:type="spellEnd"/>
      <w:r w:rsidR="00930D12">
        <w:t xml:space="preserve"> </w:t>
      </w:r>
      <w:r w:rsidR="00F65A17">
        <w:t>from the application</w:t>
      </w:r>
      <w:r w:rsidR="00930D12">
        <w:t xml:space="preserve"> of technology. Businesses and individuals can also benefit from infrastructure even if they do not use it</w:t>
      </w:r>
      <w:r w:rsidR="00F65A17">
        <w:t>. F</w:t>
      </w:r>
      <w:r w:rsidR="00930D12">
        <w:t>or example</w:t>
      </w:r>
      <w:r w:rsidR="008C2BC6">
        <w:t>,</w:t>
      </w:r>
      <w:r w:rsidR="00930D12">
        <w:t xml:space="preserve"> a business </w:t>
      </w:r>
      <w:r w:rsidR="00F65A17">
        <w:t xml:space="preserve">might </w:t>
      </w:r>
      <w:r w:rsidR="00930D12">
        <w:t>not use a new road, but nonetheless benefits from reduced congestion on the part of the network they do use.</w:t>
      </w:r>
      <w:r w:rsidR="00E068FD">
        <w:t xml:space="preserve"> </w:t>
      </w:r>
      <w:r w:rsidR="00F65A17">
        <w:t>Where</w:t>
      </w:r>
      <w:r w:rsidR="00930D12">
        <w:t xml:space="preserve"> public infrastructure decisions are poorly planned</w:t>
      </w:r>
      <w:r w:rsidR="004F221B">
        <w:t>,</w:t>
      </w:r>
      <w:r w:rsidR="00930D12">
        <w:t xml:space="preserve"> </w:t>
      </w:r>
      <w:r w:rsidR="00F65A17">
        <w:t>the net benefits of these investments can be negative.</w:t>
      </w:r>
      <w:r w:rsidR="00930D12">
        <w:t xml:space="preserve"> This emphasises the need for robust settings to determine public infrastructure investment priorities, </w:t>
      </w:r>
      <w:r w:rsidR="00A7487B">
        <w:t>rigorous analysis of project business cases</w:t>
      </w:r>
      <w:r w:rsidR="00F65A17">
        <w:t>,</w:t>
      </w:r>
      <w:r w:rsidR="00930D12">
        <w:t xml:space="preserve"> and the </w:t>
      </w:r>
      <w:r w:rsidR="00A7487B">
        <w:t>sound</w:t>
      </w:r>
      <w:r w:rsidR="00930D12">
        <w:t xml:space="preserve"> management of assets over time.</w:t>
      </w:r>
    </w:p>
    <w:p w14:paraId="1D0A6D1B" w14:textId="77777777" w:rsidR="00191199" w:rsidRPr="004E3B94" w:rsidRDefault="00191199" w:rsidP="00191199">
      <w:pPr>
        <w:pStyle w:val="BoxSpaceAboveElement"/>
        <w:keepLines/>
        <w:rPr>
          <w:vanish w:val="0"/>
          <w:color w:val="auto"/>
        </w:rPr>
      </w:pPr>
    </w:p>
    <w:tbl>
      <w:tblPr>
        <w:tblW w:w="4814" w:type="pct"/>
        <w:tblInd w:w="170"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191199" w14:paraId="1D0A6D1E" w14:textId="77777777" w:rsidTr="00DA091E">
        <w:trPr>
          <w:cantSplit/>
          <w:tblHeader/>
        </w:trPr>
        <w:tc>
          <w:tcPr>
            <w:tcW w:w="5000" w:type="pct"/>
            <w:tcBorders>
              <w:top w:val="single" w:sz="6" w:space="0" w:color="265A9A" w:themeColor="accent2"/>
              <w:left w:val="nil"/>
              <w:bottom w:val="nil"/>
              <w:right w:val="nil"/>
            </w:tcBorders>
            <w:shd w:val="clear" w:color="auto" w:fill="E1EBF5"/>
            <w:tcMar>
              <w:left w:w="170" w:type="dxa"/>
              <w:right w:w="170" w:type="dxa"/>
            </w:tcMar>
          </w:tcPr>
          <w:p w14:paraId="1D0A6D1C" w14:textId="77777777" w:rsidR="00191199" w:rsidRPr="00DA091E" w:rsidRDefault="00191199" w:rsidP="0084197A">
            <w:pPr>
              <w:pStyle w:val="FindingTitle"/>
              <w:spacing w:before="120"/>
              <w:rPr>
                <w:noProof/>
              </w:rPr>
            </w:pPr>
            <w:r w:rsidRPr="00DA091E">
              <w:t xml:space="preserve">conclusion </w:t>
            </w:r>
            <w:r w:rsidR="00F22F6A" w:rsidRPr="00DA091E">
              <w:t>1</w:t>
            </w:r>
            <w:r w:rsidRPr="00DA091E">
              <w:t>.</w:t>
            </w:r>
            <w:r w:rsidR="00F22F6A" w:rsidRPr="00DA091E">
              <w:t>2</w:t>
            </w:r>
          </w:p>
          <w:p w14:paraId="1D0A6D1D" w14:textId="77777777" w:rsidR="00191199" w:rsidRPr="00CE4C64" w:rsidRDefault="00F22F6A" w:rsidP="000321C0">
            <w:pPr>
              <w:pStyle w:val="BodyText"/>
              <w:spacing w:before="60" w:line="260" w:lineRule="atLeast"/>
            </w:pPr>
            <w:r w:rsidRPr="00DA091E">
              <w:rPr>
                <w:rFonts w:ascii="Arial" w:hAnsi="Arial" w:cs="Arial"/>
                <w:sz w:val="20"/>
              </w:rPr>
              <w:t xml:space="preserve">Governments </w:t>
            </w:r>
            <w:r w:rsidR="008F7F82" w:rsidRPr="00DA091E">
              <w:rPr>
                <w:rFonts w:ascii="Arial" w:hAnsi="Arial" w:cs="Arial"/>
                <w:sz w:val="20"/>
              </w:rPr>
              <w:t xml:space="preserve">can </w:t>
            </w:r>
            <w:r w:rsidRPr="00DA091E">
              <w:rPr>
                <w:rFonts w:ascii="Arial" w:hAnsi="Arial" w:cs="Arial"/>
                <w:sz w:val="20"/>
              </w:rPr>
              <w:t>exert influence on both</w:t>
            </w:r>
            <w:r w:rsidR="004F221B" w:rsidRPr="00DA091E">
              <w:rPr>
                <w:rFonts w:ascii="Arial" w:hAnsi="Arial" w:cs="Arial"/>
                <w:sz w:val="20"/>
              </w:rPr>
              <w:t xml:space="preserve"> MFP </w:t>
            </w:r>
            <w:r w:rsidR="008F7F82" w:rsidRPr="00DA091E">
              <w:rPr>
                <w:rFonts w:ascii="Arial" w:hAnsi="Arial" w:cs="Arial"/>
                <w:sz w:val="20"/>
              </w:rPr>
              <w:t xml:space="preserve">performance </w:t>
            </w:r>
            <w:r w:rsidR="004F221B" w:rsidRPr="00DA091E">
              <w:rPr>
                <w:rFonts w:ascii="Arial" w:hAnsi="Arial" w:cs="Arial"/>
                <w:sz w:val="20"/>
              </w:rPr>
              <w:t>and capital deepening</w:t>
            </w:r>
            <w:r w:rsidRPr="00DA091E">
              <w:rPr>
                <w:rFonts w:ascii="Arial" w:hAnsi="Arial" w:cs="Arial"/>
                <w:sz w:val="20"/>
              </w:rPr>
              <w:t xml:space="preserve"> over time, both</w:t>
            </w:r>
            <w:r w:rsidR="004F221B" w:rsidRPr="00DA091E">
              <w:rPr>
                <w:rFonts w:ascii="Arial" w:hAnsi="Arial" w:cs="Arial"/>
                <w:sz w:val="20"/>
              </w:rPr>
              <w:t xml:space="preserve"> </w:t>
            </w:r>
            <w:r w:rsidRPr="00DA091E">
              <w:rPr>
                <w:rFonts w:ascii="Arial" w:hAnsi="Arial" w:cs="Arial"/>
                <w:sz w:val="20"/>
              </w:rPr>
              <w:t xml:space="preserve">of which </w:t>
            </w:r>
            <w:r w:rsidR="004F221B" w:rsidRPr="00DA091E">
              <w:rPr>
                <w:rFonts w:ascii="Arial" w:hAnsi="Arial" w:cs="Arial"/>
                <w:sz w:val="20"/>
              </w:rPr>
              <w:t>are desirable sources of productivity growth</w:t>
            </w:r>
            <w:r w:rsidR="00191199" w:rsidRPr="00DA091E">
              <w:rPr>
                <w:rFonts w:ascii="Arial" w:hAnsi="Arial" w:cs="Arial"/>
                <w:sz w:val="20"/>
              </w:rPr>
              <w:t>.</w:t>
            </w:r>
            <w:r w:rsidR="008F7F82" w:rsidRPr="00DA091E">
              <w:rPr>
                <w:rFonts w:ascii="Arial" w:hAnsi="Arial" w:cs="Arial"/>
                <w:sz w:val="20"/>
              </w:rPr>
              <w:t xml:space="preserve"> G</w:t>
            </w:r>
            <w:r w:rsidR="00B71885" w:rsidRPr="00DA091E">
              <w:rPr>
                <w:rFonts w:ascii="Arial" w:hAnsi="Arial" w:cs="Arial"/>
                <w:sz w:val="20"/>
              </w:rPr>
              <w:t xml:space="preserve">overnments can aid productivity </w:t>
            </w:r>
            <w:r w:rsidRPr="00DA091E">
              <w:rPr>
                <w:rFonts w:ascii="Arial" w:hAnsi="Arial" w:cs="Arial"/>
                <w:sz w:val="20"/>
              </w:rPr>
              <w:t xml:space="preserve">growth </w:t>
            </w:r>
            <w:r w:rsidR="00B71885" w:rsidRPr="00DA091E">
              <w:rPr>
                <w:rFonts w:ascii="Arial" w:hAnsi="Arial" w:cs="Arial"/>
                <w:sz w:val="20"/>
              </w:rPr>
              <w:t xml:space="preserve">by </w:t>
            </w:r>
            <w:r w:rsidR="008F7F82" w:rsidRPr="00DA091E">
              <w:rPr>
                <w:rFonts w:ascii="Arial" w:hAnsi="Arial" w:cs="Arial"/>
                <w:sz w:val="20"/>
              </w:rPr>
              <w:t xml:space="preserve">supporting education and skills development, </w:t>
            </w:r>
            <w:r w:rsidR="00B71885" w:rsidRPr="00DA091E">
              <w:rPr>
                <w:rFonts w:ascii="Arial" w:hAnsi="Arial" w:cs="Arial"/>
                <w:sz w:val="20"/>
              </w:rPr>
              <w:t>updating</w:t>
            </w:r>
            <w:r w:rsidR="004F221B" w:rsidRPr="00DA091E">
              <w:rPr>
                <w:rFonts w:ascii="Arial" w:hAnsi="Arial" w:cs="Arial"/>
                <w:sz w:val="20"/>
              </w:rPr>
              <w:t xml:space="preserve"> regulatory settings over time so as not to </w:t>
            </w:r>
            <w:r w:rsidR="000321C0" w:rsidRPr="00DA091E">
              <w:rPr>
                <w:rFonts w:ascii="Arial" w:hAnsi="Arial" w:cs="Arial"/>
                <w:sz w:val="20"/>
              </w:rPr>
              <w:t>impede</w:t>
            </w:r>
            <w:r w:rsidR="004F221B" w:rsidRPr="00DA091E">
              <w:rPr>
                <w:rFonts w:ascii="Arial" w:hAnsi="Arial" w:cs="Arial"/>
                <w:sz w:val="20"/>
              </w:rPr>
              <w:t xml:space="preserve"> p</w:t>
            </w:r>
            <w:r w:rsidR="00B71885" w:rsidRPr="00DA091E">
              <w:rPr>
                <w:rFonts w:ascii="Arial" w:hAnsi="Arial" w:cs="Arial"/>
                <w:sz w:val="20"/>
              </w:rPr>
              <w:t xml:space="preserve">rivate sector investment, and ensuring the wider benefits of </w:t>
            </w:r>
            <w:r w:rsidR="004F221B" w:rsidRPr="00DA091E">
              <w:rPr>
                <w:rFonts w:ascii="Arial" w:hAnsi="Arial" w:cs="Arial"/>
                <w:sz w:val="20"/>
              </w:rPr>
              <w:t>public infrastructure</w:t>
            </w:r>
            <w:r w:rsidR="00B71885" w:rsidRPr="00DA091E">
              <w:rPr>
                <w:rFonts w:ascii="Arial" w:hAnsi="Arial" w:cs="Arial"/>
                <w:sz w:val="20"/>
              </w:rPr>
              <w:t xml:space="preserve"> are realised through prudent project selection and sound asset management</w:t>
            </w:r>
            <w:r w:rsidR="004F221B" w:rsidRPr="00DA091E">
              <w:rPr>
                <w:rFonts w:ascii="Arial" w:hAnsi="Arial" w:cs="Arial"/>
                <w:sz w:val="20"/>
              </w:rPr>
              <w:t>.</w:t>
            </w:r>
          </w:p>
        </w:tc>
      </w:tr>
      <w:tr w:rsidR="00191199" w14:paraId="1D0A6D20" w14:textId="77777777" w:rsidTr="00DA091E">
        <w:trPr>
          <w:cantSplit/>
          <w:tblHeader/>
        </w:trPr>
        <w:tc>
          <w:tcPr>
            <w:tcW w:w="5000" w:type="pct"/>
            <w:tcBorders>
              <w:top w:val="nil"/>
              <w:left w:val="nil"/>
              <w:bottom w:val="single" w:sz="6" w:space="0" w:color="265A9A" w:themeColor="accent2"/>
              <w:right w:val="nil"/>
            </w:tcBorders>
            <w:shd w:val="clear" w:color="auto" w:fill="E1EBF5"/>
            <w:tcMar>
              <w:left w:w="170" w:type="dxa"/>
              <w:right w:w="170" w:type="dxa"/>
            </w:tcMar>
          </w:tcPr>
          <w:p w14:paraId="1D0A6D1F" w14:textId="77777777" w:rsidR="00191199" w:rsidRDefault="00191199" w:rsidP="0084197A">
            <w:pPr>
              <w:pStyle w:val="Space"/>
              <w:keepLines/>
            </w:pPr>
          </w:p>
        </w:tc>
      </w:tr>
      <w:tr w:rsidR="00191199" w:rsidRPr="000863A5" w14:paraId="1D0A6D22" w14:textId="77777777" w:rsidTr="00DA091E">
        <w:trPr>
          <w:cantSplit/>
          <w:tblHeader/>
        </w:trPr>
        <w:tc>
          <w:tcPr>
            <w:tcW w:w="5000" w:type="pct"/>
            <w:tcBorders>
              <w:top w:val="single" w:sz="6" w:space="0" w:color="265A9A" w:themeColor="accent2"/>
              <w:left w:val="nil"/>
              <w:bottom w:val="nil"/>
              <w:right w:val="nil"/>
            </w:tcBorders>
            <w:tcMar>
              <w:left w:w="170" w:type="dxa"/>
              <w:right w:w="170" w:type="dxa"/>
            </w:tcMar>
          </w:tcPr>
          <w:p w14:paraId="1D0A6D21" w14:textId="77777777" w:rsidR="00191199" w:rsidRPr="00626D32" w:rsidRDefault="00191199" w:rsidP="0084197A">
            <w:pPr>
              <w:pStyle w:val="BoxSpaceBelow"/>
              <w:keepLines/>
            </w:pPr>
          </w:p>
        </w:tc>
      </w:tr>
    </w:tbl>
    <w:p w14:paraId="1D0A6D23" w14:textId="77777777" w:rsidR="00824905" w:rsidRDefault="007A769A" w:rsidP="0049443A">
      <w:pPr>
        <w:pStyle w:val="Heading3"/>
      </w:pPr>
      <w:r>
        <w:t>P</w:t>
      </w:r>
      <w:r w:rsidR="0049443A">
        <w:t>roductivity growth</w:t>
      </w:r>
      <w:r>
        <w:t xml:space="preserve"> – what do </w:t>
      </w:r>
      <w:r w:rsidR="003F0DCD">
        <w:t xml:space="preserve">the </w:t>
      </w:r>
      <w:r>
        <w:t>measures tell us?</w:t>
      </w:r>
    </w:p>
    <w:p w14:paraId="1D0A6D24" w14:textId="32FA8E85" w:rsidR="00D0737F" w:rsidRDefault="00D0737F" w:rsidP="00DB64F0">
      <w:pPr>
        <w:pStyle w:val="Heading4"/>
        <w:spacing w:before="240"/>
      </w:pPr>
      <w:r>
        <w:t>The long</w:t>
      </w:r>
      <w:r w:rsidR="008C2BC6">
        <w:noBreakHyphen/>
      </w:r>
      <w:r>
        <w:t>run view</w:t>
      </w:r>
    </w:p>
    <w:p w14:paraId="1D0A6D25" w14:textId="3F656B09" w:rsidR="003C5C09" w:rsidRDefault="007E2F0B" w:rsidP="003C5C09">
      <w:pPr>
        <w:pStyle w:val="BodyText"/>
      </w:pPr>
      <w:r>
        <w:t xml:space="preserve">Over the long term, Australia’s </w:t>
      </w:r>
      <w:r w:rsidR="006429CC">
        <w:t>labour productivity (</w:t>
      </w:r>
      <w:r>
        <w:t>LP</w:t>
      </w:r>
      <w:r w:rsidR="006429CC">
        <w:t>)</w:t>
      </w:r>
      <w:r w:rsidR="003C5C09">
        <w:t xml:space="preserve"> </w:t>
      </w:r>
      <w:r>
        <w:t xml:space="preserve">has improved significantly, </w:t>
      </w:r>
      <w:r w:rsidR="00252D78">
        <w:t xml:space="preserve">growing by a factor of </w:t>
      </w:r>
      <w:r w:rsidR="003C5C09">
        <w:t xml:space="preserve">over </w:t>
      </w:r>
      <w:r w:rsidR="00252D78">
        <w:t xml:space="preserve">five </w:t>
      </w:r>
      <w:r w:rsidR="002E0AC6">
        <w:t>in</w:t>
      </w:r>
      <w:r w:rsidR="00252D78">
        <w:t xml:space="preserve"> the last century, and </w:t>
      </w:r>
      <w:r>
        <w:t>more than doubling over the course of the last 30 years (figure</w:t>
      </w:r>
      <w:r w:rsidR="008C2BC6">
        <w:t>s</w:t>
      </w:r>
      <w:r>
        <w:t> 1</w:t>
      </w:r>
      <w:r w:rsidR="003C5C09">
        <w:t xml:space="preserve"> and </w:t>
      </w:r>
      <w:r w:rsidR="00B71885">
        <w:t>2</w:t>
      </w:r>
      <w:r w:rsidR="00DC079F">
        <w:t xml:space="preserve">), significantly driven by increases in capital deepening (investment). </w:t>
      </w:r>
      <w:r>
        <w:t>This has translated into higher wages, and income growth</w:t>
      </w:r>
      <w:r w:rsidR="008C2BC6">
        <w:t>,</w:t>
      </w:r>
      <w:r>
        <w:t xml:space="preserve"> which has been broadly shared across the income </w:t>
      </w:r>
      <w:r w:rsidR="00292376">
        <w:t>distribution</w:t>
      </w:r>
      <w:r w:rsidR="006429CC">
        <w:t xml:space="preserve"> </w:t>
      </w:r>
      <w:r w:rsidR="006429CC" w:rsidRPr="006429CC">
        <w:rPr>
          <w:szCs w:val="24"/>
        </w:rPr>
        <w:t xml:space="preserve">(Greenville, </w:t>
      </w:r>
      <w:proofErr w:type="spellStart"/>
      <w:r w:rsidR="006429CC" w:rsidRPr="006429CC">
        <w:rPr>
          <w:szCs w:val="24"/>
        </w:rPr>
        <w:t>Pobke</w:t>
      </w:r>
      <w:proofErr w:type="spellEnd"/>
      <w:r w:rsidR="006429CC" w:rsidRPr="006429CC">
        <w:rPr>
          <w:szCs w:val="24"/>
        </w:rPr>
        <w:t xml:space="preserve"> and Rogers 2013)</w:t>
      </w:r>
      <w:r>
        <w:t xml:space="preserve">. </w:t>
      </w:r>
      <w:r w:rsidR="003C5C09">
        <w:t>However</w:t>
      </w:r>
      <w:r w:rsidR="006429CC">
        <w:t>,</w:t>
      </w:r>
      <w:r w:rsidR="003C5C09">
        <w:t xml:space="preserve"> the data also suggest</w:t>
      </w:r>
      <w:r w:rsidR="003C5C09" w:rsidRPr="00C430BE">
        <w:t xml:space="preserve"> that annual </w:t>
      </w:r>
      <w:r w:rsidR="006429CC">
        <w:t>LP</w:t>
      </w:r>
      <w:r w:rsidR="003C5C09" w:rsidRPr="00C430BE">
        <w:t xml:space="preserve"> growth in the fifty years after 1890 </w:t>
      </w:r>
      <w:r w:rsidR="006429CC">
        <w:t>was</w:t>
      </w:r>
      <w:r w:rsidR="003C5C09" w:rsidRPr="00C430BE">
        <w:t xml:space="preserve"> less than 1</w:t>
      </w:r>
      <w:r w:rsidR="008C2BC6">
        <w:t> </w:t>
      </w:r>
      <w:r w:rsidR="003C5C09" w:rsidRPr="00C430BE">
        <w:t xml:space="preserve">per cent — proof that it is possible to have protracted periods of sluggish </w:t>
      </w:r>
      <w:r w:rsidR="003C5C09">
        <w:t xml:space="preserve">productivity </w:t>
      </w:r>
      <w:r w:rsidR="003C5C09" w:rsidRPr="00C430BE">
        <w:t>growth (figure</w:t>
      </w:r>
      <w:r w:rsidR="00280F1C">
        <w:t> </w:t>
      </w:r>
      <w:r w:rsidR="006429CC">
        <w:t>2</w:t>
      </w:r>
      <w:r w:rsidR="003C5C09" w:rsidRPr="00C430BE">
        <w:t>)</w:t>
      </w:r>
      <w:r w:rsidR="003C5C09">
        <w:t xml:space="preserve">, and </w:t>
      </w:r>
      <w:r w:rsidR="00DC079F">
        <w:t xml:space="preserve">that too translates to poor growth in measures like </w:t>
      </w:r>
      <w:r w:rsidR="00B405DF">
        <w:t>gross domestic product (</w:t>
      </w:r>
      <w:r w:rsidR="00DC079F">
        <w:t>GDP</w:t>
      </w:r>
      <w:r w:rsidR="00B405DF">
        <w:t>)</w:t>
      </w:r>
      <w:r w:rsidR="00DC079F">
        <w:t xml:space="preserve"> per capita (</w:t>
      </w:r>
      <w:r w:rsidR="002C2B51">
        <w:t>figure </w:t>
      </w:r>
      <w:r w:rsidR="006429CC">
        <w:t>3</w:t>
      </w:r>
      <w:r w:rsidR="00DC079F">
        <w:t>)</w:t>
      </w:r>
      <w:r w:rsidR="003C5C09" w:rsidRPr="00C430BE">
        <w:t>.</w:t>
      </w:r>
      <w:r w:rsidR="003C5C09" w:rsidRPr="003C5C09">
        <w:t xml:space="preserve"> </w:t>
      </w:r>
      <w:r w:rsidR="003C5C09">
        <w:t xml:space="preserve">Multifactor productivity (MFP), has </w:t>
      </w:r>
      <w:r w:rsidR="006429CC">
        <w:t xml:space="preserve">more </w:t>
      </w:r>
      <w:r w:rsidR="00DC079F">
        <w:lastRenderedPageBreak/>
        <w:t xml:space="preserve">recently </w:t>
      </w:r>
      <w:r w:rsidR="003C5C09">
        <w:t xml:space="preserve">exhibited periods of lacklustre growth, namely in the </w:t>
      </w:r>
      <w:proofErr w:type="spellStart"/>
      <w:r w:rsidR="003C5C09">
        <w:t>1970s</w:t>
      </w:r>
      <w:proofErr w:type="spellEnd"/>
      <w:r w:rsidR="003C5C09">
        <w:t xml:space="preserve"> and again in the </w:t>
      </w:r>
      <w:proofErr w:type="spellStart"/>
      <w:r w:rsidR="003C5C09">
        <w:t>2000s</w:t>
      </w:r>
      <w:proofErr w:type="spellEnd"/>
      <w:r w:rsidR="003C5C09">
        <w:t xml:space="preserve">. An exception to this was the </w:t>
      </w:r>
      <w:proofErr w:type="spellStart"/>
      <w:r w:rsidR="003C5C09">
        <w:t>1990s</w:t>
      </w:r>
      <w:proofErr w:type="spellEnd"/>
      <w:r w:rsidR="003C5C09">
        <w:t xml:space="preserve">, a period in which MFP grew strongly. </w:t>
      </w:r>
    </w:p>
    <w:p w14:paraId="1D0A6D26" w14:textId="77777777" w:rsidR="003C5C09" w:rsidRDefault="003C5C09" w:rsidP="003C5C09">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3C5C09" w14:paraId="1D0A6D29" w14:textId="77777777" w:rsidTr="009C46C2">
        <w:trPr>
          <w:tblHeader/>
        </w:trPr>
        <w:tc>
          <w:tcPr>
            <w:tcW w:w="8771" w:type="dxa"/>
            <w:tcBorders>
              <w:top w:val="single" w:sz="6" w:space="0" w:color="78A22F"/>
              <w:left w:val="nil"/>
              <w:bottom w:val="nil"/>
              <w:right w:val="nil"/>
            </w:tcBorders>
            <w:shd w:val="clear" w:color="auto" w:fill="auto"/>
          </w:tcPr>
          <w:p w14:paraId="1D0A6D27" w14:textId="77777777" w:rsidR="003C5C09" w:rsidRDefault="003C5C09" w:rsidP="009C46C2">
            <w:pPr>
              <w:pStyle w:val="FigureTitle"/>
            </w:pPr>
            <w:r w:rsidRPr="00784A05">
              <w:rPr>
                <w:b w:val="0"/>
              </w:rPr>
              <w:t xml:space="preserve">Figure </w:t>
            </w:r>
            <w:r>
              <w:rPr>
                <w:b w:val="0"/>
                <w:noProof/>
              </w:rPr>
              <w:t>1</w:t>
            </w:r>
            <w:r>
              <w:tab/>
              <w:t xml:space="preserve">Australia’s long run productivity </w:t>
            </w:r>
            <w:proofErr w:type="spellStart"/>
            <w:r>
              <w:t>trends</w:t>
            </w:r>
            <w:r>
              <w:rPr>
                <w:vertAlign w:val="superscript"/>
              </w:rPr>
              <w:t>a</w:t>
            </w:r>
            <w:r w:rsidR="002C2B51">
              <w:rPr>
                <w:vertAlign w:val="superscript"/>
              </w:rPr>
              <w:t>,</w:t>
            </w:r>
            <w:r w:rsidR="00106A9D">
              <w:rPr>
                <w:vertAlign w:val="superscript"/>
              </w:rPr>
              <w:t>b</w:t>
            </w:r>
            <w:proofErr w:type="spellEnd"/>
          </w:p>
          <w:p w14:paraId="1D0A6D28" w14:textId="77777777" w:rsidR="003C5C09" w:rsidRPr="00176D3F" w:rsidRDefault="003C5C09" w:rsidP="009C46C2">
            <w:pPr>
              <w:pStyle w:val="Subtitle"/>
            </w:pPr>
            <w:r>
              <w:t>Growth rates are for aggregate productivity cycles</w:t>
            </w:r>
          </w:p>
        </w:tc>
      </w:tr>
      <w:tr w:rsidR="003C5C09" w14:paraId="1D0A6D2D" w14:textId="77777777" w:rsidTr="009C46C2">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Description w:val="Nested table used for design layout."/>
            </w:tblPr>
            <w:tblGrid>
              <w:gridCol w:w="8504"/>
            </w:tblGrid>
            <w:tr w:rsidR="003C5C09" w:rsidRPr="00B1465D" w14:paraId="1D0A6D2B" w14:textId="77777777" w:rsidTr="009C46C2">
              <w:trPr>
                <w:tblHeader/>
                <w:jc w:val="center"/>
              </w:trPr>
              <w:tc>
                <w:tcPr>
                  <w:tcW w:w="8504" w:type="dxa"/>
                  <w:tcBorders>
                    <w:top w:val="nil"/>
                    <w:bottom w:val="nil"/>
                  </w:tcBorders>
                </w:tcPr>
                <w:p w14:paraId="1D0A6D2A" w14:textId="77777777" w:rsidR="003C5C09" w:rsidRPr="00B1465D" w:rsidRDefault="003C5C09" w:rsidP="009C46C2">
                  <w:pPr>
                    <w:pStyle w:val="Figure"/>
                    <w:spacing w:before="60" w:after="60"/>
                    <w:rPr>
                      <w:rFonts w:ascii="Arial" w:hAnsi="Arial" w:cs="Arial"/>
                      <w:sz w:val="18"/>
                      <w:szCs w:val="18"/>
                    </w:rPr>
                  </w:pPr>
                  <w:r>
                    <w:rPr>
                      <w:rFonts w:ascii="Arial" w:hAnsi="Arial" w:cs="Arial"/>
                      <w:noProof/>
                      <w:sz w:val="18"/>
                      <w:szCs w:val="18"/>
                    </w:rPr>
                    <w:drawing>
                      <wp:inline distT="0" distB="0" distL="0" distR="0" wp14:anchorId="1D0A717C" wp14:editId="09431F19">
                        <wp:extent cx="5259705" cy="2788285"/>
                        <wp:effectExtent l="0" t="0" r="0" b="0"/>
                        <wp:docPr id="8" name="Picture 8" descr="This figure shows indexes of Australian labour productivity and multifactor productivity for the 12 industry market sector from 1973 74 to 2015 16, along with period average growth rates for each aggregate productivity cycle. The figure contrasts slow growth in multifactor productivity in the 1970s and from the 2000s to date, with the relatively fast pace of growth in the 1990s, which contributed to changes in labour productivity growth over time. " title="Australia’s long run productivity tre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59705" cy="2788285"/>
                                </a:xfrm>
                                <a:prstGeom prst="rect">
                                  <a:avLst/>
                                </a:prstGeom>
                                <a:noFill/>
                                <a:ln>
                                  <a:noFill/>
                                </a:ln>
                              </pic:spPr>
                            </pic:pic>
                          </a:graphicData>
                        </a:graphic>
                      </wp:inline>
                    </w:drawing>
                  </w:r>
                </w:p>
              </w:tc>
            </w:tr>
          </w:tbl>
          <w:p w14:paraId="1D0A6D2C" w14:textId="77777777" w:rsidR="003C5C09" w:rsidRDefault="003C5C09" w:rsidP="009C46C2">
            <w:pPr>
              <w:pStyle w:val="Figure"/>
            </w:pPr>
          </w:p>
        </w:tc>
      </w:tr>
      <w:tr w:rsidR="003C5C09" w:rsidRPr="00176D3F" w14:paraId="1D0A6D2F" w14:textId="77777777" w:rsidTr="009C46C2">
        <w:tc>
          <w:tcPr>
            <w:tcW w:w="8771" w:type="dxa"/>
            <w:tcBorders>
              <w:top w:val="nil"/>
              <w:left w:val="nil"/>
              <w:bottom w:val="nil"/>
              <w:right w:val="nil"/>
            </w:tcBorders>
            <w:shd w:val="clear" w:color="auto" w:fill="auto"/>
          </w:tcPr>
          <w:p w14:paraId="1D0A6D2E" w14:textId="77777777" w:rsidR="003C5C09" w:rsidRPr="00176D3F" w:rsidRDefault="003C5C09" w:rsidP="002C2B51">
            <w:pPr>
              <w:pStyle w:val="Note"/>
            </w:pPr>
            <w:r>
              <w:rPr>
                <w:rStyle w:val="NoteLabel"/>
              </w:rPr>
              <w:t>a</w:t>
            </w:r>
            <w:r>
              <w:t xml:space="preserve"> 12</w:t>
            </w:r>
            <w:r>
              <w:noBreakHyphen/>
              <w:t>industry market sector (</w:t>
            </w:r>
            <w:proofErr w:type="spellStart"/>
            <w:r>
              <w:t>ANZSIC</w:t>
            </w:r>
            <w:proofErr w:type="spellEnd"/>
            <w:r>
              <w:t xml:space="preserve"> Divisions A to K and R). The latest cycle remains incomplete and therefore may be subject to changes in capacity utilisation.</w:t>
            </w:r>
            <w:r w:rsidR="00106A9D">
              <w:t xml:space="preserve"> </w:t>
            </w:r>
            <w:r w:rsidR="00106A9D" w:rsidRPr="002C2B51">
              <w:rPr>
                <w:rStyle w:val="NoteLabel"/>
              </w:rPr>
              <w:t>b</w:t>
            </w:r>
            <w:r w:rsidR="00106A9D">
              <w:t xml:space="preserve"> The 12 industry MFP series is used as the 16 industry series has only been calculated since </w:t>
            </w:r>
            <w:r w:rsidR="002C2B51">
              <w:t>1994</w:t>
            </w:r>
            <w:r w:rsidR="002C2B51">
              <w:noBreakHyphen/>
              <w:t>95</w:t>
            </w:r>
            <w:r w:rsidR="00106A9D">
              <w:t xml:space="preserve">. </w:t>
            </w:r>
          </w:p>
        </w:tc>
      </w:tr>
      <w:tr w:rsidR="003C5C09" w:rsidRPr="00176D3F" w14:paraId="1D0A6D31" w14:textId="77777777" w:rsidTr="009C46C2">
        <w:tc>
          <w:tcPr>
            <w:tcW w:w="8771" w:type="dxa"/>
            <w:tcBorders>
              <w:top w:val="nil"/>
              <w:left w:val="nil"/>
              <w:bottom w:val="nil"/>
              <w:right w:val="nil"/>
            </w:tcBorders>
            <w:shd w:val="clear" w:color="auto" w:fill="auto"/>
          </w:tcPr>
          <w:p w14:paraId="1D0A6D30" w14:textId="3CAE77E4" w:rsidR="003C5C09" w:rsidRPr="00176D3F" w:rsidRDefault="00EE434A" w:rsidP="00EE434A">
            <w:pPr>
              <w:pStyle w:val="Source"/>
            </w:pPr>
            <w:r>
              <w:rPr>
                <w:i/>
              </w:rPr>
              <w:t>S</w:t>
            </w:r>
            <w:r w:rsidR="003C5C09" w:rsidRPr="00784A05">
              <w:rPr>
                <w:i/>
              </w:rPr>
              <w:t>ource</w:t>
            </w:r>
            <w:r w:rsidR="003C5C09" w:rsidRPr="00176D3F">
              <w:t>:</w:t>
            </w:r>
            <w:r w:rsidR="00587178">
              <w:t xml:space="preserve"> ABS </w:t>
            </w:r>
            <w:r w:rsidR="00AD0CC1" w:rsidRPr="00AD0CC1">
              <w:rPr>
                <w:rFonts w:cs="Arial"/>
              </w:rPr>
              <w:t>(</w:t>
            </w:r>
            <w:proofErr w:type="spellStart"/>
            <w:r w:rsidR="00AD0CC1" w:rsidRPr="00AD0CC1">
              <w:rPr>
                <w:rFonts w:cs="Arial"/>
              </w:rPr>
              <w:t>2016d</w:t>
            </w:r>
            <w:proofErr w:type="spellEnd"/>
            <w:r w:rsidR="00AD0CC1" w:rsidRPr="00AD0CC1">
              <w:rPr>
                <w:rFonts w:cs="Arial"/>
              </w:rPr>
              <w:t>)</w:t>
            </w:r>
            <w:r w:rsidR="003C5C09">
              <w:t xml:space="preserve">, </w:t>
            </w:r>
            <w:r w:rsidR="003C5C09">
              <w:rPr>
                <w:i/>
              </w:rPr>
              <w:t>Estimates of Industry Multifactor Productivity, 2015</w:t>
            </w:r>
            <w:r>
              <w:rPr>
                <w:i/>
              </w:rPr>
              <w:noBreakHyphen/>
            </w:r>
            <w:r w:rsidR="003C5C09">
              <w:rPr>
                <w:i/>
              </w:rPr>
              <w:t>16,</w:t>
            </w:r>
            <w:r w:rsidR="003C5C09">
              <w:t xml:space="preserve"> Cat. no. 5260.0.55.002, December</w:t>
            </w:r>
            <w:r w:rsidR="00587178">
              <w:t xml:space="preserve"> 2016</w:t>
            </w:r>
            <w:r w:rsidR="003C5C09">
              <w:t>, and Productivity Commission estimates.</w:t>
            </w:r>
          </w:p>
        </w:tc>
      </w:tr>
      <w:tr w:rsidR="003C5C09" w14:paraId="1D0A6D33" w14:textId="77777777" w:rsidTr="009C46C2">
        <w:tc>
          <w:tcPr>
            <w:tcW w:w="8771" w:type="dxa"/>
            <w:tcBorders>
              <w:top w:val="nil"/>
              <w:left w:val="nil"/>
              <w:bottom w:val="single" w:sz="6" w:space="0" w:color="78A22F"/>
              <w:right w:val="nil"/>
            </w:tcBorders>
            <w:shd w:val="clear" w:color="auto" w:fill="auto"/>
          </w:tcPr>
          <w:p w14:paraId="1D0A6D32" w14:textId="77777777" w:rsidR="003C5C09" w:rsidRDefault="003C5C09" w:rsidP="009C46C2">
            <w:pPr>
              <w:pStyle w:val="Figurespace"/>
            </w:pPr>
          </w:p>
        </w:tc>
      </w:tr>
      <w:tr w:rsidR="003C5C09" w:rsidRPr="000863A5" w14:paraId="1D0A6D35" w14:textId="77777777" w:rsidTr="009C46C2">
        <w:tc>
          <w:tcPr>
            <w:tcW w:w="8771" w:type="dxa"/>
            <w:tcBorders>
              <w:top w:val="single" w:sz="6" w:space="0" w:color="78A22F"/>
              <w:left w:val="nil"/>
              <w:bottom w:val="nil"/>
              <w:right w:val="nil"/>
            </w:tcBorders>
          </w:tcPr>
          <w:p w14:paraId="1D0A6D34" w14:textId="77777777" w:rsidR="003C5C09" w:rsidRPr="00626D32" w:rsidRDefault="003C5C09" w:rsidP="009C46C2">
            <w:pPr>
              <w:pStyle w:val="BoxSpaceBelow"/>
            </w:pPr>
          </w:p>
        </w:tc>
      </w:tr>
    </w:tbl>
    <w:p w14:paraId="1D0A6D36" w14:textId="77777777" w:rsidR="006F575C" w:rsidRDefault="006429CC" w:rsidP="00E068FD">
      <w:pPr>
        <w:pStyle w:val="BodyText"/>
      </w:pPr>
      <w:r>
        <w:t xml:space="preserve">Much of the marked MFP growth during the </w:t>
      </w:r>
      <w:proofErr w:type="spellStart"/>
      <w:r>
        <w:t>1990s</w:t>
      </w:r>
      <w:proofErr w:type="spellEnd"/>
      <w:r>
        <w:t xml:space="preserve"> has been attributed to the macroeconomic and microeconomic reforms of the </w:t>
      </w:r>
      <w:proofErr w:type="spellStart"/>
      <w:r>
        <w:t>1970s</w:t>
      </w:r>
      <w:proofErr w:type="spellEnd"/>
      <w:r>
        <w:t xml:space="preserve"> and </w:t>
      </w:r>
      <w:proofErr w:type="spellStart"/>
      <w:r>
        <w:t>1980s</w:t>
      </w:r>
      <w:proofErr w:type="spellEnd"/>
      <w:r>
        <w:t xml:space="preserve">, combined with the adoption and effective use of information and communications technologies (ICT) </w:t>
      </w:r>
      <w:r w:rsidR="009622D0" w:rsidRPr="009622D0">
        <w:rPr>
          <w:szCs w:val="24"/>
        </w:rPr>
        <w:t>(Parham 2004)</w:t>
      </w:r>
      <w:r>
        <w:t xml:space="preserve">. </w:t>
      </w:r>
    </w:p>
    <w:p w14:paraId="1D0A6D37" w14:textId="013E3738" w:rsidR="00956275" w:rsidRDefault="006429CC" w:rsidP="00E068FD">
      <w:pPr>
        <w:pStyle w:val="BodyText"/>
      </w:pPr>
      <w:r>
        <w:t>These reforms included movement toward medium</w:t>
      </w:r>
      <w:r w:rsidR="00D574DE">
        <w:noBreakHyphen/>
      </w:r>
      <w:r>
        <w:t>term frameworks for</w:t>
      </w:r>
      <w:r w:rsidRPr="005705C9">
        <w:t xml:space="preserve"> monetary and fiscal policy </w:t>
      </w:r>
      <w:r>
        <w:t>(namely the shift to inflation targeting, and aiming for budget balance over the cycle through more prudent taxation and spending decisions)</w:t>
      </w:r>
      <w:r w:rsidRPr="005705C9">
        <w:t xml:space="preserve">, </w:t>
      </w:r>
      <w:r>
        <w:t>floating the exchange rate, liberalisation of capital market flows and removal of interest rate controls</w:t>
      </w:r>
      <w:r w:rsidRPr="005705C9">
        <w:t xml:space="preserve">, reductions in industry assistance measures and tariffs, reform of taxation, privatisation of government business enterprises, </w:t>
      </w:r>
      <w:r>
        <w:t xml:space="preserve">the shift </w:t>
      </w:r>
      <w:r w:rsidRPr="005705C9">
        <w:t xml:space="preserve">away from centralised wage determination to enterprise </w:t>
      </w:r>
      <w:r>
        <w:t>bargaining</w:t>
      </w:r>
      <w:r w:rsidRPr="005705C9">
        <w:t>, and other elements of regulatory and competition policy</w:t>
      </w:r>
      <w:r>
        <w:t xml:space="preserve"> </w:t>
      </w:r>
      <w:r w:rsidR="009622D0" w:rsidRPr="009622D0">
        <w:rPr>
          <w:szCs w:val="24"/>
        </w:rPr>
        <w:t>(Banks 2005)</w:t>
      </w:r>
      <w:r w:rsidRPr="005705C9">
        <w:t>.</w:t>
      </w:r>
      <w:r>
        <w:t xml:space="preserve"> </w:t>
      </w:r>
    </w:p>
    <w:p w14:paraId="1D0A6D38" w14:textId="77777777" w:rsidR="003C5C09" w:rsidRDefault="006429CC" w:rsidP="00E068FD">
      <w:pPr>
        <w:pStyle w:val="BodyText"/>
      </w:pPr>
      <w:r>
        <w:t xml:space="preserve">Among other things, these reforms opened up the economy to overseas resources and competition, improved the efficiency and flexibility of domestic industries, </w:t>
      </w:r>
      <w:r w:rsidR="00106A9D">
        <w:t>and delivered much greater</w:t>
      </w:r>
      <w:r>
        <w:t xml:space="preserve"> macroeconomic stability</w:t>
      </w:r>
      <w:r w:rsidR="00E024D2">
        <w:t xml:space="preserve"> </w:t>
      </w:r>
      <w:r w:rsidR="00E024D2" w:rsidRPr="00E024D2">
        <w:rPr>
          <w:szCs w:val="24"/>
        </w:rPr>
        <w:t>(Australian Treasury 2009)</w:t>
      </w:r>
      <w:r>
        <w:t xml:space="preserve">. </w:t>
      </w:r>
    </w:p>
    <w:p w14:paraId="1D0A6D39" w14:textId="77777777" w:rsidR="00DE7F1C" w:rsidRDefault="00DE7F1C" w:rsidP="00D220BE">
      <w:pPr>
        <w:pStyle w:val="BoxSpaceAbove"/>
      </w:pPr>
    </w:p>
    <w:tbl>
      <w:tblPr>
        <w:tblW w:w="4852" w:type="pct"/>
        <w:tblInd w:w="142"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804"/>
      </w:tblGrid>
      <w:tr w:rsidR="00DE7F1C" w14:paraId="1D0A6D3C" w14:textId="77777777" w:rsidTr="006429CC">
        <w:trPr>
          <w:tblHeader/>
        </w:trPr>
        <w:tc>
          <w:tcPr>
            <w:tcW w:w="5000" w:type="pct"/>
            <w:tcBorders>
              <w:top w:val="single" w:sz="6" w:space="0" w:color="78A22F"/>
              <w:left w:val="nil"/>
              <w:bottom w:val="nil"/>
              <w:right w:val="nil"/>
            </w:tcBorders>
            <w:shd w:val="clear" w:color="auto" w:fill="auto"/>
          </w:tcPr>
          <w:p w14:paraId="1D0A6D3A" w14:textId="77777777" w:rsidR="00DE7F1C" w:rsidRDefault="00DE7F1C" w:rsidP="00D220BE">
            <w:pPr>
              <w:pStyle w:val="FigureTitle"/>
            </w:pPr>
            <w:r w:rsidRPr="00784A05">
              <w:rPr>
                <w:b w:val="0"/>
              </w:rPr>
              <w:t xml:space="preserve">Figure </w:t>
            </w:r>
            <w:r>
              <w:rPr>
                <w:b w:val="0"/>
                <w:noProof/>
              </w:rPr>
              <w:t>2</w:t>
            </w:r>
            <w:r>
              <w:tab/>
              <w:t xml:space="preserve">Australia’s (long) long run productivity </w:t>
            </w:r>
            <w:proofErr w:type="spellStart"/>
            <w:r>
              <w:t>trends</w:t>
            </w:r>
            <w:r>
              <w:rPr>
                <w:vertAlign w:val="superscript"/>
              </w:rPr>
              <w:t>a</w:t>
            </w:r>
            <w:proofErr w:type="spellEnd"/>
          </w:p>
          <w:p w14:paraId="1D0A6D3B" w14:textId="77777777" w:rsidR="00DE7F1C" w:rsidRPr="00176D3F" w:rsidRDefault="006429CC" w:rsidP="006429CC">
            <w:pPr>
              <w:pStyle w:val="Subtitle"/>
            </w:pPr>
            <w:r>
              <w:t>1890 to 2015</w:t>
            </w:r>
          </w:p>
        </w:tc>
      </w:tr>
      <w:tr w:rsidR="00DE7F1C" w14:paraId="1D0A6D40" w14:textId="77777777" w:rsidTr="006429CC">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20"/>
            </w:tblGrid>
            <w:tr w:rsidR="00DE7F1C" w:rsidRPr="00B1465D" w14:paraId="1D0A6D3E" w14:textId="77777777" w:rsidTr="00D220BE">
              <w:trPr>
                <w:tblHeader/>
                <w:jc w:val="center"/>
              </w:trPr>
              <w:tc>
                <w:tcPr>
                  <w:tcW w:w="5000" w:type="pct"/>
                  <w:tcBorders>
                    <w:top w:val="nil"/>
                    <w:bottom w:val="nil"/>
                  </w:tcBorders>
                </w:tcPr>
                <w:p w14:paraId="1D0A6D3D" w14:textId="77777777" w:rsidR="00DE7F1C" w:rsidRPr="00B1465D" w:rsidRDefault="00354899" w:rsidP="00D220BE">
                  <w:pPr>
                    <w:pStyle w:val="Figure"/>
                    <w:spacing w:before="60" w:after="60"/>
                    <w:rPr>
                      <w:rFonts w:ascii="Arial" w:hAnsi="Arial" w:cs="Arial"/>
                      <w:sz w:val="18"/>
                      <w:szCs w:val="18"/>
                    </w:rPr>
                  </w:pPr>
                  <w:r w:rsidRPr="00354899">
                    <w:rPr>
                      <w:rFonts w:ascii="Arial" w:hAnsi="Arial" w:cs="Arial"/>
                      <w:noProof/>
                      <w:sz w:val="18"/>
                      <w:szCs w:val="18"/>
                    </w:rPr>
                    <w:drawing>
                      <wp:inline distT="0" distB="0" distL="0" distR="0" wp14:anchorId="1D0A717E" wp14:editId="6F0CBFF8">
                        <wp:extent cx="5400675" cy="2571750"/>
                        <wp:effectExtent l="0" t="0" r="9525" b="0"/>
                        <wp:docPr id="37" name="Picture 37" descr="Australia’s long run productivity tre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00675" cy="2571750"/>
                                </a:xfrm>
                                <a:prstGeom prst="rect">
                                  <a:avLst/>
                                </a:prstGeom>
                                <a:noFill/>
                                <a:ln>
                                  <a:noFill/>
                                </a:ln>
                              </pic:spPr>
                            </pic:pic>
                          </a:graphicData>
                        </a:graphic>
                      </wp:inline>
                    </w:drawing>
                  </w:r>
                </w:p>
              </w:tc>
            </w:tr>
          </w:tbl>
          <w:p w14:paraId="1D0A6D3F" w14:textId="77777777" w:rsidR="00DE7F1C" w:rsidRDefault="00DE7F1C" w:rsidP="00D220BE">
            <w:pPr>
              <w:pStyle w:val="Figure"/>
            </w:pPr>
          </w:p>
        </w:tc>
      </w:tr>
      <w:tr w:rsidR="00DE7F1C" w:rsidRPr="00176D3F" w14:paraId="1D0A6D42" w14:textId="77777777" w:rsidTr="006429CC">
        <w:tc>
          <w:tcPr>
            <w:tcW w:w="5000" w:type="pct"/>
            <w:tcBorders>
              <w:top w:val="nil"/>
              <w:left w:val="nil"/>
              <w:bottom w:val="nil"/>
              <w:right w:val="nil"/>
            </w:tcBorders>
            <w:shd w:val="clear" w:color="auto" w:fill="auto"/>
          </w:tcPr>
          <w:p w14:paraId="1D0A6D41" w14:textId="77777777" w:rsidR="00DE7F1C" w:rsidRPr="00176D3F" w:rsidRDefault="00DE7F1C" w:rsidP="006429CC">
            <w:pPr>
              <w:pStyle w:val="Note"/>
            </w:pPr>
            <w:r>
              <w:rPr>
                <w:rStyle w:val="NoteLabel"/>
              </w:rPr>
              <w:t>a</w:t>
            </w:r>
            <w:r>
              <w:t xml:space="preserve"> </w:t>
            </w:r>
            <w:r w:rsidRPr="00DE7F1C">
              <w:t>The series diverge from that presented above due to different methods for interpolating data, though the results are not markedly different for the overlapping time periods.</w:t>
            </w:r>
          </w:p>
        </w:tc>
      </w:tr>
      <w:tr w:rsidR="00DE7F1C" w:rsidRPr="00176D3F" w14:paraId="1D0A6D44" w14:textId="77777777" w:rsidTr="006429CC">
        <w:tc>
          <w:tcPr>
            <w:tcW w:w="5000" w:type="pct"/>
            <w:tcBorders>
              <w:top w:val="nil"/>
              <w:left w:val="nil"/>
              <w:bottom w:val="nil"/>
              <w:right w:val="nil"/>
            </w:tcBorders>
            <w:shd w:val="clear" w:color="auto" w:fill="auto"/>
          </w:tcPr>
          <w:p w14:paraId="1D0A6D43" w14:textId="5FAA6239" w:rsidR="00DE7F1C" w:rsidRPr="00176D3F" w:rsidRDefault="00EE434A" w:rsidP="00667C56">
            <w:pPr>
              <w:pStyle w:val="Source"/>
            </w:pPr>
            <w:r>
              <w:rPr>
                <w:i/>
              </w:rPr>
              <w:t>S</w:t>
            </w:r>
            <w:r w:rsidR="00DE7F1C" w:rsidRPr="00784A05">
              <w:rPr>
                <w:i/>
              </w:rPr>
              <w:t>ource</w:t>
            </w:r>
            <w:r w:rsidR="00DE7F1C" w:rsidRPr="00176D3F">
              <w:t xml:space="preserve">: </w:t>
            </w:r>
            <w:proofErr w:type="spellStart"/>
            <w:r w:rsidR="00667C56">
              <w:t>Bergeaud</w:t>
            </w:r>
            <w:proofErr w:type="spellEnd"/>
            <w:r w:rsidR="00667C56">
              <w:t xml:space="preserve">, </w:t>
            </w:r>
            <w:proofErr w:type="spellStart"/>
            <w:r w:rsidR="00667C56">
              <w:t>Cette</w:t>
            </w:r>
            <w:proofErr w:type="spellEnd"/>
            <w:r w:rsidR="009127D1">
              <w:t xml:space="preserve"> </w:t>
            </w:r>
            <w:r w:rsidR="00667C56">
              <w:t xml:space="preserve">and </w:t>
            </w:r>
            <w:proofErr w:type="spellStart"/>
            <w:r w:rsidR="00667C56">
              <w:t>Lecat</w:t>
            </w:r>
            <w:proofErr w:type="spellEnd"/>
            <w:r w:rsidR="00DE7F1C">
              <w:t xml:space="preserve"> </w:t>
            </w:r>
            <w:r w:rsidR="006429CC" w:rsidRPr="006429CC">
              <w:rPr>
                <w:rFonts w:cs="Arial"/>
              </w:rPr>
              <w:t>(2016)</w:t>
            </w:r>
            <w:r w:rsidR="00DE7F1C">
              <w:t xml:space="preserve">. </w:t>
            </w:r>
          </w:p>
        </w:tc>
      </w:tr>
      <w:tr w:rsidR="00DE7F1C" w14:paraId="1D0A6D46" w14:textId="77777777" w:rsidTr="006429CC">
        <w:tc>
          <w:tcPr>
            <w:tcW w:w="5000" w:type="pct"/>
            <w:tcBorders>
              <w:top w:val="nil"/>
              <w:left w:val="nil"/>
              <w:bottom w:val="single" w:sz="6" w:space="0" w:color="78A22F"/>
              <w:right w:val="nil"/>
            </w:tcBorders>
            <w:shd w:val="clear" w:color="auto" w:fill="auto"/>
          </w:tcPr>
          <w:p w14:paraId="1D0A6D45" w14:textId="77777777" w:rsidR="00DE7F1C" w:rsidRDefault="00DE7F1C" w:rsidP="00D220BE">
            <w:pPr>
              <w:pStyle w:val="Figurespace"/>
            </w:pPr>
          </w:p>
        </w:tc>
      </w:tr>
      <w:tr w:rsidR="00DE7F1C" w:rsidRPr="000863A5" w14:paraId="1D0A6D48" w14:textId="77777777" w:rsidTr="006429CC">
        <w:tc>
          <w:tcPr>
            <w:tcW w:w="5000" w:type="pct"/>
            <w:tcBorders>
              <w:top w:val="single" w:sz="6" w:space="0" w:color="78A22F"/>
              <w:left w:val="nil"/>
              <w:bottom w:val="nil"/>
              <w:right w:val="nil"/>
            </w:tcBorders>
          </w:tcPr>
          <w:p w14:paraId="1D0A6D47" w14:textId="77777777" w:rsidR="00DE7F1C" w:rsidRPr="00626D32" w:rsidRDefault="00DE7F1C" w:rsidP="00D220BE">
            <w:pPr>
              <w:pStyle w:val="BoxSpaceBelow"/>
            </w:pPr>
          </w:p>
        </w:tc>
      </w:tr>
    </w:tbl>
    <w:p w14:paraId="1D0A6D49" w14:textId="77777777" w:rsidR="00DC079F" w:rsidRDefault="00DC079F" w:rsidP="00DC079F">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DC079F" w14:paraId="1D0A6D4C" w14:textId="77777777" w:rsidTr="009C46C2">
        <w:trPr>
          <w:tblHeader/>
        </w:trPr>
        <w:tc>
          <w:tcPr>
            <w:tcW w:w="8771" w:type="dxa"/>
            <w:tcBorders>
              <w:top w:val="single" w:sz="6" w:space="0" w:color="78A22F"/>
              <w:left w:val="nil"/>
              <w:bottom w:val="nil"/>
              <w:right w:val="nil"/>
            </w:tcBorders>
            <w:shd w:val="clear" w:color="auto" w:fill="auto"/>
          </w:tcPr>
          <w:p w14:paraId="1D0A6D4A" w14:textId="77777777" w:rsidR="00DC079F" w:rsidRDefault="00DC079F" w:rsidP="009C46C2">
            <w:pPr>
              <w:pStyle w:val="FigureTitle"/>
            </w:pPr>
            <w:r w:rsidRPr="00784A05">
              <w:rPr>
                <w:b w:val="0"/>
              </w:rPr>
              <w:t xml:space="preserve">Figure </w:t>
            </w:r>
            <w:r w:rsidR="006429CC">
              <w:rPr>
                <w:b w:val="0"/>
              </w:rPr>
              <w:t>3</w:t>
            </w:r>
            <w:r>
              <w:tab/>
              <w:t xml:space="preserve">The long view: productivity and capital </w:t>
            </w:r>
            <w:proofErr w:type="spellStart"/>
            <w:r>
              <w:t>intensity</w:t>
            </w:r>
            <w:r w:rsidR="00A02E1D">
              <w:rPr>
                <w:vertAlign w:val="superscript"/>
              </w:rPr>
              <w:t>a</w:t>
            </w:r>
            <w:proofErr w:type="spellEnd"/>
          </w:p>
          <w:p w14:paraId="1D0A6D4B" w14:textId="77777777" w:rsidR="00DC079F" w:rsidRPr="000C5D8B" w:rsidRDefault="006429CC" w:rsidP="009C46C2">
            <w:pPr>
              <w:pStyle w:val="Subtitle"/>
            </w:pPr>
            <w:r>
              <w:t>Indexes, 1964</w:t>
            </w:r>
            <w:r>
              <w:noBreakHyphen/>
              <w:t>65=100</w:t>
            </w:r>
          </w:p>
        </w:tc>
      </w:tr>
      <w:tr w:rsidR="00DC079F" w14:paraId="1D0A6D56" w14:textId="77777777" w:rsidTr="009C46C2">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2126"/>
              <w:gridCol w:w="2126"/>
              <w:gridCol w:w="2126"/>
              <w:gridCol w:w="2126"/>
            </w:tblGrid>
            <w:tr w:rsidR="00DC079F" w:rsidRPr="00B1465D" w14:paraId="1D0A6D4F" w14:textId="77777777" w:rsidTr="009C46C2">
              <w:trPr>
                <w:trHeight w:val="139"/>
                <w:tblHeader/>
                <w:jc w:val="center"/>
              </w:trPr>
              <w:tc>
                <w:tcPr>
                  <w:tcW w:w="3750" w:type="pct"/>
                  <w:gridSpan w:val="3"/>
                  <w:tcBorders>
                    <w:top w:val="nil"/>
                    <w:bottom w:val="nil"/>
                  </w:tcBorders>
                </w:tcPr>
                <w:p w14:paraId="1D0A6D4D" w14:textId="77777777" w:rsidR="00DC079F" w:rsidRPr="00B1465D" w:rsidRDefault="00DC079F" w:rsidP="009C46C2">
                  <w:pPr>
                    <w:pStyle w:val="Figure"/>
                    <w:spacing w:before="60" w:after="60"/>
                    <w:rPr>
                      <w:rFonts w:ascii="Arial" w:hAnsi="Arial" w:cs="Arial"/>
                      <w:sz w:val="18"/>
                      <w:szCs w:val="18"/>
                    </w:rPr>
                  </w:pPr>
                  <w:r>
                    <w:rPr>
                      <w:rFonts w:ascii="Arial" w:hAnsi="Arial" w:cs="Arial"/>
                      <w:sz w:val="18"/>
                      <w:szCs w:val="18"/>
                    </w:rPr>
                    <w:t>The market sector 1965</w:t>
                  </w:r>
                  <w:r>
                    <w:rPr>
                      <w:rFonts w:ascii="Arial" w:hAnsi="Arial" w:cs="Arial"/>
                      <w:sz w:val="18"/>
                      <w:szCs w:val="18"/>
                    </w:rPr>
                    <w:noBreakHyphen/>
                    <w:t>20</w:t>
                  </w:r>
                  <w:r w:rsidR="00354899">
                    <w:rPr>
                      <w:rFonts w:ascii="Arial" w:hAnsi="Arial" w:cs="Arial"/>
                      <w:sz w:val="18"/>
                      <w:szCs w:val="18"/>
                    </w:rPr>
                    <w:t>16</w:t>
                  </w:r>
                </w:p>
              </w:tc>
              <w:tc>
                <w:tcPr>
                  <w:tcW w:w="1250" w:type="pct"/>
                  <w:tcBorders>
                    <w:top w:val="nil"/>
                    <w:bottom w:val="nil"/>
                  </w:tcBorders>
                </w:tcPr>
                <w:p w14:paraId="1D0A6D4E" w14:textId="77777777" w:rsidR="00DC079F" w:rsidRPr="00B1465D" w:rsidRDefault="00DC079F" w:rsidP="009C46C2">
                  <w:pPr>
                    <w:pStyle w:val="Figure"/>
                    <w:spacing w:before="60" w:after="60"/>
                    <w:rPr>
                      <w:rFonts w:ascii="Arial" w:hAnsi="Arial" w:cs="Arial"/>
                      <w:sz w:val="18"/>
                      <w:szCs w:val="18"/>
                    </w:rPr>
                  </w:pPr>
                  <w:r>
                    <w:rPr>
                      <w:rFonts w:ascii="Arial" w:hAnsi="Arial" w:cs="Arial"/>
                      <w:sz w:val="18"/>
                      <w:szCs w:val="18"/>
                    </w:rPr>
                    <w:t>The economy 1901</w:t>
                  </w:r>
                  <w:r>
                    <w:rPr>
                      <w:rFonts w:ascii="Arial" w:hAnsi="Arial" w:cs="Arial"/>
                      <w:sz w:val="18"/>
                      <w:szCs w:val="18"/>
                    </w:rPr>
                    <w:noBreakHyphen/>
                    <w:t xml:space="preserve"> 2016</w:t>
                  </w:r>
                </w:p>
              </w:tc>
            </w:tr>
            <w:tr w:rsidR="00DC079F" w:rsidRPr="00B1465D" w14:paraId="1D0A6D54" w14:textId="77777777" w:rsidTr="009C46C2">
              <w:tblPrEx>
                <w:tblCellMar>
                  <w:left w:w="108" w:type="dxa"/>
                  <w:right w:w="108" w:type="dxa"/>
                </w:tblCellMar>
              </w:tblPrEx>
              <w:trPr>
                <w:trHeight w:val="138"/>
                <w:tblHeader/>
                <w:jc w:val="center"/>
              </w:trPr>
              <w:tc>
                <w:tcPr>
                  <w:tcW w:w="1250" w:type="pct"/>
                  <w:tcBorders>
                    <w:top w:val="nil"/>
                    <w:bottom w:val="nil"/>
                  </w:tcBorders>
                </w:tcPr>
                <w:p w14:paraId="1D0A6D50" w14:textId="77777777" w:rsidR="00DC079F" w:rsidRPr="00B1465D" w:rsidRDefault="00354899" w:rsidP="009C46C2">
                  <w:pPr>
                    <w:pStyle w:val="Figure"/>
                    <w:spacing w:before="60" w:after="60"/>
                    <w:rPr>
                      <w:rFonts w:ascii="Arial" w:hAnsi="Arial" w:cs="Arial"/>
                      <w:sz w:val="18"/>
                      <w:szCs w:val="18"/>
                    </w:rPr>
                  </w:pPr>
                  <w:r w:rsidRPr="00354899">
                    <w:rPr>
                      <w:rFonts w:ascii="Arial" w:hAnsi="Arial" w:cs="Arial"/>
                      <w:noProof/>
                      <w:sz w:val="18"/>
                      <w:szCs w:val="18"/>
                    </w:rPr>
                    <w:drawing>
                      <wp:inline distT="0" distB="0" distL="0" distR="0" wp14:anchorId="1D0A7180" wp14:editId="0A79B298">
                        <wp:extent cx="1213485" cy="1371600"/>
                        <wp:effectExtent l="0" t="0" r="5715" b="0"/>
                        <wp:docPr id="31" name="Picture 31" descr="This figure shows trends in market sector labour productivity, capital intensity and multifactor productivity from 1964 65 to 2015 16, as well as whole of economy gross domestic product per capita from 1901 to 2016. It highlights the strong contribution that higher average capital intensity has recently made to overall labour productivity. It also highlights the comparative sluggishness of multifactor productivity in the 2000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13485" cy="1371600"/>
                                </a:xfrm>
                                <a:prstGeom prst="rect">
                                  <a:avLst/>
                                </a:prstGeom>
                                <a:noFill/>
                                <a:ln>
                                  <a:noFill/>
                                </a:ln>
                              </pic:spPr>
                            </pic:pic>
                          </a:graphicData>
                        </a:graphic>
                      </wp:inline>
                    </w:drawing>
                  </w:r>
                </w:p>
              </w:tc>
              <w:tc>
                <w:tcPr>
                  <w:tcW w:w="1250" w:type="pct"/>
                  <w:tcBorders>
                    <w:top w:val="nil"/>
                    <w:bottom w:val="nil"/>
                  </w:tcBorders>
                </w:tcPr>
                <w:p w14:paraId="1D0A6D51" w14:textId="77777777" w:rsidR="00DC079F" w:rsidRPr="00B1465D" w:rsidRDefault="00354899" w:rsidP="009C46C2">
                  <w:pPr>
                    <w:pStyle w:val="Figure"/>
                    <w:spacing w:before="60" w:after="60"/>
                    <w:rPr>
                      <w:rFonts w:ascii="Arial" w:hAnsi="Arial" w:cs="Arial"/>
                      <w:sz w:val="18"/>
                      <w:szCs w:val="18"/>
                    </w:rPr>
                  </w:pPr>
                  <w:r w:rsidRPr="00354899">
                    <w:rPr>
                      <w:rFonts w:ascii="Arial" w:hAnsi="Arial" w:cs="Arial"/>
                      <w:noProof/>
                      <w:sz w:val="18"/>
                      <w:szCs w:val="18"/>
                    </w:rPr>
                    <w:drawing>
                      <wp:inline distT="0" distB="0" distL="0" distR="0" wp14:anchorId="1D0A7182" wp14:editId="2376216A">
                        <wp:extent cx="1213485" cy="1371600"/>
                        <wp:effectExtent l="0" t="0" r="5715" b="0"/>
                        <wp:docPr id="32" name="Picture 32" descr="This figure shows trends in market sector labour productivity, capital intensity and multifactor productivity from 1964 65 to 2015 16, as well as whole of economy gross domestic product per capita from 1901 to 2016. It highlights the strong contribution that higher average capital intensity has recently made to overall labour productivity. It also highlights the comparative sluggishness of multifactor productivity in the 2000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13485" cy="1371600"/>
                                </a:xfrm>
                                <a:prstGeom prst="rect">
                                  <a:avLst/>
                                </a:prstGeom>
                                <a:noFill/>
                                <a:ln>
                                  <a:noFill/>
                                </a:ln>
                              </pic:spPr>
                            </pic:pic>
                          </a:graphicData>
                        </a:graphic>
                      </wp:inline>
                    </w:drawing>
                  </w:r>
                </w:p>
              </w:tc>
              <w:tc>
                <w:tcPr>
                  <w:tcW w:w="1250" w:type="pct"/>
                  <w:tcBorders>
                    <w:top w:val="nil"/>
                    <w:bottom w:val="nil"/>
                  </w:tcBorders>
                </w:tcPr>
                <w:p w14:paraId="1D0A6D52" w14:textId="77777777" w:rsidR="00DC079F" w:rsidRPr="00B1465D" w:rsidRDefault="00354899" w:rsidP="009C46C2">
                  <w:pPr>
                    <w:pStyle w:val="Figure"/>
                    <w:spacing w:before="60" w:after="60"/>
                    <w:rPr>
                      <w:rFonts w:ascii="Arial" w:hAnsi="Arial" w:cs="Arial"/>
                      <w:sz w:val="18"/>
                      <w:szCs w:val="18"/>
                    </w:rPr>
                  </w:pPr>
                  <w:r w:rsidRPr="00354899">
                    <w:rPr>
                      <w:rFonts w:ascii="Arial" w:hAnsi="Arial" w:cs="Arial"/>
                      <w:noProof/>
                      <w:sz w:val="18"/>
                      <w:szCs w:val="18"/>
                    </w:rPr>
                    <w:drawing>
                      <wp:inline distT="0" distB="0" distL="0" distR="0" wp14:anchorId="1D0A7184" wp14:editId="7A097197">
                        <wp:extent cx="1213485" cy="1371600"/>
                        <wp:effectExtent l="0" t="0" r="5715" b="0"/>
                        <wp:docPr id="33" name="Picture 33" descr="This figure shows trends in market sector labour productivity, capital intensity and multifactor productivity from 1964 65 to 2015 16, as well as whole of economy gross domestic product per capita from 1901 to 2016. It highlights the strong contribution that higher average capital intensity has recently made to overall labour productivity. It also highlights the comparative sluggishness of multifactor productivity in the 2000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13485" cy="1371600"/>
                                </a:xfrm>
                                <a:prstGeom prst="rect">
                                  <a:avLst/>
                                </a:prstGeom>
                                <a:noFill/>
                                <a:ln>
                                  <a:noFill/>
                                </a:ln>
                              </pic:spPr>
                            </pic:pic>
                          </a:graphicData>
                        </a:graphic>
                      </wp:inline>
                    </w:drawing>
                  </w:r>
                </w:p>
              </w:tc>
              <w:tc>
                <w:tcPr>
                  <w:tcW w:w="1250" w:type="pct"/>
                  <w:tcBorders>
                    <w:top w:val="nil"/>
                    <w:bottom w:val="nil"/>
                  </w:tcBorders>
                </w:tcPr>
                <w:p w14:paraId="1D0A6D53" w14:textId="77777777" w:rsidR="00DC079F" w:rsidRPr="00B1465D" w:rsidRDefault="00354899" w:rsidP="009C46C2">
                  <w:pPr>
                    <w:pStyle w:val="Figure"/>
                    <w:spacing w:before="60" w:after="60"/>
                    <w:rPr>
                      <w:rFonts w:ascii="Arial" w:hAnsi="Arial" w:cs="Arial"/>
                      <w:sz w:val="18"/>
                      <w:szCs w:val="18"/>
                    </w:rPr>
                  </w:pPr>
                  <w:r w:rsidRPr="00354899">
                    <w:rPr>
                      <w:rFonts w:ascii="Arial" w:hAnsi="Arial" w:cs="Arial"/>
                      <w:noProof/>
                      <w:sz w:val="18"/>
                      <w:szCs w:val="18"/>
                    </w:rPr>
                    <w:drawing>
                      <wp:inline distT="0" distB="0" distL="0" distR="0" wp14:anchorId="1D0A7186" wp14:editId="436240C6">
                        <wp:extent cx="1213485" cy="1371600"/>
                        <wp:effectExtent l="0" t="0" r="5715" b="0"/>
                        <wp:docPr id="35" name="Picture 35" descr="This figure shows trends in market sector labour productivity, capital intensity and multifactor productivity from 1964 65 to 2015 16, as well as whole of economy gross domestic product per capita from 1901 to 2016. It highlights the strong contribution that higher average capital intensity has recently made to overall labour productivity. It also highlights the comparative sluggishness of multifactor productivity in the 2000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13485" cy="1371600"/>
                                </a:xfrm>
                                <a:prstGeom prst="rect">
                                  <a:avLst/>
                                </a:prstGeom>
                                <a:noFill/>
                                <a:ln>
                                  <a:noFill/>
                                </a:ln>
                              </pic:spPr>
                            </pic:pic>
                          </a:graphicData>
                        </a:graphic>
                      </wp:inline>
                    </w:drawing>
                  </w:r>
                </w:p>
              </w:tc>
            </w:tr>
          </w:tbl>
          <w:p w14:paraId="1D0A6D55" w14:textId="77777777" w:rsidR="00DC079F" w:rsidRDefault="00DC079F" w:rsidP="009C46C2">
            <w:pPr>
              <w:pStyle w:val="Figure"/>
            </w:pPr>
          </w:p>
        </w:tc>
      </w:tr>
      <w:tr w:rsidR="00DC079F" w:rsidRPr="00176D3F" w14:paraId="1D0A6D58" w14:textId="77777777" w:rsidTr="009C46C2">
        <w:tc>
          <w:tcPr>
            <w:tcW w:w="8771" w:type="dxa"/>
            <w:tcBorders>
              <w:top w:val="nil"/>
              <w:left w:val="nil"/>
              <w:bottom w:val="nil"/>
              <w:right w:val="nil"/>
            </w:tcBorders>
            <w:shd w:val="clear" w:color="auto" w:fill="auto"/>
          </w:tcPr>
          <w:p w14:paraId="1D0A6D57" w14:textId="77777777" w:rsidR="00DC079F" w:rsidRPr="00176D3F" w:rsidRDefault="00DC079F" w:rsidP="009C46C2">
            <w:pPr>
              <w:pStyle w:val="Note"/>
            </w:pPr>
            <w:r>
              <w:rPr>
                <w:rStyle w:val="NoteLabel"/>
              </w:rPr>
              <w:t>a</w:t>
            </w:r>
            <w:r>
              <w:t xml:space="preserve"> Data relates to year ending June of each year. Labour productivity in the market sector is market sector value</w:t>
            </w:r>
            <w:r>
              <w:noBreakHyphen/>
              <w:t xml:space="preserve">added divided by hours worked. The ‘whole economy’ data series involves assumptions about the relationship between hours worked and employment. </w:t>
            </w:r>
          </w:p>
        </w:tc>
      </w:tr>
      <w:tr w:rsidR="00DC079F" w:rsidRPr="00176D3F" w14:paraId="1D0A6D5A" w14:textId="77777777" w:rsidTr="009C46C2">
        <w:tc>
          <w:tcPr>
            <w:tcW w:w="8771" w:type="dxa"/>
            <w:tcBorders>
              <w:top w:val="nil"/>
              <w:left w:val="nil"/>
              <w:bottom w:val="nil"/>
              <w:right w:val="nil"/>
            </w:tcBorders>
            <w:shd w:val="clear" w:color="auto" w:fill="auto"/>
          </w:tcPr>
          <w:p w14:paraId="1D0A6D59" w14:textId="77777777" w:rsidR="00DC079F" w:rsidRPr="00176D3F" w:rsidRDefault="00DC079F" w:rsidP="00354899">
            <w:pPr>
              <w:pStyle w:val="Source"/>
            </w:pPr>
            <w:r>
              <w:rPr>
                <w:i/>
              </w:rPr>
              <w:t>S</w:t>
            </w:r>
            <w:r w:rsidRPr="00784A05">
              <w:rPr>
                <w:i/>
              </w:rPr>
              <w:t>ource</w:t>
            </w:r>
            <w:r>
              <w:rPr>
                <w:i/>
              </w:rPr>
              <w:t>s</w:t>
            </w:r>
            <w:r w:rsidRPr="00176D3F">
              <w:t xml:space="preserve">: </w:t>
            </w:r>
            <w:r>
              <w:t>ABS 2008 and 201</w:t>
            </w:r>
            <w:r w:rsidR="00354899">
              <w:t>6</w:t>
            </w:r>
            <w:r>
              <w:t xml:space="preserve">, </w:t>
            </w:r>
            <w:r w:rsidRPr="00ED75CA">
              <w:rPr>
                <w:i/>
              </w:rPr>
              <w:t>Australian System of National Accounts</w:t>
            </w:r>
            <w:r w:rsidRPr="00ED75CA">
              <w:t xml:space="preserve">, </w:t>
            </w:r>
            <w:r>
              <w:t xml:space="preserve">Cat. no. </w:t>
            </w:r>
            <w:r w:rsidRPr="00ED75CA">
              <w:t>5204.0</w:t>
            </w:r>
            <w:r>
              <w:t xml:space="preserve">; </w:t>
            </w:r>
            <w:proofErr w:type="spellStart"/>
            <w:r>
              <w:t>Butlin</w:t>
            </w:r>
            <w:proofErr w:type="spellEnd"/>
            <w:r>
              <w:t xml:space="preserve"> </w:t>
            </w:r>
            <w:r w:rsidRPr="00313C8E">
              <w:rPr>
                <w:rFonts w:cs="Arial"/>
              </w:rPr>
              <w:t>(1977)</w:t>
            </w:r>
            <w:r w:rsidRPr="00ED75CA">
              <w:t xml:space="preserve"> </w:t>
            </w:r>
            <w:r>
              <w:t xml:space="preserve">and Foster </w:t>
            </w:r>
            <w:r w:rsidRPr="00C17377">
              <w:rPr>
                <w:rFonts w:cs="Arial"/>
              </w:rPr>
              <w:t>(1996)</w:t>
            </w:r>
            <w:r>
              <w:t>.</w:t>
            </w:r>
          </w:p>
        </w:tc>
      </w:tr>
      <w:tr w:rsidR="00DC079F" w14:paraId="1D0A6D5C" w14:textId="77777777" w:rsidTr="009C46C2">
        <w:tc>
          <w:tcPr>
            <w:tcW w:w="8771" w:type="dxa"/>
            <w:tcBorders>
              <w:top w:val="nil"/>
              <w:left w:val="nil"/>
              <w:bottom w:val="single" w:sz="6" w:space="0" w:color="78A22F"/>
              <w:right w:val="nil"/>
            </w:tcBorders>
            <w:shd w:val="clear" w:color="auto" w:fill="auto"/>
          </w:tcPr>
          <w:p w14:paraId="1D0A6D5B" w14:textId="77777777" w:rsidR="00DC079F" w:rsidRDefault="00DC079F" w:rsidP="009C46C2">
            <w:pPr>
              <w:pStyle w:val="Figurespace"/>
            </w:pPr>
          </w:p>
        </w:tc>
      </w:tr>
      <w:tr w:rsidR="00DC079F" w:rsidRPr="000863A5" w14:paraId="1D0A6D5E" w14:textId="77777777" w:rsidTr="009C46C2">
        <w:tc>
          <w:tcPr>
            <w:tcW w:w="8771" w:type="dxa"/>
            <w:tcBorders>
              <w:top w:val="single" w:sz="6" w:space="0" w:color="78A22F"/>
              <w:left w:val="nil"/>
              <w:bottom w:val="nil"/>
              <w:right w:val="nil"/>
            </w:tcBorders>
          </w:tcPr>
          <w:p w14:paraId="1D0A6D5D" w14:textId="77777777" w:rsidR="00DC079F" w:rsidRPr="00626D32" w:rsidRDefault="00DC079F" w:rsidP="009C46C2">
            <w:pPr>
              <w:pStyle w:val="BoxSpaceBelow"/>
            </w:pPr>
          </w:p>
        </w:tc>
      </w:tr>
    </w:tbl>
    <w:p w14:paraId="1D0A6D5F" w14:textId="7CE98279" w:rsidR="006E3B3E" w:rsidRDefault="00C82E28" w:rsidP="00E068FD">
      <w:pPr>
        <w:pStyle w:val="BodyText"/>
      </w:pPr>
      <w:r>
        <w:t>About</w:t>
      </w:r>
      <w:r w:rsidR="006B52E3">
        <w:t xml:space="preserve"> two</w:t>
      </w:r>
      <w:r w:rsidR="006B52E3">
        <w:noBreakHyphen/>
      </w:r>
      <w:r w:rsidR="00B90336">
        <w:t xml:space="preserve">thirds </w:t>
      </w:r>
      <w:r w:rsidR="00B11772">
        <w:t xml:space="preserve">of annual LP growth </w:t>
      </w:r>
      <w:r w:rsidR="00B90336">
        <w:t>(</w:t>
      </w:r>
      <w:r w:rsidR="00B11772">
        <w:t xml:space="preserve">or </w:t>
      </w:r>
      <w:r w:rsidR="00B90336">
        <w:t xml:space="preserve">1.5 per cent per year) </w:t>
      </w:r>
      <w:r w:rsidR="00204C18">
        <w:t>has been historically</w:t>
      </w:r>
      <w:r w:rsidR="00B90336">
        <w:t xml:space="preserve"> attributable to capital deepening and the remainder to MFP growth</w:t>
      </w:r>
      <w:r w:rsidR="00B11772">
        <w:t xml:space="preserve"> (figure </w:t>
      </w:r>
      <w:r w:rsidR="00384850">
        <w:t>4</w:t>
      </w:r>
      <w:r w:rsidR="00B11772">
        <w:t>)</w:t>
      </w:r>
      <w:r w:rsidR="00B90336">
        <w:t xml:space="preserve">. </w:t>
      </w:r>
      <w:r w:rsidR="0097468B">
        <w:t>Between 1993</w:t>
      </w:r>
      <w:r w:rsidR="0097468B">
        <w:noBreakHyphen/>
        <w:t>94 to 1998</w:t>
      </w:r>
      <w:r w:rsidR="0097468B">
        <w:noBreakHyphen/>
        <w:t xml:space="preserve">99, </w:t>
      </w:r>
      <w:r w:rsidR="00B11772">
        <w:t xml:space="preserve">however, </w:t>
      </w:r>
      <w:r w:rsidR="00CA3A02">
        <w:t xml:space="preserve">at </w:t>
      </w:r>
      <w:r>
        <w:t>about</w:t>
      </w:r>
      <w:r w:rsidR="00CA3A02">
        <w:t xml:space="preserve"> two</w:t>
      </w:r>
      <w:r w:rsidR="00CA3A02">
        <w:noBreakHyphen/>
        <w:t xml:space="preserve">thirds of annual LP growth, </w:t>
      </w:r>
      <w:r w:rsidR="0097468B">
        <w:t xml:space="preserve">the contribution of </w:t>
      </w:r>
      <w:r w:rsidR="0097468B">
        <w:lastRenderedPageBreak/>
        <w:t>MFP growth was significantly greater than historical</w:t>
      </w:r>
      <w:r w:rsidR="00CA3A02">
        <w:t xml:space="preserve"> averages. </w:t>
      </w:r>
      <w:r w:rsidR="0097468B">
        <w:t>LP growth averag</w:t>
      </w:r>
      <w:r w:rsidR="00CA3A02">
        <w:t>ed</w:t>
      </w:r>
      <w:r w:rsidR="0097468B">
        <w:t xml:space="preserve"> 3.</w:t>
      </w:r>
      <w:r w:rsidR="00CA3A02">
        <w:t>9 per </w:t>
      </w:r>
      <w:r w:rsidR="0097468B">
        <w:t>cent a year</w:t>
      </w:r>
      <w:r w:rsidR="00534586">
        <w:t xml:space="preserve"> during this period</w:t>
      </w:r>
      <w:r w:rsidR="0097468B">
        <w:t xml:space="preserve">. </w:t>
      </w:r>
    </w:p>
    <w:p w14:paraId="1D0A6D60" w14:textId="77777777" w:rsidR="00E068FD" w:rsidRDefault="00E068FD" w:rsidP="00E068FD">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E068FD" w14:paraId="1D0A6D63" w14:textId="77777777" w:rsidTr="00E068FD">
        <w:tc>
          <w:tcPr>
            <w:tcW w:w="8771" w:type="dxa"/>
            <w:tcBorders>
              <w:top w:val="single" w:sz="6" w:space="0" w:color="78A22F"/>
              <w:left w:val="nil"/>
              <w:bottom w:val="nil"/>
              <w:right w:val="nil"/>
            </w:tcBorders>
            <w:shd w:val="clear" w:color="auto" w:fill="auto"/>
          </w:tcPr>
          <w:p w14:paraId="1D0A6D61" w14:textId="77777777" w:rsidR="00E068FD" w:rsidRPr="001F39EC" w:rsidRDefault="00E068FD" w:rsidP="00E068FD">
            <w:pPr>
              <w:pStyle w:val="FigureTitle"/>
              <w:rPr>
                <w:vertAlign w:val="superscript"/>
              </w:rPr>
            </w:pPr>
            <w:r w:rsidRPr="00784A05">
              <w:rPr>
                <w:b w:val="0"/>
              </w:rPr>
              <w:t xml:space="preserve">Figure </w:t>
            </w:r>
            <w:r w:rsidR="00BC36BF">
              <w:rPr>
                <w:b w:val="0"/>
              </w:rPr>
              <w:t>4</w:t>
            </w:r>
            <w:r>
              <w:tab/>
              <w:t xml:space="preserve">Market sector labour productivity </w:t>
            </w:r>
            <w:proofErr w:type="spellStart"/>
            <w:r>
              <w:t>decomposition</w:t>
            </w:r>
            <w:r>
              <w:rPr>
                <w:vertAlign w:val="superscript"/>
              </w:rPr>
              <w:t>a</w:t>
            </w:r>
            <w:proofErr w:type="spellEnd"/>
          </w:p>
          <w:p w14:paraId="1D0A6D62" w14:textId="77777777" w:rsidR="00E068FD" w:rsidRPr="00176D3F" w:rsidRDefault="00E068FD" w:rsidP="00E068FD">
            <w:pPr>
              <w:pStyle w:val="Subtitle"/>
            </w:pPr>
            <w:r>
              <w:t>Measured using aggregate market sector productivity cycles</w:t>
            </w:r>
          </w:p>
        </w:tc>
      </w:tr>
      <w:tr w:rsidR="00E068FD" w14:paraId="1D0A6D67" w14:textId="77777777" w:rsidTr="00E068FD">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E068FD" w14:paraId="1D0A6D65" w14:textId="77777777" w:rsidTr="00E068FD">
              <w:trPr>
                <w:jc w:val="center"/>
              </w:trPr>
              <w:tc>
                <w:tcPr>
                  <w:tcW w:w="5000" w:type="pct"/>
                  <w:tcBorders>
                    <w:top w:val="nil"/>
                    <w:bottom w:val="nil"/>
                  </w:tcBorders>
                </w:tcPr>
                <w:p w14:paraId="1D0A6D64" w14:textId="77777777" w:rsidR="00E068FD" w:rsidRDefault="00E068FD" w:rsidP="00E068FD">
                  <w:pPr>
                    <w:pStyle w:val="Figure"/>
                    <w:spacing w:before="60" w:after="60"/>
                  </w:pPr>
                  <w:r>
                    <w:rPr>
                      <w:noProof/>
                    </w:rPr>
                    <w:drawing>
                      <wp:inline distT="0" distB="0" distL="0" distR="0" wp14:anchorId="1D0A7188" wp14:editId="1085561D">
                        <wp:extent cx="5397500" cy="2228850"/>
                        <wp:effectExtent l="0" t="0" r="0" b="0"/>
                        <wp:docPr id="1" name="Picture 1" descr="This figure decomposes market sector labour productivity growth into contributions from capital deepening and multifactor productivity growth according to aggregate productivity cycles. It shows that the contribution from multifactor productivity growth, on average, fell since the 1990s, and the average over the past incomplete cycle remains below long run averag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397500" cy="2228850"/>
                                </a:xfrm>
                                <a:prstGeom prst="rect">
                                  <a:avLst/>
                                </a:prstGeom>
                                <a:noFill/>
                                <a:ln>
                                  <a:noFill/>
                                </a:ln>
                              </pic:spPr>
                            </pic:pic>
                          </a:graphicData>
                        </a:graphic>
                      </wp:inline>
                    </w:drawing>
                  </w:r>
                  <w:r w:rsidRPr="00911F06" w:rsidDel="00911F06">
                    <w:t xml:space="preserve"> </w:t>
                  </w:r>
                </w:p>
              </w:tc>
            </w:tr>
          </w:tbl>
          <w:p w14:paraId="1D0A6D66" w14:textId="77777777" w:rsidR="00E068FD" w:rsidRDefault="00E068FD" w:rsidP="00E068FD">
            <w:pPr>
              <w:pStyle w:val="Figure"/>
            </w:pPr>
          </w:p>
        </w:tc>
      </w:tr>
      <w:tr w:rsidR="00E068FD" w:rsidRPr="00176D3F" w14:paraId="1D0A6D69" w14:textId="77777777" w:rsidTr="00E068FD">
        <w:tc>
          <w:tcPr>
            <w:tcW w:w="8771" w:type="dxa"/>
            <w:tcBorders>
              <w:top w:val="nil"/>
              <w:left w:val="nil"/>
              <w:bottom w:val="nil"/>
              <w:right w:val="nil"/>
            </w:tcBorders>
            <w:shd w:val="clear" w:color="auto" w:fill="auto"/>
          </w:tcPr>
          <w:p w14:paraId="1D0A6D68" w14:textId="77777777" w:rsidR="00E068FD" w:rsidRPr="00176D3F" w:rsidRDefault="00E068FD" w:rsidP="00E068FD">
            <w:pPr>
              <w:pStyle w:val="Note"/>
            </w:pPr>
            <w:r>
              <w:rPr>
                <w:rStyle w:val="NoteLabel"/>
              </w:rPr>
              <w:t>a</w:t>
            </w:r>
            <w:r>
              <w:t xml:space="preserve"> 12</w:t>
            </w:r>
            <w:r>
              <w:noBreakHyphen/>
              <w:t>industry market sector (</w:t>
            </w:r>
            <w:proofErr w:type="spellStart"/>
            <w:r>
              <w:t>ANZSIC</w:t>
            </w:r>
            <w:proofErr w:type="spellEnd"/>
            <w:r>
              <w:t xml:space="preserve"> Divisions A to K and R). The latest cycle remains incomplete and therefore may be subject to changes in capacity utilisation. </w:t>
            </w:r>
          </w:p>
        </w:tc>
      </w:tr>
      <w:tr w:rsidR="00E068FD" w:rsidRPr="00176D3F" w14:paraId="1D0A6D6B" w14:textId="77777777" w:rsidTr="00E068FD">
        <w:tc>
          <w:tcPr>
            <w:tcW w:w="8771" w:type="dxa"/>
            <w:tcBorders>
              <w:top w:val="nil"/>
              <w:left w:val="nil"/>
              <w:bottom w:val="nil"/>
              <w:right w:val="nil"/>
            </w:tcBorders>
            <w:shd w:val="clear" w:color="auto" w:fill="auto"/>
          </w:tcPr>
          <w:p w14:paraId="1D0A6D6A" w14:textId="515A4FC5" w:rsidR="00E068FD" w:rsidRPr="00176D3F" w:rsidRDefault="00EE434A" w:rsidP="00EE434A">
            <w:pPr>
              <w:pStyle w:val="Source"/>
            </w:pPr>
            <w:r>
              <w:rPr>
                <w:i/>
              </w:rPr>
              <w:t>S</w:t>
            </w:r>
            <w:r w:rsidR="00E068FD" w:rsidRPr="00784A05">
              <w:rPr>
                <w:i/>
              </w:rPr>
              <w:t>ource</w:t>
            </w:r>
            <w:r w:rsidR="00E068FD" w:rsidRPr="00176D3F">
              <w:t xml:space="preserve">: </w:t>
            </w:r>
            <w:r w:rsidR="00E024D2">
              <w:t xml:space="preserve">ABS </w:t>
            </w:r>
            <w:r w:rsidR="00AD0CC1" w:rsidRPr="00AD0CC1">
              <w:rPr>
                <w:rFonts w:cs="Arial"/>
              </w:rPr>
              <w:t>(</w:t>
            </w:r>
            <w:proofErr w:type="spellStart"/>
            <w:r w:rsidR="00AD0CC1" w:rsidRPr="00AD0CC1">
              <w:rPr>
                <w:rFonts w:cs="Arial"/>
              </w:rPr>
              <w:t>2016d</w:t>
            </w:r>
            <w:proofErr w:type="spellEnd"/>
            <w:r w:rsidR="00AD0CC1" w:rsidRPr="00AD0CC1">
              <w:rPr>
                <w:rFonts w:cs="Arial"/>
              </w:rPr>
              <w:t>)</w:t>
            </w:r>
            <w:r w:rsidR="00E068FD">
              <w:t xml:space="preserve">, </w:t>
            </w:r>
            <w:r w:rsidR="00E068FD">
              <w:rPr>
                <w:i/>
              </w:rPr>
              <w:t>Estimates of Industry Multifactor Productivity, 2015</w:t>
            </w:r>
            <w:r>
              <w:rPr>
                <w:i/>
              </w:rPr>
              <w:noBreakHyphen/>
            </w:r>
            <w:r w:rsidR="00E068FD">
              <w:rPr>
                <w:i/>
              </w:rPr>
              <w:t>16,</w:t>
            </w:r>
            <w:r w:rsidR="00E068FD">
              <w:t xml:space="preserve"> Cat. no. 5260.0.55.002, December, and Productivity Commission estimates.</w:t>
            </w:r>
          </w:p>
        </w:tc>
      </w:tr>
      <w:tr w:rsidR="00E068FD" w14:paraId="1D0A6D6D" w14:textId="77777777" w:rsidTr="00E068FD">
        <w:tc>
          <w:tcPr>
            <w:tcW w:w="8771" w:type="dxa"/>
            <w:tcBorders>
              <w:top w:val="nil"/>
              <w:left w:val="nil"/>
              <w:bottom w:val="single" w:sz="6" w:space="0" w:color="78A22F"/>
              <w:right w:val="nil"/>
            </w:tcBorders>
            <w:shd w:val="clear" w:color="auto" w:fill="auto"/>
          </w:tcPr>
          <w:p w14:paraId="1D0A6D6C" w14:textId="77777777" w:rsidR="00E068FD" w:rsidRDefault="00E068FD" w:rsidP="00E068FD">
            <w:pPr>
              <w:pStyle w:val="Figurespace"/>
            </w:pPr>
          </w:p>
        </w:tc>
      </w:tr>
      <w:tr w:rsidR="00E068FD" w:rsidRPr="000863A5" w14:paraId="1D0A6D6F" w14:textId="77777777" w:rsidTr="00E068FD">
        <w:tc>
          <w:tcPr>
            <w:tcW w:w="8771" w:type="dxa"/>
            <w:tcBorders>
              <w:top w:val="single" w:sz="6" w:space="0" w:color="78A22F"/>
              <w:left w:val="nil"/>
              <w:bottom w:val="nil"/>
              <w:right w:val="nil"/>
            </w:tcBorders>
          </w:tcPr>
          <w:p w14:paraId="1D0A6D6E" w14:textId="77777777" w:rsidR="00E068FD" w:rsidRPr="00626D32" w:rsidRDefault="00E068FD" w:rsidP="00E068FD">
            <w:pPr>
              <w:pStyle w:val="BoxSpaceBelow"/>
            </w:pPr>
          </w:p>
        </w:tc>
      </w:tr>
    </w:tbl>
    <w:p w14:paraId="1D0A6D70" w14:textId="1BE73E3B" w:rsidR="00B42813" w:rsidRDefault="006E3B3E" w:rsidP="00CC532F">
      <w:pPr>
        <w:pStyle w:val="BodyText"/>
      </w:pPr>
      <w:r>
        <w:t>LP</w:t>
      </w:r>
      <w:r w:rsidRPr="005705C9">
        <w:t xml:space="preserve"> growth during the </w:t>
      </w:r>
      <w:proofErr w:type="spellStart"/>
      <w:r w:rsidRPr="005705C9">
        <w:t>1990s</w:t>
      </w:r>
      <w:proofErr w:type="spellEnd"/>
      <w:r w:rsidRPr="005705C9">
        <w:t xml:space="preserve"> was led by service sector industries, such as wholesale trade</w:t>
      </w:r>
      <w:r w:rsidR="00534586">
        <w:t>,</w:t>
      </w:r>
      <w:r w:rsidRPr="005705C9">
        <w:t xml:space="preserve"> business and financial services that drew on new advances in </w:t>
      </w:r>
      <w:r>
        <w:t>ICT</w:t>
      </w:r>
      <w:r w:rsidRPr="005705C9">
        <w:t xml:space="preserve"> to transform the way they did business. This was supported by continued productivity growth in industries like telecommunications and utilities. </w:t>
      </w:r>
      <w:r>
        <w:t>As a result, p</w:t>
      </w:r>
      <w:r w:rsidRPr="005705C9">
        <w:t xml:space="preserve">roductivity levels in these industries rose towards international </w:t>
      </w:r>
      <w:r>
        <w:t>best practise</w:t>
      </w:r>
      <w:r w:rsidRPr="005705C9">
        <w:t xml:space="preserve"> (Dolman and </w:t>
      </w:r>
      <w:proofErr w:type="spellStart"/>
      <w:r w:rsidRPr="005705C9">
        <w:t>Gruen</w:t>
      </w:r>
      <w:proofErr w:type="spellEnd"/>
      <w:r w:rsidRPr="005705C9">
        <w:t xml:space="preserve"> 2012)</w:t>
      </w:r>
      <w:r w:rsidR="005D529A">
        <w:t>.</w:t>
      </w:r>
      <w:r w:rsidR="007811BC">
        <w:t xml:space="preserve"> </w:t>
      </w:r>
    </w:p>
    <w:p w14:paraId="1D0A6D71" w14:textId="77777777" w:rsidR="00396353" w:rsidRDefault="00396353" w:rsidP="00396353">
      <w:pPr>
        <w:pStyle w:val="Heading4"/>
        <w:rPr>
          <w:lang w:val="en"/>
        </w:rPr>
      </w:pPr>
      <w:r>
        <w:rPr>
          <w:lang w:val="en"/>
        </w:rPr>
        <w:t>‘The nothing era’ and more recent performance</w:t>
      </w:r>
    </w:p>
    <w:p w14:paraId="1D0A6D72" w14:textId="77777777" w:rsidR="00C10832" w:rsidRDefault="00C10832" w:rsidP="00C10832">
      <w:pPr>
        <w:pStyle w:val="BodyText"/>
        <w:rPr>
          <w:lang w:val="en"/>
        </w:rPr>
      </w:pPr>
      <w:r w:rsidRPr="00A847ED">
        <w:rPr>
          <w:lang w:val="en"/>
        </w:rPr>
        <w:t xml:space="preserve">After the </w:t>
      </w:r>
      <w:proofErr w:type="spellStart"/>
      <w:r w:rsidRPr="00A847ED">
        <w:rPr>
          <w:lang w:val="en"/>
        </w:rPr>
        <w:t>1990s</w:t>
      </w:r>
      <w:proofErr w:type="spellEnd"/>
      <w:r w:rsidRPr="00A847ED">
        <w:rPr>
          <w:lang w:val="en"/>
        </w:rPr>
        <w:t xml:space="preserve">, </w:t>
      </w:r>
      <w:r w:rsidR="006E3B3E">
        <w:rPr>
          <w:lang w:val="en"/>
        </w:rPr>
        <w:t>aggregate productivity performance was determined by different sets of underlying forces</w:t>
      </w:r>
      <w:r w:rsidR="00396353">
        <w:rPr>
          <w:lang w:val="en"/>
        </w:rPr>
        <w:t>. I</w:t>
      </w:r>
      <w:r w:rsidR="00F35EA7">
        <w:rPr>
          <w:lang w:val="en"/>
        </w:rPr>
        <w:t xml:space="preserve">n the early </w:t>
      </w:r>
      <w:proofErr w:type="spellStart"/>
      <w:r w:rsidR="00F35EA7">
        <w:rPr>
          <w:lang w:val="en"/>
        </w:rPr>
        <w:t>2000s</w:t>
      </w:r>
      <w:proofErr w:type="spellEnd"/>
      <w:r w:rsidR="00F35EA7">
        <w:rPr>
          <w:lang w:val="en"/>
        </w:rPr>
        <w:t xml:space="preserve">, </w:t>
      </w:r>
      <w:r w:rsidR="00396353">
        <w:rPr>
          <w:lang w:val="en"/>
        </w:rPr>
        <w:t>Australia</w:t>
      </w:r>
      <w:r w:rsidR="00F35EA7">
        <w:rPr>
          <w:lang w:val="en"/>
        </w:rPr>
        <w:t xml:space="preserve"> </w:t>
      </w:r>
      <w:r w:rsidR="00997E57">
        <w:rPr>
          <w:lang w:val="en"/>
        </w:rPr>
        <w:t>enter</w:t>
      </w:r>
      <w:r w:rsidR="00396353">
        <w:rPr>
          <w:lang w:val="en"/>
        </w:rPr>
        <w:t>ed</w:t>
      </w:r>
      <w:r w:rsidR="00997E57">
        <w:rPr>
          <w:lang w:val="en"/>
        </w:rPr>
        <w:t xml:space="preserve"> the largest </w:t>
      </w:r>
      <w:proofErr w:type="spellStart"/>
      <w:r w:rsidR="00422B26">
        <w:rPr>
          <w:lang w:val="en"/>
        </w:rPr>
        <w:t>ToT</w:t>
      </w:r>
      <w:proofErr w:type="spellEnd"/>
      <w:r w:rsidR="00997E57">
        <w:rPr>
          <w:lang w:val="en"/>
        </w:rPr>
        <w:t xml:space="preserve"> boom in its history. This</w:t>
      </w:r>
      <w:r w:rsidR="00F35EA7">
        <w:rPr>
          <w:lang w:val="en"/>
        </w:rPr>
        <w:t xml:space="preserve"> has</w:t>
      </w:r>
      <w:r w:rsidR="00997E57">
        <w:rPr>
          <w:lang w:val="en"/>
        </w:rPr>
        <w:t xml:space="preserve"> had a number of fundamental impacts on the economy, including strengthening</w:t>
      </w:r>
      <w:r w:rsidRPr="00A847ED">
        <w:rPr>
          <w:lang w:val="en"/>
        </w:rPr>
        <w:t xml:space="preserve"> the exchange rate, lowering the cost of imported goods and boosting the purchasing power of Australian incomes. </w:t>
      </w:r>
      <w:r w:rsidR="00997E57">
        <w:t xml:space="preserve">It also gave rise to </w:t>
      </w:r>
      <w:r w:rsidRPr="00A847ED">
        <w:t>rapid growth in mining</w:t>
      </w:r>
      <w:r w:rsidR="00A847ED" w:rsidRPr="00A847ED">
        <w:t xml:space="preserve"> investment</w:t>
      </w:r>
      <w:r w:rsidRPr="00A847ED">
        <w:t xml:space="preserve">, and </w:t>
      </w:r>
      <w:r w:rsidR="00E068FD">
        <w:t>strong</w:t>
      </w:r>
      <w:r w:rsidRPr="00A847ED">
        <w:t xml:space="preserve"> growth in a range of</w:t>
      </w:r>
      <w:r w:rsidR="00997E57">
        <w:t xml:space="preserve"> related</w:t>
      </w:r>
      <w:r w:rsidRPr="00A847ED">
        <w:t xml:space="preserve"> domestic service</w:t>
      </w:r>
      <w:r w:rsidR="00F35EA7">
        <w:t>s</w:t>
      </w:r>
      <w:r w:rsidRPr="00A847ED">
        <w:t xml:space="preserve"> industries. Conversely, manufacturers </w:t>
      </w:r>
      <w:r w:rsidR="00997E57">
        <w:t>and other export</w:t>
      </w:r>
      <w:r w:rsidR="00997E57">
        <w:noBreakHyphen/>
        <w:t xml:space="preserve">competing industries </w:t>
      </w:r>
      <w:r w:rsidRPr="00A847ED">
        <w:t>came under pressure from competitors in China and other emerging markets</w:t>
      </w:r>
      <w:r w:rsidR="00E068FD">
        <w:t xml:space="preserve"> as a result of the high exchange rate</w:t>
      </w:r>
      <w:r w:rsidRPr="00A847ED">
        <w:t xml:space="preserve"> (Dolman and </w:t>
      </w:r>
      <w:proofErr w:type="spellStart"/>
      <w:r w:rsidRPr="00A847ED">
        <w:t>Gruen</w:t>
      </w:r>
      <w:proofErr w:type="spellEnd"/>
      <w:r w:rsidRPr="00A847ED">
        <w:t xml:space="preserve"> 2012)</w:t>
      </w:r>
      <w:r w:rsidRPr="00A847ED">
        <w:rPr>
          <w:lang w:val="en"/>
        </w:rPr>
        <w:t>.</w:t>
      </w:r>
      <w:r w:rsidR="007811BC">
        <w:rPr>
          <w:lang w:val="en"/>
        </w:rPr>
        <w:t xml:space="preserve"> In addition, surviving manufacturers took advantage of the exchange rate to import capital, but subdued demand limited its </w:t>
      </w:r>
      <w:proofErr w:type="spellStart"/>
      <w:r w:rsidR="007811BC">
        <w:rPr>
          <w:lang w:val="en"/>
        </w:rPr>
        <w:t>utilisation</w:t>
      </w:r>
      <w:proofErr w:type="spellEnd"/>
      <w:r w:rsidR="007811BC">
        <w:rPr>
          <w:lang w:val="en"/>
        </w:rPr>
        <w:t xml:space="preserve">, further reducing productivity growth in the sector </w:t>
      </w:r>
      <w:r w:rsidR="007811BC" w:rsidRPr="00CA1F17">
        <w:rPr>
          <w:szCs w:val="24"/>
        </w:rPr>
        <w:t>(Barnes et al. 2013)</w:t>
      </w:r>
      <w:r w:rsidR="007811BC">
        <w:t>.</w:t>
      </w:r>
      <w:r w:rsidR="007811BC">
        <w:rPr>
          <w:lang w:val="en"/>
        </w:rPr>
        <w:t xml:space="preserve"> </w:t>
      </w:r>
    </w:p>
    <w:p w14:paraId="1D0A6D73" w14:textId="61C0612B" w:rsidR="00997E57" w:rsidRDefault="00997E57" w:rsidP="00B11772">
      <w:pPr>
        <w:pStyle w:val="BodyText"/>
      </w:pPr>
      <w:r>
        <w:lastRenderedPageBreak/>
        <w:t>The impact of mining invest</w:t>
      </w:r>
      <w:r w:rsidRPr="00833923">
        <w:t xml:space="preserve">ment (which rose from </w:t>
      </w:r>
      <w:r w:rsidR="00C82E28">
        <w:t>approximately</w:t>
      </w:r>
      <w:r w:rsidRPr="00833923">
        <w:t xml:space="preserve"> 2</w:t>
      </w:r>
      <w:r w:rsidR="00F35EA7" w:rsidRPr="00833923">
        <w:t xml:space="preserve"> per cent of </w:t>
      </w:r>
      <w:r w:rsidR="006E3B3E">
        <w:t xml:space="preserve">GDP </w:t>
      </w:r>
      <w:r w:rsidR="00F35EA7" w:rsidRPr="00833923">
        <w:t>in 2002</w:t>
      </w:r>
      <w:r w:rsidR="00F35EA7" w:rsidRPr="00833923">
        <w:noBreakHyphen/>
        <w:t>03</w:t>
      </w:r>
      <w:r w:rsidRPr="00833923">
        <w:t xml:space="preserve"> to over </w:t>
      </w:r>
      <w:r w:rsidR="00833923" w:rsidRPr="00833923">
        <w:t>9</w:t>
      </w:r>
      <w:r w:rsidRPr="00833923">
        <w:t> per cent</w:t>
      </w:r>
      <w:r w:rsidR="00F35EA7">
        <w:t xml:space="preserve"> in 201</w:t>
      </w:r>
      <w:r w:rsidR="00833923">
        <w:t>2</w:t>
      </w:r>
      <w:r w:rsidR="00F35EA7">
        <w:noBreakHyphen/>
        <w:t>1</w:t>
      </w:r>
      <w:r w:rsidR="00833923">
        <w:t>3</w:t>
      </w:r>
      <w:r>
        <w:t>) on measured productivity has been profound</w:t>
      </w:r>
      <w:r w:rsidR="00F35EA7">
        <w:t xml:space="preserve">. There is often a lag between capital investment and output growth </w:t>
      </w:r>
      <w:r w:rsidR="007811BC">
        <w:t>for large lumpy investments</w:t>
      </w:r>
      <w:r w:rsidR="00F35EA7">
        <w:t>. This is particularly the case for capital investment in the mining industry, where new projects</w:t>
      </w:r>
      <w:r w:rsidR="007811BC">
        <w:t>, such as developing new iron ore mines,</w:t>
      </w:r>
      <w:r w:rsidR="00F35EA7">
        <w:t xml:space="preserve"> can involve lengthy construction periods before any output is generated. High commodit</w:t>
      </w:r>
      <w:r w:rsidR="007811BC">
        <w:t>y</w:t>
      </w:r>
      <w:r w:rsidR="00F35EA7">
        <w:t xml:space="preserve"> prices witnessed during the boom also </w:t>
      </w:r>
      <w:r w:rsidR="00D574DE">
        <w:t>created incentives for</w:t>
      </w:r>
      <w:r w:rsidR="00F35EA7">
        <w:t xml:space="preserve"> </w:t>
      </w:r>
      <w:r w:rsidR="007811BC">
        <w:t>firms</w:t>
      </w:r>
      <w:r w:rsidR="00F35EA7">
        <w:t xml:space="preserve"> to pursue more marginal reserves of commodities, which further reduced measured productivity</w:t>
      </w:r>
      <w:r w:rsidR="00E024D2">
        <w:t xml:space="preserve"> </w:t>
      </w:r>
      <w:r w:rsidR="00E024D2" w:rsidRPr="00E024D2">
        <w:rPr>
          <w:szCs w:val="24"/>
        </w:rPr>
        <w:t>(</w:t>
      </w:r>
      <w:proofErr w:type="spellStart"/>
      <w:r w:rsidR="00E024D2" w:rsidRPr="00E024D2">
        <w:rPr>
          <w:szCs w:val="24"/>
        </w:rPr>
        <w:t>Topp</w:t>
      </w:r>
      <w:proofErr w:type="spellEnd"/>
      <w:r w:rsidR="00E024D2" w:rsidRPr="00E024D2">
        <w:rPr>
          <w:szCs w:val="24"/>
        </w:rPr>
        <w:t xml:space="preserve"> et al. 2008)</w:t>
      </w:r>
      <w:r w:rsidR="00F35EA7">
        <w:t>.</w:t>
      </w:r>
    </w:p>
    <w:p w14:paraId="1D0A6D74" w14:textId="5983AB0A" w:rsidR="00484D80" w:rsidRDefault="00F35EA7" w:rsidP="005128CD">
      <w:pPr>
        <w:pStyle w:val="BodyText"/>
      </w:pPr>
      <w:r>
        <w:t>However</w:t>
      </w:r>
      <w:r w:rsidR="000321C0">
        <w:t>,</w:t>
      </w:r>
      <w:r>
        <w:t xml:space="preserve"> the fall in productivity growth over the first half of the </w:t>
      </w:r>
      <w:proofErr w:type="spellStart"/>
      <w:r>
        <w:t>2000s</w:t>
      </w:r>
      <w:proofErr w:type="spellEnd"/>
      <w:r>
        <w:t xml:space="preserve"> was not </w:t>
      </w:r>
      <w:r w:rsidR="001710A1">
        <w:t>only</w:t>
      </w:r>
      <w:r>
        <w:t xml:space="preserve"> observed in the </w:t>
      </w:r>
      <w:r w:rsidR="005128CD">
        <w:t>mining sector, with multiple observers highlighting the ‘</w:t>
      </w:r>
      <w:proofErr w:type="spellStart"/>
      <w:r w:rsidR="005128CD">
        <w:t>broad</w:t>
      </w:r>
      <w:r w:rsidR="005128CD">
        <w:noBreakHyphen/>
        <w:t>based</w:t>
      </w:r>
      <w:proofErr w:type="spellEnd"/>
      <w:r w:rsidR="005128CD">
        <w:t>’ nature of the decline. There is no single explanation for why productivity performance levelled off across industries</w:t>
      </w:r>
      <w:r w:rsidR="001710A1">
        <w:t>. I</w:t>
      </w:r>
      <w:r w:rsidR="005128CD">
        <w:t xml:space="preserve">t likely reflects a number of industry specific factors. </w:t>
      </w:r>
      <w:r w:rsidR="00056BA3">
        <w:t>F</w:t>
      </w:r>
      <w:r w:rsidR="005128CD">
        <w:t>or instance, the contribution of ICT technologies in services industries that make significant use of them, began to ebb</w:t>
      </w:r>
      <w:r w:rsidR="00614372">
        <w:t xml:space="preserve"> </w:t>
      </w:r>
      <w:r w:rsidR="00614372" w:rsidRPr="00614372">
        <w:rPr>
          <w:szCs w:val="24"/>
        </w:rPr>
        <w:t xml:space="preserve">(Connolly and </w:t>
      </w:r>
      <w:proofErr w:type="spellStart"/>
      <w:r w:rsidR="00614372" w:rsidRPr="00614372">
        <w:rPr>
          <w:szCs w:val="24"/>
        </w:rPr>
        <w:t>Gustafsson</w:t>
      </w:r>
      <w:proofErr w:type="spellEnd"/>
      <w:r w:rsidR="00614372" w:rsidRPr="00614372">
        <w:rPr>
          <w:szCs w:val="24"/>
        </w:rPr>
        <w:t xml:space="preserve"> 2013; Jorgenson, </w:t>
      </w:r>
      <w:proofErr w:type="spellStart"/>
      <w:r w:rsidR="00614372" w:rsidRPr="00614372">
        <w:rPr>
          <w:szCs w:val="24"/>
        </w:rPr>
        <w:t>Ho</w:t>
      </w:r>
      <w:proofErr w:type="spellEnd"/>
      <w:r w:rsidR="00614372" w:rsidRPr="00614372">
        <w:rPr>
          <w:szCs w:val="24"/>
        </w:rPr>
        <w:t xml:space="preserve"> and </w:t>
      </w:r>
      <w:proofErr w:type="spellStart"/>
      <w:r w:rsidR="00614372" w:rsidRPr="00614372">
        <w:rPr>
          <w:szCs w:val="24"/>
        </w:rPr>
        <w:t>Stiroh</w:t>
      </w:r>
      <w:proofErr w:type="spellEnd"/>
      <w:r w:rsidR="00614372" w:rsidRPr="00614372">
        <w:rPr>
          <w:szCs w:val="24"/>
        </w:rPr>
        <w:t> 2008)</w:t>
      </w:r>
      <w:r w:rsidR="00076ABA">
        <w:t>.</w:t>
      </w:r>
      <w:r w:rsidR="005128CD">
        <w:t xml:space="preserve"> The early to mid</w:t>
      </w:r>
      <w:r w:rsidR="005128CD">
        <w:noBreakHyphen/>
      </w:r>
      <w:proofErr w:type="spellStart"/>
      <w:r w:rsidR="005128CD">
        <w:t>2000s</w:t>
      </w:r>
      <w:proofErr w:type="spellEnd"/>
      <w:r w:rsidR="005128CD">
        <w:t xml:space="preserve"> also saw a prolonged period of drought</w:t>
      </w:r>
      <w:r w:rsidR="001710A1">
        <w:t>,</w:t>
      </w:r>
      <w:r w:rsidR="005128CD">
        <w:t xml:space="preserve"> which affected production in much of the agriculture industry </w:t>
      </w:r>
      <w:r w:rsidR="00076ABA" w:rsidRPr="00076ABA">
        <w:rPr>
          <w:szCs w:val="24"/>
        </w:rPr>
        <w:t>(PC 2005)</w:t>
      </w:r>
      <w:r w:rsidR="00076ABA">
        <w:t xml:space="preserve">. </w:t>
      </w:r>
      <w:r w:rsidR="005128CD">
        <w:t xml:space="preserve">This was also a </w:t>
      </w:r>
      <w:r w:rsidR="00056BA3">
        <w:t xml:space="preserve">time </w:t>
      </w:r>
      <w:r w:rsidR="005128CD">
        <w:t>of significant</w:t>
      </w:r>
      <w:r w:rsidR="00E87DC0">
        <w:t xml:space="preserve"> </w:t>
      </w:r>
      <w:r w:rsidR="005128CD">
        <w:t>investment in the utilities sector, which is characterised by long and ‘lumpy’ investment cycles with capital</w:t>
      </w:r>
      <w:r w:rsidR="005128CD">
        <w:noBreakHyphen/>
        <w:t>output lags</w:t>
      </w:r>
      <w:r w:rsidR="00306E61">
        <w:t xml:space="preserve"> similar to those in mining </w:t>
      </w:r>
      <w:r w:rsidR="00306E61" w:rsidRPr="00306E61">
        <w:rPr>
          <w:szCs w:val="24"/>
        </w:rPr>
        <w:t>(</w:t>
      </w:r>
      <w:proofErr w:type="spellStart"/>
      <w:r w:rsidR="00306E61" w:rsidRPr="00306E61">
        <w:rPr>
          <w:szCs w:val="24"/>
        </w:rPr>
        <w:t>Topp</w:t>
      </w:r>
      <w:proofErr w:type="spellEnd"/>
      <w:r w:rsidR="00306E61" w:rsidRPr="00306E61">
        <w:rPr>
          <w:szCs w:val="24"/>
        </w:rPr>
        <w:t xml:space="preserve"> and </w:t>
      </w:r>
      <w:proofErr w:type="spellStart"/>
      <w:r w:rsidR="00306E61" w:rsidRPr="00306E61">
        <w:rPr>
          <w:szCs w:val="24"/>
        </w:rPr>
        <w:t>Kulys</w:t>
      </w:r>
      <w:proofErr w:type="spellEnd"/>
      <w:r w:rsidR="00306E61" w:rsidRPr="00306E61">
        <w:rPr>
          <w:szCs w:val="24"/>
        </w:rPr>
        <w:t> 2012)</w:t>
      </w:r>
      <w:r w:rsidR="00306E61">
        <w:t xml:space="preserve">. </w:t>
      </w:r>
    </w:p>
    <w:p w14:paraId="1D0A6D75" w14:textId="77777777" w:rsidR="005D7CAB" w:rsidRDefault="005128CD" w:rsidP="005128CD">
      <w:pPr>
        <w:pStyle w:val="BodyText"/>
      </w:pPr>
      <w:r>
        <w:t xml:space="preserve">More broadly, it has been suggested that the impact of the reforms of the </w:t>
      </w:r>
      <w:proofErr w:type="spellStart"/>
      <w:r>
        <w:t>1970s</w:t>
      </w:r>
      <w:proofErr w:type="spellEnd"/>
      <w:r>
        <w:t xml:space="preserve"> and </w:t>
      </w:r>
      <w:proofErr w:type="spellStart"/>
      <w:r>
        <w:t>1980s</w:t>
      </w:r>
      <w:proofErr w:type="spellEnd"/>
      <w:r>
        <w:t xml:space="preserve"> themselves amounted to a level shift in productivity</w:t>
      </w:r>
      <w:r w:rsidR="00484D80">
        <w:t xml:space="preserve"> in the </w:t>
      </w:r>
      <w:proofErr w:type="spellStart"/>
      <w:r w:rsidR="00484D80">
        <w:t>1990s</w:t>
      </w:r>
      <w:proofErr w:type="spellEnd"/>
      <w:r w:rsidR="00AD1178">
        <w:t xml:space="preserve"> </w:t>
      </w:r>
      <w:r w:rsidR="00EE72B2" w:rsidRPr="00EE72B2">
        <w:rPr>
          <w:szCs w:val="24"/>
        </w:rPr>
        <w:t xml:space="preserve">(Dolman 2009; </w:t>
      </w:r>
      <w:proofErr w:type="spellStart"/>
      <w:r w:rsidR="00EE72B2" w:rsidRPr="00EE72B2">
        <w:rPr>
          <w:szCs w:val="24"/>
        </w:rPr>
        <w:t>Eslake</w:t>
      </w:r>
      <w:proofErr w:type="spellEnd"/>
      <w:r w:rsidR="00EE72B2" w:rsidRPr="00EE72B2">
        <w:rPr>
          <w:szCs w:val="24"/>
        </w:rPr>
        <w:t> 2011)</w:t>
      </w:r>
      <w:r>
        <w:t xml:space="preserve">. </w:t>
      </w:r>
      <w:r w:rsidR="00330B8A">
        <w:t>Australia had fallen well behind other countries in terms of productivity and the reforms forced firms, and pub</w:t>
      </w:r>
      <w:r w:rsidR="000321C0">
        <w:t>lic sector providers, to ‘catch</w:t>
      </w:r>
      <w:r w:rsidR="000321C0">
        <w:noBreakHyphen/>
      </w:r>
      <w:r w:rsidR="00330B8A">
        <w:t>up’. While some expected the higher growth rates of the period of catch</w:t>
      </w:r>
      <w:r w:rsidR="000321C0">
        <w:noBreakHyphen/>
      </w:r>
      <w:r w:rsidR="00330B8A">
        <w:t>up to be permanent, logic suggests that</w:t>
      </w:r>
      <w:r>
        <w:t xml:space="preserve"> rates of productivity growth would fall</w:t>
      </w:r>
      <w:r w:rsidR="00330B8A">
        <w:t xml:space="preserve"> back to the rate at which advanced countries are expanding productivity at the frontier</w:t>
      </w:r>
      <w:r>
        <w:t xml:space="preserve">. </w:t>
      </w:r>
    </w:p>
    <w:p w14:paraId="1D0A6D76" w14:textId="38CC9A48" w:rsidR="005128CD" w:rsidRDefault="00330B8A" w:rsidP="005128CD">
      <w:pPr>
        <w:pStyle w:val="BodyText"/>
        <w:rPr>
          <w:color w:val="000000"/>
          <w:lang w:val="en"/>
        </w:rPr>
      </w:pPr>
      <w:r>
        <w:t>Unfortunately, productivity growth slowed in the developed countries well before the onset of the global financial crisis (</w:t>
      </w:r>
      <w:proofErr w:type="spellStart"/>
      <w:r>
        <w:t>GFC</w:t>
      </w:r>
      <w:proofErr w:type="spellEnd"/>
      <w:r>
        <w:t xml:space="preserve">) in 2007, worsened during the </w:t>
      </w:r>
      <w:proofErr w:type="spellStart"/>
      <w:r>
        <w:t>GFC</w:t>
      </w:r>
      <w:proofErr w:type="spellEnd"/>
      <w:r>
        <w:t xml:space="preserve">, and </w:t>
      </w:r>
      <w:r w:rsidR="00056BA3">
        <w:t xml:space="preserve">has </w:t>
      </w:r>
      <w:r>
        <w:t xml:space="preserve">only </w:t>
      </w:r>
      <w:r w:rsidR="000321C0">
        <w:t>recently has begun to</w:t>
      </w:r>
      <w:r>
        <w:t xml:space="preserve"> rebound</w:t>
      </w:r>
      <w:r w:rsidR="00EE72B2">
        <w:t xml:space="preserve"> </w:t>
      </w:r>
      <w:r w:rsidR="00EE72B2" w:rsidRPr="00EE72B2">
        <w:rPr>
          <w:szCs w:val="24"/>
        </w:rPr>
        <w:t>(Fernald </w:t>
      </w:r>
      <w:proofErr w:type="spellStart"/>
      <w:r w:rsidR="00EE72B2" w:rsidRPr="00EE72B2">
        <w:rPr>
          <w:szCs w:val="24"/>
        </w:rPr>
        <w:t>2014a</w:t>
      </w:r>
      <w:proofErr w:type="spellEnd"/>
      <w:r w:rsidR="00EE72B2" w:rsidRPr="00EE72B2">
        <w:rPr>
          <w:szCs w:val="24"/>
        </w:rPr>
        <w:t>)</w:t>
      </w:r>
      <w:r>
        <w:t xml:space="preserve">. </w:t>
      </w:r>
      <w:r>
        <w:rPr>
          <w:color w:val="000000"/>
          <w:lang w:val="en"/>
        </w:rPr>
        <w:t>Domestically,</w:t>
      </w:r>
      <w:r w:rsidR="00484D80">
        <w:rPr>
          <w:color w:val="000000"/>
          <w:lang w:val="en"/>
        </w:rPr>
        <w:t xml:space="preserve"> the </w:t>
      </w:r>
      <w:proofErr w:type="spellStart"/>
      <w:r w:rsidR="00484D80">
        <w:rPr>
          <w:color w:val="000000"/>
          <w:lang w:val="en"/>
        </w:rPr>
        <w:t>GFC</w:t>
      </w:r>
      <w:proofErr w:type="spellEnd"/>
      <w:r>
        <w:rPr>
          <w:color w:val="000000"/>
          <w:lang w:val="en"/>
        </w:rPr>
        <w:t xml:space="preserve"> </w:t>
      </w:r>
      <w:r w:rsidR="00484D80">
        <w:rPr>
          <w:color w:val="000000"/>
          <w:lang w:val="en"/>
        </w:rPr>
        <w:t xml:space="preserve">had the impact of reducing the </w:t>
      </w:r>
      <w:proofErr w:type="spellStart"/>
      <w:r w:rsidR="00484D80">
        <w:rPr>
          <w:color w:val="000000"/>
          <w:lang w:val="en"/>
        </w:rPr>
        <w:t>utilisation</w:t>
      </w:r>
      <w:proofErr w:type="spellEnd"/>
      <w:r w:rsidR="00484D80">
        <w:rPr>
          <w:color w:val="000000"/>
          <w:lang w:val="en"/>
        </w:rPr>
        <w:t xml:space="preserve"> of capital and </w:t>
      </w:r>
      <w:proofErr w:type="spellStart"/>
      <w:r w:rsidR="00484D80">
        <w:rPr>
          <w:color w:val="000000"/>
          <w:lang w:val="en"/>
        </w:rPr>
        <w:t>labour</w:t>
      </w:r>
      <w:proofErr w:type="spellEnd"/>
      <w:r w:rsidR="00484D80">
        <w:rPr>
          <w:color w:val="000000"/>
          <w:lang w:val="en"/>
        </w:rPr>
        <w:t xml:space="preserve"> as businesses waited for better conditions to return. </w:t>
      </w:r>
      <w:r>
        <w:rPr>
          <w:color w:val="000000"/>
          <w:lang w:val="en"/>
        </w:rPr>
        <w:t>Overall,</w:t>
      </w:r>
      <w:r w:rsidR="00484D80">
        <w:rPr>
          <w:color w:val="000000"/>
          <w:lang w:val="en"/>
        </w:rPr>
        <w:t xml:space="preserve"> </w:t>
      </w:r>
      <w:r w:rsidR="005128CD" w:rsidRPr="00A847ED">
        <w:rPr>
          <w:color w:val="000000"/>
          <w:lang w:val="en"/>
        </w:rPr>
        <w:t>the</w:t>
      </w:r>
      <w:r w:rsidR="00484D80">
        <w:rPr>
          <w:color w:val="000000"/>
          <w:lang w:val="en"/>
        </w:rPr>
        <w:t xml:space="preserve"> effect of the </w:t>
      </w:r>
      <w:proofErr w:type="spellStart"/>
      <w:r w:rsidR="00484D80">
        <w:rPr>
          <w:color w:val="000000"/>
          <w:lang w:val="en"/>
        </w:rPr>
        <w:t>GFC</w:t>
      </w:r>
      <w:proofErr w:type="spellEnd"/>
      <w:r w:rsidR="00484D80">
        <w:rPr>
          <w:color w:val="000000"/>
          <w:lang w:val="en"/>
        </w:rPr>
        <w:t xml:space="preserve"> on global </w:t>
      </w:r>
      <w:r w:rsidR="005128CD" w:rsidRPr="00A847ED">
        <w:rPr>
          <w:color w:val="000000"/>
          <w:lang w:val="en"/>
        </w:rPr>
        <w:t>productivity growth</w:t>
      </w:r>
      <w:r>
        <w:rPr>
          <w:color w:val="000000"/>
          <w:lang w:val="en"/>
        </w:rPr>
        <w:t xml:space="preserve"> is likely still playing out, and it</w:t>
      </w:r>
      <w:r w:rsidR="005128CD" w:rsidRPr="00A847ED">
        <w:rPr>
          <w:color w:val="000000"/>
          <w:lang w:val="en"/>
        </w:rPr>
        <w:t xml:space="preserve"> </w:t>
      </w:r>
      <w:r w:rsidR="00484D80">
        <w:rPr>
          <w:color w:val="000000"/>
          <w:lang w:val="en"/>
        </w:rPr>
        <w:t xml:space="preserve">remains an active area of economic research (these issues are further explored </w:t>
      </w:r>
      <w:r w:rsidR="004A1F8D">
        <w:rPr>
          <w:color w:val="000000"/>
          <w:lang w:val="en"/>
        </w:rPr>
        <w:t>below</w:t>
      </w:r>
      <w:r w:rsidR="005128CD" w:rsidRPr="00A847ED">
        <w:rPr>
          <w:color w:val="000000"/>
          <w:lang w:val="en"/>
        </w:rPr>
        <w:t>)</w:t>
      </w:r>
      <w:r w:rsidR="005128CD">
        <w:rPr>
          <w:color w:val="000000"/>
          <w:lang w:val="en"/>
        </w:rPr>
        <w:t>.</w:t>
      </w:r>
    </w:p>
    <w:p w14:paraId="1D0A6D78" w14:textId="2AAE6AB2" w:rsidR="00507D21" w:rsidRDefault="00705518" w:rsidP="009A0000">
      <w:pPr>
        <w:pStyle w:val="BodyText"/>
      </w:pPr>
      <w:r>
        <w:rPr>
          <w:color w:val="000000"/>
          <w:lang w:val="en"/>
        </w:rPr>
        <w:t>O</w:t>
      </w:r>
      <w:r w:rsidR="007556AE">
        <w:rPr>
          <w:color w:val="000000"/>
          <w:lang w:val="en"/>
        </w:rPr>
        <w:t>ver the productivity cycle from 2003</w:t>
      </w:r>
      <w:r w:rsidR="007556AE">
        <w:rPr>
          <w:color w:val="000000"/>
          <w:lang w:val="en"/>
        </w:rPr>
        <w:noBreakHyphen/>
        <w:t>04 to 2007</w:t>
      </w:r>
      <w:r w:rsidR="007556AE">
        <w:rPr>
          <w:color w:val="000000"/>
          <w:lang w:val="en"/>
        </w:rPr>
        <w:noBreakHyphen/>
        <w:t>08, measured MFP growth was, on average</w:t>
      </w:r>
      <w:r w:rsidR="00056BA3">
        <w:rPr>
          <w:color w:val="000000"/>
          <w:lang w:val="en"/>
        </w:rPr>
        <w:t>,</w:t>
      </w:r>
      <w:r w:rsidR="007556AE">
        <w:rPr>
          <w:color w:val="000000"/>
          <w:lang w:val="en"/>
        </w:rPr>
        <w:t xml:space="preserve"> zero and </w:t>
      </w:r>
      <w:r w:rsidR="009A0000">
        <w:rPr>
          <w:color w:val="000000"/>
          <w:lang w:val="en"/>
        </w:rPr>
        <w:t>the</w:t>
      </w:r>
      <w:r w:rsidR="007556AE">
        <w:rPr>
          <w:color w:val="000000"/>
          <w:lang w:val="en"/>
        </w:rPr>
        <w:t xml:space="preserve"> LP growth </w:t>
      </w:r>
      <w:r w:rsidR="009A0000">
        <w:rPr>
          <w:color w:val="000000"/>
          <w:lang w:val="en"/>
        </w:rPr>
        <w:t xml:space="preserve">that </w:t>
      </w:r>
      <w:r w:rsidR="007556AE">
        <w:rPr>
          <w:color w:val="000000"/>
          <w:lang w:val="en"/>
        </w:rPr>
        <w:t xml:space="preserve">was observed </w:t>
      </w:r>
      <w:r w:rsidR="00CF16E3">
        <w:rPr>
          <w:color w:val="000000"/>
          <w:lang w:val="en"/>
        </w:rPr>
        <w:t xml:space="preserve">in aggregate </w:t>
      </w:r>
      <w:r w:rsidR="007556AE">
        <w:rPr>
          <w:color w:val="000000"/>
          <w:lang w:val="en"/>
        </w:rPr>
        <w:t>was entirely due to capital deepening</w:t>
      </w:r>
      <w:r w:rsidR="004A1F8D">
        <w:rPr>
          <w:color w:val="000000"/>
          <w:lang w:val="en"/>
        </w:rPr>
        <w:t xml:space="preserve"> (figure </w:t>
      </w:r>
      <w:r w:rsidR="00384850">
        <w:rPr>
          <w:color w:val="000000"/>
          <w:lang w:val="en"/>
        </w:rPr>
        <w:t>4</w:t>
      </w:r>
      <w:r w:rsidR="004A1F8D">
        <w:rPr>
          <w:color w:val="000000"/>
          <w:lang w:val="en"/>
        </w:rPr>
        <w:t>)</w:t>
      </w:r>
      <w:r w:rsidR="007556AE">
        <w:rPr>
          <w:color w:val="000000"/>
          <w:lang w:val="en"/>
        </w:rPr>
        <w:t xml:space="preserve">. Recent observations are, however, somewhat more encouraging. </w:t>
      </w:r>
      <w:r w:rsidR="00B11772">
        <w:t>Since the beginning of the most recent (and incomplete) productivity cycle in 2007</w:t>
      </w:r>
      <w:r w:rsidR="00B11772">
        <w:noBreakHyphen/>
        <w:t>08, average annual LP growth</w:t>
      </w:r>
      <w:r w:rsidR="00CF16E3">
        <w:t xml:space="preserve"> for the </w:t>
      </w:r>
      <w:r>
        <w:t>12</w:t>
      </w:r>
      <w:r>
        <w:noBreakHyphen/>
        <w:t>industry</w:t>
      </w:r>
      <w:r w:rsidR="00CF16E3">
        <w:t xml:space="preserve"> market sector</w:t>
      </w:r>
      <w:r w:rsidR="00B11772">
        <w:t xml:space="preserve">, at 2.2 per cent, is close </w:t>
      </w:r>
      <w:r w:rsidR="000274C1">
        <w:t xml:space="preserve">to its </w:t>
      </w:r>
      <w:r w:rsidR="000274C1">
        <w:lastRenderedPageBreak/>
        <w:t>long</w:t>
      </w:r>
      <w:r w:rsidR="000274C1">
        <w:noBreakHyphen/>
        <w:t>term average of 2.3 per </w:t>
      </w:r>
      <w:r w:rsidR="00B11772">
        <w:t>cent a year.</w:t>
      </w:r>
      <w:r w:rsidR="00B11772" w:rsidRPr="00E6296D">
        <w:rPr>
          <w:rStyle w:val="FootnoteReference"/>
        </w:rPr>
        <w:footnoteReference w:id="4"/>
      </w:r>
      <w:r w:rsidR="00B11772">
        <w:t xml:space="preserve"> </w:t>
      </w:r>
      <w:r w:rsidR="006E1121">
        <w:t>A</w:t>
      </w:r>
      <w:r w:rsidR="007556AE">
        <w:t>ccelerating output from the mining sector explains a large</w:t>
      </w:r>
      <w:r w:rsidR="00D47863">
        <w:t xml:space="preserve"> share, reflecting the rise in the</w:t>
      </w:r>
      <w:r w:rsidR="007556AE">
        <w:t xml:space="preserve"> utilisation of m</w:t>
      </w:r>
      <w:r w:rsidR="0002527E">
        <w:t>ining capital</w:t>
      </w:r>
      <w:r w:rsidR="006E1121">
        <w:t xml:space="preserve">. As such, </w:t>
      </w:r>
      <w:r w:rsidR="0002527E">
        <w:t xml:space="preserve">average </w:t>
      </w:r>
      <w:r w:rsidR="005A45BA">
        <w:t>M</w:t>
      </w:r>
      <w:r w:rsidR="007556AE">
        <w:t>FP growth</w:t>
      </w:r>
      <w:r w:rsidR="006E1121">
        <w:t xml:space="preserve"> in the market sector</w:t>
      </w:r>
      <w:r w:rsidR="000274C1">
        <w:t xml:space="preserve"> </w:t>
      </w:r>
      <w:r w:rsidR="007556AE">
        <w:t>is currently around its long</w:t>
      </w:r>
      <w:r w:rsidR="007556AE">
        <w:noBreakHyphen/>
        <w:t>run average</w:t>
      </w:r>
      <w:r w:rsidR="00696650">
        <w:t xml:space="preserve"> (t</w:t>
      </w:r>
      <w:r w:rsidR="00E8348D">
        <w:t xml:space="preserve">able 1). </w:t>
      </w:r>
    </w:p>
    <w:p w14:paraId="08F71A41" w14:textId="77777777" w:rsidR="004D7C85" w:rsidRDefault="004D7C85" w:rsidP="004D7C85">
      <w:pPr>
        <w:pStyle w:val="BoxSpaceAbove"/>
      </w:pPr>
    </w:p>
    <w:tbl>
      <w:tblPr>
        <w:tblW w:w="4843" w:type="pct"/>
        <w:tblInd w:w="142"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8"/>
      </w:tblGrid>
      <w:tr w:rsidR="00507D21" w14:paraId="1D0A6D7B" w14:textId="77777777" w:rsidTr="001C1A91">
        <w:tc>
          <w:tcPr>
            <w:tcW w:w="5000" w:type="pct"/>
            <w:tcBorders>
              <w:top w:val="single" w:sz="6" w:space="0" w:color="78A22F"/>
              <w:left w:val="nil"/>
              <w:bottom w:val="nil"/>
              <w:right w:val="nil"/>
            </w:tcBorders>
            <w:shd w:val="clear" w:color="auto" w:fill="auto"/>
          </w:tcPr>
          <w:p w14:paraId="1D0A6D79" w14:textId="77777777" w:rsidR="00507D21" w:rsidRDefault="00507D21" w:rsidP="00963F7E">
            <w:pPr>
              <w:pStyle w:val="TableTitle"/>
            </w:pPr>
            <w:r>
              <w:rPr>
                <w:b w:val="0"/>
              </w:rPr>
              <w:t xml:space="preserve">Table </w:t>
            </w:r>
            <w:r>
              <w:rPr>
                <w:b w:val="0"/>
                <w:noProof/>
              </w:rPr>
              <w:t>1</w:t>
            </w:r>
            <w:r>
              <w:tab/>
              <w:t>S</w:t>
            </w:r>
            <w:r w:rsidR="00F0486C">
              <w:t xml:space="preserve">ummary productivity </w:t>
            </w:r>
            <w:proofErr w:type="spellStart"/>
            <w:r w:rsidR="00F0486C">
              <w:t>statistics</w:t>
            </w:r>
            <w:r>
              <w:rPr>
                <w:vertAlign w:val="superscript"/>
              </w:rPr>
              <w:t>a,b</w:t>
            </w:r>
            <w:r w:rsidR="004D293D">
              <w:rPr>
                <w:vertAlign w:val="superscript"/>
              </w:rPr>
              <w:t>,c</w:t>
            </w:r>
            <w:proofErr w:type="spellEnd"/>
          </w:p>
          <w:p w14:paraId="1D0A6D7A" w14:textId="77777777" w:rsidR="00507D21" w:rsidRPr="00784A05" w:rsidRDefault="00F0486C" w:rsidP="00963F7E">
            <w:pPr>
              <w:pStyle w:val="Subtitle"/>
            </w:pPr>
            <w:r>
              <w:t>12</w:t>
            </w:r>
            <w:r>
              <w:noBreakHyphen/>
              <w:t>industry market sector</w:t>
            </w:r>
          </w:p>
        </w:tc>
      </w:tr>
      <w:tr w:rsidR="00507D21" w14:paraId="1D0A6DBD" w14:textId="77777777" w:rsidTr="001C1A91">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733"/>
              <w:gridCol w:w="1728"/>
              <w:gridCol w:w="1754"/>
              <w:gridCol w:w="1646"/>
              <w:gridCol w:w="1643"/>
            </w:tblGrid>
            <w:tr w:rsidR="006E1121" w14:paraId="1D0A6D81" w14:textId="77777777" w:rsidTr="007A5A4A">
              <w:trPr>
                <w:tblHeader/>
              </w:trPr>
              <w:tc>
                <w:tcPr>
                  <w:tcW w:w="1019" w:type="pct"/>
                  <w:vMerge w:val="restart"/>
                  <w:tcBorders>
                    <w:top w:val="single" w:sz="6" w:space="0" w:color="BFBFBF"/>
                  </w:tcBorders>
                  <w:shd w:val="clear" w:color="auto" w:fill="auto"/>
                  <w:tcMar>
                    <w:top w:w="28" w:type="dxa"/>
                  </w:tcMar>
                </w:tcPr>
                <w:p w14:paraId="1D0A6D7C" w14:textId="77777777" w:rsidR="006E1121" w:rsidRDefault="006E1121" w:rsidP="00963F7E">
                  <w:pPr>
                    <w:pStyle w:val="TableColumnHeading"/>
                    <w:jc w:val="left"/>
                  </w:pPr>
                </w:p>
              </w:tc>
              <w:tc>
                <w:tcPr>
                  <w:tcW w:w="1016" w:type="pct"/>
                  <w:tcBorders>
                    <w:top w:val="single" w:sz="6" w:space="0" w:color="BFBFBF"/>
                    <w:bottom w:val="single" w:sz="6" w:space="0" w:color="BFBFBF"/>
                  </w:tcBorders>
                </w:tcPr>
                <w:p w14:paraId="1D0A6D7D" w14:textId="7510FD60" w:rsidR="006E1121" w:rsidRDefault="00392986" w:rsidP="00963F7E">
                  <w:pPr>
                    <w:pStyle w:val="TableColumnHeading"/>
                  </w:pPr>
                  <w:r>
                    <w:t>Long</w:t>
                  </w:r>
                  <w:r>
                    <w:noBreakHyphen/>
                  </w:r>
                  <w:r w:rsidR="006E1121">
                    <w:t>term growth rate</w:t>
                  </w:r>
                </w:p>
              </w:tc>
              <w:tc>
                <w:tcPr>
                  <w:tcW w:w="1031" w:type="pct"/>
                  <w:tcBorders>
                    <w:top w:val="single" w:sz="6" w:space="0" w:color="BFBFBF"/>
                    <w:bottom w:val="single" w:sz="6" w:space="0" w:color="BFBFBF"/>
                  </w:tcBorders>
                  <w:shd w:val="clear" w:color="auto" w:fill="auto"/>
                  <w:tcMar>
                    <w:top w:w="28" w:type="dxa"/>
                  </w:tcMar>
                </w:tcPr>
                <w:p w14:paraId="1D0A6D7E" w14:textId="77777777" w:rsidR="006E1121" w:rsidRDefault="006E1121" w:rsidP="00963F7E">
                  <w:pPr>
                    <w:pStyle w:val="TableColumnHeading"/>
                  </w:pPr>
                  <w:r>
                    <w:t>Last complete cycle</w:t>
                  </w:r>
                </w:p>
              </w:tc>
              <w:tc>
                <w:tcPr>
                  <w:tcW w:w="968" w:type="pct"/>
                  <w:tcBorders>
                    <w:top w:val="single" w:sz="6" w:space="0" w:color="BFBFBF"/>
                    <w:bottom w:val="single" w:sz="6" w:space="0" w:color="BFBFBF"/>
                  </w:tcBorders>
                  <w:shd w:val="clear" w:color="auto" w:fill="auto"/>
                  <w:tcMar>
                    <w:top w:w="28" w:type="dxa"/>
                  </w:tcMar>
                </w:tcPr>
                <w:p w14:paraId="1D0A6D7F" w14:textId="77777777" w:rsidR="006E1121" w:rsidRDefault="006E1121" w:rsidP="00963F7E">
                  <w:pPr>
                    <w:pStyle w:val="TableColumnHeading"/>
                    <w:ind w:right="28"/>
                  </w:pPr>
                  <w:r>
                    <w:t>Period since last cycle</w:t>
                  </w:r>
                </w:p>
              </w:tc>
              <w:tc>
                <w:tcPr>
                  <w:tcW w:w="966" w:type="pct"/>
                  <w:tcBorders>
                    <w:top w:val="single" w:sz="6" w:space="0" w:color="BFBFBF"/>
                    <w:bottom w:val="single" w:sz="6" w:space="0" w:color="BFBFBF"/>
                  </w:tcBorders>
                </w:tcPr>
                <w:p w14:paraId="1D0A6D80" w14:textId="77777777" w:rsidR="006E1121" w:rsidRPr="0002527E" w:rsidRDefault="006E1121" w:rsidP="00963F7E">
                  <w:pPr>
                    <w:pStyle w:val="TableColumnHeading"/>
                    <w:ind w:right="28"/>
                  </w:pPr>
                  <w:r w:rsidRPr="0002527E">
                    <w:t>Last five years</w:t>
                  </w:r>
                </w:p>
              </w:tc>
            </w:tr>
            <w:tr w:rsidR="006E1121" w14:paraId="1D0A6D8B" w14:textId="77777777" w:rsidTr="007A5A4A">
              <w:trPr>
                <w:tblHeader/>
              </w:trPr>
              <w:tc>
                <w:tcPr>
                  <w:tcW w:w="1019" w:type="pct"/>
                  <w:vMerge/>
                  <w:tcBorders>
                    <w:bottom w:val="single" w:sz="6" w:space="0" w:color="BFBFBF"/>
                  </w:tcBorders>
                  <w:shd w:val="clear" w:color="auto" w:fill="auto"/>
                  <w:tcMar>
                    <w:top w:w="28" w:type="dxa"/>
                  </w:tcMar>
                </w:tcPr>
                <w:p w14:paraId="1D0A6D82" w14:textId="77777777" w:rsidR="006E1121" w:rsidRDefault="006E1121" w:rsidP="00963F7E">
                  <w:pPr>
                    <w:pStyle w:val="TableColumnHeading"/>
                    <w:jc w:val="left"/>
                  </w:pPr>
                </w:p>
              </w:tc>
              <w:tc>
                <w:tcPr>
                  <w:tcW w:w="1016" w:type="pct"/>
                  <w:tcBorders>
                    <w:top w:val="single" w:sz="6" w:space="0" w:color="BFBFBF"/>
                    <w:bottom w:val="single" w:sz="6" w:space="0" w:color="BFBFBF"/>
                  </w:tcBorders>
                </w:tcPr>
                <w:p w14:paraId="1D0A6D83" w14:textId="1A3C5CB2" w:rsidR="007A5A4A" w:rsidRDefault="006E1121" w:rsidP="00963F7E">
                  <w:pPr>
                    <w:pStyle w:val="TableColumnHeading"/>
                  </w:pPr>
                  <w:r>
                    <w:t>1973</w:t>
                  </w:r>
                  <w:r w:rsidR="00EE434A">
                    <w:noBreakHyphen/>
                  </w:r>
                  <w:r>
                    <w:t xml:space="preserve">74 to </w:t>
                  </w:r>
                </w:p>
                <w:p w14:paraId="1D0A6D84" w14:textId="74ED3F99" w:rsidR="006E1121" w:rsidRDefault="006E1121" w:rsidP="00963F7E">
                  <w:pPr>
                    <w:pStyle w:val="TableColumnHeading"/>
                  </w:pPr>
                  <w:r>
                    <w:t>2015</w:t>
                  </w:r>
                  <w:r w:rsidR="00EE434A">
                    <w:noBreakHyphen/>
                  </w:r>
                  <w:r>
                    <w:t>16</w:t>
                  </w:r>
                </w:p>
              </w:tc>
              <w:tc>
                <w:tcPr>
                  <w:tcW w:w="1031" w:type="pct"/>
                  <w:tcBorders>
                    <w:top w:val="single" w:sz="6" w:space="0" w:color="BFBFBF"/>
                    <w:bottom w:val="single" w:sz="6" w:space="0" w:color="BFBFBF"/>
                  </w:tcBorders>
                  <w:shd w:val="clear" w:color="auto" w:fill="auto"/>
                  <w:tcMar>
                    <w:top w:w="28" w:type="dxa"/>
                  </w:tcMar>
                </w:tcPr>
                <w:p w14:paraId="1D0A6D85" w14:textId="22D4E6D0" w:rsidR="007A5A4A" w:rsidRDefault="006E1121" w:rsidP="00963F7E">
                  <w:pPr>
                    <w:pStyle w:val="TableColumnHeading"/>
                  </w:pPr>
                  <w:r w:rsidRPr="004D293D">
                    <w:t>2003</w:t>
                  </w:r>
                  <w:r w:rsidR="00EE434A">
                    <w:noBreakHyphen/>
                  </w:r>
                  <w:r w:rsidRPr="004D293D">
                    <w:t xml:space="preserve">04 to </w:t>
                  </w:r>
                </w:p>
                <w:p w14:paraId="1D0A6D86" w14:textId="7006B338" w:rsidR="006E1121" w:rsidRDefault="006E1121" w:rsidP="00963F7E">
                  <w:pPr>
                    <w:pStyle w:val="TableColumnHeading"/>
                  </w:pPr>
                  <w:r w:rsidRPr="004D293D">
                    <w:t>2007</w:t>
                  </w:r>
                  <w:r w:rsidR="00EE434A">
                    <w:noBreakHyphen/>
                  </w:r>
                  <w:r w:rsidRPr="004D293D">
                    <w:t>08</w:t>
                  </w:r>
                </w:p>
              </w:tc>
              <w:tc>
                <w:tcPr>
                  <w:tcW w:w="968" w:type="pct"/>
                  <w:tcBorders>
                    <w:top w:val="single" w:sz="6" w:space="0" w:color="BFBFBF"/>
                    <w:bottom w:val="single" w:sz="6" w:space="0" w:color="BFBFBF"/>
                  </w:tcBorders>
                  <w:shd w:val="clear" w:color="auto" w:fill="auto"/>
                  <w:tcMar>
                    <w:top w:w="28" w:type="dxa"/>
                  </w:tcMar>
                </w:tcPr>
                <w:p w14:paraId="1D0A6D87" w14:textId="7313829E" w:rsidR="007A5A4A" w:rsidRDefault="006E1121" w:rsidP="007A5A4A">
                  <w:pPr>
                    <w:pStyle w:val="TableColumnHeading"/>
                  </w:pPr>
                  <w:r>
                    <w:t>2007</w:t>
                  </w:r>
                  <w:r w:rsidR="00EE434A">
                    <w:noBreakHyphen/>
                  </w:r>
                  <w:r>
                    <w:t xml:space="preserve">08 to </w:t>
                  </w:r>
                </w:p>
                <w:p w14:paraId="1D0A6D88" w14:textId="481A5CB1" w:rsidR="006E1121" w:rsidRDefault="006E1121" w:rsidP="007A5A4A">
                  <w:pPr>
                    <w:pStyle w:val="TableColumnHeading"/>
                  </w:pPr>
                  <w:r>
                    <w:t>2015</w:t>
                  </w:r>
                  <w:r w:rsidR="00EE434A">
                    <w:noBreakHyphen/>
                  </w:r>
                  <w:r>
                    <w:t>16^</w:t>
                  </w:r>
                </w:p>
              </w:tc>
              <w:tc>
                <w:tcPr>
                  <w:tcW w:w="966" w:type="pct"/>
                  <w:tcBorders>
                    <w:top w:val="single" w:sz="6" w:space="0" w:color="BFBFBF"/>
                    <w:bottom w:val="single" w:sz="6" w:space="0" w:color="BFBFBF"/>
                  </w:tcBorders>
                </w:tcPr>
                <w:p w14:paraId="1D0A6D89" w14:textId="230F9668" w:rsidR="007A5A4A" w:rsidRDefault="006E1121" w:rsidP="007A5A4A">
                  <w:pPr>
                    <w:pStyle w:val="TableColumnHeading"/>
                  </w:pPr>
                  <w:r w:rsidRPr="0002527E">
                    <w:t>2010</w:t>
                  </w:r>
                  <w:r w:rsidR="00EE434A">
                    <w:noBreakHyphen/>
                  </w:r>
                  <w:r w:rsidRPr="0002527E">
                    <w:t xml:space="preserve">11 to </w:t>
                  </w:r>
                </w:p>
                <w:p w14:paraId="1D0A6D8A" w14:textId="3D2E0F2B" w:rsidR="006E1121" w:rsidRPr="0002527E" w:rsidRDefault="006E1121" w:rsidP="007A5A4A">
                  <w:pPr>
                    <w:pStyle w:val="TableColumnHeading"/>
                  </w:pPr>
                  <w:r w:rsidRPr="0002527E">
                    <w:t>2015</w:t>
                  </w:r>
                  <w:r w:rsidR="00EE434A">
                    <w:noBreakHyphen/>
                  </w:r>
                  <w:r w:rsidRPr="0002527E">
                    <w:t>16</w:t>
                  </w:r>
                </w:p>
              </w:tc>
            </w:tr>
            <w:tr w:rsidR="006E1121" w14:paraId="1D0A6D91" w14:textId="77777777" w:rsidTr="007A5A4A">
              <w:tc>
                <w:tcPr>
                  <w:tcW w:w="1019" w:type="pct"/>
                  <w:tcBorders>
                    <w:top w:val="single" w:sz="6" w:space="0" w:color="BFBFBF"/>
                  </w:tcBorders>
                </w:tcPr>
                <w:p w14:paraId="1D0A6D8C" w14:textId="77777777" w:rsidR="006E1121" w:rsidRDefault="006E1121" w:rsidP="006E1121">
                  <w:pPr>
                    <w:pStyle w:val="TableUnitsRow"/>
                    <w:jc w:val="left"/>
                  </w:pPr>
                  <w:r>
                    <w:t>Output (</w:t>
                  </w:r>
                  <w:proofErr w:type="spellStart"/>
                  <w:r>
                    <w:t>GVA</w:t>
                  </w:r>
                  <w:proofErr w:type="spellEnd"/>
                  <w:r>
                    <w:t>)</w:t>
                  </w:r>
                </w:p>
              </w:tc>
              <w:tc>
                <w:tcPr>
                  <w:tcW w:w="1016" w:type="pct"/>
                  <w:tcBorders>
                    <w:top w:val="nil"/>
                    <w:left w:val="nil"/>
                    <w:bottom w:val="nil"/>
                    <w:right w:val="nil"/>
                  </w:tcBorders>
                  <w:shd w:val="clear" w:color="auto" w:fill="auto"/>
                  <w:vAlign w:val="bottom"/>
                </w:tcPr>
                <w:p w14:paraId="1D0A6D8D" w14:textId="77777777" w:rsidR="006E1121" w:rsidRPr="004D293D" w:rsidRDefault="006E1121" w:rsidP="006E1121">
                  <w:pPr>
                    <w:pStyle w:val="TableUnitsRow"/>
                  </w:pPr>
                  <w:r w:rsidRPr="004D293D">
                    <w:rPr>
                      <w:rFonts w:cs="Arial"/>
                      <w:szCs w:val="16"/>
                    </w:rPr>
                    <w:t>3.0</w:t>
                  </w:r>
                </w:p>
              </w:tc>
              <w:tc>
                <w:tcPr>
                  <w:tcW w:w="1031" w:type="pct"/>
                  <w:tcBorders>
                    <w:top w:val="nil"/>
                    <w:left w:val="nil"/>
                    <w:bottom w:val="nil"/>
                    <w:right w:val="nil"/>
                  </w:tcBorders>
                  <w:shd w:val="clear" w:color="auto" w:fill="auto"/>
                  <w:vAlign w:val="bottom"/>
                </w:tcPr>
                <w:p w14:paraId="1D0A6D8E" w14:textId="77777777" w:rsidR="006E1121" w:rsidRPr="004D293D" w:rsidRDefault="006E1121" w:rsidP="006E1121">
                  <w:pPr>
                    <w:pStyle w:val="TableUnitsRow"/>
                  </w:pPr>
                  <w:r w:rsidRPr="004D293D">
                    <w:rPr>
                      <w:rFonts w:cs="Arial"/>
                      <w:szCs w:val="16"/>
                    </w:rPr>
                    <w:t>4.0</w:t>
                  </w:r>
                </w:p>
              </w:tc>
              <w:tc>
                <w:tcPr>
                  <w:tcW w:w="968" w:type="pct"/>
                  <w:tcBorders>
                    <w:top w:val="nil"/>
                    <w:left w:val="nil"/>
                    <w:bottom w:val="nil"/>
                    <w:right w:val="nil"/>
                  </w:tcBorders>
                  <w:shd w:val="clear" w:color="auto" w:fill="auto"/>
                  <w:vAlign w:val="bottom"/>
                </w:tcPr>
                <w:p w14:paraId="1D0A6D8F" w14:textId="77777777" w:rsidR="006E1121" w:rsidRPr="004D293D" w:rsidRDefault="006E1121" w:rsidP="006E1121">
                  <w:pPr>
                    <w:pStyle w:val="TableUnitsRow"/>
                    <w:ind w:right="28"/>
                  </w:pPr>
                  <w:r w:rsidRPr="004D293D">
                    <w:rPr>
                      <w:rFonts w:cs="Arial"/>
                      <w:szCs w:val="16"/>
                    </w:rPr>
                    <w:t>2.4</w:t>
                  </w:r>
                </w:p>
              </w:tc>
              <w:tc>
                <w:tcPr>
                  <w:tcW w:w="966" w:type="pct"/>
                  <w:tcBorders>
                    <w:top w:val="nil"/>
                    <w:left w:val="nil"/>
                    <w:bottom w:val="nil"/>
                    <w:right w:val="nil"/>
                  </w:tcBorders>
                  <w:shd w:val="clear" w:color="auto" w:fill="auto"/>
                  <w:vAlign w:val="bottom"/>
                </w:tcPr>
                <w:p w14:paraId="1D0A6D90" w14:textId="77777777" w:rsidR="006E1121" w:rsidRPr="0002527E" w:rsidRDefault="006E1121" w:rsidP="006E1121">
                  <w:pPr>
                    <w:pStyle w:val="TableUnitsRow"/>
                    <w:ind w:right="28"/>
                    <w:rPr>
                      <w:rFonts w:cs="Arial"/>
                      <w:szCs w:val="16"/>
                    </w:rPr>
                  </w:pPr>
                  <w:r w:rsidRPr="0002527E">
                    <w:rPr>
                      <w:rFonts w:cs="Arial"/>
                      <w:szCs w:val="16"/>
                    </w:rPr>
                    <w:t>2.9</w:t>
                  </w:r>
                </w:p>
              </w:tc>
            </w:tr>
            <w:tr w:rsidR="006E1121" w14:paraId="1D0A6D97" w14:textId="77777777" w:rsidTr="007A5A4A">
              <w:tc>
                <w:tcPr>
                  <w:tcW w:w="1019" w:type="pct"/>
                </w:tcPr>
                <w:p w14:paraId="1D0A6D92" w14:textId="77777777" w:rsidR="006E1121" w:rsidRDefault="006E1121" w:rsidP="006E1121">
                  <w:pPr>
                    <w:pStyle w:val="TableBodyText"/>
                    <w:jc w:val="left"/>
                  </w:pPr>
                  <w:r>
                    <w:t>Total inputs</w:t>
                  </w:r>
                </w:p>
              </w:tc>
              <w:tc>
                <w:tcPr>
                  <w:tcW w:w="1016" w:type="pct"/>
                  <w:tcBorders>
                    <w:top w:val="nil"/>
                    <w:left w:val="nil"/>
                    <w:bottom w:val="nil"/>
                    <w:right w:val="nil"/>
                  </w:tcBorders>
                  <w:shd w:val="clear" w:color="auto" w:fill="auto"/>
                  <w:vAlign w:val="bottom"/>
                </w:tcPr>
                <w:p w14:paraId="1D0A6D93" w14:textId="77777777" w:rsidR="006E1121" w:rsidRPr="004D293D" w:rsidRDefault="006E1121" w:rsidP="006E1121">
                  <w:pPr>
                    <w:pStyle w:val="TableBodyText"/>
                  </w:pPr>
                  <w:r w:rsidRPr="004D293D">
                    <w:rPr>
                      <w:rFonts w:cs="Arial"/>
                      <w:szCs w:val="16"/>
                    </w:rPr>
                    <w:t>2.2</w:t>
                  </w:r>
                </w:p>
              </w:tc>
              <w:tc>
                <w:tcPr>
                  <w:tcW w:w="1031" w:type="pct"/>
                  <w:tcBorders>
                    <w:top w:val="nil"/>
                    <w:left w:val="nil"/>
                    <w:bottom w:val="nil"/>
                    <w:right w:val="nil"/>
                  </w:tcBorders>
                  <w:shd w:val="clear" w:color="auto" w:fill="auto"/>
                  <w:vAlign w:val="bottom"/>
                </w:tcPr>
                <w:p w14:paraId="1D0A6D94" w14:textId="77777777" w:rsidR="006E1121" w:rsidRPr="004D293D" w:rsidRDefault="006E1121" w:rsidP="006E1121">
                  <w:pPr>
                    <w:pStyle w:val="TableBodyText"/>
                  </w:pPr>
                  <w:r w:rsidRPr="004D293D">
                    <w:rPr>
                      <w:rFonts w:cs="Arial"/>
                      <w:szCs w:val="16"/>
                    </w:rPr>
                    <w:t>4.0</w:t>
                  </w:r>
                </w:p>
              </w:tc>
              <w:tc>
                <w:tcPr>
                  <w:tcW w:w="968" w:type="pct"/>
                  <w:tcBorders>
                    <w:top w:val="nil"/>
                    <w:left w:val="nil"/>
                    <w:bottom w:val="nil"/>
                    <w:right w:val="nil"/>
                  </w:tcBorders>
                  <w:shd w:val="clear" w:color="auto" w:fill="auto"/>
                  <w:vAlign w:val="bottom"/>
                </w:tcPr>
                <w:p w14:paraId="1D0A6D95" w14:textId="77777777" w:rsidR="006E1121" w:rsidRPr="004D293D" w:rsidRDefault="006E1121" w:rsidP="006E1121">
                  <w:pPr>
                    <w:pStyle w:val="TableBodyText"/>
                    <w:ind w:right="28"/>
                  </w:pPr>
                  <w:r w:rsidRPr="004D293D">
                    <w:rPr>
                      <w:rFonts w:cs="Arial"/>
                      <w:szCs w:val="16"/>
                    </w:rPr>
                    <w:t>2.2</w:t>
                  </w:r>
                </w:p>
              </w:tc>
              <w:tc>
                <w:tcPr>
                  <w:tcW w:w="966" w:type="pct"/>
                  <w:tcBorders>
                    <w:top w:val="nil"/>
                    <w:left w:val="nil"/>
                    <w:bottom w:val="nil"/>
                    <w:right w:val="nil"/>
                  </w:tcBorders>
                  <w:shd w:val="clear" w:color="auto" w:fill="auto"/>
                  <w:vAlign w:val="bottom"/>
                </w:tcPr>
                <w:p w14:paraId="1D0A6D96" w14:textId="77777777" w:rsidR="006E1121" w:rsidRPr="0002527E" w:rsidRDefault="006E1121" w:rsidP="006E1121">
                  <w:pPr>
                    <w:pStyle w:val="TableBodyText"/>
                    <w:ind w:right="28"/>
                    <w:rPr>
                      <w:rFonts w:cs="Arial"/>
                      <w:szCs w:val="16"/>
                    </w:rPr>
                  </w:pPr>
                  <w:r w:rsidRPr="0002527E">
                    <w:rPr>
                      <w:rFonts w:cs="Arial"/>
                      <w:bCs/>
                      <w:szCs w:val="16"/>
                    </w:rPr>
                    <w:t>2.1</w:t>
                  </w:r>
                </w:p>
              </w:tc>
            </w:tr>
            <w:tr w:rsidR="006E1121" w14:paraId="1D0A6D9D" w14:textId="77777777" w:rsidTr="007A5A4A">
              <w:tc>
                <w:tcPr>
                  <w:tcW w:w="1019" w:type="pct"/>
                </w:tcPr>
                <w:p w14:paraId="1D0A6D98" w14:textId="77777777" w:rsidR="006E1121" w:rsidRDefault="006E1121" w:rsidP="006E1121">
                  <w:pPr>
                    <w:pStyle w:val="TableBodyText"/>
                    <w:jc w:val="left"/>
                  </w:pPr>
                  <w:r>
                    <w:t>Labour input</w:t>
                  </w:r>
                </w:p>
              </w:tc>
              <w:tc>
                <w:tcPr>
                  <w:tcW w:w="1016" w:type="pct"/>
                  <w:tcBorders>
                    <w:top w:val="nil"/>
                    <w:left w:val="nil"/>
                    <w:bottom w:val="nil"/>
                    <w:right w:val="nil"/>
                  </w:tcBorders>
                  <w:shd w:val="clear" w:color="auto" w:fill="auto"/>
                  <w:vAlign w:val="bottom"/>
                </w:tcPr>
                <w:p w14:paraId="1D0A6D99" w14:textId="77777777" w:rsidR="006E1121" w:rsidRPr="004D293D" w:rsidRDefault="006E1121" w:rsidP="006E1121">
                  <w:pPr>
                    <w:pStyle w:val="TableBodyText"/>
                  </w:pPr>
                  <w:r w:rsidRPr="004D293D">
                    <w:rPr>
                      <w:rFonts w:cs="Arial"/>
                      <w:szCs w:val="16"/>
                    </w:rPr>
                    <w:t>0.8</w:t>
                  </w:r>
                </w:p>
              </w:tc>
              <w:tc>
                <w:tcPr>
                  <w:tcW w:w="1031" w:type="pct"/>
                  <w:tcBorders>
                    <w:top w:val="nil"/>
                    <w:left w:val="nil"/>
                    <w:bottom w:val="nil"/>
                    <w:right w:val="nil"/>
                  </w:tcBorders>
                  <w:shd w:val="clear" w:color="auto" w:fill="auto"/>
                  <w:vAlign w:val="bottom"/>
                </w:tcPr>
                <w:p w14:paraId="1D0A6D9A" w14:textId="77777777" w:rsidR="006E1121" w:rsidRPr="004D293D" w:rsidRDefault="006E1121" w:rsidP="006E1121">
                  <w:pPr>
                    <w:pStyle w:val="TableBodyText"/>
                  </w:pPr>
                  <w:r w:rsidRPr="004D293D">
                    <w:rPr>
                      <w:rFonts w:cs="Arial"/>
                      <w:szCs w:val="16"/>
                    </w:rPr>
                    <w:t>2.4</w:t>
                  </w:r>
                </w:p>
              </w:tc>
              <w:tc>
                <w:tcPr>
                  <w:tcW w:w="968" w:type="pct"/>
                  <w:tcBorders>
                    <w:top w:val="nil"/>
                    <w:left w:val="nil"/>
                    <w:bottom w:val="nil"/>
                    <w:right w:val="nil"/>
                  </w:tcBorders>
                  <w:shd w:val="clear" w:color="auto" w:fill="auto"/>
                  <w:vAlign w:val="bottom"/>
                </w:tcPr>
                <w:p w14:paraId="1D0A6D9B" w14:textId="77777777" w:rsidR="006E1121" w:rsidRPr="004D293D" w:rsidRDefault="006E1121" w:rsidP="006E1121">
                  <w:pPr>
                    <w:pStyle w:val="TableBodyText"/>
                    <w:ind w:right="28"/>
                  </w:pPr>
                  <w:r w:rsidRPr="004D293D">
                    <w:rPr>
                      <w:rFonts w:cs="Arial"/>
                      <w:szCs w:val="16"/>
                    </w:rPr>
                    <w:t>0.2</w:t>
                  </w:r>
                </w:p>
              </w:tc>
              <w:tc>
                <w:tcPr>
                  <w:tcW w:w="966" w:type="pct"/>
                  <w:tcBorders>
                    <w:top w:val="nil"/>
                    <w:left w:val="nil"/>
                    <w:bottom w:val="nil"/>
                    <w:right w:val="nil"/>
                  </w:tcBorders>
                  <w:shd w:val="clear" w:color="auto" w:fill="auto"/>
                  <w:vAlign w:val="bottom"/>
                </w:tcPr>
                <w:p w14:paraId="1D0A6D9C" w14:textId="77777777" w:rsidR="006E1121" w:rsidRPr="0002527E" w:rsidRDefault="006E1121" w:rsidP="006E1121">
                  <w:pPr>
                    <w:pStyle w:val="TableBodyText"/>
                    <w:ind w:right="28"/>
                    <w:rPr>
                      <w:rFonts w:cs="Arial"/>
                      <w:szCs w:val="16"/>
                    </w:rPr>
                  </w:pPr>
                  <w:r w:rsidRPr="0002527E">
                    <w:rPr>
                      <w:rFonts w:cs="Arial"/>
                      <w:szCs w:val="16"/>
                    </w:rPr>
                    <w:t>0.1</w:t>
                  </w:r>
                </w:p>
              </w:tc>
            </w:tr>
            <w:tr w:rsidR="006E1121" w14:paraId="1D0A6DA3" w14:textId="77777777" w:rsidTr="007A5A4A">
              <w:tc>
                <w:tcPr>
                  <w:tcW w:w="1019" w:type="pct"/>
                </w:tcPr>
                <w:p w14:paraId="1D0A6D9E" w14:textId="77777777" w:rsidR="006E1121" w:rsidRDefault="006E1121" w:rsidP="006E1121">
                  <w:pPr>
                    <w:pStyle w:val="TableBodyText"/>
                    <w:jc w:val="left"/>
                  </w:pPr>
                  <w:r>
                    <w:t>Capital input</w:t>
                  </w:r>
                </w:p>
              </w:tc>
              <w:tc>
                <w:tcPr>
                  <w:tcW w:w="1016" w:type="pct"/>
                  <w:tcBorders>
                    <w:top w:val="nil"/>
                    <w:left w:val="nil"/>
                    <w:bottom w:val="nil"/>
                    <w:right w:val="nil"/>
                  </w:tcBorders>
                  <w:shd w:val="clear" w:color="auto" w:fill="auto"/>
                  <w:vAlign w:val="bottom"/>
                </w:tcPr>
                <w:p w14:paraId="1D0A6D9F" w14:textId="77777777" w:rsidR="006E1121" w:rsidRPr="004D293D" w:rsidRDefault="006E1121" w:rsidP="006E1121">
                  <w:pPr>
                    <w:pStyle w:val="TableBodyText"/>
                  </w:pPr>
                  <w:r w:rsidRPr="004D293D">
                    <w:rPr>
                      <w:rFonts w:cs="Arial"/>
                      <w:szCs w:val="16"/>
                    </w:rPr>
                    <w:t>4.2</w:t>
                  </w:r>
                </w:p>
              </w:tc>
              <w:tc>
                <w:tcPr>
                  <w:tcW w:w="1031" w:type="pct"/>
                  <w:tcBorders>
                    <w:top w:val="nil"/>
                    <w:left w:val="nil"/>
                    <w:bottom w:val="nil"/>
                    <w:right w:val="nil"/>
                  </w:tcBorders>
                  <w:shd w:val="clear" w:color="auto" w:fill="auto"/>
                  <w:vAlign w:val="bottom"/>
                </w:tcPr>
                <w:p w14:paraId="1D0A6DA0" w14:textId="77777777" w:rsidR="006E1121" w:rsidRPr="004D293D" w:rsidRDefault="006E1121" w:rsidP="006E1121">
                  <w:pPr>
                    <w:pStyle w:val="TableBodyText"/>
                  </w:pPr>
                  <w:r w:rsidRPr="004D293D">
                    <w:rPr>
                      <w:rFonts w:cs="Arial"/>
                      <w:szCs w:val="16"/>
                    </w:rPr>
                    <w:t>5.8</w:t>
                  </w:r>
                </w:p>
              </w:tc>
              <w:tc>
                <w:tcPr>
                  <w:tcW w:w="968" w:type="pct"/>
                  <w:tcBorders>
                    <w:top w:val="nil"/>
                    <w:left w:val="nil"/>
                    <w:bottom w:val="nil"/>
                    <w:right w:val="nil"/>
                  </w:tcBorders>
                  <w:shd w:val="clear" w:color="auto" w:fill="auto"/>
                  <w:vAlign w:val="bottom"/>
                </w:tcPr>
                <w:p w14:paraId="1D0A6DA1" w14:textId="77777777" w:rsidR="006E1121" w:rsidRPr="004D293D" w:rsidRDefault="006E1121" w:rsidP="006E1121">
                  <w:pPr>
                    <w:pStyle w:val="TableBodyText"/>
                    <w:ind w:right="28"/>
                  </w:pPr>
                  <w:r w:rsidRPr="004D293D">
                    <w:rPr>
                      <w:rFonts w:cs="Arial"/>
                      <w:szCs w:val="16"/>
                    </w:rPr>
                    <w:t>4.3</w:t>
                  </w:r>
                </w:p>
              </w:tc>
              <w:tc>
                <w:tcPr>
                  <w:tcW w:w="966" w:type="pct"/>
                  <w:tcBorders>
                    <w:top w:val="nil"/>
                    <w:left w:val="nil"/>
                    <w:bottom w:val="nil"/>
                    <w:right w:val="nil"/>
                  </w:tcBorders>
                  <w:shd w:val="clear" w:color="auto" w:fill="auto"/>
                  <w:vAlign w:val="bottom"/>
                </w:tcPr>
                <w:p w14:paraId="1D0A6DA2" w14:textId="77777777" w:rsidR="006E1121" w:rsidRPr="0002527E" w:rsidRDefault="006E1121" w:rsidP="006E1121">
                  <w:pPr>
                    <w:pStyle w:val="TableBodyText"/>
                    <w:ind w:right="28"/>
                    <w:rPr>
                      <w:rFonts w:cs="Arial"/>
                      <w:szCs w:val="16"/>
                    </w:rPr>
                  </w:pPr>
                  <w:r w:rsidRPr="0002527E">
                    <w:rPr>
                      <w:rFonts w:cs="Arial"/>
                      <w:szCs w:val="16"/>
                    </w:rPr>
                    <w:t>4.3</w:t>
                  </w:r>
                </w:p>
              </w:tc>
            </w:tr>
            <w:tr w:rsidR="006E1121" w14:paraId="1D0A6DA9" w14:textId="77777777" w:rsidTr="007A5A4A">
              <w:tc>
                <w:tcPr>
                  <w:tcW w:w="1019" w:type="pct"/>
                </w:tcPr>
                <w:p w14:paraId="1D0A6DA4" w14:textId="77777777" w:rsidR="006E1121" w:rsidRDefault="006E1121" w:rsidP="006E1121">
                  <w:pPr>
                    <w:pStyle w:val="TableBodyText"/>
                    <w:jc w:val="left"/>
                  </w:pPr>
                  <w:r>
                    <w:t>Labour productivity</w:t>
                  </w:r>
                </w:p>
              </w:tc>
              <w:tc>
                <w:tcPr>
                  <w:tcW w:w="1016" w:type="pct"/>
                  <w:tcBorders>
                    <w:top w:val="nil"/>
                    <w:left w:val="nil"/>
                    <w:bottom w:val="nil"/>
                    <w:right w:val="nil"/>
                  </w:tcBorders>
                  <w:shd w:val="clear" w:color="auto" w:fill="auto"/>
                  <w:vAlign w:val="bottom"/>
                </w:tcPr>
                <w:p w14:paraId="1D0A6DA5" w14:textId="77777777" w:rsidR="006E1121" w:rsidRPr="004D293D" w:rsidRDefault="006E1121" w:rsidP="006E1121">
                  <w:pPr>
                    <w:pStyle w:val="TableBodyText"/>
                  </w:pPr>
                  <w:r w:rsidRPr="004D293D">
                    <w:rPr>
                      <w:rFonts w:cs="Arial"/>
                      <w:szCs w:val="16"/>
                    </w:rPr>
                    <w:t>2.3</w:t>
                  </w:r>
                </w:p>
              </w:tc>
              <w:tc>
                <w:tcPr>
                  <w:tcW w:w="1031" w:type="pct"/>
                  <w:tcBorders>
                    <w:top w:val="nil"/>
                    <w:left w:val="nil"/>
                    <w:bottom w:val="nil"/>
                    <w:right w:val="nil"/>
                  </w:tcBorders>
                  <w:shd w:val="clear" w:color="auto" w:fill="auto"/>
                  <w:vAlign w:val="bottom"/>
                </w:tcPr>
                <w:p w14:paraId="1D0A6DA6" w14:textId="77777777" w:rsidR="006E1121" w:rsidRPr="004D293D" w:rsidRDefault="006E1121" w:rsidP="006E1121">
                  <w:pPr>
                    <w:pStyle w:val="TableBodyText"/>
                  </w:pPr>
                  <w:r w:rsidRPr="004D293D">
                    <w:rPr>
                      <w:rFonts w:cs="Arial"/>
                      <w:szCs w:val="16"/>
                    </w:rPr>
                    <w:t>1.6</w:t>
                  </w:r>
                </w:p>
              </w:tc>
              <w:tc>
                <w:tcPr>
                  <w:tcW w:w="968" w:type="pct"/>
                  <w:tcBorders>
                    <w:top w:val="nil"/>
                    <w:left w:val="nil"/>
                    <w:bottom w:val="nil"/>
                    <w:right w:val="nil"/>
                  </w:tcBorders>
                  <w:shd w:val="clear" w:color="auto" w:fill="auto"/>
                  <w:vAlign w:val="bottom"/>
                </w:tcPr>
                <w:p w14:paraId="1D0A6DA7" w14:textId="77777777" w:rsidR="006E1121" w:rsidRPr="004D293D" w:rsidRDefault="006E1121" w:rsidP="006E1121">
                  <w:pPr>
                    <w:pStyle w:val="TableBodyText"/>
                    <w:ind w:right="28"/>
                  </w:pPr>
                  <w:r w:rsidRPr="004D293D">
                    <w:rPr>
                      <w:rFonts w:cs="Arial"/>
                      <w:szCs w:val="16"/>
                    </w:rPr>
                    <w:t>2.2</w:t>
                  </w:r>
                </w:p>
              </w:tc>
              <w:tc>
                <w:tcPr>
                  <w:tcW w:w="966" w:type="pct"/>
                  <w:tcBorders>
                    <w:top w:val="nil"/>
                    <w:left w:val="nil"/>
                    <w:bottom w:val="nil"/>
                    <w:right w:val="nil"/>
                  </w:tcBorders>
                  <w:shd w:val="clear" w:color="auto" w:fill="auto"/>
                  <w:vAlign w:val="bottom"/>
                </w:tcPr>
                <w:p w14:paraId="1D0A6DA8" w14:textId="77777777" w:rsidR="006E1121" w:rsidRPr="0002527E" w:rsidRDefault="006E1121" w:rsidP="006E1121">
                  <w:pPr>
                    <w:pStyle w:val="TableBodyText"/>
                    <w:ind w:right="28"/>
                    <w:rPr>
                      <w:rFonts w:cs="Arial"/>
                      <w:szCs w:val="16"/>
                    </w:rPr>
                  </w:pPr>
                  <w:r w:rsidRPr="0002527E">
                    <w:rPr>
                      <w:rFonts w:cs="Arial"/>
                      <w:szCs w:val="16"/>
                    </w:rPr>
                    <w:t>2.8</w:t>
                  </w:r>
                </w:p>
              </w:tc>
            </w:tr>
            <w:tr w:rsidR="006E1121" w14:paraId="1D0A6DAF" w14:textId="77777777" w:rsidTr="007A5A4A">
              <w:tc>
                <w:tcPr>
                  <w:tcW w:w="1019" w:type="pct"/>
                </w:tcPr>
                <w:p w14:paraId="1D0A6DAA" w14:textId="77777777" w:rsidR="006E1121" w:rsidRDefault="006E1121" w:rsidP="006E1121">
                  <w:pPr>
                    <w:pStyle w:val="TableBodyText"/>
                    <w:jc w:val="left"/>
                  </w:pPr>
                  <w:r>
                    <w:t>Capital deepening</w:t>
                  </w:r>
                </w:p>
              </w:tc>
              <w:tc>
                <w:tcPr>
                  <w:tcW w:w="1016" w:type="pct"/>
                  <w:tcBorders>
                    <w:top w:val="nil"/>
                    <w:left w:val="nil"/>
                    <w:bottom w:val="nil"/>
                    <w:right w:val="nil"/>
                  </w:tcBorders>
                  <w:shd w:val="clear" w:color="auto" w:fill="auto"/>
                  <w:vAlign w:val="bottom"/>
                </w:tcPr>
                <w:p w14:paraId="1D0A6DAB" w14:textId="77777777" w:rsidR="006E1121" w:rsidRPr="004D293D" w:rsidRDefault="006E1121" w:rsidP="006E1121">
                  <w:pPr>
                    <w:pStyle w:val="TableBodyText"/>
                  </w:pPr>
                  <w:r w:rsidRPr="004D293D">
                    <w:rPr>
                      <w:rFonts w:cs="Arial"/>
                      <w:szCs w:val="16"/>
                    </w:rPr>
                    <w:t>1.5</w:t>
                  </w:r>
                </w:p>
              </w:tc>
              <w:tc>
                <w:tcPr>
                  <w:tcW w:w="1031" w:type="pct"/>
                  <w:tcBorders>
                    <w:top w:val="nil"/>
                    <w:left w:val="nil"/>
                    <w:bottom w:val="nil"/>
                    <w:right w:val="nil"/>
                  </w:tcBorders>
                  <w:shd w:val="clear" w:color="auto" w:fill="auto"/>
                  <w:vAlign w:val="bottom"/>
                </w:tcPr>
                <w:p w14:paraId="1D0A6DAC" w14:textId="77777777" w:rsidR="006E1121" w:rsidRPr="004D293D" w:rsidRDefault="006E1121" w:rsidP="006E1121">
                  <w:pPr>
                    <w:pStyle w:val="TableBodyText"/>
                  </w:pPr>
                  <w:r w:rsidRPr="004D293D">
                    <w:rPr>
                      <w:rFonts w:cs="Arial"/>
                      <w:szCs w:val="16"/>
                    </w:rPr>
                    <w:t>1.6</w:t>
                  </w:r>
                </w:p>
              </w:tc>
              <w:tc>
                <w:tcPr>
                  <w:tcW w:w="968" w:type="pct"/>
                  <w:tcBorders>
                    <w:top w:val="nil"/>
                    <w:left w:val="nil"/>
                    <w:bottom w:val="nil"/>
                    <w:right w:val="nil"/>
                  </w:tcBorders>
                  <w:shd w:val="clear" w:color="auto" w:fill="auto"/>
                  <w:vAlign w:val="bottom"/>
                </w:tcPr>
                <w:p w14:paraId="1D0A6DAD" w14:textId="77777777" w:rsidR="006E1121" w:rsidRPr="004D293D" w:rsidRDefault="006E1121" w:rsidP="006E1121">
                  <w:pPr>
                    <w:pStyle w:val="TableBodyText"/>
                    <w:ind w:right="28"/>
                  </w:pPr>
                  <w:r w:rsidRPr="004D293D">
                    <w:rPr>
                      <w:rFonts w:cs="Arial"/>
                      <w:szCs w:val="16"/>
                    </w:rPr>
                    <w:t>2.0</w:t>
                  </w:r>
                </w:p>
              </w:tc>
              <w:tc>
                <w:tcPr>
                  <w:tcW w:w="966" w:type="pct"/>
                  <w:tcBorders>
                    <w:top w:val="nil"/>
                    <w:left w:val="nil"/>
                    <w:bottom w:val="nil"/>
                    <w:right w:val="nil"/>
                  </w:tcBorders>
                  <w:shd w:val="clear" w:color="auto" w:fill="auto"/>
                  <w:vAlign w:val="bottom"/>
                </w:tcPr>
                <w:p w14:paraId="1D0A6DAE" w14:textId="77777777" w:rsidR="006E1121" w:rsidRPr="0002527E" w:rsidRDefault="006E1121" w:rsidP="006E1121">
                  <w:pPr>
                    <w:pStyle w:val="TableBodyText"/>
                    <w:ind w:right="28"/>
                    <w:rPr>
                      <w:rFonts w:cs="Arial"/>
                      <w:szCs w:val="16"/>
                    </w:rPr>
                  </w:pPr>
                  <w:r w:rsidRPr="0002527E">
                    <w:rPr>
                      <w:rFonts w:cs="Arial"/>
                      <w:szCs w:val="16"/>
                    </w:rPr>
                    <w:t>2.0</w:t>
                  </w:r>
                </w:p>
              </w:tc>
            </w:tr>
            <w:tr w:rsidR="006E1121" w14:paraId="1D0A6DB5" w14:textId="77777777" w:rsidTr="00A02E1D">
              <w:tc>
                <w:tcPr>
                  <w:tcW w:w="1019" w:type="pct"/>
                </w:tcPr>
                <w:p w14:paraId="1D0A6DB0" w14:textId="77777777" w:rsidR="006E1121" w:rsidRDefault="006E1121" w:rsidP="006E1121">
                  <w:pPr>
                    <w:pStyle w:val="TableBodyText"/>
                    <w:jc w:val="left"/>
                  </w:pPr>
                  <w:r>
                    <w:t>Multifactor productivity</w:t>
                  </w:r>
                </w:p>
              </w:tc>
              <w:tc>
                <w:tcPr>
                  <w:tcW w:w="1016" w:type="pct"/>
                  <w:tcBorders>
                    <w:top w:val="nil"/>
                    <w:left w:val="nil"/>
                    <w:right w:val="nil"/>
                  </w:tcBorders>
                  <w:shd w:val="clear" w:color="auto" w:fill="auto"/>
                  <w:vAlign w:val="bottom"/>
                </w:tcPr>
                <w:p w14:paraId="1D0A6DB1" w14:textId="77777777" w:rsidR="006E1121" w:rsidRPr="004D293D" w:rsidRDefault="006E1121" w:rsidP="006E1121">
                  <w:pPr>
                    <w:pStyle w:val="TableBodyText"/>
                  </w:pPr>
                  <w:r w:rsidRPr="004D293D">
                    <w:rPr>
                      <w:rFonts w:cs="Arial"/>
                      <w:szCs w:val="16"/>
                    </w:rPr>
                    <w:t>0.8</w:t>
                  </w:r>
                </w:p>
              </w:tc>
              <w:tc>
                <w:tcPr>
                  <w:tcW w:w="1031" w:type="pct"/>
                  <w:tcBorders>
                    <w:top w:val="nil"/>
                    <w:left w:val="nil"/>
                    <w:right w:val="nil"/>
                  </w:tcBorders>
                  <w:shd w:val="clear" w:color="auto" w:fill="auto"/>
                  <w:vAlign w:val="bottom"/>
                </w:tcPr>
                <w:p w14:paraId="1D0A6DB2" w14:textId="77777777" w:rsidR="006E1121" w:rsidRPr="004D293D" w:rsidRDefault="006E1121" w:rsidP="006E1121">
                  <w:pPr>
                    <w:pStyle w:val="TableBodyText"/>
                  </w:pPr>
                  <w:r w:rsidRPr="004D293D">
                    <w:rPr>
                      <w:rFonts w:cs="Arial"/>
                      <w:szCs w:val="16"/>
                    </w:rPr>
                    <w:t>0.0</w:t>
                  </w:r>
                </w:p>
              </w:tc>
              <w:tc>
                <w:tcPr>
                  <w:tcW w:w="968" w:type="pct"/>
                  <w:tcBorders>
                    <w:top w:val="nil"/>
                    <w:left w:val="nil"/>
                    <w:right w:val="nil"/>
                  </w:tcBorders>
                  <w:shd w:val="clear" w:color="auto" w:fill="auto"/>
                  <w:vAlign w:val="bottom"/>
                </w:tcPr>
                <w:p w14:paraId="1D0A6DB3" w14:textId="77777777" w:rsidR="006E1121" w:rsidRPr="004D293D" w:rsidRDefault="006E1121" w:rsidP="006E1121">
                  <w:pPr>
                    <w:pStyle w:val="TableBodyText"/>
                    <w:ind w:right="28"/>
                  </w:pPr>
                  <w:r w:rsidRPr="004D293D">
                    <w:rPr>
                      <w:rFonts w:cs="Arial"/>
                      <w:szCs w:val="16"/>
                    </w:rPr>
                    <w:t>0.2</w:t>
                  </w:r>
                </w:p>
              </w:tc>
              <w:tc>
                <w:tcPr>
                  <w:tcW w:w="966" w:type="pct"/>
                  <w:tcBorders>
                    <w:top w:val="nil"/>
                    <w:left w:val="nil"/>
                    <w:right w:val="nil"/>
                  </w:tcBorders>
                  <w:shd w:val="clear" w:color="auto" w:fill="auto"/>
                  <w:vAlign w:val="bottom"/>
                </w:tcPr>
                <w:p w14:paraId="1D0A6DB4" w14:textId="77777777" w:rsidR="006E1121" w:rsidRPr="0002527E" w:rsidRDefault="006E1121" w:rsidP="006E1121">
                  <w:pPr>
                    <w:pStyle w:val="TableBodyText"/>
                    <w:ind w:right="28"/>
                    <w:rPr>
                      <w:rFonts w:cs="Arial"/>
                      <w:szCs w:val="16"/>
                    </w:rPr>
                  </w:pPr>
                  <w:r w:rsidRPr="0002527E">
                    <w:rPr>
                      <w:rFonts w:cs="Arial"/>
                      <w:szCs w:val="16"/>
                    </w:rPr>
                    <w:t>0.8</w:t>
                  </w:r>
                </w:p>
              </w:tc>
            </w:tr>
            <w:tr w:rsidR="006E1121" w14:paraId="1D0A6DBB" w14:textId="77777777" w:rsidTr="00A02E1D">
              <w:tc>
                <w:tcPr>
                  <w:tcW w:w="1019" w:type="pct"/>
                  <w:tcBorders>
                    <w:bottom w:val="single" w:sz="4" w:space="0" w:color="BFBFBF" w:themeColor="background2"/>
                  </w:tcBorders>
                  <w:shd w:val="clear" w:color="auto" w:fill="auto"/>
                </w:tcPr>
                <w:p w14:paraId="1D0A6DB6" w14:textId="77777777" w:rsidR="006E1121" w:rsidRDefault="006E1121" w:rsidP="006E1121">
                  <w:pPr>
                    <w:pStyle w:val="TableBodyText"/>
                    <w:jc w:val="left"/>
                  </w:pPr>
                  <w:r>
                    <w:t>Capital</w:t>
                  </w:r>
                  <w:r>
                    <w:noBreakHyphen/>
                    <w:t>labour ratio</w:t>
                  </w:r>
                </w:p>
              </w:tc>
              <w:tc>
                <w:tcPr>
                  <w:tcW w:w="1016" w:type="pct"/>
                  <w:tcBorders>
                    <w:top w:val="nil"/>
                    <w:left w:val="nil"/>
                    <w:bottom w:val="single" w:sz="4" w:space="0" w:color="BFBFBF" w:themeColor="background2"/>
                    <w:right w:val="nil"/>
                  </w:tcBorders>
                  <w:shd w:val="clear" w:color="auto" w:fill="auto"/>
                  <w:vAlign w:val="bottom"/>
                </w:tcPr>
                <w:p w14:paraId="1D0A6DB7" w14:textId="77777777" w:rsidR="006E1121" w:rsidRPr="004D293D" w:rsidRDefault="006E1121" w:rsidP="006E1121">
                  <w:pPr>
                    <w:pStyle w:val="TableBodyText"/>
                  </w:pPr>
                  <w:r w:rsidRPr="004D293D">
                    <w:rPr>
                      <w:rFonts w:cs="Arial"/>
                      <w:szCs w:val="16"/>
                    </w:rPr>
                    <w:t>3.5</w:t>
                  </w:r>
                </w:p>
              </w:tc>
              <w:tc>
                <w:tcPr>
                  <w:tcW w:w="1031" w:type="pct"/>
                  <w:tcBorders>
                    <w:top w:val="nil"/>
                    <w:left w:val="nil"/>
                    <w:bottom w:val="single" w:sz="4" w:space="0" w:color="BFBFBF" w:themeColor="background2"/>
                    <w:right w:val="nil"/>
                  </w:tcBorders>
                  <w:shd w:val="clear" w:color="auto" w:fill="auto"/>
                  <w:vAlign w:val="bottom"/>
                </w:tcPr>
                <w:p w14:paraId="1D0A6DB8" w14:textId="77777777" w:rsidR="006E1121" w:rsidRPr="004D293D" w:rsidRDefault="006E1121" w:rsidP="006E1121">
                  <w:pPr>
                    <w:pStyle w:val="TableBodyText"/>
                  </w:pPr>
                  <w:r w:rsidRPr="004D293D">
                    <w:rPr>
                      <w:rFonts w:cs="Arial"/>
                      <w:szCs w:val="16"/>
                    </w:rPr>
                    <w:t>3.4</w:t>
                  </w:r>
                </w:p>
              </w:tc>
              <w:tc>
                <w:tcPr>
                  <w:tcW w:w="968" w:type="pct"/>
                  <w:tcBorders>
                    <w:top w:val="nil"/>
                    <w:left w:val="nil"/>
                    <w:bottom w:val="single" w:sz="4" w:space="0" w:color="BFBFBF" w:themeColor="background2"/>
                    <w:right w:val="nil"/>
                  </w:tcBorders>
                  <w:shd w:val="clear" w:color="auto" w:fill="auto"/>
                  <w:vAlign w:val="bottom"/>
                </w:tcPr>
                <w:p w14:paraId="1D0A6DB9" w14:textId="77777777" w:rsidR="006E1121" w:rsidRPr="004D293D" w:rsidRDefault="006E1121" w:rsidP="006E1121">
                  <w:pPr>
                    <w:pStyle w:val="TableBodyText"/>
                    <w:ind w:right="28"/>
                  </w:pPr>
                  <w:r w:rsidRPr="004D293D">
                    <w:rPr>
                      <w:rFonts w:cs="Arial"/>
                      <w:szCs w:val="16"/>
                    </w:rPr>
                    <w:t>4.1</w:t>
                  </w:r>
                </w:p>
              </w:tc>
              <w:tc>
                <w:tcPr>
                  <w:tcW w:w="966" w:type="pct"/>
                  <w:tcBorders>
                    <w:top w:val="nil"/>
                    <w:left w:val="nil"/>
                    <w:bottom w:val="single" w:sz="4" w:space="0" w:color="BFBFBF" w:themeColor="background2"/>
                    <w:right w:val="nil"/>
                  </w:tcBorders>
                  <w:shd w:val="clear" w:color="auto" w:fill="auto"/>
                  <w:vAlign w:val="bottom"/>
                </w:tcPr>
                <w:p w14:paraId="1D0A6DBA" w14:textId="77777777" w:rsidR="006E1121" w:rsidRPr="0002527E" w:rsidRDefault="006E1121" w:rsidP="006E1121">
                  <w:pPr>
                    <w:pStyle w:val="TableBodyText"/>
                    <w:ind w:right="28"/>
                    <w:rPr>
                      <w:rFonts w:cs="Arial"/>
                      <w:szCs w:val="16"/>
                    </w:rPr>
                  </w:pPr>
                  <w:r w:rsidRPr="0002527E">
                    <w:rPr>
                      <w:rFonts w:cs="Arial"/>
                      <w:szCs w:val="16"/>
                    </w:rPr>
                    <w:t>4.1</w:t>
                  </w:r>
                </w:p>
              </w:tc>
            </w:tr>
          </w:tbl>
          <w:p w14:paraId="1D0A6DBC" w14:textId="77777777" w:rsidR="00507D21" w:rsidRDefault="00507D21" w:rsidP="00963F7E">
            <w:pPr>
              <w:pStyle w:val="Box"/>
            </w:pPr>
          </w:p>
        </w:tc>
      </w:tr>
      <w:tr w:rsidR="00507D21" w14:paraId="1D0A6DBF" w14:textId="77777777" w:rsidTr="001C1A91">
        <w:tc>
          <w:tcPr>
            <w:tcW w:w="5000" w:type="pct"/>
            <w:tcBorders>
              <w:top w:val="nil"/>
              <w:left w:val="nil"/>
              <w:bottom w:val="nil"/>
              <w:right w:val="nil"/>
            </w:tcBorders>
            <w:shd w:val="clear" w:color="auto" w:fill="auto"/>
          </w:tcPr>
          <w:p w14:paraId="1D0A6DBE" w14:textId="2AA35212" w:rsidR="00507D21" w:rsidRDefault="00507D21" w:rsidP="002C2B51">
            <w:pPr>
              <w:pStyle w:val="Note"/>
              <w:rPr>
                <w:i/>
              </w:rPr>
            </w:pPr>
            <w:proofErr w:type="spellStart"/>
            <w:r w:rsidRPr="008E77FE">
              <w:rPr>
                <w:rStyle w:val="NoteLabel"/>
              </w:rPr>
              <w:t>a</w:t>
            </w:r>
            <w:proofErr w:type="spellEnd"/>
            <w:r>
              <w:t xml:space="preserve"> </w:t>
            </w:r>
            <w:r w:rsidR="004D293D">
              <w:t xml:space="preserve">Annual growth rates or average annual growth rates in designated periods. Cycles refer to productivity cycles. </w:t>
            </w:r>
            <w:r w:rsidR="004D293D">
              <w:rPr>
                <w:rStyle w:val="NoteLabel"/>
              </w:rPr>
              <w:t>b</w:t>
            </w:r>
            <w:r w:rsidR="004D293D">
              <w:t xml:space="preserve"> Includes Divisions A to K and R. Excludes Divisions L Rental, hiring and real estate services; M Professional, scientific and technical services; N Administration and support services; and S Other services. These four service sectors are excluded from the analysis due to </w:t>
            </w:r>
            <w:r w:rsidR="002C2B51">
              <w:t>their shorter available time span</w:t>
            </w:r>
            <w:r w:rsidR="004D293D">
              <w:t>. Also the 12</w:t>
            </w:r>
            <w:r w:rsidR="00EE434A">
              <w:noBreakHyphen/>
            </w:r>
            <w:r w:rsidR="004D293D">
              <w:t>industry market sector has a longer time</w:t>
            </w:r>
            <w:r w:rsidR="00EE434A">
              <w:noBreakHyphen/>
            </w:r>
            <w:r w:rsidR="004D293D">
              <w:t xml:space="preserve">series. </w:t>
            </w:r>
            <w:r w:rsidR="004D293D">
              <w:rPr>
                <w:rStyle w:val="NoteLabel"/>
              </w:rPr>
              <w:t>c</w:t>
            </w:r>
            <w:r w:rsidR="004D293D">
              <w:t xml:space="preserve"> Capital deepening is the change in the ratio of capital to labour, weighted by the capital share of market sector income. Labour productivity growth equals the sum of the growths of MFP and capital deepening.</w:t>
            </w:r>
            <w:r w:rsidR="007A5A4A">
              <w:t xml:space="preserve"> ^ This cycle is incomplete and may be subject to changes in capacity utilisation.</w:t>
            </w:r>
          </w:p>
        </w:tc>
      </w:tr>
      <w:tr w:rsidR="00507D21" w14:paraId="1D0A6DC1" w14:textId="77777777" w:rsidTr="001C1A91">
        <w:tc>
          <w:tcPr>
            <w:tcW w:w="5000" w:type="pct"/>
            <w:tcBorders>
              <w:top w:val="nil"/>
              <w:left w:val="nil"/>
              <w:bottom w:val="nil"/>
              <w:right w:val="nil"/>
            </w:tcBorders>
            <w:shd w:val="clear" w:color="auto" w:fill="auto"/>
          </w:tcPr>
          <w:p w14:paraId="1D0A6DC0" w14:textId="6FDBC580" w:rsidR="00507D21" w:rsidRDefault="00EE72B2" w:rsidP="00EE72B2">
            <w:pPr>
              <w:pStyle w:val="Source"/>
            </w:pPr>
            <w:r>
              <w:rPr>
                <w:i/>
              </w:rPr>
              <w:t>Source</w:t>
            </w:r>
            <w:r>
              <w:t>:</w:t>
            </w:r>
            <w:r w:rsidR="004D293D">
              <w:t xml:space="preserve"> ABS</w:t>
            </w:r>
            <w:r>
              <w:t xml:space="preserve"> </w:t>
            </w:r>
            <w:r w:rsidR="00AD0CC1" w:rsidRPr="00AD0CC1">
              <w:rPr>
                <w:rFonts w:cs="Arial"/>
              </w:rPr>
              <w:t>(</w:t>
            </w:r>
            <w:proofErr w:type="spellStart"/>
            <w:r w:rsidR="00AD0CC1" w:rsidRPr="00AD0CC1">
              <w:rPr>
                <w:rFonts w:cs="Arial"/>
              </w:rPr>
              <w:t>2016d</w:t>
            </w:r>
            <w:proofErr w:type="spellEnd"/>
            <w:r w:rsidR="00AD0CC1" w:rsidRPr="00AD0CC1">
              <w:rPr>
                <w:rFonts w:cs="Arial"/>
              </w:rPr>
              <w:t>)</w:t>
            </w:r>
            <w:r w:rsidR="004D293D">
              <w:t xml:space="preserve"> </w:t>
            </w:r>
            <w:r w:rsidR="004D293D" w:rsidRPr="00F40EBA">
              <w:rPr>
                <w:i/>
              </w:rPr>
              <w:t>Estimates of Industry Multifactor Productivity</w:t>
            </w:r>
            <w:r w:rsidR="004D293D">
              <w:t>, 2015</w:t>
            </w:r>
            <w:r w:rsidR="00EE434A">
              <w:noBreakHyphen/>
            </w:r>
            <w:r w:rsidR="004D293D">
              <w:t>16, Cat. n</w:t>
            </w:r>
            <w:r w:rsidR="00BC3774">
              <w:t>o. 5260.0.55.002, December 2016</w:t>
            </w:r>
            <w:r>
              <w:t>, and Productivity Commission estimates</w:t>
            </w:r>
            <w:r w:rsidR="004D293D">
              <w:t>.</w:t>
            </w:r>
          </w:p>
        </w:tc>
      </w:tr>
      <w:tr w:rsidR="00507D21" w14:paraId="1D0A6DC3" w14:textId="77777777" w:rsidTr="001C1A91">
        <w:tc>
          <w:tcPr>
            <w:tcW w:w="5000" w:type="pct"/>
            <w:tcBorders>
              <w:top w:val="nil"/>
              <w:left w:val="nil"/>
              <w:bottom w:val="single" w:sz="6" w:space="0" w:color="78A22F"/>
              <w:right w:val="nil"/>
            </w:tcBorders>
            <w:shd w:val="clear" w:color="auto" w:fill="auto"/>
          </w:tcPr>
          <w:p w14:paraId="1D0A6DC2" w14:textId="77777777" w:rsidR="00507D21" w:rsidRDefault="00507D21" w:rsidP="00963F7E">
            <w:pPr>
              <w:pStyle w:val="Box"/>
              <w:spacing w:before="0" w:line="120" w:lineRule="exact"/>
            </w:pPr>
          </w:p>
        </w:tc>
      </w:tr>
      <w:tr w:rsidR="00507D21" w:rsidRPr="000863A5" w14:paraId="1D0A6DC5" w14:textId="77777777" w:rsidTr="001C1A91">
        <w:tc>
          <w:tcPr>
            <w:tcW w:w="5000" w:type="pct"/>
            <w:tcBorders>
              <w:top w:val="single" w:sz="6" w:space="0" w:color="78A22F"/>
              <w:left w:val="nil"/>
              <w:bottom w:val="nil"/>
              <w:right w:val="nil"/>
            </w:tcBorders>
          </w:tcPr>
          <w:p w14:paraId="1D0A6DC4" w14:textId="77777777" w:rsidR="00507D21" w:rsidRPr="00626D32" w:rsidRDefault="00507D21" w:rsidP="00963F7E">
            <w:pPr>
              <w:pStyle w:val="BoxSpaceBelow"/>
            </w:pPr>
          </w:p>
        </w:tc>
      </w:tr>
    </w:tbl>
    <w:p w14:paraId="1D0A6DC6" w14:textId="77777777" w:rsidR="003A1B3E" w:rsidRDefault="005A45BA" w:rsidP="00B11772">
      <w:pPr>
        <w:pStyle w:val="BodyText"/>
      </w:pPr>
      <w:r>
        <w:t xml:space="preserve">LP </w:t>
      </w:r>
      <w:r w:rsidR="000321C0">
        <w:t xml:space="preserve">growth </w:t>
      </w:r>
      <w:r>
        <w:t xml:space="preserve">has </w:t>
      </w:r>
      <w:r w:rsidR="006C7189">
        <w:t xml:space="preserve">recently </w:t>
      </w:r>
      <w:r>
        <w:t xml:space="preserve">been supported by MFP growth across </w:t>
      </w:r>
      <w:r w:rsidR="006542BD">
        <w:t xml:space="preserve">most </w:t>
      </w:r>
      <w:r>
        <w:t xml:space="preserve">industries, with </w:t>
      </w:r>
      <w:r w:rsidR="006542BD">
        <w:t>9</w:t>
      </w:r>
      <w:r w:rsidR="00395F7C">
        <w:t xml:space="preserve"> of the 16</w:t>
      </w:r>
      <w:r>
        <w:t xml:space="preserve"> industries for which MFP is reliably measured experiencing positive average MFP growth </w:t>
      </w:r>
      <w:r w:rsidR="0002527E">
        <w:t xml:space="preserve">over the period </w:t>
      </w:r>
      <w:r w:rsidR="0002527E" w:rsidRPr="000321C0">
        <w:rPr>
          <w:i/>
        </w:rPr>
        <w:t>since</w:t>
      </w:r>
      <w:r w:rsidR="0002527E">
        <w:t xml:space="preserve"> the most recent aggregate productivity cycle</w:t>
      </w:r>
      <w:r>
        <w:t xml:space="preserve"> </w:t>
      </w:r>
      <w:r w:rsidR="0002527E">
        <w:t>(i.e. 2007</w:t>
      </w:r>
      <w:r w:rsidR="0002527E">
        <w:noBreakHyphen/>
        <w:t xml:space="preserve">08 to </w:t>
      </w:r>
      <w:r>
        <w:t>2015</w:t>
      </w:r>
      <w:r>
        <w:noBreakHyphen/>
        <w:t>16</w:t>
      </w:r>
      <w:r w:rsidR="0002527E">
        <w:t xml:space="preserve">, </w:t>
      </w:r>
      <w:r w:rsidR="00696650">
        <w:t>table </w:t>
      </w:r>
      <w:r w:rsidR="0002527E">
        <w:t>2</w:t>
      </w:r>
      <w:r w:rsidR="00696650">
        <w:t>)</w:t>
      </w:r>
      <w:r>
        <w:t>.</w:t>
      </w:r>
      <w:r w:rsidR="006E1121">
        <w:t xml:space="preserve"> </w:t>
      </w:r>
      <w:r w:rsidR="006C7189">
        <w:t xml:space="preserve">This contrasts with the previously broad based nature of the productivity slowdown. </w:t>
      </w:r>
      <w:r w:rsidR="00490528">
        <w:t>S</w:t>
      </w:r>
      <w:r w:rsidR="006E1121">
        <w:t xml:space="preserve">trong </w:t>
      </w:r>
      <w:r w:rsidR="00490528">
        <w:t>growth</w:t>
      </w:r>
      <w:r w:rsidR="006E1121">
        <w:t xml:space="preserve"> </w:t>
      </w:r>
      <w:r w:rsidR="00490528">
        <w:t>has</w:t>
      </w:r>
      <w:r w:rsidR="006E1121" w:rsidRPr="00490528">
        <w:t xml:space="preserve"> been </w:t>
      </w:r>
      <w:r w:rsidR="00490528">
        <w:t>seen in</w:t>
      </w:r>
      <w:r w:rsidR="006E1121" w:rsidRPr="00490528">
        <w:t xml:space="preserve"> </w:t>
      </w:r>
      <w:r w:rsidR="00490528">
        <w:t>agriculture,</w:t>
      </w:r>
      <w:r w:rsidR="00A354F6" w:rsidRPr="00490528">
        <w:t xml:space="preserve"> rental, hiring and real estate services, financial services, and wholesale trade industries</w:t>
      </w:r>
      <w:r w:rsidR="006C7189" w:rsidRPr="00490528">
        <w:t xml:space="preserve">, while </w:t>
      </w:r>
      <w:r w:rsidR="00490528" w:rsidRPr="00490528">
        <w:t>improvements</w:t>
      </w:r>
      <w:r w:rsidR="006C7189" w:rsidRPr="00490528">
        <w:t xml:space="preserve"> are </w:t>
      </w:r>
      <w:r w:rsidR="00490528">
        <w:t xml:space="preserve">further </w:t>
      </w:r>
      <w:r w:rsidR="006C7189" w:rsidRPr="00490528">
        <w:t>expected in mining</w:t>
      </w:r>
      <w:r w:rsidR="00FD4C74">
        <w:t xml:space="preserve"> (discussed in the next section)</w:t>
      </w:r>
      <w:r w:rsidR="006C7189" w:rsidRPr="00490528">
        <w:t>.</w:t>
      </w:r>
      <w:r w:rsidR="006C7189">
        <w:t xml:space="preserve"> </w:t>
      </w:r>
    </w:p>
    <w:p w14:paraId="1D0A6DC7" w14:textId="77777777" w:rsidR="00DA1ECB" w:rsidRDefault="00DA1ECB" w:rsidP="00B11772">
      <w:pPr>
        <w:pStyle w:val="BodyText"/>
      </w:pPr>
      <w:r>
        <w:t xml:space="preserve">A number of industries have made strong contributions to productivity growth in the market sector on average in recent years. Financial services and construction (both large sectors of the economy) have seen growth in inputs outpaced by growth in gross value </w:t>
      </w:r>
      <w:r>
        <w:lastRenderedPageBreak/>
        <w:t>added, partly reflecting the response of housing lending and construction to lower interest rates. Other services sector industries, including transportation and administrative services, have generally seen lacklustre productivity growth recently, which reflects strong input growth in both labour hours and capital services relative to gross value added.</w:t>
      </w:r>
    </w:p>
    <w:p w14:paraId="1D0A6DC8" w14:textId="77777777" w:rsidR="00395F7C" w:rsidRDefault="00395F7C" w:rsidP="00963F7E">
      <w:pPr>
        <w:pStyle w:val="BoxSpaceAbove"/>
      </w:pPr>
    </w:p>
    <w:tbl>
      <w:tblPr>
        <w:tblW w:w="4843" w:type="pct"/>
        <w:tblInd w:w="142"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Description w:val="Table used for design: contains a nested table with data/information."/>
      </w:tblPr>
      <w:tblGrid>
        <w:gridCol w:w="8788"/>
      </w:tblGrid>
      <w:tr w:rsidR="00395F7C" w14:paraId="1D0A6DCB" w14:textId="77777777" w:rsidTr="00900637">
        <w:tc>
          <w:tcPr>
            <w:tcW w:w="5000" w:type="pct"/>
            <w:tcBorders>
              <w:top w:val="single" w:sz="6" w:space="0" w:color="78A22F"/>
              <w:left w:val="nil"/>
              <w:bottom w:val="nil"/>
              <w:right w:val="nil"/>
            </w:tcBorders>
            <w:shd w:val="clear" w:color="auto" w:fill="auto"/>
          </w:tcPr>
          <w:p w14:paraId="1D0A6DC9" w14:textId="22C23FDA" w:rsidR="00395F7C" w:rsidRDefault="00395F7C" w:rsidP="00963F7E">
            <w:pPr>
              <w:pStyle w:val="TableTitle"/>
            </w:pPr>
            <w:r>
              <w:rPr>
                <w:b w:val="0"/>
              </w:rPr>
              <w:t xml:space="preserve">Table </w:t>
            </w:r>
            <w:r>
              <w:rPr>
                <w:b w:val="0"/>
                <w:noProof/>
              </w:rPr>
              <w:t>2</w:t>
            </w:r>
            <w:r>
              <w:tab/>
            </w:r>
            <w:r w:rsidR="00392986">
              <w:t>Recent versus long</w:t>
            </w:r>
            <w:r w:rsidR="00392986">
              <w:noBreakHyphen/>
            </w:r>
            <w:r w:rsidR="00773856">
              <w:t xml:space="preserve">term productivity growth by </w:t>
            </w:r>
            <w:proofErr w:type="spellStart"/>
            <w:r w:rsidR="00773856">
              <w:t>industry</w:t>
            </w:r>
            <w:r w:rsidR="00EA2EAD">
              <w:rPr>
                <w:vertAlign w:val="superscript"/>
              </w:rPr>
              <w:t>a,b</w:t>
            </w:r>
            <w:r w:rsidR="00103CB9">
              <w:rPr>
                <w:vertAlign w:val="superscript"/>
              </w:rPr>
              <w:t>,c</w:t>
            </w:r>
            <w:proofErr w:type="spellEnd"/>
          </w:p>
          <w:p w14:paraId="1D0A6DCA" w14:textId="0E066AA5" w:rsidR="00395F7C" w:rsidRPr="00784A05" w:rsidRDefault="00392986" w:rsidP="00963F7E">
            <w:pPr>
              <w:pStyle w:val="Subtitle"/>
            </w:pPr>
            <w:r>
              <w:t>Long</w:t>
            </w:r>
            <w:r>
              <w:noBreakHyphen/>
            </w:r>
            <w:r w:rsidR="005D393C">
              <w:t>term versus the period since the last complete productivity cycle</w:t>
            </w:r>
          </w:p>
        </w:tc>
      </w:tr>
      <w:tr w:rsidR="00395F7C" w14:paraId="1D0A6E49" w14:textId="77777777" w:rsidTr="00900637">
        <w:tc>
          <w:tcPr>
            <w:tcW w:w="5000" w:type="pct"/>
            <w:tcBorders>
              <w:top w:val="nil"/>
              <w:left w:val="nil"/>
              <w:bottom w:val="nil"/>
              <w:right w:val="nil"/>
            </w:tcBorders>
            <w:shd w:val="clear" w:color="auto" w:fill="auto"/>
          </w:tcPr>
          <w:tbl>
            <w:tblPr>
              <w:tblW w:w="8505" w:type="dxa"/>
              <w:tblLayout w:type="fixed"/>
              <w:tblCellMar>
                <w:top w:w="28" w:type="dxa"/>
                <w:left w:w="0" w:type="dxa"/>
                <w:right w:w="0" w:type="dxa"/>
              </w:tblCellMar>
              <w:tblLook w:val="0000" w:firstRow="0" w:lastRow="0" w:firstColumn="0" w:lastColumn="0" w:noHBand="0" w:noVBand="0"/>
            </w:tblPr>
            <w:tblGrid>
              <w:gridCol w:w="1776"/>
              <w:gridCol w:w="1626"/>
              <w:gridCol w:w="1701"/>
              <w:gridCol w:w="1701"/>
              <w:gridCol w:w="1701"/>
            </w:tblGrid>
            <w:tr w:rsidR="0002527E" w14:paraId="1D0A6DCF" w14:textId="77777777" w:rsidTr="007A06C1">
              <w:trPr>
                <w:tblHeader/>
              </w:trPr>
              <w:tc>
                <w:tcPr>
                  <w:tcW w:w="1044" w:type="pct"/>
                  <w:vMerge w:val="restart"/>
                  <w:tcBorders>
                    <w:top w:val="single" w:sz="6" w:space="0" w:color="BFBFBF"/>
                  </w:tcBorders>
                  <w:shd w:val="clear" w:color="auto" w:fill="auto"/>
                  <w:tcMar>
                    <w:top w:w="28" w:type="dxa"/>
                  </w:tcMar>
                </w:tcPr>
                <w:p w14:paraId="1D0A6DCC" w14:textId="77777777" w:rsidR="0002527E" w:rsidRDefault="0002527E" w:rsidP="00EA2EAD">
                  <w:pPr>
                    <w:pStyle w:val="TableColumnHeading"/>
                    <w:jc w:val="left"/>
                  </w:pPr>
                </w:p>
              </w:tc>
              <w:tc>
                <w:tcPr>
                  <w:tcW w:w="1956" w:type="pct"/>
                  <w:gridSpan w:val="2"/>
                  <w:tcBorders>
                    <w:top w:val="single" w:sz="6" w:space="0" w:color="BFBFBF"/>
                    <w:bottom w:val="single" w:sz="6" w:space="0" w:color="BFBFBF"/>
                  </w:tcBorders>
                </w:tcPr>
                <w:p w14:paraId="1D0A6DCD" w14:textId="77777777" w:rsidR="0002527E" w:rsidRDefault="0002527E" w:rsidP="00A354F6">
                  <w:pPr>
                    <w:pStyle w:val="TableColumnHeading"/>
                    <w:jc w:val="center"/>
                  </w:pPr>
                  <w:r>
                    <w:t>Labour productivity</w:t>
                  </w:r>
                </w:p>
              </w:tc>
              <w:tc>
                <w:tcPr>
                  <w:tcW w:w="2000" w:type="pct"/>
                  <w:gridSpan w:val="2"/>
                  <w:tcBorders>
                    <w:top w:val="single" w:sz="6" w:space="0" w:color="BFBFBF"/>
                    <w:bottom w:val="single" w:sz="6" w:space="0" w:color="BFBFBF"/>
                  </w:tcBorders>
                </w:tcPr>
                <w:p w14:paraId="1D0A6DCE" w14:textId="77777777" w:rsidR="0002527E" w:rsidRDefault="0002527E" w:rsidP="00A354F6">
                  <w:pPr>
                    <w:pStyle w:val="TableColumnHeading"/>
                    <w:ind w:right="28"/>
                    <w:jc w:val="center"/>
                  </w:pPr>
                  <w:r>
                    <w:t>Multifactor productivity</w:t>
                  </w:r>
                </w:p>
              </w:tc>
            </w:tr>
            <w:tr w:rsidR="0002527E" w14:paraId="1D0A6DD5" w14:textId="77777777" w:rsidTr="007A06C1">
              <w:trPr>
                <w:tblHeader/>
              </w:trPr>
              <w:tc>
                <w:tcPr>
                  <w:tcW w:w="1044" w:type="pct"/>
                  <w:vMerge/>
                  <w:tcBorders>
                    <w:bottom w:val="single" w:sz="6" w:space="0" w:color="BFBFBF"/>
                  </w:tcBorders>
                  <w:shd w:val="clear" w:color="auto" w:fill="auto"/>
                  <w:tcMar>
                    <w:top w:w="28" w:type="dxa"/>
                  </w:tcMar>
                </w:tcPr>
                <w:p w14:paraId="1D0A6DD0" w14:textId="77777777" w:rsidR="0002527E" w:rsidRDefault="0002527E" w:rsidP="00EA2EAD">
                  <w:pPr>
                    <w:pStyle w:val="TableColumnHeading"/>
                    <w:jc w:val="left"/>
                  </w:pPr>
                </w:p>
              </w:tc>
              <w:tc>
                <w:tcPr>
                  <w:tcW w:w="956" w:type="pct"/>
                  <w:tcBorders>
                    <w:top w:val="single" w:sz="6" w:space="0" w:color="BFBFBF"/>
                    <w:bottom w:val="single" w:sz="6" w:space="0" w:color="BFBFBF"/>
                  </w:tcBorders>
                </w:tcPr>
                <w:p w14:paraId="1D0A6DD1" w14:textId="4D552AF2" w:rsidR="0002527E" w:rsidRDefault="00392986" w:rsidP="00EA2EAD">
                  <w:pPr>
                    <w:pStyle w:val="TableColumnHeading"/>
                  </w:pPr>
                  <w:r>
                    <w:t>Long</w:t>
                  </w:r>
                  <w:r>
                    <w:noBreakHyphen/>
                  </w:r>
                  <w:r w:rsidR="006542BD">
                    <w:t>term growth</w:t>
                  </w:r>
                  <w:r w:rsidR="0002527E">
                    <w:t xml:space="preserve"> </w:t>
                  </w:r>
                </w:p>
              </w:tc>
              <w:tc>
                <w:tcPr>
                  <w:tcW w:w="1000" w:type="pct"/>
                  <w:tcBorders>
                    <w:top w:val="single" w:sz="6" w:space="0" w:color="BFBFBF"/>
                    <w:bottom w:val="single" w:sz="6" w:space="0" w:color="BFBFBF"/>
                  </w:tcBorders>
                  <w:shd w:val="clear" w:color="auto" w:fill="auto"/>
                  <w:tcMar>
                    <w:top w:w="28" w:type="dxa"/>
                  </w:tcMar>
                </w:tcPr>
                <w:p w14:paraId="1D0A6DD2" w14:textId="77777777" w:rsidR="0002527E" w:rsidRDefault="0002527E" w:rsidP="0002527E">
                  <w:pPr>
                    <w:pStyle w:val="TableColumnHeading"/>
                  </w:pPr>
                  <w:r>
                    <w:t>2007</w:t>
                  </w:r>
                  <w:r>
                    <w:noBreakHyphen/>
                    <w:t>08 to 2015</w:t>
                  </w:r>
                  <w:r>
                    <w:noBreakHyphen/>
                    <w:t>16</w:t>
                  </w:r>
                </w:p>
              </w:tc>
              <w:tc>
                <w:tcPr>
                  <w:tcW w:w="1000" w:type="pct"/>
                  <w:tcBorders>
                    <w:top w:val="single" w:sz="6" w:space="0" w:color="BFBFBF"/>
                    <w:bottom w:val="single" w:sz="6" w:space="0" w:color="BFBFBF"/>
                  </w:tcBorders>
                </w:tcPr>
                <w:p w14:paraId="1D0A6DD3" w14:textId="2DD55269" w:rsidR="0002527E" w:rsidRDefault="00392986" w:rsidP="00EA2EAD">
                  <w:pPr>
                    <w:pStyle w:val="TableColumnHeading"/>
                  </w:pPr>
                  <w:r>
                    <w:t>Long</w:t>
                  </w:r>
                  <w:r>
                    <w:noBreakHyphen/>
                  </w:r>
                  <w:r w:rsidR="006542BD">
                    <w:t>term growth</w:t>
                  </w:r>
                  <w:r w:rsidR="0002527E">
                    <w:t xml:space="preserve"> </w:t>
                  </w:r>
                </w:p>
              </w:tc>
              <w:tc>
                <w:tcPr>
                  <w:tcW w:w="1000" w:type="pct"/>
                  <w:tcBorders>
                    <w:top w:val="single" w:sz="6" w:space="0" w:color="BFBFBF"/>
                    <w:bottom w:val="single" w:sz="6" w:space="0" w:color="BFBFBF"/>
                  </w:tcBorders>
                  <w:shd w:val="clear" w:color="auto" w:fill="auto"/>
                  <w:tcMar>
                    <w:top w:w="28" w:type="dxa"/>
                  </w:tcMar>
                </w:tcPr>
                <w:p w14:paraId="1D0A6DD4" w14:textId="77777777" w:rsidR="0002527E" w:rsidRDefault="0002527E" w:rsidP="0002527E">
                  <w:pPr>
                    <w:pStyle w:val="TableColumnHeading"/>
                    <w:ind w:right="28"/>
                  </w:pPr>
                  <w:r>
                    <w:t>2007</w:t>
                  </w:r>
                  <w:r>
                    <w:noBreakHyphen/>
                    <w:t>08 to 2015</w:t>
                  </w:r>
                  <w:r>
                    <w:noBreakHyphen/>
                    <w:t>16</w:t>
                  </w:r>
                </w:p>
              </w:tc>
            </w:tr>
            <w:tr w:rsidR="006542BD" w14:paraId="1D0A6DDB" w14:textId="77777777" w:rsidTr="007A06C1">
              <w:trPr>
                <w:trHeight w:val="227"/>
              </w:trPr>
              <w:tc>
                <w:tcPr>
                  <w:tcW w:w="1044" w:type="pct"/>
                  <w:tcBorders>
                    <w:top w:val="single" w:sz="6" w:space="0" w:color="BFBFBF"/>
                  </w:tcBorders>
                </w:tcPr>
                <w:p w14:paraId="1D0A6DD6" w14:textId="77777777" w:rsidR="006542BD" w:rsidRDefault="006542BD" w:rsidP="006542BD">
                  <w:pPr>
                    <w:pStyle w:val="TableUnitsRow"/>
                    <w:jc w:val="left"/>
                  </w:pPr>
                  <w:r>
                    <w:t>Agriculture</w:t>
                  </w:r>
                </w:p>
              </w:tc>
              <w:tc>
                <w:tcPr>
                  <w:tcW w:w="956" w:type="pct"/>
                  <w:tcBorders>
                    <w:top w:val="nil"/>
                    <w:left w:val="nil"/>
                    <w:bottom w:val="nil"/>
                    <w:right w:val="nil"/>
                  </w:tcBorders>
                  <w:shd w:val="clear" w:color="auto" w:fill="auto"/>
                  <w:vAlign w:val="bottom"/>
                </w:tcPr>
                <w:p w14:paraId="1D0A6DD7" w14:textId="77777777" w:rsidR="006542BD" w:rsidRPr="00286C57" w:rsidRDefault="006542BD" w:rsidP="006542BD">
                  <w:pPr>
                    <w:pStyle w:val="TableBodyText"/>
                    <w:spacing w:after="0"/>
                    <w:rPr>
                      <w:rFonts w:cs="Arial"/>
                      <w:color w:val="597923" w:themeColor="accent1" w:themeShade="BF"/>
                      <w:szCs w:val="16"/>
                    </w:rPr>
                  </w:pPr>
                  <w:r w:rsidRPr="00286C57">
                    <w:rPr>
                      <w:rFonts w:cs="Arial"/>
                      <w:color w:val="597923" w:themeColor="accent1" w:themeShade="BF"/>
                      <w:szCs w:val="16"/>
                    </w:rPr>
                    <w:t>3.5</w:t>
                  </w:r>
                </w:p>
              </w:tc>
              <w:tc>
                <w:tcPr>
                  <w:tcW w:w="1000" w:type="pct"/>
                  <w:tcBorders>
                    <w:top w:val="nil"/>
                    <w:left w:val="nil"/>
                    <w:bottom w:val="nil"/>
                    <w:right w:val="nil"/>
                  </w:tcBorders>
                  <w:shd w:val="clear" w:color="auto" w:fill="auto"/>
                  <w:vAlign w:val="bottom"/>
                </w:tcPr>
                <w:p w14:paraId="1D0A6DD8" w14:textId="77777777" w:rsidR="006542BD" w:rsidRPr="006542BD" w:rsidRDefault="006542BD" w:rsidP="006542BD">
                  <w:pPr>
                    <w:pStyle w:val="TableBodyText"/>
                    <w:spacing w:after="0"/>
                    <w:rPr>
                      <w:rFonts w:cs="Arial"/>
                      <w:color w:val="597923" w:themeColor="accent1" w:themeShade="BF"/>
                      <w:szCs w:val="16"/>
                    </w:rPr>
                  </w:pPr>
                  <w:r w:rsidRPr="006542BD">
                    <w:rPr>
                      <w:rFonts w:cs="Arial"/>
                      <w:color w:val="597923" w:themeColor="accent1" w:themeShade="BF"/>
                      <w:szCs w:val="16"/>
                    </w:rPr>
                    <w:t>2.9</w:t>
                  </w:r>
                </w:p>
              </w:tc>
              <w:tc>
                <w:tcPr>
                  <w:tcW w:w="1000" w:type="pct"/>
                  <w:tcBorders>
                    <w:top w:val="nil"/>
                    <w:left w:val="nil"/>
                    <w:bottom w:val="nil"/>
                    <w:right w:val="nil"/>
                  </w:tcBorders>
                  <w:shd w:val="clear" w:color="auto" w:fill="auto"/>
                  <w:vAlign w:val="bottom"/>
                </w:tcPr>
                <w:p w14:paraId="1D0A6DD9" w14:textId="77777777" w:rsidR="006542BD" w:rsidRPr="00286C57" w:rsidRDefault="006542BD" w:rsidP="006542BD">
                  <w:pPr>
                    <w:pStyle w:val="TableBodyText"/>
                    <w:spacing w:after="0"/>
                    <w:rPr>
                      <w:rFonts w:cs="Arial"/>
                      <w:color w:val="597923" w:themeColor="accent1" w:themeShade="BF"/>
                      <w:szCs w:val="16"/>
                    </w:rPr>
                  </w:pPr>
                  <w:r w:rsidRPr="00286C57">
                    <w:rPr>
                      <w:rFonts w:cs="Arial"/>
                      <w:color w:val="597923" w:themeColor="accent1" w:themeShade="BF"/>
                      <w:szCs w:val="16"/>
                    </w:rPr>
                    <w:t>2.3</w:t>
                  </w:r>
                </w:p>
              </w:tc>
              <w:tc>
                <w:tcPr>
                  <w:tcW w:w="1000" w:type="pct"/>
                  <w:tcBorders>
                    <w:top w:val="nil"/>
                    <w:left w:val="nil"/>
                    <w:bottom w:val="nil"/>
                    <w:right w:val="nil"/>
                  </w:tcBorders>
                  <w:shd w:val="clear" w:color="auto" w:fill="auto"/>
                  <w:vAlign w:val="bottom"/>
                </w:tcPr>
                <w:p w14:paraId="1D0A6DDA" w14:textId="77777777" w:rsidR="006542BD" w:rsidRPr="006542BD" w:rsidRDefault="006542BD" w:rsidP="006542BD">
                  <w:pPr>
                    <w:pStyle w:val="TableBodyText"/>
                    <w:spacing w:after="0"/>
                    <w:rPr>
                      <w:rFonts w:cs="Arial"/>
                      <w:color w:val="597923" w:themeColor="accent1" w:themeShade="BF"/>
                      <w:szCs w:val="16"/>
                    </w:rPr>
                  </w:pPr>
                  <w:r w:rsidRPr="006542BD">
                    <w:rPr>
                      <w:rFonts w:cs="Arial"/>
                      <w:color w:val="597923" w:themeColor="accent1" w:themeShade="BF"/>
                      <w:szCs w:val="16"/>
                    </w:rPr>
                    <w:t>1.8</w:t>
                  </w:r>
                </w:p>
              </w:tc>
            </w:tr>
            <w:tr w:rsidR="006542BD" w14:paraId="1D0A6DE1" w14:textId="77777777" w:rsidTr="007A06C1">
              <w:trPr>
                <w:trHeight w:val="198"/>
              </w:trPr>
              <w:tc>
                <w:tcPr>
                  <w:tcW w:w="1044" w:type="pct"/>
                </w:tcPr>
                <w:p w14:paraId="1D0A6DDC" w14:textId="77777777" w:rsidR="006542BD" w:rsidRDefault="006542BD" w:rsidP="006542BD">
                  <w:pPr>
                    <w:pStyle w:val="TableBodyText"/>
                    <w:jc w:val="left"/>
                  </w:pPr>
                  <w:r>
                    <w:t>Mining</w:t>
                  </w:r>
                </w:p>
              </w:tc>
              <w:tc>
                <w:tcPr>
                  <w:tcW w:w="956" w:type="pct"/>
                  <w:tcBorders>
                    <w:top w:val="nil"/>
                    <w:left w:val="nil"/>
                    <w:bottom w:val="nil"/>
                    <w:right w:val="nil"/>
                  </w:tcBorders>
                  <w:shd w:val="clear" w:color="auto" w:fill="auto"/>
                  <w:vAlign w:val="bottom"/>
                </w:tcPr>
                <w:p w14:paraId="1D0A6DDD" w14:textId="77777777" w:rsidR="006542BD" w:rsidRPr="00286C57" w:rsidRDefault="006542BD" w:rsidP="006542BD">
                  <w:pPr>
                    <w:pStyle w:val="TableBodyText"/>
                    <w:spacing w:after="0"/>
                    <w:rPr>
                      <w:rFonts w:cs="Arial"/>
                      <w:color w:val="597923" w:themeColor="accent1" w:themeShade="BF"/>
                      <w:szCs w:val="16"/>
                    </w:rPr>
                  </w:pPr>
                  <w:r w:rsidRPr="00286C57">
                    <w:rPr>
                      <w:rFonts w:cs="Arial"/>
                      <w:color w:val="597923" w:themeColor="accent1" w:themeShade="BF"/>
                      <w:szCs w:val="16"/>
                    </w:rPr>
                    <w:t>1.1</w:t>
                  </w:r>
                </w:p>
              </w:tc>
              <w:tc>
                <w:tcPr>
                  <w:tcW w:w="1000" w:type="pct"/>
                  <w:tcBorders>
                    <w:top w:val="nil"/>
                    <w:left w:val="nil"/>
                    <w:bottom w:val="nil"/>
                    <w:right w:val="nil"/>
                  </w:tcBorders>
                  <w:shd w:val="clear" w:color="auto" w:fill="auto"/>
                  <w:vAlign w:val="bottom"/>
                </w:tcPr>
                <w:p w14:paraId="1D0A6DDE" w14:textId="77777777" w:rsidR="006542BD" w:rsidRPr="006542BD" w:rsidRDefault="006542BD" w:rsidP="006542BD">
                  <w:pPr>
                    <w:pStyle w:val="TableBodyText"/>
                    <w:spacing w:after="0"/>
                    <w:rPr>
                      <w:rFonts w:cs="Arial"/>
                      <w:color w:val="597923" w:themeColor="accent1" w:themeShade="BF"/>
                      <w:szCs w:val="16"/>
                    </w:rPr>
                  </w:pPr>
                  <w:r w:rsidRPr="006542BD">
                    <w:rPr>
                      <w:rFonts w:cs="Arial"/>
                      <w:color w:val="597923" w:themeColor="accent1" w:themeShade="BF"/>
                      <w:szCs w:val="16"/>
                    </w:rPr>
                    <w:t>0.7</w:t>
                  </w:r>
                </w:p>
              </w:tc>
              <w:tc>
                <w:tcPr>
                  <w:tcW w:w="1000" w:type="pct"/>
                  <w:tcBorders>
                    <w:top w:val="nil"/>
                    <w:left w:val="nil"/>
                    <w:bottom w:val="nil"/>
                    <w:right w:val="nil"/>
                  </w:tcBorders>
                  <w:shd w:val="clear" w:color="auto" w:fill="auto"/>
                  <w:vAlign w:val="bottom"/>
                </w:tcPr>
                <w:p w14:paraId="1D0A6DDF" w14:textId="77777777" w:rsidR="006542BD" w:rsidRPr="00286C57" w:rsidRDefault="006542BD" w:rsidP="006542BD">
                  <w:pPr>
                    <w:pStyle w:val="TableColumnHeading"/>
                    <w:spacing w:before="0" w:after="0"/>
                    <w:rPr>
                      <w:rFonts w:cs="Arial"/>
                      <w:i w:val="0"/>
                      <w:color w:val="C00000"/>
                      <w:szCs w:val="16"/>
                    </w:rPr>
                  </w:pPr>
                  <w:r w:rsidRPr="00286C57">
                    <w:rPr>
                      <w:rFonts w:cs="Arial"/>
                      <w:i w:val="0"/>
                      <w:color w:val="C00000"/>
                      <w:szCs w:val="16"/>
                    </w:rPr>
                    <w:t>-1.0</w:t>
                  </w:r>
                </w:p>
              </w:tc>
              <w:tc>
                <w:tcPr>
                  <w:tcW w:w="1000" w:type="pct"/>
                  <w:tcBorders>
                    <w:top w:val="nil"/>
                    <w:left w:val="nil"/>
                    <w:bottom w:val="nil"/>
                    <w:right w:val="nil"/>
                  </w:tcBorders>
                  <w:shd w:val="clear" w:color="auto" w:fill="auto"/>
                  <w:vAlign w:val="bottom"/>
                </w:tcPr>
                <w:p w14:paraId="1D0A6DE0" w14:textId="77777777" w:rsidR="006542BD" w:rsidRPr="006542BD" w:rsidRDefault="006542BD" w:rsidP="006542BD">
                  <w:pPr>
                    <w:pStyle w:val="TableColumnHeading"/>
                    <w:spacing w:before="0" w:after="0"/>
                    <w:rPr>
                      <w:rFonts w:cs="Arial"/>
                      <w:i w:val="0"/>
                      <w:color w:val="C00000"/>
                      <w:szCs w:val="16"/>
                    </w:rPr>
                  </w:pPr>
                  <w:r w:rsidRPr="006542BD">
                    <w:rPr>
                      <w:rFonts w:cs="Arial"/>
                      <w:i w:val="0"/>
                      <w:color w:val="C00000"/>
                      <w:szCs w:val="16"/>
                    </w:rPr>
                    <w:t>-2.5</w:t>
                  </w:r>
                </w:p>
              </w:tc>
            </w:tr>
            <w:tr w:rsidR="006542BD" w14:paraId="1D0A6DE7" w14:textId="77777777" w:rsidTr="007A06C1">
              <w:trPr>
                <w:trHeight w:val="198"/>
              </w:trPr>
              <w:tc>
                <w:tcPr>
                  <w:tcW w:w="1044" w:type="pct"/>
                </w:tcPr>
                <w:p w14:paraId="1D0A6DE2" w14:textId="77777777" w:rsidR="006542BD" w:rsidRDefault="006542BD" w:rsidP="006542BD">
                  <w:pPr>
                    <w:pStyle w:val="TableBodyText"/>
                    <w:jc w:val="left"/>
                  </w:pPr>
                  <w:r>
                    <w:t>Manufacturing</w:t>
                  </w:r>
                </w:p>
              </w:tc>
              <w:tc>
                <w:tcPr>
                  <w:tcW w:w="956" w:type="pct"/>
                  <w:tcBorders>
                    <w:top w:val="nil"/>
                    <w:left w:val="nil"/>
                    <w:bottom w:val="nil"/>
                    <w:right w:val="nil"/>
                  </w:tcBorders>
                  <w:shd w:val="clear" w:color="auto" w:fill="auto"/>
                  <w:vAlign w:val="bottom"/>
                </w:tcPr>
                <w:p w14:paraId="1D0A6DE3" w14:textId="77777777" w:rsidR="006542BD" w:rsidRPr="00286C57" w:rsidRDefault="006542BD" w:rsidP="006542BD">
                  <w:pPr>
                    <w:pStyle w:val="TableBodyText"/>
                    <w:spacing w:after="0"/>
                    <w:rPr>
                      <w:rFonts w:cs="Arial"/>
                      <w:color w:val="597923" w:themeColor="accent1" w:themeShade="BF"/>
                      <w:szCs w:val="16"/>
                    </w:rPr>
                  </w:pPr>
                  <w:r w:rsidRPr="00286C57">
                    <w:rPr>
                      <w:rFonts w:cs="Arial"/>
                      <w:color w:val="597923" w:themeColor="accent1" w:themeShade="BF"/>
                      <w:szCs w:val="16"/>
                    </w:rPr>
                    <w:t>1.8</w:t>
                  </w:r>
                </w:p>
              </w:tc>
              <w:tc>
                <w:tcPr>
                  <w:tcW w:w="1000" w:type="pct"/>
                  <w:tcBorders>
                    <w:top w:val="nil"/>
                    <w:left w:val="nil"/>
                    <w:bottom w:val="nil"/>
                    <w:right w:val="nil"/>
                  </w:tcBorders>
                  <w:shd w:val="clear" w:color="auto" w:fill="auto"/>
                  <w:vAlign w:val="bottom"/>
                </w:tcPr>
                <w:p w14:paraId="1D0A6DE4" w14:textId="77777777" w:rsidR="006542BD" w:rsidRPr="006542BD" w:rsidRDefault="006542BD" w:rsidP="006542BD">
                  <w:pPr>
                    <w:pStyle w:val="TableBodyText"/>
                    <w:spacing w:after="0"/>
                    <w:rPr>
                      <w:rFonts w:cs="Arial"/>
                      <w:color w:val="597923" w:themeColor="accent1" w:themeShade="BF"/>
                      <w:szCs w:val="16"/>
                    </w:rPr>
                  </w:pPr>
                  <w:r w:rsidRPr="006542BD">
                    <w:rPr>
                      <w:rFonts w:cs="Arial"/>
                      <w:color w:val="597923" w:themeColor="accent1" w:themeShade="BF"/>
                      <w:szCs w:val="16"/>
                    </w:rPr>
                    <w:t>0.9</w:t>
                  </w:r>
                </w:p>
              </w:tc>
              <w:tc>
                <w:tcPr>
                  <w:tcW w:w="1000" w:type="pct"/>
                  <w:tcBorders>
                    <w:top w:val="nil"/>
                    <w:left w:val="nil"/>
                    <w:bottom w:val="nil"/>
                    <w:right w:val="nil"/>
                  </w:tcBorders>
                  <w:shd w:val="clear" w:color="auto" w:fill="auto"/>
                  <w:vAlign w:val="bottom"/>
                </w:tcPr>
                <w:p w14:paraId="1D0A6DE5" w14:textId="77777777" w:rsidR="006542BD" w:rsidRPr="00286C57" w:rsidRDefault="006542BD" w:rsidP="006542BD">
                  <w:pPr>
                    <w:pStyle w:val="TableColumnHeading"/>
                    <w:spacing w:before="0" w:after="0"/>
                    <w:rPr>
                      <w:rFonts w:cs="Arial"/>
                      <w:i w:val="0"/>
                      <w:color w:val="597923" w:themeColor="accent1" w:themeShade="BF"/>
                      <w:szCs w:val="16"/>
                    </w:rPr>
                  </w:pPr>
                  <w:r w:rsidRPr="00286C57">
                    <w:rPr>
                      <w:rFonts w:cs="Arial"/>
                      <w:i w:val="0"/>
                      <w:color w:val="597923" w:themeColor="accent1" w:themeShade="BF"/>
                      <w:szCs w:val="16"/>
                    </w:rPr>
                    <w:t>0.5</w:t>
                  </w:r>
                </w:p>
              </w:tc>
              <w:tc>
                <w:tcPr>
                  <w:tcW w:w="1000" w:type="pct"/>
                  <w:tcBorders>
                    <w:top w:val="nil"/>
                    <w:left w:val="nil"/>
                    <w:bottom w:val="nil"/>
                    <w:right w:val="nil"/>
                  </w:tcBorders>
                  <w:shd w:val="clear" w:color="auto" w:fill="auto"/>
                  <w:vAlign w:val="bottom"/>
                </w:tcPr>
                <w:p w14:paraId="1D0A6DE6" w14:textId="77777777" w:rsidR="006542BD" w:rsidRPr="006542BD" w:rsidRDefault="006542BD" w:rsidP="006542BD">
                  <w:pPr>
                    <w:pStyle w:val="TableColumnHeading"/>
                    <w:spacing w:before="0" w:after="0"/>
                    <w:rPr>
                      <w:rFonts w:cs="Arial"/>
                      <w:i w:val="0"/>
                      <w:color w:val="C00000"/>
                      <w:szCs w:val="16"/>
                    </w:rPr>
                  </w:pPr>
                  <w:r w:rsidRPr="006542BD">
                    <w:rPr>
                      <w:rFonts w:cs="Arial"/>
                      <w:i w:val="0"/>
                      <w:color w:val="C00000"/>
                      <w:szCs w:val="16"/>
                    </w:rPr>
                    <w:t>-0.1</w:t>
                  </w:r>
                </w:p>
              </w:tc>
            </w:tr>
            <w:tr w:rsidR="006542BD" w14:paraId="1D0A6DED" w14:textId="77777777" w:rsidTr="007A06C1">
              <w:trPr>
                <w:trHeight w:val="198"/>
              </w:trPr>
              <w:tc>
                <w:tcPr>
                  <w:tcW w:w="1044" w:type="pct"/>
                </w:tcPr>
                <w:p w14:paraId="1D0A6DE8" w14:textId="77777777" w:rsidR="006542BD" w:rsidRDefault="006542BD" w:rsidP="006542BD">
                  <w:pPr>
                    <w:pStyle w:val="TableBodyText"/>
                    <w:jc w:val="left"/>
                  </w:pPr>
                  <w:r>
                    <w:t>Utilities</w:t>
                  </w:r>
                </w:p>
              </w:tc>
              <w:tc>
                <w:tcPr>
                  <w:tcW w:w="956" w:type="pct"/>
                  <w:tcBorders>
                    <w:top w:val="nil"/>
                    <w:left w:val="nil"/>
                    <w:bottom w:val="nil"/>
                    <w:right w:val="nil"/>
                  </w:tcBorders>
                  <w:shd w:val="clear" w:color="auto" w:fill="auto"/>
                  <w:vAlign w:val="bottom"/>
                </w:tcPr>
                <w:p w14:paraId="1D0A6DE9" w14:textId="77777777" w:rsidR="006542BD" w:rsidRPr="00286C57" w:rsidRDefault="006542BD" w:rsidP="006542BD">
                  <w:pPr>
                    <w:pStyle w:val="TableBodyText"/>
                    <w:spacing w:after="0"/>
                    <w:rPr>
                      <w:rFonts w:cs="Arial"/>
                      <w:color w:val="597923" w:themeColor="accent1" w:themeShade="BF"/>
                      <w:szCs w:val="16"/>
                    </w:rPr>
                  </w:pPr>
                  <w:r w:rsidRPr="00286C57">
                    <w:rPr>
                      <w:rFonts w:cs="Arial"/>
                      <w:color w:val="597923" w:themeColor="accent1" w:themeShade="BF"/>
                      <w:szCs w:val="16"/>
                    </w:rPr>
                    <w:t>0.5</w:t>
                  </w:r>
                </w:p>
              </w:tc>
              <w:tc>
                <w:tcPr>
                  <w:tcW w:w="1000" w:type="pct"/>
                  <w:tcBorders>
                    <w:top w:val="nil"/>
                    <w:left w:val="nil"/>
                    <w:bottom w:val="nil"/>
                    <w:right w:val="nil"/>
                  </w:tcBorders>
                  <w:shd w:val="clear" w:color="auto" w:fill="auto"/>
                  <w:vAlign w:val="bottom"/>
                </w:tcPr>
                <w:p w14:paraId="1D0A6DEA" w14:textId="77777777" w:rsidR="006542BD" w:rsidRPr="006542BD" w:rsidRDefault="006542BD" w:rsidP="006542BD">
                  <w:pPr>
                    <w:pStyle w:val="TableColumnHeading"/>
                    <w:spacing w:before="0" w:after="0"/>
                    <w:rPr>
                      <w:rFonts w:cs="Arial"/>
                      <w:i w:val="0"/>
                      <w:color w:val="C00000"/>
                      <w:szCs w:val="16"/>
                    </w:rPr>
                  </w:pPr>
                  <w:r w:rsidRPr="006542BD">
                    <w:rPr>
                      <w:rFonts w:cs="Arial"/>
                      <w:i w:val="0"/>
                      <w:color w:val="C00000"/>
                      <w:szCs w:val="16"/>
                    </w:rPr>
                    <w:t>-1.6</w:t>
                  </w:r>
                </w:p>
              </w:tc>
              <w:tc>
                <w:tcPr>
                  <w:tcW w:w="1000" w:type="pct"/>
                  <w:tcBorders>
                    <w:top w:val="nil"/>
                    <w:left w:val="nil"/>
                    <w:bottom w:val="nil"/>
                    <w:right w:val="nil"/>
                  </w:tcBorders>
                  <w:shd w:val="clear" w:color="auto" w:fill="auto"/>
                  <w:vAlign w:val="bottom"/>
                </w:tcPr>
                <w:p w14:paraId="1D0A6DEB" w14:textId="77777777" w:rsidR="006542BD" w:rsidRPr="00286C57" w:rsidRDefault="006542BD" w:rsidP="006542BD">
                  <w:pPr>
                    <w:pStyle w:val="TableColumnHeading"/>
                    <w:spacing w:before="0" w:after="0"/>
                    <w:rPr>
                      <w:rFonts w:cs="Arial"/>
                      <w:i w:val="0"/>
                      <w:color w:val="C00000"/>
                      <w:szCs w:val="16"/>
                    </w:rPr>
                  </w:pPr>
                  <w:r w:rsidRPr="00286C57">
                    <w:rPr>
                      <w:rFonts w:cs="Arial"/>
                      <w:i w:val="0"/>
                      <w:color w:val="C00000"/>
                      <w:szCs w:val="16"/>
                    </w:rPr>
                    <w:t>-0.7</w:t>
                  </w:r>
                </w:p>
              </w:tc>
              <w:tc>
                <w:tcPr>
                  <w:tcW w:w="1000" w:type="pct"/>
                  <w:tcBorders>
                    <w:top w:val="nil"/>
                    <w:left w:val="nil"/>
                    <w:bottom w:val="nil"/>
                    <w:right w:val="nil"/>
                  </w:tcBorders>
                  <w:shd w:val="clear" w:color="auto" w:fill="auto"/>
                  <w:vAlign w:val="bottom"/>
                </w:tcPr>
                <w:p w14:paraId="1D0A6DEC" w14:textId="77777777" w:rsidR="006542BD" w:rsidRPr="006542BD" w:rsidRDefault="006542BD" w:rsidP="006542BD">
                  <w:pPr>
                    <w:pStyle w:val="TableColumnHeading"/>
                    <w:spacing w:before="0" w:after="0"/>
                    <w:rPr>
                      <w:rFonts w:cs="Arial"/>
                      <w:i w:val="0"/>
                      <w:color w:val="C00000"/>
                      <w:szCs w:val="16"/>
                    </w:rPr>
                  </w:pPr>
                  <w:r w:rsidRPr="006542BD">
                    <w:rPr>
                      <w:rFonts w:cs="Arial"/>
                      <w:i w:val="0"/>
                      <w:color w:val="C00000"/>
                      <w:szCs w:val="16"/>
                    </w:rPr>
                    <w:t>-2.0</w:t>
                  </w:r>
                </w:p>
              </w:tc>
            </w:tr>
            <w:tr w:rsidR="006542BD" w14:paraId="1D0A6DF3" w14:textId="77777777" w:rsidTr="007A06C1">
              <w:trPr>
                <w:trHeight w:val="198"/>
              </w:trPr>
              <w:tc>
                <w:tcPr>
                  <w:tcW w:w="1044" w:type="pct"/>
                </w:tcPr>
                <w:p w14:paraId="1D0A6DEE" w14:textId="77777777" w:rsidR="006542BD" w:rsidRDefault="006542BD" w:rsidP="006542BD">
                  <w:pPr>
                    <w:pStyle w:val="TableBodyText"/>
                    <w:jc w:val="left"/>
                  </w:pPr>
                  <w:r>
                    <w:t>Construction</w:t>
                  </w:r>
                </w:p>
              </w:tc>
              <w:tc>
                <w:tcPr>
                  <w:tcW w:w="956" w:type="pct"/>
                  <w:tcBorders>
                    <w:top w:val="nil"/>
                    <w:left w:val="nil"/>
                    <w:bottom w:val="nil"/>
                    <w:right w:val="nil"/>
                  </w:tcBorders>
                  <w:shd w:val="clear" w:color="auto" w:fill="auto"/>
                  <w:vAlign w:val="bottom"/>
                </w:tcPr>
                <w:p w14:paraId="1D0A6DEF" w14:textId="77777777" w:rsidR="006542BD" w:rsidRPr="00286C57" w:rsidRDefault="006542BD" w:rsidP="006542BD">
                  <w:pPr>
                    <w:pStyle w:val="TableBodyText"/>
                    <w:spacing w:after="0"/>
                    <w:rPr>
                      <w:rFonts w:cs="Arial"/>
                      <w:color w:val="597923" w:themeColor="accent1" w:themeShade="BF"/>
                      <w:szCs w:val="16"/>
                    </w:rPr>
                  </w:pPr>
                  <w:r w:rsidRPr="00286C57">
                    <w:rPr>
                      <w:rFonts w:cs="Arial"/>
                      <w:color w:val="597923" w:themeColor="accent1" w:themeShade="BF"/>
                      <w:szCs w:val="16"/>
                    </w:rPr>
                    <w:t>1.7</w:t>
                  </w:r>
                </w:p>
              </w:tc>
              <w:tc>
                <w:tcPr>
                  <w:tcW w:w="1000" w:type="pct"/>
                  <w:tcBorders>
                    <w:top w:val="nil"/>
                    <w:left w:val="nil"/>
                    <w:bottom w:val="nil"/>
                    <w:right w:val="nil"/>
                  </w:tcBorders>
                  <w:shd w:val="clear" w:color="auto" w:fill="auto"/>
                  <w:vAlign w:val="bottom"/>
                </w:tcPr>
                <w:p w14:paraId="1D0A6DF0" w14:textId="77777777" w:rsidR="006542BD" w:rsidRPr="006542BD" w:rsidRDefault="006542BD" w:rsidP="006542BD">
                  <w:pPr>
                    <w:pStyle w:val="TableBodyText"/>
                    <w:spacing w:after="0"/>
                    <w:rPr>
                      <w:rFonts w:cs="Arial"/>
                      <w:color w:val="597923" w:themeColor="accent1" w:themeShade="BF"/>
                      <w:szCs w:val="16"/>
                    </w:rPr>
                  </w:pPr>
                  <w:r w:rsidRPr="006542BD">
                    <w:rPr>
                      <w:rFonts w:cs="Arial"/>
                      <w:color w:val="597923" w:themeColor="accent1" w:themeShade="BF"/>
                      <w:szCs w:val="16"/>
                    </w:rPr>
                    <w:t>2.1</w:t>
                  </w:r>
                </w:p>
              </w:tc>
              <w:tc>
                <w:tcPr>
                  <w:tcW w:w="1000" w:type="pct"/>
                  <w:tcBorders>
                    <w:top w:val="nil"/>
                    <w:left w:val="nil"/>
                    <w:bottom w:val="nil"/>
                    <w:right w:val="nil"/>
                  </w:tcBorders>
                  <w:shd w:val="clear" w:color="auto" w:fill="auto"/>
                  <w:vAlign w:val="bottom"/>
                </w:tcPr>
                <w:p w14:paraId="1D0A6DF1" w14:textId="77777777" w:rsidR="006542BD" w:rsidRPr="00286C57" w:rsidRDefault="006542BD" w:rsidP="006542BD">
                  <w:pPr>
                    <w:pStyle w:val="TableColumnHeading"/>
                    <w:spacing w:before="0" w:after="0"/>
                    <w:rPr>
                      <w:rFonts w:cs="Arial"/>
                      <w:i w:val="0"/>
                      <w:color w:val="597923" w:themeColor="accent1" w:themeShade="BF"/>
                      <w:szCs w:val="16"/>
                    </w:rPr>
                  </w:pPr>
                  <w:r w:rsidRPr="00286C57">
                    <w:rPr>
                      <w:rFonts w:cs="Arial"/>
                      <w:i w:val="0"/>
                      <w:color w:val="597923" w:themeColor="accent1" w:themeShade="BF"/>
                      <w:szCs w:val="16"/>
                    </w:rPr>
                    <w:t>0.8</w:t>
                  </w:r>
                </w:p>
              </w:tc>
              <w:tc>
                <w:tcPr>
                  <w:tcW w:w="1000" w:type="pct"/>
                  <w:tcBorders>
                    <w:top w:val="nil"/>
                    <w:left w:val="nil"/>
                    <w:bottom w:val="nil"/>
                    <w:right w:val="nil"/>
                  </w:tcBorders>
                  <w:shd w:val="clear" w:color="auto" w:fill="auto"/>
                  <w:vAlign w:val="bottom"/>
                </w:tcPr>
                <w:p w14:paraId="1D0A6DF2" w14:textId="77777777" w:rsidR="006542BD" w:rsidRPr="006542BD" w:rsidRDefault="006542BD" w:rsidP="006542BD">
                  <w:pPr>
                    <w:pStyle w:val="TableBodyText"/>
                    <w:spacing w:after="0"/>
                    <w:rPr>
                      <w:rFonts w:cs="Arial"/>
                      <w:color w:val="597923" w:themeColor="accent1" w:themeShade="BF"/>
                      <w:szCs w:val="16"/>
                    </w:rPr>
                  </w:pPr>
                  <w:r w:rsidRPr="006542BD">
                    <w:rPr>
                      <w:rFonts w:cs="Arial"/>
                      <w:color w:val="597923" w:themeColor="accent1" w:themeShade="BF"/>
                      <w:szCs w:val="16"/>
                    </w:rPr>
                    <w:t>0.8</w:t>
                  </w:r>
                </w:p>
              </w:tc>
            </w:tr>
            <w:tr w:rsidR="006542BD" w14:paraId="1D0A6DF9" w14:textId="77777777" w:rsidTr="007A06C1">
              <w:trPr>
                <w:trHeight w:val="198"/>
              </w:trPr>
              <w:tc>
                <w:tcPr>
                  <w:tcW w:w="1044" w:type="pct"/>
                </w:tcPr>
                <w:p w14:paraId="1D0A6DF4" w14:textId="77777777" w:rsidR="006542BD" w:rsidRDefault="006542BD" w:rsidP="006542BD">
                  <w:pPr>
                    <w:pStyle w:val="TableBodyText"/>
                    <w:jc w:val="left"/>
                  </w:pPr>
                  <w:r>
                    <w:t>Wholesale trade</w:t>
                  </w:r>
                </w:p>
              </w:tc>
              <w:tc>
                <w:tcPr>
                  <w:tcW w:w="956" w:type="pct"/>
                  <w:tcBorders>
                    <w:top w:val="nil"/>
                    <w:left w:val="nil"/>
                    <w:bottom w:val="nil"/>
                    <w:right w:val="nil"/>
                  </w:tcBorders>
                  <w:shd w:val="clear" w:color="auto" w:fill="auto"/>
                  <w:vAlign w:val="bottom"/>
                </w:tcPr>
                <w:p w14:paraId="1D0A6DF5" w14:textId="77777777" w:rsidR="006542BD" w:rsidRPr="00286C57" w:rsidRDefault="006542BD" w:rsidP="006542BD">
                  <w:pPr>
                    <w:pStyle w:val="TableBodyText"/>
                    <w:spacing w:after="0"/>
                    <w:rPr>
                      <w:rFonts w:cs="Arial"/>
                      <w:color w:val="597923" w:themeColor="accent1" w:themeShade="BF"/>
                      <w:szCs w:val="16"/>
                    </w:rPr>
                  </w:pPr>
                  <w:r w:rsidRPr="00286C57">
                    <w:rPr>
                      <w:rFonts w:cs="Arial"/>
                      <w:color w:val="597923" w:themeColor="accent1" w:themeShade="BF"/>
                      <w:szCs w:val="16"/>
                    </w:rPr>
                    <w:t>3.7</w:t>
                  </w:r>
                </w:p>
              </w:tc>
              <w:tc>
                <w:tcPr>
                  <w:tcW w:w="1000" w:type="pct"/>
                  <w:tcBorders>
                    <w:top w:val="nil"/>
                    <w:left w:val="nil"/>
                    <w:bottom w:val="nil"/>
                    <w:right w:val="nil"/>
                  </w:tcBorders>
                  <w:shd w:val="clear" w:color="auto" w:fill="auto"/>
                  <w:vAlign w:val="bottom"/>
                </w:tcPr>
                <w:p w14:paraId="1D0A6DF6" w14:textId="77777777" w:rsidR="006542BD" w:rsidRPr="006542BD" w:rsidRDefault="006542BD" w:rsidP="006542BD">
                  <w:pPr>
                    <w:pStyle w:val="TableBodyText"/>
                    <w:spacing w:after="0"/>
                    <w:rPr>
                      <w:rFonts w:cs="Arial"/>
                      <w:color w:val="597923" w:themeColor="accent1" w:themeShade="BF"/>
                      <w:szCs w:val="16"/>
                    </w:rPr>
                  </w:pPr>
                  <w:r w:rsidRPr="006542BD">
                    <w:rPr>
                      <w:rFonts w:cs="Arial"/>
                      <w:color w:val="597923" w:themeColor="accent1" w:themeShade="BF"/>
                      <w:szCs w:val="16"/>
                    </w:rPr>
                    <w:t>3.2</w:t>
                  </w:r>
                </w:p>
              </w:tc>
              <w:tc>
                <w:tcPr>
                  <w:tcW w:w="1000" w:type="pct"/>
                  <w:tcBorders>
                    <w:top w:val="nil"/>
                    <w:left w:val="nil"/>
                    <w:bottom w:val="nil"/>
                    <w:right w:val="nil"/>
                  </w:tcBorders>
                  <w:shd w:val="clear" w:color="auto" w:fill="auto"/>
                  <w:vAlign w:val="bottom"/>
                </w:tcPr>
                <w:p w14:paraId="1D0A6DF7" w14:textId="77777777" w:rsidR="006542BD" w:rsidRPr="00286C57" w:rsidRDefault="006542BD" w:rsidP="006542BD">
                  <w:pPr>
                    <w:pStyle w:val="TableColumnHeading"/>
                    <w:spacing w:before="0" w:after="0"/>
                    <w:rPr>
                      <w:rFonts w:cs="Arial"/>
                      <w:i w:val="0"/>
                      <w:color w:val="597923" w:themeColor="accent1" w:themeShade="BF"/>
                      <w:szCs w:val="16"/>
                    </w:rPr>
                  </w:pPr>
                  <w:r w:rsidRPr="00286C57">
                    <w:rPr>
                      <w:rFonts w:cs="Arial"/>
                      <w:i w:val="0"/>
                      <w:color w:val="597923" w:themeColor="accent1" w:themeShade="BF"/>
                      <w:szCs w:val="16"/>
                    </w:rPr>
                    <w:t>2.4</w:t>
                  </w:r>
                </w:p>
              </w:tc>
              <w:tc>
                <w:tcPr>
                  <w:tcW w:w="1000" w:type="pct"/>
                  <w:tcBorders>
                    <w:top w:val="nil"/>
                    <w:left w:val="nil"/>
                    <w:bottom w:val="nil"/>
                    <w:right w:val="nil"/>
                  </w:tcBorders>
                  <w:shd w:val="clear" w:color="auto" w:fill="auto"/>
                  <w:vAlign w:val="bottom"/>
                </w:tcPr>
                <w:p w14:paraId="1D0A6DF8" w14:textId="77777777" w:rsidR="006542BD" w:rsidRPr="006542BD" w:rsidRDefault="006542BD" w:rsidP="006542BD">
                  <w:pPr>
                    <w:pStyle w:val="TableBodyText"/>
                    <w:spacing w:after="0"/>
                    <w:rPr>
                      <w:rFonts w:cs="Arial"/>
                      <w:color w:val="597923" w:themeColor="accent1" w:themeShade="BF"/>
                      <w:szCs w:val="16"/>
                    </w:rPr>
                  </w:pPr>
                  <w:r w:rsidRPr="006542BD">
                    <w:rPr>
                      <w:rFonts w:cs="Arial"/>
                      <w:color w:val="597923" w:themeColor="accent1" w:themeShade="BF"/>
                      <w:szCs w:val="16"/>
                    </w:rPr>
                    <w:t>2.2</w:t>
                  </w:r>
                </w:p>
              </w:tc>
            </w:tr>
            <w:tr w:rsidR="006542BD" w14:paraId="1D0A6DFF" w14:textId="77777777" w:rsidTr="007A06C1">
              <w:trPr>
                <w:trHeight w:val="198"/>
              </w:trPr>
              <w:tc>
                <w:tcPr>
                  <w:tcW w:w="1044" w:type="pct"/>
                </w:tcPr>
                <w:p w14:paraId="1D0A6DFA" w14:textId="77777777" w:rsidR="006542BD" w:rsidRDefault="006542BD" w:rsidP="006542BD">
                  <w:pPr>
                    <w:pStyle w:val="TableBodyText"/>
                    <w:jc w:val="left"/>
                  </w:pPr>
                  <w:r>
                    <w:t>Retail trade</w:t>
                  </w:r>
                </w:p>
              </w:tc>
              <w:tc>
                <w:tcPr>
                  <w:tcW w:w="956" w:type="pct"/>
                  <w:tcBorders>
                    <w:top w:val="nil"/>
                    <w:left w:val="nil"/>
                    <w:bottom w:val="nil"/>
                    <w:right w:val="nil"/>
                  </w:tcBorders>
                  <w:shd w:val="clear" w:color="auto" w:fill="auto"/>
                  <w:vAlign w:val="bottom"/>
                </w:tcPr>
                <w:p w14:paraId="1D0A6DFB" w14:textId="77777777" w:rsidR="006542BD" w:rsidRPr="00286C57" w:rsidRDefault="006542BD" w:rsidP="006542BD">
                  <w:pPr>
                    <w:pStyle w:val="TableBodyText"/>
                    <w:spacing w:after="0"/>
                    <w:rPr>
                      <w:rFonts w:cs="Arial"/>
                      <w:color w:val="597923" w:themeColor="accent1" w:themeShade="BF"/>
                      <w:szCs w:val="16"/>
                    </w:rPr>
                  </w:pPr>
                  <w:r w:rsidRPr="00286C57">
                    <w:rPr>
                      <w:rFonts w:cs="Arial"/>
                      <w:color w:val="597923" w:themeColor="accent1" w:themeShade="BF"/>
                      <w:szCs w:val="16"/>
                    </w:rPr>
                    <w:t>2.5</w:t>
                  </w:r>
                </w:p>
              </w:tc>
              <w:tc>
                <w:tcPr>
                  <w:tcW w:w="1000" w:type="pct"/>
                  <w:tcBorders>
                    <w:top w:val="nil"/>
                    <w:left w:val="nil"/>
                    <w:bottom w:val="nil"/>
                    <w:right w:val="nil"/>
                  </w:tcBorders>
                  <w:shd w:val="clear" w:color="auto" w:fill="auto"/>
                  <w:vAlign w:val="bottom"/>
                </w:tcPr>
                <w:p w14:paraId="1D0A6DFC" w14:textId="77777777" w:rsidR="006542BD" w:rsidRPr="006542BD" w:rsidRDefault="006542BD" w:rsidP="006542BD">
                  <w:pPr>
                    <w:pStyle w:val="TableBodyText"/>
                    <w:spacing w:after="0"/>
                    <w:rPr>
                      <w:rFonts w:cs="Arial"/>
                      <w:color w:val="597923" w:themeColor="accent1" w:themeShade="BF"/>
                      <w:szCs w:val="16"/>
                    </w:rPr>
                  </w:pPr>
                  <w:r w:rsidRPr="006542BD">
                    <w:rPr>
                      <w:rFonts w:cs="Arial"/>
                      <w:color w:val="597923" w:themeColor="accent1" w:themeShade="BF"/>
                      <w:szCs w:val="16"/>
                    </w:rPr>
                    <w:t>2.3</w:t>
                  </w:r>
                </w:p>
              </w:tc>
              <w:tc>
                <w:tcPr>
                  <w:tcW w:w="1000" w:type="pct"/>
                  <w:tcBorders>
                    <w:top w:val="nil"/>
                    <w:left w:val="nil"/>
                    <w:bottom w:val="nil"/>
                    <w:right w:val="nil"/>
                  </w:tcBorders>
                  <w:shd w:val="clear" w:color="auto" w:fill="auto"/>
                  <w:vAlign w:val="bottom"/>
                </w:tcPr>
                <w:p w14:paraId="1D0A6DFD" w14:textId="77777777" w:rsidR="006542BD" w:rsidRPr="00286C57" w:rsidRDefault="006542BD" w:rsidP="006542BD">
                  <w:pPr>
                    <w:pStyle w:val="TableColumnHeading"/>
                    <w:spacing w:before="0" w:after="0"/>
                    <w:rPr>
                      <w:rFonts w:cs="Arial"/>
                      <w:i w:val="0"/>
                      <w:color w:val="597923" w:themeColor="accent1" w:themeShade="BF"/>
                      <w:szCs w:val="16"/>
                    </w:rPr>
                  </w:pPr>
                  <w:r w:rsidRPr="00286C57">
                    <w:rPr>
                      <w:rFonts w:cs="Arial"/>
                      <w:i w:val="0"/>
                      <w:color w:val="597923" w:themeColor="accent1" w:themeShade="BF"/>
                      <w:szCs w:val="16"/>
                    </w:rPr>
                    <w:t>1.4</w:t>
                  </w:r>
                </w:p>
              </w:tc>
              <w:tc>
                <w:tcPr>
                  <w:tcW w:w="1000" w:type="pct"/>
                  <w:tcBorders>
                    <w:top w:val="nil"/>
                    <w:left w:val="nil"/>
                    <w:bottom w:val="nil"/>
                    <w:right w:val="nil"/>
                  </w:tcBorders>
                  <w:shd w:val="clear" w:color="auto" w:fill="auto"/>
                  <w:vAlign w:val="bottom"/>
                </w:tcPr>
                <w:p w14:paraId="1D0A6DFE" w14:textId="77777777" w:rsidR="006542BD" w:rsidRPr="006542BD" w:rsidRDefault="006542BD" w:rsidP="006542BD">
                  <w:pPr>
                    <w:pStyle w:val="TableBodyText"/>
                    <w:spacing w:after="0"/>
                    <w:rPr>
                      <w:rFonts w:cs="Arial"/>
                      <w:color w:val="597923" w:themeColor="accent1" w:themeShade="BF"/>
                      <w:szCs w:val="16"/>
                    </w:rPr>
                  </w:pPr>
                  <w:r w:rsidRPr="006542BD">
                    <w:rPr>
                      <w:rFonts w:cs="Arial"/>
                      <w:color w:val="597923" w:themeColor="accent1" w:themeShade="BF"/>
                      <w:szCs w:val="16"/>
                    </w:rPr>
                    <w:t>1.2</w:t>
                  </w:r>
                </w:p>
              </w:tc>
            </w:tr>
            <w:tr w:rsidR="006542BD" w14:paraId="1D0A6E05" w14:textId="77777777" w:rsidTr="007A06C1">
              <w:trPr>
                <w:trHeight w:val="198"/>
              </w:trPr>
              <w:tc>
                <w:tcPr>
                  <w:tcW w:w="1044" w:type="pct"/>
                </w:tcPr>
                <w:p w14:paraId="1D0A6E00" w14:textId="77777777" w:rsidR="006542BD" w:rsidRDefault="006542BD" w:rsidP="006542BD">
                  <w:pPr>
                    <w:pStyle w:val="TableBodyText"/>
                    <w:jc w:val="left"/>
                  </w:pPr>
                  <w:r>
                    <w:t>Accommodation services</w:t>
                  </w:r>
                </w:p>
              </w:tc>
              <w:tc>
                <w:tcPr>
                  <w:tcW w:w="956" w:type="pct"/>
                  <w:tcBorders>
                    <w:top w:val="nil"/>
                    <w:left w:val="nil"/>
                    <w:bottom w:val="nil"/>
                    <w:right w:val="nil"/>
                  </w:tcBorders>
                  <w:shd w:val="clear" w:color="auto" w:fill="auto"/>
                  <w:vAlign w:val="bottom"/>
                </w:tcPr>
                <w:p w14:paraId="1D0A6E01" w14:textId="77777777" w:rsidR="006542BD" w:rsidRPr="00286C57" w:rsidRDefault="006542BD" w:rsidP="006542BD">
                  <w:pPr>
                    <w:pStyle w:val="TableBodyText"/>
                    <w:spacing w:after="0"/>
                    <w:rPr>
                      <w:rFonts w:cs="Arial"/>
                      <w:color w:val="597923" w:themeColor="accent1" w:themeShade="BF"/>
                      <w:szCs w:val="16"/>
                    </w:rPr>
                  </w:pPr>
                  <w:r w:rsidRPr="00286C57">
                    <w:rPr>
                      <w:rFonts w:cs="Arial"/>
                      <w:color w:val="597923" w:themeColor="accent1" w:themeShade="BF"/>
                      <w:szCs w:val="16"/>
                    </w:rPr>
                    <w:t>0.8</w:t>
                  </w:r>
                </w:p>
              </w:tc>
              <w:tc>
                <w:tcPr>
                  <w:tcW w:w="1000" w:type="pct"/>
                  <w:tcBorders>
                    <w:top w:val="nil"/>
                    <w:left w:val="nil"/>
                    <w:bottom w:val="nil"/>
                    <w:right w:val="nil"/>
                  </w:tcBorders>
                  <w:shd w:val="clear" w:color="auto" w:fill="auto"/>
                  <w:vAlign w:val="bottom"/>
                </w:tcPr>
                <w:p w14:paraId="1D0A6E02" w14:textId="77777777" w:rsidR="006542BD" w:rsidRPr="006542BD" w:rsidRDefault="006542BD" w:rsidP="006542BD">
                  <w:pPr>
                    <w:pStyle w:val="TableColumnHeading"/>
                    <w:spacing w:before="0" w:after="0"/>
                    <w:rPr>
                      <w:rFonts w:cs="Arial"/>
                      <w:i w:val="0"/>
                      <w:color w:val="C00000"/>
                      <w:szCs w:val="16"/>
                    </w:rPr>
                  </w:pPr>
                  <w:r w:rsidRPr="006542BD">
                    <w:rPr>
                      <w:rFonts w:cs="Arial"/>
                      <w:i w:val="0"/>
                      <w:color w:val="C00000"/>
                      <w:szCs w:val="16"/>
                    </w:rPr>
                    <w:t>-0.1</w:t>
                  </w:r>
                </w:p>
              </w:tc>
              <w:tc>
                <w:tcPr>
                  <w:tcW w:w="1000" w:type="pct"/>
                  <w:tcBorders>
                    <w:top w:val="nil"/>
                    <w:left w:val="nil"/>
                    <w:bottom w:val="nil"/>
                    <w:right w:val="nil"/>
                  </w:tcBorders>
                  <w:shd w:val="clear" w:color="auto" w:fill="auto"/>
                  <w:vAlign w:val="bottom"/>
                </w:tcPr>
                <w:p w14:paraId="1D0A6E03" w14:textId="77777777" w:rsidR="006542BD" w:rsidRPr="00286C57" w:rsidRDefault="006542BD" w:rsidP="006542BD">
                  <w:pPr>
                    <w:pStyle w:val="TableColumnHeading"/>
                    <w:spacing w:before="0" w:after="0"/>
                    <w:rPr>
                      <w:rFonts w:cs="Arial"/>
                      <w:i w:val="0"/>
                      <w:color w:val="597923" w:themeColor="accent1" w:themeShade="BF"/>
                      <w:szCs w:val="16"/>
                    </w:rPr>
                  </w:pPr>
                  <w:r w:rsidRPr="00286C57">
                    <w:rPr>
                      <w:rFonts w:cs="Arial"/>
                      <w:i w:val="0"/>
                      <w:color w:val="597923" w:themeColor="accent1" w:themeShade="BF"/>
                      <w:szCs w:val="16"/>
                    </w:rPr>
                    <w:t>0.4</w:t>
                  </w:r>
                </w:p>
              </w:tc>
              <w:tc>
                <w:tcPr>
                  <w:tcW w:w="1000" w:type="pct"/>
                  <w:tcBorders>
                    <w:top w:val="nil"/>
                    <w:left w:val="nil"/>
                    <w:bottom w:val="nil"/>
                    <w:right w:val="nil"/>
                  </w:tcBorders>
                  <w:shd w:val="clear" w:color="auto" w:fill="auto"/>
                  <w:vAlign w:val="bottom"/>
                </w:tcPr>
                <w:p w14:paraId="1D0A6E04" w14:textId="77777777" w:rsidR="006542BD" w:rsidRPr="006542BD" w:rsidRDefault="006542BD" w:rsidP="006542BD">
                  <w:pPr>
                    <w:pStyle w:val="TableColumnHeading"/>
                    <w:spacing w:before="0" w:after="0"/>
                    <w:rPr>
                      <w:rFonts w:cs="Arial"/>
                      <w:i w:val="0"/>
                      <w:color w:val="C00000"/>
                      <w:szCs w:val="16"/>
                    </w:rPr>
                  </w:pPr>
                  <w:r w:rsidRPr="006542BD">
                    <w:rPr>
                      <w:rFonts w:cs="Arial"/>
                      <w:i w:val="0"/>
                      <w:color w:val="C00000"/>
                      <w:szCs w:val="16"/>
                    </w:rPr>
                    <w:t>-0.1</w:t>
                  </w:r>
                </w:p>
              </w:tc>
            </w:tr>
            <w:tr w:rsidR="006542BD" w14:paraId="1D0A6E0B" w14:textId="77777777" w:rsidTr="007A06C1">
              <w:trPr>
                <w:trHeight w:val="198"/>
              </w:trPr>
              <w:tc>
                <w:tcPr>
                  <w:tcW w:w="1044" w:type="pct"/>
                </w:tcPr>
                <w:p w14:paraId="1D0A6E06" w14:textId="77777777" w:rsidR="006542BD" w:rsidRDefault="006542BD" w:rsidP="006542BD">
                  <w:pPr>
                    <w:pStyle w:val="TableBodyText"/>
                    <w:jc w:val="left"/>
                  </w:pPr>
                  <w:r>
                    <w:t>Transport</w:t>
                  </w:r>
                </w:p>
              </w:tc>
              <w:tc>
                <w:tcPr>
                  <w:tcW w:w="956" w:type="pct"/>
                  <w:tcBorders>
                    <w:top w:val="nil"/>
                    <w:left w:val="nil"/>
                    <w:bottom w:val="nil"/>
                    <w:right w:val="nil"/>
                  </w:tcBorders>
                  <w:shd w:val="clear" w:color="auto" w:fill="auto"/>
                  <w:vAlign w:val="bottom"/>
                </w:tcPr>
                <w:p w14:paraId="1D0A6E07" w14:textId="77777777" w:rsidR="006542BD" w:rsidRPr="00286C57" w:rsidRDefault="006542BD" w:rsidP="006542BD">
                  <w:pPr>
                    <w:pStyle w:val="TableBodyText"/>
                    <w:spacing w:after="0"/>
                    <w:rPr>
                      <w:rFonts w:cs="Arial"/>
                      <w:color w:val="597923" w:themeColor="accent1" w:themeShade="BF"/>
                      <w:szCs w:val="16"/>
                    </w:rPr>
                  </w:pPr>
                  <w:r w:rsidRPr="00286C57">
                    <w:rPr>
                      <w:rFonts w:cs="Arial"/>
                      <w:color w:val="597923" w:themeColor="accent1" w:themeShade="BF"/>
                      <w:szCs w:val="16"/>
                    </w:rPr>
                    <w:t>1.8</w:t>
                  </w:r>
                </w:p>
              </w:tc>
              <w:tc>
                <w:tcPr>
                  <w:tcW w:w="1000" w:type="pct"/>
                  <w:tcBorders>
                    <w:top w:val="nil"/>
                    <w:left w:val="nil"/>
                    <w:bottom w:val="nil"/>
                    <w:right w:val="nil"/>
                  </w:tcBorders>
                  <w:shd w:val="clear" w:color="auto" w:fill="auto"/>
                  <w:vAlign w:val="bottom"/>
                </w:tcPr>
                <w:p w14:paraId="1D0A6E08" w14:textId="77777777" w:rsidR="006542BD" w:rsidRPr="006542BD" w:rsidRDefault="006542BD" w:rsidP="006542BD">
                  <w:pPr>
                    <w:pStyle w:val="TableBodyText"/>
                    <w:spacing w:after="0"/>
                    <w:rPr>
                      <w:rFonts w:cs="Arial"/>
                      <w:color w:val="597923" w:themeColor="accent1" w:themeShade="BF"/>
                      <w:szCs w:val="16"/>
                    </w:rPr>
                  </w:pPr>
                  <w:r w:rsidRPr="006542BD">
                    <w:rPr>
                      <w:rFonts w:cs="Arial"/>
                      <w:color w:val="597923" w:themeColor="accent1" w:themeShade="BF"/>
                      <w:szCs w:val="16"/>
                    </w:rPr>
                    <w:t>0.3</w:t>
                  </w:r>
                </w:p>
              </w:tc>
              <w:tc>
                <w:tcPr>
                  <w:tcW w:w="1000" w:type="pct"/>
                  <w:tcBorders>
                    <w:top w:val="nil"/>
                    <w:left w:val="nil"/>
                    <w:bottom w:val="nil"/>
                    <w:right w:val="nil"/>
                  </w:tcBorders>
                  <w:shd w:val="clear" w:color="auto" w:fill="auto"/>
                  <w:vAlign w:val="bottom"/>
                </w:tcPr>
                <w:p w14:paraId="1D0A6E09" w14:textId="77777777" w:rsidR="006542BD" w:rsidRPr="00286C57" w:rsidRDefault="006542BD" w:rsidP="006542BD">
                  <w:pPr>
                    <w:pStyle w:val="TableColumnHeading"/>
                    <w:spacing w:before="0" w:after="0"/>
                    <w:rPr>
                      <w:rFonts w:cs="Arial"/>
                      <w:i w:val="0"/>
                      <w:color w:val="597923" w:themeColor="accent1" w:themeShade="BF"/>
                      <w:szCs w:val="16"/>
                    </w:rPr>
                  </w:pPr>
                  <w:r w:rsidRPr="00286C57">
                    <w:rPr>
                      <w:rFonts w:cs="Arial"/>
                      <w:i w:val="0"/>
                      <w:color w:val="597923" w:themeColor="accent1" w:themeShade="BF"/>
                      <w:szCs w:val="16"/>
                    </w:rPr>
                    <w:t>1.0</w:t>
                  </w:r>
                </w:p>
              </w:tc>
              <w:tc>
                <w:tcPr>
                  <w:tcW w:w="1000" w:type="pct"/>
                  <w:tcBorders>
                    <w:top w:val="nil"/>
                    <w:left w:val="nil"/>
                    <w:bottom w:val="nil"/>
                    <w:right w:val="nil"/>
                  </w:tcBorders>
                  <w:shd w:val="clear" w:color="auto" w:fill="auto"/>
                  <w:vAlign w:val="bottom"/>
                </w:tcPr>
                <w:p w14:paraId="1D0A6E0A" w14:textId="77777777" w:rsidR="006542BD" w:rsidRPr="006542BD" w:rsidRDefault="006542BD" w:rsidP="006542BD">
                  <w:pPr>
                    <w:pStyle w:val="TableColumnHeading"/>
                    <w:spacing w:before="0" w:after="0"/>
                    <w:rPr>
                      <w:rFonts w:cs="Arial"/>
                      <w:i w:val="0"/>
                      <w:color w:val="C00000"/>
                      <w:szCs w:val="16"/>
                    </w:rPr>
                  </w:pPr>
                  <w:r w:rsidRPr="006542BD">
                    <w:rPr>
                      <w:rFonts w:cs="Arial"/>
                      <w:i w:val="0"/>
                      <w:color w:val="C00000"/>
                      <w:szCs w:val="16"/>
                    </w:rPr>
                    <w:t>-0.8</w:t>
                  </w:r>
                </w:p>
              </w:tc>
            </w:tr>
            <w:tr w:rsidR="006542BD" w14:paraId="1D0A6E11" w14:textId="77777777" w:rsidTr="007A06C1">
              <w:trPr>
                <w:trHeight w:val="198"/>
              </w:trPr>
              <w:tc>
                <w:tcPr>
                  <w:tcW w:w="1044" w:type="pct"/>
                </w:tcPr>
                <w:p w14:paraId="1D0A6E0C" w14:textId="77777777" w:rsidR="006542BD" w:rsidRDefault="006542BD" w:rsidP="006542BD">
                  <w:pPr>
                    <w:pStyle w:val="TableBodyText"/>
                    <w:jc w:val="left"/>
                  </w:pPr>
                  <w:r>
                    <w:t>Telecommunications</w:t>
                  </w:r>
                </w:p>
              </w:tc>
              <w:tc>
                <w:tcPr>
                  <w:tcW w:w="956" w:type="pct"/>
                  <w:tcBorders>
                    <w:top w:val="nil"/>
                    <w:left w:val="nil"/>
                    <w:bottom w:val="nil"/>
                    <w:right w:val="nil"/>
                  </w:tcBorders>
                  <w:shd w:val="clear" w:color="auto" w:fill="auto"/>
                  <w:vAlign w:val="bottom"/>
                </w:tcPr>
                <w:p w14:paraId="1D0A6E0D" w14:textId="77777777" w:rsidR="006542BD" w:rsidRPr="00286C57" w:rsidRDefault="006542BD" w:rsidP="006542BD">
                  <w:pPr>
                    <w:pStyle w:val="TableBodyText"/>
                    <w:spacing w:after="0"/>
                    <w:rPr>
                      <w:rFonts w:cs="Arial"/>
                      <w:color w:val="597923" w:themeColor="accent1" w:themeShade="BF"/>
                      <w:szCs w:val="16"/>
                    </w:rPr>
                  </w:pPr>
                  <w:r w:rsidRPr="00286C57">
                    <w:rPr>
                      <w:rFonts w:cs="Arial"/>
                      <w:color w:val="597923" w:themeColor="accent1" w:themeShade="BF"/>
                      <w:szCs w:val="16"/>
                    </w:rPr>
                    <w:t>4.7</w:t>
                  </w:r>
                </w:p>
              </w:tc>
              <w:tc>
                <w:tcPr>
                  <w:tcW w:w="1000" w:type="pct"/>
                  <w:tcBorders>
                    <w:top w:val="nil"/>
                    <w:left w:val="nil"/>
                    <w:bottom w:val="nil"/>
                    <w:right w:val="nil"/>
                  </w:tcBorders>
                  <w:shd w:val="clear" w:color="auto" w:fill="auto"/>
                  <w:vAlign w:val="bottom"/>
                </w:tcPr>
                <w:p w14:paraId="1D0A6E0E" w14:textId="77777777" w:rsidR="006542BD" w:rsidRPr="006542BD" w:rsidRDefault="006542BD" w:rsidP="006542BD">
                  <w:pPr>
                    <w:pStyle w:val="TableBodyText"/>
                    <w:spacing w:after="0"/>
                    <w:rPr>
                      <w:rFonts w:cs="Arial"/>
                      <w:color w:val="597923" w:themeColor="accent1" w:themeShade="BF"/>
                      <w:szCs w:val="16"/>
                    </w:rPr>
                  </w:pPr>
                  <w:r w:rsidRPr="006542BD">
                    <w:rPr>
                      <w:rFonts w:cs="Arial"/>
                      <w:color w:val="597923" w:themeColor="accent1" w:themeShade="BF"/>
                      <w:szCs w:val="16"/>
                    </w:rPr>
                    <w:t>4.0</w:t>
                  </w:r>
                </w:p>
              </w:tc>
              <w:tc>
                <w:tcPr>
                  <w:tcW w:w="1000" w:type="pct"/>
                  <w:tcBorders>
                    <w:top w:val="nil"/>
                    <w:left w:val="nil"/>
                    <w:bottom w:val="nil"/>
                    <w:right w:val="nil"/>
                  </w:tcBorders>
                  <w:shd w:val="clear" w:color="auto" w:fill="auto"/>
                  <w:vAlign w:val="bottom"/>
                </w:tcPr>
                <w:p w14:paraId="1D0A6E0F" w14:textId="77777777" w:rsidR="006542BD" w:rsidRPr="00286C57" w:rsidRDefault="006542BD" w:rsidP="006542BD">
                  <w:pPr>
                    <w:pStyle w:val="TableColumnHeading"/>
                    <w:spacing w:before="0" w:after="0"/>
                    <w:rPr>
                      <w:rFonts w:cs="Arial"/>
                      <w:i w:val="0"/>
                      <w:color w:val="597923" w:themeColor="accent1" w:themeShade="BF"/>
                      <w:szCs w:val="16"/>
                    </w:rPr>
                  </w:pPr>
                  <w:r w:rsidRPr="00286C57">
                    <w:rPr>
                      <w:rFonts w:cs="Arial"/>
                      <w:i w:val="0"/>
                      <w:color w:val="597923" w:themeColor="accent1" w:themeShade="BF"/>
                      <w:szCs w:val="16"/>
                    </w:rPr>
                    <w:t>1.4</w:t>
                  </w:r>
                </w:p>
              </w:tc>
              <w:tc>
                <w:tcPr>
                  <w:tcW w:w="1000" w:type="pct"/>
                  <w:tcBorders>
                    <w:top w:val="nil"/>
                    <w:left w:val="nil"/>
                    <w:bottom w:val="nil"/>
                    <w:right w:val="nil"/>
                  </w:tcBorders>
                  <w:shd w:val="clear" w:color="auto" w:fill="auto"/>
                  <w:vAlign w:val="bottom"/>
                </w:tcPr>
                <w:p w14:paraId="1D0A6E10" w14:textId="77777777" w:rsidR="006542BD" w:rsidRPr="006542BD" w:rsidRDefault="006542BD" w:rsidP="006542BD">
                  <w:pPr>
                    <w:pStyle w:val="TableBodyText"/>
                    <w:spacing w:after="0"/>
                    <w:rPr>
                      <w:rFonts w:cs="Arial"/>
                      <w:color w:val="597923" w:themeColor="accent1" w:themeShade="BF"/>
                      <w:szCs w:val="16"/>
                    </w:rPr>
                  </w:pPr>
                  <w:r w:rsidRPr="006542BD">
                    <w:rPr>
                      <w:rFonts w:cs="Arial"/>
                      <w:color w:val="597923" w:themeColor="accent1" w:themeShade="BF"/>
                      <w:szCs w:val="16"/>
                    </w:rPr>
                    <w:t>1.2</w:t>
                  </w:r>
                </w:p>
              </w:tc>
            </w:tr>
            <w:tr w:rsidR="006542BD" w14:paraId="1D0A6E17" w14:textId="77777777" w:rsidTr="007A06C1">
              <w:trPr>
                <w:trHeight w:val="198"/>
              </w:trPr>
              <w:tc>
                <w:tcPr>
                  <w:tcW w:w="1044" w:type="pct"/>
                </w:tcPr>
                <w:p w14:paraId="1D0A6E12" w14:textId="77777777" w:rsidR="006542BD" w:rsidRDefault="006542BD" w:rsidP="006542BD">
                  <w:pPr>
                    <w:pStyle w:val="TableBodyText"/>
                    <w:jc w:val="left"/>
                  </w:pPr>
                  <w:r>
                    <w:t>Financial services</w:t>
                  </w:r>
                </w:p>
              </w:tc>
              <w:tc>
                <w:tcPr>
                  <w:tcW w:w="956" w:type="pct"/>
                  <w:tcBorders>
                    <w:top w:val="nil"/>
                    <w:left w:val="nil"/>
                    <w:bottom w:val="nil"/>
                    <w:right w:val="nil"/>
                  </w:tcBorders>
                  <w:shd w:val="clear" w:color="auto" w:fill="auto"/>
                  <w:vAlign w:val="bottom"/>
                </w:tcPr>
                <w:p w14:paraId="1D0A6E13" w14:textId="77777777" w:rsidR="006542BD" w:rsidRPr="00286C57" w:rsidRDefault="006542BD" w:rsidP="006542BD">
                  <w:pPr>
                    <w:pStyle w:val="TableBodyText"/>
                    <w:spacing w:after="0"/>
                    <w:rPr>
                      <w:rFonts w:cs="Arial"/>
                      <w:color w:val="597923" w:themeColor="accent1" w:themeShade="BF"/>
                      <w:szCs w:val="16"/>
                    </w:rPr>
                  </w:pPr>
                  <w:r w:rsidRPr="00286C57">
                    <w:rPr>
                      <w:rFonts w:cs="Arial"/>
                      <w:color w:val="597923" w:themeColor="accent1" w:themeShade="BF"/>
                      <w:szCs w:val="16"/>
                    </w:rPr>
                    <w:t>3.9</w:t>
                  </w:r>
                </w:p>
              </w:tc>
              <w:tc>
                <w:tcPr>
                  <w:tcW w:w="1000" w:type="pct"/>
                  <w:tcBorders>
                    <w:top w:val="nil"/>
                    <w:left w:val="nil"/>
                    <w:bottom w:val="nil"/>
                    <w:right w:val="nil"/>
                  </w:tcBorders>
                  <w:shd w:val="clear" w:color="auto" w:fill="auto"/>
                  <w:vAlign w:val="bottom"/>
                </w:tcPr>
                <w:p w14:paraId="1D0A6E14" w14:textId="77777777" w:rsidR="006542BD" w:rsidRPr="006542BD" w:rsidRDefault="006542BD" w:rsidP="006542BD">
                  <w:pPr>
                    <w:pStyle w:val="TableBodyText"/>
                    <w:spacing w:after="0"/>
                    <w:rPr>
                      <w:rFonts w:cs="Arial"/>
                      <w:color w:val="597923" w:themeColor="accent1" w:themeShade="BF"/>
                      <w:szCs w:val="16"/>
                    </w:rPr>
                  </w:pPr>
                  <w:r w:rsidRPr="006542BD">
                    <w:rPr>
                      <w:rFonts w:cs="Arial"/>
                      <w:color w:val="597923" w:themeColor="accent1" w:themeShade="BF"/>
                      <w:szCs w:val="16"/>
                    </w:rPr>
                    <w:t>1.9</w:t>
                  </w:r>
                </w:p>
              </w:tc>
              <w:tc>
                <w:tcPr>
                  <w:tcW w:w="1000" w:type="pct"/>
                  <w:tcBorders>
                    <w:top w:val="nil"/>
                    <w:left w:val="nil"/>
                    <w:bottom w:val="nil"/>
                    <w:right w:val="nil"/>
                  </w:tcBorders>
                  <w:shd w:val="clear" w:color="auto" w:fill="auto"/>
                  <w:vAlign w:val="bottom"/>
                </w:tcPr>
                <w:p w14:paraId="1D0A6E15" w14:textId="77777777" w:rsidR="006542BD" w:rsidRPr="00286C57" w:rsidRDefault="006542BD" w:rsidP="006542BD">
                  <w:pPr>
                    <w:pStyle w:val="TableColumnHeading"/>
                    <w:spacing w:before="0" w:after="0"/>
                    <w:rPr>
                      <w:rFonts w:cs="Arial"/>
                      <w:i w:val="0"/>
                      <w:color w:val="597923" w:themeColor="accent1" w:themeShade="BF"/>
                      <w:szCs w:val="16"/>
                    </w:rPr>
                  </w:pPr>
                  <w:r w:rsidRPr="00286C57">
                    <w:rPr>
                      <w:rFonts w:cs="Arial"/>
                      <w:i w:val="0"/>
                      <w:color w:val="597923" w:themeColor="accent1" w:themeShade="BF"/>
                      <w:szCs w:val="16"/>
                    </w:rPr>
                    <w:t>2.4</w:t>
                  </w:r>
                </w:p>
              </w:tc>
              <w:tc>
                <w:tcPr>
                  <w:tcW w:w="1000" w:type="pct"/>
                  <w:tcBorders>
                    <w:top w:val="nil"/>
                    <w:left w:val="nil"/>
                    <w:bottom w:val="nil"/>
                    <w:right w:val="nil"/>
                  </w:tcBorders>
                  <w:shd w:val="clear" w:color="auto" w:fill="auto"/>
                  <w:vAlign w:val="bottom"/>
                </w:tcPr>
                <w:p w14:paraId="1D0A6E16" w14:textId="77777777" w:rsidR="006542BD" w:rsidRPr="006542BD" w:rsidRDefault="006542BD" w:rsidP="006542BD">
                  <w:pPr>
                    <w:pStyle w:val="TableBodyText"/>
                    <w:spacing w:after="0"/>
                    <w:rPr>
                      <w:rFonts w:cs="Arial"/>
                      <w:color w:val="597923" w:themeColor="accent1" w:themeShade="BF"/>
                      <w:szCs w:val="16"/>
                    </w:rPr>
                  </w:pPr>
                  <w:r w:rsidRPr="006542BD">
                    <w:rPr>
                      <w:rFonts w:cs="Arial"/>
                      <w:color w:val="597923" w:themeColor="accent1" w:themeShade="BF"/>
                      <w:szCs w:val="16"/>
                    </w:rPr>
                    <w:t>1.4</w:t>
                  </w:r>
                </w:p>
              </w:tc>
            </w:tr>
            <w:tr w:rsidR="006542BD" w14:paraId="1D0A6E1D" w14:textId="77777777" w:rsidTr="007A06C1">
              <w:trPr>
                <w:trHeight w:val="198"/>
              </w:trPr>
              <w:tc>
                <w:tcPr>
                  <w:tcW w:w="1044" w:type="pct"/>
                </w:tcPr>
                <w:p w14:paraId="1D0A6E18" w14:textId="77777777" w:rsidR="006542BD" w:rsidRDefault="006542BD" w:rsidP="006542BD">
                  <w:pPr>
                    <w:pStyle w:val="TableBodyText"/>
                    <w:jc w:val="left"/>
                  </w:pPr>
                  <w:r>
                    <w:t>Rental, hiring and real estate</w:t>
                  </w:r>
                </w:p>
              </w:tc>
              <w:tc>
                <w:tcPr>
                  <w:tcW w:w="956" w:type="pct"/>
                  <w:tcBorders>
                    <w:top w:val="nil"/>
                    <w:left w:val="nil"/>
                    <w:bottom w:val="nil"/>
                    <w:right w:val="nil"/>
                  </w:tcBorders>
                  <w:shd w:val="clear" w:color="auto" w:fill="auto"/>
                  <w:vAlign w:val="bottom"/>
                </w:tcPr>
                <w:p w14:paraId="1D0A6E19" w14:textId="77777777" w:rsidR="006542BD" w:rsidRPr="00286C57" w:rsidRDefault="006542BD" w:rsidP="006542BD">
                  <w:pPr>
                    <w:pStyle w:val="TableBodyText"/>
                    <w:spacing w:after="0"/>
                    <w:rPr>
                      <w:rFonts w:cs="Arial"/>
                      <w:color w:val="597923" w:themeColor="accent1" w:themeShade="BF"/>
                      <w:szCs w:val="16"/>
                    </w:rPr>
                  </w:pPr>
                  <w:r w:rsidRPr="00286C57">
                    <w:rPr>
                      <w:rFonts w:cs="Arial"/>
                      <w:color w:val="597923" w:themeColor="accent1" w:themeShade="BF"/>
                      <w:szCs w:val="16"/>
                    </w:rPr>
                    <w:t>1.0</w:t>
                  </w:r>
                </w:p>
              </w:tc>
              <w:tc>
                <w:tcPr>
                  <w:tcW w:w="1000" w:type="pct"/>
                  <w:tcBorders>
                    <w:top w:val="nil"/>
                    <w:left w:val="nil"/>
                    <w:bottom w:val="nil"/>
                    <w:right w:val="nil"/>
                  </w:tcBorders>
                  <w:shd w:val="clear" w:color="auto" w:fill="auto"/>
                  <w:vAlign w:val="bottom"/>
                </w:tcPr>
                <w:p w14:paraId="1D0A6E1A" w14:textId="77777777" w:rsidR="006542BD" w:rsidRPr="006542BD" w:rsidRDefault="006542BD" w:rsidP="006542BD">
                  <w:pPr>
                    <w:pStyle w:val="TableBodyText"/>
                    <w:spacing w:after="0"/>
                    <w:rPr>
                      <w:rFonts w:cs="Arial"/>
                      <w:color w:val="597923" w:themeColor="accent1" w:themeShade="BF"/>
                      <w:szCs w:val="16"/>
                    </w:rPr>
                  </w:pPr>
                  <w:r w:rsidRPr="006542BD">
                    <w:rPr>
                      <w:rFonts w:cs="Arial"/>
                      <w:color w:val="597923" w:themeColor="accent1" w:themeShade="BF"/>
                      <w:szCs w:val="16"/>
                    </w:rPr>
                    <w:t>4.5</w:t>
                  </w:r>
                </w:p>
              </w:tc>
              <w:tc>
                <w:tcPr>
                  <w:tcW w:w="1000" w:type="pct"/>
                  <w:tcBorders>
                    <w:top w:val="nil"/>
                    <w:left w:val="nil"/>
                    <w:bottom w:val="nil"/>
                    <w:right w:val="nil"/>
                  </w:tcBorders>
                  <w:shd w:val="clear" w:color="auto" w:fill="auto"/>
                  <w:vAlign w:val="bottom"/>
                </w:tcPr>
                <w:p w14:paraId="1D0A6E1B" w14:textId="77777777" w:rsidR="006542BD" w:rsidRPr="006542BD" w:rsidRDefault="006542BD" w:rsidP="006542BD">
                  <w:pPr>
                    <w:pStyle w:val="TableColumnHeading"/>
                    <w:spacing w:before="0" w:after="0"/>
                    <w:rPr>
                      <w:rFonts w:cs="Arial"/>
                      <w:i w:val="0"/>
                      <w:color w:val="C00000"/>
                      <w:szCs w:val="16"/>
                    </w:rPr>
                  </w:pPr>
                  <w:r w:rsidRPr="00286C57">
                    <w:rPr>
                      <w:rFonts w:cs="Arial"/>
                      <w:i w:val="0"/>
                      <w:color w:val="C00000"/>
                      <w:szCs w:val="16"/>
                    </w:rPr>
                    <w:t>-1.6</w:t>
                  </w:r>
                </w:p>
              </w:tc>
              <w:tc>
                <w:tcPr>
                  <w:tcW w:w="1000" w:type="pct"/>
                  <w:tcBorders>
                    <w:top w:val="nil"/>
                    <w:left w:val="nil"/>
                    <w:bottom w:val="nil"/>
                    <w:right w:val="nil"/>
                  </w:tcBorders>
                  <w:shd w:val="clear" w:color="auto" w:fill="auto"/>
                  <w:vAlign w:val="bottom"/>
                </w:tcPr>
                <w:p w14:paraId="1D0A6E1C" w14:textId="77777777" w:rsidR="006542BD" w:rsidRPr="006542BD" w:rsidRDefault="006542BD" w:rsidP="006542BD">
                  <w:pPr>
                    <w:pStyle w:val="TableBodyText"/>
                    <w:spacing w:after="0"/>
                    <w:rPr>
                      <w:rFonts w:cs="Arial"/>
                      <w:color w:val="597923" w:themeColor="accent1" w:themeShade="BF"/>
                      <w:szCs w:val="16"/>
                    </w:rPr>
                  </w:pPr>
                  <w:r w:rsidRPr="006542BD">
                    <w:rPr>
                      <w:rFonts w:cs="Arial"/>
                      <w:color w:val="597923" w:themeColor="accent1" w:themeShade="BF"/>
                      <w:szCs w:val="16"/>
                    </w:rPr>
                    <w:t>2.9</w:t>
                  </w:r>
                </w:p>
              </w:tc>
            </w:tr>
            <w:tr w:rsidR="006542BD" w14:paraId="1D0A6E23" w14:textId="77777777" w:rsidTr="007A06C1">
              <w:trPr>
                <w:trHeight w:val="198"/>
              </w:trPr>
              <w:tc>
                <w:tcPr>
                  <w:tcW w:w="1044" w:type="pct"/>
                </w:tcPr>
                <w:p w14:paraId="1D0A6E1E" w14:textId="77777777" w:rsidR="006542BD" w:rsidRDefault="006542BD" w:rsidP="006542BD">
                  <w:pPr>
                    <w:pStyle w:val="TableBodyText"/>
                    <w:jc w:val="left"/>
                  </w:pPr>
                  <w:r>
                    <w:t xml:space="preserve">Professional services </w:t>
                  </w:r>
                </w:p>
              </w:tc>
              <w:tc>
                <w:tcPr>
                  <w:tcW w:w="956" w:type="pct"/>
                  <w:tcBorders>
                    <w:top w:val="nil"/>
                    <w:left w:val="nil"/>
                    <w:bottom w:val="nil"/>
                    <w:right w:val="nil"/>
                  </w:tcBorders>
                  <w:shd w:val="clear" w:color="auto" w:fill="auto"/>
                  <w:vAlign w:val="bottom"/>
                </w:tcPr>
                <w:p w14:paraId="1D0A6E1F" w14:textId="77777777" w:rsidR="006542BD" w:rsidRPr="00286C57" w:rsidRDefault="006542BD" w:rsidP="006542BD">
                  <w:pPr>
                    <w:pStyle w:val="TableBodyText"/>
                    <w:spacing w:after="0"/>
                    <w:rPr>
                      <w:rFonts w:cs="Arial"/>
                      <w:color w:val="597923" w:themeColor="accent1" w:themeShade="BF"/>
                      <w:szCs w:val="16"/>
                    </w:rPr>
                  </w:pPr>
                  <w:r w:rsidRPr="00286C57">
                    <w:rPr>
                      <w:rFonts w:cs="Arial"/>
                      <w:color w:val="597923" w:themeColor="accent1" w:themeShade="BF"/>
                      <w:szCs w:val="16"/>
                    </w:rPr>
                    <w:t>0.7</w:t>
                  </w:r>
                </w:p>
              </w:tc>
              <w:tc>
                <w:tcPr>
                  <w:tcW w:w="1000" w:type="pct"/>
                  <w:tcBorders>
                    <w:top w:val="nil"/>
                    <w:left w:val="nil"/>
                    <w:bottom w:val="nil"/>
                    <w:right w:val="nil"/>
                  </w:tcBorders>
                  <w:shd w:val="clear" w:color="auto" w:fill="auto"/>
                  <w:vAlign w:val="bottom"/>
                </w:tcPr>
                <w:p w14:paraId="1D0A6E20" w14:textId="77777777" w:rsidR="006542BD" w:rsidRPr="006542BD" w:rsidRDefault="006542BD" w:rsidP="006542BD">
                  <w:pPr>
                    <w:pStyle w:val="TableBodyText"/>
                    <w:spacing w:after="0"/>
                    <w:rPr>
                      <w:rFonts w:cs="Arial"/>
                      <w:color w:val="597923" w:themeColor="accent1" w:themeShade="BF"/>
                      <w:szCs w:val="16"/>
                    </w:rPr>
                  </w:pPr>
                  <w:r w:rsidRPr="006542BD">
                    <w:rPr>
                      <w:rFonts w:cs="Arial"/>
                      <w:color w:val="597923" w:themeColor="accent1" w:themeShade="BF"/>
                      <w:szCs w:val="16"/>
                    </w:rPr>
                    <w:t>0.7</w:t>
                  </w:r>
                </w:p>
              </w:tc>
              <w:tc>
                <w:tcPr>
                  <w:tcW w:w="1000" w:type="pct"/>
                  <w:tcBorders>
                    <w:top w:val="nil"/>
                    <w:left w:val="nil"/>
                    <w:bottom w:val="nil"/>
                    <w:right w:val="nil"/>
                  </w:tcBorders>
                  <w:shd w:val="clear" w:color="auto" w:fill="auto"/>
                  <w:vAlign w:val="bottom"/>
                </w:tcPr>
                <w:p w14:paraId="1D0A6E21" w14:textId="77777777" w:rsidR="006542BD" w:rsidRPr="00286C57" w:rsidRDefault="006542BD" w:rsidP="006542BD">
                  <w:pPr>
                    <w:pStyle w:val="TableColumnHeading"/>
                    <w:spacing w:before="0" w:after="0"/>
                    <w:rPr>
                      <w:rFonts w:cs="Arial"/>
                      <w:i w:val="0"/>
                      <w:color w:val="597923" w:themeColor="accent1" w:themeShade="BF"/>
                      <w:szCs w:val="16"/>
                    </w:rPr>
                  </w:pPr>
                  <w:r w:rsidRPr="00286C57">
                    <w:rPr>
                      <w:rFonts w:cs="Arial"/>
                      <w:i w:val="0"/>
                      <w:color w:val="597923" w:themeColor="accent1" w:themeShade="BF"/>
                      <w:szCs w:val="16"/>
                    </w:rPr>
                    <w:t>0.3</w:t>
                  </w:r>
                </w:p>
              </w:tc>
              <w:tc>
                <w:tcPr>
                  <w:tcW w:w="1000" w:type="pct"/>
                  <w:tcBorders>
                    <w:top w:val="nil"/>
                    <w:left w:val="nil"/>
                    <w:bottom w:val="nil"/>
                    <w:right w:val="nil"/>
                  </w:tcBorders>
                  <w:shd w:val="clear" w:color="auto" w:fill="auto"/>
                  <w:vAlign w:val="bottom"/>
                </w:tcPr>
                <w:p w14:paraId="1D0A6E22" w14:textId="77777777" w:rsidR="006542BD" w:rsidRPr="006542BD" w:rsidRDefault="006542BD" w:rsidP="006542BD">
                  <w:pPr>
                    <w:pStyle w:val="TableBodyText"/>
                    <w:spacing w:after="0"/>
                    <w:rPr>
                      <w:rFonts w:cs="Arial"/>
                      <w:color w:val="597923" w:themeColor="accent1" w:themeShade="BF"/>
                      <w:szCs w:val="16"/>
                    </w:rPr>
                  </w:pPr>
                  <w:r w:rsidRPr="006542BD">
                    <w:rPr>
                      <w:rFonts w:cs="Arial"/>
                      <w:color w:val="597923" w:themeColor="accent1" w:themeShade="BF"/>
                      <w:szCs w:val="16"/>
                    </w:rPr>
                    <w:t>0.3</w:t>
                  </w:r>
                </w:p>
              </w:tc>
            </w:tr>
            <w:tr w:rsidR="006542BD" w14:paraId="1D0A6E29" w14:textId="77777777" w:rsidTr="007A06C1">
              <w:trPr>
                <w:trHeight w:val="198"/>
              </w:trPr>
              <w:tc>
                <w:tcPr>
                  <w:tcW w:w="1044" w:type="pct"/>
                </w:tcPr>
                <w:p w14:paraId="1D0A6E24" w14:textId="77777777" w:rsidR="006542BD" w:rsidRDefault="006542BD" w:rsidP="006542BD">
                  <w:pPr>
                    <w:pStyle w:val="TableBodyText"/>
                    <w:jc w:val="left"/>
                  </w:pPr>
                  <w:r>
                    <w:t>Administrative services</w:t>
                  </w:r>
                </w:p>
              </w:tc>
              <w:tc>
                <w:tcPr>
                  <w:tcW w:w="956" w:type="pct"/>
                  <w:tcBorders>
                    <w:top w:val="nil"/>
                    <w:left w:val="nil"/>
                    <w:bottom w:val="nil"/>
                    <w:right w:val="nil"/>
                  </w:tcBorders>
                  <w:shd w:val="clear" w:color="auto" w:fill="auto"/>
                  <w:vAlign w:val="bottom"/>
                </w:tcPr>
                <w:p w14:paraId="1D0A6E25" w14:textId="77777777" w:rsidR="006542BD" w:rsidRPr="00286C57" w:rsidRDefault="006542BD" w:rsidP="006542BD">
                  <w:pPr>
                    <w:pStyle w:val="TableBodyText"/>
                    <w:spacing w:after="0"/>
                    <w:rPr>
                      <w:rFonts w:cs="Arial"/>
                      <w:color w:val="597923" w:themeColor="accent1" w:themeShade="BF"/>
                      <w:szCs w:val="16"/>
                    </w:rPr>
                  </w:pPr>
                  <w:r w:rsidRPr="00286C57">
                    <w:rPr>
                      <w:rFonts w:cs="Arial"/>
                      <w:color w:val="597923" w:themeColor="accent1" w:themeShade="BF"/>
                      <w:szCs w:val="16"/>
                    </w:rPr>
                    <w:t>0.0</w:t>
                  </w:r>
                </w:p>
              </w:tc>
              <w:tc>
                <w:tcPr>
                  <w:tcW w:w="1000" w:type="pct"/>
                  <w:tcBorders>
                    <w:top w:val="nil"/>
                    <w:left w:val="nil"/>
                    <w:bottom w:val="nil"/>
                    <w:right w:val="nil"/>
                  </w:tcBorders>
                  <w:shd w:val="clear" w:color="auto" w:fill="auto"/>
                  <w:vAlign w:val="bottom"/>
                </w:tcPr>
                <w:p w14:paraId="1D0A6E26" w14:textId="77777777" w:rsidR="006542BD" w:rsidRPr="006542BD" w:rsidRDefault="006542BD" w:rsidP="006542BD">
                  <w:pPr>
                    <w:pStyle w:val="TableColumnHeading"/>
                    <w:spacing w:before="0" w:after="0"/>
                    <w:rPr>
                      <w:rFonts w:cs="Arial"/>
                      <w:i w:val="0"/>
                      <w:color w:val="C00000"/>
                      <w:szCs w:val="16"/>
                    </w:rPr>
                  </w:pPr>
                  <w:r w:rsidRPr="006542BD">
                    <w:rPr>
                      <w:rFonts w:cs="Arial"/>
                      <w:i w:val="0"/>
                      <w:color w:val="C00000"/>
                      <w:szCs w:val="16"/>
                    </w:rPr>
                    <w:t>-2.6</w:t>
                  </w:r>
                </w:p>
              </w:tc>
              <w:tc>
                <w:tcPr>
                  <w:tcW w:w="1000" w:type="pct"/>
                  <w:tcBorders>
                    <w:top w:val="nil"/>
                    <w:left w:val="nil"/>
                    <w:bottom w:val="nil"/>
                    <w:right w:val="nil"/>
                  </w:tcBorders>
                  <w:shd w:val="clear" w:color="auto" w:fill="auto"/>
                  <w:vAlign w:val="bottom"/>
                </w:tcPr>
                <w:p w14:paraId="1D0A6E27" w14:textId="77777777" w:rsidR="006542BD" w:rsidRPr="001070DF" w:rsidRDefault="006542BD" w:rsidP="006542BD">
                  <w:pPr>
                    <w:pStyle w:val="TableColumnHeading"/>
                    <w:spacing w:before="0" w:after="0"/>
                    <w:rPr>
                      <w:rFonts w:cs="Arial"/>
                      <w:i w:val="0"/>
                      <w:color w:val="C00000"/>
                      <w:szCs w:val="16"/>
                    </w:rPr>
                  </w:pPr>
                  <w:r w:rsidRPr="001070DF">
                    <w:rPr>
                      <w:rFonts w:cs="Arial"/>
                      <w:i w:val="0"/>
                      <w:color w:val="C00000"/>
                      <w:szCs w:val="16"/>
                    </w:rPr>
                    <w:t>-0.3</w:t>
                  </w:r>
                </w:p>
              </w:tc>
              <w:tc>
                <w:tcPr>
                  <w:tcW w:w="1000" w:type="pct"/>
                  <w:tcBorders>
                    <w:top w:val="nil"/>
                    <w:left w:val="nil"/>
                    <w:bottom w:val="nil"/>
                    <w:right w:val="nil"/>
                  </w:tcBorders>
                  <w:shd w:val="clear" w:color="auto" w:fill="auto"/>
                  <w:vAlign w:val="bottom"/>
                </w:tcPr>
                <w:p w14:paraId="1D0A6E28" w14:textId="77777777" w:rsidR="006542BD" w:rsidRPr="006542BD" w:rsidRDefault="006542BD" w:rsidP="006542BD">
                  <w:pPr>
                    <w:pStyle w:val="TableColumnHeading"/>
                    <w:spacing w:before="0" w:after="0"/>
                    <w:rPr>
                      <w:rFonts w:cs="Arial"/>
                      <w:i w:val="0"/>
                      <w:color w:val="C00000"/>
                      <w:szCs w:val="16"/>
                    </w:rPr>
                  </w:pPr>
                  <w:r w:rsidRPr="006542BD">
                    <w:rPr>
                      <w:rFonts w:cs="Arial"/>
                      <w:i w:val="0"/>
                      <w:color w:val="C00000"/>
                      <w:szCs w:val="16"/>
                    </w:rPr>
                    <w:t>-2.7</w:t>
                  </w:r>
                </w:p>
              </w:tc>
            </w:tr>
            <w:tr w:rsidR="006542BD" w14:paraId="1D0A6E2F" w14:textId="77777777" w:rsidTr="007A06C1">
              <w:trPr>
                <w:trHeight w:val="198"/>
              </w:trPr>
              <w:tc>
                <w:tcPr>
                  <w:tcW w:w="1044" w:type="pct"/>
                </w:tcPr>
                <w:p w14:paraId="1D0A6E2A" w14:textId="77777777" w:rsidR="006542BD" w:rsidRDefault="006542BD" w:rsidP="006542BD">
                  <w:pPr>
                    <w:pStyle w:val="TableBodyText"/>
                    <w:jc w:val="left"/>
                  </w:pPr>
                  <w:r>
                    <w:t>Arts and recreation</w:t>
                  </w:r>
                </w:p>
              </w:tc>
              <w:tc>
                <w:tcPr>
                  <w:tcW w:w="956" w:type="pct"/>
                  <w:tcBorders>
                    <w:top w:val="nil"/>
                    <w:left w:val="nil"/>
                    <w:bottom w:val="nil"/>
                    <w:right w:val="nil"/>
                  </w:tcBorders>
                  <w:shd w:val="clear" w:color="auto" w:fill="auto"/>
                  <w:vAlign w:val="bottom"/>
                </w:tcPr>
                <w:p w14:paraId="1D0A6E2B" w14:textId="77777777" w:rsidR="006542BD" w:rsidRPr="00286C57" w:rsidRDefault="006542BD" w:rsidP="006542BD">
                  <w:pPr>
                    <w:pStyle w:val="TableBodyText"/>
                    <w:spacing w:after="0"/>
                    <w:rPr>
                      <w:rFonts w:cs="Arial"/>
                      <w:color w:val="597923" w:themeColor="accent1" w:themeShade="BF"/>
                      <w:szCs w:val="16"/>
                    </w:rPr>
                  </w:pPr>
                  <w:r w:rsidRPr="00286C57">
                    <w:rPr>
                      <w:rFonts w:cs="Arial"/>
                      <w:color w:val="597923" w:themeColor="accent1" w:themeShade="BF"/>
                      <w:szCs w:val="16"/>
                    </w:rPr>
                    <w:t>0.2</w:t>
                  </w:r>
                </w:p>
              </w:tc>
              <w:tc>
                <w:tcPr>
                  <w:tcW w:w="1000" w:type="pct"/>
                  <w:tcBorders>
                    <w:top w:val="nil"/>
                    <w:left w:val="nil"/>
                    <w:bottom w:val="nil"/>
                    <w:right w:val="nil"/>
                  </w:tcBorders>
                  <w:shd w:val="clear" w:color="auto" w:fill="auto"/>
                  <w:vAlign w:val="bottom"/>
                </w:tcPr>
                <w:p w14:paraId="1D0A6E2C" w14:textId="77777777" w:rsidR="006542BD" w:rsidRPr="006542BD" w:rsidRDefault="006542BD" w:rsidP="006542BD">
                  <w:pPr>
                    <w:pStyle w:val="TableBodyText"/>
                    <w:spacing w:after="0"/>
                    <w:rPr>
                      <w:rFonts w:cs="Arial"/>
                      <w:color w:val="597923" w:themeColor="accent1" w:themeShade="BF"/>
                      <w:szCs w:val="16"/>
                    </w:rPr>
                  </w:pPr>
                  <w:r w:rsidRPr="006542BD">
                    <w:rPr>
                      <w:rFonts w:cs="Arial"/>
                      <w:color w:val="597923" w:themeColor="accent1" w:themeShade="BF"/>
                      <w:szCs w:val="16"/>
                    </w:rPr>
                    <w:t>0.3</w:t>
                  </w:r>
                </w:p>
              </w:tc>
              <w:tc>
                <w:tcPr>
                  <w:tcW w:w="1000" w:type="pct"/>
                  <w:tcBorders>
                    <w:top w:val="nil"/>
                    <w:left w:val="nil"/>
                    <w:bottom w:val="nil"/>
                    <w:right w:val="nil"/>
                  </w:tcBorders>
                  <w:shd w:val="clear" w:color="auto" w:fill="auto"/>
                  <w:vAlign w:val="bottom"/>
                </w:tcPr>
                <w:p w14:paraId="1D0A6E2D" w14:textId="77777777" w:rsidR="006542BD" w:rsidRPr="001070DF" w:rsidRDefault="006542BD" w:rsidP="006542BD">
                  <w:pPr>
                    <w:pStyle w:val="TableColumnHeading"/>
                    <w:spacing w:before="0" w:after="0"/>
                    <w:rPr>
                      <w:rFonts w:cs="Arial"/>
                      <w:i w:val="0"/>
                      <w:color w:val="C00000"/>
                      <w:szCs w:val="16"/>
                    </w:rPr>
                  </w:pPr>
                  <w:r w:rsidRPr="001070DF">
                    <w:rPr>
                      <w:rFonts w:cs="Arial"/>
                      <w:i w:val="0"/>
                      <w:color w:val="C00000"/>
                      <w:szCs w:val="16"/>
                    </w:rPr>
                    <w:t>-0.7</w:t>
                  </w:r>
                </w:p>
              </w:tc>
              <w:tc>
                <w:tcPr>
                  <w:tcW w:w="1000" w:type="pct"/>
                  <w:tcBorders>
                    <w:top w:val="nil"/>
                    <w:left w:val="nil"/>
                    <w:bottom w:val="nil"/>
                    <w:right w:val="nil"/>
                  </w:tcBorders>
                  <w:shd w:val="clear" w:color="auto" w:fill="auto"/>
                  <w:vAlign w:val="bottom"/>
                </w:tcPr>
                <w:p w14:paraId="1D0A6E2E" w14:textId="77777777" w:rsidR="006542BD" w:rsidRPr="006542BD" w:rsidRDefault="006542BD" w:rsidP="006542BD">
                  <w:pPr>
                    <w:pStyle w:val="TableColumnHeading"/>
                    <w:spacing w:before="0" w:after="0"/>
                    <w:rPr>
                      <w:rFonts w:cs="Arial"/>
                      <w:i w:val="0"/>
                      <w:color w:val="C00000"/>
                      <w:szCs w:val="16"/>
                    </w:rPr>
                  </w:pPr>
                  <w:r w:rsidRPr="006542BD">
                    <w:rPr>
                      <w:rFonts w:cs="Arial"/>
                      <w:i w:val="0"/>
                      <w:color w:val="C00000"/>
                      <w:szCs w:val="16"/>
                    </w:rPr>
                    <w:t>-0.3</w:t>
                  </w:r>
                </w:p>
              </w:tc>
            </w:tr>
            <w:tr w:rsidR="006542BD" w14:paraId="1D0A6E35" w14:textId="77777777" w:rsidTr="007A06C1">
              <w:trPr>
                <w:trHeight w:val="198"/>
              </w:trPr>
              <w:tc>
                <w:tcPr>
                  <w:tcW w:w="1044" w:type="pct"/>
                </w:tcPr>
                <w:p w14:paraId="1D0A6E30" w14:textId="77777777" w:rsidR="006542BD" w:rsidRDefault="006542BD" w:rsidP="006542BD">
                  <w:pPr>
                    <w:pStyle w:val="TableBodyText"/>
                    <w:jc w:val="left"/>
                  </w:pPr>
                  <w:r>
                    <w:t>Other services</w:t>
                  </w:r>
                </w:p>
              </w:tc>
              <w:tc>
                <w:tcPr>
                  <w:tcW w:w="956" w:type="pct"/>
                  <w:tcBorders>
                    <w:top w:val="nil"/>
                    <w:left w:val="nil"/>
                    <w:bottom w:val="nil"/>
                    <w:right w:val="nil"/>
                  </w:tcBorders>
                  <w:shd w:val="clear" w:color="auto" w:fill="auto"/>
                  <w:vAlign w:val="bottom"/>
                </w:tcPr>
                <w:p w14:paraId="1D0A6E31" w14:textId="77777777" w:rsidR="006542BD" w:rsidRPr="00286C57" w:rsidRDefault="006542BD" w:rsidP="006542BD">
                  <w:pPr>
                    <w:pStyle w:val="TableBodyText"/>
                    <w:spacing w:after="0"/>
                    <w:rPr>
                      <w:rFonts w:cs="Arial"/>
                      <w:color w:val="597923" w:themeColor="accent1" w:themeShade="BF"/>
                      <w:szCs w:val="16"/>
                    </w:rPr>
                  </w:pPr>
                  <w:r w:rsidRPr="00286C57">
                    <w:rPr>
                      <w:rFonts w:cs="Arial"/>
                      <w:color w:val="597923" w:themeColor="accent1" w:themeShade="BF"/>
                      <w:szCs w:val="16"/>
                    </w:rPr>
                    <w:t>1.7</w:t>
                  </w:r>
                </w:p>
              </w:tc>
              <w:tc>
                <w:tcPr>
                  <w:tcW w:w="1000" w:type="pct"/>
                  <w:tcBorders>
                    <w:top w:val="nil"/>
                    <w:left w:val="nil"/>
                    <w:bottom w:val="nil"/>
                    <w:right w:val="nil"/>
                  </w:tcBorders>
                  <w:shd w:val="clear" w:color="auto" w:fill="auto"/>
                  <w:vAlign w:val="bottom"/>
                </w:tcPr>
                <w:p w14:paraId="1D0A6E32" w14:textId="77777777" w:rsidR="006542BD" w:rsidRPr="006542BD" w:rsidRDefault="006542BD" w:rsidP="006542BD">
                  <w:pPr>
                    <w:pStyle w:val="TableBodyText"/>
                    <w:spacing w:after="0"/>
                    <w:rPr>
                      <w:rFonts w:cs="Arial"/>
                      <w:color w:val="597923" w:themeColor="accent1" w:themeShade="BF"/>
                      <w:szCs w:val="16"/>
                    </w:rPr>
                  </w:pPr>
                  <w:r w:rsidRPr="006542BD">
                    <w:rPr>
                      <w:rFonts w:cs="Arial"/>
                      <w:color w:val="597923" w:themeColor="accent1" w:themeShade="BF"/>
                      <w:szCs w:val="16"/>
                    </w:rPr>
                    <w:t>1.7</w:t>
                  </w:r>
                </w:p>
              </w:tc>
              <w:tc>
                <w:tcPr>
                  <w:tcW w:w="1000" w:type="pct"/>
                  <w:tcBorders>
                    <w:top w:val="nil"/>
                    <w:left w:val="nil"/>
                    <w:bottom w:val="nil"/>
                    <w:right w:val="nil"/>
                  </w:tcBorders>
                  <w:shd w:val="clear" w:color="auto" w:fill="auto"/>
                  <w:vAlign w:val="bottom"/>
                </w:tcPr>
                <w:p w14:paraId="1D0A6E33" w14:textId="77777777" w:rsidR="006542BD" w:rsidRPr="00286C57" w:rsidRDefault="006542BD" w:rsidP="006542BD">
                  <w:pPr>
                    <w:pStyle w:val="TableColumnHeading"/>
                    <w:spacing w:before="0" w:after="0"/>
                    <w:rPr>
                      <w:rFonts w:cs="Arial"/>
                      <w:i w:val="0"/>
                      <w:color w:val="597923" w:themeColor="accent1" w:themeShade="BF"/>
                      <w:szCs w:val="16"/>
                    </w:rPr>
                  </w:pPr>
                  <w:r w:rsidRPr="00286C57">
                    <w:rPr>
                      <w:rFonts w:cs="Arial"/>
                      <w:i w:val="0"/>
                      <w:color w:val="597923" w:themeColor="accent1" w:themeShade="BF"/>
                      <w:szCs w:val="16"/>
                    </w:rPr>
                    <w:t>0.2</w:t>
                  </w:r>
                </w:p>
              </w:tc>
              <w:tc>
                <w:tcPr>
                  <w:tcW w:w="1000" w:type="pct"/>
                  <w:tcBorders>
                    <w:top w:val="nil"/>
                    <w:left w:val="nil"/>
                    <w:bottom w:val="nil"/>
                    <w:right w:val="nil"/>
                  </w:tcBorders>
                  <w:shd w:val="clear" w:color="auto" w:fill="auto"/>
                  <w:vAlign w:val="bottom"/>
                </w:tcPr>
                <w:p w14:paraId="1D0A6E34" w14:textId="77777777" w:rsidR="006542BD" w:rsidRPr="006542BD" w:rsidRDefault="006542BD" w:rsidP="006542BD">
                  <w:pPr>
                    <w:pStyle w:val="TableBodyText"/>
                    <w:spacing w:after="0"/>
                    <w:rPr>
                      <w:rFonts w:cs="Arial"/>
                      <w:color w:val="597923" w:themeColor="accent1" w:themeShade="BF"/>
                      <w:szCs w:val="16"/>
                    </w:rPr>
                  </w:pPr>
                  <w:r w:rsidRPr="006542BD">
                    <w:rPr>
                      <w:rFonts w:cs="Arial"/>
                      <w:color w:val="597923" w:themeColor="accent1" w:themeShade="BF"/>
                      <w:szCs w:val="16"/>
                    </w:rPr>
                    <w:t>0.5</w:t>
                  </w:r>
                </w:p>
              </w:tc>
            </w:tr>
            <w:tr w:rsidR="006542BD" w14:paraId="1D0A6E3B" w14:textId="77777777" w:rsidTr="007A06C1">
              <w:trPr>
                <w:trHeight w:val="198"/>
              </w:trPr>
              <w:tc>
                <w:tcPr>
                  <w:tcW w:w="1044" w:type="pct"/>
                </w:tcPr>
                <w:p w14:paraId="1D0A6E36" w14:textId="77777777" w:rsidR="006542BD" w:rsidRDefault="006542BD" w:rsidP="006542BD">
                  <w:pPr>
                    <w:pStyle w:val="TableBodyText"/>
                    <w:jc w:val="left"/>
                  </w:pPr>
                  <w:r>
                    <w:t>12</w:t>
                  </w:r>
                  <w:r>
                    <w:noBreakHyphen/>
                    <w:t>industry MS</w:t>
                  </w:r>
                </w:p>
              </w:tc>
              <w:tc>
                <w:tcPr>
                  <w:tcW w:w="956" w:type="pct"/>
                  <w:tcBorders>
                    <w:top w:val="nil"/>
                    <w:left w:val="nil"/>
                    <w:bottom w:val="nil"/>
                    <w:right w:val="nil"/>
                  </w:tcBorders>
                  <w:shd w:val="clear" w:color="auto" w:fill="auto"/>
                  <w:vAlign w:val="bottom"/>
                </w:tcPr>
                <w:p w14:paraId="1D0A6E37" w14:textId="77777777" w:rsidR="006542BD" w:rsidRPr="00286C57" w:rsidRDefault="006542BD" w:rsidP="006542BD">
                  <w:pPr>
                    <w:pStyle w:val="TableBodyText"/>
                    <w:spacing w:after="0"/>
                    <w:rPr>
                      <w:rFonts w:cs="Arial"/>
                      <w:color w:val="597923" w:themeColor="accent1" w:themeShade="BF"/>
                      <w:szCs w:val="16"/>
                    </w:rPr>
                  </w:pPr>
                  <w:r w:rsidRPr="00286C57">
                    <w:rPr>
                      <w:rFonts w:cs="Arial"/>
                      <w:color w:val="597923" w:themeColor="accent1" w:themeShade="BF"/>
                      <w:szCs w:val="16"/>
                    </w:rPr>
                    <w:t>2.3</w:t>
                  </w:r>
                </w:p>
              </w:tc>
              <w:tc>
                <w:tcPr>
                  <w:tcW w:w="1000" w:type="pct"/>
                  <w:tcBorders>
                    <w:top w:val="nil"/>
                    <w:left w:val="nil"/>
                    <w:bottom w:val="nil"/>
                    <w:right w:val="nil"/>
                  </w:tcBorders>
                  <w:shd w:val="clear" w:color="auto" w:fill="auto"/>
                  <w:vAlign w:val="bottom"/>
                </w:tcPr>
                <w:p w14:paraId="1D0A6E38" w14:textId="77777777" w:rsidR="006542BD" w:rsidRPr="006542BD" w:rsidRDefault="006542BD" w:rsidP="006542BD">
                  <w:pPr>
                    <w:pStyle w:val="TableBodyText"/>
                    <w:spacing w:after="0"/>
                    <w:rPr>
                      <w:rFonts w:cs="Arial"/>
                      <w:color w:val="597923" w:themeColor="accent1" w:themeShade="BF"/>
                      <w:szCs w:val="16"/>
                    </w:rPr>
                  </w:pPr>
                  <w:r w:rsidRPr="006542BD">
                    <w:rPr>
                      <w:rFonts w:cs="Arial"/>
                      <w:color w:val="597923" w:themeColor="accent1" w:themeShade="BF"/>
                      <w:szCs w:val="16"/>
                    </w:rPr>
                    <w:t>2.2</w:t>
                  </w:r>
                </w:p>
              </w:tc>
              <w:tc>
                <w:tcPr>
                  <w:tcW w:w="1000" w:type="pct"/>
                  <w:tcBorders>
                    <w:top w:val="nil"/>
                    <w:left w:val="nil"/>
                    <w:bottom w:val="nil"/>
                    <w:right w:val="nil"/>
                  </w:tcBorders>
                  <w:shd w:val="clear" w:color="auto" w:fill="auto"/>
                  <w:vAlign w:val="bottom"/>
                </w:tcPr>
                <w:p w14:paraId="1D0A6E39" w14:textId="77777777" w:rsidR="006542BD" w:rsidRPr="00286C57" w:rsidRDefault="006542BD" w:rsidP="006542BD">
                  <w:pPr>
                    <w:pStyle w:val="TableColumnHeading"/>
                    <w:spacing w:before="0" w:after="0"/>
                    <w:rPr>
                      <w:rFonts w:cs="Arial"/>
                      <w:i w:val="0"/>
                      <w:color w:val="597923" w:themeColor="accent1" w:themeShade="BF"/>
                      <w:szCs w:val="16"/>
                    </w:rPr>
                  </w:pPr>
                  <w:r w:rsidRPr="00286C57">
                    <w:rPr>
                      <w:rFonts w:cs="Arial"/>
                      <w:i w:val="0"/>
                      <w:color w:val="597923" w:themeColor="accent1" w:themeShade="BF"/>
                      <w:szCs w:val="16"/>
                    </w:rPr>
                    <w:t>0.8</w:t>
                  </w:r>
                </w:p>
              </w:tc>
              <w:tc>
                <w:tcPr>
                  <w:tcW w:w="1000" w:type="pct"/>
                  <w:tcBorders>
                    <w:top w:val="nil"/>
                    <w:left w:val="nil"/>
                    <w:bottom w:val="nil"/>
                    <w:right w:val="nil"/>
                  </w:tcBorders>
                  <w:shd w:val="clear" w:color="auto" w:fill="auto"/>
                  <w:vAlign w:val="bottom"/>
                </w:tcPr>
                <w:p w14:paraId="1D0A6E3A" w14:textId="77777777" w:rsidR="006542BD" w:rsidRPr="006542BD" w:rsidRDefault="006542BD" w:rsidP="006542BD">
                  <w:pPr>
                    <w:pStyle w:val="TableBodyText"/>
                    <w:spacing w:after="0"/>
                    <w:rPr>
                      <w:rFonts w:cs="Arial"/>
                      <w:color w:val="597923" w:themeColor="accent1" w:themeShade="BF"/>
                      <w:szCs w:val="16"/>
                    </w:rPr>
                  </w:pPr>
                  <w:r w:rsidRPr="006542BD">
                    <w:rPr>
                      <w:rFonts w:cs="Arial"/>
                      <w:color w:val="597923" w:themeColor="accent1" w:themeShade="BF"/>
                      <w:szCs w:val="16"/>
                    </w:rPr>
                    <w:t>0.2</w:t>
                  </w:r>
                </w:p>
              </w:tc>
            </w:tr>
            <w:tr w:rsidR="006542BD" w14:paraId="1D0A6E41" w14:textId="77777777" w:rsidTr="00A02E1D">
              <w:trPr>
                <w:trHeight w:val="198"/>
              </w:trPr>
              <w:tc>
                <w:tcPr>
                  <w:tcW w:w="1044" w:type="pct"/>
                </w:tcPr>
                <w:p w14:paraId="1D0A6E3C" w14:textId="77777777" w:rsidR="006542BD" w:rsidRDefault="006542BD" w:rsidP="006542BD">
                  <w:pPr>
                    <w:pStyle w:val="TableBodyText"/>
                    <w:jc w:val="left"/>
                  </w:pPr>
                  <w:r>
                    <w:t>16</w:t>
                  </w:r>
                  <w:r>
                    <w:noBreakHyphen/>
                    <w:t>industry MS</w:t>
                  </w:r>
                </w:p>
              </w:tc>
              <w:tc>
                <w:tcPr>
                  <w:tcW w:w="956" w:type="pct"/>
                  <w:tcBorders>
                    <w:top w:val="nil"/>
                    <w:left w:val="nil"/>
                    <w:right w:val="nil"/>
                  </w:tcBorders>
                  <w:shd w:val="clear" w:color="auto" w:fill="auto"/>
                  <w:vAlign w:val="bottom"/>
                </w:tcPr>
                <w:p w14:paraId="1D0A6E3D" w14:textId="77777777" w:rsidR="006542BD" w:rsidRPr="00286C57" w:rsidRDefault="006542BD" w:rsidP="006542BD">
                  <w:pPr>
                    <w:pStyle w:val="TableBodyText"/>
                    <w:spacing w:after="0"/>
                    <w:rPr>
                      <w:rFonts w:cs="Arial"/>
                      <w:color w:val="597923" w:themeColor="accent1" w:themeShade="BF"/>
                      <w:szCs w:val="16"/>
                    </w:rPr>
                  </w:pPr>
                  <w:r w:rsidRPr="00286C57">
                    <w:rPr>
                      <w:rFonts w:cs="Arial"/>
                      <w:color w:val="597923" w:themeColor="accent1" w:themeShade="BF"/>
                      <w:szCs w:val="16"/>
                    </w:rPr>
                    <w:t>2.2</w:t>
                  </w:r>
                </w:p>
              </w:tc>
              <w:tc>
                <w:tcPr>
                  <w:tcW w:w="1000" w:type="pct"/>
                  <w:tcBorders>
                    <w:top w:val="nil"/>
                    <w:left w:val="nil"/>
                    <w:right w:val="nil"/>
                  </w:tcBorders>
                  <w:shd w:val="clear" w:color="auto" w:fill="auto"/>
                  <w:vAlign w:val="bottom"/>
                </w:tcPr>
                <w:p w14:paraId="1D0A6E3E" w14:textId="77777777" w:rsidR="006542BD" w:rsidRPr="006542BD" w:rsidRDefault="006542BD" w:rsidP="006542BD">
                  <w:pPr>
                    <w:pStyle w:val="TableBodyText"/>
                    <w:spacing w:after="0"/>
                    <w:rPr>
                      <w:rFonts w:cs="Arial"/>
                      <w:color w:val="597923" w:themeColor="accent1" w:themeShade="BF"/>
                      <w:szCs w:val="16"/>
                    </w:rPr>
                  </w:pPr>
                  <w:r w:rsidRPr="006542BD">
                    <w:rPr>
                      <w:rFonts w:cs="Arial"/>
                      <w:color w:val="597923" w:themeColor="accent1" w:themeShade="BF"/>
                      <w:szCs w:val="16"/>
                    </w:rPr>
                    <w:t>1.9</w:t>
                  </w:r>
                </w:p>
              </w:tc>
              <w:tc>
                <w:tcPr>
                  <w:tcW w:w="1000" w:type="pct"/>
                  <w:tcBorders>
                    <w:top w:val="nil"/>
                    <w:left w:val="nil"/>
                    <w:right w:val="nil"/>
                  </w:tcBorders>
                  <w:shd w:val="clear" w:color="auto" w:fill="auto"/>
                  <w:vAlign w:val="bottom"/>
                </w:tcPr>
                <w:p w14:paraId="1D0A6E3F" w14:textId="77777777" w:rsidR="006542BD" w:rsidRPr="00286C57" w:rsidRDefault="006542BD" w:rsidP="006542BD">
                  <w:pPr>
                    <w:pStyle w:val="TableColumnHeading"/>
                    <w:spacing w:before="0" w:after="0"/>
                    <w:rPr>
                      <w:rFonts w:cs="Arial"/>
                      <w:i w:val="0"/>
                      <w:color w:val="597923" w:themeColor="accent1" w:themeShade="BF"/>
                      <w:szCs w:val="16"/>
                    </w:rPr>
                  </w:pPr>
                  <w:r w:rsidRPr="00286C57">
                    <w:rPr>
                      <w:rFonts w:cs="Arial"/>
                      <w:i w:val="0"/>
                      <w:color w:val="597923" w:themeColor="accent1" w:themeShade="BF"/>
                      <w:szCs w:val="16"/>
                    </w:rPr>
                    <w:t>0.7</w:t>
                  </w:r>
                </w:p>
              </w:tc>
              <w:tc>
                <w:tcPr>
                  <w:tcW w:w="1000" w:type="pct"/>
                  <w:tcBorders>
                    <w:top w:val="nil"/>
                    <w:left w:val="nil"/>
                    <w:right w:val="nil"/>
                  </w:tcBorders>
                  <w:shd w:val="clear" w:color="auto" w:fill="auto"/>
                  <w:vAlign w:val="bottom"/>
                </w:tcPr>
                <w:p w14:paraId="1D0A6E40" w14:textId="77777777" w:rsidR="006542BD" w:rsidRPr="006542BD" w:rsidRDefault="006542BD" w:rsidP="006542BD">
                  <w:pPr>
                    <w:pStyle w:val="TableBodyText"/>
                    <w:spacing w:after="0"/>
                    <w:rPr>
                      <w:rFonts w:cs="Arial"/>
                      <w:color w:val="597923" w:themeColor="accent1" w:themeShade="BF"/>
                      <w:szCs w:val="16"/>
                    </w:rPr>
                  </w:pPr>
                  <w:r w:rsidRPr="006542BD">
                    <w:rPr>
                      <w:rFonts w:cs="Arial"/>
                      <w:color w:val="597923" w:themeColor="accent1" w:themeShade="BF"/>
                      <w:szCs w:val="16"/>
                    </w:rPr>
                    <w:t>0.3</w:t>
                  </w:r>
                </w:p>
              </w:tc>
            </w:tr>
            <w:tr w:rsidR="006542BD" w14:paraId="1D0A6E47" w14:textId="77777777" w:rsidTr="00A02E1D">
              <w:trPr>
                <w:trHeight w:val="198"/>
              </w:trPr>
              <w:tc>
                <w:tcPr>
                  <w:tcW w:w="1044" w:type="pct"/>
                  <w:tcBorders>
                    <w:bottom w:val="single" w:sz="4" w:space="0" w:color="BFBFBF" w:themeColor="background2"/>
                  </w:tcBorders>
                  <w:shd w:val="clear" w:color="auto" w:fill="auto"/>
                </w:tcPr>
                <w:p w14:paraId="1D0A6E42" w14:textId="77777777" w:rsidR="006542BD" w:rsidRDefault="006542BD" w:rsidP="006542BD">
                  <w:pPr>
                    <w:pStyle w:val="TableBodyText"/>
                    <w:jc w:val="left"/>
                  </w:pPr>
                  <w:r>
                    <w:t>Whole of economy</w:t>
                  </w:r>
                </w:p>
              </w:tc>
              <w:tc>
                <w:tcPr>
                  <w:tcW w:w="956" w:type="pct"/>
                  <w:tcBorders>
                    <w:top w:val="nil"/>
                    <w:left w:val="nil"/>
                    <w:bottom w:val="single" w:sz="4" w:space="0" w:color="BFBFBF" w:themeColor="background2"/>
                    <w:right w:val="nil"/>
                  </w:tcBorders>
                  <w:shd w:val="clear" w:color="auto" w:fill="auto"/>
                  <w:vAlign w:val="bottom"/>
                </w:tcPr>
                <w:p w14:paraId="1D0A6E43" w14:textId="77777777" w:rsidR="006542BD" w:rsidRPr="00286C57" w:rsidRDefault="006542BD" w:rsidP="006542BD">
                  <w:pPr>
                    <w:pStyle w:val="TableBodyText"/>
                    <w:spacing w:after="0"/>
                    <w:rPr>
                      <w:rFonts w:cs="Arial"/>
                      <w:color w:val="597923" w:themeColor="accent1" w:themeShade="BF"/>
                      <w:szCs w:val="16"/>
                    </w:rPr>
                  </w:pPr>
                  <w:r>
                    <w:rPr>
                      <w:rFonts w:cs="Arial"/>
                      <w:color w:val="597923" w:themeColor="accent1" w:themeShade="BF"/>
                      <w:szCs w:val="16"/>
                    </w:rPr>
                    <w:t>1.6</w:t>
                  </w:r>
                </w:p>
              </w:tc>
              <w:tc>
                <w:tcPr>
                  <w:tcW w:w="1000" w:type="pct"/>
                  <w:tcBorders>
                    <w:top w:val="nil"/>
                    <w:left w:val="nil"/>
                    <w:bottom w:val="single" w:sz="4" w:space="0" w:color="BFBFBF" w:themeColor="background2"/>
                    <w:right w:val="nil"/>
                  </w:tcBorders>
                  <w:shd w:val="clear" w:color="auto" w:fill="auto"/>
                  <w:vAlign w:val="bottom"/>
                </w:tcPr>
                <w:p w14:paraId="1D0A6E44" w14:textId="77777777" w:rsidR="006542BD" w:rsidRPr="006542BD" w:rsidRDefault="006542BD" w:rsidP="006542BD">
                  <w:pPr>
                    <w:pStyle w:val="TableBodyText"/>
                    <w:spacing w:after="0"/>
                    <w:rPr>
                      <w:rFonts w:cs="Arial"/>
                      <w:color w:val="597923" w:themeColor="accent1" w:themeShade="BF"/>
                      <w:szCs w:val="16"/>
                    </w:rPr>
                  </w:pPr>
                  <w:r w:rsidRPr="006542BD">
                    <w:rPr>
                      <w:rFonts w:cs="Arial"/>
                      <w:color w:val="597923" w:themeColor="accent1" w:themeShade="BF"/>
                      <w:szCs w:val="16"/>
                    </w:rPr>
                    <w:t>1.4</w:t>
                  </w:r>
                </w:p>
              </w:tc>
              <w:tc>
                <w:tcPr>
                  <w:tcW w:w="1000" w:type="pct"/>
                  <w:tcBorders>
                    <w:top w:val="nil"/>
                    <w:left w:val="nil"/>
                    <w:bottom w:val="single" w:sz="4" w:space="0" w:color="BFBFBF" w:themeColor="background2"/>
                    <w:right w:val="nil"/>
                  </w:tcBorders>
                  <w:shd w:val="clear" w:color="auto" w:fill="auto"/>
                  <w:vAlign w:val="bottom"/>
                </w:tcPr>
                <w:p w14:paraId="1D0A6E45" w14:textId="77777777" w:rsidR="006542BD" w:rsidRPr="00286C57" w:rsidRDefault="006542BD" w:rsidP="006542BD">
                  <w:pPr>
                    <w:pStyle w:val="TableColumnHeading"/>
                    <w:spacing w:before="0" w:after="0"/>
                    <w:rPr>
                      <w:rFonts w:cs="Arial"/>
                      <w:i w:val="0"/>
                      <w:color w:val="597923" w:themeColor="accent1" w:themeShade="BF"/>
                      <w:szCs w:val="16"/>
                    </w:rPr>
                  </w:pPr>
                  <w:r>
                    <w:rPr>
                      <w:rFonts w:cs="Arial"/>
                      <w:i w:val="0"/>
                      <w:color w:val="597923" w:themeColor="accent1" w:themeShade="BF"/>
                      <w:szCs w:val="16"/>
                    </w:rPr>
                    <w:t>-</w:t>
                  </w:r>
                </w:p>
              </w:tc>
              <w:tc>
                <w:tcPr>
                  <w:tcW w:w="1000" w:type="pct"/>
                  <w:tcBorders>
                    <w:top w:val="nil"/>
                    <w:left w:val="nil"/>
                    <w:bottom w:val="single" w:sz="4" w:space="0" w:color="BFBFBF" w:themeColor="background2"/>
                    <w:right w:val="nil"/>
                  </w:tcBorders>
                  <w:shd w:val="clear" w:color="auto" w:fill="auto"/>
                  <w:vAlign w:val="bottom"/>
                </w:tcPr>
                <w:p w14:paraId="1D0A6E46" w14:textId="77777777" w:rsidR="006542BD" w:rsidRPr="006542BD" w:rsidRDefault="006542BD" w:rsidP="006542BD">
                  <w:pPr>
                    <w:pStyle w:val="TableColumnHeading"/>
                    <w:spacing w:before="0" w:after="0"/>
                    <w:rPr>
                      <w:rFonts w:cs="Arial"/>
                      <w:i w:val="0"/>
                      <w:color w:val="597923" w:themeColor="accent1" w:themeShade="BF"/>
                      <w:szCs w:val="16"/>
                    </w:rPr>
                  </w:pPr>
                  <w:r>
                    <w:rPr>
                      <w:rFonts w:cs="Arial"/>
                      <w:i w:val="0"/>
                      <w:color w:val="597923" w:themeColor="accent1" w:themeShade="BF"/>
                      <w:szCs w:val="16"/>
                    </w:rPr>
                    <w:t>-</w:t>
                  </w:r>
                </w:p>
              </w:tc>
            </w:tr>
          </w:tbl>
          <w:p w14:paraId="1D0A6E48" w14:textId="77777777" w:rsidR="00395F7C" w:rsidRDefault="00395F7C" w:rsidP="00963F7E">
            <w:pPr>
              <w:pStyle w:val="Box"/>
            </w:pPr>
          </w:p>
        </w:tc>
      </w:tr>
      <w:tr w:rsidR="00395F7C" w14:paraId="1D0A6E4B" w14:textId="77777777" w:rsidTr="00900637">
        <w:tc>
          <w:tcPr>
            <w:tcW w:w="5000" w:type="pct"/>
            <w:tcBorders>
              <w:top w:val="nil"/>
              <w:left w:val="nil"/>
              <w:bottom w:val="nil"/>
              <w:right w:val="nil"/>
            </w:tcBorders>
            <w:shd w:val="clear" w:color="auto" w:fill="auto"/>
          </w:tcPr>
          <w:p w14:paraId="1D0A6E4A" w14:textId="6F84DC8F" w:rsidR="00395F7C" w:rsidRDefault="00395F7C" w:rsidP="006542BD">
            <w:pPr>
              <w:pStyle w:val="Note"/>
              <w:rPr>
                <w:i/>
              </w:rPr>
            </w:pPr>
            <w:r w:rsidRPr="008E77FE">
              <w:rPr>
                <w:rStyle w:val="NoteLabel"/>
              </w:rPr>
              <w:t>a</w:t>
            </w:r>
            <w:r w:rsidR="007D37FA">
              <w:t xml:space="preserve"> </w:t>
            </w:r>
            <w:r w:rsidR="00696650">
              <w:t>Multifactor productivity estimates for the non</w:t>
            </w:r>
            <w:r w:rsidR="00696650">
              <w:noBreakHyphen/>
              <w:t>market sector of the economy, and the economy as a whole, are not published by the ABS</w:t>
            </w:r>
            <w:r>
              <w:t xml:space="preserve">. </w:t>
            </w:r>
            <w:r>
              <w:rPr>
                <w:rStyle w:val="NoteLabel"/>
              </w:rPr>
              <w:t>b</w:t>
            </w:r>
            <w:r>
              <w:t xml:space="preserve"> </w:t>
            </w:r>
            <w:r w:rsidR="00392986">
              <w:t>Long</w:t>
            </w:r>
            <w:r w:rsidR="00392986">
              <w:noBreakHyphen/>
            </w:r>
            <w:r w:rsidR="00773856">
              <w:t>term growth rates for the 12 selected industr</w:t>
            </w:r>
            <w:r w:rsidR="00B4697D">
              <w:t>ies</w:t>
            </w:r>
            <w:r w:rsidR="006542BD">
              <w:t xml:space="preserve"> </w:t>
            </w:r>
            <w:r w:rsidR="00773856">
              <w:t>are from 1989</w:t>
            </w:r>
            <w:r w:rsidR="006542BD">
              <w:noBreakHyphen/>
            </w:r>
            <w:r w:rsidR="00773856">
              <w:t>90 to 2015</w:t>
            </w:r>
            <w:r w:rsidR="006542BD">
              <w:noBreakHyphen/>
            </w:r>
            <w:r w:rsidR="00773856">
              <w:t>16, and for the four additional services sector industries (Divisions L, M, N and S) are from 1994</w:t>
            </w:r>
            <w:r w:rsidR="006542BD">
              <w:noBreakHyphen/>
            </w:r>
            <w:r w:rsidR="00773856">
              <w:t>95 to 2015</w:t>
            </w:r>
            <w:r w:rsidR="006542BD">
              <w:noBreakHyphen/>
            </w:r>
            <w:r w:rsidR="00773856">
              <w:t xml:space="preserve">16. </w:t>
            </w:r>
            <w:r w:rsidR="006542BD">
              <w:t>The l</w:t>
            </w:r>
            <w:r w:rsidR="00392986">
              <w:t>ong</w:t>
            </w:r>
            <w:r w:rsidR="00392986">
              <w:noBreakHyphen/>
            </w:r>
            <w:r w:rsidR="00F0486C">
              <w:t>term growth rate</w:t>
            </w:r>
            <w:r w:rsidR="006542BD">
              <w:t>s</w:t>
            </w:r>
            <w:r w:rsidR="00F0486C">
              <w:t xml:space="preserve"> for the whole economy </w:t>
            </w:r>
            <w:r w:rsidR="006542BD">
              <w:t>are</w:t>
            </w:r>
            <w:r w:rsidR="00F0486C">
              <w:t xml:space="preserve"> 30 year average</w:t>
            </w:r>
            <w:r w:rsidR="006542BD">
              <w:t>s</w:t>
            </w:r>
            <w:r w:rsidR="00F0486C">
              <w:t xml:space="preserve">. </w:t>
            </w:r>
            <w:r w:rsidR="00103CB9">
              <w:rPr>
                <w:rStyle w:val="NoteLabel"/>
              </w:rPr>
              <w:t>c</w:t>
            </w:r>
            <w:r w:rsidR="00103CB9">
              <w:t xml:space="preserve"> Green numbers relate to positive growth, while red figures relate to negative growth.</w:t>
            </w:r>
          </w:p>
        </w:tc>
      </w:tr>
      <w:tr w:rsidR="00395F7C" w14:paraId="1D0A6E4D" w14:textId="77777777" w:rsidTr="00900637">
        <w:tc>
          <w:tcPr>
            <w:tcW w:w="5000" w:type="pct"/>
            <w:tcBorders>
              <w:top w:val="nil"/>
              <w:left w:val="nil"/>
              <w:bottom w:val="nil"/>
              <w:right w:val="nil"/>
            </w:tcBorders>
            <w:shd w:val="clear" w:color="auto" w:fill="auto"/>
          </w:tcPr>
          <w:p w14:paraId="1D0A6E4C" w14:textId="4C4B943F" w:rsidR="00395F7C" w:rsidRDefault="006542BD" w:rsidP="006542BD">
            <w:pPr>
              <w:pStyle w:val="Source"/>
            </w:pPr>
            <w:r>
              <w:rPr>
                <w:i/>
              </w:rPr>
              <w:t>Source</w:t>
            </w:r>
            <w:r w:rsidR="00395F7C">
              <w:rPr>
                <w:i/>
              </w:rPr>
              <w:t>s</w:t>
            </w:r>
            <w:r w:rsidR="00395F7C" w:rsidRPr="00167F06">
              <w:t xml:space="preserve">: </w:t>
            </w:r>
            <w:r w:rsidR="00BC3774">
              <w:t xml:space="preserve">ABS </w:t>
            </w:r>
            <w:r w:rsidR="00384850" w:rsidRPr="00384850">
              <w:rPr>
                <w:rFonts w:cs="Arial"/>
              </w:rPr>
              <w:t>(</w:t>
            </w:r>
            <w:proofErr w:type="spellStart"/>
            <w:r w:rsidR="00384850" w:rsidRPr="00384850">
              <w:rPr>
                <w:rFonts w:cs="Arial"/>
              </w:rPr>
              <w:t>2016d</w:t>
            </w:r>
            <w:proofErr w:type="spellEnd"/>
            <w:r w:rsidR="00384850" w:rsidRPr="00384850">
              <w:rPr>
                <w:rFonts w:cs="Arial"/>
              </w:rPr>
              <w:t>)</w:t>
            </w:r>
            <w:r w:rsidR="00384850">
              <w:t xml:space="preserve"> </w:t>
            </w:r>
            <w:r w:rsidR="00BC3774" w:rsidRPr="00F40EBA">
              <w:rPr>
                <w:i/>
              </w:rPr>
              <w:t>Estimates of Industry Multifactor Productivity</w:t>
            </w:r>
            <w:r w:rsidR="00BC3774">
              <w:t>, 2015</w:t>
            </w:r>
            <w:r w:rsidR="00EE434A">
              <w:noBreakHyphen/>
            </w:r>
            <w:r w:rsidR="00BC3774">
              <w:t xml:space="preserve">16, Cat. no. 5260.0.55.002, December 2016, and ABS </w:t>
            </w:r>
            <w:r w:rsidR="00384850" w:rsidRPr="00384850">
              <w:rPr>
                <w:rFonts w:cs="Arial"/>
              </w:rPr>
              <w:t>(</w:t>
            </w:r>
            <w:proofErr w:type="spellStart"/>
            <w:r w:rsidR="00384850" w:rsidRPr="00384850">
              <w:rPr>
                <w:rFonts w:cs="Arial"/>
              </w:rPr>
              <w:t>2016a</w:t>
            </w:r>
            <w:proofErr w:type="spellEnd"/>
            <w:r w:rsidR="00384850" w:rsidRPr="00384850">
              <w:rPr>
                <w:rFonts w:cs="Arial"/>
              </w:rPr>
              <w:t>)</w:t>
            </w:r>
            <w:r w:rsidR="00384850">
              <w:t xml:space="preserve"> </w:t>
            </w:r>
            <w:r w:rsidR="00BC3774" w:rsidRPr="00F40EBA">
              <w:rPr>
                <w:i/>
              </w:rPr>
              <w:t>System of National Accounts 2015</w:t>
            </w:r>
            <w:r w:rsidR="00BC3774" w:rsidRPr="00F40EBA">
              <w:rPr>
                <w:i/>
              </w:rPr>
              <w:noBreakHyphen/>
              <w:t>16</w:t>
            </w:r>
            <w:r w:rsidR="00BC3774">
              <w:t>, Cat. no. 5204.0, October 2016</w:t>
            </w:r>
            <w:r>
              <w:t>, and Productivity Commission estimates</w:t>
            </w:r>
            <w:r w:rsidR="00BC3774">
              <w:t>.</w:t>
            </w:r>
          </w:p>
        </w:tc>
      </w:tr>
      <w:tr w:rsidR="00395F7C" w14:paraId="1D0A6E4F" w14:textId="77777777" w:rsidTr="00900637">
        <w:tc>
          <w:tcPr>
            <w:tcW w:w="5000" w:type="pct"/>
            <w:tcBorders>
              <w:top w:val="nil"/>
              <w:left w:val="nil"/>
              <w:bottom w:val="single" w:sz="6" w:space="0" w:color="78A22F"/>
              <w:right w:val="nil"/>
            </w:tcBorders>
            <w:shd w:val="clear" w:color="auto" w:fill="auto"/>
          </w:tcPr>
          <w:p w14:paraId="1D0A6E4E" w14:textId="77777777" w:rsidR="00395F7C" w:rsidRDefault="00395F7C" w:rsidP="00963F7E">
            <w:pPr>
              <w:pStyle w:val="Box"/>
              <w:spacing w:before="0" w:line="120" w:lineRule="exact"/>
            </w:pPr>
          </w:p>
        </w:tc>
      </w:tr>
      <w:tr w:rsidR="00395F7C" w:rsidRPr="000863A5" w14:paraId="1D0A6E51" w14:textId="77777777" w:rsidTr="00900637">
        <w:tc>
          <w:tcPr>
            <w:tcW w:w="5000" w:type="pct"/>
            <w:tcBorders>
              <w:top w:val="single" w:sz="6" w:space="0" w:color="78A22F"/>
              <w:left w:val="nil"/>
              <w:bottom w:val="nil"/>
              <w:right w:val="nil"/>
            </w:tcBorders>
          </w:tcPr>
          <w:p w14:paraId="1D0A6E50" w14:textId="77777777" w:rsidR="00395F7C" w:rsidRPr="00626D32" w:rsidRDefault="00395F7C" w:rsidP="00963F7E">
            <w:pPr>
              <w:pStyle w:val="BoxSpaceBelow"/>
            </w:pPr>
          </w:p>
        </w:tc>
      </w:tr>
    </w:tbl>
    <w:p w14:paraId="1D0A6E52" w14:textId="77777777" w:rsidR="00E8348D" w:rsidRDefault="00E8348D" w:rsidP="00E8348D">
      <w:pPr>
        <w:pStyle w:val="Heading4"/>
      </w:pPr>
      <w:r>
        <w:t>Looking beyond the mining boom</w:t>
      </w:r>
    </w:p>
    <w:p w14:paraId="1D0A6E53" w14:textId="77777777" w:rsidR="00627745" w:rsidRDefault="00371FFB" w:rsidP="00371FFB">
      <w:pPr>
        <w:pStyle w:val="BodyText"/>
      </w:pPr>
      <w:r>
        <w:t xml:space="preserve">The impact of the mining </w:t>
      </w:r>
      <w:r w:rsidR="000049AF">
        <w:t xml:space="preserve">investment </w:t>
      </w:r>
      <w:r>
        <w:t xml:space="preserve">boom is unwinding </w:t>
      </w:r>
      <w:r w:rsidR="00396353">
        <w:t>and</w:t>
      </w:r>
      <w:r w:rsidR="00FD4C74">
        <w:t xml:space="preserve">, </w:t>
      </w:r>
      <w:r w:rsidR="00627745">
        <w:t>in</w:t>
      </w:r>
      <w:r w:rsidR="00FD4C74">
        <w:t xml:space="preserve"> the most recent annual results, is</w:t>
      </w:r>
      <w:r>
        <w:t xml:space="preserve"> no</w:t>
      </w:r>
      <w:r w:rsidR="00FD4C74">
        <w:t xml:space="preserve"> longer</w:t>
      </w:r>
      <w:r>
        <w:t xml:space="preserve"> </w:t>
      </w:r>
      <w:r w:rsidR="000049AF">
        <w:t>contributing to</w:t>
      </w:r>
      <w:r>
        <w:t xml:space="preserve"> negative MFP growth (figure </w:t>
      </w:r>
      <w:r w:rsidR="00FD4C74">
        <w:t>5</w:t>
      </w:r>
      <w:r>
        <w:t xml:space="preserve">). With output from </w:t>
      </w:r>
      <w:r>
        <w:lastRenderedPageBreak/>
        <w:t xml:space="preserve">mining </w:t>
      </w:r>
      <w:r w:rsidR="000049AF">
        <w:t xml:space="preserve">likely to rise </w:t>
      </w:r>
      <w:r>
        <w:t>over the course of the next few years</w:t>
      </w:r>
      <w:r w:rsidR="000049AF">
        <w:t xml:space="preserve"> relative to input growth</w:t>
      </w:r>
      <w:r w:rsidR="00056BA3">
        <w:t xml:space="preserve"> as mines come into full production</w:t>
      </w:r>
      <w:r>
        <w:t xml:space="preserve">, </w:t>
      </w:r>
      <w:r w:rsidR="000049AF">
        <w:t>the industry’s</w:t>
      </w:r>
      <w:r>
        <w:t xml:space="preserve"> MFP growth </w:t>
      </w:r>
      <w:r w:rsidR="00056BA3">
        <w:t xml:space="preserve">is expected to </w:t>
      </w:r>
      <w:r>
        <w:t>be relatively strong in the near term. However, this effect will be transient</w:t>
      </w:r>
      <w:r w:rsidR="00056BA3">
        <w:t xml:space="preserve"> </w:t>
      </w:r>
      <w:r>
        <w:t>and</w:t>
      </w:r>
      <w:r w:rsidR="00056BA3">
        <w:t>,</w:t>
      </w:r>
      <w:r>
        <w:t xml:space="preserve"> as highlighted by </w:t>
      </w:r>
      <w:r w:rsidR="00FD4C74">
        <w:t xml:space="preserve">Plumb et al. </w:t>
      </w:r>
      <w:r w:rsidR="00FD4C74" w:rsidRPr="00FD4C74">
        <w:t>(2012)</w:t>
      </w:r>
      <w:r>
        <w:t xml:space="preserve">, there is a greater share of foreign ownership in the resource sector relative to previous </w:t>
      </w:r>
      <w:proofErr w:type="spellStart"/>
      <w:r w:rsidR="00422B26">
        <w:t>ToT</w:t>
      </w:r>
      <w:proofErr w:type="spellEnd"/>
      <w:r>
        <w:t xml:space="preserve"> booms.</w:t>
      </w:r>
      <w:r w:rsidRPr="00E6296D">
        <w:rPr>
          <w:rStyle w:val="FootnoteReference"/>
        </w:rPr>
        <w:footnoteReference w:id="5"/>
      </w:r>
      <w:r>
        <w:t xml:space="preserve"> </w:t>
      </w:r>
      <w:r w:rsidR="00191199">
        <w:t>This reduce</w:t>
      </w:r>
      <w:r w:rsidR="00FD4C74">
        <w:t>s</w:t>
      </w:r>
      <w:r w:rsidR="00191199">
        <w:t xml:space="preserve"> the growth rat</w:t>
      </w:r>
      <w:r w:rsidR="000049AF">
        <w:t xml:space="preserve">e of national income </w:t>
      </w:r>
      <w:r w:rsidR="00056BA3">
        <w:t>(the return to domestically owned factors of production)</w:t>
      </w:r>
      <w:r w:rsidR="00103CB9">
        <w:t xml:space="preserve"> </w:t>
      </w:r>
      <w:r w:rsidR="00056BA3">
        <w:t>relative to that of</w:t>
      </w:r>
      <w:r w:rsidR="000049AF">
        <w:t xml:space="preserve"> GDP, as a large share of the return on mining flows back to the foreign owners of the capital. </w:t>
      </w:r>
      <w:r w:rsidR="00396353">
        <w:t>Similarly</w:t>
      </w:r>
      <w:r>
        <w:t xml:space="preserve">, </w:t>
      </w:r>
      <w:r w:rsidR="00F9471D">
        <w:t>w</w:t>
      </w:r>
      <w:r>
        <w:t xml:space="preserve">hile the </w:t>
      </w:r>
      <w:r w:rsidR="000049AF">
        <w:t xml:space="preserve">responsiveness of investment to </w:t>
      </w:r>
      <w:r>
        <w:t>commodit</w:t>
      </w:r>
      <w:r w:rsidR="000049AF">
        <w:t>y</w:t>
      </w:r>
      <w:r>
        <w:t xml:space="preserve"> prices</w:t>
      </w:r>
      <w:r w:rsidR="00F9471D" w:rsidRPr="00F9471D">
        <w:t xml:space="preserve"> </w:t>
      </w:r>
      <w:r w:rsidR="00F9471D">
        <w:t>remains as ever</w:t>
      </w:r>
      <w:r>
        <w:t xml:space="preserve"> uncertain, the </w:t>
      </w:r>
      <w:r w:rsidRPr="00634E59">
        <w:t>contribution from c</w:t>
      </w:r>
      <w:r>
        <w:t xml:space="preserve">apital deepening to </w:t>
      </w:r>
      <w:r w:rsidR="00F9471D">
        <w:t xml:space="preserve">overall </w:t>
      </w:r>
      <w:r>
        <w:t>LP growth will</w:t>
      </w:r>
      <w:r w:rsidRPr="00634E59">
        <w:t xml:space="preserve"> </w:t>
      </w:r>
      <w:r>
        <w:t xml:space="preserve">eventually </w:t>
      </w:r>
      <w:r w:rsidRPr="00634E59">
        <w:t>fall.</w:t>
      </w:r>
      <w:r w:rsidR="00F9471D">
        <w:t xml:space="preserve"> </w:t>
      </w:r>
    </w:p>
    <w:p w14:paraId="1D0A6E54" w14:textId="77777777" w:rsidR="00627745" w:rsidRDefault="00627745" w:rsidP="00627745">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627745" w14:paraId="1D0A6E57" w14:textId="77777777" w:rsidTr="005D393C">
        <w:trPr>
          <w:tblHeader/>
        </w:trPr>
        <w:tc>
          <w:tcPr>
            <w:tcW w:w="8771" w:type="dxa"/>
            <w:tcBorders>
              <w:top w:val="single" w:sz="6" w:space="0" w:color="78A22F"/>
              <w:left w:val="nil"/>
              <w:bottom w:val="nil"/>
              <w:right w:val="nil"/>
            </w:tcBorders>
            <w:shd w:val="clear" w:color="auto" w:fill="auto"/>
          </w:tcPr>
          <w:p w14:paraId="1D0A6E55" w14:textId="77777777" w:rsidR="00627745" w:rsidRDefault="00627745" w:rsidP="005D393C">
            <w:pPr>
              <w:pStyle w:val="FigureTitle"/>
            </w:pPr>
            <w:r w:rsidRPr="00784A05">
              <w:rPr>
                <w:b w:val="0"/>
              </w:rPr>
              <w:t xml:space="preserve">Figure </w:t>
            </w:r>
            <w:r w:rsidR="00B67DB6">
              <w:rPr>
                <w:b w:val="0"/>
              </w:rPr>
              <w:t>5</w:t>
            </w:r>
            <w:r>
              <w:tab/>
              <w:t xml:space="preserve">Industry contributions to LP </w:t>
            </w:r>
            <w:proofErr w:type="spellStart"/>
            <w:r>
              <w:t>growth</w:t>
            </w:r>
            <w:r>
              <w:rPr>
                <w:vertAlign w:val="superscript"/>
              </w:rPr>
              <w:t>a,b</w:t>
            </w:r>
            <w:proofErr w:type="spellEnd"/>
          </w:p>
          <w:p w14:paraId="1D0A6E56" w14:textId="77777777" w:rsidR="00627745" w:rsidRPr="00176D3F" w:rsidRDefault="00627745" w:rsidP="005D393C">
            <w:pPr>
              <w:pStyle w:val="Subtitle"/>
            </w:pPr>
            <w:r>
              <w:t>LP decomposed into MFP and capital deepening (K/L)</w:t>
            </w:r>
          </w:p>
        </w:tc>
      </w:tr>
      <w:tr w:rsidR="00627745" w14:paraId="1D0A6E5B" w14:textId="77777777" w:rsidTr="005D393C">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8504"/>
            </w:tblGrid>
            <w:tr w:rsidR="00627745" w:rsidRPr="00B1465D" w14:paraId="1D0A6E59" w14:textId="77777777" w:rsidTr="005D393C">
              <w:trPr>
                <w:tblHeader/>
                <w:jc w:val="center"/>
              </w:trPr>
              <w:tc>
                <w:tcPr>
                  <w:tcW w:w="5000" w:type="pct"/>
                  <w:tcBorders>
                    <w:top w:val="nil"/>
                    <w:bottom w:val="nil"/>
                  </w:tcBorders>
                </w:tcPr>
                <w:p w14:paraId="1D0A6E58" w14:textId="77777777" w:rsidR="00627745" w:rsidRPr="00B1465D" w:rsidRDefault="00627745" w:rsidP="005D393C">
                  <w:pPr>
                    <w:pStyle w:val="Figure"/>
                    <w:spacing w:before="60" w:after="60"/>
                    <w:rPr>
                      <w:rFonts w:ascii="Arial" w:hAnsi="Arial" w:cs="Arial"/>
                      <w:sz w:val="18"/>
                      <w:szCs w:val="18"/>
                    </w:rPr>
                  </w:pPr>
                  <w:r>
                    <w:rPr>
                      <w:rFonts w:ascii="Arial" w:hAnsi="Arial" w:cs="Arial"/>
                      <w:noProof/>
                      <w:sz w:val="18"/>
                      <w:szCs w:val="18"/>
                    </w:rPr>
                    <w:drawing>
                      <wp:inline distT="0" distB="0" distL="0" distR="0" wp14:anchorId="1D0A718A" wp14:editId="2DA8BC48">
                        <wp:extent cx="5393055" cy="2870200"/>
                        <wp:effectExtent l="0" t="0" r="0" b="6350"/>
                        <wp:docPr id="13" name="Picture 13" descr="This figure decomposes market sector labour productivity growth into contributions from capital deepening and multifactor productivity growth for both the mining and non mining sectors. It shows a number of dynamics underlying aggregate market sector labour productivity growth, namely that the contribution from the mining sector to multifactor productivity growth is no longer negative (as it has been for much of the 2000s), that mining is still contributing strongly through capital deepening (reflecting that labour is no longer flowing into the sector), the contribution of non mining multifactor productivity growth has recently revived somewhat following a period of zero growth, and that non mining capital deepening is contributing around half of what it did, on average, relative to the period before the global financial cri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93055" cy="2870200"/>
                                </a:xfrm>
                                <a:prstGeom prst="rect">
                                  <a:avLst/>
                                </a:prstGeom>
                                <a:noFill/>
                                <a:ln>
                                  <a:noFill/>
                                </a:ln>
                              </pic:spPr>
                            </pic:pic>
                          </a:graphicData>
                        </a:graphic>
                      </wp:inline>
                    </w:drawing>
                  </w:r>
                </w:p>
              </w:tc>
            </w:tr>
          </w:tbl>
          <w:p w14:paraId="1D0A6E5A" w14:textId="77777777" w:rsidR="00627745" w:rsidRDefault="00627745" w:rsidP="005D393C">
            <w:pPr>
              <w:pStyle w:val="Figure"/>
            </w:pPr>
          </w:p>
        </w:tc>
      </w:tr>
      <w:tr w:rsidR="00627745" w:rsidRPr="00176D3F" w14:paraId="1D0A6E5D" w14:textId="77777777" w:rsidTr="005D393C">
        <w:tc>
          <w:tcPr>
            <w:tcW w:w="8771" w:type="dxa"/>
            <w:tcBorders>
              <w:top w:val="nil"/>
              <w:left w:val="nil"/>
              <w:bottom w:val="nil"/>
              <w:right w:val="nil"/>
            </w:tcBorders>
            <w:shd w:val="clear" w:color="auto" w:fill="auto"/>
          </w:tcPr>
          <w:p w14:paraId="1D0A6E5C" w14:textId="77777777" w:rsidR="00627745" w:rsidRPr="00176D3F" w:rsidRDefault="00627745" w:rsidP="005D393C">
            <w:pPr>
              <w:pStyle w:val="Note"/>
            </w:pPr>
            <w:r>
              <w:rPr>
                <w:rStyle w:val="NoteLabel"/>
              </w:rPr>
              <w:t>a</w:t>
            </w:r>
            <w:r>
              <w:t xml:space="preserve"> Based on the 16</w:t>
            </w:r>
            <w:r>
              <w:noBreakHyphen/>
              <w:t xml:space="preserve">industry market sector (Divisions A to N, R and S). MFP includes a contribution from human capital development (‘labour composition’). </w:t>
            </w:r>
            <w:r>
              <w:rPr>
                <w:rStyle w:val="NoteLabel"/>
              </w:rPr>
              <w:t>b</w:t>
            </w:r>
            <w:r>
              <w:t xml:space="preserve"> Growth rates are estimated as 5</w:t>
            </w:r>
            <w:r>
              <w:noBreakHyphen/>
              <w:t>year weighted moving averages, so will not align with ABS annual estimates.</w:t>
            </w:r>
          </w:p>
        </w:tc>
      </w:tr>
      <w:tr w:rsidR="00627745" w:rsidRPr="00176D3F" w14:paraId="1D0A6E5F" w14:textId="77777777" w:rsidTr="005D393C">
        <w:tc>
          <w:tcPr>
            <w:tcW w:w="8771" w:type="dxa"/>
            <w:tcBorders>
              <w:top w:val="nil"/>
              <w:left w:val="nil"/>
              <w:bottom w:val="nil"/>
              <w:right w:val="nil"/>
            </w:tcBorders>
            <w:shd w:val="clear" w:color="auto" w:fill="auto"/>
          </w:tcPr>
          <w:p w14:paraId="1D0A6E5E" w14:textId="53221B34" w:rsidR="00627745" w:rsidRPr="00176D3F" w:rsidRDefault="00EE434A" w:rsidP="00EE434A">
            <w:pPr>
              <w:pStyle w:val="Source"/>
            </w:pPr>
            <w:r>
              <w:rPr>
                <w:i/>
              </w:rPr>
              <w:t>S</w:t>
            </w:r>
            <w:r w:rsidR="00627745" w:rsidRPr="00784A05">
              <w:rPr>
                <w:i/>
              </w:rPr>
              <w:t>ource</w:t>
            </w:r>
            <w:r w:rsidR="00627745" w:rsidRPr="00176D3F">
              <w:t xml:space="preserve">: </w:t>
            </w:r>
            <w:r w:rsidR="00627745">
              <w:t xml:space="preserve">ABS </w:t>
            </w:r>
            <w:r w:rsidR="00AD0CC1" w:rsidRPr="00AD0CC1">
              <w:rPr>
                <w:rFonts w:cs="Arial"/>
              </w:rPr>
              <w:t>(</w:t>
            </w:r>
            <w:proofErr w:type="spellStart"/>
            <w:r w:rsidR="00AD0CC1" w:rsidRPr="00AD0CC1">
              <w:rPr>
                <w:rFonts w:cs="Arial"/>
              </w:rPr>
              <w:t>2016d</w:t>
            </w:r>
            <w:proofErr w:type="spellEnd"/>
            <w:r w:rsidR="00AD0CC1" w:rsidRPr="00AD0CC1">
              <w:rPr>
                <w:rFonts w:cs="Arial"/>
              </w:rPr>
              <w:t>)</w:t>
            </w:r>
            <w:r w:rsidR="00627745">
              <w:t xml:space="preserve">, </w:t>
            </w:r>
            <w:r w:rsidR="00627745">
              <w:rPr>
                <w:i/>
              </w:rPr>
              <w:t>Estimates of Industry Multifactor Productivity, 2015</w:t>
            </w:r>
            <w:r>
              <w:rPr>
                <w:i/>
              </w:rPr>
              <w:noBreakHyphen/>
            </w:r>
            <w:r w:rsidR="00627745">
              <w:rPr>
                <w:i/>
              </w:rPr>
              <w:t>16,</w:t>
            </w:r>
            <w:r w:rsidR="00627745">
              <w:t xml:space="preserve"> Cat. no. 5260.0.55.002, December</w:t>
            </w:r>
            <w:r w:rsidR="00F40EBA">
              <w:t xml:space="preserve"> 2016</w:t>
            </w:r>
            <w:r w:rsidR="005D393C">
              <w:t>, and Productivity Commission estimates</w:t>
            </w:r>
            <w:r w:rsidR="00627745">
              <w:t>.</w:t>
            </w:r>
          </w:p>
        </w:tc>
      </w:tr>
      <w:tr w:rsidR="00627745" w14:paraId="1D0A6E61" w14:textId="77777777" w:rsidTr="005D393C">
        <w:tc>
          <w:tcPr>
            <w:tcW w:w="8771" w:type="dxa"/>
            <w:tcBorders>
              <w:top w:val="nil"/>
              <w:left w:val="nil"/>
              <w:bottom w:val="single" w:sz="6" w:space="0" w:color="78A22F"/>
              <w:right w:val="nil"/>
            </w:tcBorders>
            <w:shd w:val="clear" w:color="auto" w:fill="auto"/>
          </w:tcPr>
          <w:p w14:paraId="1D0A6E60" w14:textId="77777777" w:rsidR="00627745" w:rsidRDefault="00627745" w:rsidP="005D393C">
            <w:pPr>
              <w:pStyle w:val="Figurespace"/>
            </w:pPr>
          </w:p>
        </w:tc>
      </w:tr>
      <w:tr w:rsidR="00627745" w:rsidRPr="000863A5" w14:paraId="1D0A6E63" w14:textId="77777777" w:rsidTr="005D393C">
        <w:tc>
          <w:tcPr>
            <w:tcW w:w="8771" w:type="dxa"/>
            <w:tcBorders>
              <w:top w:val="single" w:sz="6" w:space="0" w:color="78A22F"/>
              <w:left w:val="nil"/>
              <w:bottom w:val="nil"/>
              <w:right w:val="nil"/>
            </w:tcBorders>
          </w:tcPr>
          <w:p w14:paraId="1D0A6E62" w14:textId="77777777" w:rsidR="00627745" w:rsidRPr="00626D32" w:rsidRDefault="00627745" w:rsidP="005D393C">
            <w:pPr>
              <w:pStyle w:val="BoxSpaceBelow"/>
            </w:pPr>
          </w:p>
        </w:tc>
      </w:tr>
    </w:tbl>
    <w:p w14:paraId="1D0A6E64" w14:textId="4F530381" w:rsidR="00371FFB" w:rsidRDefault="00371FFB" w:rsidP="00371FFB">
      <w:pPr>
        <w:pStyle w:val="BodyText"/>
      </w:pPr>
      <w:r>
        <w:t>As the total contribution of mining to LP growth continues to revert to</w:t>
      </w:r>
      <w:r w:rsidR="00AB3210">
        <w:t>ward</w:t>
      </w:r>
      <w:r>
        <w:t xml:space="preserve"> a historical norm, LP growth will again be determined predominantly by the non</w:t>
      </w:r>
      <w:r w:rsidR="00AB3210">
        <w:noBreakHyphen/>
      </w:r>
      <w:r>
        <w:t>mining sector (the sum of the blue columns in figure </w:t>
      </w:r>
      <w:r w:rsidR="0009735E">
        <w:t>5</w:t>
      </w:r>
      <w:r>
        <w:t>). While non</w:t>
      </w:r>
      <w:r>
        <w:noBreakHyphen/>
        <w:t xml:space="preserve">mining MFP growth has recently </w:t>
      </w:r>
      <w:r>
        <w:lastRenderedPageBreak/>
        <w:t xml:space="preserve">improved </w:t>
      </w:r>
      <w:r w:rsidR="00547F41">
        <w:t>somewhat</w:t>
      </w:r>
      <w:r w:rsidR="00F9471D">
        <w:t xml:space="preserve">, </w:t>
      </w:r>
      <w:r w:rsidR="003A1B3E">
        <w:t xml:space="preserve">the contribution from </w:t>
      </w:r>
      <w:r>
        <w:t>non</w:t>
      </w:r>
      <w:r>
        <w:noBreakHyphen/>
        <w:t xml:space="preserve">mining capital deepening remains notably below its </w:t>
      </w:r>
      <w:r w:rsidR="000049AF">
        <w:t xml:space="preserve">observable </w:t>
      </w:r>
      <w:r w:rsidR="003A1B3E">
        <w:t>average</w:t>
      </w:r>
      <w:r w:rsidR="009A0000">
        <w:t>, having roughly halved</w:t>
      </w:r>
      <w:r>
        <w:t xml:space="preserve"> </w:t>
      </w:r>
      <w:r w:rsidR="00AB3210">
        <w:t>since the turn of the century</w:t>
      </w:r>
      <w:r>
        <w:t xml:space="preserve">. </w:t>
      </w:r>
      <w:r w:rsidR="00AB3210">
        <w:t xml:space="preserve">Were this </w:t>
      </w:r>
      <w:r w:rsidR="00F9471D">
        <w:t xml:space="preserve">to </w:t>
      </w:r>
      <w:r w:rsidR="00AB3210">
        <w:t>continue, the outlook for LP growth, and therefore growth in incomes, would also be lower</w:t>
      </w:r>
      <w:r w:rsidR="00F9471D">
        <w:t xml:space="preserve"> than what people have recently become accustomed to</w:t>
      </w:r>
      <w:r w:rsidR="00AB3210">
        <w:t xml:space="preserve">. </w:t>
      </w:r>
    </w:p>
    <w:p w14:paraId="1D0A6E65" w14:textId="77777777" w:rsidR="00191199" w:rsidRPr="004E3B94" w:rsidRDefault="00191199" w:rsidP="00191199">
      <w:pPr>
        <w:pStyle w:val="BoxSpaceAboveElement"/>
        <w:keepLines/>
        <w:rPr>
          <w:vanish w:val="0"/>
          <w:color w:val="auto"/>
        </w:rPr>
      </w:pPr>
    </w:p>
    <w:tbl>
      <w:tblPr>
        <w:tblW w:w="4814" w:type="pct"/>
        <w:tblInd w:w="170"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191199" w14:paraId="1D0A6E68" w14:textId="77777777" w:rsidTr="00DA091E">
        <w:trPr>
          <w:cantSplit/>
          <w:tblHeader/>
        </w:trPr>
        <w:tc>
          <w:tcPr>
            <w:tcW w:w="5000" w:type="pct"/>
            <w:tcBorders>
              <w:top w:val="single" w:sz="6" w:space="0" w:color="265A9A" w:themeColor="accent2"/>
              <w:left w:val="nil"/>
              <w:bottom w:val="nil"/>
              <w:right w:val="nil"/>
            </w:tcBorders>
            <w:shd w:val="clear" w:color="auto" w:fill="E1EBF5"/>
            <w:tcMar>
              <w:left w:w="170" w:type="dxa"/>
              <w:right w:w="170" w:type="dxa"/>
            </w:tcMar>
          </w:tcPr>
          <w:p w14:paraId="1D0A6E66" w14:textId="77777777" w:rsidR="00191199" w:rsidRPr="00DA091E" w:rsidRDefault="00191199" w:rsidP="0084197A">
            <w:pPr>
              <w:pStyle w:val="FindingTitle"/>
              <w:spacing w:before="120"/>
              <w:rPr>
                <w:noProof/>
              </w:rPr>
            </w:pPr>
            <w:r w:rsidRPr="00DA091E">
              <w:t xml:space="preserve">conclusion </w:t>
            </w:r>
            <w:r w:rsidR="00627745" w:rsidRPr="00DA091E">
              <w:t>1</w:t>
            </w:r>
            <w:r w:rsidRPr="00DA091E">
              <w:t>.</w:t>
            </w:r>
            <w:r w:rsidR="00627745" w:rsidRPr="00DA091E">
              <w:t>3</w:t>
            </w:r>
          </w:p>
          <w:p w14:paraId="1D0A6E67" w14:textId="5E7A893C" w:rsidR="00191199" w:rsidRPr="00DA091E" w:rsidRDefault="005D393C" w:rsidP="00637039">
            <w:pPr>
              <w:pStyle w:val="BodyText"/>
              <w:spacing w:before="60" w:line="260" w:lineRule="atLeast"/>
            </w:pPr>
            <w:r w:rsidRPr="00DA091E">
              <w:rPr>
                <w:rFonts w:ascii="Arial" w:hAnsi="Arial" w:cs="Arial"/>
                <w:sz w:val="20"/>
              </w:rPr>
              <w:t xml:space="preserve">Periods of sluggish productivity growth have been observed in Australia </w:t>
            </w:r>
            <w:r w:rsidR="000321C0" w:rsidRPr="00DA091E">
              <w:rPr>
                <w:rFonts w:ascii="Arial" w:hAnsi="Arial" w:cs="Arial"/>
                <w:sz w:val="20"/>
              </w:rPr>
              <w:t xml:space="preserve">in </w:t>
            </w:r>
            <w:r w:rsidRPr="00DA091E">
              <w:rPr>
                <w:rFonts w:ascii="Arial" w:hAnsi="Arial" w:cs="Arial"/>
                <w:sz w:val="20"/>
              </w:rPr>
              <w:t xml:space="preserve">the past, leading to </w:t>
            </w:r>
            <w:r w:rsidR="00FA1609" w:rsidRPr="00DA091E">
              <w:rPr>
                <w:rFonts w:ascii="Arial" w:hAnsi="Arial" w:cs="Arial"/>
                <w:sz w:val="20"/>
              </w:rPr>
              <w:t xml:space="preserve">sustained periods of </w:t>
            </w:r>
            <w:r w:rsidRPr="00DA091E">
              <w:rPr>
                <w:rFonts w:ascii="Arial" w:hAnsi="Arial" w:cs="Arial"/>
                <w:sz w:val="20"/>
              </w:rPr>
              <w:t>weak income growth.</w:t>
            </w:r>
            <w:r w:rsidR="00191199" w:rsidRPr="00DA091E">
              <w:rPr>
                <w:rFonts w:ascii="Arial" w:hAnsi="Arial" w:cs="Arial"/>
                <w:sz w:val="20"/>
              </w:rPr>
              <w:t xml:space="preserve"> </w:t>
            </w:r>
            <w:r w:rsidR="00FA14DD" w:rsidRPr="00DA091E">
              <w:rPr>
                <w:rFonts w:ascii="Arial" w:hAnsi="Arial" w:cs="Arial"/>
                <w:sz w:val="20"/>
              </w:rPr>
              <w:t>It is likely</w:t>
            </w:r>
            <w:r w:rsidR="00FA1609" w:rsidRPr="00DA091E">
              <w:rPr>
                <w:rFonts w:ascii="Arial" w:hAnsi="Arial" w:cs="Arial"/>
                <w:sz w:val="20"/>
              </w:rPr>
              <w:t xml:space="preserve"> that</w:t>
            </w:r>
            <w:r w:rsidR="00FA14DD" w:rsidRPr="00DA091E">
              <w:rPr>
                <w:rFonts w:ascii="Arial" w:hAnsi="Arial" w:cs="Arial"/>
                <w:sz w:val="20"/>
              </w:rPr>
              <w:t xml:space="preserve"> the contribution</w:t>
            </w:r>
            <w:r w:rsidR="00637039" w:rsidRPr="00DA091E">
              <w:rPr>
                <w:rFonts w:ascii="Arial" w:hAnsi="Arial" w:cs="Arial"/>
                <w:sz w:val="20"/>
              </w:rPr>
              <w:t>s</w:t>
            </w:r>
            <w:r w:rsidR="00FA14DD" w:rsidRPr="00DA091E">
              <w:rPr>
                <w:rFonts w:ascii="Arial" w:hAnsi="Arial" w:cs="Arial"/>
                <w:sz w:val="20"/>
              </w:rPr>
              <w:t xml:space="preserve"> to income growth of past major reforms and the mining investment boom </w:t>
            </w:r>
            <w:r w:rsidR="00637039" w:rsidRPr="00DA091E">
              <w:rPr>
                <w:rFonts w:ascii="Arial" w:hAnsi="Arial" w:cs="Arial"/>
                <w:sz w:val="20"/>
              </w:rPr>
              <w:t>are</w:t>
            </w:r>
            <w:r w:rsidR="00FA14DD" w:rsidRPr="00DA091E">
              <w:rPr>
                <w:rFonts w:ascii="Arial" w:hAnsi="Arial" w:cs="Arial"/>
                <w:sz w:val="20"/>
              </w:rPr>
              <w:t xml:space="preserve"> largely be</w:t>
            </w:r>
            <w:r w:rsidR="000321C0" w:rsidRPr="00DA091E">
              <w:rPr>
                <w:rFonts w:ascii="Arial" w:hAnsi="Arial" w:cs="Arial"/>
                <w:sz w:val="20"/>
              </w:rPr>
              <w:t>hind us. Looking ahead,</w:t>
            </w:r>
            <w:r w:rsidR="009C45EB" w:rsidRPr="00DA091E">
              <w:rPr>
                <w:rFonts w:ascii="Arial" w:hAnsi="Arial" w:cs="Arial"/>
                <w:sz w:val="20"/>
              </w:rPr>
              <w:t xml:space="preserve"> it is</w:t>
            </w:r>
            <w:r w:rsidR="000321C0" w:rsidRPr="00DA091E">
              <w:rPr>
                <w:rFonts w:ascii="Arial" w:hAnsi="Arial" w:cs="Arial"/>
                <w:sz w:val="20"/>
              </w:rPr>
              <w:t xml:space="preserve"> </w:t>
            </w:r>
            <w:r w:rsidR="00FA14DD" w:rsidRPr="00DA091E">
              <w:rPr>
                <w:rFonts w:ascii="Arial" w:hAnsi="Arial" w:cs="Arial"/>
                <w:sz w:val="20"/>
              </w:rPr>
              <w:t>growth in the non</w:t>
            </w:r>
            <w:r w:rsidR="00EE434A">
              <w:rPr>
                <w:rFonts w:ascii="Arial" w:hAnsi="Arial" w:cs="Arial"/>
                <w:sz w:val="20"/>
              </w:rPr>
              <w:noBreakHyphen/>
            </w:r>
            <w:r w:rsidR="00FA14DD" w:rsidRPr="00DA091E">
              <w:rPr>
                <w:rFonts w:ascii="Arial" w:hAnsi="Arial" w:cs="Arial"/>
                <w:sz w:val="20"/>
              </w:rPr>
              <w:t>mining sector</w:t>
            </w:r>
            <w:r w:rsidR="009C45EB" w:rsidRPr="00DA091E">
              <w:rPr>
                <w:rFonts w:ascii="Arial" w:hAnsi="Arial" w:cs="Arial"/>
                <w:sz w:val="20"/>
              </w:rPr>
              <w:t xml:space="preserve"> that</w:t>
            </w:r>
            <w:r w:rsidR="00FA14DD" w:rsidRPr="00DA091E">
              <w:rPr>
                <w:rFonts w:ascii="Arial" w:hAnsi="Arial" w:cs="Arial"/>
                <w:sz w:val="20"/>
              </w:rPr>
              <w:t xml:space="preserve"> will </w:t>
            </w:r>
            <w:r w:rsidR="009C45EB" w:rsidRPr="00DA091E">
              <w:rPr>
                <w:rFonts w:ascii="Arial" w:hAnsi="Arial" w:cs="Arial"/>
                <w:sz w:val="20"/>
              </w:rPr>
              <w:t xml:space="preserve">largely </w:t>
            </w:r>
            <w:r w:rsidR="00FA14DD" w:rsidRPr="00DA091E">
              <w:rPr>
                <w:rFonts w:ascii="Arial" w:hAnsi="Arial" w:cs="Arial"/>
                <w:sz w:val="20"/>
              </w:rPr>
              <w:t>determine prospects for income growth</w:t>
            </w:r>
            <w:r w:rsidR="00191199" w:rsidRPr="00DA091E">
              <w:rPr>
                <w:rFonts w:ascii="Arial" w:hAnsi="Arial" w:cs="Arial"/>
                <w:sz w:val="20"/>
              </w:rPr>
              <w:t>.</w:t>
            </w:r>
          </w:p>
        </w:tc>
      </w:tr>
      <w:tr w:rsidR="00191199" w14:paraId="1D0A6E6A" w14:textId="77777777" w:rsidTr="00DA091E">
        <w:trPr>
          <w:cantSplit/>
          <w:tblHeader/>
        </w:trPr>
        <w:tc>
          <w:tcPr>
            <w:tcW w:w="5000" w:type="pct"/>
            <w:tcBorders>
              <w:top w:val="nil"/>
              <w:left w:val="nil"/>
              <w:bottom w:val="single" w:sz="6" w:space="0" w:color="265A9A" w:themeColor="accent2"/>
              <w:right w:val="nil"/>
            </w:tcBorders>
            <w:shd w:val="clear" w:color="auto" w:fill="E1EBF5"/>
            <w:tcMar>
              <w:left w:w="170" w:type="dxa"/>
              <w:right w:w="170" w:type="dxa"/>
            </w:tcMar>
          </w:tcPr>
          <w:p w14:paraId="1D0A6E69" w14:textId="77777777" w:rsidR="00191199" w:rsidRDefault="00191199" w:rsidP="0084197A">
            <w:pPr>
              <w:pStyle w:val="Space"/>
              <w:keepLines/>
            </w:pPr>
          </w:p>
        </w:tc>
      </w:tr>
      <w:tr w:rsidR="00191199" w:rsidRPr="000863A5" w14:paraId="1D0A6E6C" w14:textId="77777777" w:rsidTr="00DA091E">
        <w:trPr>
          <w:cantSplit/>
          <w:tblHeader/>
        </w:trPr>
        <w:tc>
          <w:tcPr>
            <w:tcW w:w="5000" w:type="pct"/>
            <w:tcBorders>
              <w:top w:val="single" w:sz="6" w:space="0" w:color="265A9A" w:themeColor="accent2"/>
              <w:left w:val="nil"/>
              <w:bottom w:val="nil"/>
              <w:right w:val="nil"/>
            </w:tcBorders>
            <w:tcMar>
              <w:left w:w="170" w:type="dxa"/>
              <w:right w:w="170" w:type="dxa"/>
            </w:tcMar>
          </w:tcPr>
          <w:p w14:paraId="1D0A6E6B" w14:textId="77777777" w:rsidR="00191199" w:rsidRPr="00626D32" w:rsidRDefault="00191199" w:rsidP="0084197A">
            <w:pPr>
              <w:pStyle w:val="BoxSpaceBelow"/>
              <w:keepLines/>
            </w:pPr>
          </w:p>
        </w:tc>
      </w:tr>
    </w:tbl>
    <w:p w14:paraId="1D0A6E6D" w14:textId="77777777" w:rsidR="00FF7DD6" w:rsidRDefault="00FF7DD6" w:rsidP="00FF7DD6">
      <w:pPr>
        <w:pStyle w:val="Heading4"/>
      </w:pPr>
      <w:r>
        <w:t>Capital investment</w:t>
      </w:r>
    </w:p>
    <w:p w14:paraId="1D0A6E6E" w14:textId="59A1FA0F" w:rsidR="00F6609B" w:rsidRDefault="00833923" w:rsidP="00AB3210">
      <w:pPr>
        <w:pStyle w:val="BodyText"/>
      </w:pPr>
      <w:r>
        <w:t xml:space="preserve">The picture of business investment in Australia </w:t>
      </w:r>
      <w:r w:rsidR="006F783A">
        <w:t>over the past 15 years is striking</w:t>
      </w:r>
      <w:r w:rsidR="003312D6">
        <w:t>.</w:t>
      </w:r>
      <w:r>
        <w:t xml:space="preserve"> Total business investment (that is, excluding </w:t>
      </w:r>
      <w:r w:rsidR="00547F41">
        <w:t xml:space="preserve">housing </w:t>
      </w:r>
      <w:r>
        <w:t xml:space="preserve">investment), rose to almost 23 per cent of </w:t>
      </w:r>
      <w:r w:rsidR="00110603">
        <w:t xml:space="preserve">real </w:t>
      </w:r>
      <w:r>
        <w:t>GDP in 2012</w:t>
      </w:r>
      <w:r>
        <w:noBreakHyphen/>
        <w:t>13</w:t>
      </w:r>
      <w:r w:rsidR="009F18F3">
        <w:t xml:space="preserve"> (figure 6</w:t>
      </w:r>
      <w:r w:rsidR="00FA1609">
        <w:t>, panel a</w:t>
      </w:r>
      <w:r w:rsidR="009F18F3">
        <w:t>)</w:t>
      </w:r>
      <w:r>
        <w:t xml:space="preserve">. This </w:t>
      </w:r>
      <w:r w:rsidR="005369D2">
        <w:t xml:space="preserve">increase </w:t>
      </w:r>
      <w:r>
        <w:t xml:space="preserve">was </w:t>
      </w:r>
      <w:r w:rsidR="0060029A">
        <w:t xml:space="preserve">overwhelmingly </w:t>
      </w:r>
      <w:r>
        <w:t>driven by mining</w:t>
      </w:r>
      <w:r w:rsidR="009A0000">
        <w:t>. H</w:t>
      </w:r>
      <w:r>
        <w:t>owever</w:t>
      </w:r>
      <w:r w:rsidR="009A0000">
        <w:t>,</w:t>
      </w:r>
      <w:r>
        <w:t xml:space="preserve"> growth in investment </w:t>
      </w:r>
      <w:r w:rsidR="0060029A">
        <w:t>also occurred</w:t>
      </w:r>
      <w:r>
        <w:t xml:space="preserve"> in </w:t>
      </w:r>
      <w:r w:rsidR="0060029A">
        <w:t>mining</w:t>
      </w:r>
      <w:r w:rsidR="0060029A">
        <w:noBreakHyphen/>
        <w:t>related industries (reflecting additional demand for services and other inputs to the mining industry itself)</w:t>
      </w:r>
      <w:r w:rsidR="009C45EB">
        <w:t>. A</w:t>
      </w:r>
      <w:r w:rsidR="0060029A">
        <w:t xml:space="preserve">s mentioned above, industries like manufacturing also took advantage of a high exchange rate to import capital goods. Overall investment in </w:t>
      </w:r>
      <w:r>
        <w:t>the non</w:t>
      </w:r>
      <w:r>
        <w:noBreakHyphen/>
      </w:r>
      <w:r w:rsidR="003312D6">
        <w:t>mining</w:t>
      </w:r>
      <w:r>
        <w:t xml:space="preserve"> sector</w:t>
      </w:r>
      <w:r w:rsidR="00EB2557">
        <w:t xml:space="preserve"> </w:t>
      </w:r>
      <w:r w:rsidR="0060029A">
        <w:t xml:space="preserve">rose </w:t>
      </w:r>
      <w:r>
        <w:t>from 10 to 15</w:t>
      </w:r>
      <w:r w:rsidR="003312D6">
        <w:t> </w:t>
      </w:r>
      <w:r>
        <w:t>per</w:t>
      </w:r>
      <w:r w:rsidR="003312D6">
        <w:t> </w:t>
      </w:r>
      <w:r>
        <w:t xml:space="preserve">cent of </w:t>
      </w:r>
      <w:r w:rsidR="00766538">
        <w:t xml:space="preserve">real </w:t>
      </w:r>
      <w:r>
        <w:t>GDP</w:t>
      </w:r>
      <w:r w:rsidR="0060029A">
        <w:t xml:space="preserve"> from the start of the boom</w:t>
      </w:r>
      <w:r w:rsidR="009C45EB">
        <w:t xml:space="preserve"> in 200</w:t>
      </w:r>
      <w:r w:rsidR="00103CB9">
        <w:t>2</w:t>
      </w:r>
      <w:r w:rsidR="0060029A">
        <w:t xml:space="preserve"> until the </w:t>
      </w:r>
      <w:proofErr w:type="spellStart"/>
      <w:r w:rsidR="0060029A">
        <w:t>GFC</w:t>
      </w:r>
      <w:proofErr w:type="spellEnd"/>
      <w:r w:rsidR="009C45EB">
        <w:t xml:space="preserve"> in 2008</w:t>
      </w:r>
      <w:r w:rsidR="003312D6">
        <w:t xml:space="preserve">. </w:t>
      </w:r>
    </w:p>
    <w:p w14:paraId="1D0A6E6F" w14:textId="28D2AA03" w:rsidR="003312D6" w:rsidRDefault="003312D6" w:rsidP="00AB3210">
      <w:pPr>
        <w:pStyle w:val="BodyText"/>
      </w:pPr>
      <w:r>
        <w:t xml:space="preserve">While the recent fall in investment is </w:t>
      </w:r>
      <w:r w:rsidR="005369D2">
        <w:t xml:space="preserve">again </w:t>
      </w:r>
      <w:r>
        <w:t>being driven predominantly by the mining industry, it is notable that non</w:t>
      </w:r>
      <w:r>
        <w:noBreakHyphen/>
        <w:t>mining investment has been falling as a proportion of GDP</w:t>
      </w:r>
      <w:r w:rsidR="00A77917">
        <w:t xml:space="preserve">, and </w:t>
      </w:r>
      <w:r w:rsidR="00766538">
        <w:t>there</w:t>
      </w:r>
      <w:r w:rsidR="00A77917">
        <w:t xml:space="preserve"> has not </w:t>
      </w:r>
      <w:r w:rsidR="00766538">
        <w:t>been</w:t>
      </w:r>
      <w:r w:rsidR="00A77917">
        <w:t xml:space="preserve"> significant growth in volume terms</w:t>
      </w:r>
      <w:r>
        <w:t xml:space="preserve"> since 2009</w:t>
      </w:r>
      <w:r>
        <w:noBreakHyphen/>
        <w:t>10 (figure </w:t>
      </w:r>
      <w:r w:rsidR="00FA14DD">
        <w:t>6</w:t>
      </w:r>
      <w:r w:rsidR="00FA1609">
        <w:t>, panel b</w:t>
      </w:r>
      <w:r>
        <w:t>).</w:t>
      </w:r>
      <w:r w:rsidR="005369D2">
        <w:t xml:space="preserve"> </w:t>
      </w:r>
      <w:r w:rsidR="00A77917">
        <w:t>This amounts to the most prolonged stagnation in non</w:t>
      </w:r>
      <w:r w:rsidR="00A77917">
        <w:noBreakHyphen/>
        <w:t xml:space="preserve">mining investment activity in recent history, with sustained falls in growth only matched during the </w:t>
      </w:r>
      <w:proofErr w:type="spellStart"/>
      <w:r w:rsidR="00A77917">
        <w:t>1990s</w:t>
      </w:r>
      <w:proofErr w:type="spellEnd"/>
      <w:r w:rsidR="00A77917">
        <w:t xml:space="preserve"> recession. </w:t>
      </w:r>
      <w:r w:rsidR="006F4549">
        <w:t xml:space="preserve">Part of this reflects the unwinding of the previously strong exchange rate </w:t>
      </w:r>
      <w:r w:rsidR="00864DCF">
        <w:t>and</w:t>
      </w:r>
      <w:r w:rsidR="005369D2">
        <w:t xml:space="preserve"> weakness in business conditions in the resource</w:t>
      </w:r>
      <w:r w:rsidR="005369D2">
        <w:noBreakHyphen/>
        <w:t>rich states of Queensland and Western Australia</w:t>
      </w:r>
      <w:r w:rsidR="009F18F3">
        <w:t xml:space="preserve"> </w:t>
      </w:r>
      <w:r w:rsidR="00787668" w:rsidRPr="00787668">
        <w:rPr>
          <w:szCs w:val="24"/>
        </w:rPr>
        <w:t>(RBA </w:t>
      </w:r>
      <w:proofErr w:type="spellStart"/>
      <w:r w:rsidR="00787668" w:rsidRPr="00787668">
        <w:rPr>
          <w:szCs w:val="24"/>
        </w:rPr>
        <w:t>2017b</w:t>
      </w:r>
      <w:proofErr w:type="spellEnd"/>
      <w:r w:rsidR="00787668" w:rsidRPr="00787668">
        <w:rPr>
          <w:szCs w:val="24"/>
        </w:rPr>
        <w:t>)</w:t>
      </w:r>
      <w:r w:rsidR="00864DCF">
        <w:t>.</w:t>
      </w:r>
      <w:r w:rsidR="005369D2">
        <w:t xml:space="preserve"> </w:t>
      </w:r>
      <w:r w:rsidR="00864DCF">
        <w:t>However,</w:t>
      </w:r>
      <w:r w:rsidR="00A77917">
        <w:t xml:space="preserve"> </w:t>
      </w:r>
      <w:r w:rsidR="005369D2">
        <w:t xml:space="preserve">it remains notable that rates of investment have, on average, fallen in the other states relative to what they were prior to the </w:t>
      </w:r>
      <w:proofErr w:type="spellStart"/>
      <w:r w:rsidR="005369D2">
        <w:t>GFC</w:t>
      </w:r>
      <w:proofErr w:type="spellEnd"/>
      <w:r w:rsidR="005369D2">
        <w:t xml:space="preserve">. </w:t>
      </w:r>
      <w:r w:rsidR="009A0000">
        <w:t>T</w:t>
      </w:r>
      <w:r w:rsidR="00F075FB">
        <w:t>o the extent that non</w:t>
      </w:r>
      <w:r w:rsidR="00F075FB">
        <w:noBreakHyphen/>
        <w:t xml:space="preserve">mining investment was linked to the mining boom itself, </w:t>
      </w:r>
      <w:r w:rsidR="00F6609B">
        <w:t xml:space="preserve">some </w:t>
      </w:r>
      <w:r w:rsidR="00F075FB">
        <w:t>further weakness could be expected.</w:t>
      </w:r>
      <w:r w:rsidR="00BC70D5">
        <w:t xml:space="preserve"> </w:t>
      </w:r>
      <w:r w:rsidR="00A74873">
        <w:t xml:space="preserve">Overall, business investment as a proportion of GDP </w:t>
      </w:r>
      <w:r w:rsidR="00BC70D5">
        <w:t xml:space="preserve">is coming off record highs, and </w:t>
      </w:r>
      <w:r w:rsidR="00A74873">
        <w:t>remains well above its historical average</w:t>
      </w:r>
      <w:r w:rsidR="00BC70D5">
        <w:t>. S</w:t>
      </w:r>
      <w:r w:rsidR="00A74873">
        <w:t>ome continued reversion is likely, particularly from within the mining sector.</w:t>
      </w:r>
      <w:r w:rsidR="00BC70D5">
        <w:t xml:space="preserve"> </w:t>
      </w:r>
    </w:p>
    <w:p w14:paraId="1D0A6E70" w14:textId="77777777" w:rsidR="00DA1ECB" w:rsidRDefault="00DA1ECB" w:rsidP="00AB3210">
      <w:pPr>
        <w:pStyle w:val="BodyText"/>
      </w:pPr>
      <w:r>
        <w:t xml:space="preserve">With the majority of falls in mining investment likely to have already occurred, the contribution from further falls in mining investment is set to wane </w:t>
      </w:r>
      <w:r w:rsidRPr="00787668">
        <w:rPr>
          <w:szCs w:val="24"/>
        </w:rPr>
        <w:t>(Australian Government 2017; RBA </w:t>
      </w:r>
      <w:proofErr w:type="spellStart"/>
      <w:r w:rsidRPr="00787668">
        <w:rPr>
          <w:szCs w:val="24"/>
        </w:rPr>
        <w:t>2017b</w:t>
      </w:r>
      <w:proofErr w:type="spellEnd"/>
      <w:r w:rsidRPr="00787668">
        <w:rPr>
          <w:szCs w:val="24"/>
        </w:rPr>
        <w:t>)</w:t>
      </w:r>
      <w:r>
        <w:t>. Nonetheless, overall prospects for business investment in the near term remain subdued. Surveys of capital expenditure intentions currently imply significant falls in investment the current period (2016</w:t>
      </w:r>
      <w:r>
        <w:noBreakHyphen/>
        <w:t xml:space="preserve">17), with reductions of 29.4 and </w:t>
      </w:r>
      <w:r>
        <w:lastRenderedPageBreak/>
        <w:t>1.5 per cent in the mining and non</w:t>
      </w:r>
      <w:r>
        <w:noBreakHyphen/>
        <w:t>mining sectors, respectively (or negative 13.1 per cent in total) over 2016</w:t>
      </w:r>
      <w:r>
        <w:noBreakHyphen/>
        <w:t xml:space="preserve">17 </w:t>
      </w:r>
      <w:r w:rsidRPr="00CE4E85">
        <w:rPr>
          <w:szCs w:val="24"/>
        </w:rPr>
        <w:t>(ABS </w:t>
      </w:r>
      <w:proofErr w:type="spellStart"/>
      <w:r w:rsidRPr="00CE4E85">
        <w:rPr>
          <w:szCs w:val="24"/>
        </w:rPr>
        <w:t>2017a</w:t>
      </w:r>
      <w:proofErr w:type="spellEnd"/>
      <w:r w:rsidRPr="00CE4E85">
        <w:rPr>
          <w:szCs w:val="24"/>
        </w:rPr>
        <w:t>)</w:t>
      </w:r>
      <w:r>
        <w:t>.</w:t>
      </w:r>
      <w:r w:rsidRPr="00E6296D">
        <w:rPr>
          <w:rStyle w:val="FootnoteReference"/>
        </w:rPr>
        <w:footnoteReference w:id="6"/>
      </w:r>
      <w:r>
        <w:t xml:space="preserve"> </w:t>
      </w:r>
    </w:p>
    <w:p w14:paraId="1D0A6E71" w14:textId="77777777" w:rsidR="00833923" w:rsidRDefault="00833923" w:rsidP="00BA497E">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833923" w14:paraId="1D0A6E74" w14:textId="77777777" w:rsidTr="00BA497E">
        <w:trPr>
          <w:tblHeader/>
        </w:trPr>
        <w:tc>
          <w:tcPr>
            <w:tcW w:w="8771" w:type="dxa"/>
            <w:tcBorders>
              <w:top w:val="single" w:sz="6" w:space="0" w:color="78A22F"/>
              <w:left w:val="nil"/>
              <w:bottom w:val="nil"/>
              <w:right w:val="nil"/>
            </w:tcBorders>
            <w:shd w:val="clear" w:color="auto" w:fill="auto"/>
          </w:tcPr>
          <w:p w14:paraId="1D0A6E72" w14:textId="77777777" w:rsidR="00833923" w:rsidRDefault="00833923" w:rsidP="00BA497E">
            <w:pPr>
              <w:pStyle w:val="FigureTitle"/>
            </w:pPr>
            <w:r w:rsidRPr="00784A05">
              <w:rPr>
                <w:b w:val="0"/>
              </w:rPr>
              <w:t xml:space="preserve">Figure </w:t>
            </w:r>
            <w:r w:rsidR="00FA14DD">
              <w:rPr>
                <w:b w:val="0"/>
              </w:rPr>
              <w:t>6</w:t>
            </w:r>
            <w:r>
              <w:tab/>
              <w:t>M</w:t>
            </w:r>
            <w:r w:rsidR="00EE1C85">
              <w:t>ining and non</w:t>
            </w:r>
            <w:r w:rsidR="00EE1C85">
              <w:noBreakHyphen/>
              <w:t xml:space="preserve">mining </w:t>
            </w:r>
            <w:proofErr w:type="spellStart"/>
            <w:r w:rsidR="00EE1C85">
              <w:t>investment</w:t>
            </w:r>
            <w:r w:rsidR="009F18F3">
              <w:rPr>
                <w:vertAlign w:val="superscript"/>
              </w:rPr>
              <w:t>a</w:t>
            </w:r>
            <w:r w:rsidR="00C03268">
              <w:rPr>
                <w:vertAlign w:val="superscript"/>
              </w:rPr>
              <w:t>,b</w:t>
            </w:r>
            <w:proofErr w:type="spellEnd"/>
          </w:p>
          <w:p w14:paraId="1D0A6E73" w14:textId="77777777" w:rsidR="00833923" w:rsidRPr="00176D3F" w:rsidRDefault="001313A9" w:rsidP="001313A9">
            <w:pPr>
              <w:pStyle w:val="Subtitle"/>
            </w:pPr>
            <w:r>
              <w:t>Real gross fixed capital formation to real GDP</w:t>
            </w:r>
          </w:p>
        </w:tc>
      </w:tr>
      <w:tr w:rsidR="00833923" w14:paraId="1D0A6E7C" w14:textId="77777777" w:rsidTr="00BA497E">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4252"/>
              <w:gridCol w:w="4252"/>
            </w:tblGrid>
            <w:tr w:rsidR="00CB3995" w:rsidRPr="00B1465D" w14:paraId="1D0A6E77" w14:textId="77777777" w:rsidTr="00CB3995">
              <w:trPr>
                <w:trHeight w:val="235"/>
                <w:tblHeader/>
                <w:jc w:val="center"/>
              </w:trPr>
              <w:tc>
                <w:tcPr>
                  <w:tcW w:w="2500" w:type="pct"/>
                  <w:tcBorders>
                    <w:top w:val="nil"/>
                    <w:bottom w:val="nil"/>
                  </w:tcBorders>
                </w:tcPr>
                <w:p w14:paraId="1D0A6E75" w14:textId="77777777" w:rsidR="00CB3995" w:rsidRPr="00B1465D" w:rsidRDefault="008A5910" w:rsidP="00FA1609">
                  <w:pPr>
                    <w:pStyle w:val="Figure"/>
                    <w:numPr>
                      <w:ilvl w:val="0"/>
                      <w:numId w:val="25"/>
                    </w:numPr>
                    <w:spacing w:before="60" w:after="60"/>
                    <w:rPr>
                      <w:rFonts w:ascii="Arial" w:hAnsi="Arial" w:cs="Arial"/>
                      <w:sz w:val="18"/>
                      <w:szCs w:val="18"/>
                    </w:rPr>
                  </w:pPr>
                  <w:r>
                    <w:rPr>
                      <w:rFonts w:ascii="Arial" w:hAnsi="Arial" w:cs="Arial"/>
                      <w:sz w:val="18"/>
                      <w:szCs w:val="18"/>
                    </w:rPr>
                    <w:t>Investment to GDP</w:t>
                  </w:r>
                </w:p>
              </w:tc>
              <w:tc>
                <w:tcPr>
                  <w:tcW w:w="2500" w:type="pct"/>
                  <w:tcBorders>
                    <w:top w:val="nil"/>
                    <w:bottom w:val="nil"/>
                  </w:tcBorders>
                </w:tcPr>
                <w:p w14:paraId="1D0A6E76" w14:textId="77777777" w:rsidR="00CB3995" w:rsidRPr="00B1465D" w:rsidRDefault="008A5910" w:rsidP="00FA1609">
                  <w:pPr>
                    <w:pStyle w:val="Figure"/>
                    <w:numPr>
                      <w:ilvl w:val="0"/>
                      <w:numId w:val="25"/>
                    </w:numPr>
                    <w:spacing w:before="60" w:after="60"/>
                    <w:rPr>
                      <w:rFonts w:ascii="Arial" w:hAnsi="Arial" w:cs="Arial"/>
                      <w:sz w:val="18"/>
                      <w:szCs w:val="18"/>
                    </w:rPr>
                  </w:pPr>
                  <w:r>
                    <w:rPr>
                      <w:rFonts w:ascii="Arial" w:hAnsi="Arial" w:cs="Arial"/>
                      <w:sz w:val="18"/>
                      <w:szCs w:val="18"/>
                    </w:rPr>
                    <w:t>Non</w:t>
                  </w:r>
                  <w:r>
                    <w:rPr>
                      <w:rFonts w:ascii="Arial" w:hAnsi="Arial" w:cs="Arial"/>
                      <w:sz w:val="18"/>
                      <w:szCs w:val="18"/>
                    </w:rPr>
                    <w:noBreakHyphen/>
                    <w:t>mining investment growth</w:t>
                  </w:r>
                </w:p>
              </w:tc>
            </w:tr>
            <w:tr w:rsidR="00CB3995" w:rsidRPr="00B1465D" w14:paraId="1D0A6E7A" w14:textId="77777777" w:rsidTr="00CB3995">
              <w:trPr>
                <w:trHeight w:val="235"/>
                <w:tblHeader/>
                <w:jc w:val="center"/>
              </w:trPr>
              <w:tc>
                <w:tcPr>
                  <w:tcW w:w="2500" w:type="pct"/>
                  <w:tcBorders>
                    <w:top w:val="nil"/>
                    <w:bottom w:val="nil"/>
                  </w:tcBorders>
                </w:tcPr>
                <w:p w14:paraId="1D0A6E78" w14:textId="77777777" w:rsidR="00CB3995" w:rsidRDefault="00EE1C85" w:rsidP="00BA497E">
                  <w:pPr>
                    <w:pStyle w:val="Figure"/>
                    <w:spacing w:before="60" w:after="60"/>
                    <w:rPr>
                      <w:rFonts w:ascii="Arial" w:hAnsi="Arial" w:cs="Arial"/>
                      <w:sz w:val="18"/>
                      <w:szCs w:val="18"/>
                    </w:rPr>
                  </w:pPr>
                  <w:r w:rsidRPr="00EE1C85">
                    <w:rPr>
                      <w:rFonts w:ascii="Arial" w:hAnsi="Arial" w:cs="Arial"/>
                      <w:noProof/>
                      <w:sz w:val="18"/>
                      <w:szCs w:val="18"/>
                    </w:rPr>
                    <w:drawing>
                      <wp:inline distT="0" distB="0" distL="0" distR="0" wp14:anchorId="1D0A718C" wp14:editId="0D48F6E8">
                        <wp:extent cx="2663825" cy="2338705"/>
                        <wp:effectExtent l="0" t="0" r="3175" b="4445"/>
                        <wp:docPr id="20" name="Picture 20" descr="Panel (a) of this figure shows ratios of mining, non mining and total business investment to gross domestic product over the period 1960 to 2016. It shows the large impact of the mining investment boom on aggregate capital investment, significant increases in non mining investment over the 2000s preceding the global financial crisis, and the subsequent falls in both mining and non mining investment to the most recent period. Panel (b) of this figure shows the levels and growth in non mining business investment, which shows that the current slowdown in non mining business investment activity is the most protracted slump since the 1990 91 recess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663825" cy="2338705"/>
                                </a:xfrm>
                                <a:prstGeom prst="rect">
                                  <a:avLst/>
                                </a:prstGeom>
                                <a:noFill/>
                                <a:ln>
                                  <a:noFill/>
                                </a:ln>
                              </pic:spPr>
                            </pic:pic>
                          </a:graphicData>
                        </a:graphic>
                      </wp:inline>
                    </w:drawing>
                  </w:r>
                </w:p>
              </w:tc>
              <w:tc>
                <w:tcPr>
                  <w:tcW w:w="2500" w:type="pct"/>
                  <w:tcBorders>
                    <w:top w:val="nil"/>
                    <w:bottom w:val="nil"/>
                  </w:tcBorders>
                </w:tcPr>
                <w:p w14:paraId="1D0A6E79" w14:textId="77777777" w:rsidR="00CB3995" w:rsidRDefault="001313A9" w:rsidP="00BA497E">
                  <w:pPr>
                    <w:pStyle w:val="Figure"/>
                    <w:spacing w:before="60" w:after="60"/>
                    <w:rPr>
                      <w:rFonts w:ascii="Arial" w:hAnsi="Arial" w:cs="Arial"/>
                      <w:sz w:val="18"/>
                      <w:szCs w:val="18"/>
                    </w:rPr>
                  </w:pPr>
                  <w:r w:rsidRPr="001313A9">
                    <w:rPr>
                      <w:rFonts w:ascii="Arial" w:hAnsi="Arial" w:cs="Arial"/>
                      <w:noProof/>
                      <w:sz w:val="18"/>
                      <w:szCs w:val="18"/>
                    </w:rPr>
                    <w:drawing>
                      <wp:inline distT="0" distB="0" distL="0" distR="0" wp14:anchorId="1D0A718E" wp14:editId="5FD89B06">
                        <wp:extent cx="2667000" cy="2339340"/>
                        <wp:effectExtent l="0" t="0" r="0" b="3810"/>
                        <wp:docPr id="3" name="Picture 3" descr="Panel (a) of this figure shows ratios of mining, non mining and total business investment to gross domestic product over the period 1960 to 2016. It shows the large impact of the mining investment boom on aggregate capital investment, significant increases in non mining investment over the 2000s preceding the global financial crisis, and the subsequent falls in both mining and non mining investment to the most recent period. Panel (b) of this figure shows the levels and growth in non mining business investment, which shows that the current slowdown in non mining business investment activity is the most protracted slump since the 1990 91 recess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667000" cy="2339340"/>
                                </a:xfrm>
                                <a:prstGeom prst="rect">
                                  <a:avLst/>
                                </a:prstGeom>
                                <a:noFill/>
                                <a:ln>
                                  <a:noFill/>
                                </a:ln>
                              </pic:spPr>
                            </pic:pic>
                          </a:graphicData>
                        </a:graphic>
                      </wp:inline>
                    </w:drawing>
                  </w:r>
                </w:p>
              </w:tc>
            </w:tr>
          </w:tbl>
          <w:p w14:paraId="1D0A6E7B" w14:textId="77777777" w:rsidR="00833923" w:rsidRDefault="00833923" w:rsidP="00BA497E">
            <w:pPr>
              <w:pStyle w:val="Figure"/>
            </w:pPr>
          </w:p>
        </w:tc>
      </w:tr>
      <w:tr w:rsidR="00833923" w:rsidRPr="00176D3F" w14:paraId="1D0A6E7E" w14:textId="77777777" w:rsidTr="00BA497E">
        <w:tc>
          <w:tcPr>
            <w:tcW w:w="8771" w:type="dxa"/>
            <w:tcBorders>
              <w:top w:val="nil"/>
              <w:left w:val="nil"/>
              <w:bottom w:val="nil"/>
              <w:right w:val="nil"/>
            </w:tcBorders>
            <w:shd w:val="clear" w:color="auto" w:fill="auto"/>
          </w:tcPr>
          <w:p w14:paraId="1D0A6E7D" w14:textId="77777777" w:rsidR="00833923" w:rsidRPr="00176D3F" w:rsidRDefault="00833923" w:rsidP="00C03268">
            <w:pPr>
              <w:pStyle w:val="Note"/>
            </w:pPr>
            <w:proofErr w:type="spellStart"/>
            <w:r>
              <w:rPr>
                <w:rStyle w:val="NoteLabel"/>
              </w:rPr>
              <w:t>a</w:t>
            </w:r>
            <w:proofErr w:type="spellEnd"/>
            <w:r>
              <w:t xml:space="preserve"> </w:t>
            </w:r>
            <w:r w:rsidR="001313A9" w:rsidRPr="001313A9">
              <w:t>Excludes ownership of dwellings and ownership transfer costs</w:t>
            </w:r>
            <w:r w:rsidR="009F18F3">
              <w:t>.</w:t>
            </w:r>
            <w:r w:rsidR="00C03268">
              <w:t xml:space="preserve"> </w:t>
            </w:r>
            <w:r w:rsidR="00C03268">
              <w:rPr>
                <w:rStyle w:val="NoteLabel"/>
              </w:rPr>
              <w:t>b</w:t>
            </w:r>
            <w:r w:rsidR="00C03268">
              <w:t xml:space="preserve"> </w:t>
            </w:r>
            <w:proofErr w:type="spellStart"/>
            <w:r w:rsidR="00C03268">
              <w:t>GFCF</w:t>
            </w:r>
            <w:proofErr w:type="spellEnd"/>
            <w:r w:rsidR="00C03268">
              <w:t xml:space="preserve"> refers to gross fixed capital formation. </w:t>
            </w:r>
          </w:p>
        </w:tc>
      </w:tr>
      <w:tr w:rsidR="00833923" w:rsidRPr="00176D3F" w14:paraId="1D0A6E80" w14:textId="77777777" w:rsidTr="00BA497E">
        <w:tc>
          <w:tcPr>
            <w:tcW w:w="8771" w:type="dxa"/>
            <w:tcBorders>
              <w:top w:val="nil"/>
              <w:left w:val="nil"/>
              <w:bottom w:val="nil"/>
              <w:right w:val="nil"/>
            </w:tcBorders>
            <w:shd w:val="clear" w:color="auto" w:fill="auto"/>
          </w:tcPr>
          <w:p w14:paraId="1D0A6E7F" w14:textId="2B8CBDC2" w:rsidR="00833923" w:rsidRPr="00176D3F" w:rsidRDefault="00EE434A" w:rsidP="00EE434A">
            <w:pPr>
              <w:pStyle w:val="Source"/>
            </w:pPr>
            <w:r>
              <w:rPr>
                <w:i/>
              </w:rPr>
              <w:t>S</w:t>
            </w:r>
            <w:r w:rsidR="00833923" w:rsidRPr="00784A05">
              <w:rPr>
                <w:i/>
              </w:rPr>
              <w:t>ource</w:t>
            </w:r>
            <w:r w:rsidR="00833923" w:rsidRPr="00176D3F">
              <w:t xml:space="preserve">: </w:t>
            </w:r>
            <w:r w:rsidR="00833923">
              <w:t>ABS</w:t>
            </w:r>
            <w:r w:rsidR="00FA1609">
              <w:t xml:space="preserve"> </w:t>
            </w:r>
            <w:r w:rsidR="00FA1609" w:rsidRPr="00FA1609">
              <w:rPr>
                <w:rFonts w:cs="Arial"/>
              </w:rPr>
              <w:t>(</w:t>
            </w:r>
            <w:proofErr w:type="spellStart"/>
            <w:r w:rsidR="00FA1609" w:rsidRPr="00FA1609">
              <w:rPr>
                <w:rFonts w:cs="Arial"/>
              </w:rPr>
              <w:t>2016a</w:t>
            </w:r>
            <w:proofErr w:type="spellEnd"/>
            <w:r w:rsidR="00FA1609" w:rsidRPr="00FA1609">
              <w:rPr>
                <w:rFonts w:cs="Arial"/>
              </w:rPr>
              <w:t>)</w:t>
            </w:r>
            <w:r w:rsidR="00833923">
              <w:t xml:space="preserve">, </w:t>
            </w:r>
            <w:r w:rsidR="00833923">
              <w:rPr>
                <w:i/>
              </w:rPr>
              <w:t>Australian System of National Accounts, 2015</w:t>
            </w:r>
            <w:r>
              <w:rPr>
                <w:i/>
              </w:rPr>
              <w:noBreakHyphen/>
            </w:r>
            <w:r w:rsidR="00833923">
              <w:rPr>
                <w:i/>
              </w:rPr>
              <w:t>16,</w:t>
            </w:r>
            <w:r w:rsidR="00833923">
              <w:t xml:space="preserve"> Cat. no. 5204.0, </w:t>
            </w:r>
            <w:r w:rsidR="00F40EBA">
              <w:t>October 2016</w:t>
            </w:r>
            <w:r w:rsidR="00833923">
              <w:t>, and Productivity Commission estimates.</w:t>
            </w:r>
          </w:p>
        </w:tc>
      </w:tr>
      <w:tr w:rsidR="00833923" w14:paraId="1D0A6E82" w14:textId="77777777" w:rsidTr="00BA497E">
        <w:tc>
          <w:tcPr>
            <w:tcW w:w="8771" w:type="dxa"/>
            <w:tcBorders>
              <w:top w:val="nil"/>
              <w:left w:val="nil"/>
              <w:bottom w:val="single" w:sz="6" w:space="0" w:color="78A22F"/>
              <w:right w:val="nil"/>
            </w:tcBorders>
            <w:shd w:val="clear" w:color="auto" w:fill="auto"/>
          </w:tcPr>
          <w:p w14:paraId="1D0A6E81" w14:textId="77777777" w:rsidR="00833923" w:rsidRDefault="00833923" w:rsidP="00BA497E">
            <w:pPr>
              <w:pStyle w:val="Figurespace"/>
            </w:pPr>
          </w:p>
        </w:tc>
      </w:tr>
      <w:tr w:rsidR="00833923" w:rsidRPr="000863A5" w14:paraId="1D0A6E84" w14:textId="77777777" w:rsidTr="00BA497E">
        <w:tc>
          <w:tcPr>
            <w:tcW w:w="8771" w:type="dxa"/>
            <w:tcBorders>
              <w:top w:val="single" w:sz="6" w:space="0" w:color="78A22F"/>
              <w:left w:val="nil"/>
              <w:bottom w:val="nil"/>
              <w:right w:val="nil"/>
            </w:tcBorders>
          </w:tcPr>
          <w:p w14:paraId="1D0A6E83" w14:textId="77777777" w:rsidR="00833923" w:rsidRPr="00626D32" w:rsidRDefault="00833923" w:rsidP="00BA497E">
            <w:pPr>
              <w:pStyle w:val="BoxSpaceBelow"/>
            </w:pPr>
          </w:p>
        </w:tc>
      </w:tr>
    </w:tbl>
    <w:p w14:paraId="1D0A6E85" w14:textId="77777777" w:rsidR="005219A1" w:rsidRDefault="00547F41" w:rsidP="00AB3210">
      <w:pPr>
        <w:pStyle w:val="BodyText"/>
      </w:pPr>
      <w:r>
        <w:t xml:space="preserve">As noted in </w:t>
      </w:r>
      <w:r w:rsidR="00110603">
        <w:t>the Austral</w:t>
      </w:r>
      <w:r>
        <w:t>ian Government’s 2017</w:t>
      </w:r>
      <w:r>
        <w:noBreakHyphen/>
        <w:t>18 Budget</w:t>
      </w:r>
      <w:r w:rsidR="00787668">
        <w:t xml:space="preserve"> </w:t>
      </w:r>
      <w:r w:rsidR="00787668">
        <w:rPr>
          <w:szCs w:val="24"/>
        </w:rPr>
        <w:t>(</w:t>
      </w:r>
      <w:r w:rsidR="00787668" w:rsidRPr="00787668">
        <w:rPr>
          <w:szCs w:val="24"/>
        </w:rPr>
        <w:t>2017)</w:t>
      </w:r>
      <w:r>
        <w:t xml:space="preserve">, </w:t>
      </w:r>
      <w:r w:rsidR="00110603">
        <w:t>non</w:t>
      </w:r>
      <w:r w:rsidR="00110603">
        <w:noBreakHyphen/>
        <w:t>mining business investment remains a key uncertainty in</w:t>
      </w:r>
      <w:r w:rsidR="00CC294E">
        <w:t xml:space="preserve"> the outlook for growth</w:t>
      </w:r>
      <w:r w:rsidR="00D158C6">
        <w:t>.</w:t>
      </w:r>
      <w:r w:rsidR="00CC294E">
        <w:t xml:space="preserve"> </w:t>
      </w:r>
      <w:r w:rsidR="00BC70D5">
        <w:t>N</w:t>
      </w:r>
      <w:r w:rsidR="00CC294E">
        <w:t xml:space="preserve">otwithstanding some expected degree of weakness </w:t>
      </w:r>
      <w:r w:rsidR="00BC70D5">
        <w:t>as</w:t>
      </w:r>
      <w:r w:rsidR="00787668">
        <w:t xml:space="preserve"> the effects of the </w:t>
      </w:r>
      <w:proofErr w:type="spellStart"/>
      <w:r w:rsidR="00787668">
        <w:t>GFC</w:t>
      </w:r>
      <w:proofErr w:type="spellEnd"/>
      <w:r w:rsidR="00787668">
        <w:t xml:space="preserve"> linger,</w:t>
      </w:r>
      <w:r w:rsidR="00CC294E">
        <w:t xml:space="preserve"> and the downside of the mining boom, the muted responsiveness of business investment to improve</w:t>
      </w:r>
      <w:r w:rsidR="00BC70D5">
        <w:t>d</w:t>
      </w:r>
      <w:r w:rsidR="00CC294E">
        <w:t xml:space="preserve"> business conditions and lower interest rates remains somewhat of a puzzle. </w:t>
      </w:r>
      <w:r w:rsidR="00A77917">
        <w:t>Indicators of business confidence and conditions, and capacity utilisation have generally been above average in recent years</w:t>
      </w:r>
      <w:r w:rsidR="005219A1">
        <w:t>. Such indicators of business sentiment can be seen as necessary but insufficient conditions for investment.</w:t>
      </w:r>
      <w:r w:rsidR="005219A1" w:rsidRPr="00E6296D">
        <w:rPr>
          <w:rStyle w:val="FootnoteReference"/>
        </w:rPr>
        <w:footnoteReference w:id="7"/>
      </w:r>
      <w:r w:rsidR="005219A1" w:rsidRPr="005219A1">
        <w:t xml:space="preserve"> </w:t>
      </w:r>
      <w:r w:rsidR="005219A1">
        <w:t xml:space="preserve">As noted by </w:t>
      </w:r>
      <w:r w:rsidR="00787668">
        <w:t>Kent</w:t>
      </w:r>
      <w:r w:rsidR="00B562DC">
        <w:t xml:space="preserve"> </w:t>
      </w:r>
      <w:r w:rsidR="00787668">
        <w:rPr>
          <w:szCs w:val="24"/>
        </w:rPr>
        <w:t>(</w:t>
      </w:r>
      <w:r w:rsidR="00787668" w:rsidRPr="00787668">
        <w:rPr>
          <w:szCs w:val="24"/>
        </w:rPr>
        <w:t>2014)</w:t>
      </w:r>
      <w:r w:rsidR="00CF4534">
        <w:t xml:space="preserve">, among others, ‘hurdle’ rates of return required for investments to go ahead have neither increased nor decreased in recent years, despite significant falls in interest rates and </w:t>
      </w:r>
      <w:r w:rsidR="00B661DA">
        <w:t>hence in</w:t>
      </w:r>
      <w:r w:rsidR="009C45EB">
        <w:t xml:space="preserve"> </w:t>
      </w:r>
      <w:r w:rsidR="00CF4534">
        <w:t>businesses’ weighted average cost of capital. A growing</w:t>
      </w:r>
      <w:r w:rsidR="00CF4534" w:rsidRPr="005219A1">
        <w:t xml:space="preserve"> gap between the hurdle rates and the average cost of capital implies a reduct</w:t>
      </w:r>
      <w:r w:rsidR="00CF4534">
        <w:t xml:space="preserve">ion in businesses’ appetite for risk. This suggests businesses are likely to be waiting </w:t>
      </w:r>
      <w:r w:rsidR="001E3ACD">
        <w:t xml:space="preserve">for </w:t>
      </w:r>
      <w:r w:rsidR="00CF4534">
        <w:t xml:space="preserve">improved demand conditions (and the accompanying output price </w:t>
      </w:r>
      <w:r w:rsidR="00E57B48">
        <w:t xml:space="preserve">growth </w:t>
      </w:r>
      <w:r w:rsidR="00CF4534">
        <w:t>it b</w:t>
      </w:r>
      <w:r w:rsidR="001E3ACD">
        <w:t>r</w:t>
      </w:r>
      <w:r w:rsidR="00CF4534">
        <w:t xml:space="preserve">ings), before significant new investments are made. </w:t>
      </w:r>
    </w:p>
    <w:p w14:paraId="1D0A6E86" w14:textId="42E08B9F" w:rsidR="002061CA" w:rsidRDefault="001E3ACD" w:rsidP="00AB3210">
      <w:pPr>
        <w:pStyle w:val="BodyText"/>
      </w:pPr>
      <w:r>
        <w:lastRenderedPageBreak/>
        <w:t xml:space="preserve">One way of assessing </w:t>
      </w:r>
      <w:r w:rsidR="00E57B48">
        <w:t xml:space="preserve">prospects for investment </w:t>
      </w:r>
      <w:r>
        <w:t xml:space="preserve">is to contrast industries’ </w:t>
      </w:r>
      <w:r w:rsidR="00040925">
        <w:t xml:space="preserve">observed investment </w:t>
      </w:r>
      <w:r>
        <w:t>rates (</w:t>
      </w:r>
      <w:r w:rsidR="00C03268">
        <w:t>the ratio of</w:t>
      </w:r>
      <w:r>
        <w:t xml:space="preserve"> new investment</w:t>
      </w:r>
      <w:r w:rsidR="009A0000">
        <w:t xml:space="preserve"> to the industry capital stock)</w:t>
      </w:r>
      <w:r>
        <w:t xml:space="preserve"> </w:t>
      </w:r>
      <w:r w:rsidR="00040925">
        <w:t>with the sum of industry specific depreciation rates and output growth. That is, the overall rate of investment in an industry should broadly account for depreciation of existing assets, and the rate of growth in that industry to keep up with competitors. While this relationship ought not correlate perfectly in the short run, it provides an indication of any significant deviation in aggregate investment activity from an implied trend.</w:t>
      </w:r>
      <w:r w:rsidR="003D4855" w:rsidRPr="00E6296D">
        <w:rPr>
          <w:rStyle w:val="FootnoteReference"/>
        </w:rPr>
        <w:footnoteReference w:id="8"/>
      </w:r>
      <w:r w:rsidR="00E46C50">
        <w:t xml:space="preserve"> On this basis, </w:t>
      </w:r>
      <w:r w:rsidR="00040925">
        <w:t>current investment positions indicate that demand conditions may currently be insufficient to spur additional investment</w:t>
      </w:r>
      <w:r w:rsidR="00FA1609">
        <w:t xml:space="preserve"> (figure 7)</w:t>
      </w:r>
      <w:r w:rsidR="00040925">
        <w:t>. This implies limited scope for a turnaround in the near term.</w:t>
      </w:r>
      <w:r w:rsidR="003D4855">
        <w:t xml:space="preserve"> Notwithstanding </w:t>
      </w:r>
      <w:r w:rsidR="00B00CD8">
        <w:t xml:space="preserve">some </w:t>
      </w:r>
      <w:r w:rsidR="002061CA">
        <w:t>encouraging recent quarterly investment results in the non</w:t>
      </w:r>
      <w:r w:rsidR="002061CA">
        <w:noBreakHyphen/>
        <w:t>mining sector, when current investment intentions are scaled conservatively, they imply a</w:t>
      </w:r>
      <w:r w:rsidR="003D4855">
        <w:t>n</w:t>
      </w:r>
      <w:r w:rsidR="006F4549">
        <w:t xml:space="preserve"> </w:t>
      </w:r>
      <w:r w:rsidR="002061CA">
        <w:t>investment shortfall relative to what would otherwise be required to return to projected average rates of economic growth over five years.</w:t>
      </w:r>
      <w:r w:rsidR="002061CA" w:rsidRPr="00E6296D">
        <w:rPr>
          <w:rStyle w:val="FootnoteReference"/>
        </w:rPr>
        <w:footnoteReference w:id="9"/>
      </w:r>
      <w:r w:rsidR="002061CA">
        <w:t xml:space="preserve"> </w:t>
      </w:r>
    </w:p>
    <w:p w14:paraId="1D0A6E87" w14:textId="3B592961" w:rsidR="006F575C" w:rsidRDefault="006F575C" w:rsidP="006F575C">
      <w:pPr>
        <w:pStyle w:val="BodyText"/>
      </w:pPr>
      <w:r>
        <w:t>There are other structural explanations for subdued investment activity. One is that the composition of the economy is changing toward sectors that are less capital intensive in production, namely services sectors</w:t>
      </w:r>
      <w:r w:rsidR="009A0000">
        <w:t>,</w:t>
      </w:r>
      <w:r>
        <w:t xml:space="preserve"> which are more reliant on skilled labour. To the extent that the economy continues to shift toward services, it could imply structural reductions in overall rates of capital investment relative to GDP </w:t>
      </w:r>
      <w:r w:rsidRPr="006E3A21">
        <w:rPr>
          <w:szCs w:val="24"/>
        </w:rPr>
        <w:t>(Elias and Evans 2014)</w:t>
      </w:r>
      <w:r>
        <w:t xml:space="preserve">. These industries also tend to invest more in intangible capital, such as research and development and software, which have relatively higher rates of depreciation than physical capital assets. </w:t>
      </w:r>
    </w:p>
    <w:p w14:paraId="1D0A6E88" w14:textId="77777777" w:rsidR="006F575C" w:rsidRDefault="006F575C" w:rsidP="00AB3210">
      <w:pPr>
        <w:pStyle w:val="BodyText"/>
      </w:pPr>
      <w:r>
        <w:t xml:space="preserve">Following work by </w:t>
      </w:r>
      <w:proofErr w:type="spellStart"/>
      <w:r w:rsidRPr="008168D9">
        <w:t>Corrado</w:t>
      </w:r>
      <w:proofErr w:type="spellEnd"/>
      <w:r w:rsidRPr="008168D9">
        <w:t xml:space="preserve">, </w:t>
      </w:r>
      <w:proofErr w:type="spellStart"/>
      <w:r w:rsidRPr="008168D9">
        <w:t>Hulten</w:t>
      </w:r>
      <w:proofErr w:type="spellEnd"/>
      <w:r w:rsidRPr="008168D9">
        <w:t xml:space="preserve"> and </w:t>
      </w:r>
      <w:proofErr w:type="spellStart"/>
      <w:r w:rsidRPr="008168D9">
        <w:t>Sichel</w:t>
      </w:r>
      <w:proofErr w:type="spellEnd"/>
      <w:r>
        <w:t xml:space="preserve"> </w:t>
      </w:r>
      <w:r w:rsidRPr="0041431F">
        <w:t>(2005, 2006)</w:t>
      </w:r>
      <w:r>
        <w:t xml:space="preserve">, there is also evidence that measured capital investment in national account collections fails to account for many forms of intangibles investment, such as computerised information, brand equity and organisational capital, which ultimately affect businesses’ productivity and output. Studies estimating intangible capital in Australia have found that it is significant. Barnes and McClure </w:t>
      </w:r>
      <w:r w:rsidRPr="0041431F">
        <w:t>(2009)</w:t>
      </w:r>
      <w:r>
        <w:t xml:space="preserve"> estimated that intangible investment was almost half the size of tangible investment in the market sector of the Australian economy; that 80 per cent of such investment is not treated as investment in the national accounts; and that average annual growth in intangible investment was about 1.3 times that of tangibles since 1974</w:t>
      </w:r>
      <w:r>
        <w:noBreakHyphen/>
        <w:t xml:space="preserve">75. </w:t>
      </w:r>
    </w:p>
    <w:p w14:paraId="1D0A6E89" w14:textId="77777777" w:rsidR="00FF7DD6" w:rsidRDefault="00FF7DD6" w:rsidP="0033457E">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B964F9" w14:paraId="1D0A6E8C" w14:textId="77777777" w:rsidTr="00ED076C">
        <w:trPr>
          <w:tblHeader/>
        </w:trPr>
        <w:tc>
          <w:tcPr>
            <w:tcW w:w="8771" w:type="dxa"/>
            <w:tcBorders>
              <w:top w:val="single" w:sz="6" w:space="0" w:color="78A22F"/>
              <w:left w:val="nil"/>
              <w:bottom w:val="nil"/>
              <w:right w:val="nil"/>
            </w:tcBorders>
            <w:shd w:val="clear" w:color="auto" w:fill="auto"/>
          </w:tcPr>
          <w:p w14:paraId="1D0A6E8B" w14:textId="1FBF4F66" w:rsidR="00B964F9" w:rsidRPr="00176D3F" w:rsidRDefault="00B964F9" w:rsidP="009A0000">
            <w:pPr>
              <w:pStyle w:val="FigureTitle"/>
            </w:pPr>
            <w:r w:rsidRPr="00784A05">
              <w:rPr>
                <w:b w:val="0"/>
              </w:rPr>
              <w:t xml:space="preserve">Figure </w:t>
            </w:r>
            <w:r w:rsidR="00FA14DD">
              <w:rPr>
                <w:b w:val="0"/>
              </w:rPr>
              <w:t>7</w:t>
            </w:r>
            <w:r>
              <w:tab/>
            </w:r>
            <w:r w:rsidR="008F55E9">
              <w:t xml:space="preserve">Trend vs. actual capital investment </w:t>
            </w:r>
            <w:proofErr w:type="spellStart"/>
            <w:r w:rsidR="008F55E9">
              <w:t>positions</w:t>
            </w:r>
            <w:r w:rsidR="00A74873">
              <w:rPr>
                <w:vertAlign w:val="superscript"/>
              </w:rPr>
              <w:t>a</w:t>
            </w:r>
            <w:proofErr w:type="spellEnd"/>
          </w:p>
        </w:tc>
      </w:tr>
      <w:tr w:rsidR="00B964F9" w14:paraId="1D0A6E96" w14:textId="77777777" w:rsidTr="00ED076C">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8504"/>
            </w:tblGrid>
            <w:tr w:rsidR="00B964F9" w:rsidRPr="00B1465D" w14:paraId="1D0A6E94" w14:textId="77777777" w:rsidTr="00ED076C">
              <w:trPr>
                <w:tblHeader/>
                <w:jc w:val="center"/>
              </w:trPr>
              <w:tc>
                <w:tcPr>
                  <w:tcW w:w="5000" w:type="pct"/>
                  <w:tcBorders>
                    <w:top w:val="nil"/>
                    <w:bottom w:val="nil"/>
                  </w:tcBorders>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4252"/>
                    <w:gridCol w:w="4252"/>
                  </w:tblGrid>
                  <w:tr w:rsidR="00B964F9" w:rsidRPr="00B1465D" w14:paraId="1D0A6E8F" w14:textId="77777777" w:rsidTr="00ED076C">
                    <w:trPr>
                      <w:trHeight w:val="200"/>
                      <w:tblHeader/>
                      <w:jc w:val="center"/>
                    </w:trPr>
                    <w:tc>
                      <w:tcPr>
                        <w:tcW w:w="2500" w:type="pct"/>
                        <w:tcBorders>
                          <w:top w:val="nil"/>
                          <w:bottom w:val="nil"/>
                        </w:tcBorders>
                      </w:tcPr>
                      <w:p w14:paraId="1D0A6E8D" w14:textId="77777777" w:rsidR="00B964F9" w:rsidRPr="00B1465D" w:rsidRDefault="00B964F9" w:rsidP="00ED076C">
                        <w:pPr>
                          <w:pStyle w:val="Figure"/>
                          <w:spacing w:before="60" w:after="60"/>
                          <w:rPr>
                            <w:rFonts w:ascii="Arial" w:hAnsi="Arial" w:cs="Arial"/>
                            <w:sz w:val="18"/>
                            <w:szCs w:val="18"/>
                          </w:rPr>
                        </w:pPr>
                        <w:r>
                          <w:rPr>
                            <w:rFonts w:ascii="Arial" w:hAnsi="Arial" w:cs="Arial"/>
                            <w:sz w:val="18"/>
                            <w:szCs w:val="18"/>
                          </w:rPr>
                          <w:t>Mining</w:t>
                        </w:r>
                      </w:p>
                    </w:tc>
                    <w:tc>
                      <w:tcPr>
                        <w:tcW w:w="2500" w:type="pct"/>
                        <w:tcBorders>
                          <w:top w:val="nil"/>
                        </w:tcBorders>
                      </w:tcPr>
                      <w:p w14:paraId="1D0A6E8E" w14:textId="5158935E" w:rsidR="00B964F9" w:rsidRPr="00B1465D" w:rsidRDefault="00B964F9" w:rsidP="00ED076C">
                        <w:pPr>
                          <w:pStyle w:val="Figure"/>
                          <w:spacing w:before="60" w:after="60"/>
                          <w:rPr>
                            <w:rFonts w:ascii="Arial" w:hAnsi="Arial" w:cs="Arial"/>
                            <w:sz w:val="18"/>
                            <w:szCs w:val="18"/>
                          </w:rPr>
                        </w:pPr>
                        <w:r>
                          <w:rPr>
                            <w:rFonts w:ascii="Arial" w:hAnsi="Arial" w:cs="Arial"/>
                            <w:sz w:val="18"/>
                            <w:szCs w:val="18"/>
                          </w:rPr>
                          <w:t>Non</w:t>
                        </w:r>
                        <w:r w:rsidR="00EE434A">
                          <w:rPr>
                            <w:rFonts w:ascii="Arial" w:hAnsi="Arial" w:cs="Arial"/>
                            <w:sz w:val="18"/>
                            <w:szCs w:val="18"/>
                          </w:rPr>
                          <w:noBreakHyphen/>
                        </w:r>
                        <w:r>
                          <w:rPr>
                            <w:rFonts w:ascii="Arial" w:hAnsi="Arial" w:cs="Arial"/>
                            <w:sz w:val="18"/>
                            <w:szCs w:val="18"/>
                          </w:rPr>
                          <w:t>mining</w:t>
                        </w:r>
                      </w:p>
                    </w:tc>
                  </w:tr>
                  <w:tr w:rsidR="00B964F9" w:rsidRPr="00B1465D" w14:paraId="1D0A6E92" w14:textId="77777777" w:rsidTr="00ED076C">
                    <w:trPr>
                      <w:trHeight w:val="200"/>
                      <w:tblHeader/>
                      <w:jc w:val="center"/>
                    </w:trPr>
                    <w:tc>
                      <w:tcPr>
                        <w:tcW w:w="2500" w:type="pct"/>
                        <w:tcBorders>
                          <w:top w:val="nil"/>
                          <w:bottom w:val="nil"/>
                        </w:tcBorders>
                      </w:tcPr>
                      <w:p w14:paraId="1D0A6E90" w14:textId="77777777" w:rsidR="00B964F9" w:rsidRPr="00B1465D" w:rsidRDefault="008F55E9" w:rsidP="00ED076C">
                        <w:pPr>
                          <w:pStyle w:val="Figure"/>
                          <w:spacing w:before="60" w:after="60"/>
                          <w:rPr>
                            <w:rFonts w:ascii="Arial" w:hAnsi="Arial" w:cs="Arial"/>
                            <w:sz w:val="18"/>
                            <w:szCs w:val="18"/>
                          </w:rPr>
                        </w:pPr>
                        <w:r>
                          <w:rPr>
                            <w:rFonts w:ascii="Arial" w:hAnsi="Arial" w:cs="Arial"/>
                            <w:noProof/>
                            <w:sz w:val="18"/>
                            <w:szCs w:val="18"/>
                          </w:rPr>
                          <w:drawing>
                            <wp:inline distT="0" distB="0" distL="0" distR="0" wp14:anchorId="1D0A7190" wp14:editId="5798EB91">
                              <wp:extent cx="2658745" cy="2328545"/>
                              <wp:effectExtent l="0" t="0" r="8255" b="0"/>
                              <wp:docPr id="14" name="Picture 14" descr="This figure contrast industries’ observed investment rates (the ratio of new investment to the industry capital stock), with the sum of industry specific depreciation rates and output growth. These series are contrasted because the overall rate of investment in an industry should broadly account for depreciation of existing assets, and the rate of growth in that industry to keep up with competitors. The chart implies fairly limited scope for a turnaround in non mining business investment on the basis that current investment rates are around that implied by the tre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58745" cy="2328545"/>
                                      </a:xfrm>
                                      <a:prstGeom prst="rect">
                                        <a:avLst/>
                                      </a:prstGeom>
                                      <a:noFill/>
                                      <a:ln>
                                        <a:noFill/>
                                      </a:ln>
                                    </pic:spPr>
                                  </pic:pic>
                                </a:graphicData>
                              </a:graphic>
                            </wp:inline>
                          </w:drawing>
                        </w:r>
                      </w:p>
                    </w:tc>
                    <w:tc>
                      <w:tcPr>
                        <w:tcW w:w="2500" w:type="pct"/>
                        <w:tcBorders>
                          <w:bottom w:val="nil"/>
                        </w:tcBorders>
                      </w:tcPr>
                      <w:p w14:paraId="1D0A6E91" w14:textId="77777777" w:rsidR="00B964F9" w:rsidRPr="00B1465D" w:rsidRDefault="008F55E9" w:rsidP="00ED076C">
                        <w:pPr>
                          <w:pStyle w:val="Figure"/>
                          <w:spacing w:before="60" w:after="60"/>
                          <w:rPr>
                            <w:rFonts w:ascii="Arial" w:hAnsi="Arial" w:cs="Arial"/>
                            <w:sz w:val="18"/>
                            <w:szCs w:val="18"/>
                          </w:rPr>
                        </w:pPr>
                        <w:r>
                          <w:rPr>
                            <w:rFonts w:ascii="Arial" w:hAnsi="Arial" w:cs="Arial"/>
                            <w:noProof/>
                            <w:sz w:val="18"/>
                            <w:szCs w:val="18"/>
                          </w:rPr>
                          <w:drawing>
                            <wp:inline distT="0" distB="0" distL="0" distR="0" wp14:anchorId="1D0A7192" wp14:editId="469C7497">
                              <wp:extent cx="2658745" cy="2328545"/>
                              <wp:effectExtent l="0" t="0" r="8255" b="0"/>
                              <wp:docPr id="17" name="Picture 17" descr="This figure contrast industries’ observed investment rates (the ratio of new investment to the industry capital stock), with the sum of industry specific depreciation rates and output growth. These series are contrasted because the overall rate of investment in an industry should broadly account for depreciation of existing assets, and the rate of growth in that industry to keep up with competitors. The chart implies fairly limited scope for a turnaround in non mining business investment on the basis that current investment rates are around that implied by the tre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58745" cy="2328545"/>
                                      </a:xfrm>
                                      <a:prstGeom prst="rect">
                                        <a:avLst/>
                                      </a:prstGeom>
                                      <a:noFill/>
                                      <a:ln>
                                        <a:noFill/>
                                      </a:ln>
                                    </pic:spPr>
                                  </pic:pic>
                                </a:graphicData>
                              </a:graphic>
                            </wp:inline>
                          </w:drawing>
                        </w:r>
                      </w:p>
                    </w:tc>
                  </w:tr>
                </w:tbl>
                <w:p w14:paraId="1D0A6E93" w14:textId="77777777" w:rsidR="00B964F9" w:rsidRPr="00B1465D" w:rsidRDefault="00B964F9" w:rsidP="00ED076C">
                  <w:pPr>
                    <w:pStyle w:val="Figure"/>
                    <w:spacing w:before="60" w:after="60"/>
                    <w:rPr>
                      <w:rFonts w:ascii="Arial" w:hAnsi="Arial" w:cs="Arial"/>
                      <w:sz w:val="18"/>
                      <w:szCs w:val="18"/>
                    </w:rPr>
                  </w:pPr>
                </w:p>
              </w:tc>
            </w:tr>
          </w:tbl>
          <w:p w14:paraId="1D0A6E95" w14:textId="77777777" w:rsidR="00B964F9" w:rsidRDefault="00B964F9" w:rsidP="00ED076C">
            <w:pPr>
              <w:pStyle w:val="Figure"/>
            </w:pPr>
          </w:p>
        </w:tc>
      </w:tr>
      <w:tr w:rsidR="00B964F9" w:rsidRPr="00176D3F" w14:paraId="1D0A6E98" w14:textId="77777777" w:rsidTr="00ED076C">
        <w:tc>
          <w:tcPr>
            <w:tcW w:w="8771" w:type="dxa"/>
            <w:tcBorders>
              <w:top w:val="nil"/>
              <w:left w:val="nil"/>
              <w:bottom w:val="nil"/>
              <w:right w:val="nil"/>
            </w:tcBorders>
            <w:shd w:val="clear" w:color="auto" w:fill="auto"/>
          </w:tcPr>
          <w:p w14:paraId="1D0A6E97" w14:textId="77777777" w:rsidR="00B964F9" w:rsidRPr="00176D3F" w:rsidRDefault="00B964F9" w:rsidP="00FF0D2F">
            <w:pPr>
              <w:pStyle w:val="Note"/>
            </w:pPr>
            <w:r>
              <w:rPr>
                <w:rStyle w:val="NoteLabel"/>
              </w:rPr>
              <w:t>a</w:t>
            </w:r>
            <w:r w:rsidR="00090F39">
              <w:t xml:space="preserve"> </w:t>
            </w:r>
            <w:r w:rsidR="00A74873">
              <w:t>T</w:t>
            </w:r>
            <w:r w:rsidR="00090F39">
              <w:t>rend investment (green</w:t>
            </w:r>
            <w:r w:rsidR="00A74873">
              <w:t xml:space="preserve"> lines</w:t>
            </w:r>
            <w:r w:rsidR="00090F39">
              <w:t>) are the summation of real industry specific depreciation rates (</w:t>
            </w:r>
            <w:r w:rsidR="00090F39">
              <w:rPr>
                <w:rFonts w:cs="Arial"/>
              </w:rPr>
              <w:t xml:space="preserve">δ) and smoothed </w:t>
            </w:r>
            <w:r w:rsidR="008526E4">
              <w:rPr>
                <w:rFonts w:cs="Arial"/>
              </w:rPr>
              <w:t xml:space="preserve">real </w:t>
            </w:r>
            <w:proofErr w:type="spellStart"/>
            <w:r w:rsidR="00090F39">
              <w:rPr>
                <w:rFonts w:cs="Arial"/>
              </w:rPr>
              <w:t>GVA</w:t>
            </w:r>
            <w:proofErr w:type="spellEnd"/>
            <w:r w:rsidR="00090F39">
              <w:rPr>
                <w:rFonts w:cs="Arial"/>
              </w:rPr>
              <w:t xml:space="preserve"> growth (g). </w:t>
            </w:r>
            <w:proofErr w:type="spellStart"/>
            <w:r w:rsidR="00090F39">
              <w:rPr>
                <w:rFonts w:cs="Arial"/>
              </w:rPr>
              <w:t>GVA</w:t>
            </w:r>
            <w:proofErr w:type="spellEnd"/>
            <w:r w:rsidR="00090F39">
              <w:rPr>
                <w:rFonts w:cs="Arial"/>
              </w:rPr>
              <w:t xml:space="preserve"> is smoothed using a HP</w:t>
            </w:r>
            <w:r w:rsidR="00090F39">
              <w:rPr>
                <w:rFonts w:cs="Arial"/>
              </w:rPr>
              <w:noBreakHyphen/>
              <w:t>filter (λ=50)</w:t>
            </w:r>
            <w:r>
              <w:t>.</w:t>
            </w:r>
            <w:r w:rsidR="00090F39">
              <w:t xml:space="preserve"> </w:t>
            </w:r>
            <w:r w:rsidR="00A74873">
              <w:t>A</w:t>
            </w:r>
            <w:r w:rsidR="00090F39">
              <w:t xml:space="preserve">ctual </w:t>
            </w:r>
            <w:r w:rsidR="00A74873">
              <w:t xml:space="preserve">investment </w:t>
            </w:r>
            <w:r w:rsidR="00090F39">
              <w:t>(blue</w:t>
            </w:r>
            <w:r w:rsidR="00A74873">
              <w:t xml:space="preserve"> lines</w:t>
            </w:r>
            <w:r w:rsidR="00090F39">
              <w:t xml:space="preserve">) are the ratio of industry real gross fixed capital formation </w:t>
            </w:r>
            <w:r w:rsidR="007F7B99">
              <w:t xml:space="preserve">to </w:t>
            </w:r>
            <w:r w:rsidR="00A74873">
              <w:t>industry</w:t>
            </w:r>
            <w:r w:rsidR="00090F39">
              <w:t xml:space="preserve"> net capital stock</w:t>
            </w:r>
            <w:r w:rsidR="00A74873">
              <w:t>s</w:t>
            </w:r>
            <w:r w:rsidR="00090F39">
              <w:t>.</w:t>
            </w:r>
          </w:p>
        </w:tc>
      </w:tr>
      <w:tr w:rsidR="00B964F9" w:rsidRPr="00176D3F" w14:paraId="1D0A6E9A" w14:textId="77777777" w:rsidTr="00ED076C">
        <w:tc>
          <w:tcPr>
            <w:tcW w:w="8771" w:type="dxa"/>
            <w:tcBorders>
              <w:top w:val="nil"/>
              <w:left w:val="nil"/>
              <w:bottom w:val="nil"/>
              <w:right w:val="nil"/>
            </w:tcBorders>
            <w:shd w:val="clear" w:color="auto" w:fill="auto"/>
          </w:tcPr>
          <w:p w14:paraId="1D0A6E99" w14:textId="35C4E924" w:rsidR="00B964F9" w:rsidRPr="00176D3F" w:rsidRDefault="00EE434A" w:rsidP="00EE434A">
            <w:pPr>
              <w:pStyle w:val="Source"/>
            </w:pPr>
            <w:r>
              <w:rPr>
                <w:i/>
              </w:rPr>
              <w:t>S</w:t>
            </w:r>
            <w:r w:rsidR="00B964F9" w:rsidRPr="00784A05">
              <w:rPr>
                <w:i/>
              </w:rPr>
              <w:t>ource</w:t>
            </w:r>
            <w:r w:rsidR="00B964F9" w:rsidRPr="00176D3F">
              <w:t xml:space="preserve">: </w:t>
            </w:r>
            <w:r w:rsidR="008C7DFA">
              <w:t>ABS</w:t>
            </w:r>
            <w:r w:rsidR="00787668">
              <w:t xml:space="preserve"> </w:t>
            </w:r>
            <w:r w:rsidR="00787668">
              <w:rPr>
                <w:rFonts w:cs="Arial"/>
                <w:szCs w:val="24"/>
              </w:rPr>
              <w:t>(</w:t>
            </w:r>
            <w:proofErr w:type="spellStart"/>
            <w:r w:rsidR="00787668" w:rsidRPr="00787668">
              <w:rPr>
                <w:rFonts w:cs="Arial"/>
                <w:szCs w:val="24"/>
              </w:rPr>
              <w:t>2016a</w:t>
            </w:r>
            <w:proofErr w:type="spellEnd"/>
            <w:r w:rsidR="00787668" w:rsidRPr="00787668">
              <w:rPr>
                <w:rFonts w:cs="Arial"/>
                <w:szCs w:val="24"/>
              </w:rPr>
              <w:t>)</w:t>
            </w:r>
            <w:r w:rsidR="008C7DFA">
              <w:t xml:space="preserve">, </w:t>
            </w:r>
            <w:r w:rsidR="008C7DFA">
              <w:rPr>
                <w:i/>
              </w:rPr>
              <w:t>Australian System of National Accounts, 2015</w:t>
            </w:r>
            <w:r>
              <w:rPr>
                <w:i/>
              </w:rPr>
              <w:noBreakHyphen/>
            </w:r>
            <w:r w:rsidR="008C7DFA">
              <w:rPr>
                <w:i/>
              </w:rPr>
              <w:t>16,</w:t>
            </w:r>
            <w:r w:rsidR="008C7DFA">
              <w:t xml:space="preserve"> Cat. no. 5204.0, December</w:t>
            </w:r>
            <w:r w:rsidR="00F40EBA">
              <w:t xml:space="preserve"> 2016</w:t>
            </w:r>
            <w:r w:rsidR="008C7DFA">
              <w:t>, and Productivity Commission estimates.</w:t>
            </w:r>
          </w:p>
        </w:tc>
      </w:tr>
      <w:tr w:rsidR="00B964F9" w14:paraId="1D0A6E9C" w14:textId="77777777" w:rsidTr="00ED076C">
        <w:tc>
          <w:tcPr>
            <w:tcW w:w="8771" w:type="dxa"/>
            <w:tcBorders>
              <w:top w:val="nil"/>
              <w:left w:val="nil"/>
              <w:bottom w:val="single" w:sz="6" w:space="0" w:color="78A22F"/>
              <w:right w:val="nil"/>
            </w:tcBorders>
            <w:shd w:val="clear" w:color="auto" w:fill="auto"/>
          </w:tcPr>
          <w:p w14:paraId="1D0A6E9B" w14:textId="77777777" w:rsidR="00B964F9" w:rsidRDefault="00B964F9" w:rsidP="00ED076C">
            <w:pPr>
              <w:pStyle w:val="Figurespace"/>
            </w:pPr>
          </w:p>
        </w:tc>
      </w:tr>
      <w:tr w:rsidR="00B964F9" w:rsidRPr="000863A5" w14:paraId="1D0A6E9E" w14:textId="77777777" w:rsidTr="00ED076C">
        <w:tc>
          <w:tcPr>
            <w:tcW w:w="8771" w:type="dxa"/>
            <w:tcBorders>
              <w:top w:val="single" w:sz="6" w:space="0" w:color="78A22F"/>
              <w:left w:val="nil"/>
              <w:bottom w:val="nil"/>
              <w:right w:val="nil"/>
            </w:tcBorders>
          </w:tcPr>
          <w:p w14:paraId="1D0A6E9D" w14:textId="77777777" w:rsidR="00B964F9" w:rsidRPr="00626D32" w:rsidRDefault="00B964F9" w:rsidP="00ED076C">
            <w:pPr>
              <w:pStyle w:val="BoxSpaceBelow"/>
            </w:pPr>
          </w:p>
        </w:tc>
      </w:tr>
    </w:tbl>
    <w:p w14:paraId="1D0A6E9F" w14:textId="3935FAC2" w:rsidR="00301518" w:rsidRDefault="00325024" w:rsidP="00301518">
      <w:pPr>
        <w:pStyle w:val="BodyText"/>
      </w:pPr>
      <w:r>
        <w:t>Updates to this work generally fi</w:t>
      </w:r>
      <w:r w:rsidR="00C03268">
        <w:t>nd that the ratio of intangible to tangible</w:t>
      </w:r>
      <w:r>
        <w:t xml:space="preserve"> investment has fallen somewhat since the early</w:t>
      </w:r>
      <w:r w:rsidR="002D0532">
        <w:t xml:space="preserve"> to mid</w:t>
      </w:r>
      <w:r w:rsidR="002D0532">
        <w:noBreakHyphen/>
      </w:r>
      <w:proofErr w:type="spellStart"/>
      <w:r w:rsidR="002D0532">
        <w:t>2000s</w:t>
      </w:r>
      <w:proofErr w:type="spellEnd"/>
      <w:r w:rsidR="002D0532">
        <w:t xml:space="preserve">. </w:t>
      </w:r>
      <w:proofErr w:type="spellStart"/>
      <w:r w:rsidR="002D0532">
        <w:t>Elnasri</w:t>
      </w:r>
      <w:proofErr w:type="spellEnd"/>
      <w:r w:rsidR="002D0532">
        <w:t xml:space="preserve"> and Fox </w:t>
      </w:r>
      <w:r w:rsidR="002D0532" w:rsidRPr="002D0532">
        <w:t>(2014)</w:t>
      </w:r>
      <w:r w:rsidR="002D0532">
        <w:t xml:space="preserve"> </w:t>
      </w:r>
      <w:r>
        <w:t>found that the ratio of intangibles to tangibles increased continuously from 0.29 in 1974</w:t>
      </w:r>
      <w:r w:rsidR="002D0532">
        <w:noBreakHyphen/>
      </w:r>
      <w:r>
        <w:t>75 to 0.53 in 2004</w:t>
      </w:r>
      <w:r w:rsidR="002D0532">
        <w:noBreakHyphen/>
      </w:r>
      <w:r>
        <w:t xml:space="preserve">05; however, it decreased to 0.38 by </w:t>
      </w:r>
      <w:r w:rsidR="002D0532">
        <w:t>2012</w:t>
      </w:r>
      <w:r w:rsidR="00EE434A">
        <w:noBreakHyphen/>
      </w:r>
      <w:r w:rsidR="002D0532">
        <w:t xml:space="preserve">13. </w:t>
      </w:r>
      <w:proofErr w:type="spellStart"/>
      <w:r w:rsidR="002D0532">
        <w:t>Bucifal</w:t>
      </w:r>
      <w:proofErr w:type="spellEnd"/>
      <w:r w:rsidR="002D0532">
        <w:t xml:space="preserve"> and </w:t>
      </w:r>
      <w:proofErr w:type="spellStart"/>
      <w:r w:rsidR="002D0532">
        <w:t>Bulic</w:t>
      </w:r>
      <w:proofErr w:type="spellEnd"/>
      <w:r w:rsidR="002D0532">
        <w:t xml:space="preserve"> </w:t>
      </w:r>
      <w:r w:rsidR="002D0532" w:rsidRPr="002D0532">
        <w:t>(2016)</w:t>
      </w:r>
      <w:r w:rsidR="002D0532">
        <w:t xml:space="preserve"> </w:t>
      </w:r>
      <w:r>
        <w:t xml:space="preserve">also found that the ratio of </w:t>
      </w:r>
      <w:r w:rsidR="00301518">
        <w:t xml:space="preserve">organisational capital stock to aggregate machinery and equipment capital stock peaked around the early </w:t>
      </w:r>
      <w:proofErr w:type="spellStart"/>
      <w:r w:rsidR="00301518">
        <w:t>2000s</w:t>
      </w:r>
      <w:proofErr w:type="spellEnd"/>
      <w:r w:rsidR="00301518">
        <w:t xml:space="preserve"> and subsequently declined to 2012</w:t>
      </w:r>
      <w:r w:rsidR="00301518">
        <w:noBreakHyphen/>
        <w:t xml:space="preserve">13. These </w:t>
      </w:r>
      <w:r w:rsidR="00C03268">
        <w:t>results suggest that intangible</w:t>
      </w:r>
      <w:r w:rsidR="00301518">
        <w:t xml:space="preserve"> investment is </w:t>
      </w:r>
      <w:r w:rsidR="00301518" w:rsidRPr="00301518">
        <w:t xml:space="preserve">underpinned by technological disruption in a complementary </w:t>
      </w:r>
      <w:r w:rsidR="00301518">
        <w:t>way</w:t>
      </w:r>
      <w:r w:rsidR="00301518" w:rsidRPr="00301518">
        <w:t xml:space="preserve">. This </w:t>
      </w:r>
      <w:r w:rsidR="00241F61">
        <w:t>is</w:t>
      </w:r>
      <w:r w:rsidR="00301518" w:rsidRPr="00301518">
        <w:t xml:space="preserve"> consistent with theories suggest</w:t>
      </w:r>
      <w:r w:rsidR="00241F61">
        <w:t>ing</w:t>
      </w:r>
      <w:r w:rsidR="00301518" w:rsidRPr="00301518">
        <w:t xml:space="preserve"> that the productivity potential of ICT is only </w:t>
      </w:r>
      <w:r w:rsidR="00241F61">
        <w:t>realised</w:t>
      </w:r>
      <w:r w:rsidR="00301518" w:rsidRPr="00301518">
        <w:t xml:space="preserve"> when matched by </w:t>
      </w:r>
      <w:r w:rsidR="00241F61">
        <w:t xml:space="preserve">complementary </w:t>
      </w:r>
      <w:r w:rsidR="00301518" w:rsidRPr="00301518">
        <w:t>organisational and managerial changes</w:t>
      </w:r>
      <w:r w:rsidR="00241F61">
        <w:t xml:space="preserve"> </w:t>
      </w:r>
      <w:r w:rsidR="00241F61" w:rsidRPr="00241F61">
        <w:rPr>
          <w:szCs w:val="24"/>
        </w:rPr>
        <w:t>(OECD 2013)</w:t>
      </w:r>
      <w:r w:rsidR="00301518">
        <w:t xml:space="preserve">. </w:t>
      </w:r>
    </w:p>
    <w:p w14:paraId="1D0A6EA0" w14:textId="719F575C" w:rsidR="0070467E" w:rsidRDefault="00301518" w:rsidP="00325024">
      <w:pPr>
        <w:pStyle w:val="BodyText"/>
      </w:pPr>
      <w:r>
        <w:t xml:space="preserve">However, this is not to suggest that the importance of intangibles has decreased over time. </w:t>
      </w:r>
      <w:proofErr w:type="spellStart"/>
      <w:r>
        <w:t>Elnasri</w:t>
      </w:r>
      <w:proofErr w:type="spellEnd"/>
      <w:r>
        <w:t xml:space="preserve"> and Fox </w:t>
      </w:r>
      <w:r w:rsidR="00241F61" w:rsidRPr="00241F61">
        <w:t>(2014)</w:t>
      </w:r>
      <w:r w:rsidR="00241F61">
        <w:t xml:space="preserve"> </w:t>
      </w:r>
      <w:r>
        <w:t>found that between 1974</w:t>
      </w:r>
      <w:r w:rsidR="002D0532">
        <w:noBreakHyphen/>
      </w:r>
      <w:r>
        <w:t>75 and 2012</w:t>
      </w:r>
      <w:r w:rsidR="002D0532">
        <w:noBreakHyphen/>
      </w:r>
      <w:r>
        <w:t xml:space="preserve">13, the total stock of intangibles grew </w:t>
      </w:r>
      <w:r w:rsidR="00711B79">
        <w:t>at</w:t>
      </w:r>
      <w:r>
        <w:t xml:space="preserve"> an average annual growth rate of 5 per cent, while the real tangible capital stock over the same period </w:t>
      </w:r>
      <w:r w:rsidR="003E6F4C">
        <w:t>grew</w:t>
      </w:r>
      <w:r>
        <w:t xml:space="preserve"> at an average annual growth rate of 3 per</w:t>
      </w:r>
      <w:r w:rsidR="003E6F4C">
        <w:t> </w:t>
      </w:r>
      <w:r>
        <w:t>cent. Intangible investment increased in importance relative to tangible investment over this period. The percentage of intangible capital in total capital grew from 9</w:t>
      </w:r>
      <w:r w:rsidR="00711B79">
        <w:t> per cent</w:t>
      </w:r>
      <w:r>
        <w:t xml:space="preserve"> </w:t>
      </w:r>
      <w:r w:rsidR="00711B79">
        <w:t>in 1974</w:t>
      </w:r>
      <w:r w:rsidR="00711B79">
        <w:noBreakHyphen/>
      </w:r>
      <w:r>
        <w:t>75 to 14</w:t>
      </w:r>
      <w:r w:rsidR="00711B79">
        <w:t> per cent</w:t>
      </w:r>
      <w:r>
        <w:t xml:space="preserve"> in 2012</w:t>
      </w:r>
      <w:r w:rsidR="00EE434A">
        <w:noBreakHyphen/>
      </w:r>
      <w:r>
        <w:t xml:space="preserve">13, </w:t>
      </w:r>
      <w:r w:rsidR="00C82E28">
        <w:t>about</w:t>
      </w:r>
      <w:r>
        <w:t xml:space="preserve"> 55</w:t>
      </w:r>
      <w:r w:rsidR="00711B79">
        <w:t> per cent</w:t>
      </w:r>
      <w:r>
        <w:t xml:space="preserve"> of which is currently </w:t>
      </w:r>
      <w:r w:rsidR="00C03268">
        <w:t>accounted for</w:t>
      </w:r>
      <w:r w:rsidR="00711B79">
        <w:t xml:space="preserve"> in the national accounts.</w:t>
      </w:r>
      <w:r>
        <w:t xml:space="preserve"> </w:t>
      </w:r>
      <w:proofErr w:type="spellStart"/>
      <w:r>
        <w:t>Bucifal</w:t>
      </w:r>
      <w:proofErr w:type="spellEnd"/>
      <w:r>
        <w:t xml:space="preserve"> and </w:t>
      </w:r>
      <w:proofErr w:type="spellStart"/>
      <w:r>
        <w:t>Bulic</w:t>
      </w:r>
      <w:proofErr w:type="spellEnd"/>
      <w:r>
        <w:t xml:space="preserve"> </w:t>
      </w:r>
      <w:r w:rsidR="00241F61" w:rsidRPr="00241F61">
        <w:t>(2016)</w:t>
      </w:r>
      <w:r w:rsidR="00241F61">
        <w:t xml:space="preserve"> </w:t>
      </w:r>
      <w:r>
        <w:t>also suggest that organisational capital</w:t>
      </w:r>
      <w:r w:rsidRPr="00301518">
        <w:t xml:space="preserve"> investment in the Australian market sector as a whole is </w:t>
      </w:r>
      <w:r w:rsidR="005D7CAB" w:rsidRPr="00301518">
        <w:t>siz</w:t>
      </w:r>
      <w:r w:rsidR="005D7CAB">
        <w:t>a</w:t>
      </w:r>
      <w:r w:rsidR="005D7CAB" w:rsidRPr="00301518">
        <w:t>ble</w:t>
      </w:r>
      <w:r w:rsidRPr="00301518">
        <w:t xml:space="preserve"> and growing at above the rate of investment in </w:t>
      </w:r>
      <w:r w:rsidR="00C03268">
        <w:t>tangible</w:t>
      </w:r>
      <w:r w:rsidRPr="00301518">
        <w:t xml:space="preserve"> capital (machinery and equipment)</w:t>
      </w:r>
      <w:r>
        <w:t xml:space="preserve">. </w:t>
      </w:r>
      <w:r w:rsidR="00711B79">
        <w:t>Furthermore, given the</w:t>
      </w:r>
      <w:r>
        <w:t xml:space="preserve"> aggregate nature of these studies</w:t>
      </w:r>
      <w:r w:rsidR="00711B79">
        <w:t>,</w:t>
      </w:r>
      <w:r>
        <w:t xml:space="preserve"> aggregate </w:t>
      </w:r>
      <w:r w:rsidR="00C03268">
        <w:rPr>
          <w:i/>
        </w:rPr>
        <w:t>tangible</w:t>
      </w:r>
      <w:r>
        <w:t xml:space="preserve"> investment</w:t>
      </w:r>
      <w:r w:rsidR="00711B79">
        <w:t xml:space="preserve"> figures are significantly </w:t>
      </w:r>
      <w:r w:rsidR="00711B79">
        <w:lastRenderedPageBreak/>
        <w:t>influenced</w:t>
      </w:r>
      <w:r>
        <w:t xml:space="preserve"> by </w:t>
      </w:r>
      <w:r w:rsidR="00711B79">
        <w:t xml:space="preserve">the </w:t>
      </w:r>
      <w:r>
        <w:t xml:space="preserve">extraordinary </w:t>
      </w:r>
      <w:r w:rsidR="00711B79">
        <w:t xml:space="preserve">rates of mining </w:t>
      </w:r>
      <w:r>
        <w:t>investment over the same period</w:t>
      </w:r>
      <w:r w:rsidR="00D63847">
        <w:t>, suggesting th</w:t>
      </w:r>
      <w:r w:rsidR="00C03268">
        <w:t>at the importance of intangible</w:t>
      </w:r>
      <w:r w:rsidR="00D63847">
        <w:t xml:space="preserve"> investment at a sectoral level is likely to be understated. </w:t>
      </w:r>
    </w:p>
    <w:p w14:paraId="1D0A6EA1" w14:textId="22244CEB" w:rsidR="00FF7DD6" w:rsidRDefault="0070467E" w:rsidP="00D43F5E">
      <w:pPr>
        <w:pStyle w:val="BodyText"/>
      </w:pPr>
      <w:r>
        <w:t>Looking</w:t>
      </w:r>
      <w:r w:rsidR="00261A09">
        <w:t xml:space="preserve"> forward, </w:t>
      </w:r>
      <w:r w:rsidR="00425FE8">
        <w:t>continued capital investment is crucial to realising economic growth. As one indicator, t</w:t>
      </w:r>
      <w:r w:rsidR="00261A09">
        <w:t xml:space="preserve">he </w:t>
      </w:r>
      <w:r w:rsidR="00AF0742">
        <w:t xml:space="preserve">cumulative </w:t>
      </w:r>
      <w:r w:rsidR="00D43F5E">
        <w:t>real value of</w:t>
      </w:r>
      <w:r w:rsidR="00547F41">
        <w:t xml:space="preserve"> (whole of economy)</w:t>
      </w:r>
      <w:r w:rsidR="00D43F5E">
        <w:t xml:space="preserve"> investment required</w:t>
      </w:r>
      <w:r w:rsidR="00261A09">
        <w:t xml:space="preserve"> from 2016</w:t>
      </w:r>
      <w:r w:rsidR="00261A09">
        <w:noBreakHyphen/>
        <w:t>17 to 2059</w:t>
      </w:r>
      <w:r w:rsidR="00261A09">
        <w:noBreakHyphen/>
        <w:t>60 is about $40 </w:t>
      </w:r>
      <w:r w:rsidR="00D43F5E">
        <w:t>trillion (</w:t>
      </w:r>
      <w:r w:rsidR="00AF0742">
        <w:t xml:space="preserve">in </w:t>
      </w:r>
      <w:r w:rsidR="00FA1609">
        <w:t>real terms</w:t>
      </w:r>
      <w:r w:rsidR="00D43F5E">
        <w:t>)</w:t>
      </w:r>
      <w:r w:rsidR="009A0000">
        <w:t xml:space="preserve">. This is </w:t>
      </w:r>
      <w:r w:rsidR="00D43F5E">
        <w:t>roughly four times the real value of investment made in the preceding comparable period between 19</w:t>
      </w:r>
      <w:r w:rsidR="00261A09">
        <w:t>69</w:t>
      </w:r>
      <w:r w:rsidR="00261A09">
        <w:noBreakHyphen/>
      </w:r>
      <w:r w:rsidR="00D43F5E">
        <w:t>70 and 20</w:t>
      </w:r>
      <w:r w:rsidR="00261A09">
        <w:t>15</w:t>
      </w:r>
      <w:r w:rsidR="00261A09">
        <w:noBreakHyphen/>
      </w:r>
      <w:r w:rsidR="00D43F5E">
        <w:t>16.</w:t>
      </w:r>
      <w:r w:rsidR="003D4855" w:rsidRPr="00E6296D">
        <w:rPr>
          <w:rStyle w:val="FootnoteReference"/>
        </w:rPr>
        <w:footnoteReference w:id="10"/>
      </w:r>
      <w:r w:rsidR="00D43F5E">
        <w:t xml:space="preserve"> </w:t>
      </w:r>
      <w:r w:rsidR="00DE32A7">
        <w:t xml:space="preserve">The size of this investment emphasises the importance of policy settings conducive to </w:t>
      </w:r>
      <w:r w:rsidR="003D4855">
        <w:t>prudent</w:t>
      </w:r>
      <w:r w:rsidR="00DE32A7">
        <w:t xml:space="preserve"> investment in both the public and private sectors. </w:t>
      </w:r>
    </w:p>
    <w:p w14:paraId="1D0A6EA2" w14:textId="77777777" w:rsidR="00191199" w:rsidRPr="004E3B94" w:rsidRDefault="00191199" w:rsidP="00191199">
      <w:pPr>
        <w:pStyle w:val="BoxSpaceAboveElement"/>
        <w:keepLines/>
        <w:rPr>
          <w:vanish w:val="0"/>
          <w:color w:val="auto"/>
        </w:rPr>
      </w:pPr>
    </w:p>
    <w:tbl>
      <w:tblPr>
        <w:tblW w:w="4814" w:type="pct"/>
        <w:tblInd w:w="170"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DA091E" w:rsidRPr="00DA091E" w14:paraId="1D0A6EA5" w14:textId="77777777" w:rsidTr="00DA091E">
        <w:trPr>
          <w:cantSplit/>
          <w:tblHeader/>
        </w:trPr>
        <w:tc>
          <w:tcPr>
            <w:tcW w:w="5000" w:type="pct"/>
            <w:tcBorders>
              <w:top w:val="single" w:sz="6" w:space="0" w:color="265A9A" w:themeColor="accent2"/>
              <w:left w:val="nil"/>
              <w:bottom w:val="nil"/>
              <w:right w:val="nil"/>
            </w:tcBorders>
            <w:shd w:val="clear" w:color="auto" w:fill="E1EBF5"/>
            <w:tcMar>
              <w:left w:w="170" w:type="dxa"/>
              <w:right w:w="170" w:type="dxa"/>
            </w:tcMar>
          </w:tcPr>
          <w:p w14:paraId="1D0A6EA3" w14:textId="77777777" w:rsidR="00191199" w:rsidRPr="00DA091E" w:rsidRDefault="00191199" w:rsidP="0084197A">
            <w:pPr>
              <w:pStyle w:val="FindingTitle"/>
              <w:spacing w:before="120"/>
              <w:rPr>
                <w:noProof/>
              </w:rPr>
            </w:pPr>
            <w:r w:rsidRPr="00DA091E">
              <w:t xml:space="preserve">conclusion </w:t>
            </w:r>
            <w:r w:rsidR="00241F61" w:rsidRPr="00DA091E">
              <w:t>1</w:t>
            </w:r>
            <w:r w:rsidRPr="00DA091E">
              <w:t>.</w:t>
            </w:r>
            <w:r w:rsidR="00241F61" w:rsidRPr="00DA091E">
              <w:t>4</w:t>
            </w:r>
          </w:p>
          <w:p w14:paraId="1D0A6EA4" w14:textId="189D4D48" w:rsidR="00191199" w:rsidRPr="00DA091E" w:rsidRDefault="00B562DC" w:rsidP="00BE0B14">
            <w:pPr>
              <w:pStyle w:val="BodyText"/>
              <w:spacing w:before="60" w:line="260" w:lineRule="atLeast"/>
            </w:pPr>
            <w:r w:rsidRPr="00DA091E">
              <w:rPr>
                <w:rFonts w:ascii="Arial" w:hAnsi="Arial" w:cs="Arial"/>
                <w:sz w:val="20"/>
              </w:rPr>
              <w:t xml:space="preserve">Current rates of investment are likely to be driven partly by cyclical factors. However, industry structural change toward </w:t>
            </w:r>
            <w:r w:rsidR="00C03268" w:rsidRPr="00DA091E">
              <w:rPr>
                <w:rFonts w:ascii="Arial" w:hAnsi="Arial" w:cs="Arial"/>
                <w:sz w:val="20"/>
              </w:rPr>
              <w:t>(</w:t>
            </w:r>
            <w:r w:rsidRPr="00DA091E">
              <w:rPr>
                <w:rFonts w:ascii="Arial" w:hAnsi="Arial" w:cs="Arial"/>
                <w:sz w:val="20"/>
              </w:rPr>
              <w:t>less capital intensive</w:t>
            </w:r>
            <w:r w:rsidR="00C03268" w:rsidRPr="00DA091E">
              <w:rPr>
                <w:rFonts w:ascii="Arial" w:hAnsi="Arial" w:cs="Arial"/>
                <w:sz w:val="20"/>
              </w:rPr>
              <w:t>)</w:t>
            </w:r>
            <w:r w:rsidRPr="00DA091E">
              <w:rPr>
                <w:rFonts w:ascii="Arial" w:hAnsi="Arial" w:cs="Arial"/>
                <w:sz w:val="20"/>
              </w:rPr>
              <w:t xml:space="preserve"> services industries, weak </w:t>
            </w:r>
            <w:r w:rsidR="00B661DA" w:rsidRPr="00DA091E">
              <w:rPr>
                <w:rFonts w:ascii="Arial" w:hAnsi="Arial" w:cs="Arial"/>
                <w:sz w:val="20"/>
              </w:rPr>
              <w:t xml:space="preserve">growth in demand </w:t>
            </w:r>
            <w:r w:rsidR="00E57B48" w:rsidRPr="00DA091E">
              <w:rPr>
                <w:rFonts w:ascii="Arial" w:hAnsi="Arial" w:cs="Arial"/>
                <w:sz w:val="20"/>
              </w:rPr>
              <w:t>(</w:t>
            </w:r>
            <w:r w:rsidR="00B661DA" w:rsidRPr="00DA091E">
              <w:rPr>
                <w:rFonts w:ascii="Arial" w:hAnsi="Arial" w:cs="Arial"/>
                <w:sz w:val="20"/>
              </w:rPr>
              <w:t xml:space="preserve">and with this little </w:t>
            </w:r>
            <w:r w:rsidRPr="00DA091E">
              <w:rPr>
                <w:rFonts w:ascii="Arial" w:hAnsi="Arial" w:cs="Arial"/>
                <w:sz w:val="20"/>
              </w:rPr>
              <w:t xml:space="preserve">pressure </w:t>
            </w:r>
            <w:r w:rsidR="00B661DA" w:rsidRPr="00DA091E">
              <w:rPr>
                <w:rFonts w:ascii="Arial" w:hAnsi="Arial" w:cs="Arial"/>
                <w:sz w:val="20"/>
              </w:rPr>
              <w:t>o</w:t>
            </w:r>
            <w:r w:rsidRPr="00DA091E">
              <w:rPr>
                <w:rFonts w:ascii="Arial" w:hAnsi="Arial" w:cs="Arial"/>
                <w:sz w:val="20"/>
              </w:rPr>
              <w:t>n output prices</w:t>
            </w:r>
            <w:r w:rsidR="00E57B48" w:rsidRPr="00DA091E">
              <w:rPr>
                <w:rFonts w:ascii="Arial" w:hAnsi="Arial" w:cs="Arial"/>
                <w:sz w:val="20"/>
              </w:rPr>
              <w:t>)</w:t>
            </w:r>
            <w:r w:rsidRPr="00DA091E">
              <w:rPr>
                <w:rFonts w:ascii="Arial" w:hAnsi="Arial" w:cs="Arial"/>
                <w:sz w:val="20"/>
              </w:rPr>
              <w:t xml:space="preserve">, changes in the investment choices of businesses themselves, and enduring perceptions of risk from the </w:t>
            </w:r>
            <w:proofErr w:type="spellStart"/>
            <w:r w:rsidRPr="00DA091E">
              <w:rPr>
                <w:rFonts w:ascii="Arial" w:hAnsi="Arial" w:cs="Arial"/>
                <w:sz w:val="20"/>
              </w:rPr>
              <w:t>GFC</w:t>
            </w:r>
            <w:proofErr w:type="spellEnd"/>
            <w:r w:rsidRPr="00DA091E">
              <w:rPr>
                <w:rFonts w:ascii="Arial" w:hAnsi="Arial" w:cs="Arial"/>
                <w:sz w:val="20"/>
              </w:rPr>
              <w:t xml:space="preserve"> are also likely to </w:t>
            </w:r>
            <w:r w:rsidR="00B661DA" w:rsidRPr="00DA091E">
              <w:rPr>
                <w:rFonts w:ascii="Arial" w:hAnsi="Arial" w:cs="Arial"/>
                <w:sz w:val="20"/>
              </w:rPr>
              <w:t xml:space="preserve">be </w:t>
            </w:r>
            <w:r w:rsidR="00BE0B14">
              <w:rPr>
                <w:rFonts w:ascii="Arial" w:hAnsi="Arial" w:cs="Arial"/>
                <w:sz w:val="20"/>
              </w:rPr>
              <w:t>affecting</w:t>
            </w:r>
            <w:r w:rsidR="00B661DA" w:rsidRPr="00DA091E">
              <w:rPr>
                <w:rFonts w:ascii="Arial" w:hAnsi="Arial" w:cs="Arial"/>
                <w:sz w:val="20"/>
              </w:rPr>
              <w:t xml:space="preserve"> the</w:t>
            </w:r>
            <w:r w:rsidRPr="00DA091E">
              <w:rPr>
                <w:rFonts w:ascii="Arial" w:hAnsi="Arial" w:cs="Arial"/>
                <w:sz w:val="20"/>
              </w:rPr>
              <w:t xml:space="preserve"> rates of measured capital investment. Thus, while rates of investment should ultimately adjust somewhat and help support output and LP growth, </w:t>
            </w:r>
            <w:r w:rsidR="00B661DA" w:rsidRPr="00DA091E">
              <w:rPr>
                <w:rFonts w:ascii="Arial" w:hAnsi="Arial" w:cs="Arial"/>
                <w:sz w:val="20"/>
              </w:rPr>
              <w:t>the</w:t>
            </w:r>
            <w:r w:rsidR="00A86670" w:rsidRPr="00DA091E">
              <w:rPr>
                <w:rFonts w:ascii="Arial" w:hAnsi="Arial" w:cs="Arial"/>
                <w:sz w:val="20"/>
              </w:rPr>
              <w:t xml:space="preserve"> </w:t>
            </w:r>
            <w:r w:rsidRPr="00DA091E">
              <w:rPr>
                <w:rFonts w:ascii="Arial" w:hAnsi="Arial" w:cs="Arial"/>
                <w:sz w:val="20"/>
              </w:rPr>
              <w:t>adjustment period</w:t>
            </w:r>
            <w:r w:rsidR="000A61D6" w:rsidRPr="00DA091E">
              <w:rPr>
                <w:rFonts w:ascii="Arial" w:hAnsi="Arial" w:cs="Arial"/>
                <w:sz w:val="20"/>
              </w:rPr>
              <w:t xml:space="preserve"> may continue for some time</w:t>
            </w:r>
            <w:r w:rsidRPr="00DA091E">
              <w:rPr>
                <w:rFonts w:ascii="Arial" w:hAnsi="Arial" w:cs="Arial"/>
                <w:sz w:val="20"/>
              </w:rPr>
              <w:t>.</w:t>
            </w:r>
          </w:p>
        </w:tc>
      </w:tr>
      <w:tr w:rsidR="00DA091E" w:rsidRPr="00DA091E" w14:paraId="1D0A6EA7" w14:textId="77777777" w:rsidTr="00DA091E">
        <w:trPr>
          <w:cantSplit/>
          <w:tblHeader/>
        </w:trPr>
        <w:tc>
          <w:tcPr>
            <w:tcW w:w="5000" w:type="pct"/>
            <w:tcBorders>
              <w:top w:val="nil"/>
              <w:left w:val="nil"/>
              <w:bottom w:val="single" w:sz="6" w:space="0" w:color="265A9A" w:themeColor="accent2"/>
              <w:right w:val="nil"/>
            </w:tcBorders>
            <w:shd w:val="clear" w:color="auto" w:fill="E1EBF5"/>
            <w:tcMar>
              <w:left w:w="170" w:type="dxa"/>
              <w:right w:w="170" w:type="dxa"/>
            </w:tcMar>
          </w:tcPr>
          <w:p w14:paraId="1D0A6EA6" w14:textId="77777777" w:rsidR="00191199" w:rsidRPr="00DA091E" w:rsidRDefault="00191199" w:rsidP="0084197A">
            <w:pPr>
              <w:pStyle w:val="Space"/>
              <w:keepLines/>
            </w:pPr>
          </w:p>
        </w:tc>
      </w:tr>
      <w:tr w:rsidR="00191199" w:rsidRPr="000863A5" w14:paraId="1D0A6EA9" w14:textId="77777777" w:rsidTr="00DA091E">
        <w:trPr>
          <w:cantSplit/>
          <w:tblHeader/>
        </w:trPr>
        <w:tc>
          <w:tcPr>
            <w:tcW w:w="5000" w:type="pct"/>
            <w:tcBorders>
              <w:top w:val="single" w:sz="6" w:space="0" w:color="265A9A" w:themeColor="accent2"/>
              <w:left w:val="nil"/>
              <w:bottom w:val="nil"/>
              <w:right w:val="nil"/>
            </w:tcBorders>
            <w:tcMar>
              <w:left w:w="170" w:type="dxa"/>
              <w:right w:w="170" w:type="dxa"/>
            </w:tcMar>
          </w:tcPr>
          <w:p w14:paraId="1D0A6EA8" w14:textId="77777777" w:rsidR="00191199" w:rsidRPr="00626D32" w:rsidRDefault="00191199" w:rsidP="0084197A">
            <w:pPr>
              <w:pStyle w:val="BoxSpaceBelow"/>
              <w:keepLines/>
            </w:pPr>
          </w:p>
        </w:tc>
      </w:tr>
    </w:tbl>
    <w:p w14:paraId="1D0A6EAA" w14:textId="77777777" w:rsidR="00E97DC2" w:rsidRDefault="00F1337C" w:rsidP="00110603">
      <w:pPr>
        <w:pStyle w:val="Heading4"/>
      </w:pPr>
      <w:r>
        <w:t>The impact of s</w:t>
      </w:r>
      <w:r w:rsidR="006560DB">
        <w:t xml:space="preserve">tructural change </w:t>
      </w:r>
      <w:r>
        <w:t xml:space="preserve">on </w:t>
      </w:r>
      <w:r w:rsidR="006560DB">
        <w:t>productivity</w:t>
      </w:r>
    </w:p>
    <w:p w14:paraId="1D0A6EAB" w14:textId="00AE9323" w:rsidR="00E921E6" w:rsidRDefault="002C11A4" w:rsidP="002C11A4">
      <w:pPr>
        <w:pStyle w:val="BodyText"/>
      </w:pPr>
      <w:r w:rsidRPr="00A25821">
        <w:t>Structural change</w:t>
      </w:r>
      <w:r>
        <w:t>, or the change in industry composition over time,</w:t>
      </w:r>
      <w:r w:rsidRPr="00A25821">
        <w:t xml:space="preserve"> can </w:t>
      </w:r>
      <w:r w:rsidR="000A61D6">
        <w:t>a</w:t>
      </w:r>
      <w:r w:rsidR="00F24213" w:rsidRPr="00A25821">
        <w:t>ffect</w:t>
      </w:r>
      <w:r w:rsidRPr="00A25821" w:rsidDel="00F24213">
        <w:t xml:space="preserve"> </w:t>
      </w:r>
      <w:r w:rsidRPr="00A25821">
        <w:t>productivity</w:t>
      </w:r>
      <w:r w:rsidR="00F24213">
        <w:t xml:space="preserve"> growth</w:t>
      </w:r>
      <w:r>
        <w:t>,</w:t>
      </w:r>
      <w:r w:rsidRPr="00A25821">
        <w:t xml:space="preserve"> depending on </w:t>
      </w:r>
      <w:r w:rsidR="00BE0B14">
        <w:t>the distribution of</w:t>
      </w:r>
      <w:r w:rsidRPr="00A25821">
        <w:t xml:space="preserve"> resources in the economy and the level of productivity </w:t>
      </w:r>
      <w:r>
        <w:t>in each</w:t>
      </w:r>
      <w:r w:rsidRPr="00A25821">
        <w:t xml:space="preserve"> industr</w:t>
      </w:r>
      <w:r>
        <w:t>y</w:t>
      </w:r>
      <w:r w:rsidR="00B562DC">
        <w:t>. As noted a</w:t>
      </w:r>
      <w:r w:rsidR="00392986">
        <w:t>bove, Australia has seen a long</w:t>
      </w:r>
      <w:r w:rsidR="00392986">
        <w:noBreakHyphen/>
      </w:r>
      <w:r w:rsidR="00B562DC">
        <w:t>term shift of economic activity toward more labour</w:t>
      </w:r>
      <w:r w:rsidR="00B562DC">
        <w:noBreakHyphen/>
        <w:t>intensive service sectors, which on average hav</w:t>
      </w:r>
      <w:r w:rsidR="006F575C">
        <w:t>e a lower level of productivity (figure </w:t>
      </w:r>
      <w:r w:rsidR="00FA1609">
        <w:t>8</w:t>
      </w:r>
      <w:r w:rsidR="006F575C">
        <w:t xml:space="preserve">). </w:t>
      </w:r>
    </w:p>
    <w:p w14:paraId="1D0A6EAC" w14:textId="33A77844" w:rsidR="00CF0E9C" w:rsidRDefault="00CF0E9C" w:rsidP="002C11A4">
      <w:pPr>
        <w:pStyle w:val="BodyText"/>
      </w:pPr>
      <w:r>
        <w:t>With the end of the investment boom in mining, labour has begun shifting back to industries that have lower levels of productivity. This compositional change towards more labour</w:t>
      </w:r>
      <w:r w:rsidR="00BE0B14">
        <w:noBreakHyphen/>
      </w:r>
      <w:r>
        <w:t>intensive industries is likely to reduce LP growth during the adjustment period. Looking longer term, shifts in industry composition are a major factor influencing the Commission’s current modelling reference case, which projects that the contribution from aggregate LP to real GDP growth to 2059</w:t>
      </w:r>
      <w:r w:rsidR="00F77930">
        <w:noBreakHyphen/>
      </w:r>
      <w:r>
        <w:t>60 will be lower, at 1.3 percentage points on average, than the historical average from 1974</w:t>
      </w:r>
      <w:r w:rsidR="00F77930">
        <w:noBreakHyphen/>
      </w:r>
      <w:r>
        <w:t>75 to 2013</w:t>
      </w:r>
      <w:r w:rsidR="00F77930">
        <w:noBreakHyphen/>
      </w:r>
      <w:r>
        <w:t xml:space="preserve">14 of 1.7 percentage points </w:t>
      </w:r>
      <w:r w:rsidRPr="00F34C35">
        <w:rPr>
          <w:szCs w:val="24"/>
        </w:rPr>
        <w:t>(Gabbitas and Salma 2016)</w:t>
      </w:r>
      <w:r>
        <w:t>.</w:t>
      </w:r>
      <w:r w:rsidRPr="00E6296D">
        <w:rPr>
          <w:rStyle w:val="FootnoteReference"/>
        </w:rPr>
        <w:footnoteReference w:id="11"/>
      </w:r>
    </w:p>
    <w:p w14:paraId="1D0A6EAD" w14:textId="77777777" w:rsidR="006F575C" w:rsidRDefault="006F575C" w:rsidP="006F575C">
      <w:pPr>
        <w:pStyle w:val="BoxSpaceAbove"/>
      </w:pPr>
    </w:p>
    <w:tbl>
      <w:tblPr>
        <w:tblW w:w="4843" w:type="pct"/>
        <w:tblInd w:w="142"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804"/>
      </w:tblGrid>
      <w:tr w:rsidR="006F575C" w14:paraId="1D0A6EB0" w14:textId="77777777" w:rsidTr="000A313B">
        <w:trPr>
          <w:tblHeader/>
        </w:trPr>
        <w:tc>
          <w:tcPr>
            <w:tcW w:w="5000" w:type="pct"/>
            <w:tcBorders>
              <w:top w:val="single" w:sz="6" w:space="0" w:color="78A22F"/>
              <w:left w:val="nil"/>
              <w:bottom w:val="nil"/>
              <w:right w:val="nil"/>
            </w:tcBorders>
            <w:shd w:val="clear" w:color="auto" w:fill="auto"/>
          </w:tcPr>
          <w:p w14:paraId="1D0A6EAE" w14:textId="77777777" w:rsidR="006F575C" w:rsidRDefault="006F575C" w:rsidP="006F575C">
            <w:pPr>
              <w:pStyle w:val="FigureTitle"/>
            </w:pPr>
            <w:r w:rsidRPr="00784A05">
              <w:rPr>
                <w:b w:val="0"/>
              </w:rPr>
              <w:t xml:space="preserve">Figure </w:t>
            </w:r>
            <w:r w:rsidR="005B4B72">
              <w:rPr>
                <w:b w:val="0"/>
              </w:rPr>
              <w:t>8</w:t>
            </w:r>
            <w:r>
              <w:tab/>
              <w:t xml:space="preserve">Shares of nominal </w:t>
            </w:r>
            <w:proofErr w:type="spellStart"/>
            <w:r>
              <w:t>output</w:t>
            </w:r>
            <w:r>
              <w:rPr>
                <w:vertAlign w:val="superscript"/>
              </w:rPr>
              <w:t>a</w:t>
            </w:r>
            <w:proofErr w:type="spellEnd"/>
          </w:p>
          <w:p w14:paraId="1D0A6EAF" w14:textId="77777777" w:rsidR="006F575C" w:rsidRPr="00176D3F" w:rsidRDefault="006F575C" w:rsidP="006F575C">
            <w:pPr>
              <w:pStyle w:val="Subtitle"/>
            </w:pPr>
            <w:r>
              <w:t>19</w:t>
            </w:r>
            <w:r w:rsidR="00895302">
              <w:t>74</w:t>
            </w:r>
            <w:r w:rsidR="00895302">
              <w:noBreakHyphen/>
            </w:r>
            <w:r>
              <w:t>75 to 20</w:t>
            </w:r>
            <w:r w:rsidR="00895302">
              <w:t>15</w:t>
            </w:r>
            <w:r w:rsidR="00895302">
              <w:noBreakHyphen/>
            </w:r>
            <w:r>
              <w:t>16</w:t>
            </w:r>
          </w:p>
        </w:tc>
      </w:tr>
      <w:tr w:rsidR="006F575C" w14:paraId="1D0A6EB4" w14:textId="77777777" w:rsidTr="000A313B">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20"/>
            </w:tblGrid>
            <w:tr w:rsidR="006F575C" w:rsidRPr="00B1465D" w14:paraId="1D0A6EB2" w14:textId="77777777" w:rsidTr="006F575C">
              <w:trPr>
                <w:tblHeader/>
                <w:jc w:val="center"/>
              </w:trPr>
              <w:tc>
                <w:tcPr>
                  <w:tcW w:w="5000" w:type="pct"/>
                  <w:tcBorders>
                    <w:top w:val="nil"/>
                    <w:bottom w:val="nil"/>
                  </w:tcBorders>
                </w:tcPr>
                <w:p w14:paraId="1D0A6EB1" w14:textId="77777777" w:rsidR="006F575C" w:rsidRPr="00B1465D" w:rsidRDefault="004A20ED" w:rsidP="006F575C">
                  <w:pPr>
                    <w:pStyle w:val="Figure"/>
                    <w:spacing w:before="60" w:after="60"/>
                    <w:rPr>
                      <w:rFonts w:ascii="Arial" w:hAnsi="Arial" w:cs="Arial"/>
                      <w:sz w:val="18"/>
                      <w:szCs w:val="18"/>
                    </w:rPr>
                  </w:pPr>
                  <w:r w:rsidRPr="004A20ED">
                    <w:rPr>
                      <w:rFonts w:ascii="Arial" w:hAnsi="Arial" w:cs="Arial"/>
                      <w:noProof/>
                      <w:sz w:val="18"/>
                      <w:szCs w:val="18"/>
                    </w:rPr>
                    <w:drawing>
                      <wp:inline distT="0" distB="0" distL="0" distR="0" wp14:anchorId="1D0A7194" wp14:editId="18AC2AAC">
                        <wp:extent cx="5401945" cy="2878455"/>
                        <wp:effectExtent l="0" t="0" r="8255" b="0"/>
                        <wp:docPr id="27" name="Picture 27" descr="This figure shows sectoral shares of historical nominal output to show the broad compositional change in economic activity since 1974 75. Most notably, the aggregate services sector has grown from 68 to 83 per cent of the economy, while manufacturing has declined from 21 to 7 per cent of the econom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401945" cy="2878455"/>
                                </a:xfrm>
                                <a:prstGeom prst="rect">
                                  <a:avLst/>
                                </a:prstGeom>
                                <a:noFill/>
                                <a:ln>
                                  <a:noFill/>
                                </a:ln>
                              </pic:spPr>
                            </pic:pic>
                          </a:graphicData>
                        </a:graphic>
                      </wp:inline>
                    </w:drawing>
                  </w:r>
                </w:p>
              </w:tc>
            </w:tr>
          </w:tbl>
          <w:p w14:paraId="1D0A6EB3" w14:textId="77777777" w:rsidR="006F575C" w:rsidRDefault="006F575C" w:rsidP="006F575C">
            <w:pPr>
              <w:pStyle w:val="Figure"/>
            </w:pPr>
          </w:p>
        </w:tc>
      </w:tr>
      <w:tr w:rsidR="006F575C" w:rsidRPr="00176D3F" w14:paraId="1D0A6EB6" w14:textId="77777777" w:rsidTr="000A313B">
        <w:tc>
          <w:tcPr>
            <w:tcW w:w="5000" w:type="pct"/>
            <w:tcBorders>
              <w:top w:val="nil"/>
              <w:left w:val="nil"/>
              <w:bottom w:val="nil"/>
              <w:right w:val="nil"/>
            </w:tcBorders>
            <w:shd w:val="clear" w:color="auto" w:fill="auto"/>
          </w:tcPr>
          <w:p w14:paraId="1D0A6EB5" w14:textId="77777777" w:rsidR="006F575C" w:rsidRPr="00176D3F" w:rsidRDefault="006F575C" w:rsidP="005B4B72">
            <w:pPr>
              <w:pStyle w:val="Note"/>
            </w:pPr>
            <w:r>
              <w:rPr>
                <w:rStyle w:val="NoteLabel"/>
              </w:rPr>
              <w:t>a</w:t>
            </w:r>
            <w:r>
              <w:t xml:space="preserve"> </w:t>
            </w:r>
            <w:r w:rsidR="005B4B72">
              <w:t>Shares prior to 1989</w:t>
            </w:r>
            <w:r w:rsidR="005B4B72">
              <w:noBreakHyphen/>
              <w:t xml:space="preserve">90 have been </w:t>
            </w:r>
            <w:proofErr w:type="spellStart"/>
            <w:r w:rsidR="005B4B72">
              <w:t>backcast</w:t>
            </w:r>
            <w:proofErr w:type="spellEnd"/>
            <w:r w:rsidR="005B4B72">
              <w:t xml:space="preserve">. </w:t>
            </w:r>
          </w:p>
        </w:tc>
      </w:tr>
      <w:tr w:rsidR="006F575C" w:rsidRPr="00176D3F" w14:paraId="1D0A6EB8" w14:textId="77777777" w:rsidTr="000A313B">
        <w:tc>
          <w:tcPr>
            <w:tcW w:w="5000" w:type="pct"/>
            <w:tcBorders>
              <w:top w:val="nil"/>
              <w:left w:val="nil"/>
              <w:bottom w:val="nil"/>
              <w:right w:val="nil"/>
            </w:tcBorders>
            <w:shd w:val="clear" w:color="auto" w:fill="auto"/>
          </w:tcPr>
          <w:p w14:paraId="1D0A6EB7" w14:textId="7B16F99D" w:rsidR="006F575C" w:rsidRPr="00176D3F" w:rsidRDefault="00EE434A" w:rsidP="00EE434A">
            <w:pPr>
              <w:pStyle w:val="Source"/>
            </w:pPr>
            <w:r>
              <w:rPr>
                <w:i/>
              </w:rPr>
              <w:t>S</w:t>
            </w:r>
            <w:r w:rsidR="006F575C" w:rsidRPr="00784A05">
              <w:rPr>
                <w:i/>
              </w:rPr>
              <w:t>ource</w:t>
            </w:r>
            <w:r>
              <w:rPr>
                <w:i/>
              </w:rPr>
              <w:t>s</w:t>
            </w:r>
            <w:r w:rsidR="006F575C" w:rsidRPr="00176D3F">
              <w:t xml:space="preserve">: </w:t>
            </w:r>
            <w:r w:rsidR="005B4B72">
              <w:t xml:space="preserve">ABS </w:t>
            </w:r>
            <w:r w:rsidR="005B4B72">
              <w:rPr>
                <w:rFonts w:cs="Arial"/>
                <w:szCs w:val="24"/>
              </w:rPr>
              <w:t>(</w:t>
            </w:r>
            <w:proofErr w:type="spellStart"/>
            <w:r w:rsidR="005B4B72" w:rsidRPr="00787668">
              <w:rPr>
                <w:rFonts w:cs="Arial"/>
                <w:szCs w:val="24"/>
              </w:rPr>
              <w:t>2016a</w:t>
            </w:r>
            <w:proofErr w:type="spellEnd"/>
            <w:r w:rsidR="005B4B72" w:rsidRPr="00787668">
              <w:rPr>
                <w:rFonts w:cs="Arial"/>
                <w:szCs w:val="24"/>
              </w:rPr>
              <w:t>)</w:t>
            </w:r>
            <w:r w:rsidR="005B4B72">
              <w:t xml:space="preserve">, </w:t>
            </w:r>
            <w:r w:rsidR="005B4B72">
              <w:rPr>
                <w:i/>
              </w:rPr>
              <w:t>Australian System of National Accounts, 2015</w:t>
            </w:r>
            <w:r>
              <w:rPr>
                <w:i/>
              </w:rPr>
              <w:noBreakHyphen/>
            </w:r>
            <w:r w:rsidR="005B4B72">
              <w:rPr>
                <w:i/>
              </w:rPr>
              <w:t>16,</w:t>
            </w:r>
            <w:r w:rsidR="005B4B72">
              <w:t xml:space="preserve"> Cat. no. 5204.0, December</w:t>
            </w:r>
            <w:r w:rsidR="00F40EBA">
              <w:t xml:space="preserve"> 2016</w:t>
            </w:r>
            <w:r w:rsidR="005B4B72">
              <w:t xml:space="preserve">, and </w:t>
            </w:r>
            <w:r w:rsidR="00895302">
              <w:t xml:space="preserve">PC </w:t>
            </w:r>
            <w:proofErr w:type="spellStart"/>
            <w:r w:rsidR="00895302">
              <w:t>VUMR</w:t>
            </w:r>
            <w:proofErr w:type="spellEnd"/>
            <w:r w:rsidR="00895302">
              <w:t xml:space="preserve"> Modelling Reference case, 2009</w:t>
            </w:r>
            <w:r w:rsidR="00895302">
              <w:noBreakHyphen/>
              <w:t>10 to 2059</w:t>
            </w:r>
            <w:r w:rsidR="00895302">
              <w:noBreakHyphen/>
              <w:t xml:space="preserve">60 </w:t>
            </w:r>
            <w:r w:rsidR="00895302" w:rsidRPr="00895302">
              <w:rPr>
                <w:rFonts w:cs="Arial"/>
                <w:szCs w:val="24"/>
              </w:rPr>
              <w:t>(Gabbitas and Salma 2016)</w:t>
            </w:r>
            <w:r w:rsidR="005B4B72">
              <w:t>.</w:t>
            </w:r>
          </w:p>
        </w:tc>
      </w:tr>
      <w:tr w:rsidR="006F575C" w14:paraId="1D0A6EBA" w14:textId="77777777" w:rsidTr="000A313B">
        <w:tc>
          <w:tcPr>
            <w:tcW w:w="5000" w:type="pct"/>
            <w:tcBorders>
              <w:top w:val="nil"/>
              <w:left w:val="nil"/>
              <w:bottom w:val="single" w:sz="6" w:space="0" w:color="78A22F"/>
              <w:right w:val="nil"/>
            </w:tcBorders>
            <w:shd w:val="clear" w:color="auto" w:fill="auto"/>
          </w:tcPr>
          <w:p w14:paraId="1D0A6EB9" w14:textId="77777777" w:rsidR="006F575C" w:rsidRDefault="006F575C" w:rsidP="006F575C">
            <w:pPr>
              <w:pStyle w:val="Figurespace"/>
            </w:pPr>
          </w:p>
        </w:tc>
      </w:tr>
      <w:tr w:rsidR="006F575C" w:rsidRPr="000863A5" w14:paraId="1D0A6EBC" w14:textId="77777777" w:rsidTr="000A313B">
        <w:tc>
          <w:tcPr>
            <w:tcW w:w="5000" w:type="pct"/>
            <w:tcBorders>
              <w:top w:val="single" w:sz="6" w:space="0" w:color="78A22F"/>
              <w:left w:val="nil"/>
              <w:bottom w:val="nil"/>
              <w:right w:val="nil"/>
            </w:tcBorders>
          </w:tcPr>
          <w:p w14:paraId="1D0A6EBB" w14:textId="77777777" w:rsidR="006F575C" w:rsidRPr="00626D32" w:rsidRDefault="006F575C" w:rsidP="006F575C">
            <w:pPr>
              <w:pStyle w:val="BoxSpaceBelow"/>
            </w:pPr>
          </w:p>
        </w:tc>
      </w:tr>
    </w:tbl>
    <w:p w14:paraId="1D0A6EBD" w14:textId="6913E1E8" w:rsidR="00973B9F" w:rsidRDefault="00973B9F" w:rsidP="00973B9F">
      <w:pPr>
        <w:pStyle w:val="BodyText"/>
      </w:pPr>
      <w:r>
        <w:t>This lower projected contribution primarily reflects compositional change in the structure of the economy</w:t>
      </w:r>
      <w:r w:rsidR="00F620FB">
        <w:t xml:space="preserve">, namely </w:t>
      </w:r>
      <w:r>
        <w:t>a continuation of the long</w:t>
      </w:r>
      <w:r w:rsidR="005D7CAB">
        <w:noBreakHyphen/>
      </w:r>
      <w:r>
        <w:t>term trend away from industries in the traded</w:t>
      </w:r>
      <w:r w:rsidR="00EE434A">
        <w:noBreakHyphen/>
      </w:r>
      <w:r>
        <w:t xml:space="preserve">goods sector, which have higher measured LP, towards those in the </w:t>
      </w:r>
      <w:r w:rsidR="00BE0B14">
        <w:t>less capital</w:t>
      </w:r>
      <w:r w:rsidR="00BE0B14">
        <w:noBreakHyphen/>
      </w:r>
      <w:r w:rsidR="001D50E9">
        <w:t xml:space="preserve">intensive </w:t>
      </w:r>
      <w:r>
        <w:t>non</w:t>
      </w:r>
      <w:r w:rsidR="001D50E9">
        <w:noBreakHyphen/>
      </w:r>
      <w:r>
        <w:t>traded service sector, which have lower measured LP.</w:t>
      </w:r>
      <w:r w:rsidR="00E27540" w:rsidRPr="00CF0E9C">
        <w:rPr>
          <w:rStyle w:val="FootnoteReference"/>
        </w:rPr>
        <w:footnoteReference w:id="12"/>
      </w:r>
      <w:r>
        <w:t xml:space="preserve"> Thus, over time, industries with lower measured LP growth account for more economic activity.</w:t>
      </w:r>
      <w:r w:rsidR="001D50E9">
        <w:t xml:space="preserve"> This trend is seen across the developed economies as the share of services rises, and partially explains the decline in the rate of investment as less capital is used per unit of output.</w:t>
      </w:r>
    </w:p>
    <w:p w14:paraId="1D0A6EBE" w14:textId="77777777" w:rsidR="00191199" w:rsidRPr="004E3B94" w:rsidRDefault="00191199" w:rsidP="00191199">
      <w:pPr>
        <w:pStyle w:val="BoxSpaceAboveElement"/>
        <w:keepLines/>
        <w:rPr>
          <w:vanish w:val="0"/>
          <w:color w:val="auto"/>
        </w:rPr>
      </w:pPr>
    </w:p>
    <w:tbl>
      <w:tblPr>
        <w:tblW w:w="4814" w:type="pct"/>
        <w:tblInd w:w="170"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191199" w14:paraId="1D0A6EC1" w14:textId="77777777" w:rsidTr="00DA091E">
        <w:trPr>
          <w:cantSplit/>
          <w:tblHeader/>
        </w:trPr>
        <w:tc>
          <w:tcPr>
            <w:tcW w:w="5000" w:type="pct"/>
            <w:tcBorders>
              <w:top w:val="single" w:sz="6" w:space="0" w:color="265A9A" w:themeColor="accent2"/>
              <w:left w:val="nil"/>
              <w:bottom w:val="nil"/>
              <w:right w:val="nil"/>
            </w:tcBorders>
            <w:shd w:val="clear" w:color="auto" w:fill="E1EBF5"/>
            <w:tcMar>
              <w:left w:w="170" w:type="dxa"/>
              <w:right w:w="170" w:type="dxa"/>
            </w:tcMar>
          </w:tcPr>
          <w:p w14:paraId="1D0A6EBF" w14:textId="77777777" w:rsidR="00191199" w:rsidRPr="00DA091E" w:rsidRDefault="00F257A1" w:rsidP="0084197A">
            <w:pPr>
              <w:pStyle w:val="FindingTitle"/>
              <w:spacing w:before="120"/>
              <w:rPr>
                <w:noProof/>
              </w:rPr>
            </w:pPr>
            <w:r w:rsidRPr="00DA091E">
              <w:t>conclusion 1.5</w:t>
            </w:r>
          </w:p>
          <w:p w14:paraId="1D0A6EC0" w14:textId="77777777" w:rsidR="00191199" w:rsidRPr="00CE4C64" w:rsidRDefault="00B678EB" w:rsidP="00B678EB">
            <w:pPr>
              <w:pStyle w:val="BodyText"/>
              <w:spacing w:before="60" w:line="260" w:lineRule="atLeast"/>
            </w:pPr>
            <w:r w:rsidRPr="00DA091E">
              <w:rPr>
                <w:rFonts w:ascii="Arial" w:hAnsi="Arial" w:cs="Arial"/>
                <w:sz w:val="20"/>
              </w:rPr>
              <w:t>Continued compositional changes toward lower productivity services industries in Australia is projected to detract from long</w:t>
            </w:r>
            <w:r w:rsidRPr="00DA091E">
              <w:rPr>
                <w:rFonts w:ascii="Arial" w:hAnsi="Arial" w:cs="Arial"/>
                <w:sz w:val="20"/>
              </w:rPr>
              <w:noBreakHyphen/>
              <w:t>run labour productivity growth in future</w:t>
            </w:r>
            <w:r w:rsidR="00191199" w:rsidRPr="00DA091E">
              <w:rPr>
                <w:rFonts w:ascii="Arial" w:hAnsi="Arial" w:cs="Arial"/>
                <w:sz w:val="20"/>
              </w:rPr>
              <w:t>.</w:t>
            </w:r>
          </w:p>
        </w:tc>
      </w:tr>
      <w:tr w:rsidR="00191199" w14:paraId="1D0A6EC3" w14:textId="77777777" w:rsidTr="00DA091E">
        <w:trPr>
          <w:cantSplit/>
          <w:tblHeader/>
        </w:trPr>
        <w:tc>
          <w:tcPr>
            <w:tcW w:w="5000" w:type="pct"/>
            <w:tcBorders>
              <w:top w:val="nil"/>
              <w:left w:val="nil"/>
              <w:bottom w:val="single" w:sz="6" w:space="0" w:color="265A9A" w:themeColor="accent2"/>
              <w:right w:val="nil"/>
            </w:tcBorders>
            <w:shd w:val="clear" w:color="auto" w:fill="E1EBF5"/>
            <w:tcMar>
              <w:left w:w="170" w:type="dxa"/>
              <w:right w:w="170" w:type="dxa"/>
            </w:tcMar>
          </w:tcPr>
          <w:p w14:paraId="1D0A6EC2" w14:textId="77777777" w:rsidR="00191199" w:rsidRDefault="00191199" w:rsidP="0084197A">
            <w:pPr>
              <w:pStyle w:val="Space"/>
              <w:keepLines/>
            </w:pPr>
          </w:p>
        </w:tc>
      </w:tr>
      <w:tr w:rsidR="00191199" w:rsidRPr="000863A5" w14:paraId="1D0A6EC5" w14:textId="77777777" w:rsidTr="00DA091E">
        <w:trPr>
          <w:cantSplit/>
          <w:tblHeader/>
        </w:trPr>
        <w:tc>
          <w:tcPr>
            <w:tcW w:w="5000" w:type="pct"/>
            <w:tcBorders>
              <w:top w:val="single" w:sz="6" w:space="0" w:color="265A9A" w:themeColor="accent2"/>
              <w:left w:val="nil"/>
              <w:bottom w:val="nil"/>
              <w:right w:val="nil"/>
            </w:tcBorders>
            <w:tcMar>
              <w:left w:w="170" w:type="dxa"/>
              <w:right w:w="170" w:type="dxa"/>
            </w:tcMar>
          </w:tcPr>
          <w:p w14:paraId="1D0A6EC4" w14:textId="77777777" w:rsidR="00191199" w:rsidRPr="00626D32" w:rsidRDefault="00191199" w:rsidP="0084197A">
            <w:pPr>
              <w:pStyle w:val="BoxSpaceBelow"/>
              <w:keepLines/>
            </w:pPr>
          </w:p>
        </w:tc>
      </w:tr>
    </w:tbl>
    <w:p w14:paraId="1D0A6EC6" w14:textId="77777777" w:rsidR="00BE21F9" w:rsidRDefault="00BE21F9" w:rsidP="00110603">
      <w:pPr>
        <w:pStyle w:val="Heading4"/>
      </w:pPr>
      <w:r>
        <w:lastRenderedPageBreak/>
        <w:t>Where does Australia’s productivity stand internationally?</w:t>
      </w:r>
    </w:p>
    <w:p w14:paraId="1D0A6EC7" w14:textId="77777777" w:rsidR="0000331E" w:rsidRDefault="00BE21F9" w:rsidP="00BE21F9">
      <w:pPr>
        <w:pStyle w:val="ListBullet"/>
        <w:numPr>
          <w:ilvl w:val="0"/>
          <w:numId w:val="0"/>
        </w:numPr>
      </w:pPr>
      <w:r>
        <w:t>As a small open economy</w:t>
      </w:r>
      <w:r w:rsidRPr="00AD71A6">
        <w:t xml:space="preserve"> and net importer of technology</w:t>
      </w:r>
      <w:r>
        <w:t xml:space="preserve"> and other innovation</w:t>
      </w:r>
      <w:r w:rsidRPr="00AD71A6">
        <w:t xml:space="preserve">, </w:t>
      </w:r>
      <w:r w:rsidR="00EB18A3">
        <w:t>Australia</w:t>
      </w:r>
      <w:r w:rsidR="00815EC8">
        <w:t>’s</w:t>
      </w:r>
      <w:r w:rsidR="00EB18A3">
        <w:t xml:space="preserve"> </w:t>
      </w:r>
      <w:r w:rsidRPr="00AD71A6">
        <w:t xml:space="preserve">productivity growth </w:t>
      </w:r>
      <w:r w:rsidR="00815EC8">
        <w:t>has been</w:t>
      </w:r>
      <w:r w:rsidRPr="00AD71A6">
        <w:t xml:space="preserve"> strongly influenced by international developments.</w:t>
      </w:r>
      <w:r w:rsidR="00EB18A3" w:rsidRPr="00E6296D">
        <w:rPr>
          <w:rStyle w:val="FootnoteReference"/>
        </w:rPr>
        <w:footnoteReference w:id="13"/>
      </w:r>
      <w:r w:rsidRPr="00AD71A6">
        <w:t xml:space="preserve"> </w:t>
      </w:r>
      <w:r w:rsidR="00EB18A3">
        <w:t>Aside from instances where Australian industries are global leaders (such as in mining), i</w:t>
      </w:r>
      <w:r w:rsidR="001D50E9">
        <w:t xml:space="preserve">t is technological progress in other countries that largely determines </w:t>
      </w:r>
      <w:r w:rsidR="00815EC8">
        <w:t xml:space="preserve">Australia’s </w:t>
      </w:r>
      <w:r w:rsidR="001D50E9">
        <w:t>potential productivity</w:t>
      </w:r>
      <w:r w:rsidR="001A4650">
        <w:t xml:space="preserve"> </w:t>
      </w:r>
      <w:r w:rsidR="001D50E9">
        <w:t xml:space="preserve">— that is, it sets the frontier </w:t>
      </w:r>
      <w:r w:rsidR="00815EC8">
        <w:t xml:space="preserve">for </w:t>
      </w:r>
      <w:r w:rsidR="001D50E9">
        <w:t>Australian firms and industries. Given this,</w:t>
      </w:r>
      <w:r>
        <w:t xml:space="preserve"> Australia’s position relative to</w:t>
      </w:r>
      <w:r w:rsidRPr="00AD71A6">
        <w:t xml:space="preserve"> international</w:t>
      </w:r>
      <w:r>
        <w:t xml:space="preserve"> peers</w:t>
      </w:r>
      <w:r w:rsidR="001D50E9">
        <w:t xml:space="preserve"> tells us how much higher our productivity could be if we get our policy and business settings right</w:t>
      </w:r>
      <w:r w:rsidRPr="00AD71A6">
        <w:t xml:space="preserve">. </w:t>
      </w:r>
    </w:p>
    <w:p w14:paraId="1D0A6EC8" w14:textId="77777777" w:rsidR="00BE21F9" w:rsidRDefault="00BE21F9" w:rsidP="00BE21F9">
      <w:pPr>
        <w:pStyle w:val="ListBullet"/>
        <w:numPr>
          <w:ilvl w:val="0"/>
          <w:numId w:val="0"/>
        </w:numPr>
      </w:pPr>
      <w:r w:rsidRPr="00AD71A6">
        <w:t xml:space="preserve">This </w:t>
      </w:r>
      <w:r>
        <w:t>section</w:t>
      </w:r>
      <w:r w:rsidRPr="00AD71A6">
        <w:t xml:space="preserve"> considers Australia’s productivity performance relative to the international frontier,</w:t>
      </w:r>
      <w:r>
        <w:t xml:space="preserve"> both in aggregate and at the industry level. It concludes that Australia</w:t>
      </w:r>
      <w:r w:rsidR="001D50E9">
        <w:t>n productivity largely follows</w:t>
      </w:r>
      <w:r>
        <w:t xml:space="preserve"> the broad trends in productivity growth at the frontier observed across comparable countries. </w:t>
      </w:r>
    </w:p>
    <w:p w14:paraId="1D0A6EC9" w14:textId="77777777" w:rsidR="00BE21F9" w:rsidRPr="00300F1E" w:rsidRDefault="00BE21F9" w:rsidP="00110603">
      <w:pPr>
        <w:pStyle w:val="Heading5"/>
      </w:pPr>
      <w:r w:rsidRPr="00300F1E">
        <w:t>The international productivity frontier</w:t>
      </w:r>
    </w:p>
    <w:p w14:paraId="1D0A6ECA" w14:textId="77777777" w:rsidR="00BE21F9" w:rsidRDefault="00BE21F9" w:rsidP="00BE21F9">
      <w:pPr>
        <w:pStyle w:val="ListBullet"/>
        <w:numPr>
          <w:ilvl w:val="0"/>
          <w:numId w:val="0"/>
        </w:numPr>
      </w:pPr>
      <w:r w:rsidRPr="00896C3D">
        <w:t>Frontier analysis</w:t>
      </w:r>
      <w:r>
        <w:t xml:space="preserve"> is a way of identifying and comparing performance against the most productive countries or industries internationally. Businesses in countries behind the frontier </w:t>
      </w:r>
      <w:r w:rsidRPr="00896C3D">
        <w:t xml:space="preserve">can </w:t>
      </w:r>
      <w:r>
        <w:t xml:space="preserve">seek to catch up </w:t>
      </w:r>
      <w:r w:rsidRPr="00896C3D">
        <w:t xml:space="preserve">by </w:t>
      </w:r>
      <w:r>
        <w:t xml:space="preserve">emulating practices of the </w:t>
      </w:r>
      <w:r w:rsidRPr="00501650">
        <w:t>best</w:t>
      </w:r>
      <w:r>
        <w:noBreakHyphen/>
      </w:r>
      <w:r w:rsidRPr="00501650">
        <w:t>performing</w:t>
      </w:r>
      <w:r>
        <w:t xml:space="preserve"> businesses in their own country or in other countries</w:t>
      </w:r>
      <w:r w:rsidRPr="00896C3D">
        <w:t xml:space="preserve">, or </w:t>
      </w:r>
      <w:r>
        <w:t xml:space="preserve">at least </w:t>
      </w:r>
      <w:r w:rsidR="00815EC8">
        <w:t>move with</w:t>
      </w:r>
      <w:r w:rsidRPr="00896C3D">
        <w:t xml:space="preserve"> the </w:t>
      </w:r>
      <w:r>
        <w:t>frontier</w:t>
      </w:r>
      <w:r w:rsidRPr="00896C3D">
        <w:t xml:space="preserve"> as </w:t>
      </w:r>
      <w:r>
        <w:t>it</w:t>
      </w:r>
      <w:r w:rsidRPr="00896C3D">
        <w:t xml:space="preserve"> </w:t>
      </w:r>
      <w:r>
        <w:t>shifts outwards</w:t>
      </w:r>
      <w:r w:rsidRPr="00896C3D">
        <w:t>. The United States has long been considered a reasonable proxy for the international productivity frontier, as it has consistently had one of the highest levels of aggregate la</w:t>
      </w:r>
      <w:r>
        <w:t>bour productivity in the world.</w:t>
      </w:r>
      <w:r w:rsidRPr="00E6296D">
        <w:rPr>
          <w:rStyle w:val="FootnoteReference"/>
        </w:rPr>
        <w:footnoteReference w:id="14"/>
      </w:r>
      <w:r w:rsidRPr="00896C3D">
        <w:t xml:space="preserve"> It is also a desirable comparator for Australia due to its institutional and cultural similarity and its similar industrial composition.</w:t>
      </w:r>
      <w:r w:rsidRPr="00E6296D">
        <w:rPr>
          <w:rStyle w:val="FootnoteReference"/>
        </w:rPr>
        <w:footnoteReference w:id="15"/>
      </w:r>
    </w:p>
    <w:p w14:paraId="1D0A6ECB" w14:textId="08E74E4D" w:rsidR="00BE21F9" w:rsidRDefault="00BE21F9" w:rsidP="00BE21F9">
      <w:pPr>
        <w:pStyle w:val="ListBullet"/>
        <w:numPr>
          <w:ilvl w:val="0"/>
          <w:numId w:val="0"/>
        </w:numPr>
      </w:pPr>
      <w:r w:rsidRPr="00896C3D">
        <w:t xml:space="preserve">Australia underwent a sustained period of catch up to the international frontier in the </w:t>
      </w:r>
      <w:proofErr w:type="spellStart"/>
      <w:r w:rsidRPr="00896C3D">
        <w:t>post</w:t>
      </w:r>
      <w:r>
        <w:noBreakHyphen/>
      </w:r>
      <w:r w:rsidRPr="00896C3D">
        <w:t>war</w:t>
      </w:r>
      <w:proofErr w:type="spellEnd"/>
      <w:r w:rsidRPr="00896C3D">
        <w:t xml:space="preserve"> </w:t>
      </w:r>
      <w:r>
        <w:t>era</w:t>
      </w:r>
      <w:r w:rsidRPr="00896C3D">
        <w:t xml:space="preserve"> (even though this process was less rapid than </w:t>
      </w:r>
      <w:r w:rsidR="00EB18A3">
        <w:t>in</w:t>
      </w:r>
      <w:r w:rsidRPr="00896C3D">
        <w:t xml:space="preserve"> some other countries). As </w:t>
      </w:r>
      <w:r>
        <w:t xml:space="preserve">depicted in </w:t>
      </w:r>
      <w:r w:rsidR="001A4650">
        <w:t>figure </w:t>
      </w:r>
      <w:r w:rsidR="00CF0E9C">
        <w:t>9</w:t>
      </w:r>
      <w:r w:rsidRPr="00896C3D">
        <w:t xml:space="preserve">, from the early </w:t>
      </w:r>
      <w:proofErr w:type="spellStart"/>
      <w:r w:rsidRPr="00896C3D">
        <w:t>1950s</w:t>
      </w:r>
      <w:proofErr w:type="spellEnd"/>
      <w:r w:rsidRPr="00896C3D">
        <w:t xml:space="preserve"> to the late </w:t>
      </w:r>
      <w:proofErr w:type="spellStart"/>
      <w:r w:rsidRPr="00896C3D">
        <w:t>1970s</w:t>
      </w:r>
      <w:proofErr w:type="spellEnd"/>
      <w:r w:rsidR="00C82E28">
        <w:t>,</w:t>
      </w:r>
      <w:r w:rsidRPr="00896C3D">
        <w:t xml:space="preserve"> the ratio of Australian to US labour productivity rose from around 70 to 80 per cent. Strong labour productivity growth among advanced economies </w:t>
      </w:r>
      <w:r w:rsidR="00815EC8">
        <w:t>over</w:t>
      </w:r>
      <w:r w:rsidRPr="00896C3D">
        <w:t xml:space="preserve"> this period has been attributed to the use of technologies not fully exploited during the Great Depression and World War II, and economies</w:t>
      </w:r>
      <w:r>
        <w:t xml:space="preserve"> becoming open to trade</w:t>
      </w:r>
      <w:r w:rsidR="001D50E9">
        <w:t>, investment</w:t>
      </w:r>
      <w:r w:rsidRPr="00896C3D">
        <w:t xml:space="preserve"> </w:t>
      </w:r>
      <w:r>
        <w:t xml:space="preserve">and diffusion </w:t>
      </w:r>
      <w:r w:rsidRPr="00896C3D">
        <w:t>of technology</w:t>
      </w:r>
      <w:r w:rsidR="0025600D">
        <w:t xml:space="preserve"> </w:t>
      </w:r>
      <w:r w:rsidR="0025600D" w:rsidRPr="0025600D">
        <w:rPr>
          <w:szCs w:val="24"/>
        </w:rPr>
        <w:t>(Maddison 2001)</w:t>
      </w:r>
      <w:r>
        <w:t>.</w:t>
      </w:r>
    </w:p>
    <w:p w14:paraId="1D0A6ECC" w14:textId="2E56C7DB" w:rsidR="00646DD1" w:rsidRDefault="00BE21F9" w:rsidP="00BE21F9">
      <w:pPr>
        <w:pStyle w:val="ListBullet"/>
        <w:numPr>
          <w:ilvl w:val="0"/>
          <w:numId w:val="0"/>
        </w:numPr>
      </w:pPr>
      <w:r>
        <w:t>In the 35 years since, this ratio has fluctuated around 80 per cent, within a band of a few percentage points. In this period</w:t>
      </w:r>
      <w:r w:rsidR="00BE0B14">
        <w:t>,</w:t>
      </w:r>
      <w:r>
        <w:t xml:space="preserve"> there have been three distinct periods of </w:t>
      </w:r>
      <w:r w:rsidR="00B15C33">
        <w:t>rise in the ratio</w:t>
      </w:r>
      <w:r>
        <w:t xml:space="preserve"> </w:t>
      </w:r>
      <w:r w:rsidR="00BE0B14">
        <w:lastRenderedPageBreak/>
        <w:t>—</w:t>
      </w:r>
      <w:r>
        <w:t xml:space="preserve"> the late </w:t>
      </w:r>
      <w:proofErr w:type="spellStart"/>
      <w:r>
        <w:t>1970s</w:t>
      </w:r>
      <w:proofErr w:type="spellEnd"/>
      <w:r>
        <w:t xml:space="preserve"> to early </w:t>
      </w:r>
      <w:proofErr w:type="spellStart"/>
      <w:r>
        <w:t>1980s</w:t>
      </w:r>
      <w:proofErr w:type="spellEnd"/>
      <w:r>
        <w:t xml:space="preserve">, the early </w:t>
      </w:r>
      <w:proofErr w:type="spellStart"/>
      <w:r>
        <w:t>1990s</w:t>
      </w:r>
      <w:proofErr w:type="spellEnd"/>
      <w:r>
        <w:t xml:space="preserve"> to 2000, and the most recent few years to </w:t>
      </w:r>
      <w:r w:rsidR="00FB4CB2">
        <w:t xml:space="preserve">2017 </w:t>
      </w:r>
      <w:r>
        <w:t>(figure </w:t>
      </w:r>
      <w:r w:rsidR="00CF0E9C">
        <w:t>9</w:t>
      </w:r>
      <w:r>
        <w:t xml:space="preserve">). </w:t>
      </w:r>
    </w:p>
    <w:p w14:paraId="1D0A6ECD" w14:textId="523DE503" w:rsidR="00BE21F9" w:rsidRDefault="00BE21F9" w:rsidP="00BE21F9">
      <w:pPr>
        <w:pStyle w:val="ListBullet"/>
        <w:numPr>
          <w:ilvl w:val="0"/>
          <w:numId w:val="0"/>
        </w:numPr>
      </w:pPr>
      <w:r>
        <w:t xml:space="preserve">The rise in the early </w:t>
      </w:r>
      <w:proofErr w:type="spellStart"/>
      <w:r>
        <w:t>1990s</w:t>
      </w:r>
      <w:proofErr w:type="spellEnd"/>
      <w:r>
        <w:t xml:space="preserve"> to 2000 has generally been attributed to the structural reforms implemented in Australia over the </w:t>
      </w:r>
      <w:proofErr w:type="spellStart"/>
      <w:r>
        <w:t>1980s</w:t>
      </w:r>
      <w:proofErr w:type="spellEnd"/>
      <w:r>
        <w:t xml:space="preserve"> and </w:t>
      </w:r>
      <w:proofErr w:type="spellStart"/>
      <w:r>
        <w:t>1990s</w:t>
      </w:r>
      <w:proofErr w:type="spellEnd"/>
      <w:r w:rsidR="00BE0B14">
        <w:t>,</w:t>
      </w:r>
      <w:r>
        <w:t xml:space="preserve"> combined with the adoption and diffusion of new </w:t>
      </w:r>
      <w:r w:rsidR="00FB4CB2">
        <w:t>ICTs</w:t>
      </w:r>
      <w:r>
        <w:t xml:space="preserve"> in Australia. During this period, US productivity growth was quite strong, but Australia’s was even stronger, implying this was a period when Australia underwent a period of technological ‘catch up’. </w:t>
      </w:r>
    </w:p>
    <w:p w14:paraId="1D0A6ECE" w14:textId="72C3D6EC" w:rsidR="00BE21F9" w:rsidRDefault="00BE21F9" w:rsidP="00BE21F9">
      <w:pPr>
        <w:pStyle w:val="ListBullet"/>
        <w:numPr>
          <w:ilvl w:val="0"/>
          <w:numId w:val="0"/>
        </w:numPr>
      </w:pPr>
      <w:r>
        <w:t>However, there are limits to how much can be inferred from aggregate frontier analysis</w:t>
      </w:r>
      <w:r w:rsidR="005C68E1">
        <w:t xml:space="preserve">, particularly in the short </w:t>
      </w:r>
      <w:r>
        <w:t>run</w:t>
      </w:r>
      <w:r w:rsidR="00BE0B14">
        <w:t xml:space="preserve">, as </w:t>
      </w:r>
      <w:r w:rsidR="005531A6">
        <w:t>it</w:t>
      </w:r>
      <w:r w:rsidR="001D50E9" w:rsidRPr="001D50E9">
        <w:t xml:space="preserve"> reflect</w:t>
      </w:r>
      <w:r w:rsidR="005531A6">
        <w:t>s changes in</w:t>
      </w:r>
      <w:r w:rsidR="001D50E9" w:rsidRPr="001D50E9">
        <w:t xml:space="preserve"> both US and Aust</w:t>
      </w:r>
      <w:r w:rsidR="005531A6">
        <w:t>ralian</w:t>
      </w:r>
      <w:r w:rsidR="001D50E9" w:rsidRPr="001D50E9">
        <w:t xml:space="preserve"> LP </w:t>
      </w:r>
      <w:r w:rsidR="005531A6">
        <w:t xml:space="preserve">growth, including </w:t>
      </w:r>
      <w:r w:rsidR="001D50E9" w:rsidRPr="001D50E9">
        <w:t>over business cycle</w:t>
      </w:r>
      <w:r w:rsidR="005531A6">
        <w:t>s</w:t>
      </w:r>
      <w:r w:rsidR="00BE0B14">
        <w:t xml:space="preserve"> that</w:t>
      </w:r>
      <w:r w:rsidR="001D50E9" w:rsidRPr="001D50E9">
        <w:t xml:space="preserve"> are not necessarily aligned across countries</w:t>
      </w:r>
      <w:r w:rsidR="005531A6">
        <w:t>.</w:t>
      </w:r>
      <w:r w:rsidR="001D50E9" w:rsidRPr="001D50E9">
        <w:t xml:space="preserve"> </w:t>
      </w:r>
      <w:r>
        <w:t xml:space="preserve">For instance, the most recent period of relative catch up has coincided with weaker growth in US productivity, itself a byproduct of strong growth in hours worked driven by a cyclical recovery in employment post the </w:t>
      </w:r>
      <w:proofErr w:type="spellStart"/>
      <w:r w:rsidR="001D50E9">
        <w:t>GFC</w:t>
      </w:r>
      <w:proofErr w:type="spellEnd"/>
      <w:r>
        <w:t>. This does not represent an improvement in Australia’s underlying progress.</w:t>
      </w:r>
    </w:p>
    <w:p w14:paraId="1D0A6ECF" w14:textId="77777777" w:rsidR="00BE21F9" w:rsidRDefault="00BE21F9" w:rsidP="00BE21F9">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BE21F9" w14:paraId="1D0A6ED2" w14:textId="77777777" w:rsidTr="006B348F">
        <w:tc>
          <w:tcPr>
            <w:tcW w:w="8771" w:type="dxa"/>
            <w:tcBorders>
              <w:top w:val="single" w:sz="6" w:space="0" w:color="78A22F"/>
              <w:left w:val="nil"/>
              <w:bottom w:val="nil"/>
              <w:right w:val="nil"/>
            </w:tcBorders>
            <w:shd w:val="clear" w:color="auto" w:fill="auto"/>
          </w:tcPr>
          <w:p w14:paraId="1D0A6ED0" w14:textId="77777777" w:rsidR="00BE21F9" w:rsidRDefault="00BE21F9" w:rsidP="006B348F">
            <w:pPr>
              <w:pStyle w:val="FigureTitle"/>
            </w:pPr>
            <w:r w:rsidRPr="00784A05">
              <w:rPr>
                <w:b w:val="0"/>
              </w:rPr>
              <w:t xml:space="preserve">Figure </w:t>
            </w:r>
            <w:r w:rsidR="001F4B4F">
              <w:rPr>
                <w:b w:val="0"/>
              </w:rPr>
              <w:t>9</w:t>
            </w:r>
            <w:r>
              <w:tab/>
              <w:t xml:space="preserve">Australia’s productivity relative to the </w:t>
            </w:r>
            <w:proofErr w:type="spellStart"/>
            <w:r>
              <w:t>frontier</w:t>
            </w:r>
            <w:r w:rsidRPr="00DF197F">
              <w:rPr>
                <w:vertAlign w:val="superscript"/>
              </w:rPr>
              <w:t>a</w:t>
            </w:r>
            <w:proofErr w:type="spellEnd"/>
          </w:p>
          <w:p w14:paraId="1D0A6ED1" w14:textId="77777777" w:rsidR="00BE21F9" w:rsidRPr="00176D3F" w:rsidRDefault="00BE21F9" w:rsidP="006B348F">
            <w:pPr>
              <w:pStyle w:val="Subtitle"/>
            </w:pPr>
            <w:r>
              <w:t>Ratio of aggregate Australian to US labour productivity levels</w:t>
            </w:r>
          </w:p>
        </w:tc>
      </w:tr>
      <w:tr w:rsidR="00BE21F9" w14:paraId="1D0A6ED6" w14:textId="77777777" w:rsidTr="006B348F">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BE21F9" w14:paraId="1D0A6ED4" w14:textId="77777777" w:rsidTr="006B348F">
              <w:trPr>
                <w:jc w:val="center"/>
              </w:trPr>
              <w:tc>
                <w:tcPr>
                  <w:tcW w:w="5000" w:type="pct"/>
                  <w:tcBorders>
                    <w:top w:val="nil"/>
                    <w:bottom w:val="nil"/>
                  </w:tcBorders>
                </w:tcPr>
                <w:p w14:paraId="1D0A6ED3" w14:textId="77777777" w:rsidR="00BE21F9" w:rsidRDefault="00DF2314" w:rsidP="006B348F">
                  <w:pPr>
                    <w:pStyle w:val="Figure"/>
                    <w:spacing w:before="60" w:after="60"/>
                  </w:pPr>
                  <w:r w:rsidRPr="00DF2314">
                    <w:rPr>
                      <w:noProof/>
                    </w:rPr>
                    <w:drawing>
                      <wp:inline distT="0" distB="0" distL="0" distR="0" wp14:anchorId="1D0A7196" wp14:editId="14E4D6E0">
                        <wp:extent cx="5410200" cy="2819400"/>
                        <wp:effectExtent l="0" t="0" r="0" b="0"/>
                        <wp:docPr id="19" name="Picture 19" descr="This figure shows the ratio of aggregate Australian to United States labour productivity levels from 1950 to 2016. It shows that Australia underwent a sustained period of catch up to the international frontier in the post war era, rising from around 70 to 80 per cent up until the late 1970s. In the period since, the ratio has fluctuated around 80 per cent within a band of a few percentage poi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410200" cy="2819400"/>
                                </a:xfrm>
                                <a:prstGeom prst="rect">
                                  <a:avLst/>
                                </a:prstGeom>
                                <a:noFill/>
                                <a:ln>
                                  <a:noFill/>
                                </a:ln>
                              </pic:spPr>
                            </pic:pic>
                          </a:graphicData>
                        </a:graphic>
                      </wp:inline>
                    </w:drawing>
                  </w:r>
                </w:p>
              </w:tc>
            </w:tr>
          </w:tbl>
          <w:p w14:paraId="1D0A6ED5" w14:textId="77777777" w:rsidR="00BE21F9" w:rsidRDefault="00BE21F9" w:rsidP="006B348F">
            <w:pPr>
              <w:pStyle w:val="Figure"/>
            </w:pPr>
          </w:p>
        </w:tc>
      </w:tr>
      <w:tr w:rsidR="00BE21F9" w:rsidRPr="00176D3F" w14:paraId="1D0A6ED8" w14:textId="77777777" w:rsidTr="006B348F">
        <w:tc>
          <w:tcPr>
            <w:tcW w:w="8771" w:type="dxa"/>
            <w:tcBorders>
              <w:top w:val="nil"/>
              <w:left w:val="nil"/>
              <w:bottom w:val="nil"/>
              <w:right w:val="nil"/>
            </w:tcBorders>
            <w:shd w:val="clear" w:color="auto" w:fill="auto"/>
          </w:tcPr>
          <w:p w14:paraId="1D0A6ED7" w14:textId="77777777" w:rsidR="00BE21F9" w:rsidRPr="00176D3F" w:rsidRDefault="00BE21F9" w:rsidP="006B348F">
            <w:pPr>
              <w:pStyle w:val="Note"/>
            </w:pPr>
            <w:r>
              <w:rPr>
                <w:rStyle w:val="NoteLabel"/>
              </w:rPr>
              <w:t>a</w:t>
            </w:r>
            <w:r>
              <w:t xml:space="preserve"> </w:t>
            </w:r>
            <w:r w:rsidRPr="00A11E44">
              <w:t>GDP</w:t>
            </w:r>
            <w:r w:rsidRPr="00DF5697">
              <w:t xml:space="preserve"> per hour worked</w:t>
            </w:r>
            <w:r w:rsidRPr="00A11E44">
              <w:t>, in millions of 201</w:t>
            </w:r>
            <w:r w:rsidR="007557FF">
              <w:t>6</w:t>
            </w:r>
            <w:r w:rsidRPr="00A11E44">
              <w:t xml:space="preserve"> US$ (</w:t>
            </w:r>
            <w:r w:rsidR="007557FF">
              <w:t>using</w:t>
            </w:r>
            <w:r w:rsidRPr="00A11E44">
              <w:t xml:space="preserve"> 2011 </w:t>
            </w:r>
            <w:proofErr w:type="spellStart"/>
            <w:r>
              <w:t>EKS</w:t>
            </w:r>
            <w:proofErr w:type="spellEnd"/>
            <w:r>
              <w:t xml:space="preserve"> </w:t>
            </w:r>
            <w:r w:rsidRPr="00A11E44">
              <w:t>PPPs)</w:t>
            </w:r>
            <w:r>
              <w:t>.</w:t>
            </w:r>
          </w:p>
        </w:tc>
      </w:tr>
      <w:tr w:rsidR="00BE21F9" w:rsidRPr="00176D3F" w14:paraId="1D0A6EDA" w14:textId="77777777" w:rsidTr="006B348F">
        <w:tc>
          <w:tcPr>
            <w:tcW w:w="8771" w:type="dxa"/>
            <w:tcBorders>
              <w:top w:val="nil"/>
              <w:left w:val="nil"/>
              <w:bottom w:val="nil"/>
              <w:right w:val="nil"/>
            </w:tcBorders>
            <w:shd w:val="clear" w:color="auto" w:fill="auto"/>
          </w:tcPr>
          <w:p w14:paraId="1D0A6ED9" w14:textId="50F6EBDB" w:rsidR="00BE21F9" w:rsidRPr="00176D3F" w:rsidRDefault="00EE434A" w:rsidP="006B348F">
            <w:pPr>
              <w:pStyle w:val="Source"/>
            </w:pPr>
            <w:r>
              <w:rPr>
                <w:i/>
              </w:rPr>
              <w:t>S</w:t>
            </w:r>
            <w:r w:rsidR="00BE21F9" w:rsidRPr="00784A05">
              <w:rPr>
                <w:i/>
              </w:rPr>
              <w:t>ource</w:t>
            </w:r>
            <w:r w:rsidR="00BE21F9" w:rsidRPr="00176D3F">
              <w:t xml:space="preserve">: </w:t>
            </w:r>
            <w:r w:rsidR="00BE21F9">
              <w:t xml:space="preserve">The Conference Board </w:t>
            </w:r>
            <w:r w:rsidR="00E20E97" w:rsidRPr="00E20E97">
              <w:rPr>
                <w:rFonts w:cs="Arial"/>
              </w:rPr>
              <w:t>(2017)</w:t>
            </w:r>
            <w:r w:rsidR="00E20E97">
              <w:t xml:space="preserve"> </w:t>
            </w:r>
            <w:r w:rsidR="00BE21F9" w:rsidRPr="00F40EBA">
              <w:rPr>
                <w:i/>
              </w:rPr>
              <w:t>Total Economy Database</w:t>
            </w:r>
            <w:r w:rsidR="00BE21F9">
              <w:t xml:space="preserve">, </w:t>
            </w:r>
            <w:r w:rsidR="00E20E97">
              <w:t>May 2017</w:t>
            </w:r>
            <w:r w:rsidR="00BE21F9">
              <w:t>.</w:t>
            </w:r>
          </w:p>
        </w:tc>
      </w:tr>
      <w:tr w:rsidR="00BE21F9" w14:paraId="1D0A6EDC" w14:textId="77777777" w:rsidTr="006B348F">
        <w:tc>
          <w:tcPr>
            <w:tcW w:w="8771" w:type="dxa"/>
            <w:tcBorders>
              <w:top w:val="nil"/>
              <w:left w:val="nil"/>
              <w:bottom w:val="single" w:sz="6" w:space="0" w:color="78A22F"/>
              <w:right w:val="nil"/>
            </w:tcBorders>
            <w:shd w:val="clear" w:color="auto" w:fill="auto"/>
          </w:tcPr>
          <w:p w14:paraId="1D0A6EDB" w14:textId="77777777" w:rsidR="00BE21F9" w:rsidRDefault="00BE21F9" w:rsidP="006B348F">
            <w:pPr>
              <w:pStyle w:val="Figurespace"/>
            </w:pPr>
          </w:p>
        </w:tc>
      </w:tr>
      <w:tr w:rsidR="00BE21F9" w:rsidRPr="000863A5" w14:paraId="1D0A6EDE" w14:textId="77777777" w:rsidTr="006B348F">
        <w:tc>
          <w:tcPr>
            <w:tcW w:w="8771" w:type="dxa"/>
            <w:tcBorders>
              <w:top w:val="single" w:sz="6" w:space="0" w:color="78A22F"/>
              <w:left w:val="nil"/>
              <w:bottom w:val="nil"/>
              <w:right w:val="nil"/>
            </w:tcBorders>
          </w:tcPr>
          <w:p w14:paraId="1D0A6EDD" w14:textId="77777777" w:rsidR="00BE21F9" w:rsidRPr="00626D32" w:rsidRDefault="00BE21F9" w:rsidP="006B348F">
            <w:pPr>
              <w:pStyle w:val="BoxSpaceBelow"/>
            </w:pPr>
          </w:p>
        </w:tc>
      </w:tr>
    </w:tbl>
    <w:p w14:paraId="1D0A6EDF" w14:textId="77777777" w:rsidR="00BE21F9" w:rsidRDefault="00BE21F9" w:rsidP="00110603">
      <w:pPr>
        <w:pStyle w:val="Heading5"/>
      </w:pPr>
      <w:r>
        <w:t>What is the scope for catch up?</w:t>
      </w:r>
    </w:p>
    <w:p w14:paraId="1D0A6EE0" w14:textId="77777777" w:rsidR="00BE21F9" w:rsidRDefault="00BE21F9" w:rsidP="00BE21F9">
      <w:pPr>
        <w:pStyle w:val="ListBullet"/>
        <w:numPr>
          <w:ilvl w:val="0"/>
          <w:numId w:val="0"/>
        </w:numPr>
      </w:pPr>
      <w:r>
        <w:t xml:space="preserve">Past studies have attributed a large part of the persistent productivity gap of around 20 percentage points to differences in historical and geographic circumstances. These include Australia’s large and sparsely populated land mass and geographic distance from </w:t>
      </w:r>
      <w:r w:rsidR="00815EC8">
        <w:t xml:space="preserve">the </w:t>
      </w:r>
      <w:r>
        <w:t xml:space="preserve">global centres of trade, which limit opportunities to specialise and </w:t>
      </w:r>
      <w:r w:rsidR="00042FF3">
        <w:t xml:space="preserve">to access </w:t>
      </w:r>
      <w:r>
        <w:t xml:space="preserve">economies </w:t>
      </w:r>
      <w:r>
        <w:lastRenderedPageBreak/>
        <w:t xml:space="preserve">of scale. </w:t>
      </w:r>
      <w:proofErr w:type="spellStart"/>
      <w:r>
        <w:t>Battersby</w:t>
      </w:r>
      <w:proofErr w:type="spellEnd"/>
      <w:r w:rsidR="009074D2">
        <w:t xml:space="preserve"> </w:t>
      </w:r>
      <w:r w:rsidR="009074D2" w:rsidRPr="009074D2">
        <w:t>(2006)</w:t>
      </w:r>
      <w:r>
        <w:t>, for example, sugges</w:t>
      </w:r>
      <w:r w:rsidR="009074D2">
        <w:t xml:space="preserve">ts </w:t>
      </w:r>
      <w:r w:rsidR="00815EC8">
        <w:t xml:space="preserve">that these factors </w:t>
      </w:r>
      <w:r w:rsidR="009074D2">
        <w:t>could explain around 40 per </w:t>
      </w:r>
      <w:r>
        <w:t>cent of the observed gap in productivity.</w:t>
      </w:r>
      <w:r w:rsidRPr="00EA4DB4">
        <w:t xml:space="preserve"> </w:t>
      </w:r>
      <w:r>
        <w:t>By their nature, the effect of these factors is unlikely to change materially over time.</w:t>
      </w:r>
    </w:p>
    <w:p w14:paraId="1D0A6EE1" w14:textId="77777777" w:rsidR="00DA1ECB" w:rsidRDefault="00BE21F9" w:rsidP="00BE21F9">
      <w:pPr>
        <w:pStyle w:val="ListBullet"/>
        <w:numPr>
          <w:ilvl w:val="0"/>
          <w:numId w:val="0"/>
        </w:numPr>
      </w:pPr>
      <w:r>
        <w:t xml:space="preserve">Dolman, Parham and Zheng </w:t>
      </w:r>
      <w:r w:rsidRPr="00EC3985">
        <w:t>(2007)</w:t>
      </w:r>
      <w:r>
        <w:t xml:space="preserve"> noted that differences in industry </w:t>
      </w:r>
      <w:r w:rsidRPr="0088226F">
        <w:rPr>
          <w:i/>
        </w:rPr>
        <w:t>composition</w:t>
      </w:r>
      <w:r>
        <w:t xml:space="preserve"> appear to explain little of the observed difference in aggregate productivity levels between Australia and the United States.</w:t>
      </w:r>
      <w:r w:rsidRPr="00E6296D">
        <w:rPr>
          <w:rStyle w:val="FootnoteReference"/>
        </w:rPr>
        <w:footnoteReference w:id="16"/>
      </w:r>
      <w:r>
        <w:t xml:space="preserve"> It is therefore instructive to compare industry productivity levels, and to analyse international trends in MFP. </w:t>
      </w:r>
    </w:p>
    <w:p w14:paraId="1D0A6EE2" w14:textId="77777777" w:rsidR="00BE21F9" w:rsidRDefault="00BE21F9" w:rsidP="00BE21F9">
      <w:pPr>
        <w:pStyle w:val="ListBullet"/>
        <w:numPr>
          <w:ilvl w:val="0"/>
          <w:numId w:val="0"/>
        </w:numPr>
      </w:pPr>
      <w:r>
        <w:t>Using</w:t>
      </w:r>
      <w:r w:rsidRPr="00F25E53">
        <w:t xml:space="preserve"> the </w:t>
      </w:r>
      <w:r w:rsidR="00815EC8">
        <w:t>US</w:t>
      </w:r>
      <w:r w:rsidR="00E6296D">
        <w:t xml:space="preserve"> </w:t>
      </w:r>
      <w:r w:rsidRPr="00F25E53">
        <w:t xml:space="preserve">as a </w:t>
      </w:r>
      <w:r>
        <w:t>benchmark</w:t>
      </w:r>
      <w:r w:rsidRPr="00F25E53">
        <w:t xml:space="preserve">, </w:t>
      </w:r>
      <w:r>
        <w:t xml:space="preserve">international data at the </w:t>
      </w:r>
      <w:r w:rsidRPr="00F25E53">
        <w:t xml:space="preserve">industry </w:t>
      </w:r>
      <w:r>
        <w:t xml:space="preserve">level </w:t>
      </w:r>
      <w:r w:rsidRPr="00F25E53">
        <w:t xml:space="preserve">imply </w:t>
      </w:r>
      <w:r>
        <w:t xml:space="preserve">a large spread of industry performance, implying </w:t>
      </w:r>
      <w:r w:rsidRPr="00F25E53">
        <w:t xml:space="preserve">that there is </w:t>
      </w:r>
      <w:r w:rsidR="00FA1609">
        <w:t xml:space="preserve">likely to be </w:t>
      </w:r>
      <w:r w:rsidRPr="00F25E53">
        <w:t>scope for advances in</w:t>
      </w:r>
      <w:r>
        <w:t xml:space="preserve"> several Australian </w:t>
      </w:r>
      <w:r w:rsidRPr="00F25E53">
        <w:t xml:space="preserve">industries </w:t>
      </w:r>
      <w:r>
        <w:t>that</w:t>
      </w:r>
      <w:r w:rsidRPr="00F25E53">
        <w:t xml:space="preserve"> remain at some distance from international best practice</w:t>
      </w:r>
      <w:r>
        <w:t xml:space="preserve"> (figure </w:t>
      </w:r>
      <w:r w:rsidR="00FA1609">
        <w:t>1</w:t>
      </w:r>
      <w:r w:rsidR="00CF0E9C">
        <w:t>0</w:t>
      </w:r>
      <w:r>
        <w:t>)</w:t>
      </w:r>
      <w:r w:rsidRPr="00F25E53">
        <w:t>.</w:t>
      </w:r>
      <w:r w:rsidRPr="00E6296D">
        <w:rPr>
          <w:rStyle w:val="FootnoteReference"/>
        </w:rPr>
        <w:footnoteReference w:id="17"/>
      </w:r>
      <w:r w:rsidRPr="00F25E53">
        <w:t xml:space="preserve"> </w:t>
      </w:r>
    </w:p>
    <w:p w14:paraId="1D0A6EE3" w14:textId="77777777" w:rsidR="00646DD1" w:rsidRDefault="00646DD1" w:rsidP="00646DD1">
      <w:pPr>
        <w:pStyle w:val="ListBullet"/>
        <w:numPr>
          <w:ilvl w:val="0"/>
          <w:numId w:val="0"/>
        </w:numPr>
      </w:pPr>
      <w:r>
        <w:t>More detailed industry</w:t>
      </w:r>
      <w:r>
        <w:noBreakHyphen/>
        <w:t>level data are unavailable, but data presented in figure </w:t>
      </w:r>
      <w:r w:rsidR="00CF0E9C">
        <w:t>10</w:t>
      </w:r>
      <w:r>
        <w:t xml:space="preserve"> nonetheless suggests there may be scope for technological catch up, particularly in areas of telecommunications, distribution activities, wholesale and retail trade, and transport</w:t>
      </w:r>
      <w:r w:rsidRPr="00F25E53">
        <w:t>. This result mirrors analysis by the IMF</w:t>
      </w:r>
      <w:r>
        <w:t xml:space="preserve"> </w:t>
      </w:r>
      <w:r w:rsidRPr="009C7D9A">
        <w:t>(2015)</w:t>
      </w:r>
      <w:r w:rsidRPr="00F25E53">
        <w:t>, which highlight</w:t>
      </w:r>
      <w:r>
        <w:t>ed</w:t>
      </w:r>
      <w:r w:rsidRPr="00F25E53">
        <w:t xml:space="preserve"> that improvements to Australia’s ‘distribution’ sector, covering transport and domestic trade, could generate significant gains </w:t>
      </w:r>
      <w:r>
        <w:t xml:space="preserve">by moving </w:t>
      </w:r>
      <w:r w:rsidRPr="00F25E53">
        <w:t>to international best practi</w:t>
      </w:r>
      <w:r w:rsidR="001A032D">
        <w:t>c</w:t>
      </w:r>
      <w:r w:rsidRPr="00F25E53">
        <w:t>e.</w:t>
      </w:r>
    </w:p>
    <w:p w14:paraId="1D0A6EE4" w14:textId="38F8EC56" w:rsidR="00646DD1" w:rsidRDefault="00FB4CB2" w:rsidP="00BE21F9">
      <w:pPr>
        <w:pStyle w:val="ListBullet"/>
        <w:numPr>
          <w:ilvl w:val="0"/>
          <w:numId w:val="0"/>
        </w:numPr>
      </w:pPr>
      <w:r>
        <w:t>Although</w:t>
      </w:r>
      <w:r w:rsidR="00646DD1" w:rsidRPr="00BD0FEA">
        <w:t xml:space="preserve"> </w:t>
      </w:r>
      <w:r w:rsidR="00646DD1">
        <w:t>some Australian industries, notably mining, are among the most productive internationally, the evidence</w:t>
      </w:r>
      <w:r w:rsidR="00646DD1" w:rsidRPr="00BD0FEA">
        <w:t xml:space="preserve"> suggests that there </w:t>
      </w:r>
      <w:r w:rsidR="00646DD1">
        <w:t xml:space="preserve">is likely to be </w:t>
      </w:r>
      <w:r w:rsidR="00646DD1" w:rsidRPr="00BD0FEA">
        <w:t>scope for catch</w:t>
      </w:r>
      <w:r>
        <w:noBreakHyphen/>
      </w:r>
      <w:r w:rsidR="00646DD1" w:rsidRPr="00BD0FEA">
        <w:t>up</w:t>
      </w:r>
      <w:r w:rsidR="00646DD1">
        <w:t xml:space="preserve"> among others.</w:t>
      </w:r>
      <w:r w:rsidR="00646DD1" w:rsidRPr="00BD0FEA">
        <w:t xml:space="preserve"> </w:t>
      </w:r>
      <w:r w:rsidR="00646DD1">
        <w:t xml:space="preserve">However, </w:t>
      </w:r>
      <w:r w:rsidR="00646DD1" w:rsidRPr="00BD0FEA">
        <w:t xml:space="preserve">attaining the US aggregate labour productivity level </w:t>
      </w:r>
      <w:r w:rsidR="00646DD1">
        <w:t>is an unrealistic ambition</w:t>
      </w:r>
      <w:r w:rsidR="00646DD1" w:rsidRPr="00BD0FEA">
        <w:t xml:space="preserve">. </w:t>
      </w:r>
      <w:r w:rsidR="00646DD1">
        <w:t>I</w:t>
      </w:r>
      <w:r w:rsidR="00646DD1" w:rsidRPr="00BD0FEA">
        <w:t>n the long</w:t>
      </w:r>
      <w:r w:rsidR="00981D0B">
        <w:t xml:space="preserve"> </w:t>
      </w:r>
      <w:r w:rsidR="00646DD1" w:rsidRPr="00BD0FEA">
        <w:t xml:space="preserve">run, </w:t>
      </w:r>
      <w:r w:rsidR="00646DD1">
        <w:t>and</w:t>
      </w:r>
      <w:r w:rsidR="00646DD1" w:rsidRPr="00BD0FEA">
        <w:t xml:space="preserve"> </w:t>
      </w:r>
      <w:r w:rsidR="00646DD1">
        <w:t xml:space="preserve">in many industries, </w:t>
      </w:r>
      <w:r w:rsidR="00646DD1" w:rsidRPr="00BD0FEA">
        <w:t>Australia’s prospects for productivity growth will be determined by advances in technology at the frontier (be that in the U</w:t>
      </w:r>
      <w:r w:rsidR="00E6296D">
        <w:t xml:space="preserve">nited </w:t>
      </w:r>
      <w:r w:rsidR="00646DD1" w:rsidRPr="00BD0FEA">
        <w:t>S</w:t>
      </w:r>
      <w:r w:rsidR="00E6296D">
        <w:t>tates</w:t>
      </w:r>
      <w:r w:rsidR="00646DD1" w:rsidRPr="00BD0FEA">
        <w:t xml:space="preserve">, </w:t>
      </w:r>
      <w:r w:rsidR="00646DD1">
        <w:t xml:space="preserve">Australia, </w:t>
      </w:r>
      <w:r w:rsidR="00646DD1" w:rsidRPr="00BD0FEA">
        <w:t>or elsewhere)</w:t>
      </w:r>
      <w:r w:rsidR="00646DD1">
        <w:t xml:space="preserve"> and its diffusion. There is also a clear role for policy in enabling businesses and industries to become more productive by removing regulatory impediments and incentivising more efficient resource use. </w:t>
      </w:r>
    </w:p>
    <w:p w14:paraId="1D0A6EE5" w14:textId="77777777" w:rsidR="00BE21F9" w:rsidRDefault="00BE21F9" w:rsidP="00BE21F9">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BE21F9" w14:paraId="1D0A6EE8" w14:textId="77777777" w:rsidTr="006B348F">
        <w:tc>
          <w:tcPr>
            <w:tcW w:w="8771" w:type="dxa"/>
            <w:tcBorders>
              <w:top w:val="single" w:sz="6" w:space="0" w:color="78A22F"/>
              <w:left w:val="nil"/>
              <w:bottom w:val="nil"/>
              <w:right w:val="nil"/>
            </w:tcBorders>
            <w:shd w:val="clear" w:color="auto" w:fill="auto"/>
          </w:tcPr>
          <w:p w14:paraId="1D0A6EE6" w14:textId="77777777" w:rsidR="00BE21F9" w:rsidRDefault="00BE21F9" w:rsidP="006B348F">
            <w:pPr>
              <w:pStyle w:val="FigureTitle"/>
            </w:pPr>
            <w:r w:rsidRPr="00784A05">
              <w:rPr>
                <w:b w:val="0"/>
              </w:rPr>
              <w:t xml:space="preserve">Figure </w:t>
            </w:r>
            <w:r w:rsidR="00497B26">
              <w:rPr>
                <w:b w:val="0"/>
              </w:rPr>
              <w:t>1</w:t>
            </w:r>
            <w:r w:rsidR="001F4B4F">
              <w:rPr>
                <w:b w:val="0"/>
              </w:rPr>
              <w:t>0</w:t>
            </w:r>
            <w:r>
              <w:tab/>
              <w:t xml:space="preserve">Industry </w:t>
            </w:r>
            <w:r w:rsidR="00042FF3">
              <w:t xml:space="preserve">MFP </w:t>
            </w:r>
            <w:r>
              <w:t>levels relative to the U</w:t>
            </w:r>
            <w:r w:rsidR="00265579">
              <w:t xml:space="preserve">nited </w:t>
            </w:r>
            <w:proofErr w:type="spellStart"/>
            <w:r>
              <w:t>S</w:t>
            </w:r>
            <w:r w:rsidR="00265579">
              <w:t>tates</w:t>
            </w:r>
            <w:r w:rsidRPr="00DF197F">
              <w:rPr>
                <w:vertAlign w:val="superscript"/>
              </w:rPr>
              <w:t>a</w:t>
            </w:r>
            <w:r>
              <w:rPr>
                <w:vertAlign w:val="superscript"/>
              </w:rPr>
              <w:t>,b</w:t>
            </w:r>
            <w:proofErr w:type="spellEnd"/>
          </w:p>
          <w:p w14:paraId="1D0A6EE7" w14:textId="77777777" w:rsidR="00BE21F9" w:rsidRPr="00176D3F" w:rsidRDefault="00BE21F9" w:rsidP="006B348F">
            <w:pPr>
              <w:pStyle w:val="Subtitle"/>
            </w:pPr>
            <w:r>
              <w:t>Average MFP levels between 1997 and 2005 (ratios to US=1)</w:t>
            </w:r>
          </w:p>
        </w:tc>
      </w:tr>
      <w:tr w:rsidR="00BE21F9" w14:paraId="1D0A6EEC" w14:textId="77777777" w:rsidTr="006B348F">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BE21F9" w14:paraId="1D0A6EEA" w14:textId="77777777" w:rsidTr="006B348F">
              <w:trPr>
                <w:jc w:val="center"/>
              </w:trPr>
              <w:tc>
                <w:tcPr>
                  <w:tcW w:w="5000" w:type="pct"/>
                  <w:tcBorders>
                    <w:top w:val="nil"/>
                    <w:bottom w:val="nil"/>
                  </w:tcBorders>
                </w:tcPr>
                <w:p w14:paraId="1D0A6EE9" w14:textId="77777777" w:rsidR="00BE21F9" w:rsidRDefault="00BE21F9" w:rsidP="006B348F">
                  <w:pPr>
                    <w:pStyle w:val="Figure"/>
                    <w:spacing w:before="60" w:after="60"/>
                  </w:pPr>
                  <w:r>
                    <w:rPr>
                      <w:noProof/>
                    </w:rPr>
                    <w:drawing>
                      <wp:inline distT="0" distB="0" distL="0" distR="0" wp14:anchorId="1D0A7198" wp14:editId="1B95A088">
                        <wp:extent cx="5182018" cy="3335867"/>
                        <wp:effectExtent l="0" t="0" r="0" b="0"/>
                        <wp:docPr id="9" name="Picture 9" descr="This figure shows Australian multifactor productivity levels by industry relative to those in the United States, and relative to those countries that represent the frontier for any given industry. It shows that Australia is likely to be at the frontier for a number of industries, and that there is scope for improvement in others, including telecommunications, transport, distribution and wholesale and retail t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202987" cy="3349365"/>
                                </a:xfrm>
                                <a:prstGeom prst="rect">
                                  <a:avLst/>
                                </a:prstGeom>
                                <a:noFill/>
                                <a:ln>
                                  <a:noFill/>
                                </a:ln>
                              </pic:spPr>
                            </pic:pic>
                          </a:graphicData>
                        </a:graphic>
                      </wp:inline>
                    </w:drawing>
                  </w:r>
                </w:p>
              </w:tc>
            </w:tr>
          </w:tbl>
          <w:p w14:paraId="1D0A6EEB" w14:textId="77777777" w:rsidR="00BE21F9" w:rsidRDefault="00BE21F9" w:rsidP="006B348F">
            <w:pPr>
              <w:pStyle w:val="Figure"/>
            </w:pPr>
          </w:p>
        </w:tc>
      </w:tr>
      <w:tr w:rsidR="00BE21F9" w:rsidRPr="00176D3F" w14:paraId="1D0A6EEE" w14:textId="77777777" w:rsidTr="006B348F">
        <w:tc>
          <w:tcPr>
            <w:tcW w:w="8771" w:type="dxa"/>
            <w:tcBorders>
              <w:top w:val="nil"/>
              <w:left w:val="nil"/>
              <w:bottom w:val="nil"/>
              <w:right w:val="nil"/>
            </w:tcBorders>
            <w:shd w:val="clear" w:color="auto" w:fill="auto"/>
          </w:tcPr>
          <w:p w14:paraId="1D0A6EED" w14:textId="2BC2FEEF" w:rsidR="00BE21F9" w:rsidRPr="00176D3F" w:rsidRDefault="00BE21F9" w:rsidP="006B348F">
            <w:pPr>
              <w:pStyle w:val="Note"/>
            </w:pPr>
            <w:r>
              <w:rPr>
                <w:rStyle w:val="NoteLabel"/>
              </w:rPr>
              <w:t xml:space="preserve"> a</w:t>
            </w:r>
            <w:r>
              <w:t xml:space="preserve"> Classification based on the 10</w:t>
            </w:r>
            <w:r w:rsidR="00EE434A">
              <w:noBreakHyphen/>
            </w:r>
            <w:r>
              <w:t xml:space="preserve">sector ISIC. Market sector aggregate excludes public administration, education and health. </w:t>
            </w:r>
            <w:proofErr w:type="spellStart"/>
            <w:r>
              <w:t>Telecomms</w:t>
            </w:r>
            <w:proofErr w:type="spellEnd"/>
            <w:r>
              <w:t xml:space="preserve"> includes electrical and optical equipment, post and telecommunications. Other production includes mining, utilities, construction and agriculture. USA industry data is based on the </w:t>
            </w:r>
            <w:proofErr w:type="spellStart"/>
            <w:r>
              <w:t>NAICS</w:t>
            </w:r>
            <w:proofErr w:type="spellEnd"/>
            <w:r>
              <w:t xml:space="preserve">. </w:t>
            </w:r>
            <w:r>
              <w:rPr>
                <w:rStyle w:val="NoteLabel"/>
              </w:rPr>
              <w:t>b</w:t>
            </w:r>
            <w:r>
              <w:t xml:space="preserve"> USA = United States, </w:t>
            </w:r>
            <w:proofErr w:type="spellStart"/>
            <w:r>
              <w:t>SWE</w:t>
            </w:r>
            <w:proofErr w:type="spellEnd"/>
            <w:r>
              <w:t xml:space="preserve"> = Sweden, </w:t>
            </w:r>
            <w:proofErr w:type="spellStart"/>
            <w:r>
              <w:t>GER</w:t>
            </w:r>
            <w:proofErr w:type="spellEnd"/>
            <w:r>
              <w:t xml:space="preserve"> = Germany, </w:t>
            </w:r>
            <w:proofErr w:type="spellStart"/>
            <w:r>
              <w:t>AUS</w:t>
            </w:r>
            <w:proofErr w:type="spellEnd"/>
            <w:r>
              <w:t xml:space="preserve"> = Australia, </w:t>
            </w:r>
            <w:proofErr w:type="spellStart"/>
            <w:r w:rsidR="00042FF3">
              <w:t>NLD</w:t>
            </w:r>
            <w:proofErr w:type="spellEnd"/>
            <w:r w:rsidR="00042FF3">
              <w:t xml:space="preserve"> = Netherlands, </w:t>
            </w:r>
            <w:proofErr w:type="spellStart"/>
            <w:r>
              <w:t>DNK</w:t>
            </w:r>
            <w:proofErr w:type="spellEnd"/>
            <w:r>
              <w:t xml:space="preserve"> = Denmark.</w:t>
            </w:r>
          </w:p>
        </w:tc>
      </w:tr>
      <w:tr w:rsidR="00BE21F9" w:rsidRPr="00176D3F" w14:paraId="1D0A6EF0" w14:textId="77777777" w:rsidTr="006B348F">
        <w:tc>
          <w:tcPr>
            <w:tcW w:w="8771" w:type="dxa"/>
            <w:tcBorders>
              <w:top w:val="nil"/>
              <w:left w:val="nil"/>
              <w:bottom w:val="nil"/>
              <w:right w:val="nil"/>
            </w:tcBorders>
            <w:shd w:val="clear" w:color="auto" w:fill="auto"/>
          </w:tcPr>
          <w:p w14:paraId="1D0A6EEF" w14:textId="78882340" w:rsidR="00BE21F9" w:rsidRPr="00176D3F" w:rsidRDefault="00EE434A" w:rsidP="00D63B12">
            <w:pPr>
              <w:pStyle w:val="Source"/>
            </w:pPr>
            <w:r>
              <w:rPr>
                <w:i/>
              </w:rPr>
              <w:t>S</w:t>
            </w:r>
            <w:r w:rsidR="00BE21F9" w:rsidRPr="00784A05">
              <w:rPr>
                <w:i/>
              </w:rPr>
              <w:t>ource</w:t>
            </w:r>
            <w:r w:rsidR="00166F83">
              <w:rPr>
                <w:i/>
              </w:rPr>
              <w:t>s</w:t>
            </w:r>
            <w:r w:rsidR="00BE21F9" w:rsidRPr="00176D3F">
              <w:t xml:space="preserve">: </w:t>
            </w:r>
            <w:proofErr w:type="spellStart"/>
            <w:r w:rsidR="00BE21F9">
              <w:t>GGDC</w:t>
            </w:r>
            <w:proofErr w:type="spellEnd"/>
            <w:r w:rsidR="00BE21F9">
              <w:t xml:space="preserve"> </w:t>
            </w:r>
            <w:r w:rsidR="00BE21F9" w:rsidRPr="00F40EBA">
              <w:rPr>
                <w:i/>
              </w:rPr>
              <w:t>EU</w:t>
            </w:r>
            <w:r w:rsidR="00BE21F9" w:rsidRPr="00F40EBA">
              <w:rPr>
                <w:i/>
              </w:rPr>
              <w:noBreakHyphen/>
            </w:r>
            <w:proofErr w:type="spellStart"/>
            <w:r w:rsidR="00BE21F9" w:rsidRPr="00F40EBA">
              <w:rPr>
                <w:i/>
              </w:rPr>
              <w:t>KL</w:t>
            </w:r>
            <w:r w:rsidR="00D63B12" w:rsidRPr="00F40EBA">
              <w:rPr>
                <w:i/>
              </w:rPr>
              <w:t>EMS</w:t>
            </w:r>
            <w:proofErr w:type="spellEnd"/>
            <w:r w:rsidR="00D63B12" w:rsidRPr="00F40EBA">
              <w:rPr>
                <w:i/>
              </w:rPr>
              <w:t xml:space="preserve"> Benchmark</w:t>
            </w:r>
            <w:r w:rsidR="00BE21F9" w:rsidRPr="00F40EBA">
              <w:rPr>
                <w:i/>
              </w:rPr>
              <w:t xml:space="preserve"> 1997</w:t>
            </w:r>
            <w:r w:rsidR="00BE21F9">
              <w:t xml:space="preserve"> matc</w:t>
            </w:r>
            <w:r w:rsidR="00D63B12">
              <w:t xml:space="preserve">hed with the 2005 extrapolation, from </w:t>
            </w:r>
            <w:proofErr w:type="spellStart"/>
            <w:r w:rsidR="00D63B12">
              <w:t>Inklaar</w:t>
            </w:r>
            <w:proofErr w:type="spellEnd"/>
            <w:r w:rsidR="00D63B12">
              <w:t xml:space="preserve"> and </w:t>
            </w:r>
            <w:proofErr w:type="spellStart"/>
            <w:r w:rsidR="00D63B12">
              <w:t>Timmer</w:t>
            </w:r>
            <w:proofErr w:type="spellEnd"/>
            <w:r w:rsidR="00D63B12">
              <w:t xml:space="preserve"> </w:t>
            </w:r>
            <w:r w:rsidR="00D63B12" w:rsidRPr="00D63B12">
              <w:rPr>
                <w:rFonts w:cs="Arial"/>
              </w:rPr>
              <w:t>(2009)</w:t>
            </w:r>
            <w:r w:rsidR="00D63B12">
              <w:t xml:space="preserve">. </w:t>
            </w:r>
          </w:p>
        </w:tc>
      </w:tr>
      <w:tr w:rsidR="00BE21F9" w14:paraId="1D0A6EF2" w14:textId="77777777" w:rsidTr="006B348F">
        <w:tc>
          <w:tcPr>
            <w:tcW w:w="8771" w:type="dxa"/>
            <w:tcBorders>
              <w:top w:val="nil"/>
              <w:left w:val="nil"/>
              <w:bottom w:val="single" w:sz="6" w:space="0" w:color="78A22F"/>
              <w:right w:val="nil"/>
            </w:tcBorders>
            <w:shd w:val="clear" w:color="auto" w:fill="auto"/>
          </w:tcPr>
          <w:p w14:paraId="1D0A6EF1" w14:textId="77777777" w:rsidR="00BE21F9" w:rsidRDefault="00BE21F9" w:rsidP="006B348F">
            <w:pPr>
              <w:pStyle w:val="Figurespace"/>
            </w:pPr>
          </w:p>
        </w:tc>
      </w:tr>
      <w:tr w:rsidR="00BE21F9" w:rsidRPr="000863A5" w14:paraId="1D0A6EF4" w14:textId="77777777" w:rsidTr="006B348F">
        <w:tc>
          <w:tcPr>
            <w:tcW w:w="8771" w:type="dxa"/>
            <w:tcBorders>
              <w:top w:val="single" w:sz="6" w:space="0" w:color="78A22F"/>
              <w:left w:val="nil"/>
              <w:bottom w:val="nil"/>
              <w:right w:val="nil"/>
            </w:tcBorders>
          </w:tcPr>
          <w:p w14:paraId="1D0A6EF3" w14:textId="77777777" w:rsidR="00BE21F9" w:rsidRPr="00626D32" w:rsidRDefault="00BE21F9" w:rsidP="006B348F">
            <w:pPr>
              <w:pStyle w:val="BoxSpaceBelow"/>
            </w:pPr>
          </w:p>
        </w:tc>
      </w:tr>
    </w:tbl>
    <w:p w14:paraId="1D0A6EF5" w14:textId="77777777" w:rsidR="00BE21F9" w:rsidRPr="00874201" w:rsidRDefault="00BE21F9" w:rsidP="00110603">
      <w:pPr>
        <w:pStyle w:val="Heading5"/>
      </w:pPr>
      <w:r w:rsidRPr="00874201">
        <w:t>Has expansion in the international frontier slowed down?</w:t>
      </w:r>
    </w:p>
    <w:p w14:paraId="1D0A6EF6" w14:textId="77777777" w:rsidR="00BE21F9" w:rsidRDefault="00E938B4" w:rsidP="00BE21F9">
      <w:pPr>
        <w:pStyle w:val="ListBullet"/>
        <w:numPr>
          <w:ilvl w:val="0"/>
          <w:numId w:val="0"/>
        </w:numPr>
      </w:pPr>
      <w:r>
        <w:t>G</w:t>
      </w:r>
      <w:r w:rsidR="00BE21F9" w:rsidRPr="00584CBA">
        <w:t xml:space="preserve">rowth in </w:t>
      </w:r>
      <w:r w:rsidR="00BE21F9">
        <w:t>MFP</w:t>
      </w:r>
      <w:r>
        <w:t xml:space="preserve"> is a reasonable proxy for technological progress</w:t>
      </w:r>
      <w:r w:rsidR="00BE21F9" w:rsidRPr="00584CBA">
        <w:t xml:space="preserve"> over long periods of time.</w:t>
      </w:r>
      <w:r w:rsidRPr="00E6296D">
        <w:rPr>
          <w:rStyle w:val="FootnoteReference"/>
        </w:rPr>
        <w:footnoteReference w:id="18"/>
      </w:r>
      <w:r w:rsidR="00BE21F9" w:rsidRPr="00584CBA">
        <w:t xml:space="preserve"> Australia has not been alone in experiencing a </w:t>
      </w:r>
      <w:r w:rsidR="00BE21F9">
        <w:t>MFP</w:t>
      </w:r>
      <w:r w:rsidR="00BE21F9" w:rsidRPr="00584CBA">
        <w:t xml:space="preserve"> slowdown. </w:t>
      </w:r>
      <w:r w:rsidR="00BE21F9">
        <w:t>As noted in PC </w:t>
      </w:r>
      <w:r w:rsidR="006E3A21" w:rsidRPr="006E3A21">
        <w:t>(</w:t>
      </w:r>
      <w:proofErr w:type="spellStart"/>
      <w:r w:rsidR="006E3A21" w:rsidRPr="006E3A21">
        <w:t>2016b</w:t>
      </w:r>
      <w:proofErr w:type="spellEnd"/>
      <w:r w:rsidR="006E3A21" w:rsidRPr="006E3A21">
        <w:t>)</w:t>
      </w:r>
      <w:r w:rsidR="00BE21F9">
        <w:t>, negative rates of MFP growth have been observed across a number of</w:t>
      </w:r>
      <w:r w:rsidR="00E03B1F">
        <w:t xml:space="preserve"> advanced economies in the post</w:t>
      </w:r>
      <w:r w:rsidR="00E03B1F">
        <w:noBreakHyphen/>
      </w:r>
      <w:proofErr w:type="spellStart"/>
      <w:r w:rsidR="00BE21F9">
        <w:t>GFC</w:t>
      </w:r>
      <w:proofErr w:type="spellEnd"/>
      <w:r w:rsidR="00BE21F9">
        <w:t xml:space="preserve"> period. </w:t>
      </w:r>
      <w:r w:rsidR="00E03B1F">
        <w:t>F</w:t>
      </w:r>
      <w:r w:rsidR="00BE21F9">
        <w:t xml:space="preserve">or some economies, this may reflect a process of recovering from the </w:t>
      </w:r>
      <w:proofErr w:type="spellStart"/>
      <w:r w:rsidR="00BE21F9">
        <w:t>GFC</w:t>
      </w:r>
      <w:proofErr w:type="spellEnd"/>
      <w:r w:rsidR="00BE21F9">
        <w:t xml:space="preserve">. While the effect of the </w:t>
      </w:r>
      <w:proofErr w:type="spellStart"/>
      <w:r w:rsidR="00BE21F9">
        <w:t>GFC</w:t>
      </w:r>
      <w:proofErr w:type="spellEnd"/>
      <w:r w:rsidR="00BE21F9">
        <w:t xml:space="preserve"> on productivity growth has been notable, there are nascent signs of a rebound (table </w:t>
      </w:r>
      <w:r w:rsidR="00A5662D">
        <w:t>3</w:t>
      </w:r>
      <w:r w:rsidR="00BE21F9">
        <w:t xml:space="preserve">). The extent of this rebound indicates that a large portion of the slowdown experienced over the late </w:t>
      </w:r>
      <w:proofErr w:type="spellStart"/>
      <w:r w:rsidR="00BE21F9">
        <w:t>2000s</w:t>
      </w:r>
      <w:proofErr w:type="spellEnd"/>
      <w:r w:rsidR="00BE21F9">
        <w:t xml:space="preserve"> is likely to have been driven by lower rates of capacity util</w:t>
      </w:r>
      <w:r w:rsidR="00DF2314">
        <w:t>isation</w:t>
      </w:r>
      <w:r w:rsidR="00FB4CB2">
        <w:t xml:space="preserve"> during that period</w:t>
      </w:r>
      <w:r w:rsidR="00DF2314">
        <w:t xml:space="preserve">. </w:t>
      </w:r>
    </w:p>
    <w:p w14:paraId="1D0A6EF7" w14:textId="77777777" w:rsidR="00BE21F9" w:rsidRDefault="00BE21F9" w:rsidP="00BE21F9">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71"/>
      </w:tblGrid>
      <w:tr w:rsidR="00BE21F9" w14:paraId="1D0A6EFA" w14:textId="77777777" w:rsidTr="006B348F">
        <w:tc>
          <w:tcPr>
            <w:tcW w:w="8771" w:type="dxa"/>
            <w:tcBorders>
              <w:top w:val="single" w:sz="6" w:space="0" w:color="78A22F"/>
              <w:left w:val="nil"/>
              <w:bottom w:val="nil"/>
              <w:right w:val="nil"/>
            </w:tcBorders>
            <w:shd w:val="clear" w:color="auto" w:fill="auto"/>
          </w:tcPr>
          <w:p w14:paraId="1D0A6EF8" w14:textId="77777777" w:rsidR="00BE21F9" w:rsidRDefault="00BE21F9" w:rsidP="006B348F">
            <w:pPr>
              <w:pStyle w:val="TableTitle"/>
            </w:pPr>
            <w:r>
              <w:rPr>
                <w:b w:val="0"/>
              </w:rPr>
              <w:t xml:space="preserve">Table </w:t>
            </w:r>
            <w:r w:rsidR="00F72272">
              <w:rPr>
                <w:b w:val="0"/>
              </w:rPr>
              <w:t>3</w:t>
            </w:r>
            <w:r>
              <w:tab/>
              <w:t xml:space="preserve">MFP growth for selected </w:t>
            </w:r>
            <w:r w:rsidR="00912547">
              <w:t xml:space="preserve">advanced </w:t>
            </w:r>
            <w:proofErr w:type="spellStart"/>
            <w:r>
              <w:t>countries</w:t>
            </w:r>
            <w:r w:rsidR="00912547" w:rsidRPr="00C21FFD">
              <w:rPr>
                <w:vertAlign w:val="superscript"/>
              </w:rPr>
              <w:t>a</w:t>
            </w:r>
            <w:proofErr w:type="spellEnd"/>
          </w:p>
          <w:p w14:paraId="1D0A6EF9" w14:textId="77777777" w:rsidR="00BE21F9" w:rsidRPr="00784A05" w:rsidRDefault="00BE21F9" w:rsidP="006B348F">
            <w:pPr>
              <w:pStyle w:val="Subtitle"/>
            </w:pPr>
            <w:r>
              <w:t>Average annual growth rates</w:t>
            </w:r>
          </w:p>
        </w:tc>
      </w:tr>
      <w:tr w:rsidR="00BE21F9" w14:paraId="1D0A6F5B" w14:textId="77777777" w:rsidTr="006B348F">
        <w:tc>
          <w:tcPr>
            <w:tcW w:w="8771" w:type="dxa"/>
            <w:tcBorders>
              <w:top w:val="nil"/>
              <w:left w:val="nil"/>
              <w:bottom w:val="nil"/>
              <w:right w:val="nil"/>
            </w:tcBorders>
            <w:shd w:val="clear" w:color="auto" w:fill="auto"/>
          </w:tcPr>
          <w:tbl>
            <w:tblPr>
              <w:tblW w:w="8483" w:type="dxa"/>
              <w:tblLook w:val="04A0" w:firstRow="1" w:lastRow="0" w:firstColumn="1" w:lastColumn="0" w:noHBand="0" w:noVBand="1"/>
            </w:tblPr>
            <w:tblGrid>
              <w:gridCol w:w="1537"/>
              <w:gridCol w:w="993"/>
              <w:gridCol w:w="1134"/>
              <w:gridCol w:w="1134"/>
              <w:gridCol w:w="1842"/>
              <w:gridCol w:w="1843"/>
            </w:tblGrid>
            <w:tr w:rsidR="00BE21F9" w:rsidRPr="00D214CF" w14:paraId="1D0A6EFE" w14:textId="77777777" w:rsidTr="00A02E1D">
              <w:trPr>
                <w:trHeight w:val="288"/>
              </w:trPr>
              <w:tc>
                <w:tcPr>
                  <w:tcW w:w="1537" w:type="dxa"/>
                  <w:tcBorders>
                    <w:top w:val="single" w:sz="6" w:space="0" w:color="BFBFBF" w:themeColor="background2"/>
                    <w:left w:val="nil"/>
                    <w:bottom w:val="nil"/>
                    <w:right w:val="nil"/>
                  </w:tcBorders>
                  <w:shd w:val="clear" w:color="auto" w:fill="auto"/>
                  <w:noWrap/>
                  <w:vAlign w:val="bottom"/>
                </w:tcPr>
                <w:p w14:paraId="1D0A6EFB" w14:textId="77777777" w:rsidR="00BE21F9" w:rsidRPr="00D214CF" w:rsidRDefault="00BE21F9" w:rsidP="005C68E1">
                  <w:pPr>
                    <w:pStyle w:val="TableColumnHeading"/>
                  </w:pPr>
                </w:p>
              </w:tc>
              <w:tc>
                <w:tcPr>
                  <w:tcW w:w="3261" w:type="dxa"/>
                  <w:gridSpan w:val="3"/>
                  <w:tcBorders>
                    <w:top w:val="single" w:sz="6" w:space="0" w:color="BFBFBF" w:themeColor="background2"/>
                    <w:left w:val="nil"/>
                    <w:bottom w:val="nil"/>
                    <w:right w:val="nil"/>
                  </w:tcBorders>
                  <w:shd w:val="clear" w:color="auto" w:fill="auto"/>
                  <w:noWrap/>
                  <w:vAlign w:val="bottom"/>
                </w:tcPr>
                <w:p w14:paraId="1D0A6EFC" w14:textId="77777777" w:rsidR="00BE21F9" w:rsidRPr="00D214CF" w:rsidRDefault="00BE21F9" w:rsidP="005C68E1">
                  <w:pPr>
                    <w:pStyle w:val="TableColumnHeading"/>
                  </w:pPr>
                  <w:r>
                    <w:t>Period average growth rates</w:t>
                  </w:r>
                </w:p>
              </w:tc>
              <w:tc>
                <w:tcPr>
                  <w:tcW w:w="3685" w:type="dxa"/>
                  <w:gridSpan w:val="2"/>
                  <w:tcBorders>
                    <w:top w:val="single" w:sz="6" w:space="0" w:color="BFBFBF" w:themeColor="background2"/>
                    <w:left w:val="nil"/>
                    <w:bottom w:val="nil"/>
                    <w:right w:val="nil"/>
                  </w:tcBorders>
                  <w:shd w:val="clear" w:color="auto" w:fill="auto"/>
                  <w:noWrap/>
                  <w:vAlign w:val="bottom"/>
                </w:tcPr>
                <w:p w14:paraId="1D0A6EFD" w14:textId="77777777" w:rsidR="00BE21F9" w:rsidRPr="00D214CF" w:rsidRDefault="00BE21F9" w:rsidP="005C68E1">
                  <w:pPr>
                    <w:pStyle w:val="TableColumnHeading"/>
                  </w:pPr>
                  <w:r>
                    <w:t>Percentage point changes in growth rates</w:t>
                  </w:r>
                </w:p>
              </w:tc>
            </w:tr>
            <w:tr w:rsidR="00BE21F9" w:rsidRPr="00D214CF" w14:paraId="1D0A6F05" w14:textId="77777777" w:rsidTr="00A02E1D">
              <w:trPr>
                <w:trHeight w:val="288"/>
              </w:trPr>
              <w:tc>
                <w:tcPr>
                  <w:tcW w:w="1537" w:type="dxa"/>
                  <w:tcBorders>
                    <w:top w:val="nil"/>
                    <w:left w:val="nil"/>
                    <w:bottom w:val="nil"/>
                    <w:right w:val="nil"/>
                  </w:tcBorders>
                  <w:shd w:val="clear" w:color="auto" w:fill="auto"/>
                  <w:noWrap/>
                  <w:vAlign w:val="bottom"/>
                  <w:hideMark/>
                </w:tcPr>
                <w:p w14:paraId="1D0A6EFF" w14:textId="77777777" w:rsidR="00BE21F9" w:rsidRPr="00D214CF" w:rsidRDefault="00BE21F9" w:rsidP="006B348F">
                  <w:pPr>
                    <w:rPr>
                      <w:rFonts w:asciiTheme="minorHAnsi" w:hAnsiTheme="minorHAnsi" w:cstheme="minorHAnsi"/>
                      <w:color w:val="000000"/>
                      <w:sz w:val="18"/>
                      <w:szCs w:val="18"/>
                    </w:rPr>
                  </w:pPr>
                </w:p>
              </w:tc>
              <w:tc>
                <w:tcPr>
                  <w:tcW w:w="993" w:type="dxa"/>
                  <w:tcBorders>
                    <w:top w:val="nil"/>
                    <w:left w:val="nil"/>
                    <w:bottom w:val="single" w:sz="4" w:space="0" w:color="BFBFBF" w:themeColor="background2"/>
                    <w:right w:val="nil"/>
                  </w:tcBorders>
                  <w:shd w:val="clear" w:color="auto" w:fill="auto"/>
                  <w:noWrap/>
                  <w:vAlign w:val="bottom"/>
                  <w:hideMark/>
                </w:tcPr>
                <w:p w14:paraId="1D0A6F00" w14:textId="353AA27F" w:rsidR="00BE21F9" w:rsidRPr="005C68E1" w:rsidRDefault="00BE21F9" w:rsidP="005C68E1">
                  <w:pPr>
                    <w:pStyle w:val="TableColumnHeading"/>
                    <w:rPr>
                      <w:i w:val="0"/>
                      <w:sz w:val="16"/>
                    </w:rPr>
                  </w:pPr>
                  <w:r w:rsidRPr="005C68E1">
                    <w:rPr>
                      <w:i w:val="0"/>
                      <w:sz w:val="16"/>
                    </w:rPr>
                    <w:t>2000</w:t>
                  </w:r>
                  <w:r w:rsidR="005C68E1" w:rsidRPr="005C68E1">
                    <w:rPr>
                      <w:i w:val="0"/>
                      <w:sz w:val="16"/>
                    </w:rPr>
                    <w:t>–</w:t>
                  </w:r>
                  <w:r w:rsidRPr="005C68E1">
                    <w:rPr>
                      <w:i w:val="0"/>
                      <w:sz w:val="16"/>
                    </w:rPr>
                    <w:t>05</w:t>
                  </w:r>
                </w:p>
              </w:tc>
              <w:tc>
                <w:tcPr>
                  <w:tcW w:w="1134" w:type="dxa"/>
                  <w:tcBorders>
                    <w:top w:val="nil"/>
                    <w:left w:val="nil"/>
                    <w:bottom w:val="single" w:sz="4" w:space="0" w:color="BFBFBF" w:themeColor="background2"/>
                    <w:right w:val="nil"/>
                  </w:tcBorders>
                  <w:shd w:val="clear" w:color="auto" w:fill="auto"/>
                  <w:noWrap/>
                  <w:vAlign w:val="bottom"/>
                  <w:hideMark/>
                </w:tcPr>
                <w:p w14:paraId="1D0A6F01" w14:textId="612C04BD" w:rsidR="00BE21F9" w:rsidRPr="005C68E1" w:rsidRDefault="00BE21F9" w:rsidP="005C68E1">
                  <w:pPr>
                    <w:pStyle w:val="TableColumnHeading"/>
                    <w:rPr>
                      <w:i w:val="0"/>
                      <w:sz w:val="16"/>
                    </w:rPr>
                  </w:pPr>
                  <w:r w:rsidRPr="005C68E1">
                    <w:rPr>
                      <w:i w:val="0"/>
                      <w:sz w:val="16"/>
                    </w:rPr>
                    <w:t>2005</w:t>
                  </w:r>
                  <w:r w:rsidR="005C68E1" w:rsidRPr="005C68E1">
                    <w:rPr>
                      <w:i w:val="0"/>
                      <w:sz w:val="16"/>
                    </w:rPr>
                    <w:t>–</w:t>
                  </w:r>
                  <w:r w:rsidRPr="005C68E1">
                    <w:rPr>
                      <w:i w:val="0"/>
                      <w:sz w:val="16"/>
                    </w:rPr>
                    <w:t>10</w:t>
                  </w:r>
                </w:p>
              </w:tc>
              <w:tc>
                <w:tcPr>
                  <w:tcW w:w="1134" w:type="dxa"/>
                  <w:tcBorders>
                    <w:top w:val="nil"/>
                    <w:left w:val="nil"/>
                    <w:bottom w:val="single" w:sz="4" w:space="0" w:color="BFBFBF" w:themeColor="background2"/>
                    <w:right w:val="nil"/>
                  </w:tcBorders>
                  <w:shd w:val="clear" w:color="auto" w:fill="auto"/>
                  <w:noWrap/>
                  <w:vAlign w:val="bottom"/>
                  <w:hideMark/>
                </w:tcPr>
                <w:p w14:paraId="1D0A6F02" w14:textId="34437EB5" w:rsidR="00BE21F9" w:rsidRPr="005C68E1" w:rsidRDefault="00BE21F9" w:rsidP="005C68E1">
                  <w:pPr>
                    <w:pStyle w:val="TableColumnHeading"/>
                    <w:rPr>
                      <w:i w:val="0"/>
                      <w:sz w:val="16"/>
                    </w:rPr>
                  </w:pPr>
                  <w:r w:rsidRPr="005C68E1">
                    <w:rPr>
                      <w:i w:val="0"/>
                      <w:sz w:val="16"/>
                    </w:rPr>
                    <w:t>2010</w:t>
                  </w:r>
                  <w:r w:rsidR="005C68E1" w:rsidRPr="005C68E1">
                    <w:rPr>
                      <w:i w:val="0"/>
                      <w:sz w:val="16"/>
                    </w:rPr>
                    <w:t>–</w:t>
                  </w:r>
                  <w:r w:rsidR="00B423F1" w:rsidRPr="005C68E1">
                    <w:rPr>
                      <w:i w:val="0"/>
                      <w:sz w:val="16"/>
                    </w:rPr>
                    <w:t>16</w:t>
                  </w:r>
                </w:p>
              </w:tc>
              <w:tc>
                <w:tcPr>
                  <w:tcW w:w="1842" w:type="dxa"/>
                  <w:tcBorders>
                    <w:top w:val="nil"/>
                    <w:left w:val="nil"/>
                    <w:bottom w:val="single" w:sz="4" w:space="0" w:color="BFBFBF" w:themeColor="background2"/>
                    <w:right w:val="nil"/>
                  </w:tcBorders>
                  <w:shd w:val="clear" w:color="auto" w:fill="auto"/>
                  <w:noWrap/>
                  <w:vAlign w:val="bottom"/>
                  <w:hideMark/>
                </w:tcPr>
                <w:p w14:paraId="1D0A6F03" w14:textId="2C792444" w:rsidR="00BE21F9" w:rsidRPr="005C68E1" w:rsidRDefault="00BE21F9" w:rsidP="005C68E1">
                  <w:pPr>
                    <w:pStyle w:val="TableColumnHeading"/>
                    <w:rPr>
                      <w:i w:val="0"/>
                      <w:sz w:val="16"/>
                    </w:rPr>
                  </w:pPr>
                  <w:r w:rsidRPr="005C68E1">
                    <w:rPr>
                      <w:i w:val="0"/>
                      <w:sz w:val="16"/>
                    </w:rPr>
                    <w:t>2000</w:t>
                  </w:r>
                  <w:r w:rsidR="00EE434A" w:rsidRPr="005C68E1">
                    <w:rPr>
                      <w:i w:val="0"/>
                      <w:sz w:val="16"/>
                    </w:rPr>
                    <w:t>–</w:t>
                  </w:r>
                  <w:r w:rsidRPr="005C68E1">
                    <w:rPr>
                      <w:i w:val="0"/>
                      <w:sz w:val="16"/>
                    </w:rPr>
                    <w:t>05 to 2005</w:t>
                  </w:r>
                  <w:r w:rsidR="005C68E1" w:rsidRPr="005C68E1">
                    <w:rPr>
                      <w:i w:val="0"/>
                      <w:sz w:val="16"/>
                    </w:rPr>
                    <w:t>–</w:t>
                  </w:r>
                  <w:r w:rsidRPr="005C68E1">
                    <w:rPr>
                      <w:i w:val="0"/>
                      <w:sz w:val="16"/>
                    </w:rPr>
                    <w:t>10</w:t>
                  </w:r>
                </w:p>
              </w:tc>
              <w:tc>
                <w:tcPr>
                  <w:tcW w:w="1843" w:type="dxa"/>
                  <w:tcBorders>
                    <w:top w:val="nil"/>
                    <w:left w:val="nil"/>
                    <w:bottom w:val="single" w:sz="4" w:space="0" w:color="BFBFBF" w:themeColor="background2"/>
                    <w:right w:val="nil"/>
                  </w:tcBorders>
                  <w:shd w:val="clear" w:color="auto" w:fill="auto"/>
                  <w:noWrap/>
                  <w:vAlign w:val="bottom"/>
                  <w:hideMark/>
                </w:tcPr>
                <w:p w14:paraId="1D0A6F04" w14:textId="68A36B1B" w:rsidR="00BE21F9" w:rsidRPr="005C68E1" w:rsidRDefault="00BE21F9" w:rsidP="005C68E1">
                  <w:pPr>
                    <w:pStyle w:val="TableColumnHeading"/>
                    <w:rPr>
                      <w:i w:val="0"/>
                      <w:sz w:val="16"/>
                    </w:rPr>
                  </w:pPr>
                  <w:r w:rsidRPr="005C68E1">
                    <w:rPr>
                      <w:i w:val="0"/>
                      <w:sz w:val="16"/>
                    </w:rPr>
                    <w:t>2005</w:t>
                  </w:r>
                  <w:r w:rsidR="00EE434A" w:rsidRPr="005C68E1">
                    <w:rPr>
                      <w:i w:val="0"/>
                      <w:sz w:val="16"/>
                    </w:rPr>
                    <w:t>–</w:t>
                  </w:r>
                  <w:r w:rsidRPr="005C68E1">
                    <w:rPr>
                      <w:i w:val="0"/>
                      <w:sz w:val="16"/>
                    </w:rPr>
                    <w:t>10 to 2010</w:t>
                  </w:r>
                  <w:r w:rsidR="005C68E1" w:rsidRPr="005C68E1">
                    <w:rPr>
                      <w:i w:val="0"/>
                      <w:sz w:val="16"/>
                    </w:rPr>
                    <w:t>–</w:t>
                  </w:r>
                  <w:r w:rsidR="00B423F1" w:rsidRPr="005C68E1">
                    <w:rPr>
                      <w:i w:val="0"/>
                      <w:sz w:val="16"/>
                    </w:rPr>
                    <w:t>16</w:t>
                  </w:r>
                </w:p>
              </w:tc>
            </w:tr>
            <w:tr w:rsidR="00B423F1" w:rsidRPr="00D214CF" w14:paraId="1D0A6F0C" w14:textId="77777777" w:rsidTr="00A02E1D">
              <w:trPr>
                <w:trHeight w:val="288"/>
              </w:trPr>
              <w:tc>
                <w:tcPr>
                  <w:tcW w:w="1537" w:type="dxa"/>
                  <w:tcBorders>
                    <w:top w:val="nil"/>
                    <w:left w:val="nil"/>
                    <w:bottom w:val="nil"/>
                    <w:right w:val="nil"/>
                  </w:tcBorders>
                  <w:shd w:val="clear" w:color="auto" w:fill="auto"/>
                  <w:noWrap/>
                  <w:vAlign w:val="bottom"/>
                  <w:hideMark/>
                </w:tcPr>
                <w:p w14:paraId="1D0A6F06" w14:textId="77777777" w:rsidR="00B423F1" w:rsidRPr="00D214CF" w:rsidRDefault="00B423F1" w:rsidP="00B423F1">
                  <w:pPr>
                    <w:rPr>
                      <w:rFonts w:asciiTheme="minorHAnsi" w:hAnsiTheme="minorHAnsi" w:cstheme="minorHAnsi"/>
                      <w:color w:val="000000"/>
                      <w:sz w:val="18"/>
                      <w:szCs w:val="18"/>
                    </w:rPr>
                  </w:pPr>
                  <w:r w:rsidRPr="00D214CF">
                    <w:rPr>
                      <w:rFonts w:asciiTheme="minorHAnsi" w:hAnsiTheme="minorHAnsi" w:cstheme="minorHAnsi"/>
                      <w:color w:val="000000"/>
                      <w:sz w:val="18"/>
                      <w:szCs w:val="18"/>
                    </w:rPr>
                    <w:t>Canada</w:t>
                  </w:r>
                </w:p>
              </w:tc>
              <w:tc>
                <w:tcPr>
                  <w:tcW w:w="993" w:type="dxa"/>
                  <w:tcBorders>
                    <w:top w:val="single" w:sz="4" w:space="0" w:color="BFBFBF" w:themeColor="background2"/>
                    <w:left w:val="nil"/>
                    <w:bottom w:val="nil"/>
                    <w:right w:val="nil"/>
                  </w:tcBorders>
                  <w:shd w:val="clear" w:color="auto" w:fill="auto"/>
                  <w:noWrap/>
                  <w:vAlign w:val="bottom"/>
                  <w:hideMark/>
                </w:tcPr>
                <w:p w14:paraId="1D0A6F07" w14:textId="77777777" w:rsidR="00B423F1" w:rsidRPr="00D214CF" w:rsidRDefault="00B423F1" w:rsidP="00B423F1">
                  <w:pPr>
                    <w:jc w:val="right"/>
                    <w:rPr>
                      <w:rFonts w:asciiTheme="minorHAnsi" w:hAnsiTheme="minorHAnsi" w:cstheme="minorHAnsi"/>
                      <w:color w:val="000000"/>
                      <w:sz w:val="18"/>
                      <w:szCs w:val="18"/>
                    </w:rPr>
                  </w:pPr>
                  <w:r w:rsidRPr="00B423F1">
                    <w:rPr>
                      <w:rFonts w:asciiTheme="minorHAnsi" w:hAnsiTheme="minorHAnsi" w:cstheme="minorHAnsi"/>
                      <w:color w:val="000000"/>
                      <w:sz w:val="18"/>
                      <w:szCs w:val="18"/>
                    </w:rPr>
                    <w:t>0.00</w:t>
                  </w:r>
                </w:p>
              </w:tc>
              <w:tc>
                <w:tcPr>
                  <w:tcW w:w="1134" w:type="dxa"/>
                  <w:tcBorders>
                    <w:top w:val="single" w:sz="4" w:space="0" w:color="BFBFBF" w:themeColor="background2"/>
                    <w:left w:val="nil"/>
                    <w:bottom w:val="nil"/>
                    <w:right w:val="nil"/>
                  </w:tcBorders>
                  <w:shd w:val="clear" w:color="auto" w:fill="auto"/>
                  <w:noWrap/>
                  <w:vAlign w:val="bottom"/>
                  <w:hideMark/>
                </w:tcPr>
                <w:p w14:paraId="1D0A6F08" w14:textId="0CD31746" w:rsidR="00B423F1" w:rsidRPr="00D214CF" w:rsidRDefault="00EE434A" w:rsidP="00B423F1">
                  <w:pPr>
                    <w:jc w:val="right"/>
                    <w:rPr>
                      <w:rFonts w:asciiTheme="minorHAnsi" w:hAnsiTheme="minorHAnsi" w:cstheme="minorHAnsi"/>
                      <w:color w:val="000000"/>
                      <w:sz w:val="18"/>
                      <w:szCs w:val="18"/>
                    </w:rPr>
                  </w:pPr>
                  <w:r>
                    <w:rPr>
                      <w:rFonts w:asciiTheme="minorHAnsi" w:hAnsiTheme="minorHAnsi" w:cstheme="minorHAnsi"/>
                      <w:color w:val="000000"/>
                      <w:sz w:val="18"/>
                      <w:szCs w:val="18"/>
                    </w:rPr>
                    <w:noBreakHyphen/>
                  </w:r>
                  <w:r w:rsidR="00B423F1" w:rsidRPr="00B423F1">
                    <w:rPr>
                      <w:rFonts w:asciiTheme="minorHAnsi" w:hAnsiTheme="minorHAnsi" w:cstheme="minorHAnsi"/>
                      <w:color w:val="000000"/>
                      <w:sz w:val="18"/>
                      <w:szCs w:val="18"/>
                    </w:rPr>
                    <w:t>0.90</w:t>
                  </w:r>
                </w:p>
              </w:tc>
              <w:tc>
                <w:tcPr>
                  <w:tcW w:w="1134" w:type="dxa"/>
                  <w:tcBorders>
                    <w:top w:val="single" w:sz="4" w:space="0" w:color="BFBFBF" w:themeColor="background2"/>
                    <w:left w:val="nil"/>
                    <w:bottom w:val="nil"/>
                    <w:right w:val="nil"/>
                  </w:tcBorders>
                  <w:shd w:val="clear" w:color="auto" w:fill="auto"/>
                  <w:noWrap/>
                  <w:vAlign w:val="bottom"/>
                  <w:hideMark/>
                </w:tcPr>
                <w:p w14:paraId="1D0A6F09" w14:textId="77777777" w:rsidR="00B423F1" w:rsidRPr="00D214CF" w:rsidRDefault="00B423F1" w:rsidP="00B423F1">
                  <w:pPr>
                    <w:jc w:val="right"/>
                    <w:rPr>
                      <w:rFonts w:asciiTheme="minorHAnsi" w:hAnsiTheme="minorHAnsi" w:cstheme="minorHAnsi"/>
                      <w:color w:val="000000"/>
                      <w:sz w:val="18"/>
                      <w:szCs w:val="18"/>
                    </w:rPr>
                  </w:pPr>
                  <w:r w:rsidRPr="00B423F1">
                    <w:rPr>
                      <w:rFonts w:asciiTheme="minorHAnsi" w:hAnsiTheme="minorHAnsi" w:cstheme="minorHAnsi"/>
                      <w:color w:val="000000"/>
                      <w:sz w:val="18"/>
                      <w:szCs w:val="18"/>
                    </w:rPr>
                    <w:t>0.13</w:t>
                  </w:r>
                </w:p>
              </w:tc>
              <w:tc>
                <w:tcPr>
                  <w:tcW w:w="1842" w:type="dxa"/>
                  <w:tcBorders>
                    <w:top w:val="single" w:sz="4" w:space="0" w:color="BFBFBF" w:themeColor="background2"/>
                    <w:left w:val="nil"/>
                    <w:bottom w:val="nil"/>
                    <w:right w:val="nil"/>
                  </w:tcBorders>
                  <w:shd w:val="clear" w:color="auto" w:fill="auto"/>
                  <w:noWrap/>
                  <w:vAlign w:val="bottom"/>
                  <w:hideMark/>
                </w:tcPr>
                <w:p w14:paraId="1D0A6F0A" w14:textId="77777777" w:rsidR="00B423F1" w:rsidRPr="00B423F1" w:rsidRDefault="00B423F1" w:rsidP="00B423F1">
                  <w:pPr>
                    <w:jc w:val="right"/>
                    <w:rPr>
                      <w:rFonts w:asciiTheme="minorHAnsi" w:hAnsiTheme="minorHAnsi" w:cstheme="minorHAnsi"/>
                      <w:color w:val="C00000"/>
                      <w:sz w:val="18"/>
                      <w:szCs w:val="18"/>
                    </w:rPr>
                  </w:pPr>
                  <w:r w:rsidRPr="00B423F1">
                    <w:rPr>
                      <w:rFonts w:asciiTheme="minorHAnsi" w:hAnsiTheme="minorHAnsi" w:cstheme="minorHAnsi"/>
                      <w:color w:val="C00000"/>
                      <w:sz w:val="18"/>
                      <w:szCs w:val="18"/>
                    </w:rPr>
                    <w:t>-0.91</w:t>
                  </w:r>
                </w:p>
              </w:tc>
              <w:tc>
                <w:tcPr>
                  <w:tcW w:w="1843" w:type="dxa"/>
                  <w:tcBorders>
                    <w:top w:val="single" w:sz="4" w:space="0" w:color="BFBFBF" w:themeColor="background2"/>
                    <w:left w:val="nil"/>
                    <w:bottom w:val="nil"/>
                    <w:right w:val="nil"/>
                  </w:tcBorders>
                  <w:shd w:val="clear" w:color="auto" w:fill="auto"/>
                  <w:noWrap/>
                  <w:vAlign w:val="bottom"/>
                  <w:hideMark/>
                </w:tcPr>
                <w:p w14:paraId="1D0A6F0B" w14:textId="77777777" w:rsidR="00B423F1" w:rsidRPr="00B423F1" w:rsidRDefault="00B423F1" w:rsidP="00B423F1">
                  <w:pPr>
                    <w:jc w:val="right"/>
                    <w:rPr>
                      <w:rFonts w:asciiTheme="minorHAnsi" w:hAnsiTheme="minorHAnsi" w:cstheme="minorHAnsi"/>
                      <w:color w:val="78A22F"/>
                      <w:sz w:val="18"/>
                      <w:szCs w:val="18"/>
                    </w:rPr>
                  </w:pPr>
                  <w:r w:rsidRPr="00B423F1">
                    <w:rPr>
                      <w:rFonts w:asciiTheme="minorHAnsi" w:hAnsiTheme="minorHAnsi" w:cstheme="minorHAnsi"/>
                      <w:color w:val="78A22F"/>
                      <w:sz w:val="18"/>
                      <w:szCs w:val="18"/>
                    </w:rPr>
                    <w:t>1.03</w:t>
                  </w:r>
                </w:p>
              </w:tc>
            </w:tr>
            <w:tr w:rsidR="00B423F1" w:rsidRPr="00D214CF" w14:paraId="1D0A6F13" w14:textId="77777777" w:rsidTr="00646DD1">
              <w:trPr>
                <w:trHeight w:val="288"/>
              </w:trPr>
              <w:tc>
                <w:tcPr>
                  <w:tcW w:w="1537" w:type="dxa"/>
                  <w:tcBorders>
                    <w:top w:val="nil"/>
                    <w:left w:val="nil"/>
                    <w:bottom w:val="nil"/>
                    <w:right w:val="nil"/>
                  </w:tcBorders>
                  <w:shd w:val="clear" w:color="auto" w:fill="auto"/>
                  <w:noWrap/>
                  <w:vAlign w:val="bottom"/>
                  <w:hideMark/>
                </w:tcPr>
                <w:p w14:paraId="1D0A6F0D" w14:textId="77777777" w:rsidR="00B423F1" w:rsidRPr="00D214CF" w:rsidRDefault="00B423F1" w:rsidP="00B423F1">
                  <w:pPr>
                    <w:rPr>
                      <w:rFonts w:asciiTheme="minorHAnsi" w:hAnsiTheme="minorHAnsi" w:cstheme="minorHAnsi"/>
                      <w:color w:val="000000"/>
                      <w:sz w:val="18"/>
                      <w:szCs w:val="18"/>
                    </w:rPr>
                  </w:pPr>
                  <w:r w:rsidRPr="00D214CF">
                    <w:rPr>
                      <w:rFonts w:asciiTheme="minorHAnsi" w:hAnsiTheme="minorHAnsi" w:cstheme="minorHAnsi"/>
                      <w:color w:val="000000"/>
                      <w:sz w:val="18"/>
                      <w:szCs w:val="18"/>
                    </w:rPr>
                    <w:t>United States</w:t>
                  </w:r>
                </w:p>
              </w:tc>
              <w:tc>
                <w:tcPr>
                  <w:tcW w:w="993" w:type="dxa"/>
                  <w:tcBorders>
                    <w:top w:val="nil"/>
                    <w:left w:val="nil"/>
                    <w:bottom w:val="nil"/>
                    <w:right w:val="nil"/>
                  </w:tcBorders>
                  <w:shd w:val="clear" w:color="auto" w:fill="auto"/>
                  <w:noWrap/>
                  <w:vAlign w:val="bottom"/>
                  <w:hideMark/>
                </w:tcPr>
                <w:p w14:paraId="1D0A6F0E" w14:textId="77777777" w:rsidR="00B423F1" w:rsidRPr="00D214CF" w:rsidRDefault="00B423F1" w:rsidP="00B423F1">
                  <w:pPr>
                    <w:jc w:val="right"/>
                    <w:rPr>
                      <w:rFonts w:asciiTheme="minorHAnsi" w:hAnsiTheme="minorHAnsi" w:cstheme="minorHAnsi"/>
                      <w:color w:val="000000"/>
                      <w:sz w:val="18"/>
                      <w:szCs w:val="18"/>
                    </w:rPr>
                  </w:pPr>
                  <w:r w:rsidRPr="00B423F1">
                    <w:rPr>
                      <w:rFonts w:asciiTheme="minorHAnsi" w:hAnsiTheme="minorHAnsi" w:cstheme="minorHAnsi"/>
                      <w:color w:val="000000"/>
                      <w:sz w:val="18"/>
                      <w:szCs w:val="18"/>
                    </w:rPr>
                    <w:t>1.16</w:t>
                  </w:r>
                </w:p>
              </w:tc>
              <w:tc>
                <w:tcPr>
                  <w:tcW w:w="1134" w:type="dxa"/>
                  <w:tcBorders>
                    <w:top w:val="nil"/>
                    <w:left w:val="nil"/>
                    <w:bottom w:val="nil"/>
                    <w:right w:val="nil"/>
                  </w:tcBorders>
                  <w:shd w:val="clear" w:color="auto" w:fill="auto"/>
                  <w:noWrap/>
                  <w:vAlign w:val="bottom"/>
                  <w:hideMark/>
                </w:tcPr>
                <w:p w14:paraId="1D0A6F0F" w14:textId="77777777" w:rsidR="00B423F1" w:rsidRPr="00D214CF" w:rsidRDefault="00B423F1" w:rsidP="00B423F1">
                  <w:pPr>
                    <w:jc w:val="right"/>
                    <w:rPr>
                      <w:rFonts w:asciiTheme="minorHAnsi" w:hAnsiTheme="minorHAnsi" w:cstheme="minorHAnsi"/>
                      <w:color w:val="000000"/>
                      <w:sz w:val="18"/>
                      <w:szCs w:val="18"/>
                    </w:rPr>
                  </w:pPr>
                  <w:r w:rsidRPr="00B423F1">
                    <w:rPr>
                      <w:rFonts w:asciiTheme="minorHAnsi" w:hAnsiTheme="minorHAnsi" w:cstheme="minorHAnsi"/>
                      <w:color w:val="000000"/>
                      <w:sz w:val="18"/>
                      <w:szCs w:val="18"/>
                    </w:rPr>
                    <w:t>-0.04</w:t>
                  </w:r>
                </w:p>
              </w:tc>
              <w:tc>
                <w:tcPr>
                  <w:tcW w:w="1134" w:type="dxa"/>
                  <w:tcBorders>
                    <w:top w:val="nil"/>
                    <w:left w:val="nil"/>
                    <w:bottom w:val="nil"/>
                    <w:right w:val="nil"/>
                  </w:tcBorders>
                  <w:shd w:val="clear" w:color="auto" w:fill="auto"/>
                  <w:noWrap/>
                  <w:vAlign w:val="bottom"/>
                  <w:hideMark/>
                </w:tcPr>
                <w:p w14:paraId="1D0A6F10" w14:textId="77777777" w:rsidR="00B423F1" w:rsidRPr="00D214CF" w:rsidRDefault="00B423F1" w:rsidP="00B423F1">
                  <w:pPr>
                    <w:jc w:val="right"/>
                    <w:rPr>
                      <w:rFonts w:asciiTheme="minorHAnsi" w:hAnsiTheme="minorHAnsi" w:cstheme="minorHAnsi"/>
                      <w:color w:val="000000"/>
                      <w:sz w:val="18"/>
                      <w:szCs w:val="18"/>
                    </w:rPr>
                  </w:pPr>
                  <w:r w:rsidRPr="00B423F1">
                    <w:rPr>
                      <w:rFonts w:asciiTheme="minorHAnsi" w:hAnsiTheme="minorHAnsi" w:cstheme="minorHAnsi"/>
                      <w:color w:val="000000"/>
                      <w:sz w:val="18"/>
                      <w:szCs w:val="18"/>
                    </w:rPr>
                    <w:t>0.02</w:t>
                  </w:r>
                </w:p>
              </w:tc>
              <w:tc>
                <w:tcPr>
                  <w:tcW w:w="1842" w:type="dxa"/>
                  <w:tcBorders>
                    <w:top w:val="nil"/>
                    <w:left w:val="nil"/>
                    <w:bottom w:val="nil"/>
                    <w:right w:val="nil"/>
                  </w:tcBorders>
                  <w:shd w:val="clear" w:color="auto" w:fill="auto"/>
                  <w:noWrap/>
                  <w:vAlign w:val="bottom"/>
                  <w:hideMark/>
                </w:tcPr>
                <w:p w14:paraId="1D0A6F11" w14:textId="77777777" w:rsidR="00B423F1" w:rsidRPr="00B423F1" w:rsidRDefault="00B423F1" w:rsidP="00B423F1">
                  <w:pPr>
                    <w:jc w:val="right"/>
                    <w:rPr>
                      <w:rFonts w:asciiTheme="minorHAnsi" w:hAnsiTheme="minorHAnsi" w:cstheme="minorHAnsi"/>
                      <w:color w:val="C00000"/>
                      <w:sz w:val="18"/>
                      <w:szCs w:val="18"/>
                    </w:rPr>
                  </w:pPr>
                  <w:r w:rsidRPr="00B423F1">
                    <w:rPr>
                      <w:rFonts w:asciiTheme="minorHAnsi" w:hAnsiTheme="minorHAnsi" w:cstheme="minorHAnsi"/>
                      <w:color w:val="C00000"/>
                      <w:sz w:val="18"/>
                      <w:szCs w:val="18"/>
                    </w:rPr>
                    <w:t>-1.20</w:t>
                  </w:r>
                </w:p>
              </w:tc>
              <w:tc>
                <w:tcPr>
                  <w:tcW w:w="1843" w:type="dxa"/>
                  <w:tcBorders>
                    <w:top w:val="nil"/>
                    <w:left w:val="nil"/>
                    <w:bottom w:val="nil"/>
                    <w:right w:val="nil"/>
                  </w:tcBorders>
                  <w:shd w:val="clear" w:color="auto" w:fill="auto"/>
                  <w:noWrap/>
                  <w:vAlign w:val="bottom"/>
                  <w:hideMark/>
                </w:tcPr>
                <w:p w14:paraId="1D0A6F12" w14:textId="77777777" w:rsidR="00B423F1" w:rsidRPr="00B423F1" w:rsidRDefault="00B423F1" w:rsidP="00B423F1">
                  <w:pPr>
                    <w:jc w:val="right"/>
                    <w:rPr>
                      <w:rFonts w:asciiTheme="minorHAnsi" w:hAnsiTheme="minorHAnsi" w:cstheme="minorHAnsi"/>
                      <w:color w:val="78A22F"/>
                      <w:sz w:val="18"/>
                      <w:szCs w:val="18"/>
                    </w:rPr>
                  </w:pPr>
                  <w:r w:rsidRPr="00B423F1">
                    <w:rPr>
                      <w:rFonts w:asciiTheme="minorHAnsi" w:hAnsiTheme="minorHAnsi" w:cstheme="minorHAnsi"/>
                      <w:color w:val="78A22F"/>
                      <w:sz w:val="18"/>
                      <w:szCs w:val="18"/>
                    </w:rPr>
                    <w:t>0.06</w:t>
                  </w:r>
                </w:p>
              </w:tc>
            </w:tr>
            <w:tr w:rsidR="00B423F1" w:rsidRPr="00D214CF" w14:paraId="1D0A6F1A" w14:textId="77777777" w:rsidTr="00646DD1">
              <w:trPr>
                <w:trHeight w:val="288"/>
              </w:trPr>
              <w:tc>
                <w:tcPr>
                  <w:tcW w:w="1537" w:type="dxa"/>
                  <w:tcBorders>
                    <w:top w:val="nil"/>
                    <w:left w:val="nil"/>
                    <w:bottom w:val="nil"/>
                    <w:right w:val="nil"/>
                  </w:tcBorders>
                  <w:shd w:val="clear" w:color="auto" w:fill="auto"/>
                  <w:noWrap/>
                  <w:vAlign w:val="bottom"/>
                  <w:hideMark/>
                </w:tcPr>
                <w:p w14:paraId="1D0A6F14" w14:textId="77777777" w:rsidR="00B423F1" w:rsidRPr="00D214CF" w:rsidRDefault="00B423F1" w:rsidP="00B423F1">
                  <w:pPr>
                    <w:rPr>
                      <w:rFonts w:asciiTheme="minorHAnsi" w:hAnsiTheme="minorHAnsi" w:cstheme="minorHAnsi"/>
                      <w:i/>
                      <w:iCs/>
                      <w:color w:val="000000"/>
                      <w:sz w:val="18"/>
                      <w:szCs w:val="18"/>
                    </w:rPr>
                  </w:pPr>
                  <w:r w:rsidRPr="00D214CF">
                    <w:rPr>
                      <w:rFonts w:asciiTheme="minorHAnsi" w:hAnsiTheme="minorHAnsi" w:cstheme="minorHAnsi"/>
                      <w:i/>
                      <w:iCs/>
                      <w:color w:val="000000"/>
                      <w:sz w:val="18"/>
                      <w:szCs w:val="18"/>
                    </w:rPr>
                    <w:t>Australia</w:t>
                  </w:r>
                </w:p>
              </w:tc>
              <w:tc>
                <w:tcPr>
                  <w:tcW w:w="993" w:type="dxa"/>
                  <w:tcBorders>
                    <w:top w:val="nil"/>
                    <w:left w:val="nil"/>
                    <w:bottom w:val="nil"/>
                    <w:right w:val="nil"/>
                  </w:tcBorders>
                  <w:shd w:val="clear" w:color="auto" w:fill="auto"/>
                  <w:noWrap/>
                  <w:vAlign w:val="bottom"/>
                  <w:hideMark/>
                </w:tcPr>
                <w:p w14:paraId="1D0A6F15" w14:textId="77777777" w:rsidR="00B423F1" w:rsidRPr="00B423F1" w:rsidRDefault="00B423F1" w:rsidP="00B423F1">
                  <w:pPr>
                    <w:jc w:val="right"/>
                    <w:rPr>
                      <w:rFonts w:asciiTheme="minorHAnsi" w:hAnsiTheme="minorHAnsi" w:cstheme="minorHAnsi"/>
                      <w:color w:val="000000"/>
                      <w:sz w:val="18"/>
                      <w:szCs w:val="18"/>
                    </w:rPr>
                  </w:pPr>
                  <w:r w:rsidRPr="00B423F1">
                    <w:rPr>
                      <w:rFonts w:asciiTheme="minorHAnsi" w:hAnsiTheme="minorHAnsi" w:cstheme="minorHAnsi"/>
                      <w:color w:val="000000"/>
                      <w:sz w:val="18"/>
                      <w:szCs w:val="18"/>
                    </w:rPr>
                    <w:t>0.04</w:t>
                  </w:r>
                </w:p>
              </w:tc>
              <w:tc>
                <w:tcPr>
                  <w:tcW w:w="1134" w:type="dxa"/>
                  <w:tcBorders>
                    <w:top w:val="nil"/>
                    <w:left w:val="nil"/>
                    <w:bottom w:val="nil"/>
                    <w:right w:val="nil"/>
                  </w:tcBorders>
                  <w:shd w:val="clear" w:color="auto" w:fill="auto"/>
                  <w:noWrap/>
                  <w:vAlign w:val="bottom"/>
                  <w:hideMark/>
                </w:tcPr>
                <w:p w14:paraId="1D0A6F16" w14:textId="77777777" w:rsidR="00B423F1" w:rsidRPr="00B423F1" w:rsidRDefault="00B423F1" w:rsidP="00B423F1">
                  <w:pPr>
                    <w:jc w:val="right"/>
                    <w:rPr>
                      <w:rFonts w:asciiTheme="minorHAnsi" w:hAnsiTheme="minorHAnsi" w:cstheme="minorHAnsi"/>
                      <w:color w:val="000000"/>
                      <w:sz w:val="18"/>
                      <w:szCs w:val="18"/>
                    </w:rPr>
                  </w:pPr>
                  <w:r w:rsidRPr="00B423F1">
                    <w:rPr>
                      <w:rFonts w:asciiTheme="minorHAnsi" w:hAnsiTheme="minorHAnsi" w:cstheme="minorHAnsi"/>
                      <w:color w:val="000000"/>
                      <w:sz w:val="18"/>
                      <w:szCs w:val="18"/>
                    </w:rPr>
                    <w:t>-0.81</w:t>
                  </w:r>
                </w:p>
              </w:tc>
              <w:tc>
                <w:tcPr>
                  <w:tcW w:w="1134" w:type="dxa"/>
                  <w:tcBorders>
                    <w:top w:val="nil"/>
                    <w:left w:val="nil"/>
                    <w:bottom w:val="nil"/>
                    <w:right w:val="nil"/>
                  </w:tcBorders>
                  <w:shd w:val="clear" w:color="auto" w:fill="auto"/>
                  <w:noWrap/>
                  <w:vAlign w:val="bottom"/>
                  <w:hideMark/>
                </w:tcPr>
                <w:p w14:paraId="1D0A6F17" w14:textId="77777777" w:rsidR="00B423F1" w:rsidRPr="00B423F1" w:rsidRDefault="00B423F1" w:rsidP="00B423F1">
                  <w:pPr>
                    <w:jc w:val="right"/>
                    <w:rPr>
                      <w:rFonts w:asciiTheme="minorHAnsi" w:hAnsiTheme="minorHAnsi" w:cstheme="minorHAnsi"/>
                      <w:color w:val="000000"/>
                      <w:sz w:val="18"/>
                      <w:szCs w:val="18"/>
                    </w:rPr>
                  </w:pPr>
                  <w:r w:rsidRPr="00B423F1">
                    <w:rPr>
                      <w:rFonts w:asciiTheme="minorHAnsi" w:hAnsiTheme="minorHAnsi" w:cstheme="minorHAnsi"/>
                      <w:color w:val="000000"/>
                      <w:sz w:val="18"/>
                      <w:szCs w:val="18"/>
                    </w:rPr>
                    <w:t>-0.01</w:t>
                  </w:r>
                </w:p>
              </w:tc>
              <w:tc>
                <w:tcPr>
                  <w:tcW w:w="1842" w:type="dxa"/>
                  <w:tcBorders>
                    <w:top w:val="nil"/>
                    <w:left w:val="nil"/>
                    <w:bottom w:val="nil"/>
                    <w:right w:val="nil"/>
                  </w:tcBorders>
                  <w:shd w:val="clear" w:color="auto" w:fill="auto"/>
                  <w:noWrap/>
                  <w:vAlign w:val="bottom"/>
                  <w:hideMark/>
                </w:tcPr>
                <w:p w14:paraId="1D0A6F18" w14:textId="77777777" w:rsidR="00B423F1" w:rsidRPr="00B423F1" w:rsidRDefault="00B423F1" w:rsidP="00B423F1">
                  <w:pPr>
                    <w:jc w:val="right"/>
                    <w:rPr>
                      <w:rFonts w:asciiTheme="minorHAnsi" w:hAnsiTheme="minorHAnsi" w:cstheme="minorHAnsi"/>
                      <w:color w:val="C00000"/>
                      <w:sz w:val="18"/>
                      <w:szCs w:val="18"/>
                    </w:rPr>
                  </w:pPr>
                  <w:r w:rsidRPr="00B423F1">
                    <w:rPr>
                      <w:rFonts w:asciiTheme="minorHAnsi" w:hAnsiTheme="minorHAnsi" w:cstheme="minorHAnsi"/>
                      <w:color w:val="C00000"/>
                      <w:sz w:val="18"/>
                      <w:szCs w:val="18"/>
                    </w:rPr>
                    <w:t>-0.85</w:t>
                  </w:r>
                </w:p>
              </w:tc>
              <w:tc>
                <w:tcPr>
                  <w:tcW w:w="1843" w:type="dxa"/>
                  <w:tcBorders>
                    <w:top w:val="nil"/>
                    <w:left w:val="nil"/>
                    <w:bottom w:val="nil"/>
                    <w:right w:val="nil"/>
                  </w:tcBorders>
                  <w:shd w:val="clear" w:color="auto" w:fill="auto"/>
                  <w:noWrap/>
                  <w:vAlign w:val="bottom"/>
                  <w:hideMark/>
                </w:tcPr>
                <w:p w14:paraId="1D0A6F19" w14:textId="77777777" w:rsidR="00B423F1" w:rsidRPr="00B423F1" w:rsidRDefault="00B423F1" w:rsidP="00B423F1">
                  <w:pPr>
                    <w:jc w:val="right"/>
                    <w:rPr>
                      <w:rFonts w:asciiTheme="minorHAnsi" w:hAnsiTheme="minorHAnsi" w:cstheme="minorHAnsi"/>
                      <w:color w:val="78A22F"/>
                      <w:sz w:val="18"/>
                      <w:szCs w:val="18"/>
                    </w:rPr>
                  </w:pPr>
                  <w:r w:rsidRPr="00B423F1">
                    <w:rPr>
                      <w:rFonts w:asciiTheme="minorHAnsi" w:hAnsiTheme="minorHAnsi" w:cstheme="minorHAnsi"/>
                      <w:color w:val="78A22F"/>
                      <w:sz w:val="18"/>
                      <w:szCs w:val="18"/>
                    </w:rPr>
                    <w:t>0.80</w:t>
                  </w:r>
                </w:p>
              </w:tc>
            </w:tr>
            <w:tr w:rsidR="00B423F1" w:rsidRPr="00D214CF" w14:paraId="1D0A6F21" w14:textId="77777777" w:rsidTr="00646DD1">
              <w:trPr>
                <w:trHeight w:val="288"/>
              </w:trPr>
              <w:tc>
                <w:tcPr>
                  <w:tcW w:w="1537" w:type="dxa"/>
                  <w:tcBorders>
                    <w:top w:val="nil"/>
                    <w:left w:val="nil"/>
                    <w:bottom w:val="nil"/>
                    <w:right w:val="nil"/>
                  </w:tcBorders>
                  <w:shd w:val="clear" w:color="auto" w:fill="auto"/>
                  <w:noWrap/>
                  <w:vAlign w:val="bottom"/>
                </w:tcPr>
                <w:p w14:paraId="1D0A6F1B" w14:textId="77777777" w:rsidR="00B423F1" w:rsidRPr="00D214CF" w:rsidRDefault="00B423F1" w:rsidP="00B423F1">
                  <w:pPr>
                    <w:rPr>
                      <w:rFonts w:asciiTheme="minorHAnsi" w:hAnsiTheme="minorHAnsi" w:cstheme="minorHAnsi"/>
                      <w:color w:val="000000"/>
                      <w:sz w:val="18"/>
                      <w:szCs w:val="18"/>
                    </w:rPr>
                  </w:pPr>
                  <w:r>
                    <w:rPr>
                      <w:rFonts w:asciiTheme="minorHAnsi" w:hAnsiTheme="minorHAnsi" w:cstheme="minorHAnsi"/>
                      <w:color w:val="000000"/>
                      <w:sz w:val="18"/>
                      <w:szCs w:val="18"/>
                    </w:rPr>
                    <w:t>Japan</w:t>
                  </w:r>
                </w:p>
              </w:tc>
              <w:tc>
                <w:tcPr>
                  <w:tcW w:w="993" w:type="dxa"/>
                  <w:tcBorders>
                    <w:top w:val="nil"/>
                    <w:left w:val="nil"/>
                    <w:bottom w:val="nil"/>
                    <w:right w:val="nil"/>
                  </w:tcBorders>
                  <w:shd w:val="clear" w:color="auto" w:fill="auto"/>
                  <w:noWrap/>
                  <w:vAlign w:val="bottom"/>
                </w:tcPr>
                <w:p w14:paraId="1D0A6F1C" w14:textId="77777777" w:rsidR="00B423F1" w:rsidRPr="00D214CF" w:rsidRDefault="00B423F1" w:rsidP="00B423F1">
                  <w:pPr>
                    <w:jc w:val="right"/>
                    <w:rPr>
                      <w:rFonts w:asciiTheme="minorHAnsi" w:hAnsiTheme="minorHAnsi" w:cstheme="minorHAnsi"/>
                      <w:color w:val="000000"/>
                      <w:sz w:val="18"/>
                      <w:szCs w:val="18"/>
                    </w:rPr>
                  </w:pPr>
                  <w:r w:rsidRPr="00B423F1">
                    <w:rPr>
                      <w:rFonts w:asciiTheme="minorHAnsi" w:hAnsiTheme="minorHAnsi" w:cstheme="minorHAnsi"/>
                      <w:color w:val="000000"/>
                      <w:sz w:val="18"/>
                      <w:szCs w:val="18"/>
                    </w:rPr>
                    <w:t>-0.15</w:t>
                  </w:r>
                </w:p>
              </w:tc>
              <w:tc>
                <w:tcPr>
                  <w:tcW w:w="1134" w:type="dxa"/>
                  <w:tcBorders>
                    <w:top w:val="nil"/>
                    <w:left w:val="nil"/>
                    <w:bottom w:val="nil"/>
                    <w:right w:val="nil"/>
                  </w:tcBorders>
                  <w:shd w:val="clear" w:color="auto" w:fill="auto"/>
                  <w:noWrap/>
                  <w:vAlign w:val="bottom"/>
                </w:tcPr>
                <w:p w14:paraId="1D0A6F1D" w14:textId="77777777" w:rsidR="00B423F1" w:rsidRPr="00D214CF" w:rsidRDefault="00B423F1" w:rsidP="00B423F1">
                  <w:pPr>
                    <w:jc w:val="right"/>
                    <w:rPr>
                      <w:rFonts w:asciiTheme="minorHAnsi" w:hAnsiTheme="minorHAnsi" w:cstheme="minorHAnsi"/>
                      <w:color w:val="000000"/>
                      <w:sz w:val="18"/>
                      <w:szCs w:val="18"/>
                    </w:rPr>
                  </w:pPr>
                  <w:r w:rsidRPr="00B423F1">
                    <w:rPr>
                      <w:rFonts w:asciiTheme="minorHAnsi" w:hAnsiTheme="minorHAnsi" w:cstheme="minorHAnsi"/>
                      <w:color w:val="000000"/>
                      <w:sz w:val="18"/>
                      <w:szCs w:val="18"/>
                    </w:rPr>
                    <w:t>-0.49</w:t>
                  </w:r>
                </w:p>
              </w:tc>
              <w:tc>
                <w:tcPr>
                  <w:tcW w:w="1134" w:type="dxa"/>
                  <w:tcBorders>
                    <w:top w:val="nil"/>
                    <w:left w:val="nil"/>
                    <w:bottom w:val="nil"/>
                    <w:right w:val="nil"/>
                  </w:tcBorders>
                  <w:shd w:val="clear" w:color="auto" w:fill="auto"/>
                  <w:noWrap/>
                  <w:vAlign w:val="bottom"/>
                </w:tcPr>
                <w:p w14:paraId="1D0A6F1E" w14:textId="77777777" w:rsidR="00B423F1" w:rsidRPr="00D214CF" w:rsidRDefault="00B423F1" w:rsidP="00B423F1">
                  <w:pPr>
                    <w:jc w:val="right"/>
                    <w:rPr>
                      <w:rFonts w:asciiTheme="minorHAnsi" w:hAnsiTheme="minorHAnsi" w:cstheme="minorHAnsi"/>
                      <w:color w:val="000000"/>
                      <w:sz w:val="18"/>
                      <w:szCs w:val="18"/>
                    </w:rPr>
                  </w:pPr>
                  <w:r w:rsidRPr="00B423F1">
                    <w:rPr>
                      <w:rFonts w:asciiTheme="minorHAnsi" w:hAnsiTheme="minorHAnsi" w:cstheme="minorHAnsi"/>
                      <w:color w:val="000000"/>
                      <w:sz w:val="18"/>
                      <w:szCs w:val="18"/>
                    </w:rPr>
                    <w:t>0.22</w:t>
                  </w:r>
                </w:p>
              </w:tc>
              <w:tc>
                <w:tcPr>
                  <w:tcW w:w="1842" w:type="dxa"/>
                  <w:tcBorders>
                    <w:top w:val="nil"/>
                    <w:left w:val="nil"/>
                    <w:bottom w:val="nil"/>
                    <w:right w:val="nil"/>
                  </w:tcBorders>
                  <w:shd w:val="clear" w:color="auto" w:fill="auto"/>
                  <w:noWrap/>
                  <w:vAlign w:val="bottom"/>
                </w:tcPr>
                <w:p w14:paraId="1D0A6F1F" w14:textId="77777777" w:rsidR="00B423F1" w:rsidRPr="00B423F1" w:rsidRDefault="00B423F1" w:rsidP="00B423F1">
                  <w:pPr>
                    <w:jc w:val="right"/>
                    <w:rPr>
                      <w:rFonts w:asciiTheme="minorHAnsi" w:hAnsiTheme="minorHAnsi" w:cstheme="minorHAnsi"/>
                      <w:color w:val="C00000"/>
                      <w:sz w:val="18"/>
                      <w:szCs w:val="18"/>
                    </w:rPr>
                  </w:pPr>
                  <w:r w:rsidRPr="00B423F1">
                    <w:rPr>
                      <w:rFonts w:asciiTheme="minorHAnsi" w:hAnsiTheme="minorHAnsi" w:cstheme="minorHAnsi"/>
                      <w:color w:val="C00000"/>
                      <w:sz w:val="18"/>
                      <w:szCs w:val="18"/>
                    </w:rPr>
                    <w:t>-0.34</w:t>
                  </w:r>
                </w:p>
              </w:tc>
              <w:tc>
                <w:tcPr>
                  <w:tcW w:w="1843" w:type="dxa"/>
                  <w:tcBorders>
                    <w:top w:val="nil"/>
                    <w:left w:val="nil"/>
                    <w:bottom w:val="nil"/>
                    <w:right w:val="nil"/>
                  </w:tcBorders>
                  <w:shd w:val="clear" w:color="auto" w:fill="auto"/>
                  <w:noWrap/>
                  <w:vAlign w:val="bottom"/>
                </w:tcPr>
                <w:p w14:paraId="1D0A6F20" w14:textId="77777777" w:rsidR="00B423F1" w:rsidRPr="00B423F1" w:rsidRDefault="00B423F1" w:rsidP="00B423F1">
                  <w:pPr>
                    <w:jc w:val="right"/>
                    <w:rPr>
                      <w:rFonts w:asciiTheme="minorHAnsi" w:hAnsiTheme="minorHAnsi" w:cstheme="minorHAnsi"/>
                      <w:color w:val="78A22F"/>
                      <w:sz w:val="18"/>
                      <w:szCs w:val="18"/>
                    </w:rPr>
                  </w:pPr>
                  <w:r w:rsidRPr="00B423F1">
                    <w:rPr>
                      <w:rFonts w:asciiTheme="minorHAnsi" w:hAnsiTheme="minorHAnsi" w:cstheme="minorHAnsi"/>
                      <w:color w:val="78A22F"/>
                      <w:sz w:val="18"/>
                      <w:szCs w:val="18"/>
                    </w:rPr>
                    <w:t>0.71</w:t>
                  </w:r>
                </w:p>
              </w:tc>
            </w:tr>
            <w:tr w:rsidR="00B423F1" w:rsidRPr="00D214CF" w14:paraId="1D0A6F28" w14:textId="77777777" w:rsidTr="00646DD1">
              <w:trPr>
                <w:trHeight w:val="288"/>
              </w:trPr>
              <w:tc>
                <w:tcPr>
                  <w:tcW w:w="1537" w:type="dxa"/>
                  <w:tcBorders>
                    <w:top w:val="nil"/>
                    <w:left w:val="nil"/>
                    <w:bottom w:val="nil"/>
                    <w:right w:val="nil"/>
                  </w:tcBorders>
                  <w:shd w:val="clear" w:color="auto" w:fill="auto"/>
                  <w:noWrap/>
                  <w:vAlign w:val="bottom"/>
                  <w:hideMark/>
                </w:tcPr>
                <w:p w14:paraId="1D0A6F22" w14:textId="77777777" w:rsidR="00B423F1" w:rsidRPr="00D214CF" w:rsidRDefault="00B423F1" w:rsidP="00B423F1">
                  <w:pPr>
                    <w:rPr>
                      <w:rFonts w:asciiTheme="minorHAnsi" w:hAnsiTheme="minorHAnsi" w:cstheme="minorHAnsi"/>
                      <w:color w:val="000000"/>
                      <w:sz w:val="18"/>
                      <w:szCs w:val="18"/>
                    </w:rPr>
                  </w:pPr>
                  <w:r w:rsidRPr="00D214CF">
                    <w:rPr>
                      <w:rFonts w:asciiTheme="minorHAnsi" w:hAnsiTheme="minorHAnsi" w:cstheme="minorHAnsi"/>
                      <w:color w:val="000000"/>
                      <w:sz w:val="18"/>
                      <w:szCs w:val="18"/>
                    </w:rPr>
                    <w:t>Denmark</w:t>
                  </w:r>
                </w:p>
              </w:tc>
              <w:tc>
                <w:tcPr>
                  <w:tcW w:w="993" w:type="dxa"/>
                  <w:tcBorders>
                    <w:top w:val="nil"/>
                    <w:left w:val="nil"/>
                    <w:bottom w:val="nil"/>
                    <w:right w:val="nil"/>
                  </w:tcBorders>
                  <w:shd w:val="clear" w:color="auto" w:fill="auto"/>
                  <w:noWrap/>
                  <w:vAlign w:val="bottom"/>
                  <w:hideMark/>
                </w:tcPr>
                <w:p w14:paraId="1D0A6F23" w14:textId="77777777" w:rsidR="00B423F1" w:rsidRPr="00D214CF" w:rsidRDefault="00B423F1" w:rsidP="00B423F1">
                  <w:pPr>
                    <w:jc w:val="right"/>
                    <w:rPr>
                      <w:rFonts w:asciiTheme="minorHAnsi" w:hAnsiTheme="minorHAnsi" w:cstheme="minorHAnsi"/>
                      <w:color w:val="000000"/>
                      <w:sz w:val="18"/>
                      <w:szCs w:val="18"/>
                    </w:rPr>
                  </w:pPr>
                  <w:r w:rsidRPr="00B423F1">
                    <w:rPr>
                      <w:rFonts w:asciiTheme="minorHAnsi" w:hAnsiTheme="minorHAnsi" w:cstheme="minorHAnsi"/>
                      <w:color w:val="000000"/>
                      <w:sz w:val="18"/>
                      <w:szCs w:val="18"/>
                    </w:rPr>
                    <w:t>0.28</w:t>
                  </w:r>
                </w:p>
              </w:tc>
              <w:tc>
                <w:tcPr>
                  <w:tcW w:w="1134" w:type="dxa"/>
                  <w:tcBorders>
                    <w:top w:val="nil"/>
                    <w:left w:val="nil"/>
                    <w:bottom w:val="nil"/>
                    <w:right w:val="nil"/>
                  </w:tcBorders>
                  <w:shd w:val="clear" w:color="auto" w:fill="auto"/>
                  <w:noWrap/>
                  <w:vAlign w:val="bottom"/>
                  <w:hideMark/>
                </w:tcPr>
                <w:p w14:paraId="1D0A6F24" w14:textId="77777777" w:rsidR="00B423F1" w:rsidRPr="00D214CF" w:rsidRDefault="00B423F1" w:rsidP="00B423F1">
                  <w:pPr>
                    <w:jc w:val="right"/>
                    <w:rPr>
                      <w:rFonts w:asciiTheme="minorHAnsi" w:hAnsiTheme="minorHAnsi" w:cstheme="minorHAnsi"/>
                      <w:color w:val="000000"/>
                      <w:sz w:val="18"/>
                      <w:szCs w:val="18"/>
                    </w:rPr>
                  </w:pPr>
                  <w:r w:rsidRPr="00B423F1">
                    <w:rPr>
                      <w:rFonts w:asciiTheme="minorHAnsi" w:hAnsiTheme="minorHAnsi" w:cstheme="minorHAnsi"/>
                      <w:color w:val="000000"/>
                      <w:sz w:val="18"/>
                      <w:szCs w:val="18"/>
                    </w:rPr>
                    <w:t>-0.70</w:t>
                  </w:r>
                </w:p>
              </w:tc>
              <w:tc>
                <w:tcPr>
                  <w:tcW w:w="1134" w:type="dxa"/>
                  <w:tcBorders>
                    <w:top w:val="nil"/>
                    <w:left w:val="nil"/>
                    <w:bottom w:val="nil"/>
                    <w:right w:val="nil"/>
                  </w:tcBorders>
                  <w:shd w:val="clear" w:color="auto" w:fill="auto"/>
                  <w:noWrap/>
                  <w:vAlign w:val="bottom"/>
                  <w:hideMark/>
                </w:tcPr>
                <w:p w14:paraId="1D0A6F25" w14:textId="77777777" w:rsidR="00B423F1" w:rsidRPr="00D214CF" w:rsidRDefault="00B423F1" w:rsidP="00B423F1">
                  <w:pPr>
                    <w:jc w:val="right"/>
                    <w:rPr>
                      <w:rFonts w:asciiTheme="minorHAnsi" w:hAnsiTheme="minorHAnsi" w:cstheme="minorHAnsi"/>
                      <w:color w:val="000000"/>
                      <w:sz w:val="18"/>
                      <w:szCs w:val="18"/>
                    </w:rPr>
                  </w:pPr>
                  <w:r w:rsidRPr="00B423F1">
                    <w:rPr>
                      <w:rFonts w:asciiTheme="minorHAnsi" w:hAnsiTheme="minorHAnsi" w:cstheme="minorHAnsi"/>
                      <w:color w:val="000000"/>
                      <w:sz w:val="18"/>
                      <w:szCs w:val="18"/>
                    </w:rPr>
                    <w:t>0.15</w:t>
                  </w:r>
                </w:p>
              </w:tc>
              <w:tc>
                <w:tcPr>
                  <w:tcW w:w="1842" w:type="dxa"/>
                  <w:tcBorders>
                    <w:top w:val="nil"/>
                    <w:left w:val="nil"/>
                    <w:bottom w:val="nil"/>
                    <w:right w:val="nil"/>
                  </w:tcBorders>
                  <w:shd w:val="clear" w:color="auto" w:fill="auto"/>
                  <w:noWrap/>
                  <w:vAlign w:val="bottom"/>
                  <w:hideMark/>
                </w:tcPr>
                <w:p w14:paraId="1D0A6F26" w14:textId="77777777" w:rsidR="00B423F1" w:rsidRPr="00B423F1" w:rsidRDefault="00B423F1" w:rsidP="00B423F1">
                  <w:pPr>
                    <w:jc w:val="right"/>
                    <w:rPr>
                      <w:rFonts w:asciiTheme="minorHAnsi" w:hAnsiTheme="minorHAnsi" w:cstheme="minorHAnsi"/>
                      <w:color w:val="C00000"/>
                      <w:sz w:val="18"/>
                      <w:szCs w:val="18"/>
                    </w:rPr>
                  </w:pPr>
                  <w:r w:rsidRPr="00B423F1">
                    <w:rPr>
                      <w:rFonts w:asciiTheme="minorHAnsi" w:hAnsiTheme="minorHAnsi" w:cstheme="minorHAnsi"/>
                      <w:color w:val="C00000"/>
                      <w:sz w:val="18"/>
                      <w:szCs w:val="18"/>
                    </w:rPr>
                    <w:t>-0.98</w:t>
                  </w:r>
                </w:p>
              </w:tc>
              <w:tc>
                <w:tcPr>
                  <w:tcW w:w="1843" w:type="dxa"/>
                  <w:tcBorders>
                    <w:top w:val="nil"/>
                    <w:left w:val="nil"/>
                    <w:bottom w:val="nil"/>
                    <w:right w:val="nil"/>
                  </w:tcBorders>
                  <w:shd w:val="clear" w:color="auto" w:fill="auto"/>
                  <w:noWrap/>
                  <w:vAlign w:val="bottom"/>
                  <w:hideMark/>
                </w:tcPr>
                <w:p w14:paraId="1D0A6F27" w14:textId="77777777" w:rsidR="00B423F1" w:rsidRPr="00B423F1" w:rsidRDefault="00B423F1" w:rsidP="00B423F1">
                  <w:pPr>
                    <w:jc w:val="right"/>
                    <w:rPr>
                      <w:rFonts w:asciiTheme="minorHAnsi" w:hAnsiTheme="minorHAnsi" w:cstheme="minorHAnsi"/>
                      <w:color w:val="78A22F"/>
                      <w:sz w:val="18"/>
                      <w:szCs w:val="18"/>
                    </w:rPr>
                  </w:pPr>
                  <w:r w:rsidRPr="00B423F1">
                    <w:rPr>
                      <w:rFonts w:asciiTheme="minorHAnsi" w:hAnsiTheme="minorHAnsi" w:cstheme="minorHAnsi"/>
                      <w:color w:val="78A22F"/>
                      <w:sz w:val="18"/>
                      <w:szCs w:val="18"/>
                    </w:rPr>
                    <w:t>0.85</w:t>
                  </w:r>
                </w:p>
              </w:tc>
            </w:tr>
            <w:tr w:rsidR="00B423F1" w:rsidRPr="00D214CF" w14:paraId="1D0A6F2F" w14:textId="77777777" w:rsidTr="00646DD1">
              <w:trPr>
                <w:trHeight w:val="288"/>
              </w:trPr>
              <w:tc>
                <w:tcPr>
                  <w:tcW w:w="1537" w:type="dxa"/>
                  <w:tcBorders>
                    <w:top w:val="nil"/>
                    <w:left w:val="nil"/>
                    <w:bottom w:val="nil"/>
                    <w:right w:val="nil"/>
                  </w:tcBorders>
                  <w:shd w:val="clear" w:color="auto" w:fill="auto"/>
                  <w:noWrap/>
                  <w:vAlign w:val="bottom"/>
                  <w:hideMark/>
                </w:tcPr>
                <w:p w14:paraId="1D0A6F29" w14:textId="77777777" w:rsidR="00B423F1" w:rsidRPr="00D214CF" w:rsidRDefault="00B423F1" w:rsidP="00B423F1">
                  <w:pPr>
                    <w:rPr>
                      <w:rFonts w:asciiTheme="minorHAnsi" w:hAnsiTheme="minorHAnsi" w:cstheme="minorHAnsi"/>
                      <w:color w:val="000000"/>
                      <w:sz w:val="18"/>
                      <w:szCs w:val="18"/>
                    </w:rPr>
                  </w:pPr>
                  <w:r w:rsidRPr="00D214CF">
                    <w:rPr>
                      <w:rFonts w:asciiTheme="minorHAnsi" w:hAnsiTheme="minorHAnsi" w:cstheme="minorHAnsi"/>
                      <w:color w:val="000000"/>
                      <w:sz w:val="18"/>
                      <w:szCs w:val="18"/>
                    </w:rPr>
                    <w:t>Finland</w:t>
                  </w:r>
                </w:p>
              </w:tc>
              <w:tc>
                <w:tcPr>
                  <w:tcW w:w="993" w:type="dxa"/>
                  <w:tcBorders>
                    <w:top w:val="nil"/>
                    <w:left w:val="nil"/>
                    <w:bottom w:val="nil"/>
                    <w:right w:val="nil"/>
                  </w:tcBorders>
                  <w:shd w:val="clear" w:color="auto" w:fill="auto"/>
                  <w:noWrap/>
                  <w:vAlign w:val="bottom"/>
                  <w:hideMark/>
                </w:tcPr>
                <w:p w14:paraId="1D0A6F2A" w14:textId="77777777" w:rsidR="00B423F1" w:rsidRPr="00D214CF" w:rsidRDefault="00B423F1" w:rsidP="00B423F1">
                  <w:pPr>
                    <w:jc w:val="right"/>
                    <w:rPr>
                      <w:rFonts w:asciiTheme="minorHAnsi" w:hAnsiTheme="minorHAnsi" w:cstheme="minorHAnsi"/>
                      <w:color w:val="000000"/>
                      <w:sz w:val="18"/>
                      <w:szCs w:val="18"/>
                    </w:rPr>
                  </w:pPr>
                  <w:r w:rsidRPr="00B423F1">
                    <w:rPr>
                      <w:rFonts w:asciiTheme="minorHAnsi" w:hAnsiTheme="minorHAnsi" w:cstheme="minorHAnsi"/>
                      <w:color w:val="000000"/>
                      <w:sz w:val="18"/>
                      <w:szCs w:val="18"/>
                    </w:rPr>
                    <w:t>0.89</w:t>
                  </w:r>
                </w:p>
              </w:tc>
              <w:tc>
                <w:tcPr>
                  <w:tcW w:w="1134" w:type="dxa"/>
                  <w:tcBorders>
                    <w:top w:val="nil"/>
                    <w:left w:val="nil"/>
                    <w:bottom w:val="nil"/>
                    <w:right w:val="nil"/>
                  </w:tcBorders>
                  <w:shd w:val="clear" w:color="auto" w:fill="auto"/>
                  <w:noWrap/>
                  <w:vAlign w:val="bottom"/>
                  <w:hideMark/>
                </w:tcPr>
                <w:p w14:paraId="1D0A6F2B" w14:textId="77777777" w:rsidR="00B423F1" w:rsidRPr="00D214CF" w:rsidRDefault="00B423F1" w:rsidP="00B423F1">
                  <w:pPr>
                    <w:jc w:val="right"/>
                    <w:rPr>
                      <w:rFonts w:asciiTheme="minorHAnsi" w:hAnsiTheme="minorHAnsi" w:cstheme="minorHAnsi"/>
                      <w:color w:val="000000"/>
                      <w:sz w:val="18"/>
                      <w:szCs w:val="18"/>
                    </w:rPr>
                  </w:pPr>
                  <w:r w:rsidRPr="00B423F1">
                    <w:rPr>
                      <w:rFonts w:asciiTheme="minorHAnsi" w:hAnsiTheme="minorHAnsi" w:cstheme="minorHAnsi"/>
                      <w:color w:val="000000"/>
                      <w:sz w:val="18"/>
                      <w:szCs w:val="18"/>
                    </w:rPr>
                    <w:t>-0.66</w:t>
                  </w:r>
                </w:p>
              </w:tc>
              <w:tc>
                <w:tcPr>
                  <w:tcW w:w="1134" w:type="dxa"/>
                  <w:tcBorders>
                    <w:top w:val="nil"/>
                    <w:left w:val="nil"/>
                    <w:bottom w:val="nil"/>
                    <w:right w:val="nil"/>
                  </w:tcBorders>
                  <w:shd w:val="clear" w:color="auto" w:fill="auto"/>
                  <w:noWrap/>
                  <w:vAlign w:val="bottom"/>
                  <w:hideMark/>
                </w:tcPr>
                <w:p w14:paraId="1D0A6F2C" w14:textId="77777777" w:rsidR="00B423F1" w:rsidRPr="00D214CF" w:rsidRDefault="00B423F1" w:rsidP="00B423F1">
                  <w:pPr>
                    <w:jc w:val="right"/>
                    <w:rPr>
                      <w:rFonts w:asciiTheme="minorHAnsi" w:hAnsiTheme="minorHAnsi" w:cstheme="minorHAnsi"/>
                      <w:color w:val="000000"/>
                      <w:sz w:val="18"/>
                      <w:szCs w:val="18"/>
                    </w:rPr>
                  </w:pPr>
                  <w:r w:rsidRPr="00B423F1">
                    <w:rPr>
                      <w:rFonts w:asciiTheme="minorHAnsi" w:hAnsiTheme="minorHAnsi" w:cstheme="minorHAnsi"/>
                      <w:color w:val="000000"/>
                      <w:sz w:val="18"/>
                      <w:szCs w:val="18"/>
                    </w:rPr>
                    <w:t>-0.57</w:t>
                  </w:r>
                </w:p>
              </w:tc>
              <w:tc>
                <w:tcPr>
                  <w:tcW w:w="1842" w:type="dxa"/>
                  <w:tcBorders>
                    <w:top w:val="nil"/>
                    <w:left w:val="nil"/>
                    <w:bottom w:val="nil"/>
                    <w:right w:val="nil"/>
                  </w:tcBorders>
                  <w:shd w:val="clear" w:color="auto" w:fill="auto"/>
                  <w:noWrap/>
                  <w:vAlign w:val="bottom"/>
                  <w:hideMark/>
                </w:tcPr>
                <w:p w14:paraId="1D0A6F2D" w14:textId="77777777" w:rsidR="00B423F1" w:rsidRPr="00B423F1" w:rsidRDefault="00B423F1" w:rsidP="00B423F1">
                  <w:pPr>
                    <w:jc w:val="right"/>
                    <w:rPr>
                      <w:rFonts w:asciiTheme="minorHAnsi" w:hAnsiTheme="minorHAnsi" w:cstheme="minorHAnsi"/>
                      <w:color w:val="C00000"/>
                      <w:sz w:val="18"/>
                      <w:szCs w:val="18"/>
                    </w:rPr>
                  </w:pPr>
                  <w:r w:rsidRPr="00B423F1">
                    <w:rPr>
                      <w:rFonts w:asciiTheme="minorHAnsi" w:hAnsiTheme="minorHAnsi" w:cstheme="minorHAnsi"/>
                      <w:color w:val="C00000"/>
                      <w:sz w:val="18"/>
                      <w:szCs w:val="18"/>
                    </w:rPr>
                    <w:t>-1.54</w:t>
                  </w:r>
                </w:p>
              </w:tc>
              <w:tc>
                <w:tcPr>
                  <w:tcW w:w="1843" w:type="dxa"/>
                  <w:tcBorders>
                    <w:top w:val="nil"/>
                    <w:left w:val="nil"/>
                    <w:bottom w:val="nil"/>
                    <w:right w:val="nil"/>
                  </w:tcBorders>
                  <w:shd w:val="clear" w:color="auto" w:fill="auto"/>
                  <w:noWrap/>
                  <w:vAlign w:val="bottom"/>
                  <w:hideMark/>
                </w:tcPr>
                <w:p w14:paraId="1D0A6F2E" w14:textId="77777777" w:rsidR="00B423F1" w:rsidRPr="00B423F1" w:rsidRDefault="00B423F1" w:rsidP="00B423F1">
                  <w:pPr>
                    <w:jc w:val="right"/>
                    <w:rPr>
                      <w:rFonts w:asciiTheme="minorHAnsi" w:hAnsiTheme="minorHAnsi" w:cstheme="minorHAnsi"/>
                      <w:color w:val="78A22F"/>
                      <w:sz w:val="18"/>
                      <w:szCs w:val="18"/>
                    </w:rPr>
                  </w:pPr>
                  <w:r w:rsidRPr="00B423F1">
                    <w:rPr>
                      <w:rFonts w:asciiTheme="minorHAnsi" w:hAnsiTheme="minorHAnsi" w:cstheme="minorHAnsi"/>
                      <w:color w:val="78A22F"/>
                      <w:sz w:val="18"/>
                      <w:szCs w:val="18"/>
                    </w:rPr>
                    <w:t>0.08</w:t>
                  </w:r>
                </w:p>
              </w:tc>
            </w:tr>
            <w:tr w:rsidR="00B423F1" w:rsidRPr="00D214CF" w14:paraId="1D0A6F36" w14:textId="77777777" w:rsidTr="00646DD1">
              <w:trPr>
                <w:trHeight w:val="288"/>
              </w:trPr>
              <w:tc>
                <w:tcPr>
                  <w:tcW w:w="1537" w:type="dxa"/>
                  <w:tcBorders>
                    <w:top w:val="nil"/>
                    <w:left w:val="nil"/>
                    <w:bottom w:val="nil"/>
                    <w:right w:val="nil"/>
                  </w:tcBorders>
                  <w:shd w:val="clear" w:color="auto" w:fill="auto"/>
                  <w:noWrap/>
                  <w:vAlign w:val="bottom"/>
                  <w:hideMark/>
                </w:tcPr>
                <w:p w14:paraId="1D0A6F30" w14:textId="77777777" w:rsidR="00B423F1" w:rsidRPr="00D214CF" w:rsidRDefault="00B423F1" w:rsidP="00B423F1">
                  <w:pPr>
                    <w:rPr>
                      <w:rFonts w:asciiTheme="minorHAnsi" w:hAnsiTheme="minorHAnsi" w:cstheme="minorHAnsi"/>
                      <w:color w:val="000000"/>
                      <w:sz w:val="18"/>
                      <w:szCs w:val="18"/>
                    </w:rPr>
                  </w:pPr>
                  <w:r w:rsidRPr="00D214CF">
                    <w:rPr>
                      <w:rFonts w:asciiTheme="minorHAnsi" w:hAnsiTheme="minorHAnsi" w:cstheme="minorHAnsi"/>
                      <w:color w:val="000000"/>
                      <w:sz w:val="18"/>
                      <w:szCs w:val="18"/>
                    </w:rPr>
                    <w:t>France</w:t>
                  </w:r>
                </w:p>
              </w:tc>
              <w:tc>
                <w:tcPr>
                  <w:tcW w:w="993" w:type="dxa"/>
                  <w:tcBorders>
                    <w:top w:val="nil"/>
                    <w:left w:val="nil"/>
                    <w:bottom w:val="nil"/>
                    <w:right w:val="nil"/>
                  </w:tcBorders>
                  <w:shd w:val="clear" w:color="auto" w:fill="auto"/>
                  <w:noWrap/>
                  <w:vAlign w:val="bottom"/>
                  <w:hideMark/>
                </w:tcPr>
                <w:p w14:paraId="1D0A6F31" w14:textId="77777777" w:rsidR="00B423F1" w:rsidRPr="00D214CF" w:rsidRDefault="00B423F1" w:rsidP="00B423F1">
                  <w:pPr>
                    <w:jc w:val="right"/>
                    <w:rPr>
                      <w:rFonts w:asciiTheme="minorHAnsi" w:hAnsiTheme="minorHAnsi" w:cstheme="minorHAnsi"/>
                      <w:color w:val="000000"/>
                      <w:sz w:val="18"/>
                      <w:szCs w:val="18"/>
                    </w:rPr>
                  </w:pPr>
                  <w:r w:rsidRPr="00B423F1">
                    <w:rPr>
                      <w:rFonts w:asciiTheme="minorHAnsi" w:hAnsiTheme="minorHAnsi" w:cstheme="minorHAnsi"/>
                      <w:color w:val="000000"/>
                      <w:sz w:val="18"/>
                      <w:szCs w:val="18"/>
                    </w:rPr>
                    <w:t>0.22</w:t>
                  </w:r>
                </w:p>
              </w:tc>
              <w:tc>
                <w:tcPr>
                  <w:tcW w:w="1134" w:type="dxa"/>
                  <w:tcBorders>
                    <w:top w:val="nil"/>
                    <w:left w:val="nil"/>
                    <w:bottom w:val="nil"/>
                    <w:right w:val="nil"/>
                  </w:tcBorders>
                  <w:shd w:val="clear" w:color="auto" w:fill="auto"/>
                  <w:noWrap/>
                  <w:vAlign w:val="bottom"/>
                  <w:hideMark/>
                </w:tcPr>
                <w:p w14:paraId="1D0A6F32" w14:textId="77777777" w:rsidR="00B423F1" w:rsidRPr="00D214CF" w:rsidRDefault="00B423F1" w:rsidP="00B423F1">
                  <w:pPr>
                    <w:jc w:val="right"/>
                    <w:rPr>
                      <w:rFonts w:asciiTheme="minorHAnsi" w:hAnsiTheme="minorHAnsi" w:cstheme="minorHAnsi"/>
                      <w:color w:val="000000"/>
                      <w:sz w:val="18"/>
                      <w:szCs w:val="18"/>
                    </w:rPr>
                  </w:pPr>
                  <w:r w:rsidRPr="00B423F1">
                    <w:rPr>
                      <w:rFonts w:asciiTheme="minorHAnsi" w:hAnsiTheme="minorHAnsi" w:cstheme="minorHAnsi"/>
                      <w:color w:val="000000"/>
                      <w:sz w:val="18"/>
                      <w:szCs w:val="18"/>
                    </w:rPr>
                    <w:t>-0.56</w:t>
                  </w:r>
                </w:p>
              </w:tc>
              <w:tc>
                <w:tcPr>
                  <w:tcW w:w="1134" w:type="dxa"/>
                  <w:tcBorders>
                    <w:top w:val="nil"/>
                    <w:left w:val="nil"/>
                    <w:bottom w:val="nil"/>
                    <w:right w:val="nil"/>
                  </w:tcBorders>
                  <w:shd w:val="clear" w:color="auto" w:fill="auto"/>
                  <w:noWrap/>
                  <w:vAlign w:val="bottom"/>
                  <w:hideMark/>
                </w:tcPr>
                <w:p w14:paraId="1D0A6F33" w14:textId="77777777" w:rsidR="00B423F1" w:rsidRPr="00D214CF" w:rsidRDefault="00B423F1" w:rsidP="00B423F1">
                  <w:pPr>
                    <w:jc w:val="right"/>
                    <w:rPr>
                      <w:rFonts w:asciiTheme="minorHAnsi" w:hAnsiTheme="minorHAnsi" w:cstheme="minorHAnsi"/>
                      <w:color w:val="000000"/>
                      <w:sz w:val="18"/>
                      <w:szCs w:val="18"/>
                    </w:rPr>
                  </w:pPr>
                  <w:r w:rsidRPr="00B423F1">
                    <w:rPr>
                      <w:rFonts w:asciiTheme="minorHAnsi" w:hAnsiTheme="minorHAnsi" w:cstheme="minorHAnsi"/>
                      <w:color w:val="000000"/>
                      <w:sz w:val="18"/>
                      <w:szCs w:val="18"/>
                    </w:rPr>
                    <w:t>-0.08</w:t>
                  </w:r>
                </w:p>
              </w:tc>
              <w:tc>
                <w:tcPr>
                  <w:tcW w:w="1842" w:type="dxa"/>
                  <w:tcBorders>
                    <w:top w:val="nil"/>
                    <w:left w:val="nil"/>
                    <w:bottom w:val="nil"/>
                    <w:right w:val="nil"/>
                  </w:tcBorders>
                  <w:shd w:val="clear" w:color="auto" w:fill="auto"/>
                  <w:noWrap/>
                  <w:vAlign w:val="bottom"/>
                  <w:hideMark/>
                </w:tcPr>
                <w:p w14:paraId="1D0A6F34" w14:textId="77777777" w:rsidR="00B423F1" w:rsidRPr="00B423F1" w:rsidRDefault="00B423F1" w:rsidP="00B423F1">
                  <w:pPr>
                    <w:jc w:val="right"/>
                    <w:rPr>
                      <w:rFonts w:asciiTheme="minorHAnsi" w:hAnsiTheme="minorHAnsi" w:cstheme="minorHAnsi"/>
                      <w:color w:val="C00000"/>
                      <w:sz w:val="18"/>
                      <w:szCs w:val="18"/>
                    </w:rPr>
                  </w:pPr>
                  <w:r w:rsidRPr="00B423F1">
                    <w:rPr>
                      <w:rFonts w:asciiTheme="minorHAnsi" w:hAnsiTheme="minorHAnsi" w:cstheme="minorHAnsi"/>
                      <w:color w:val="C00000"/>
                      <w:sz w:val="18"/>
                      <w:szCs w:val="18"/>
                    </w:rPr>
                    <w:t>-0.78</w:t>
                  </w:r>
                </w:p>
              </w:tc>
              <w:tc>
                <w:tcPr>
                  <w:tcW w:w="1843" w:type="dxa"/>
                  <w:tcBorders>
                    <w:top w:val="nil"/>
                    <w:left w:val="nil"/>
                    <w:bottom w:val="nil"/>
                    <w:right w:val="nil"/>
                  </w:tcBorders>
                  <w:shd w:val="clear" w:color="auto" w:fill="auto"/>
                  <w:noWrap/>
                  <w:vAlign w:val="bottom"/>
                  <w:hideMark/>
                </w:tcPr>
                <w:p w14:paraId="1D0A6F35" w14:textId="77777777" w:rsidR="00B423F1" w:rsidRPr="00B423F1" w:rsidRDefault="00B423F1" w:rsidP="00B423F1">
                  <w:pPr>
                    <w:jc w:val="right"/>
                    <w:rPr>
                      <w:rFonts w:asciiTheme="minorHAnsi" w:hAnsiTheme="minorHAnsi" w:cstheme="minorHAnsi"/>
                      <w:color w:val="78A22F"/>
                      <w:sz w:val="18"/>
                      <w:szCs w:val="18"/>
                    </w:rPr>
                  </w:pPr>
                  <w:r w:rsidRPr="00B423F1">
                    <w:rPr>
                      <w:rFonts w:asciiTheme="minorHAnsi" w:hAnsiTheme="minorHAnsi" w:cstheme="minorHAnsi"/>
                      <w:color w:val="78A22F"/>
                      <w:sz w:val="18"/>
                      <w:szCs w:val="18"/>
                    </w:rPr>
                    <w:t>0.48</w:t>
                  </w:r>
                </w:p>
              </w:tc>
            </w:tr>
            <w:tr w:rsidR="00B423F1" w:rsidRPr="00D214CF" w14:paraId="1D0A6F3D" w14:textId="77777777" w:rsidTr="00646DD1">
              <w:trPr>
                <w:trHeight w:val="288"/>
              </w:trPr>
              <w:tc>
                <w:tcPr>
                  <w:tcW w:w="1537" w:type="dxa"/>
                  <w:tcBorders>
                    <w:top w:val="nil"/>
                    <w:left w:val="nil"/>
                    <w:bottom w:val="nil"/>
                    <w:right w:val="nil"/>
                  </w:tcBorders>
                  <w:shd w:val="clear" w:color="auto" w:fill="auto"/>
                  <w:noWrap/>
                  <w:vAlign w:val="bottom"/>
                  <w:hideMark/>
                </w:tcPr>
                <w:p w14:paraId="1D0A6F37" w14:textId="77777777" w:rsidR="00B423F1" w:rsidRPr="00D214CF" w:rsidRDefault="00B423F1" w:rsidP="00B423F1">
                  <w:pPr>
                    <w:rPr>
                      <w:rFonts w:asciiTheme="minorHAnsi" w:hAnsiTheme="minorHAnsi" w:cstheme="minorHAnsi"/>
                      <w:color w:val="000000"/>
                      <w:sz w:val="18"/>
                      <w:szCs w:val="18"/>
                    </w:rPr>
                  </w:pPr>
                  <w:r w:rsidRPr="00D214CF">
                    <w:rPr>
                      <w:rFonts w:asciiTheme="minorHAnsi" w:hAnsiTheme="minorHAnsi" w:cstheme="minorHAnsi"/>
                      <w:color w:val="000000"/>
                      <w:sz w:val="18"/>
                      <w:szCs w:val="18"/>
                    </w:rPr>
                    <w:t>Germany</w:t>
                  </w:r>
                </w:p>
              </w:tc>
              <w:tc>
                <w:tcPr>
                  <w:tcW w:w="993" w:type="dxa"/>
                  <w:tcBorders>
                    <w:top w:val="nil"/>
                    <w:left w:val="nil"/>
                    <w:bottom w:val="nil"/>
                    <w:right w:val="nil"/>
                  </w:tcBorders>
                  <w:shd w:val="clear" w:color="auto" w:fill="auto"/>
                  <w:noWrap/>
                  <w:vAlign w:val="bottom"/>
                  <w:hideMark/>
                </w:tcPr>
                <w:p w14:paraId="1D0A6F38" w14:textId="77777777" w:rsidR="00B423F1" w:rsidRPr="00D214CF" w:rsidRDefault="00B423F1" w:rsidP="00B423F1">
                  <w:pPr>
                    <w:jc w:val="right"/>
                    <w:rPr>
                      <w:rFonts w:asciiTheme="minorHAnsi" w:hAnsiTheme="minorHAnsi" w:cstheme="minorHAnsi"/>
                      <w:color w:val="000000"/>
                      <w:sz w:val="18"/>
                      <w:szCs w:val="18"/>
                    </w:rPr>
                  </w:pPr>
                  <w:r w:rsidRPr="00B423F1">
                    <w:rPr>
                      <w:rFonts w:asciiTheme="minorHAnsi" w:hAnsiTheme="minorHAnsi" w:cstheme="minorHAnsi"/>
                      <w:color w:val="000000"/>
                      <w:sz w:val="18"/>
                      <w:szCs w:val="18"/>
                    </w:rPr>
                    <w:t>0.01</w:t>
                  </w:r>
                </w:p>
              </w:tc>
              <w:tc>
                <w:tcPr>
                  <w:tcW w:w="1134" w:type="dxa"/>
                  <w:tcBorders>
                    <w:top w:val="nil"/>
                    <w:left w:val="nil"/>
                    <w:bottom w:val="nil"/>
                    <w:right w:val="nil"/>
                  </w:tcBorders>
                  <w:shd w:val="clear" w:color="auto" w:fill="auto"/>
                  <w:noWrap/>
                  <w:vAlign w:val="bottom"/>
                  <w:hideMark/>
                </w:tcPr>
                <w:p w14:paraId="1D0A6F39" w14:textId="77777777" w:rsidR="00B423F1" w:rsidRPr="00D214CF" w:rsidRDefault="00B423F1" w:rsidP="00B423F1">
                  <w:pPr>
                    <w:jc w:val="right"/>
                    <w:rPr>
                      <w:rFonts w:asciiTheme="minorHAnsi" w:hAnsiTheme="minorHAnsi" w:cstheme="minorHAnsi"/>
                      <w:color w:val="000000"/>
                      <w:sz w:val="18"/>
                      <w:szCs w:val="18"/>
                    </w:rPr>
                  </w:pPr>
                  <w:r w:rsidRPr="00B423F1">
                    <w:rPr>
                      <w:rFonts w:asciiTheme="minorHAnsi" w:hAnsiTheme="minorHAnsi" w:cstheme="minorHAnsi"/>
                      <w:color w:val="000000"/>
                      <w:sz w:val="18"/>
                      <w:szCs w:val="18"/>
                    </w:rPr>
                    <w:t>-0.16</w:t>
                  </w:r>
                </w:p>
              </w:tc>
              <w:tc>
                <w:tcPr>
                  <w:tcW w:w="1134" w:type="dxa"/>
                  <w:tcBorders>
                    <w:top w:val="nil"/>
                    <w:left w:val="nil"/>
                    <w:bottom w:val="nil"/>
                    <w:right w:val="nil"/>
                  </w:tcBorders>
                  <w:shd w:val="clear" w:color="auto" w:fill="auto"/>
                  <w:noWrap/>
                  <w:vAlign w:val="bottom"/>
                  <w:hideMark/>
                </w:tcPr>
                <w:p w14:paraId="1D0A6F3A" w14:textId="77777777" w:rsidR="00B423F1" w:rsidRPr="00D214CF" w:rsidRDefault="00B423F1" w:rsidP="00B423F1">
                  <w:pPr>
                    <w:jc w:val="right"/>
                    <w:rPr>
                      <w:rFonts w:asciiTheme="minorHAnsi" w:hAnsiTheme="minorHAnsi" w:cstheme="minorHAnsi"/>
                      <w:color w:val="000000"/>
                      <w:sz w:val="18"/>
                      <w:szCs w:val="18"/>
                    </w:rPr>
                  </w:pPr>
                  <w:r w:rsidRPr="00B423F1">
                    <w:rPr>
                      <w:rFonts w:asciiTheme="minorHAnsi" w:hAnsiTheme="minorHAnsi" w:cstheme="minorHAnsi"/>
                      <w:color w:val="000000"/>
                      <w:sz w:val="18"/>
                      <w:szCs w:val="18"/>
                    </w:rPr>
                    <w:t>0.52</w:t>
                  </w:r>
                </w:p>
              </w:tc>
              <w:tc>
                <w:tcPr>
                  <w:tcW w:w="1842" w:type="dxa"/>
                  <w:tcBorders>
                    <w:top w:val="nil"/>
                    <w:left w:val="nil"/>
                    <w:bottom w:val="nil"/>
                    <w:right w:val="nil"/>
                  </w:tcBorders>
                  <w:shd w:val="clear" w:color="auto" w:fill="auto"/>
                  <w:noWrap/>
                  <w:vAlign w:val="bottom"/>
                  <w:hideMark/>
                </w:tcPr>
                <w:p w14:paraId="1D0A6F3B" w14:textId="77777777" w:rsidR="00B423F1" w:rsidRPr="00B423F1" w:rsidRDefault="00B423F1" w:rsidP="00B423F1">
                  <w:pPr>
                    <w:jc w:val="right"/>
                    <w:rPr>
                      <w:rFonts w:asciiTheme="minorHAnsi" w:hAnsiTheme="minorHAnsi" w:cstheme="minorHAnsi"/>
                      <w:color w:val="C00000"/>
                      <w:sz w:val="18"/>
                      <w:szCs w:val="18"/>
                    </w:rPr>
                  </w:pPr>
                  <w:r w:rsidRPr="00B423F1">
                    <w:rPr>
                      <w:rFonts w:asciiTheme="minorHAnsi" w:hAnsiTheme="minorHAnsi" w:cstheme="minorHAnsi"/>
                      <w:color w:val="C00000"/>
                      <w:sz w:val="18"/>
                      <w:szCs w:val="18"/>
                    </w:rPr>
                    <w:t>-0.17</w:t>
                  </w:r>
                </w:p>
              </w:tc>
              <w:tc>
                <w:tcPr>
                  <w:tcW w:w="1843" w:type="dxa"/>
                  <w:tcBorders>
                    <w:top w:val="nil"/>
                    <w:left w:val="nil"/>
                    <w:bottom w:val="nil"/>
                    <w:right w:val="nil"/>
                  </w:tcBorders>
                  <w:shd w:val="clear" w:color="auto" w:fill="auto"/>
                  <w:noWrap/>
                  <w:vAlign w:val="bottom"/>
                  <w:hideMark/>
                </w:tcPr>
                <w:p w14:paraId="1D0A6F3C" w14:textId="77777777" w:rsidR="00B423F1" w:rsidRPr="00B423F1" w:rsidRDefault="00B423F1" w:rsidP="00B423F1">
                  <w:pPr>
                    <w:jc w:val="right"/>
                    <w:rPr>
                      <w:rFonts w:asciiTheme="minorHAnsi" w:hAnsiTheme="minorHAnsi" w:cstheme="minorHAnsi"/>
                      <w:color w:val="78A22F"/>
                      <w:sz w:val="18"/>
                      <w:szCs w:val="18"/>
                    </w:rPr>
                  </w:pPr>
                  <w:r w:rsidRPr="00B423F1">
                    <w:rPr>
                      <w:rFonts w:asciiTheme="minorHAnsi" w:hAnsiTheme="minorHAnsi" w:cstheme="minorHAnsi"/>
                      <w:color w:val="78A22F"/>
                      <w:sz w:val="18"/>
                      <w:szCs w:val="18"/>
                    </w:rPr>
                    <w:t>0.68</w:t>
                  </w:r>
                </w:p>
              </w:tc>
            </w:tr>
            <w:tr w:rsidR="00B423F1" w:rsidRPr="00D214CF" w14:paraId="1D0A6F44" w14:textId="77777777" w:rsidTr="00646DD1">
              <w:trPr>
                <w:trHeight w:val="288"/>
              </w:trPr>
              <w:tc>
                <w:tcPr>
                  <w:tcW w:w="1537" w:type="dxa"/>
                  <w:tcBorders>
                    <w:top w:val="nil"/>
                    <w:left w:val="nil"/>
                    <w:bottom w:val="nil"/>
                    <w:right w:val="nil"/>
                  </w:tcBorders>
                  <w:shd w:val="clear" w:color="auto" w:fill="auto"/>
                  <w:noWrap/>
                  <w:vAlign w:val="bottom"/>
                  <w:hideMark/>
                </w:tcPr>
                <w:p w14:paraId="1D0A6F3E" w14:textId="77777777" w:rsidR="00B423F1" w:rsidRPr="00D214CF" w:rsidRDefault="00B423F1" w:rsidP="00B423F1">
                  <w:pPr>
                    <w:rPr>
                      <w:rFonts w:asciiTheme="minorHAnsi" w:hAnsiTheme="minorHAnsi" w:cstheme="minorHAnsi"/>
                      <w:color w:val="000000"/>
                      <w:sz w:val="18"/>
                      <w:szCs w:val="18"/>
                    </w:rPr>
                  </w:pPr>
                  <w:r w:rsidRPr="00D214CF">
                    <w:rPr>
                      <w:rFonts w:asciiTheme="minorHAnsi" w:hAnsiTheme="minorHAnsi" w:cstheme="minorHAnsi"/>
                      <w:color w:val="000000"/>
                      <w:sz w:val="18"/>
                      <w:szCs w:val="18"/>
                    </w:rPr>
                    <w:t>Italy</w:t>
                  </w:r>
                </w:p>
              </w:tc>
              <w:tc>
                <w:tcPr>
                  <w:tcW w:w="993" w:type="dxa"/>
                  <w:tcBorders>
                    <w:top w:val="nil"/>
                    <w:left w:val="nil"/>
                    <w:bottom w:val="nil"/>
                    <w:right w:val="nil"/>
                  </w:tcBorders>
                  <w:shd w:val="clear" w:color="auto" w:fill="auto"/>
                  <w:noWrap/>
                  <w:vAlign w:val="bottom"/>
                  <w:hideMark/>
                </w:tcPr>
                <w:p w14:paraId="1D0A6F3F" w14:textId="77777777" w:rsidR="00B423F1" w:rsidRPr="00D214CF" w:rsidRDefault="00B423F1" w:rsidP="00B423F1">
                  <w:pPr>
                    <w:jc w:val="right"/>
                    <w:rPr>
                      <w:rFonts w:asciiTheme="minorHAnsi" w:hAnsiTheme="minorHAnsi" w:cstheme="minorHAnsi"/>
                      <w:color w:val="000000"/>
                      <w:sz w:val="18"/>
                      <w:szCs w:val="18"/>
                    </w:rPr>
                  </w:pPr>
                  <w:r w:rsidRPr="00B423F1">
                    <w:rPr>
                      <w:rFonts w:asciiTheme="minorHAnsi" w:hAnsiTheme="minorHAnsi" w:cstheme="minorHAnsi"/>
                      <w:color w:val="000000"/>
                      <w:sz w:val="18"/>
                      <w:szCs w:val="18"/>
                    </w:rPr>
                    <w:t>-0.75</w:t>
                  </w:r>
                </w:p>
              </w:tc>
              <w:tc>
                <w:tcPr>
                  <w:tcW w:w="1134" w:type="dxa"/>
                  <w:tcBorders>
                    <w:top w:val="nil"/>
                    <w:left w:val="nil"/>
                    <w:bottom w:val="nil"/>
                    <w:right w:val="nil"/>
                  </w:tcBorders>
                  <w:shd w:val="clear" w:color="auto" w:fill="auto"/>
                  <w:noWrap/>
                  <w:vAlign w:val="bottom"/>
                  <w:hideMark/>
                </w:tcPr>
                <w:p w14:paraId="1D0A6F40" w14:textId="77777777" w:rsidR="00B423F1" w:rsidRPr="00D214CF" w:rsidRDefault="00B423F1" w:rsidP="00B423F1">
                  <w:pPr>
                    <w:jc w:val="right"/>
                    <w:rPr>
                      <w:rFonts w:asciiTheme="minorHAnsi" w:hAnsiTheme="minorHAnsi" w:cstheme="minorHAnsi"/>
                      <w:color w:val="000000"/>
                      <w:sz w:val="18"/>
                      <w:szCs w:val="18"/>
                    </w:rPr>
                  </w:pPr>
                  <w:r w:rsidRPr="00B423F1">
                    <w:rPr>
                      <w:rFonts w:asciiTheme="minorHAnsi" w:hAnsiTheme="minorHAnsi" w:cstheme="minorHAnsi"/>
                      <w:color w:val="000000"/>
                      <w:sz w:val="18"/>
                      <w:szCs w:val="18"/>
                    </w:rPr>
                    <w:t>-1.13</w:t>
                  </w:r>
                </w:p>
              </w:tc>
              <w:tc>
                <w:tcPr>
                  <w:tcW w:w="1134" w:type="dxa"/>
                  <w:tcBorders>
                    <w:top w:val="nil"/>
                    <w:left w:val="nil"/>
                    <w:bottom w:val="nil"/>
                    <w:right w:val="nil"/>
                  </w:tcBorders>
                  <w:shd w:val="clear" w:color="auto" w:fill="auto"/>
                  <w:noWrap/>
                  <w:vAlign w:val="bottom"/>
                  <w:hideMark/>
                </w:tcPr>
                <w:p w14:paraId="1D0A6F41" w14:textId="77777777" w:rsidR="00B423F1" w:rsidRPr="00D214CF" w:rsidRDefault="00B423F1" w:rsidP="00B423F1">
                  <w:pPr>
                    <w:jc w:val="right"/>
                    <w:rPr>
                      <w:rFonts w:asciiTheme="minorHAnsi" w:hAnsiTheme="minorHAnsi" w:cstheme="minorHAnsi"/>
                      <w:color w:val="000000"/>
                      <w:sz w:val="18"/>
                      <w:szCs w:val="18"/>
                    </w:rPr>
                  </w:pPr>
                  <w:r w:rsidRPr="00B423F1">
                    <w:rPr>
                      <w:rFonts w:asciiTheme="minorHAnsi" w:hAnsiTheme="minorHAnsi" w:cstheme="minorHAnsi"/>
                      <w:color w:val="000000"/>
                      <w:sz w:val="18"/>
                      <w:szCs w:val="18"/>
                    </w:rPr>
                    <w:t>-0.28</w:t>
                  </w:r>
                </w:p>
              </w:tc>
              <w:tc>
                <w:tcPr>
                  <w:tcW w:w="1842" w:type="dxa"/>
                  <w:tcBorders>
                    <w:top w:val="nil"/>
                    <w:left w:val="nil"/>
                    <w:bottom w:val="nil"/>
                    <w:right w:val="nil"/>
                  </w:tcBorders>
                  <w:shd w:val="clear" w:color="auto" w:fill="auto"/>
                  <w:noWrap/>
                  <w:vAlign w:val="bottom"/>
                  <w:hideMark/>
                </w:tcPr>
                <w:p w14:paraId="1D0A6F42" w14:textId="77777777" w:rsidR="00B423F1" w:rsidRPr="00B423F1" w:rsidRDefault="00B423F1" w:rsidP="00B423F1">
                  <w:pPr>
                    <w:jc w:val="right"/>
                    <w:rPr>
                      <w:rFonts w:asciiTheme="minorHAnsi" w:hAnsiTheme="minorHAnsi" w:cstheme="minorHAnsi"/>
                      <w:color w:val="C00000"/>
                      <w:sz w:val="18"/>
                      <w:szCs w:val="18"/>
                    </w:rPr>
                  </w:pPr>
                  <w:r w:rsidRPr="00B423F1">
                    <w:rPr>
                      <w:rFonts w:asciiTheme="minorHAnsi" w:hAnsiTheme="minorHAnsi" w:cstheme="minorHAnsi"/>
                      <w:color w:val="C00000"/>
                      <w:sz w:val="18"/>
                      <w:szCs w:val="18"/>
                    </w:rPr>
                    <w:t>-0.38</w:t>
                  </w:r>
                </w:p>
              </w:tc>
              <w:tc>
                <w:tcPr>
                  <w:tcW w:w="1843" w:type="dxa"/>
                  <w:tcBorders>
                    <w:top w:val="nil"/>
                    <w:left w:val="nil"/>
                    <w:bottom w:val="nil"/>
                    <w:right w:val="nil"/>
                  </w:tcBorders>
                  <w:shd w:val="clear" w:color="auto" w:fill="auto"/>
                  <w:noWrap/>
                  <w:vAlign w:val="bottom"/>
                  <w:hideMark/>
                </w:tcPr>
                <w:p w14:paraId="1D0A6F43" w14:textId="77777777" w:rsidR="00B423F1" w:rsidRPr="00B423F1" w:rsidRDefault="00B423F1" w:rsidP="00B423F1">
                  <w:pPr>
                    <w:jc w:val="right"/>
                    <w:rPr>
                      <w:rFonts w:asciiTheme="minorHAnsi" w:hAnsiTheme="minorHAnsi" w:cstheme="minorHAnsi"/>
                      <w:color w:val="78A22F"/>
                      <w:sz w:val="18"/>
                      <w:szCs w:val="18"/>
                    </w:rPr>
                  </w:pPr>
                  <w:r w:rsidRPr="00B423F1">
                    <w:rPr>
                      <w:rFonts w:asciiTheme="minorHAnsi" w:hAnsiTheme="minorHAnsi" w:cstheme="minorHAnsi"/>
                      <w:color w:val="78A22F"/>
                      <w:sz w:val="18"/>
                      <w:szCs w:val="18"/>
                    </w:rPr>
                    <w:t>0.86</w:t>
                  </w:r>
                </w:p>
              </w:tc>
            </w:tr>
            <w:tr w:rsidR="00B423F1" w:rsidRPr="00D214CF" w14:paraId="1D0A6F4B" w14:textId="77777777" w:rsidTr="00646DD1">
              <w:trPr>
                <w:trHeight w:val="288"/>
              </w:trPr>
              <w:tc>
                <w:tcPr>
                  <w:tcW w:w="1537" w:type="dxa"/>
                  <w:tcBorders>
                    <w:top w:val="nil"/>
                    <w:left w:val="nil"/>
                    <w:bottom w:val="nil"/>
                    <w:right w:val="nil"/>
                  </w:tcBorders>
                  <w:shd w:val="clear" w:color="auto" w:fill="auto"/>
                  <w:noWrap/>
                  <w:vAlign w:val="bottom"/>
                  <w:hideMark/>
                </w:tcPr>
                <w:p w14:paraId="1D0A6F45" w14:textId="77777777" w:rsidR="00B423F1" w:rsidRPr="00D214CF" w:rsidRDefault="00B423F1" w:rsidP="00B423F1">
                  <w:pPr>
                    <w:rPr>
                      <w:rFonts w:asciiTheme="minorHAnsi" w:hAnsiTheme="minorHAnsi" w:cstheme="minorHAnsi"/>
                      <w:color w:val="000000"/>
                      <w:sz w:val="18"/>
                      <w:szCs w:val="18"/>
                    </w:rPr>
                  </w:pPr>
                  <w:r w:rsidRPr="00D214CF">
                    <w:rPr>
                      <w:rFonts w:asciiTheme="minorHAnsi" w:hAnsiTheme="minorHAnsi" w:cstheme="minorHAnsi"/>
                      <w:color w:val="000000"/>
                      <w:sz w:val="18"/>
                      <w:szCs w:val="18"/>
                    </w:rPr>
                    <w:t>Netherlands</w:t>
                  </w:r>
                </w:p>
              </w:tc>
              <w:tc>
                <w:tcPr>
                  <w:tcW w:w="993" w:type="dxa"/>
                  <w:tcBorders>
                    <w:top w:val="nil"/>
                    <w:left w:val="nil"/>
                    <w:bottom w:val="nil"/>
                    <w:right w:val="nil"/>
                  </w:tcBorders>
                  <w:shd w:val="clear" w:color="auto" w:fill="auto"/>
                  <w:noWrap/>
                  <w:vAlign w:val="bottom"/>
                  <w:hideMark/>
                </w:tcPr>
                <w:p w14:paraId="1D0A6F46" w14:textId="77777777" w:rsidR="00B423F1" w:rsidRPr="00D214CF" w:rsidRDefault="00B423F1" w:rsidP="00B423F1">
                  <w:pPr>
                    <w:jc w:val="right"/>
                    <w:rPr>
                      <w:rFonts w:asciiTheme="minorHAnsi" w:hAnsiTheme="minorHAnsi" w:cstheme="minorHAnsi"/>
                      <w:color w:val="000000"/>
                      <w:sz w:val="18"/>
                      <w:szCs w:val="18"/>
                    </w:rPr>
                  </w:pPr>
                  <w:r w:rsidRPr="00B423F1">
                    <w:rPr>
                      <w:rFonts w:asciiTheme="minorHAnsi" w:hAnsiTheme="minorHAnsi" w:cstheme="minorHAnsi"/>
                      <w:color w:val="000000"/>
                      <w:sz w:val="18"/>
                      <w:szCs w:val="18"/>
                    </w:rPr>
                    <w:t>0.15</w:t>
                  </w:r>
                </w:p>
              </w:tc>
              <w:tc>
                <w:tcPr>
                  <w:tcW w:w="1134" w:type="dxa"/>
                  <w:tcBorders>
                    <w:top w:val="nil"/>
                    <w:left w:val="nil"/>
                    <w:bottom w:val="nil"/>
                    <w:right w:val="nil"/>
                  </w:tcBorders>
                  <w:shd w:val="clear" w:color="auto" w:fill="auto"/>
                  <w:noWrap/>
                  <w:vAlign w:val="bottom"/>
                  <w:hideMark/>
                </w:tcPr>
                <w:p w14:paraId="1D0A6F47" w14:textId="77777777" w:rsidR="00B423F1" w:rsidRPr="00D214CF" w:rsidRDefault="00B423F1" w:rsidP="00B423F1">
                  <w:pPr>
                    <w:jc w:val="right"/>
                    <w:rPr>
                      <w:rFonts w:asciiTheme="minorHAnsi" w:hAnsiTheme="minorHAnsi" w:cstheme="minorHAnsi"/>
                      <w:color w:val="000000"/>
                      <w:sz w:val="18"/>
                      <w:szCs w:val="18"/>
                    </w:rPr>
                  </w:pPr>
                  <w:r w:rsidRPr="00B423F1">
                    <w:rPr>
                      <w:rFonts w:asciiTheme="minorHAnsi" w:hAnsiTheme="minorHAnsi" w:cstheme="minorHAnsi"/>
                      <w:color w:val="000000"/>
                      <w:sz w:val="18"/>
                      <w:szCs w:val="18"/>
                    </w:rPr>
                    <w:t>-0.26</w:t>
                  </w:r>
                </w:p>
              </w:tc>
              <w:tc>
                <w:tcPr>
                  <w:tcW w:w="1134" w:type="dxa"/>
                  <w:tcBorders>
                    <w:top w:val="nil"/>
                    <w:left w:val="nil"/>
                    <w:bottom w:val="nil"/>
                    <w:right w:val="nil"/>
                  </w:tcBorders>
                  <w:shd w:val="clear" w:color="auto" w:fill="auto"/>
                  <w:noWrap/>
                  <w:vAlign w:val="bottom"/>
                  <w:hideMark/>
                </w:tcPr>
                <w:p w14:paraId="1D0A6F48" w14:textId="77777777" w:rsidR="00B423F1" w:rsidRPr="00D214CF" w:rsidRDefault="00B423F1" w:rsidP="00B423F1">
                  <w:pPr>
                    <w:jc w:val="right"/>
                    <w:rPr>
                      <w:rFonts w:asciiTheme="minorHAnsi" w:hAnsiTheme="minorHAnsi" w:cstheme="minorHAnsi"/>
                      <w:color w:val="000000"/>
                      <w:sz w:val="18"/>
                      <w:szCs w:val="18"/>
                    </w:rPr>
                  </w:pPr>
                  <w:r w:rsidRPr="00B423F1">
                    <w:rPr>
                      <w:rFonts w:asciiTheme="minorHAnsi" w:hAnsiTheme="minorHAnsi" w:cstheme="minorHAnsi"/>
                      <w:color w:val="000000"/>
                      <w:sz w:val="18"/>
                      <w:szCs w:val="18"/>
                    </w:rPr>
                    <w:t>0.16</w:t>
                  </w:r>
                </w:p>
              </w:tc>
              <w:tc>
                <w:tcPr>
                  <w:tcW w:w="1842" w:type="dxa"/>
                  <w:tcBorders>
                    <w:top w:val="nil"/>
                    <w:left w:val="nil"/>
                    <w:bottom w:val="nil"/>
                    <w:right w:val="nil"/>
                  </w:tcBorders>
                  <w:shd w:val="clear" w:color="auto" w:fill="auto"/>
                  <w:noWrap/>
                  <w:vAlign w:val="bottom"/>
                  <w:hideMark/>
                </w:tcPr>
                <w:p w14:paraId="1D0A6F49" w14:textId="77777777" w:rsidR="00B423F1" w:rsidRPr="00B423F1" w:rsidRDefault="00B423F1" w:rsidP="00B423F1">
                  <w:pPr>
                    <w:jc w:val="right"/>
                    <w:rPr>
                      <w:rFonts w:asciiTheme="minorHAnsi" w:hAnsiTheme="minorHAnsi" w:cstheme="minorHAnsi"/>
                      <w:color w:val="C00000"/>
                      <w:sz w:val="18"/>
                      <w:szCs w:val="18"/>
                    </w:rPr>
                  </w:pPr>
                  <w:r w:rsidRPr="00B423F1">
                    <w:rPr>
                      <w:rFonts w:asciiTheme="minorHAnsi" w:hAnsiTheme="minorHAnsi" w:cstheme="minorHAnsi"/>
                      <w:color w:val="C00000"/>
                      <w:sz w:val="18"/>
                      <w:szCs w:val="18"/>
                    </w:rPr>
                    <w:t>-0.40</w:t>
                  </w:r>
                </w:p>
              </w:tc>
              <w:tc>
                <w:tcPr>
                  <w:tcW w:w="1843" w:type="dxa"/>
                  <w:tcBorders>
                    <w:top w:val="nil"/>
                    <w:left w:val="nil"/>
                    <w:bottom w:val="nil"/>
                    <w:right w:val="nil"/>
                  </w:tcBorders>
                  <w:shd w:val="clear" w:color="auto" w:fill="auto"/>
                  <w:noWrap/>
                  <w:vAlign w:val="bottom"/>
                  <w:hideMark/>
                </w:tcPr>
                <w:p w14:paraId="1D0A6F4A" w14:textId="77777777" w:rsidR="00B423F1" w:rsidRPr="00B423F1" w:rsidRDefault="00B423F1" w:rsidP="00B423F1">
                  <w:pPr>
                    <w:jc w:val="right"/>
                    <w:rPr>
                      <w:rFonts w:asciiTheme="minorHAnsi" w:hAnsiTheme="minorHAnsi" w:cstheme="minorHAnsi"/>
                      <w:color w:val="78A22F"/>
                      <w:sz w:val="18"/>
                      <w:szCs w:val="18"/>
                    </w:rPr>
                  </w:pPr>
                  <w:r w:rsidRPr="00B423F1">
                    <w:rPr>
                      <w:rFonts w:asciiTheme="minorHAnsi" w:hAnsiTheme="minorHAnsi" w:cstheme="minorHAnsi"/>
                      <w:color w:val="78A22F"/>
                      <w:sz w:val="18"/>
                      <w:szCs w:val="18"/>
                    </w:rPr>
                    <w:t>0.41</w:t>
                  </w:r>
                </w:p>
              </w:tc>
            </w:tr>
            <w:tr w:rsidR="00B423F1" w:rsidRPr="00D214CF" w14:paraId="1D0A6F52" w14:textId="77777777" w:rsidTr="00A02E1D">
              <w:trPr>
                <w:trHeight w:val="288"/>
              </w:trPr>
              <w:tc>
                <w:tcPr>
                  <w:tcW w:w="1537" w:type="dxa"/>
                  <w:tcBorders>
                    <w:top w:val="nil"/>
                    <w:left w:val="nil"/>
                    <w:right w:val="nil"/>
                  </w:tcBorders>
                  <w:shd w:val="clear" w:color="auto" w:fill="auto"/>
                  <w:noWrap/>
                  <w:vAlign w:val="bottom"/>
                  <w:hideMark/>
                </w:tcPr>
                <w:p w14:paraId="1D0A6F4C" w14:textId="77777777" w:rsidR="00B423F1" w:rsidRPr="00D214CF" w:rsidRDefault="00B423F1" w:rsidP="00B423F1">
                  <w:pPr>
                    <w:rPr>
                      <w:rFonts w:asciiTheme="minorHAnsi" w:hAnsiTheme="minorHAnsi" w:cstheme="minorHAnsi"/>
                      <w:color w:val="000000"/>
                      <w:sz w:val="18"/>
                      <w:szCs w:val="18"/>
                    </w:rPr>
                  </w:pPr>
                  <w:r w:rsidRPr="00D214CF">
                    <w:rPr>
                      <w:rFonts w:asciiTheme="minorHAnsi" w:hAnsiTheme="minorHAnsi" w:cstheme="minorHAnsi"/>
                      <w:color w:val="000000"/>
                      <w:sz w:val="18"/>
                      <w:szCs w:val="18"/>
                    </w:rPr>
                    <w:t>Sweden</w:t>
                  </w:r>
                </w:p>
              </w:tc>
              <w:tc>
                <w:tcPr>
                  <w:tcW w:w="993" w:type="dxa"/>
                  <w:tcBorders>
                    <w:top w:val="nil"/>
                    <w:left w:val="nil"/>
                    <w:right w:val="nil"/>
                  </w:tcBorders>
                  <w:shd w:val="clear" w:color="auto" w:fill="auto"/>
                  <w:noWrap/>
                  <w:vAlign w:val="bottom"/>
                  <w:hideMark/>
                </w:tcPr>
                <w:p w14:paraId="1D0A6F4D" w14:textId="77777777" w:rsidR="00B423F1" w:rsidRPr="00D214CF" w:rsidRDefault="00B423F1" w:rsidP="00B423F1">
                  <w:pPr>
                    <w:jc w:val="right"/>
                    <w:rPr>
                      <w:rFonts w:asciiTheme="minorHAnsi" w:hAnsiTheme="minorHAnsi" w:cstheme="minorHAnsi"/>
                      <w:color w:val="000000"/>
                      <w:sz w:val="18"/>
                      <w:szCs w:val="18"/>
                    </w:rPr>
                  </w:pPr>
                  <w:r w:rsidRPr="00B423F1">
                    <w:rPr>
                      <w:rFonts w:asciiTheme="minorHAnsi" w:hAnsiTheme="minorHAnsi" w:cstheme="minorHAnsi"/>
                      <w:color w:val="000000"/>
                      <w:sz w:val="18"/>
                      <w:szCs w:val="18"/>
                    </w:rPr>
                    <w:t>1.38</w:t>
                  </w:r>
                </w:p>
              </w:tc>
              <w:tc>
                <w:tcPr>
                  <w:tcW w:w="1134" w:type="dxa"/>
                  <w:tcBorders>
                    <w:top w:val="nil"/>
                    <w:left w:val="nil"/>
                    <w:right w:val="nil"/>
                  </w:tcBorders>
                  <w:shd w:val="clear" w:color="auto" w:fill="auto"/>
                  <w:noWrap/>
                  <w:vAlign w:val="bottom"/>
                  <w:hideMark/>
                </w:tcPr>
                <w:p w14:paraId="1D0A6F4E" w14:textId="77777777" w:rsidR="00B423F1" w:rsidRPr="00D214CF" w:rsidRDefault="00B423F1" w:rsidP="00B423F1">
                  <w:pPr>
                    <w:jc w:val="right"/>
                    <w:rPr>
                      <w:rFonts w:asciiTheme="minorHAnsi" w:hAnsiTheme="minorHAnsi" w:cstheme="minorHAnsi"/>
                      <w:color w:val="000000"/>
                      <w:sz w:val="18"/>
                      <w:szCs w:val="18"/>
                    </w:rPr>
                  </w:pPr>
                  <w:r w:rsidRPr="00B423F1">
                    <w:rPr>
                      <w:rFonts w:asciiTheme="minorHAnsi" w:hAnsiTheme="minorHAnsi" w:cstheme="minorHAnsi"/>
                      <w:color w:val="000000"/>
                      <w:sz w:val="18"/>
                      <w:szCs w:val="18"/>
                    </w:rPr>
                    <w:t>-0.36</w:t>
                  </w:r>
                </w:p>
              </w:tc>
              <w:tc>
                <w:tcPr>
                  <w:tcW w:w="1134" w:type="dxa"/>
                  <w:tcBorders>
                    <w:top w:val="nil"/>
                    <w:left w:val="nil"/>
                    <w:right w:val="nil"/>
                  </w:tcBorders>
                  <w:shd w:val="clear" w:color="auto" w:fill="auto"/>
                  <w:noWrap/>
                  <w:vAlign w:val="bottom"/>
                  <w:hideMark/>
                </w:tcPr>
                <w:p w14:paraId="1D0A6F4F" w14:textId="77777777" w:rsidR="00B423F1" w:rsidRPr="00D214CF" w:rsidRDefault="00B423F1" w:rsidP="00B423F1">
                  <w:pPr>
                    <w:jc w:val="right"/>
                    <w:rPr>
                      <w:rFonts w:asciiTheme="minorHAnsi" w:hAnsiTheme="minorHAnsi" w:cstheme="minorHAnsi"/>
                      <w:color w:val="000000"/>
                      <w:sz w:val="18"/>
                      <w:szCs w:val="18"/>
                    </w:rPr>
                  </w:pPr>
                  <w:r w:rsidRPr="00B423F1">
                    <w:rPr>
                      <w:rFonts w:asciiTheme="minorHAnsi" w:hAnsiTheme="minorHAnsi" w:cstheme="minorHAnsi"/>
                      <w:color w:val="000000"/>
                      <w:sz w:val="18"/>
                      <w:szCs w:val="18"/>
                    </w:rPr>
                    <w:t>0.33</w:t>
                  </w:r>
                </w:p>
              </w:tc>
              <w:tc>
                <w:tcPr>
                  <w:tcW w:w="1842" w:type="dxa"/>
                  <w:tcBorders>
                    <w:top w:val="nil"/>
                    <w:left w:val="nil"/>
                    <w:right w:val="nil"/>
                  </w:tcBorders>
                  <w:shd w:val="clear" w:color="auto" w:fill="auto"/>
                  <w:noWrap/>
                  <w:vAlign w:val="bottom"/>
                  <w:hideMark/>
                </w:tcPr>
                <w:p w14:paraId="1D0A6F50" w14:textId="77777777" w:rsidR="00B423F1" w:rsidRPr="00B423F1" w:rsidRDefault="00B423F1" w:rsidP="00B423F1">
                  <w:pPr>
                    <w:jc w:val="right"/>
                    <w:rPr>
                      <w:rFonts w:asciiTheme="minorHAnsi" w:hAnsiTheme="minorHAnsi" w:cstheme="minorHAnsi"/>
                      <w:color w:val="C00000"/>
                      <w:sz w:val="18"/>
                      <w:szCs w:val="18"/>
                    </w:rPr>
                  </w:pPr>
                  <w:r w:rsidRPr="00B423F1">
                    <w:rPr>
                      <w:rFonts w:asciiTheme="minorHAnsi" w:hAnsiTheme="minorHAnsi" w:cstheme="minorHAnsi"/>
                      <w:color w:val="C00000"/>
                      <w:sz w:val="18"/>
                      <w:szCs w:val="18"/>
                    </w:rPr>
                    <w:t>-1.74</w:t>
                  </w:r>
                </w:p>
              </w:tc>
              <w:tc>
                <w:tcPr>
                  <w:tcW w:w="1843" w:type="dxa"/>
                  <w:tcBorders>
                    <w:top w:val="nil"/>
                    <w:left w:val="nil"/>
                    <w:right w:val="nil"/>
                  </w:tcBorders>
                  <w:shd w:val="clear" w:color="auto" w:fill="auto"/>
                  <w:noWrap/>
                  <w:vAlign w:val="bottom"/>
                  <w:hideMark/>
                </w:tcPr>
                <w:p w14:paraId="1D0A6F51" w14:textId="77777777" w:rsidR="00B423F1" w:rsidRPr="00B423F1" w:rsidRDefault="00B423F1" w:rsidP="00B423F1">
                  <w:pPr>
                    <w:jc w:val="right"/>
                    <w:rPr>
                      <w:rFonts w:asciiTheme="minorHAnsi" w:hAnsiTheme="minorHAnsi" w:cstheme="minorHAnsi"/>
                      <w:color w:val="78A22F"/>
                      <w:sz w:val="18"/>
                      <w:szCs w:val="18"/>
                    </w:rPr>
                  </w:pPr>
                  <w:r w:rsidRPr="00B423F1">
                    <w:rPr>
                      <w:rFonts w:asciiTheme="minorHAnsi" w:hAnsiTheme="minorHAnsi" w:cstheme="minorHAnsi"/>
                      <w:color w:val="78A22F"/>
                      <w:sz w:val="18"/>
                      <w:szCs w:val="18"/>
                    </w:rPr>
                    <w:t>0.70</w:t>
                  </w:r>
                </w:p>
              </w:tc>
            </w:tr>
            <w:tr w:rsidR="00B423F1" w:rsidRPr="00D214CF" w14:paraId="1D0A6F59" w14:textId="77777777" w:rsidTr="00A02E1D">
              <w:trPr>
                <w:trHeight w:val="288"/>
              </w:trPr>
              <w:tc>
                <w:tcPr>
                  <w:tcW w:w="1537" w:type="dxa"/>
                  <w:tcBorders>
                    <w:top w:val="nil"/>
                    <w:left w:val="nil"/>
                    <w:bottom w:val="single" w:sz="4" w:space="0" w:color="BFBFBF" w:themeColor="background2"/>
                    <w:right w:val="nil"/>
                  </w:tcBorders>
                  <w:shd w:val="clear" w:color="auto" w:fill="auto"/>
                  <w:noWrap/>
                  <w:vAlign w:val="bottom"/>
                  <w:hideMark/>
                </w:tcPr>
                <w:p w14:paraId="1D0A6F53" w14:textId="77777777" w:rsidR="00B423F1" w:rsidRPr="00D214CF" w:rsidRDefault="00B423F1" w:rsidP="00B423F1">
                  <w:pPr>
                    <w:rPr>
                      <w:rFonts w:asciiTheme="minorHAnsi" w:hAnsiTheme="minorHAnsi" w:cstheme="minorHAnsi"/>
                      <w:color w:val="000000"/>
                      <w:sz w:val="18"/>
                      <w:szCs w:val="18"/>
                    </w:rPr>
                  </w:pPr>
                  <w:r w:rsidRPr="00D214CF">
                    <w:rPr>
                      <w:rFonts w:asciiTheme="minorHAnsi" w:hAnsiTheme="minorHAnsi" w:cstheme="minorHAnsi"/>
                      <w:color w:val="000000"/>
                      <w:sz w:val="18"/>
                      <w:szCs w:val="18"/>
                    </w:rPr>
                    <w:t>United Kingdom</w:t>
                  </w:r>
                </w:p>
              </w:tc>
              <w:tc>
                <w:tcPr>
                  <w:tcW w:w="993" w:type="dxa"/>
                  <w:tcBorders>
                    <w:top w:val="nil"/>
                    <w:left w:val="nil"/>
                    <w:bottom w:val="single" w:sz="4" w:space="0" w:color="BFBFBF" w:themeColor="background2"/>
                    <w:right w:val="nil"/>
                  </w:tcBorders>
                  <w:shd w:val="clear" w:color="auto" w:fill="auto"/>
                  <w:noWrap/>
                  <w:vAlign w:val="bottom"/>
                  <w:hideMark/>
                </w:tcPr>
                <w:p w14:paraId="1D0A6F54" w14:textId="77777777" w:rsidR="00B423F1" w:rsidRPr="00D214CF" w:rsidRDefault="00B423F1" w:rsidP="00B423F1">
                  <w:pPr>
                    <w:jc w:val="right"/>
                    <w:rPr>
                      <w:rFonts w:asciiTheme="minorHAnsi" w:hAnsiTheme="minorHAnsi" w:cstheme="minorHAnsi"/>
                      <w:color w:val="000000"/>
                      <w:sz w:val="18"/>
                      <w:szCs w:val="18"/>
                    </w:rPr>
                  </w:pPr>
                  <w:r w:rsidRPr="00B423F1">
                    <w:rPr>
                      <w:rFonts w:asciiTheme="minorHAnsi" w:hAnsiTheme="minorHAnsi" w:cstheme="minorHAnsi"/>
                      <w:color w:val="000000"/>
                      <w:sz w:val="18"/>
                      <w:szCs w:val="18"/>
                    </w:rPr>
                    <w:t>1.19</w:t>
                  </w:r>
                </w:p>
              </w:tc>
              <w:tc>
                <w:tcPr>
                  <w:tcW w:w="1134" w:type="dxa"/>
                  <w:tcBorders>
                    <w:top w:val="nil"/>
                    <w:left w:val="nil"/>
                    <w:bottom w:val="single" w:sz="4" w:space="0" w:color="BFBFBF" w:themeColor="background2"/>
                    <w:right w:val="nil"/>
                  </w:tcBorders>
                  <w:shd w:val="clear" w:color="auto" w:fill="auto"/>
                  <w:noWrap/>
                  <w:vAlign w:val="bottom"/>
                  <w:hideMark/>
                </w:tcPr>
                <w:p w14:paraId="1D0A6F55" w14:textId="77777777" w:rsidR="00B423F1" w:rsidRPr="00D214CF" w:rsidRDefault="00B423F1" w:rsidP="00B423F1">
                  <w:pPr>
                    <w:jc w:val="right"/>
                    <w:rPr>
                      <w:rFonts w:asciiTheme="minorHAnsi" w:hAnsiTheme="minorHAnsi" w:cstheme="minorHAnsi"/>
                      <w:color w:val="000000"/>
                      <w:sz w:val="18"/>
                      <w:szCs w:val="18"/>
                    </w:rPr>
                  </w:pPr>
                  <w:r w:rsidRPr="00B423F1">
                    <w:rPr>
                      <w:rFonts w:asciiTheme="minorHAnsi" w:hAnsiTheme="minorHAnsi" w:cstheme="minorHAnsi"/>
                      <w:color w:val="000000"/>
                      <w:sz w:val="18"/>
                      <w:szCs w:val="18"/>
                    </w:rPr>
                    <w:t>-0.72</w:t>
                  </w:r>
                </w:p>
              </w:tc>
              <w:tc>
                <w:tcPr>
                  <w:tcW w:w="1134" w:type="dxa"/>
                  <w:tcBorders>
                    <w:top w:val="nil"/>
                    <w:left w:val="nil"/>
                    <w:bottom w:val="single" w:sz="4" w:space="0" w:color="BFBFBF" w:themeColor="background2"/>
                    <w:right w:val="nil"/>
                  </w:tcBorders>
                  <w:shd w:val="clear" w:color="auto" w:fill="auto"/>
                  <w:noWrap/>
                  <w:vAlign w:val="bottom"/>
                  <w:hideMark/>
                </w:tcPr>
                <w:p w14:paraId="1D0A6F56" w14:textId="77777777" w:rsidR="00B423F1" w:rsidRPr="00D214CF" w:rsidRDefault="00B423F1" w:rsidP="00B423F1">
                  <w:pPr>
                    <w:jc w:val="right"/>
                    <w:rPr>
                      <w:rFonts w:asciiTheme="minorHAnsi" w:hAnsiTheme="minorHAnsi" w:cstheme="minorHAnsi"/>
                      <w:color w:val="000000"/>
                      <w:sz w:val="18"/>
                      <w:szCs w:val="18"/>
                    </w:rPr>
                  </w:pPr>
                  <w:r w:rsidRPr="00B423F1">
                    <w:rPr>
                      <w:rFonts w:asciiTheme="minorHAnsi" w:hAnsiTheme="minorHAnsi" w:cstheme="minorHAnsi"/>
                      <w:color w:val="000000"/>
                      <w:sz w:val="18"/>
                      <w:szCs w:val="18"/>
                    </w:rPr>
                    <w:t>0.10</w:t>
                  </w:r>
                </w:p>
              </w:tc>
              <w:tc>
                <w:tcPr>
                  <w:tcW w:w="1842" w:type="dxa"/>
                  <w:tcBorders>
                    <w:top w:val="nil"/>
                    <w:left w:val="nil"/>
                    <w:bottom w:val="single" w:sz="4" w:space="0" w:color="BFBFBF" w:themeColor="background2"/>
                    <w:right w:val="nil"/>
                  </w:tcBorders>
                  <w:shd w:val="clear" w:color="auto" w:fill="auto"/>
                  <w:noWrap/>
                  <w:vAlign w:val="bottom"/>
                  <w:hideMark/>
                </w:tcPr>
                <w:p w14:paraId="1D0A6F57" w14:textId="77777777" w:rsidR="00B423F1" w:rsidRPr="00B423F1" w:rsidRDefault="00B423F1" w:rsidP="00B423F1">
                  <w:pPr>
                    <w:jc w:val="right"/>
                    <w:rPr>
                      <w:rFonts w:asciiTheme="minorHAnsi" w:hAnsiTheme="minorHAnsi" w:cstheme="minorHAnsi"/>
                      <w:color w:val="C00000"/>
                      <w:sz w:val="18"/>
                      <w:szCs w:val="18"/>
                    </w:rPr>
                  </w:pPr>
                  <w:r w:rsidRPr="00B423F1">
                    <w:rPr>
                      <w:rFonts w:asciiTheme="minorHAnsi" w:hAnsiTheme="minorHAnsi" w:cstheme="minorHAnsi"/>
                      <w:color w:val="C00000"/>
                      <w:sz w:val="18"/>
                      <w:szCs w:val="18"/>
                    </w:rPr>
                    <w:t>-1.91</w:t>
                  </w:r>
                </w:p>
              </w:tc>
              <w:tc>
                <w:tcPr>
                  <w:tcW w:w="1843" w:type="dxa"/>
                  <w:tcBorders>
                    <w:top w:val="nil"/>
                    <w:left w:val="nil"/>
                    <w:bottom w:val="single" w:sz="4" w:space="0" w:color="BFBFBF" w:themeColor="background2"/>
                    <w:right w:val="nil"/>
                  </w:tcBorders>
                  <w:shd w:val="clear" w:color="auto" w:fill="auto"/>
                  <w:noWrap/>
                  <w:vAlign w:val="bottom"/>
                  <w:hideMark/>
                </w:tcPr>
                <w:p w14:paraId="1D0A6F58" w14:textId="77777777" w:rsidR="00B423F1" w:rsidRPr="00B423F1" w:rsidRDefault="00B423F1" w:rsidP="00B423F1">
                  <w:pPr>
                    <w:jc w:val="right"/>
                    <w:rPr>
                      <w:rFonts w:asciiTheme="minorHAnsi" w:hAnsiTheme="minorHAnsi" w:cstheme="minorHAnsi"/>
                      <w:color w:val="78A22F"/>
                      <w:sz w:val="18"/>
                      <w:szCs w:val="18"/>
                    </w:rPr>
                  </w:pPr>
                  <w:r w:rsidRPr="00B423F1">
                    <w:rPr>
                      <w:rFonts w:asciiTheme="minorHAnsi" w:hAnsiTheme="minorHAnsi" w:cstheme="minorHAnsi"/>
                      <w:color w:val="78A22F"/>
                      <w:sz w:val="18"/>
                      <w:szCs w:val="18"/>
                    </w:rPr>
                    <w:t>0.82</w:t>
                  </w:r>
                </w:p>
              </w:tc>
            </w:tr>
          </w:tbl>
          <w:p w14:paraId="1D0A6F5A" w14:textId="77777777" w:rsidR="00BE21F9" w:rsidRDefault="00BE21F9" w:rsidP="006B348F">
            <w:pPr>
              <w:pStyle w:val="Box"/>
            </w:pPr>
          </w:p>
        </w:tc>
      </w:tr>
      <w:tr w:rsidR="00BE21F9" w14:paraId="1D0A6F5D" w14:textId="77777777" w:rsidTr="006B348F">
        <w:tc>
          <w:tcPr>
            <w:tcW w:w="8771" w:type="dxa"/>
            <w:tcBorders>
              <w:top w:val="nil"/>
              <w:left w:val="nil"/>
              <w:bottom w:val="nil"/>
              <w:right w:val="nil"/>
            </w:tcBorders>
            <w:shd w:val="clear" w:color="auto" w:fill="auto"/>
          </w:tcPr>
          <w:p w14:paraId="1D0A6F5C" w14:textId="77777777" w:rsidR="00BE21F9" w:rsidRDefault="00BE21F9" w:rsidP="00912547">
            <w:pPr>
              <w:pStyle w:val="Note"/>
              <w:rPr>
                <w:i/>
              </w:rPr>
            </w:pPr>
            <w:r w:rsidRPr="008E77FE">
              <w:rPr>
                <w:rStyle w:val="NoteLabel"/>
              </w:rPr>
              <w:t>a</w:t>
            </w:r>
            <w:r>
              <w:t xml:space="preserve"> </w:t>
            </w:r>
            <w:r w:rsidR="00912547">
              <w:t xml:space="preserve">MFP growth estimated as a </w:t>
            </w:r>
            <w:proofErr w:type="spellStart"/>
            <w:r w:rsidR="00912547">
              <w:t>Tornqvist</w:t>
            </w:r>
            <w:proofErr w:type="spellEnd"/>
            <w:r w:rsidR="00912547">
              <w:t xml:space="preserve"> index. Output is </w:t>
            </w:r>
            <w:r w:rsidR="00912547" w:rsidRPr="00912547">
              <w:t xml:space="preserve">in millions of 2016 US$ (converted to 2016 price level with updated 2011 </w:t>
            </w:r>
            <w:proofErr w:type="spellStart"/>
            <w:r w:rsidR="00FB4CB2">
              <w:t>EKS</w:t>
            </w:r>
            <w:proofErr w:type="spellEnd"/>
            <w:r w:rsidR="00FB4CB2">
              <w:t xml:space="preserve"> </w:t>
            </w:r>
            <w:r w:rsidR="00912547" w:rsidRPr="00912547">
              <w:t>PPPs)</w:t>
            </w:r>
            <w:r w:rsidR="00912547">
              <w:t>.</w:t>
            </w:r>
            <w:r w:rsidR="00B15C33">
              <w:t xml:space="preserve"> Green numbers relate to positive figure</w:t>
            </w:r>
            <w:r w:rsidR="00CF0E9C">
              <w:t>s</w:t>
            </w:r>
            <w:r w:rsidR="00B15C33">
              <w:t>, red numbers relate to negative figures.</w:t>
            </w:r>
          </w:p>
        </w:tc>
      </w:tr>
      <w:tr w:rsidR="00BE21F9" w14:paraId="1D0A6F5F" w14:textId="77777777" w:rsidTr="006B348F">
        <w:tc>
          <w:tcPr>
            <w:tcW w:w="8771" w:type="dxa"/>
            <w:tcBorders>
              <w:top w:val="nil"/>
              <w:left w:val="nil"/>
              <w:bottom w:val="nil"/>
              <w:right w:val="nil"/>
            </w:tcBorders>
            <w:shd w:val="clear" w:color="auto" w:fill="auto"/>
          </w:tcPr>
          <w:p w14:paraId="1D0A6F5E" w14:textId="77777777" w:rsidR="00BE21F9" w:rsidRDefault="00912547" w:rsidP="00912547">
            <w:pPr>
              <w:pStyle w:val="Source"/>
            </w:pPr>
            <w:r>
              <w:rPr>
                <w:i/>
              </w:rPr>
              <w:t>Source</w:t>
            </w:r>
            <w:r w:rsidR="00BE21F9">
              <w:rPr>
                <w:i/>
              </w:rPr>
              <w:t>s</w:t>
            </w:r>
            <w:r w:rsidR="00BE21F9" w:rsidRPr="00167F06">
              <w:t xml:space="preserve">: </w:t>
            </w:r>
            <w:r w:rsidR="00BE21F9">
              <w:t>The Conference Board</w:t>
            </w:r>
            <w:r w:rsidR="00F40EBA">
              <w:t xml:space="preserve"> </w:t>
            </w:r>
            <w:r w:rsidR="00F40EBA" w:rsidRPr="00F40EBA">
              <w:rPr>
                <w:rFonts w:cs="Arial"/>
              </w:rPr>
              <w:t>(2017)</w:t>
            </w:r>
            <w:r w:rsidR="00BE21F9">
              <w:t xml:space="preserve"> </w:t>
            </w:r>
            <w:r w:rsidR="00BE21F9" w:rsidRPr="00F40EBA">
              <w:rPr>
                <w:i/>
              </w:rPr>
              <w:t>Total Economy Database</w:t>
            </w:r>
            <w:r w:rsidR="00BE21F9">
              <w:t xml:space="preserve">, </w:t>
            </w:r>
            <w:r>
              <w:t>May</w:t>
            </w:r>
            <w:r w:rsidR="00BE21F9">
              <w:t xml:space="preserve"> 201</w:t>
            </w:r>
            <w:r>
              <w:t>7</w:t>
            </w:r>
            <w:r w:rsidR="00BE21F9">
              <w:t>.</w:t>
            </w:r>
          </w:p>
        </w:tc>
      </w:tr>
      <w:tr w:rsidR="00BE21F9" w14:paraId="1D0A6F61" w14:textId="77777777" w:rsidTr="006B348F">
        <w:tc>
          <w:tcPr>
            <w:tcW w:w="8771" w:type="dxa"/>
            <w:tcBorders>
              <w:top w:val="nil"/>
              <w:left w:val="nil"/>
              <w:bottom w:val="single" w:sz="6" w:space="0" w:color="78A22F"/>
              <w:right w:val="nil"/>
            </w:tcBorders>
            <w:shd w:val="clear" w:color="auto" w:fill="auto"/>
          </w:tcPr>
          <w:p w14:paraId="1D0A6F60" w14:textId="77777777" w:rsidR="00BE21F9" w:rsidRDefault="00BE21F9" w:rsidP="006B348F">
            <w:pPr>
              <w:pStyle w:val="Box"/>
              <w:spacing w:before="0" w:line="120" w:lineRule="exact"/>
            </w:pPr>
          </w:p>
        </w:tc>
      </w:tr>
      <w:tr w:rsidR="00BE21F9" w:rsidRPr="000863A5" w14:paraId="1D0A6F63" w14:textId="77777777" w:rsidTr="006B348F">
        <w:tc>
          <w:tcPr>
            <w:tcW w:w="8771" w:type="dxa"/>
            <w:tcBorders>
              <w:top w:val="single" w:sz="6" w:space="0" w:color="78A22F"/>
              <w:left w:val="nil"/>
              <w:bottom w:val="nil"/>
              <w:right w:val="nil"/>
            </w:tcBorders>
          </w:tcPr>
          <w:p w14:paraId="1D0A6F62" w14:textId="77777777" w:rsidR="00BE21F9" w:rsidRPr="00626D32" w:rsidRDefault="00BE21F9" w:rsidP="006B348F">
            <w:pPr>
              <w:pStyle w:val="BoxSpaceBelow"/>
            </w:pPr>
          </w:p>
        </w:tc>
      </w:tr>
    </w:tbl>
    <w:p w14:paraId="1D0A6F64" w14:textId="77777777" w:rsidR="004B0B31" w:rsidRDefault="001A032D" w:rsidP="00BE21F9">
      <w:pPr>
        <w:pStyle w:val="ListBullet"/>
        <w:numPr>
          <w:ilvl w:val="0"/>
          <w:numId w:val="0"/>
        </w:numPr>
      </w:pPr>
      <w:r>
        <w:t>In addition to the common pattern</w:t>
      </w:r>
      <w:r w:rsidR="007279B9">
        <w:t xml:space="preserve"> across</w:t>
      </w:r>
      <w:r w:rsidR="00BE21F9" w:rsidRPr="00584CBA">
        <w:t xml:space="preserve"> advanced </w:t>
      </w:r>
      <w:r w:rsidR="00BE21F9">
        <w:t>economies,</w:t>
      </w:r>
      <w:r w:rsidR="007279B9">
        <w:t xml:space="preserve"> </w:t>
      </w:r>
      <w:r>
        <w:t xml:space="preserve">the slowdown </w:t>
      </w:r>
      <w:r w:rsidR="00BE21F9" w:rsidRPr="00584CBA">
        <w:t xml:space="preserve">predates the </w:t>
      </w:r>
      <w:proofErr w:type="spellStart"/>
      <w:r w:rsidR="00BE21F9">
        <w:t>GFC</w:t>
      </w:r>
      <w:proofErr w:type="spellEnd"/>
      <w:r w:rsidR="00BE21F9">
        <w:t xml:space="preserve">, implying that </w:t>
      </w:r>
      <w:r>
        <w:t>it</w:t>
      </w:r>
      <w:r w:rsidR="00BE21F9">
        <w:t xml:space="preserve"> is not a purely cyclical phenomenon. </w:t>
      </w:r>
      <w:r>
        <w:t>A</w:t>
      </w:r>
      <w:r w:rsidR="004B0B31">
        <w:t xml:space="preserve">cross the OECD, </w:t>
      </w:r>
      <w:r>
        <w:t>with the exception of Australia</w:t>
      </w:r>
      <w:r w:rsidR="004B0B31">
        <w:t>, LP growth was lower in the decade to 2017 than in any decade from 1950.</w:t>
      </w:r>
      <w:r w:rsidR="004B0B31" w:rsidRPr="00E6296D">
        <w:rPr>
          <w:rStyle w:val="FootnoteReference"/>
        </w:rPr>
        <w:footnoteReference w:id="19"/>
      </w:r>
      <w:r w:rsidR="004B0B31">
        <w:t xml:space="preserve"> </w:t>
      </w:r>
    </w:p>
    <w:p w14:paraId="1D0A6F65" w14:textId="77777777" w:rsidR="00D73102" w:rsidRDefault="009D4E18" w:rsidP="00BE21F9">
      <w:pPr>
        <w:pStyle w:val="ListBullet"/>
        <w:numPr>
          <w:ilvl w:val="0"/>
          <w:numId w:val="0"/>
        </w:numPr>
      </w:pPr>
      <w:r>
        <w:t>T</w:t>
      </w:r>
      <w:r w:rsidR="00BE21F9">
        <w:t>he fall in productivity growth among advanced economies</w:t>
      </w:r>
      <w:r w:rsidR="002327F9">
        <w:t>, including Australia,</w:t>
      </w:r>
      <w:r w:rsidR="00BE21F9">
        <w:t xml:space="preserve"> is observable over several decades</w:t>
      </w:r>
      <w:r w:rsidRPr="009D4E18">
        <w:t xml:space="preserve"> </w:t>
      </w:r>
      <w:r w:rsidR="00D63B12" w:rsidRPr="00D63B12">
        <w:rPr>
          <w:szCs w:val="24"/>
        </w:rPr>
        <w:t>(</w:t>
      </w:r>
      <w:proofErr w:type="spellStart"/>
      <w:r w:rsidR="00D63B12" w:rsidRPr="00D63B12">
        <w:rPr>
          <w:szCs w:val="24"/>
        </w:rPr>
        <w:t>Bergeaud</w:t>
      </w:r>
      <w:proofErr w:type="spellEnd"/>
      <w:r w:rsidR="00D63B12" w:rsidRPr="00D63B12">
        <w:rPr>
          <w:szCs w:val="24"/>
        </w:rPr>
        <w:t xml:space="preserve">, </w:t>
      </w:r>
      <w:proofErr w:type="spellStart"/>
      <w:r w:rsidR="00D63B12" w:rsidRPr="00D63B12">
        <w:rPr>
          <w:szCs w:val="24"/>
        </w:rPr>
        <w:t>Cette</w:t>
      </w:r>
      <w:proofErr w:type="spellEnd"/>
      <w:r w:rsidR="00D63B12" w:rsidRPr="00D63B12">
        <w:rPr>
          <w:szCs w:val="24"/>
        </w:rPr>
        <w:t xml:space="preserve"> and </w:t>
      </w:r>
      <w:proofErr w:type="spellStart"/>
      <w:r w:rsidR="00D63B12" w:rsidRPr="00D63B12">
        <w:rPr>
          <w:szCs w:val="24"/>
        </w:rPr>
        <w:t>Lecat</w:t>
      </w:r>
      <w:proofErr w:type="spellEnd"/>
      <w:r w:rsidR="00D63B12" w:rsidRPr="00D63B12">
        <w:rPr>
          <w:szCs w:val="24"/>
        </w:rPr>
        <w:t xml:space="preserve"> 2016; </w:t>
      </w:r>
      <w:proofErr w:type="spellStart"/>
      <w:r w:rsidR="00D63B12" w:rsidRPr="00D63B12">
        <w:rPr>
          <w:szCs w:val="24"/>
        </w:rPr>
        <w:t>Carmody</w:t>
      </w:r>
      <w:proofErr w:type="spellEnd"/>
      <w:r w:rsidR="00D63B12" w:rsidRPr="00D63B12">
        <w:rPr>
          <w:szCs w:val="24"/>
        </w:rPr>
        <w:t> 2013)</w:t>
      </w:r>
      <w:r w:rsidR="00BE21F9">
        <w:t xml:space="preserve">. Even accounting for the impact of the </w:t>
      </w:r>
      <w:proofErr w:type="spellStart"/>
      <w:r w:rsidR="00BE21F9">
        <w:t>GFC</w:t>
      </w:r>
      <w:proofErr w:type="spellEnd"/>
      <w:r w:rsidR="00BE21F9">
        <w:t>, and differential capital intensities of different economies, the rate of expansion in the international technological frontier (as measured by MFP growth) has been notably slower in recent years than in preceding decades (figure 1</w:t>
      </w:r>
      <w:r w:rsidR="00CF0E9C">
        <w:t>1</w:t>
      </w:r>
      <w:r w:rsidR="00BE21F9">
        <w:t xml:space="preserve">). The low, zero, or indeed negative rates of MFP growth observed across countries in recent years represents something of </w:t>
      </w:r>
      <w:r w:rsidR="00FB4CB2">
        <w:t>a</w:t>
      </w:r>
      <w:r w:rsidR="00BE21F9">
        <w:t xml:space="preserve"> puzzle, because it implies that, at least in aggregate, these economies have not become any more efficient, or may have become less efficient in producing output. </w:t>
      </w:r>
      <w:r w:rsidR="00D73102">
        <w:t xml:space="preserve">This </w:t>
      </w:r>
      <w:r w:rsidR="00A54640">
        <w:t>is</w:t>
      </w:r>
      <w:r w:rsidR="00D73102">
        <w:t xml:space="preserve"> notwithstanding significant technological changes — especially in </w:t>
      </w:r>
      <w:r w:rsidR="00A54640">
        <w:t xml:space="preserve">areas that exploit </w:t>
      </w:r>
      <w:r w:rsidR="00D73102">
        <w:t xml:space="preserve">information technologies — such as mobile technologies, </w:t>
      </w:r>
      <w:r w:rsidR="00A54640">
        <w:t>machine learning, and artificial intelligence (chapter 1 in the main report).</w:t>
      </w:r>
      <w:r w:rsidR="00A54640" w:rsidRPr="00E6296D">
        <w:rPr>
          <w:rStyle w:val="FootnoteReference"/>
        </w:rPr>
        <w:footnoteReference w:id="20"/>
      </w:r>
      <w:r w:rsidR="00A54640">
        <w:t xml:space="preserve"> </w:t>
      </w:r>
      <w:r w:rsidR="001A032D">
        <w:lastRenderedPageBreak/>
        <w:t>This raises questions about the pace of global technological change — a concern for Australia given our reliance on others’ technological advances.</w:t>
      </w:r>
    </w:p>
    <w:p w14:paraId="1D0A6F66" w14:textId="77777777" w:rsidR="00191199" w:rsidRDefault="00BE21F9" w:rsidP="00BE21F9">
      <w:pPr>
        <w:pStyle w:val="ListBullet"/>
        <w:numPr>
          <w:ilvl w:val="0"/>
          <w:numId w:val="0"/>
        </w:numPr>
      </w:pPr>
      <w:r>
        <w:t>A number of ideas have been put forward as potential reasons for the observed secular slowdown. These are explored in section </w:t>
      </w:r>
      <w:r w:rsidR="002327F9">
        <w:t>3</w:t>
      </w:r>
      <w:r w:rsidR="00F257A1">
        <w:t xml:space="preserve">. </w:t>
      </w:r>
    </w:p>
    <w:p w14:paraId="1D0A6F67" w14:textId="77777777" w:rsidR="00191199" w:rsidRDefault="00191199" w:rsidP="00191199">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191199" w14:paraId="1D0A6F6A" w14:textId="77777777" w:rsidTr="0084197A">
        <w:tc>
          <w:tcPr>
            <w:tcW w:w="8771" w:type="dxa"/>
            <w:tcBorders>
              <w:top w:val="single" w:sz="6" w:space="0" w:color="78A22F"/>
              <w:left w:val="nil"/>
              <w:bottom w:val="nil"/>
              <w:right w:val="nil"/>
            </w:tcBorders>
            <w:shd w:val="clear" w:color="auto" w:fill="auto"/>
          </w:tcPr>
          <w:p w14:paraId="1D0A6F68" w14:textId="77777777" w:rsidR="00191199" w:rsidRDefault="00191199" w:rsidP="0084197A">
            <w:pPr>
              <w:pStyle w:val="FigureTitle"/>
            </w:pPr>
            <w:r w:rsidRPr="00784A05">
              <w:rPr>
                <w:b w:val="0"/>
              </w:rPr>
              <w:t xml:space="preserve">Figure </w:t>
            </w:r>
            <w:r w:rsidR="00497B26">
              <w:rPr>
                <w:b w:val="0"/>
              </w:rPr>
              <w:t>1</w:t>
            </w:r>
            <w:r w:rsidR="001F4B4F">
              <w:rPr>
                <w:b w:val="0"/>
              </w:rPr>
              <w:t>1</w:t>
            </w:r>
            <w:r>
              <w:tab/>
              <w:t xml:space="preserve">MFP productivity growth in advanced </w:t>
            </w:r>
            <w:proofErr w:type="spellStart"/>
            <w:r>
              <w:t>economies</w:t>
            </w:r>
            <w:r w:rsidRPr="00C21FFD">
              <w:rPr>
                <w:vertAlign w:val="superscript"/>
              </w:rPr>
              <w:t>a</w:t>
            </w:r>
            <w:proofErr w:type="spellEnd"/>
          </w:p>
          <w:p w14:paraId="1D0A6F69" w14:textId="77777777" w:rsidR="00191199" w:rsidRPr="00176D3F" w:rsidRDefault="00191199" w:rsidP="0084197A">
            <w:pPr>
              <w:pStyle w:val="Subtitle"/>
            </w:pPr>
            <w:r>
              <w:t>HP</w:t>
            </w:r>
            <w:r>
              <w:noBreakHyphen/>
              <w:t>filtered annual growth</w:t>
            </w:r>
          </w:p>
        </w:tc>
      </w:tr>
      <w:tr w:rsidR="00191199" w14:paraId="1D0A6F71" w14:textId="77777777" w:rsidTr="0084197A">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191199" w14:paraId="1D0A6F6F" w14:textId="77777777" w:rsidTr="0084197A">
              <w:trPr>
                <w:jc w:val="center"/>
              </w:trPr>
              <w:tc>
                <w:tcPr>
                  <w:tcW w:w="5000" w:type="pct"/>
                  <w:tcBorders>
                    <w:top w:val="nil"/>
                    <w:bottom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4"/>
                    <w:gridCol w:w="4245"/>
                  </w:tblGrid>
                  <w:tr w:rsidR="00191199" w14:paraId="1D0A6F6D" w14:textId="77777777" w:rsidTr="0084197A">
                    <w:tc>
                      <w:tcPr>
                        <w:tcW w:w="4244" w:type="dxa"/>
                      </w:tcPr>
                      <w:p w14:paraId="1D0A6F6B" w14:textId="77777777" w:rsidR="00191199" w:rsidRDefault="00191199" w:rsidP="0084197A">
                        <w:pPr>
                          <w:pStyle w:val="Figure"/>
                          <w:spacing w:before="60" w:after="60"/>
                        </w:pPr>
                        <w:r>
                          <w:rPr>
                            <w:noProof/>
                          </w:rPr>
                          <w:drawing>
                            <wp:inline distT="0" distB="0" distL="0" distR="0" wp14:anchorId="1D0A719A" wp14:editId="3726B3BB">
                              <wp:extent cx="2557145" cy="2268855"/>
                              <wp:effectExtent l="0" t="0" r="0" b="0"/>
                              <wp:docPr id="12" name="Picture 12" descr="This figure shows, across two panels, long run multifactor productivity growth rates for a selection of twelve advanced countries (Belgium, Italy, Germany, France, Netherlands, and Japan in the first panel, and the United States, Canada, Great Britain, Denmark, Sweden and Australia in the second panel), from 1955 to 2015. It highlights that the slowdown in multifactor productivity is both broadly shared across countries, and is a long-term phenomenon predating the global financial crisi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557145" cy="2268855"/>
                                      </a:xfrm>
                                      <a:prstGeom prst="rect">
                                        <a:avLst/>
                                      </a:prstGeom>
                                      <a:noFill/>
                                      <a:ln>
                                        <a:noFill/>
                                      </a:ln>
                                    </pic:spPr>
                                  </pic:pic>
                                </a:graphicData>
                              </a:graphic>
                            </wp:inline>
                          </w:drawing>
                        </w:r>
                      </w:p>
                    </w:tc>
                    <w:tc>
                      <w:tcPr>
                        <w:tcW w:w="4245" w:type="dxa"/>
                      </w:tcPr>
                      <w:p w14:paraId="1D0A6F6C" w14:textId="77777777" w:rsidR="00191199" w:rsidRDefault="00191199" w:rsidP="0084197A">
                        <w:pPr>
                          <w:pStyle w:val="Figure"/>
                          <w:spacing w:before="60" w:after="60"/>
                        </w:pPr>
                        <w:r>
                          <w:rPr>
                            <w:noProof/>
                          </w:rPr>
                          <w:drawing>
                            <wp:inline distT="0" distB="0" distL="0" distR="0" wp14:anchorId="1D0A719C" wp14:editId="314A59CB">
                              <wp:extent cx="2557145" cy="2268855"/>
                              <wp:effectExtent l="0" t="0" r="0" b="0"/>
                              <wp:docPr id="18" name="Picture 18" descr="This figure shows, across two panels, long run multifactor productivity growth rates for a selection of twelve advanced countries (Belgium, Italy, Germany, France, Netherlands, and Japan in the first panel, and the United States, Canada, Great Britain, Denmark, Sweden and Australia in the second panel), from 1955 to 2015. It highlights that the slowdown in multifactor productivity is both broadly shared across countries, and is a long-term phenomenon predating the global financial crisi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557145" cy="2268855"/>
                                      </a:xfrm>
                                      <a:prstGeom prst="rect">
                                        <a:avLst/>
                                      </a:prstGeom>
                                      <a:noFill/>
                                      <a:ln>
                                        <a:noFill/>
                                      </a:ln>
                                    </pic:spPr>
                                  </pic:pic>
                                </a:graphicData>
                              </a:graphic>
                            </wp:inline>
                          </w:drawing>
                        </w:r>
                      </w:p>
                    </w:tc>
                  </w:tr>
                </w:tbl>
                <w:p w14:paraId="1D0A6F6E" w14:textId="77777777" w:rsidR="00191199" w:rsidRDefault="00191199" w:rsidP="0084197A">
                  <w:pPr>
                    <w:pStyle w:val="Figure"/>
                    <w:spacing w:before="60" w:after="60"/>
                  </w:pPr>
                </w:p>
              </w:tc>
            </w:tr>
          </w:tbl>
          <w:p w14:paraId="1D0A6F70" w14:textId="77777777" w:rsidR="00191199" w:rsidRDefault="00191199" w:rsidP="0084197A">
            <w:pPr>
              <w:pStyle w:val="Figure"/>
            </w:pPr>
          </w:p>
        </w:tc>
      </w:tr>
      <w:tr w:rsidR="00191199" w:rsidRPr="00176D3F" w14:paraId="1D0A6F73" w14:textId="77777777" w:rsidTr="0084197A">
        <w:tc>
          <w:tcPr>
            <w:tcW w:w="8771" w:type="dxa"/>
            <w:tcBorders>
              <w:top w:val="nil"/>
              <w:left w:val="nil"/>
              <w:bottom w:val="nil"/>
              <w:right w:val="nil"/>
            </w:tcBorders>
            <w:shd w:val="clear" w:color="auto" w:fill="auto"/>
          </w:tcPr>
          <w:p w14:paraId="1D0A6F72" w14:textId="27A61155" w:rsidR="00191199" w:rsidRPr="00176D3F" w:rsidRDefault="00191199" w:rsidP="0084197A">
            <w:pPr>
              <w:pStyle w:val="Note"/>
            </w:pPr>
            <w:r>
              <w:rPr>
                <w:rStyle w:val="NoteLabel"/>
              </w:rPr>
              <w:t>a</w:t>
            </w:r>
            <w:r>
              <w:t xml:space="preserve"> Converted to US</w:t>
            </w:r>
            <w:r w:rsidRPr="00DF5697">
              <w:t xml:space="preserve"> price level</w:t>
            </w:r>
            <w:r>
              <w:t>s</w:t>
            </w:r>
            <w:r w:rsidRPr="00DF5697">
              <w:t xml:space="preserve"> with </w:t>
            </w:r>
            <w:r>
              <w:t>2010</w:t>
            </w:r>
            <w:r w:rsidRPr="00DF5697">
              <w:t xml:space="preserve"> </w:t>
            </w:r>
            <w:r>
              <w:t xml:space="preserve">$USD PPPs. Data are filtered using a </w:t>
            </w:r>
            <w:proofErr w:type="spellStart"/>
            <w:r w:rsidR="005C68E1">
              <w:t>Hodrick</w:t>
            </w:r>
            <w:proofErr w:type="spellEnd"/>
            <w:r w:rsidR="005C68E1">
              <w:noBreakHyphen/>
              <w:t xml:space="preserve">Prescott </w:t>
            </w:r>
            <w:r>
              <w:t xml:space="preserve">smoothing parameter of </w:t>
            </w:r>
            <w:r>
              <w:rPr>
                <w:rFonts w:cs="Arial"/>
              </w:rPr>
              <w:t xml:space="preserve">λ=500 in line with </w:t>
            </w:r>
            <w:proofErr w:type="spellStart"/>
            <w:r w:rsidRPr="00C137AC">
              <w:t>Bergeaud</w:t>
            </w:r>
            <w:proofErr w:type="spellEnd"/>
            <w:r w:rsidRPr="00C137AC">
              <w:t xml:space="preserve">, </w:t>
            </w:r>
            <w:proofErr w:type="spellStart"/>
            <w:r w:rsidRPr="00C137AC">
              <w:t>Cette</w:t>
            </w:r>
            <w:proofErr w:type="spellEnd"/>
            <w:r>
              <w:t xml:space="preserve">, and </w:t>
            </w:r>
            <w:proofErr w:type="spellStart"/>
            <w:r>
              <w:t>Lecat</w:t>
            </w:r>
            <w:proofErr w:type="spellEnd"/>
            <w:r>
              <w:t xml:space="preserve"> (2016). </w:t>
            </w:r>
          </w:p>
        </w:tc>
      </w:tr>
      <w:tr w:rsidR="00191199" w:rsidRPr="00176D3F" w14:paraId="1D0A6F75" w14:textId="77777777" w:rsidTr="0084197A">
        <w:tc>
          <w:tcPr>
            <w:tcW w:w="8771" w:type="dxa"/>
            <w:tcBorders>
              <w:top w:val="nil"/>
              <w:left w:val="nil"/>
              <w:bottom w:val="nil"/>
              <w:right w:val="nil"/>
            </w:tcBorders>
            <w:shd w:val="clear" w:color="auto" w:fill="auto"/>
          </w:tcPr>
          <w:p w14:paraId="1D0A6F74" w14:textId="0EEFED8C" w:rsidR="00191199" w:rsidRPr="00176D3F" w:rsidRDefault="00EE434A" w:rsidP="0084197A">
            <w:pPr>
              <w:pStyle w:val="Source"/>
            </w:pPr>
            <w:r>
              <w:rPr>
                <w:i/>
              </w:rPr>
              <w:t>S</w:t>
            </w:r>
            <w:r w:rsidR="00191199" w:rsidRPr="00784A05">
              <w:rPr>
                <w:i/>
              </w:rPr>
              <w:t>ource</w:t>
            </w:r>
            <w:r w:rsidR="00191199" w:rsidRPr="00176D3F">
              <w:t xml:space="preserve">: </w:t>
            </w:r>
            <w:r w:rsidR="00191199">
              <w:t xml:space="preserve">Long Term Productivity Database from </w:t>
            </w:r>
            <w:proofErr w:type="spellStart"/>
            <w:r w:rsidR="000A313B">
              <w:t>Bergeaud</w:t>
            </w:r>
            <w:proofErr w:type="spellEnd"/>
            <w:r w:rsidR="00191199" w:rsidRPr="00C137AC">
              <w:t xml:space="preserve">, </w:t>
            </w:r>
            <w:proofErr w:type="spellStart"/>
            <w:r w:rsidR="00191199" w:rsidRPr="00C137AC">
              <w:t>Cette</w:t>
            </w:r>
            <w:proofErr w:type="spellEnd"/>
            <w:r w:rsidR="000A313B">
              <w:t xml:space="preserve">, and </w:t>
            </w:r>
            <w:proofErr w:type="spellStart"/>
            <w:r w:rsidR="000A313B">
              <w:t>Lecat</w:t>
            </w:r>
            <w:proofErr w:type="spellEnd"/>
            <w:r w:rsidR="00191199">
              <w:t xml:space="preserve"> </w:t>
            </w:r>
            <w:r w:rsidR="00F40EBA" w:rsidRPr="00F40EBA">
              <w:rPr>
                <w:rFonts w:cs="Arial"/>
              </w:rPr>
              <w:t>(2016)</w:t>
            </w:r>
            <w:r w:rsidR="00191199">
              <w:t xml:space="preserve">. </w:t>
            </w:r>
          </w:p>
        </w:tc>
      </w:tr>
      <w:tr w:rsidR="00191199" w14:paraId="1D0A6F77" w14:textId="77777777" w:rsidTr="0084197A">
        <w:tc>
          <w:tcPr>
            <w:tcW w:w="8771" w:type="dxa"/>
            <w:tcBorders>
              <w:top w:val="nil"/>
              <w:left w:val="nil"/>
              <w:bottom w:val="single" w:sz="6" w:space="0" w:color="78A22F"/>
              <w:right w:val="nil"/>
            </w:tcBorders>
            <w:shd w:val="clear" w:color="auto" w:fill="auto"/>
          </w:tcPr>
          <w:p w14:paraId="1D0A6F76" w14:textId="77777777" w:rsidR="00191199" w:rsidRDefault="00191199" w:rsidP="0084197A">
            <w:pPr>
              <w:pStyle w:val="Figurespace"/>
            </w:pPr>
          </w:p>
        </w:tc>
      </w:tr>
      <w:tr w:rsidR="00191199" w:rsidRPr="000863A5" w14:paraId="1D0A6F79" w14:textId="77777777" w:rsidTr="0084197A">
        <w:tc>
          <w:tcPr>
            <w:tcW w:w="8771" w:type="dxa"/>
            <w:tcBorders>
              <w:top w:val="single" w:sz="6" w:space="0" w:color="78A22F"/>
              <w:left w:val="nil"/>
              <w:bottom w:val="nil"/>
              <w:right w:val="nil"/>
            </w:tcBorders>
          </w:tcPr>
          <w:p w14:paraId="1D0A6F78" w14:textId="77777777" w:rsidR="00191199" w:rsidRPr="00626D32" w:rsidRDefault="00191199" w:rsidP="0084197A">
            <w:pPr>
              <w:pStyle w:val="BoxSpaceBelow"/>
            </w:pPr>
          </w:p>
        </w:tc>
      </w:tr>
    </w:tbl>
    <w:p w14:paraId="1D0A6F7A" w14:textId="77777777" w:rsidR="00191199" w:rsidRPr="004E3B94" w:rsidRDefault="00191199" w:rsidP="00191199">
      <w:pPr>
        <w:pStyle w:val="BoxSpaceAboveElement"/>
        <w:keepLines/>
        <w:rPr>
          <w:vanish w:val="0"/>
          <w:color w:val="auto"/>
        </w:rPr>
      </w:pPr>
    </w:p>
    <w:tbl>
      <w:tblPr>
        <w:tblW w:w="4814" w:type="pct"/>
        <w:tblInd w:w="170"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191199" w14:paraId="1D0A6F7D" w14:textId="77777777" w:rsidTr="00DA091E">
        <w:trPr>
          <w:cantSplit/>
          <w:tblHeader/>
        </w:trPr>
        <w:tc>
          <w:tcPr>
            <w:tcW w:w="5000" w:type="pct"/>
            <w:tcBorders>
              <w:top w:val="single" w:sz="6" w:space="0" w:color="265A9A" w:themeColor="accent2"/>
              <w:left w:val="nil"/>
              <w:bottom w:val="nil"/>
              <w:right w:val="nil"/>
            </w:tcBorders>
            <w:shd w:val="clear" w:color="auto" w:fill="E1EBF5"/>
            <w:tcMar>
              <w:left w:w="170" w:type="dxa"/>
              <w:right w:w="170" w:type="dxa"/>
            </w:tcMar>
          </w:tcPr>
          <w:p w14:paraId="1D0A6F7B" w14:textId="77777777" w:rsidR="00191199" w:rsidRPr="00042209" w:rsidRDefault="00F257A1" w:rsidP="0084197A">
            <w:pPr>
              <w:pStyle w:val="FindingTitle"/>
              <w:spacing w:before="120"/>
              <w:rPr>
                <w:noProof/>
              </w:rPr>
            </w:pPr>
            <w:r w:rsidRPr="00042209">
              <w:t>conclusion 1.6</w:t>
            </w:r>
          </w:p>
          <w:p w14:paraId="1D0A6F7C" w14:textId="77777777" w:rsidR="00191199" w:rsidRPr="00CE4C64" w:rsidRDefault="00F257A1" w:rsidP="00F257A1">
            <w:pPr>
              <w:pStyle w:val="BodyText"/>
              <w:spacing w:before="60" w:line="260" w:lineRule="atLeast"/>
            </w:pPr>
            <w:r w:rsidRPr="00042209">
              <w:rPr>
                <w:rFonts w:ascii="Arial" w:hAnsi="Arial" w:cs="Arial"/>
                <w:sz w:val="20"/>
              </w:rPr>
              <w:t>Notwithstanding some recent improvements in productivity growth internationally, advanced economies globally have seen a slowdown in productivity growth</w:t>
            </w:r>
            <w:r w:rsidR="00D85219" w:rsidRPr="00042209">
              <w:rPr>
                <w:rFonts w:ascii="Arial" w:hAnsi="Arial" w:cs="Arial"/>
                <w:sz w:val="20"/>
              </w:rPr>
              <w:t xml:space="preserve"> dating back to before the global financial crisis</w:t>
            </w:r>
            <w:r w:rsidRPr="00042209">
              <w:rPr>
                <w:rFonts w:ascii="Arial" w:hAnsi="Arial" w:cs="Arial"/>
                <w:sz w:val="20"/>
              </w:rPr>
              <w:t>. While this may partly reflect a number of structural factors, there remains scope for Australian businesses and industries to leverage international best</w:t>
            </w:r>
            <w:r w:rsidR="00FB4CB2" w:rsidRPr="00042209">
              <w:rPr>
                <w:rFonts w:ascii="Arial" w:hAnsi="Arial" w:cs="Arial"/>
                <w:sz w:val="20"/>
              </w:rPr>
              <w:t xml:space="preserve"> </w:t>
            </w:r>
            <w:r w:rsidR="00D85219" w:rsidRPr="00042209">
              <w:rPr>
                <w:rFonts w:ascii="Arial" w:hAnsi="Arial" w:cs="Arial"/>
                <w:sz w:val="20"/>
              </w:rPr>
              <w:t>practice to move closer to the productivity frontier for their industry</w:t>
            </w:r>
            <w:r w:rsidRPr="00042209">
              <w:rPr>
                <w:rFonts w:ascii="Arial" w:hAnsi="Arial" w:cs="Arial"/>
                <w:sz w:val="20"/>
              </w:rPr>
              <w:t xml:space="preserve">. </w:t>
            </w:r>
          </w:p>
        </w:tc>
      </w:tr>
      <w:tr w:rsidR="00191199" w14:paraId="1D0A6F7F" w14:textId="77777777" w:rsidTr="00DA091E">
        <w:trPr>
          <w:cantSplit/>
          <w:tblHeader/>
        </w:trPr>
        <w:tc>
          <w:tcPr>
            <w:tcW w:w="5000" w:type="pct"/>
            <w:tcBorders>
              <w:top w:val="nil"/>
              <w:left w:val="nil"/>
              <w:bottom w:val="single" w:sz="6" w:space="0" w:color="265A9A" w:themeColor="accent2"/>
              <w:right w:val="nil"/>
            </w:tcBorders>
            <w:shd w:val="clear" w:color="auto" w:fill="E1EBF5"/>
            <w:tcMar>
              <w:left w:w="170" w:type="dxa"/>
              <w:right w:w="170" w:type="dxa"/>
            </w:tcMar>
          </w:tcPr>
          <w:p w14:paraId="1D0A6F7E" w14:textId="77777777" w:rsidR="00191199" w:rsidRDefault="00191199" w:rsidP="0084197A">
            <w:pPr>
              <w:pStyle w:val="Space"/>
              <w:keepLines/>
            </w:pPr>
          </w:p>
        </w:tc>
      </w:tr>
      <w:tr w:rsidR="00191199" w:rsidRPr="000863A5" w14:paraId="1D0A6F81" w14:textId="77777777" w:rsidTr="00DA091E">
        <w:trPr>
          <w:cantSplit/>
          <w:tblHeader/>
        </w:trPr>
        <w:tc>
          <w:tcPr>
            <w:tcW w:w="5000" w:type="pct"/>
            <w:tcBorders>
              <w:top w:val="single" w:sz="6" w:space="0" w:color="265A9A" w:themeColor="accent2"/>
              <w:left w:val="nil"/>
              <w:bottom w:val="nil"/>
              <w:right w:val="nil"/>
            </w:tcBorders>
            <w:tcMar>
              <w:left w:w="170" w:type="dxa"/>
              <w:right w:w="170" w:type="dxa"/>
            </w:tcMar>
          </w:tcPr>
          <w:p w14:paraId="1D0A6F80" w14:textId="77777777" w:rsidR="00191199" w:rsidRPr="00626D32" w:rsidRDefault="00191199" w:rsidP="0084197A">
            <w:pPr>
              <w:pStyle w:val="BoxSpaceBelow"/>
              <w:keepLines/>
            </w:pPr>
          </w:p>
        </w:tc>
      </w:tr>
    </w:tbl>
    <w:p w14:paraId="1D0A6F82" w14:textId="77777777" w:rsidR="00BE21F9" w:rsidRDefault="00092F05" w:rsidP="00BE21F9">
      <w:pPr>
        <w:pStyle w:val="Heading2"/>
      </w:pPr>
      <w:bookmarkStart w:id="12" w:name="_Toc489008890"/>
      <w:r>
        <w:t>3</w:t>
      </w:r>
      <w:r w:rsidR="00BE21F9">
        <w:tab/>
      </w:r>
      <w:r w:rsidR="00FB4CB2">
        <w:t>E</w:t>
      </w:r>
      <w:r w:rsidR="00BE21F9">
        <w:t>xplanations for the productivity slowdown</w:t>
      </w:r>
      <w:bookmarkEnd w:id="12"/>
    </w:p>
    <w:p w14:paraId="1D0A6F83" w14:textId="77777777" w:rsidR="00BE21F9" w:rsidRDefault="00BE21F9" w:rsidP="00BE21F9">
      <w:pPr>
        <w:pStyle w:val="ListBullet"/>
        <w:numPr>
          <w:ilvl w:val="0"/>
          <w:numId w:val="0"/>
        </w:numPr>
      </w:pPr>
      <w:r>
        <w:t xml:space="preserve">This section summarises the predominant explanations for </w:t>
      </w:r>
      <w:r w:rsidR="00971B70">
        <w:t xml:space="preserve">the </w:t>
      </w:r>
      <w:r>
        <w:t xml:space="preserve">observed </w:t>
      </w:r>
      <w:r w:rsidR="00971B70">
        <w:t xml:space="preserve">slowdown in </w:t>
      </w:r>
      <w:r>
        <w:t>prod</w:t>
      </w:r>
      <w:r w:rsidR="00971B70">
        <w:t>uctivity growth internationally.</w:t>
      </w:r>
    </w:p>
    <w:p w14:paraId="1D0A6F84" w14:textId="77777777" w:rsidR="002327F9" w:rsidRDefault="002327F9" w:rsidP="002327F9">
      <w:pPr>
        <w:pStyle w:val="Heading3"/>
      </w:pPr>
      <w:r>
        <w:t>Measurement issues</w:t>
      </w:r>
    </w:p>
    <w:p w14:paraId="1D0A6F85" w14:textId="52056996" w:rsidR="002327F9" w:rsidRDefault="002327F9" w:rsidP="00900637">
      <w:pPr>
        <w:pStyle w:val="BodyText"/>
        <w:spacing w:before="200"/>
      </w:pPr>
      <w:r>
        <w:t xml:space="preserve">There has been some recent debate over whether measurement issues can explain at least a part of </w:t>
      </w:r>
      <w:r w:rsidRPr="00E14D16">
        <w:t>the</w:t>
      </w:r>
      <w:r>
        <w:t xml:space="preserve"> observed</w:t>
      </w:r>
      <w:r w:rsidRPr="00E14D16">
        <w:t xml:space="preserve"> </w:t>
      </w:r>
      <w:r>
        <w:t>productivity slowdown.</w:t>
      </w:r>
      <w:r w:rsidRPr="004364FC">
        <w:t xml:space="preserve"> </w:t>
      </w:r>
      <w:r w:rsidR="007279B9">
        <w:t>If</w:t>
      </w:r>
      <w:r>
        <w:t xml:space="preserve"> national accounts frameworks used to </w:t>
      </w:r>
      <w:r>
        <w:lastRenderedPageBreak/>
        <w:t xml:space="preserve">measure real output fail to adequately capture output attributable to new products and technologies </w:t>
      </w:r>
      <w:r w:rsidR="00981D0B">
        <w:t>that</w:t>
      </w:r>
      <w:r>
        <w:t xml:space="preserve"> have emerged since the turn of the century, such as cloud computing and other digital services</w:t>
      </w:r>
      <w:r w:rsidR="007279B9">
        <w:t>, then this could explain at least some of the measured slowdown</w:t>
      </w:r>
      <w:r>
        <w:t xml:space="preserve">. </w:t>
      </w:r>
      <w:r w:rsidR="007279B9">
        <w:t xml:space="preserve">There are two possible explanations. The first is that </w:t>
      </w:r>
      <w:r w:rsidR="007279B9" w:rsidRPr="004364FC">
        <w:t>a</w:t>
      </w:r>
      <w:r w:rsidR="007279B9">
        <w:t>n increasingly</w:t>
      </w:r>
      <w:r w:rsidR="007279B9" w:rsidRPr="004364FC">
        <w:t xml:space="preserve"> </w:t>
      </w:r>
      <w:r w:rsidRPr="004364FC">
        <w:t>smaller share of the utility these products provide is embodied in their prices</w:t>
      </w:r>
      <w:r w:rsidR="007279B9">
        <w:t xml:space="preserve"> (that is consumer surplus is rising, and this is not captured in national accounts). The second, and related, explanation is</w:t>
      </w:r>
      <w:r>
        <w:t xml:space="preserve"> that the </w:t>
      </w:r>
      <w:r w:rsidRPr="004364FC">
        <w:t xml:space="preserve">price deflators </w:t>
      </w:r>
      <w:r>
        <w:t xml:space="preserve">used for these goods </w:t>
      </w:r>
      <w:r w:rsidR="00630B59">
        <w:t xml:space="preserve">do not adequately reflect </w:t>
      </w:r>
      <w:r w:rsidR="0067486B">
        <w:t>improvements</w:t>
      </w:r>
      <w:r w:rsidR="00630B59">
        <w:t xml:space="preserve"> in their quality</w:t>
      </w:r>
      <w:r w:rsidR="0067486B">
        <w:t xml:space="preserve">, </w:t>
      </w:r>
      <w:r w:rsidR="00630B59">
        <w:t>so</w:t>
      </w:r>
      <w:r>
        <w:t xml:space="preserve"> output measures </w:t>
      </w:r>
      <w:r w:rsidRPr="004364FC">
        <w:t xml:space="preserve">understate quantity growth as </w:t>
      </w:r>
      <w:r w:rsidR="00630B59">
        <w:t xml:space="preserve">they are </w:t>
      </w:r>
      <w:r>
        <w:t>derived from nominal sales data</w:t>
      </w:r>
      <w:r w:rsidR="00630B59">
        <w:t xml:space="preserve"> adjusted for the effect of changes in prices</w:t>
      </w:r>
      <w:r w:rsidR="0067486B">
        <w:t xml:space="preserve"> (which are typically falling)</w:t>
      </w:r>
      <w:r>
        <w:t>.</w:t>
      </w:r>
    </w:p>
    <w:p w14:paraId="1D0A6F86" w14:textId="1B416A05" w:rsidR="004A17FA" w:rsidRDefault="00D63B12" w:rsidP="00900637">
      <w:pPr>
        <w:pStyle w:val="BodyText"/>
        <w:spacing w:before="200"/>
      </w:pPr>
      <w:r>
        <w:t>H</w:t>
      </w:r>
      <w:r w:rsidR="002327F9">
        <w:t>owever, there is a growing body of evidence that measurement issues are not able to explain the full extent of the slowdown</w:t>
      </w:r>
      <w:r w:rsidR="008929EB">
        <w:t xml:space="preserve"> </w:t>
      </w:r>
      <w:r w:rsidR="008929EB" w:rsidRPr="008929EB">
        <w:rPr>
          <w:szCs w:val="24"/>
        </w:rPr>
        <w:t>(</w:t>
      </w:r>
      <w:proofErr w:type="spellStart"/>
      <w:r w:rsidR="008929EB" w:rsidRPr="008929EB">
        <w:rPr>
          <w:szCs w:val="24"/>
        </w:rPr>
        <w:t>Albrizio</w:t>
      </w:r>
      <w:proofErr w:type="spellEnd"/>
      <w:r w:rsidR="008929EB" w:rsidRPr="008929EB">
        <w:rPr>
          <w:szCs w:val="24"/>
        </w:rPr>
        <w:t xml:space="preserve"> and </w:t>
      </w:r>
      <w:proofErr w:type="spellStart"/>
      <w:r w:rsidR="008929EB" w:rsidRPr="008929EB">
        <w:rPr>
          <w:szCs w:val="24"/>
        </w:rPr>
        <w:t>Nicoletti</w:t>
      </w:r>
      <w:proofErr w:type="spellEnd"/>
      <w:r w:rsidR="008929EB" w:rsidRPr="008929EB">
        <w:rPr>
          <w:szCs w:val="24"/>
        </w:rPr>
        <w:t> 2017)</w:t>
      </w:r>
      <w:r w:rsidR="002327F9">
        <w:t xml:space="preserve">. For example, </w:t>
      </w:r>
      <w:proofErr w:type="spellStart"/>
      <w:r w:rsidR="008929EB">
        <w:t>Bryne</w:t>
      </w:r>
      <w:proofErr w:type="spellEnd"/>
      <w:r w:rsidR="008929EB">
        <w:t> et al</w:t>
      </w:r>
      <w:r w:rsidR="009127D1">
        <w:t>.</w:t>
      </w:r>
      <w:r w:rsidR="002327F9" w:rsidRPr="00E14D16">
        <w:t xml:space="preserve"> </w:t>
      </w:r>
      <w:r w:rsidR="008929EB" w:rsidRPr="008929EB">
        <w:t>(2016)</w:t>
      </w:r>
      <w:r w:rsidR="008929EB">
        <w:t xml:space="preserve"> </w:t>
      </w:r>
      <w:r w:rsidR="002327F9" w:rsidRPr="00E14D16">
        <w:t>found no evidence that such errors have</w:t>
      </w:r>
      <w:r w:rsidR="002327F9">
        <w:t xml:space="preserve"> worse</w:t>
      </w:r>
      <w:r w:rsidR="00981D0B">
        <w:t>ned</w:t>
      </w:r>
      <w:r w:rsidR="002327F9">
        <w:t xml:space="preserve"> since the </w:t>
      </w:r>
      <w:proofErr w:type="spellStart"/>
      <w:r w:rsidR="002327F9">
        <w:t>1990s</w:t>
      </w:r>
      <w:proofErr w:type="spellEnd"/>
      <w:r w:rsidR="00981D0B">
        <w:t>.</w:t>
      </w:r>
      <w:r w:rsidR="002327F9">
        <w:t xml:space="preserve"> </w:t>
      </w:r>
      <w:proofErr w:type="spellStart"/>
      <w:r w:rsidR="002327F9">
        <w:t>Syverson</w:t>
      </w:r>
      <w:proofErr w:type="spellEnd"/>
      <w:r w:rsidR="008929EB">
        <w:t xml:space="preserve"> </w:t>
      </w:r>
      <w:r w:rsidR="008929EB" w:rsidRPr="008929EB">
        <w:t>(2016)</w:t>
      </w:r>
      <w:r w:rsidR="002327F9">
        <w:t xml:space="preserve"> suggests there is reasonable </w:t>
      </w:r>
      <w:r w:rsidR="002327F9" w:rsidRPr="00F801E3">
        <w:rPr>
          <w:i/>
        </w:rPr>
        <w:t>prima facie</w:t>
      </w:r>
      <w:r w:rsidR="002327F9">
        <w:t xml:space="preserve"> argument, based on the timing and scale of observed effects, that much of the slowdown is indeed real, as opposed to a byproduct of mismeasurement. </w:t>
      </w:r>
    </w:p>
    <w:p w14:paraId="1D0A6F87" w14:textId="39B68AAD" w:rsidR="002327F9" w:rsidRDefault="004A17FA" w:rsidP="00900637">
      <w:pPr>
        <w:pStyle w:val="BodyText"/>
        <w:spacing w:before="200"/>
      </w:pPr>
      <w:r>
        <w:t>There is also a question as to whether measurement issues matter in the context of national accounts collections given that m</w:t>
      </w:r>
      <w:r w:rsidRPr="004A17FA">
        <w:t xml:space="preserve">any of the </w:t>
      </w:r>
      <w:r>
        <w:t xml:space="preserve">digital services driving </w:t>
      </w:r>
      <w:r w:rsidRPr="004A17FA">
        <w:t xml:space="preserve">consumer benefits </w:t>
      </w:r>
      <w:r>
        <w:t xml:space="preserve">(like map services in smartphones, or </w:t>
      </w:r>
      <w:r w:rsidR="00745BFB">
        <w:t>vehicle sharing schemes</w:t>
      </w:r>
      <w:r>
        <w:t xml:space="preserve">) </w:t>
      </w:r>
      <w:r w:rsidR="00513B84">
        <w:t>pertain to the</w:t>
      </w:r>
      <w:r w:rsidRPr="004A17FA">
        <w:t xml:space="preserve"> </w:t>
      </w:r>
      <w:r>
        <w:t>use</w:t>
      </w:r>
      <w:r w:rsidRPr="004A17FA">
        <w:t xml:space="preserve"> </w:t>
      </w:r>
      <w:r>
        <w:t>of</w:t>
      </w:r>
      <w:r w:rsidRPr="004A17FA">
        <w:t xml:space="preserve"> non</w:t>
      </w:r>
      <w:r>
        <w:noBreakHyphen/>
      </w:r>
      <w:r w:rsidRPr="004A17FA">
        <w:t>market time</w:t>
      </w:r>
      <w:r w:rsidR="00745BFB">
        <w:t xml:space="preserve"> or resources</w:t>
      </w:r>
      <w:r w:rsidRPr="004A17FA">
        <w:t xml:space="preserve">. </w:t>
      </w:r>
      <w:r w:rsidR="00082443">
        <w:t>E</w:t>
      </w:r>
      <w:r w:rsidRPr="004A17FA">
        <w:t xml:space="preserve">ven if consumer </w:t>
      </w:r>
      <w:r>
        <w:t>surplus</w:t>
      </w:r>
      <w:r w:rsidRPr="004A17FA">
        <w:t xml:space="preserve"> is rising</w:t>
      </w:r>
      <w:r w:rsidR="00082443">
        <w:t>, the gain is in the household sector of the economy, rather than in measured production</w:t>
      </w:r>
      <w:r>
        <w:t>.</w:t>
      </w:r>
      <w:r w:rsidRPr="004A17FA">
        <w:t xml:space="preserve"> </w:t>
      </w:r>
      <w:r w:rsidR="00470075">
        <w:t xml:space="preserve">Another potential explanation (explored further below) is that it may simply take time for new technologies to translate into measurable productivity improvements. </w:t>
      </w:r>
      <w:r w:rsidR="0067486B">
        <w:t>If this is true</w:t>
      </w:r>
      <w:r w:rsidR="00470075">
        <w:t xml:space="preserve">, it would </w:t>
      </w:r>
      <w:r w:rsidR="0067486B">
        <w:t xml:space="preserve">take time for </w:t>
      </w:r>
      <w:r w:rsidR="00470075">
        <w:t xml:space="preserve">output </w:t>
      </w:r>
      <w:r w:rsidR="0067486B">
        <w:t xml:space="preserve">growth to respond </w:t>
      </w:r>
      <w:r w:rsidR="00470075">
        <w:t>to large and swift technological changes such as ha</w:t>
      </w:r>
      <w:r w:rsidR="00DA3EFD">
        <w:t>s</w:t>
      </w:r>
      <w:r w:rsidR="00470075">
        <w:t xml:space="preserve"> occurred in the last decade or so</w:t>
      </w:r>
      <w:r w:rsidR="0067486B">
        <w:t xml:space="preserve">, as businesses need time </w:t>
      </w:r>
      <w:r w:rsidR="00DA3EFD">
        <w:t xml:space="preserve">to </w:t>
      </w:r>
      <w:r w:rsidR="0067486B">
        <w:t>assess risks, develop complementary processes and develop human capital to take advantage of them. T</w:t>
      </w:r>
      <w:r w:rsidR="00470075">
        <w:t xml:space="preserve">his is not a measurement problem, and suggests that it is the rate at which </w:t>
      </w:r>
      <w:r w:rsidR="00DC0E88">
        <w:t>(</w:t>
      </w:r>
      <w:r w:rsidR="00470075">
        <w:t>and how</w:t>
      </w:r>
      <w:r w:rsidR="00DC0E88">
        <w:t>)</w:t>
      </w:r>
      <w:r w:rsidR="00470075">
        <w:t xml:space="preserve"> technologies diffuse through an economy </w:t>
      </w:r>
      <w:r w:rsidR="00981D0B">
        <w:t>that</w:t>
      </w:r>
      <w:r w:rsidR="00470075">
        <w:t xml:space="preserve"> </w:t>
      </w:r>
      <w:r w:rsidR="00DA3EFD">
        <w:t>should be</w:t>
      </w:r>
      <w:r w:rsidR="00470075">
        <w:t xml:space="preserve"> of interest to policy makers. </w:t>
      </w:r>
    </w:p>
    <w:p w14:paraId="1D0A6F88" w14:textId="77777777" w:rsidR="002327F9" w:rsidRPr="008265A6" w:rsidRDefault="00470075" w:rsidP="00501036">
      <w:pPr>
        <w:pStyle w:val="BodyText"/>
      </w:pPr>
      <w:r>
        <w:t>That said</w:t>
      </w:r>
      <w:r w:rsidR="002327F9">
        <w:t xml:space="preserve">, the importance of measurement issues to productivity statistics </w:t>
      </w:r>
      <w:r w:rsidR="00CC6C26" w:rsidRPr="001E2ED3">
        <w:t>will</w:t>
      </w:r>
      <w:r w:rsidR="002327F9">
        <w:t xml:space="preserve"> </w:t>
      </w:r>
      <w:r w:rsidR="001E2ED3">
        <w:t xml:space="preserve">likely </w:t>
      </w:r>
      <w:r w:rsidR="002327F9">
        <w:t xml:space="preserve">grow </w:t>
      </w:r>
      <w:r w:rsidR="00CC6C26">
        <w:t xml:space="preserve">on account of </w:t>
      </w:r>
      <w:r w:rsidR="002327F9">
        <w:t xml:space="preserve">continued shifts in economic activity toward sectors of the economy </w:t>
      </w:r>
      <w:r w:rsidR="00082443">
        <w:t>where the measurement of</w:t>
      </w:r>
      <w:r w:rsidR="002327F9">
        <w:t xml:space="preserve"> real output is </w:t>
      </w:r>
      <w:r w:rsidR="00082443">
        <w:t>more problematic</w:t>
      </w:r>
      <w:r w:rsidR="002327F9">
        <w:t xml:space="preserve">, </w:t>
      </w:r>
      <w:r w:rsidR="00CC6C26">
        <w:t>namely</w:t>
      </w:r>
      <w:r w:rsidR="002327F9">
        <w:t xml:space="preserve"> the non</w:t>
      </w:r>
      <w:r w:rsidR="002327F9">
        <w:noBreakHyphen/>
        <w:t>market and services sectors</w:t>
      </w:r>
      <w:r w:rsidR="001E2ED3">
        <w:t>.</w:t>
      </w:r>
      <w:r w:rsidR="002327F9">
        <w:t xml:space="preserve"> </w:t>
      </w:r>
      <w:r w:rsidR="001E2ED3">
        <w:t xml:space="preserve">These sectors both </w:t>
      </w:r>
      <w:r>
        <w:t>make more intensive use of</w:t>
      </w:r>
      <w:r w:rsidR="002327F9">
        <w:t xml:space="preserve"> </w:t>
      </w:r>
      <w:r w:rsidR="001E2ED3">
        <w:t xml:space="preserve">intangible capital in production </w:t>
      </w:r>
      <w:r>
        <w:t>and</w:t>
      </w:r>
      <w:r w:rsidR="002327F9">
        <w:t xml:space="preserve"> </w:t>
      </w:r>
      <w:r>
        <w:t>produce</w:t>
      </w:r>
      <w:r w:rsidR="002327F9">
        <w:t xml:space="preserve"> </w:t>
      </w:r>
      <w:r w:rsidR="001E2ED3">
        <w:t xml:space="preserve">more </w:t>
      </w:r>
      <w:r w:rsidR="00CC6C26">
        <w:t xml:space="preserve">intangible </w:t>
      </w:r>
      <w:r>
        <w:t>output</w:t>
      </w:r>
      <w:r w:rsidR="001E2ED3">
        <w:t>s, on average</w:t>
      </w:r>
      <w:r w:rsidR="002327F9">
        <w:t xml:space="preserve">. </w:t>
      </w:r>
      <w:r w:rsidR="00501036">
        <w:t>Accordingly, the ABS is working to improve several aspects of non</w:t>
      </w:r>
      <w:r w:rsidR="00501036">
        <w:noBreakHyphen/>
        <w:t>market sector productivity measurement</w:t>
      </w:r>
      <w:r w:rsidR="00082443">
        <w:t xml:space="preserve"> (</w:t>
      </w:r>
      <w:r w:rsidR="008949C8">
        <w:t>supporting paper</w:t>
      </w:r>
      <w:r w:rsidR="00082443">
        <w:t> 2)</w:t>
      </w:r>
      <w:r w:rsidR="00501036">
        <w:t>.</w:t>
      </w:r>
    </w:p>
    <w:p w14:paraId="1D0A6F89" w14:textId="754B9B56" w:rsidR="00C26B34" w:rsidRDefault="00CB49A8" w:rsidP="00C26B34">
      <w:pPr>
        <w:pStyle w:val="Heading3"/>
      </w:pPr>
      <w:r>
        <w:t>Technology</w:t>
      </w:r>
      <w:r w:rsidR="00C26B34" w:rsidRPr="00353C53">
        <w:t xml:space="preserve"> diffusion between frontier and non</w:t>
      </w:r>
      <w:r w:rsidR="00EE434A">
        <w:noBreakHyphen/>
      </w:r>
      <w:r w:rsidR="00C26B34" w:rsidRPr="00353C53">
        <w:t>frontier firms</w:t>
      </w:r>
      <w:r w:rsidR="003D5FF1">
        <w:t xml:space="preserve"> </w:t>
      </w:r>
    </w:p>
    <w:p w14:paraId="1D0A6F8A" w14:textId="709322EF" w:rsidR="00DC0E88" w:rsidRDefault="00DC0E88" w:rsidP="00900637">
      <w:pPr>
        <w:pStyle w:val="BodyText"/>
        <w:spacing w:before="200"/>
      </w:pPr>
      <w:r w:rsidRPr="00C968B2">
        <w:t>The diffusion of new technologies and business practices from the most productive firms globally to the most advanced firms nationally</w:t>
      </w:r>
      <w:r w:rsidR="00CB7A2A">
        <w:t>,</w:t>
      </w:r>
      <w:r w:rsidRPr="00C968B2">
        <w:t xml:space="preserve"> and then on to </w:t>
      </w:r>
      <w:r w:rsidR="00CB7A2A">
        <w:t>other</w:t>
      </w:r>
      <w:r w:rsidRPr="00C968B2">
        <w:t xml:space="preserve"> domestic firms</w:t>
      </w:r>
      <w:r w:rsidR="00CB7A2A">
        <w:t>,</w:t>
      </w:r>
      <w:r w:rsidRPr="00C968B2">
        <w:t xml:space="preserve"> is a key </w:t>
      </w:r>
      <w:r w:rsidR="00AF771F">
        <w:t>source</w:t>
      </w:r>
      <w:r w:rsidR="00AF771F" w:rsidRPr="00C968B2">
        <w:t xml:space="preserve"> </w:t>
      </w:r>
      <w:r w:rsidRPr="00C968B2">
        <w:t>of p</w:t>
      </w:r>
      <w:r w:rsidR="008929EB">
        <w:t xml:space="preserve">roductivity growth </w:t>
      </w:r>
      <w:r w:rsidR="008929EB" w:rsidRPr="008929EB">
        <w:rPr>
          <w:szCs w:val="24"/>
        </w:rPr>
        <w:t>(Conway 2016; OECD 2015)</w:t>
      </w:r>
      <w:r>
        <w:t xml:space="preserve">. </w:t>
      </w:r>
      <w:r w:rsidR="00CB7A2A">
        <w:t xml:space="preserve">As identified in the Commission’s inquiry into </w:t>
      </w:r>
      <w:r w:rsidR="00CB7A2A" w:rsidRPr="00102558">
        <w:t>Business Set</w:t>
      </w:r>
      <w:r w:rsidR="00EE434A">
        <w:noBreakHyphen/>
      </w:r>
      <w:r w:rsidR="00CB7A2A" w:rsidRPr="00102558">
        <w:t>up, Transfer and Closure</w:t>
      </w:r>
      <w:r w:rsidR="00CB7A2A">
        <w:t>, t</w:t>
      </w:r>
      <w:r w:rsidR="00CB7A2A" w:rsidRPr="00582C57">
        <w:t>he uptake of previously introduced goods, services and processes facilitates the diffusion of new ideas and efficient business practices across the economy</w:t>
      </w:r>
      <w:r w:rsidR="00603896">
        <w:t xml:space="preserve"> </w:t>
      </w:r>
      <w:r w:rsidR="00603896" w:rsidRPr="00603896">
        <w:rPr>
          <w:szCs w:val="24"/>
        </w:rPr>
        <w:t>(PC </w:t>
      </w:r>
      <w:proofErr w:type="spellStart"/>
      <w:r w:rsidR="00603896" w:rsidRPr="00603896">
        <w:rPr>
          <w:szCs w:val="24"/>
        </w:rPr>
        <w:t>2015a</w:t>
      </w:r>
      <w:proofErr w:type="spellEnd"/>
      <w:r w:rsidR="00603896" w:rsidRPr="00603896">
        <w:rPr>
          <w:szCs w:val="24"/>
        </w:rPr>
        <w:t>)</w:t>
      </w:r>
      <w:r w:rsidR="00CB7A2A">
        <w:t xml:space="preserve">. </w:t>
      </w:r>
      <w:r>
        <w:t xml:space="preserve">However, the diffusion of innovations </w:t>
      </w:r>
      <w:r>
        <w:lastRenderedPageBreak/>
        <w:t>at the global frontier to domestic economies by national frontier firms, and onwards within a country to non</w:t>
      </w:r>
      <w:r>
        <w:noBreakHyphen/>
        <w:t xml:space="preserve">frontier firms, does not happen immediately, nor in fact, inevitably. </w:t>
      </w:r>
      <w:r w:rsidRPr="00FE6E2D">
        <w:rPr>
          <w:szCs w:val="24"/>
        </w:rPr>
        <w:t>(OECD 2015)</w:t>
      </w:r>
      <w:r>
        <w:t xml:space="preserve">. </w:t>
      </w:r>
      <w:r w:rsidR="00C05E37">
        <w:t>This is important, because as the OECD notes,</w:t>
      </w:r>
      <w:r w:rsidR="00C05E37" w:rsidRPr="00781CD6">
        <w:t xml:space="preserve"> </w:t>
      </w:r>
      <w:r w:rsidR="00C05E37">
        <w:t>‘</w:t>
      </w:r>
      <w:r w:rsidR="00EE434A">
        <w:t xml:space="preserve"> </w:t>
      </w:r>
      <w:r w:rsidR="00C05E37">
        <w:t>…</w:t>
      </w:r>
      <w:r w:rsidR="00EE434A">
        <w:t xml:space="preserve"> </w:t>
      </w:r>
      <w:r w:rsidR="00C05E37" w:rsidRPr="00891043">
        <w:t>future growth will depend on harnessing the forces of knowledge diffusion, which propelled productivity grow</w:t>
      </w:r>
      <w:r w:rsidR="00C05E37">
        <w:t xml:space="preserve">th for much of the 20th century’ </w:t>
      </w:r>
      <w:r w:rsidR="00C05E37" w:rsidRPr="002F52C2">
        <w:rPr>
          <w:szCs w:val="24"/>
        </w:rPr>
        <w:t>(OECD 2015)</w:t>
      </w:r>
      <w:r w:rsidR="00C05E37">
        <w:t>.</w:t>
      </w:r>
    </w:p>
    <w:p w14:paraId="1D0A6F8B" w14:textId="3B145B94" w:rsidR="00C05E37" w:rsidRDefault="007F1208" w:rsidP="00900637">
      <w:pPr>
        <w:pStyle w:val="BodyText"/>
        <w:spacing w:before="200"/>
      </w:pPr>
      <w:r>
        <w:t>Internationally, f</w:t>
      </w:r>
      <w:r w:rsidR="00C05E37">
        <w:t>rontier firms are those firms that are the most productive firms in their industry year by year. Domestic frontier firms, the most productive firms by industry, adapt global frontier technologies to the specific circumstances of their country, and these are subsequently diffused throughout the local economy. Frontier firms are typi</w:t>
      </w:r>
      <w:r w:rsidR="00981D0B">
        <w:t xml:space="preserve">cally: larger; more profitable; </w:t>
      </w:r>
      <w:r w:rsidR="00C05E37">
        <w:t>more likely to be part of a multinational group; more capital</w:t>
      </w:r>
      <w:r w:rsidR="00DA3EFD">
        <w:noBreakHyphen/>
      </w:r>
      <w:r w:rsidR="00C05E37">
        <w:t>intensive; patent mo</w:t>
      </w:r>
      <w:r w:rsidR="00981D0B">
        <w:t xml:space="preserve">re intensively; and younger (although they are getting older) </w:t>
      </w:r>
      <w:r w:rsidR="00B15C33" w:rsidRPr="00B15C33">
        <w:rPr>
          <w:szCs w:val="24"/>
        </w:rPr>
        <w:t xml:space="preserve">(Andrews, </w:t>
      </w:r>
      <w:proofErr w:type="spellStart"/>
      <w:r w:rsidR="00B15C33" w:rsidRPr="00B15C33">
        <w:rPr>
          <w:szCs w:val="24"/>
        </w:rPr>
        <w:t>Criscuolo</w:t>
      </w:r>
      <w:proofErr w:type="spellEnd"/>
      <w:r w:rsidR="00B15C33" w:rsidRPr="00B15C33">
        <w:rPr>
          <w:szCs w:val="24"/>
        </w:rPr>
        <w:t xml:space="preserve"> and Gal 2015)</w:t>
      </w:r>
      <w:r w:rsidR="00C05E37">
        <w:t>.</w:t>
      </w:r>
    </w:p>
    <w:p w14:paraId="1D0A6F8C" w14:textId="0D187B5D" w:rsidR="00C05E37" w:rsidRDefault="00C05E37" w:rsidP="00900637">
      <w:pPr>
        <w:pStyle w:val="BodyText"/>
        <w:spacing w:before="200"/>
      </w:pPr>
      <w:r>
        <w:t>S</w:t>
      </w:r>
      <w:r w:rsidRPr="005320F7">
        <w:t>ome recent microeconomic analysis suggests that th</w:t>
      </w:r>
      <w:r>
        <w:t>e way in which frontier and non</w:t>
      </w:r>
      <w:r>
        <w:noBreakHyphen/>
      </w:r>
      <w:r w:rsidRPr="005320F7">
        <w:t>frontier firms interact may have changed. Evidence at the firm level suggests that productivity growth among international frontier firms has r</w:t>
      </w:r>
      <w:r w:rsidR="00F143D8">
        <w:t>emained robust through the 21</w:t>
      </w:r>
      <w:r w:rsidR="00F143D8" w:rsidRPr="00F143D8">
        <w:rPr>
          <w:vertAlign w:val="superscript"/>
        </w:rPr>
        <w:t>st</w:t>
      </w:r>
      <w:r w:rsidR="00F143D8">
        <w:t> </w:t>
      </w:r>
      <w:r w:rsidRPr="005320F7">
        <w:t>century, while that for other firms has generally been low</w:t>
      </w:r>
      <w:r>
        <w:t xml:space="preserve"> </w:t>
      </w:r>
      <w:r w:rsidRPr="009C7D9A">
        <w:rPr>
          <w:szCs w:val="24"/>
        </w:rPr>
        <w:t xml:space="preserve">(Andrews and </w:t>
      </w:r>
      <w:proofErr w:type="spellStart"/>
      <w:r w:rsidRPr="009C7D9A">
        <w:rPr>
          <w:szCs w:val="24"/>
        </w:rPr>
        <w:t>Criscuolo</w:t>
      </w:r>
      <w:proofErr w:type="spellEnd"/>
      <w:r w:rsidRPr="009C7D9A">
        <w:rPr>
          <w:szCs w:val="24"/>
        </w:rPr>
        <w:t> 2015)</w:t>
      </w:r>
      <w:r w:rsidRPr="005320F7">
        <w:t xml:space="preserve">. This raises questions about the availability of technologies and knowledge developed at the frontier to other firms, as well as </w:t>
      </w:r>
      <w:r w:rsidR="00DA3EFD">
        <w:t xml:space="preserve">the </w:t>
      </w:r>
      <w:r w:rsidRPr="005320F7">
        <w:t>effectiveness of firms in adopting new technologies.</w:t>
      </w:r>
      <w:r w:rsidRPr="00E6296D">
        <w:rPr>
          <w:rStyle w:val="FootnoteReference"/>
        </w:rPr>
        <w:footnoteReference w:id="21"/>
      </w:r>
      <w:r>
        <w:t xml:space="preserve"> </w:t>
      </w:r>
    </w:p>
    <w:p w14:paraId="1D0A6F8D" w14:textId="68A38A46" w:rsidR="007E0D4B" w:rsidRDefault="00B035CF" w:rsidP="00B035CF">
      <w:pPr>
        <w:pStyle w:val="BodyText"/>
      </w:pPr>
      <w:r>
        <w:t>The OECD posit</w:t>
      </w:r>
      <w:r w:rsidR="00330A35">
        <w:t>s</w:t>
      </w:r>
      <w:r>
        <w:t xml:space="preserve"> that the recent productivity slowdown reflects a slowing of the pace at which innovations spread throughout the economy. They describe this as a ‘breakdown of the diffusion machine’</w:t>
      </w:r>
      <w:r w:rsidR="00F143D8">
        <w:t>,</w:t>
      </w:r>
      <w:r>
        <w:t xml:space="preserve"> which has seen the gap between high productivity firms and the rest increasing over time </w:t>
      </w:r>
      <w:r w:rsidRPr="003F6293">
        <w:rPr>
          <w:szCs w:val="24"/>
        </w:rPr>
        <w:t>(OECD 2015)</w:t>
      </w:r>
      <w:r>
        <w:t>. This is problematic in the sense that such a ‘breakdown’ could imply a growing tail of relatively poorly performing firms</w:t>
      </w:r>
      <w:r w:rsidR="007E0D4B">
        <w:t xml:space="preserve">, </w:t>
      </w:r>
      <w:r w:rsidR="00A365CF">
        <w:t>which would have direct implications for aggregate productivity growth, and may also exacerbate inequality to the extent that a growing proportion of workers may see only marginal productivity</w:t>
      </w:r>
      <w:r w:rsidR="00DA3EFD">
        <w:t xml:space="preserve"> improvements</w:t>
      </w:r>
      <w:r w:rsidR="00A365CF">
        <w:t xml:space="preserve">, and therefore </w:t>
      </w:r>
      <w:r w:rsidR="00DA3EFD">
        <w:t xml:space="preserve">low </w:t>
      </w:r>
      <w:r w:rsidR="00A365CF">
        <w:t>wage growth</w:t>
      </w:r>
      <w:r>
        <w:t>.</w:t>
      </w:r>
      <w:r w:rsidR="007F1208">
        <w:t xml:space="preserve"> </w:t>
      </w:r>
      <w:r w:rsidR="008F340A">
        <w:t xml:space="preserve">The OECD also find that the growing dispersion of wages appears related to the dispersion of productivity itself, with workers in high productivity firms receiving higher wages (a finding </w:t>
      </w:r>
      <w:r w:rsidR="00F143D8">
        <w:t>that</w:t>
      </w:r>
      <w:r w:rsidR="008F340A">
        <w:t xml:space="preserve"> holds over all industries). </w:t>
      </w:r>
    </w:p>
    <w:p w14:paraId="1D0A6F8E" w14:textId="77777777" w:rsidR="005E6D16" w:rsidRDefault="005E6D16" w:rsidP="00B035CF">
      <w:pPr>
        <w:pStyle w:val="BodyText"/>
      </w:pPr>
      <w:r w:rsidRPr="005E6D16">
        <w:lastRenderedPageBreak/>
        <w:t>There is other compelling evidence that a significant share of Australian businesses have poor management practices, and while this is true for all countries, Australia lags behind the leading countries</w:t>
      </w:r>
      <w:r>
        <w:t xml:space="preserve"> (figure </w:t>
      </w:r>
      <w:r w:rsidR="00A5662D">
        <w:t>1</w:t>
      </w:r>
      <w:r w:rsidR="00CF0E9C">
        <w:t>2</w:t>
      </w:r>
      <w:r>
        <w:t>).</w:t>
      </w:r>
    </w:p>
    <w:p w14:paraId="1D0A6F8F" w14:textId="77777777" w:rsidR="005E6D16" w:rsidRDefault="005E6D16" w:rsidP="00D220B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9073"/>
      </w:tblGrid>
      <w:tr w:rsidR="005E6D16" w14:paraId="1D0A6F92" w14:textId="77777777" w:rsidTr="00D220BE">
        <w:trPr>
          <w:tblHeader/>
        </w:trPr>
        <w:tc>
          <w:tcPr>
            <w:tcW w:w="5000" w:type="pct"/>
            <w:tcBorders>
              <w:top w:val="single" w:sz="6" w:space="0" w:color="78A22F"/>
              <w:left w:val="nil"/>
              <w:bottom w:val="nil"/>
              <w:right w:val="nil"/>
            </w:tcBorders>
            <w:shd w:val="clear" w:color="auto" w:fill="auto"/>
          </w:tcPr>
          <w:p w14:paraId="1D0A6F90" w14:textId="77777777" w:rsidR="005E6D16" w:rsidRDefault="005E6D16" w:rsidP="00D220BE">
            <w:pPr>
              <w:pStyle w:val="FigureTitle"/>
            </w:pPr>
            <w:r w:rsidRPr="00784A05">
              <w:rPr>
                <w:b w:val="0"/>
              </w:rPr>
              <w:t xml:space="preserve">Figure </w:t>
            </w:r>
            <w:r w:rsidR="00497B26">
              <w:rPr>
                <w:b w:val="0"/>
              </w:rPr>
              <w:t>1</w:t>
            </w:r>
            <w:r w:rsidR="001F4B4F">
              <w:rPr>
                <w:b w:val="0"/>
              </w:rPr>
              <w:t>2</w:t>
            </w:r>
            <w:r>
              <w:tab/>
            </w:r>
            <w:r w:rsidRPr="005E6D16">
              <w:t>Many firms are well below the frontier</w:t>
            </w:r>
          </w:p>
          <w:p w14:paraId="1D0A6F91" w14:textId="77777777" w:rsidR="005E6D16" w:rsidRPr="00176D3F" w:rsidRDefault="005E6D16" w:rsidP="00D220BE">
            <w:pPr>
              <w:pStyle w:val="Subtitle"/>
            </w:pPr>
            <w:r w:rsidRPr="005E6D16">
              <w:t>Management performance scores around the world</w:t>
            </w:r>
          </w:p>
        </w:tc>
      </w:tr>
      <w:tr w:rsidR="005E6D16" w14:paraId="1D0A6F9C" w14:textId="77777777" w:rsidTr="00D220BE">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2834"/>
              <w:gridCol w:w="2835"/>
              <w:gridCol w:w="2835"/>
            </w:tblGrid>
            <w:tr w:rsidR="005E6D16" w:rsidRPr="00B1465D" w14:paraId="1D0A6F96" w14:textId="77777777" w:rsidTr="005E6D16">
              <w:trPr>
                <w:trHeight w:val="150"/>
                <w:tblHeader/>
                <w:jc w:val="center"/>
              </w:trPr>
              <w:tc>
                <w:tcPr>
                  <w:tcW w:w="1666" w:type="pct"/>
                  <w:tcBorders>
                    <w:top w:val="nil"/>
                    <w:bottom w:val="nil"/>
                  </w:tcBorders>
                </w:tcPr>
                <w:p w14:paraId="1D0A6F93" w14:textId="77777777" w:rsidR="005E6D16" w:rsidRPr="00B1465D" w:rsidRDefault="005E6D16" w:rsidP="00D220BE">
                  <w:pPr>
                    <w:pStyle w:val="Figure"/>
                    <w:spacing w:before="60" w:after="60"/>
                    <w:rPr>
                      <w:rFonts w:ascii="Arial" w:hAnsi="Arial" w:cs="Arial"/>
                      <w:sz w:val="18"/>
                      <w:szCs w:val="18"/>
                    </w:rPr>
                  </w:pPr>
                  <w:r w:rsidRPr="005E6D16">
                    <w:rPr>
                      <w:rFonts w:ascii="Arial" w:hAnsi="Arial" w:cs="Arial"/>
                      <w:sz w:val="18"/>
                      <w:szCs w:val="18"/>
                    </w:rPr>
                    <w:t xml:space="preserve">There are large within and across country differences in management performance at the firm </w:t>
                  </w:r>
                  <w:proofErr w:type="spellStart"/>
                  <w:r w:rsidRPr="005E6D16">
                    <w:rPr>
                      <w:rFonts w:ascii="Arial" w:hAnsi="Arial" w:cs="Arial"/>
                      <w:sz w:val="18"/>
                      <w:szCs w:val="18"/>
                    </w:rPr>
                    <w:t>level</w:t>
                  </w:r>
                  <w:r w:rsidRPr="00872C1C">
                    <w:rPr>
                      <w:rFonts w:ascii="Arial" w:hAnsi="Arial" w:cs="Arial"/>
                      <w:b/>
                      <w:sz w:val="18"/>
                      <w:szCs w:val="18"/>
                      <w:vertAlign w:val="superscript"/>
                    </w:rPr>
                    <w:t>a</w:t>
                  </w:r>
                  <w:proofErr w:type="spellEnd"/>
                </w:p>
              </w:tc>
              <w:tc>
                <w:tcPr>
                  <w:tcW w:w="1667" w:type="pct"/>
                  <w:tcBorders>
                    <w:top w:val="nil"/>
                    <w:bottom w:val="nil"/>
                  </w:tcBorders>
                </w:tcPr>
                <w:p w14:paraId="1D0A6F94" w14:textId="77777777" w:rsidR="005E6D16" w:rsidRPr="00B1465D" w:rsidRDefault="005E6D16" w:rsidP="00D220BE">
                  <w:pPr>
                    <w:pStyle w:val="Figure"/>
                    <w:spacing w:before="60" w:after="60"/>
                    <w:rPr>
                      <w:rFonts w:ascii="Arial" w:hAnsi="Arial" w:cs="Arial"/>
                      <w:sz w:val="18"/>
                      <w:szCs w:val="18"/>
                    </w:rPr>
                  </w:pPr>
                  <w:r w:rsidRPr="005E6D16">
                    <w:rPr>
                      <w:rFonts w:ascii="Arial" w:hAnsi="Arial" w:cs="Arial"/>
                      <w:sz w:val="18"/>
                      <w:szCs w:val="18"/>
                    </w:rPr>
                    <w:t xml:space="preserve">Average management scores by selected OECD and other </w:t>
                  </w:r>
                  <w:proofErr w:type="spellStart"/>
                  <w:r w:rsidRPr="005E6D16">
                    <w:rPr>
                      <w:rFonts w:ascii="Arial" w:hAnsi="Arial" w:cs="Arial"/>
                      <w:sz w:val="18"/>
                      <w:szCs w:val="18"/>
                    </w:rPr>
                    <w:t>countries</w:t>
                  </w:r>
                  <w:r w:rsidRPr="00872C1C">
                    <w:rPr>
                      <w:rFonts w:ascii="Arial" w:hAnsi="Arial" w:cs="Arial"/>
                      <w:b/>
                      <w:sz w:val="18"/>
                      <w:szCs w:val="18"/>
                      <w:vertAlign w:val="superscript"/>
                    </w:rPr>
                    <w:t>b</w:t>
                  </w:r>
                  <w:proofErr w:type="spellEnd"/>
                </w:p>
              </w:tc>
              <w:tc>
                <w:tcPr>
                  <w:tcW w:w="1667" w:type="pct"/>
                  <w:tcBorders>
                    <w:top w:val="nil"/>
                    <w:bottom w:val="nil"/>
                  </w:tcBorders>
                </w:tcPr>
                <w:p w14:paraId="1D0A6F95" w14:textId="77777777" w:rsidR="005E6D16" w:rsidRPr="00B1465D" w:rsidRDefault="005E6D16" w:rsidP="00D220BE">
                  <w:pPr>
                    <w:pStyle w:val="Figure"/>
                    <w:spacing w:before="60" w:after="60"/>
                    <w:rPr>
                      <w:rFonts w:ascii="Arial" w:hAnsi="Arial" w:cs="Arial"/>
                      <w:sz w:val="18"/>
                      <w:szCs w:val="18"/>
                    </w:rPr>
                  </w:pPr>
                  <w:r w:rsidRPr="005E6D16">
                    <w:rPr>
                      <w:rFonts w:ascii="Arial" w:hAnsi="Arial" w:cs="Arial"/>
                      <w:sz w:val="18"/>
                      <w:szCs w:val="18"/>
                    </w:rPr>
                    <w:t xml:space="preserve">% difference in total factor productivity gap with US explained by management </w:t>
                  </w:r>
                  <w:proofErr w:type="spellStart"/>
                  <w:r w:rsidRPr="005E6D16">
                    <w:rPr>
                      <w:rFonts w:ascii="Arial" w:hAnsi="Arial" w:cs="Arial"/>
                      <w:sz w:val="18"/>
                      <w:szCs w:val="18"/>
                    </w:rPr>
                    <w:t>scores</w:t>
                  </w:r>
                  <w:r w:rsidRPr="00872C1C">
                    <w:rPr>
                      <w:rFonts w:ascii="Arial" w:hAnsi="Arial" w:cs="Arial"/>
                      <w:b/>
                      <w:sz w:val="18"/>
                      <w:szCs w:val="18"/>
                      <w:vertAlign w:val="superscript"/>
                    </w:rPr>
                    <w:t>b</w:t>
                  </w:r>
                  <w:proofErr w:type="spellEnd"/>
                </w:p>
              </w:tc>
            </w:tr>
            <w:tr w:rsidR="005E6D16" w:rsidRPr="00B1465D" w14:paraId="1D0A6F9A" w14:textId="77777777" w:rsidTr="005E6D16">
              <w:trPr>
                <w:trHeight w:val="150"/>
                <w:tblHeader/>
                <w:jc w:val="center"/>
              </w:trPr>
              <w:tc>
                <w:tcPr>
                  <w:tcW w:w="1666" w:type="pct"/>
                  <w:tcBorders>
                    <w:top w:val="nil"/>
                    <w:bottom w:val="nil"/>
                  </w:tcBorders>
                </w:tcPr>
                <w:p w14:paraId="1D0A6F97" w14:textId="77777777" w:rsidR="005E6D16" w:rsidRPr="00B1465D" w:rsidRDefault="005E6D16" w:rsidP="00D220BE">
                  <w:pPr>
                    <w:pStyle w:val="Figure"/>
                    <w:spacing w:before="60" w:after="60"/>
                    <w:rPr>
                      <w:rFonts w:ascii="Arial" w:hAnsi="Arial" w:cs="Arial"/>
                      <w:sz w:val="18"/>
                      <w:szCs w:val="18"/>
                    </w:rPr>
                  </w:pPr>
                  <w:r w:rsidRPr="005E6D16">
                    <w:rPr>
                      <w:rFonts w:ascii="Arial" w:hAnsi="Arial" w:cs="Arial"/>
                      <w:noProof/>
                      <w:sz w:val="18"/>
                      <w:szCs w:val="18"/>
                    </w:rPr>
                    <w:drawing>
                      <wp:inline distT="0" distB="0" distL="0" distR="0" wp14:anchorId="1D0A719E" wp14:editId="47ED8BCB">
                        <wp:extent cx="1727200" cy="1676400"/>
                        <wp:effectExtent l="0" t="0" r="6350" b="0"/>
                        <wp:docPr id="7" name="Picture 7" descr="This figure shows across three separate panels, the distribution of management performance scores for different countries, average management scores for a selection of countries, and the proportion of the total factor productivity gap with the United States explained by management scores. Overall, it suggests that a significant share of Australian businesses have poor management practices, and to the extent that Australia lags behind leading countries, it suggests significant scope for improving productivity performance by improving management skills and competenc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727200" cy="1676400"/>
                                </a:xfrm>
                                <a:prstGeom prst="rect">
                                  <a:avLst/>
                                </a:prstGeom>
                                <a:noFill/>
                                <a:ln>
                                  <a:noFill/>
                                </a:ln>
                              </pic:spPr>
                            </pic:pic>
                          </a:graphicData>
                        </a:graphic>
                      </wp:inline>
                    </w:drawing>
                  </w:r>
                </w:p>
              </w:tc>
              <w:tc>
                <w:tcPr>
                  <w:tcW w:w="1667" w:type="pct"/>
                  <w:tcBorders>
                    <w:top w:val="nil"/>
                    <w:bottom w:val="nil"/>
                  </w:tcBorders>
                </w:tcPr>
                <w:p w14:paraId="1D0A6F98" w14:textId="77777777" w:rsidR="005E6D16" w:rsidRPr="00B1465D" w:rsidRDefault="005E6D16" w:rsidP="00D220BE">
                  <w:pPr>
                    <w:pStyle w:val="Figure"/>
                    <w:spacing w:before="60" w:after="60"/>
                    <w:rPr>
                      <w:rFonts w:ascii="Arial" w:hAnsi="Arial" w:cs="Arial"/>
                      <w:sz w:val="18"/>
                      <w:szCs w:val="18"/>
                    </w:rPr>
                  </w:pPr>
                  <w:r w:rsidRPr="005E6D16">
                    <w:rPr>
                      <w:rFonts w:ascii="Arial" w:hAnsi="Arial" w:cs="Arial"/>
                      <w:noProof/>
                      <w:sz w:val="18"/>
                      <w:szCs w:val="18"/>
                    </w:rPr>
                    <w:drawing>
                      <wp:inline distT="0" distB="0" distL="0" distR="0" wp14:anchorId="1D0A71A0" wp14:editId="18DB02F6">
                        <wp:extent cx="1720850" cy="1714500"/>
                        <wp:effectExtent l="0" t="0" r="0" b="0"/>
                        <wp:docPr id="15" name="Picture 15" descr="This figure shows across three separate panels, the distribution of management performance scores for different countries, average management scores for a selection of countries, and the proportion of the total factor productivity gap with the United States explained by management scores. Overall, it suggests that a significant share of Australian businesses have poor management practices, and to the extent that Australia lags behind leading countries, it suggests significant scope for improving productivity performance by improving management skills and competenc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20850" cy="1714500"/>
                                </a:xfrm>
                                <a:prstGeom prst="rect">
                                  <a:avLst/>
                                </a:prstGeom>
                                <a:noFill/>
                                <a:ln>
                                  <a:noFill/>
                                </a:ln>
                              </pic:spPr>
                            </pic:pic>
                          </a:graphicData>
                        </a:graphic>
                      </wp:inline>
                    </w:drawing>
                  </w:r>
                </w:p>
              </w:tc>
              <w:tc>
                <w:tcPr>
                  <w:tcW w:w="1667" w:type="pct"/>
                  <w:tcBorders>
                    <w:top w:val="nil"/>
                    <w:bottom w:val="nil"/>
                  </w:tcBorders>
                </w:tcPr>
                <w:p w14:paraId="1D0A6F99" w14:textId="77777777" w:rsidR="005E6D16" w:rsidRPr="00B1465D" w:rsidRDefault="005E6D16" w:rsidP="00D220BE">
                  <w:pPr>
                    <w:pStyle w:val="Figure"/>
                    <w:spacing w:before="60" w:after="60"/>
                    <w:rPr>
                      <w:rFonts w:ascii="Arial" w:hAnsi="Arial" w:cs="Arial"/>
                      <w:sz w:val="18"/>
                      <w:szCs w:val="18"/>
                    </w:rPr>
                  </w:pPr>
                  <w:r w:rsidRPr="005E6D16">
                    <w:rPr>
                      <w:rFonts w:ascii="Arial" w:hAnsi="Arial" w:cs="Arial"/>
                      <w:noProof/>
                      <w:sz w:val="18"/>
                      <w:szCs w:val="18"/>
                    </w:rPr>
                    <w:drawing>
                      <wp:inline distT="0" distB="0" distL="0" distR="0" wp14:anchorId="1D0A71A2" wp14:editId="718B6452">
                        <wp:extent cx="1708150" cy="1708150"/>
                        <wp:effectExtent l="0" t="0" r="6350" b="6350"/>
                        <wp:docPr id="21" name="Picture 21" descr="This figure shows across three separate panels, the distribution of management performance scores for different countries, average management scores for a selection of countries, and the proportion of the total factor productivity gap with the United States explained by management scores. Overall, it suggests that a significant share of Australian businesses have poor management practices, and to the extent that Australia lags behind leading countries, it suggests significant scope for improving productivity performance by improving management skills and competenc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08150" cy="1708150"/>
                                </a:xfrm>
                                <a:prstGeom prst="rect">
                                  <a:avLst/>
                                </a:prstGeom>
                                <a:noFill/>
                                <a:ln>
                                  <a:noFill/>
                                </a:ln>
                              </pic:spPr>
                            </pic:pic>
                          </a:graphicData>
                        </a:graphic>
                      </wp:inline>
                    </w:drawing>
                  </w:r>
                </w:p>
              </w:tc>
            </w:tr>
          </w:tbl>
          <w:p w14:paraId="1D0A6F9B" w14:textId="77777777" w:rsidR="005E6D16" w:rsidRDefault="005E6D16" w:rsidP="00D220BE">
            <w:pPr>
              <w:pStyle w:val="Figure"/>
            </w:pPr>
          </w:p>
        </w:tc>
      </w:tr>
      <w:tr w:rsidR="005E6D16" w:rsidRPr="00176D3F" w14:paraId="1D0A6F9E" w14:textId="77777777" w:rsidTr="00D220BE">
        <w:tc>
          <w:tcPr>
            <w:tcW w:w="5000" w:type="pct"/>
            <w:tcBorders>
              <w:top w:val="nil"/>
              <w:left w:val="nil"/>
              <w:bottom w:val="nil"/>
              <w:right w:val="nil"/>
            </w:tcBorders>
            <w:shd w:val="clear" w:color="auto" w:fill="auto"/>
          </w:tcPr>
          <w:p w14:paraId="1D0A6F9D" w14:textId="07F334B6" w:rsidR="005E6D16" w:rsidRPr="00176D3F" w:rsidRDefault="005E6D16" w:rsidP="005E6D16">
            <w:pPr>
              <w:pStyle w:val="Note"/>
            </w:pPr>
            <w:r>
              <w:rPr>
                <w:rStyle w:val="NoteLabel"/>
              </w:rPr>
              <w:t>a</w:t>
            </w:r>
            <w:r>
              <w:t xml:space="preserve"> </w:t>
            </w:r>
            <w:r w:rsidRPr="005E6D16">
              <w:t>Data mai</w:t>
            </w:r>
            <w:r w:rsidR="003E3694">
              <w:t>nly relate</w:t>
            </w:r>
            <w:r w:rsidRPr="005E6D16">
              <w:t xml:space="preserve"> to 2008. Grey lines relate to various other countries.</w:t>
            </w:r>
            <w:r>
              <w:t xml:space="preserve"> </w:t>
            </w:r>
            <w:r>
              <w:rPr>
                <w:rStyle w:val="NoteLabel"/>
              </w:rPr>
              <w:t>b</w:t>
            </w:r>
            <w:r>
              <w:t xml:space="preserve"> </w:t>
            </w:r>
            <w:r w:rsidRPr="005E6D16">
              <w:t>Pooled data from 2004 to 2014. AU is Australia</w:t>
            </w:r>
            <w:r>
              <w:t>.</w:t>
            </w:r>
          </w:p>
        </w:tc>
      </w:tr>
      <w:tr w:rsidR="005E6D16" w:rsidRPr="00176D3F" w14:paraId="1D0A6FA0" w14:textId="77777777" w:rsidTr="00D220BE">
        <w:tc>
          <w:tcPr>
            <w:tcW w:w="5000" w:type="pct"/>
            <w:tcBorders>
              <w:top w:val="nil"/>
              <w:left w:val="nil"/>
              <w:bottom w:val="nil"/>
              <w:right w:val="nil"/>
            </w:tcBorders>
            <w:shd w:val="clear" w:color="auto" w:fill="auto"/>
          </w:tcPr>
          <w:p w14:paraId="1D0A6F9F" w14:textId="5827C03C" w:rsidR="005E6D16" w:rsidRPr="00176D3F" w:rsidRDefault="00EE434A" w:rsidP="0019693B">
            <w:pPr>
              <w:pStyle w:val="Source"/>
            </w:pPr>
            <w:r>
              <w:rPr>
                <w:i/>
              </w:rPr>
              <w:t>S</w:t>
            </w:r>
            <w:r w:rsidR="005E6D16" w:rsidRPr="00784A05">
              <w:rPr>
                <w:i/>
              </w:rPr>
              <w:t>ource</w:t>
            </w:r>
            <w:r w:rsidR="003E3694">
              <w:rPr>
                <w:i/>
              </w:rPr>
              <w:t>s</w:t>
            </w:r>
            <w:r w:rsidR="005E6D16" w:rsidRPr="00176D3F">
              <w:t xml:space="preserve">: </w:t>
            </w:r>
            <w:r w:rsidR="005E6D16" w:rsidRPr="005E6D16">
              <w:t>PC calculations based on World Management Survey (http://</w:t>
            </w:r>
            <w:proofErr w:type="spellStart"/>
            <w:r w:rsidR="005E6D16" w:rsidRPr="005E6D16">
              <w:t>worldmanagementsurvey.org</w:t>
            </w:r>
            <w:proofErr w:type="spellEnd"/>
            <w:r w:rsidR="005E6D16" w:rsidRPr="005E6D16">
              <w:t>/) and Bloom et al.</w:t>
            </w:r>
            <w:r w:rsidR="0019693B">
              <w:t xml:space="preserve"> </w:t>
            </w:r>
            <w:r w:rsidR="0019693B" w:rsidRPr="0019693B">
              <w:rPr>
                <w:rFonts w:cs="Arial"/>
              </w:rPr>
              <w:t>(2016)</w:t>
            </w:r>
            <w:r w:rsidR="005E6D16" w:rsidRPr="005E6D16">
              <w:t>.</w:t>
            </w:r>
          </w:p>
        </w:tc>
      </w:tr>
      <w:tr w:rsidR="005E6D16" w14:paraId="1D0A6FA2" w14:textId="77777777" w:rsidTr="00D220BE">
        <w:tc>
          <w:tcPr>
            <w:tcW w:w="5000" w:type="pct"/>
            <w:tcBorders>
              <w:top w:val="nil"/>
              <w:left w:val="nil"/>
              <w:bottom w:val="single" w:sz="6" w:space="0" w:color="78A22F"/>
              <w:right w:val="nil"/>
            </w:tcBorders>
            <w:shd w:val="clear" w:color="auto" w:fill="auto"/>
          </w:tcPr>
          <w:p w14:paraId="1D0A6FA1" w14:textId="77777777" w:rsidR="005E6D16" w:rsidRDefault="005E6D16" w:rsidP="00D220BE">
            <w:pPr>
              <w:pStyle w:val="Figurespace"/>
            </w:pPr>
          </w:p>
        </w:tc>
      </w:tr>
      <w:tr w:rsidR="005E6D16" w:rsidRPr="000863A5" w14:paraId="1D0A6FA4" w14:textId="77777777" w:rsidTr="00D220BE">
        <w:tc>
          <w:tcPr>
            <w:tcW w:w="5000" w:type="pct"/>
            <w:tcBorders>
              <w:top w:val="single" w:sz="6" w:space="0" w:color="78A22F"/>
              <w:left w:val="nil"/>
              <w:bottom w:val="nil"/>
              <w:right w:val="nil"/>
            </w:tcBorders>
          </w:tcPr>
          <w:p w14:paraId="1D0A6FA3" w14:textId="77777777" w:rsidR="005E6D16" w:rsidRPr="00626D32" w:rsidRDefault="005E6D16" w:rsidP="00D220BE">
            <w:pPr>
              <w:pStyle w:val="BoxSpaceBelow"/>
            </w:pPr>
          </w:p>
        </w:tc>
      </w:tr>
    </w:tbl>
    <w:p w14:paraId="1D0A6FA5" w14:textId="685171CC" w:rsidR="00B035CF" w:rsidRDefault="00B035CF" w:rsidP="00B035CF">
      <w:pPr>
        <w:pStyle w:val="BodyText"/>
      </w:pPr>
      <w:r w:rsidRPr="00B035CF">
        <w:t>There are</w:t>
      </w:r>
      <w:r w:rsidR="007902D8">
        <w:t>,</w:t>
      </w:r>
      <w:r w:rsidRPr="00B035CF">
        <w:t xml:space="preserve"> of course</w:t>
      </w:r>
      <w:r w:rsidR="007902D8">
        <w:t>,</w:t>
      </w:r>
      <w:r w:rsidRPr="00B035CF">
        <w:t xml:space="preserve"> some businesses for whom this </w:t>
      </w:r>
      <w:r w:rsidR="007E0D4B">
        <w:t>may not warrant a policy response</w:t>
      </w:r>
      <w:r>
        <w:t xml:space="preserve">. </w:t>
      </w:r>
      <w:r w:rsidRPr="00B035CF">
        <w:t>The motives and expectations that underpin starting a business are many and varied. At one end of the spectrum are businesses that are highly innovative, have ambitious growth expectations and a desire ‘to change the way things are done’. At the other end are those businesses that satisfy a lifestyle choice and/or primarily seek to provide stable employment and income fo</w:t>
      </w:r>
      <w:r>
        <w:t>r</w:t>
      </w:r>
      <w:r w:rsidR="0019693B">
        <w:t xml:space="preserve"> the owners and their families</w:t>
      </w:r>
      <w:r w:rsidR="00603896">
        <w:t xml:space="preserve"> </w:t>
      </w:r>
      <w:r w:rsidR="00603896" w:rsidRPr="00603896">
        <w:rPr>
          <w:szCs w:val="24"/>
        </w:rPr>
        <w:t>(PC </w:t>
      </w:r>
      <w:proofErr w:type="spellStart"/>
      <w:r w:rsidR="00603896" w:rsidRPr="00603896">
        <w:rPr>
          <w:szCs w:val="24"/>
        </w:rPr>
        <w:t>2015a</w:t>
      </w:r>
      <w:proofErr w:type="spellEnd"/>
      <w:r w:rsidR="00603896" w:rsidRPr="00603896">
        <w:rPr>
          <w:szCs w:val="24"/>
        </w:rPr>
        <w:t>)</w:t>
      </w:r>
      <w:r>
        <w:t xml:space="preserve">. </w:t>
      </w:r>
    </w:p>
    <w:p w14:paraId="1D0A6FA6" w14:textId="1E6067A2" w:rsidR="00B035CF" w:rsidRDefault="00B035CF" w:rsidP="00B035CF">
      <w:pPr>
        <w:pStyle w:val="BodyText"/>
      </w:pPr>
      <w:r>
        <w:t xml:space="preserve">Nonetheless, </w:t>
      </w:r>
      <w:r w:rsidR="00F06EB4">
        <w:t xml:space="preserve">any slowing or reduction in the </w:t>
      </w:r>
      <w:r w:rsidR="006D113E">
        <w:t>diffusion of good ideas, technologies and practices between businesses is clearly a concern for policymakers. A rising gap between high productivity firms and other firms raises key questions about the obstacles that prevent all fir</w:t>
      </w:r>
      <w:r w:rsidR="0019693B">
        <w:t>ms from adopting seemingly well</w:t>
      </w:r>
      <w:r w:rsidR="0019693B">
        <w:noBreakHyphen/>
      </w:r>
      <w:r w:rsidR="006D113E">
        <w:t>known and replicable innovations</w:t>
      </w:r>
      <w:r w:rsidR="007F1208">
        <w:t xml:space="preserve"> (the role of government regulation in th</w:t>
      </w:r>
      <w:r w:rsidR="00E27540">
        <w:t>e digital age is discussed in supporting paper</w:t>
      </w:r>
      <w:r w:rsidR="0019693B">
        <w:t> </w:t>
      </w:r>
      <w:r w:rsidR="00E633E9">
        <w:t>13</w:t>
      </w:r>
      <w:r w:rsidR="007F1208">
        <w:t>)</w:t>
      </w:r>
      <w:r w:rsidR="006D113E">
        <w:t xml:space="preserve">. </w:t>
      </w:r>
    </w:p>
    <w:p w14:paraId="1D0A6FA7" w14:textId="0C1A3033" w:rsidR="00501036" w:rsidRDefault="00501036" w:rsidP="00501036">
      <w:pPr>
        <w:pStyle w:val="BodyText"/>
      </w:pPr>
      <w:r>
        <w:t>Other commentators have made similar observations on the nature of production and technology in the digital era, and characterise such changes as new forms of excludable and tacit intellectual capital, implying a structural reduction in technology diffusion in the form of capital</w:t>
      </w:r>
      <w:r>
        <w:noBreakHyphen/>
        <w:t xml:space="preserve">embedded technological change. For example, </w:t>
      </w:r>
      <w:proofErr w:type="spellStart"/>
      <w:r>
        <w:t>Brynjolfsson</w:t>
      </w:r>
      <w:proofErr w:type="spellEnd"/>
      <w:r>
        <w:t xml:space="preserve"> and McAfee</w:t>
      </w:r>
      <w:r w:rsidDel="002142BD">
        <w:t xml:space="preserve"> </w:t>
      </w:r>
      <w:r w:rsidR="00F65C26" w:rsidRPr="00F65C26">
        <w:t>(2014)</w:t>
      </w:r>
      <w:r>
        <w:t xml:space="preserve"> contrasts Instagram, which was started by 14</w:t>
      </w:r>
      <w:r w:rsidR="007902D8">
        <w:t> </w:t>
      </w:r>
      <w:r>
        <w:t>people, required no unskilled labour and very little physical capital</w:t>
      </w:r>
      <w:r w:rsidRPr="001374EC">
        <w:t xml:space="preserve">, </w:t>
      </w:r>
      <w:r>
        <w:t xml:space="preserve">and </w:t>
      </w:r>
      <w:r w:rsidR="007902D8">
        <w:t>was sold</w:t>
      </w:r>
      <w:r>
        <w:t xml:space="preserve"> </w:t>
      </w:r>
      <w:r w:rsidRPr="001374EC">
        <w:t xml:space="preserve">after only a year and a half </w:t>
      </w:r>
      <w:r>
        <w:t xml:space="preserve">for </w:t>
      </w:r>
      <w:r w:rsidR="00C82E28">
        <w:t>about</w:t>
      </w:r>
      <w:r>
        <w:t xml:space="preserve"> </w:t>
      </w:r>
      <w:r>
        <w:lastRenderedPageBreak/>
        <w:t xml:space="preserve">$1 billion USD, with the contemporaneous </w:t>
      </w:r>
      <w:r w:rsidRPr="001374EC">
        <w:t xml:space="preserve">bankruptcy of Kodak, </w:t>
      </w:r>
      <w:r>
        <w:t>which</w:t>
      </w:r>
      <w:r w:rsidRPr="001374EC">
        <w:t xml:space="preserve"> at its peak</w:t>
      </w:r>
      <w:r w:rsidR="00C82E28">
        <w:t>,</w:t>
      </w:r>
      <w:r w:rsidRPr="001374EC">
        <w:t xml:space="preserve"> employed </w:t>
      </w:r>
      <w:r>
        <w:t>around</w:t>
      </w:r>
      <w:r w:rsidRPr="001374EC">
        <w:t xml:space="preserve"> 145</w:t>
      </w:r>
      <w:r w:rsidR="00EE434A">
        <w:t> </w:t>
      </w:r>
      <w:r w:rsidRPr="001374EC">
        <w:t>000 people and held billions of dollars in capital assets</w:t>
      </w:r>
      <w:r>
        <w:t xml:space="preserve"> globally</w:t>
      </w:r>
      <w:r w:rsidRPr="001374EC">
        <w:t>.</w:t>
      </w:r>
    </w:p>
    <w:p w14:paraId="1D0A6FA8" w14:textId="77777777" w:rsidR="00501036" w:rsidRDefault="00501036" w:rsidP="00501036">
      <w:pPr>
        <w:pStyle w:val="BodyText"/>
      </w:pPr>
      <w:r>
        <w:t xml:space="preserve">There are also a number of recent studies that analyse market governance structures, contending that they may have reduced the value to firms in engaging in activities that generate positive </w:t>
      </w:r>
      <w:proofErr w:type="spellStart"/>
      <w:r>
        <w:t>spillovers</w:t>
      </w:r>
      <w:proofErr w:type="spellEnd"/>
      <w:r>
        <w:t xml:space="preserve"> to other firms (box </w:t>
      </w:r>
      <w:r w:rsidR="00F65C26">
        <w:t>2</w:t>
      </w:r>
      <w:r>
        <w:t xml:space="preserve">). </w:t>
      </w:r>
    </w:p>
    <w:p w14:paraId="1D0A6FA9" w14:textId="1BD8BEA4" w:rsidR="00501036" w:rsidRDefault="00AA3670" w:rsidP="00501036">
      <w:pPr>
        <w:pStyle w:val="BodyText"/>
      </w:pPr>
      <w:r>
        <w:t xml:space="preserve">These issues all raise the importance of better understanding the microeconomic drivers of productivity performance. </w:t>
      </w:r>
      <w:r w:rsidR="007902D8">
        <w:t>However, u</w:t>
      </w:r>
      <w:r w:rsidR="00501036">
        <w:t>nfortunately little is known in Australia about firm</w:t>
      </w:r>
      <w:r w:rsidR="00501036">
        <w:noBreakHyphen/>
        <w:t>level productivity dynamics because of data limitations. Better policy design requires that these limitations be resolved through more concerted and well</w:t>
      </w:r>
      <w:r w:rsidR="00DA3EFD">
        <w:noBreakHyphen/>
      </w:r>
      <w:r w:rsidR="00501036">
        <w:t xml:space="preserve">targeted data collection and analysis. </w:t>
      </w:r>
      <w:r w:rsidR="004D0D1E">
        <w:t>Better data</w:t>
      </w:r>
      <w:r w:rsidR="00501036">
        <w:t xml:space="preserve"> are needed to </w:t>
      </w:r>
      <w:r w:rsidR="007902D8">
        <w:t>discover</w:t>
      </w:r>
      <w:r w:rsidR="00501036">
        <w:t xml:space="preserve"> </w:t>
      </w:r>
      <w:r w:rsidR="007902D8">
        <w:t>the</w:t>
      </w:r>
      <w:r w:rsidR="00501036" w:rsidRPr="008E4C95">
        <w:t xml:space="preserve"> </w:t>
      </w:r>
      <w:r w:rsidR="007902D8">
        <w:t>causal links</w:t>
      </w:r>
      <w:r w:rsidR="00501036" w:rsidRPr="008E4C95">
        <w:t xml:space="preserve"> between </w:t>
      </w:r>
      <w:r w:rsidR="00501036">
        <w:t xml:space="preserve">individual policies, business and individual behaviour or incentives, and measured productivity </w:t>
      </w:r>
      <w:r w:rsidR="00501036" w:rsidRPr="008E4C95">
        <w:t xml:space="preserve">and </w:t>
      </w:r>
      <w:r w:rsidR="00DA2DF2">
        <w:t>living standards</w:t>
      </w:r>
      <w:r w:rsidR="00501036">
        <w:t xml:space="preserve">. </w:t>
      </w:r>
    </w:p>
    <w:p w14:paraId="1D0A6FAA" w14:textId="7E3F9BA4" w:rsidR="00A10388" w:rsidRDefault="00A10388" w:rsidP="00B035CF">
      <w:pPr>
        <w:pStyle w:val="BodyText"/>
      </w:pPr>
      <w:r>
        <w:t>As noted in chapter </w:t>
      </w:r>
      <w:r w:rsidR="00E633E9">
        <w:t>5</w:t>
      </w:r>
      <w:r>
        <w:t xml:space="preserve">, new tools like the </w:t>
      </w:r>
      <w:r w:rsidRPr="00A10388">
        <w:t xml:space="preserve">Business Longitudinal Analysis Data Environment </w:t>
      </w:r>
      <w:r>
        <w:t>(BLADE) will help to make</w:t>
      </w:r>
      <w:r w:rsidR="00DA3EFD">
        <w:t xml:space="preserve"> </w:t>
      </w:r>
      <w:r w:rsidR="00321578">
        <w:t>more</w:t>
      </w:r>
      <w:r w:rsidRPr="00A10388">
        <w:t xml:space="preserve"> comprehensive evaluation</w:t>
      </w:r>
      <w:r w:rsidR="00321578">
        <w:t>s</w:t>
      </w:r>
      <w:r w:rsidRPr="00A10388">
        <w:t xml:space="preserve"> of the effectiveness of industry programs</w:t>
      </w:r>
      <w:r>
        <w:t xml:space="preserve"> and other policies</w:t>
      </w:r>
      <w:r w:rsidRPr="00A10388">
        <w:t>, including those aimed at stimulating innovation</w:t>
      </w:r>
      <w:r>
        <w:t>.</w:t>
      </w:r>
      <w:r w:rsidRPr="00A10388">
        <w:t xml:space="preserve"> </w:t>
      </w:r>
      <w:r w:rsidR="00501036">
        <w:t xml:space="preserve">The Australian Government provided </w:t>
      </w:r>
      <w:r w:rsidR="002A6146">
        <w:t xml:space="preserve">additional funding </w:t>
      </w:r>
      <w:r>
        <w:t>in the 2017</w:t>
      </w:r>
      <w:r>
        <w:noBreakHyphen/>
        <w:t>18 Budget</w:t>
      </w:r>
      <w:r w:rsidR="00501036">
        <w:t xml:space="preserve"> toward data</w:t>
      </w:r>
      <w:r w:rsidR="00DA3EFD">
        <w:noBreakHyphen/>
      </w:r>
      <w:r w:rsidR="00501036">
        <w:t>related</w:t>
      </w:r>
      <w:r w:rsidR="00501036" w:rsidRPr="001E2ED3">
        <w:t xml:space="preserve"> initiative</w:t>
      </w:r>
      <w:r w:rsidR="00501036">
        <w:t>s</w:t>
      </w:r>
      <w:r w:rsidR="004D0D1E">
        <w:t>,</w:t>
      </w:r>
      <w:r>
        <w:t xml:space="preserve"> including BLADE</w:t>
      </w:r>
      <w:r w:rsidR="00501036">
        <w:t xml:space="preserve">, which should help facilitate improvements in </w:t>
      </w:r>
      <w:r w:rsidR="00501036" w:rsidRPr="001E2ED3">
        <w:t xml:space="preserve">development of </w:t>
      </w:r>
      <w:r w:rsidR="00501036">
        <w:t>firm level databases going forward.</w:t>
      </w:r>
      <w:r w:rsidR="00501036" w:rsidRPr="00DA2DF2">
        <w:t xml:space="preserve"> </w:t>
      </w:r>
    </w:p>
    <w:p w14:paraId="1D0A6FAB" w14:textId="77777777" w:rsidR="00646DD1" w:rsidRDefault="00AA3670" w:rsidP="00B035CF">
      <w:pPr>
        <w:pStyle w:val="BodyText"/>
      </w:pPr>
      <w:r w:rsidRPr="00DA2DF2">
        <w:t xml:space="preserve">As is the case in New Zealand, </w:t>
      </w:r>
      <w:r w:rsidR="00A10388">
        <w:t xml:space="preserve">greater availability of data </w:t>
      </w:r>
      <w:r w:rsidRPr="00DA2DF2">
        <w:t>could usefully be accompanied by a coordinated body designed to shape and resource a productivity research agenda across government, academia and interested non</w:t>
      </w:r>
      <w:r w:rsidRPr="00DA2DF2">
        <w:noBreakHyphen/>
        <w:t>government parties. The New Zealand model, known as the ‘Productivity Hub’, serves as a potentially useful model for such a body in the Australian context</w:t>
      </w:r>
      <w:r w:rsidR="00DA2DF2">
        <w:t xml:space="preserve"> </w:t>
      </w:r>
      <w:r w:rsidR="00DA2DF2" w:rsidRPr="00DA2DF2">
        <w:rPr>
          <w:szCs w:val="24"/>
        </w:rPr>
        <w:t>(</w:t>
      </w:r>
      <w:proofErr w:type="spellStart"/>
      <w:r w:rsidR="00DA2DF2" w:rsidRPr="00DA2DF2">
        <w:rPr>
          <w:szCs w:val="24"/>
        </w:rPr>
        <w:t>NZPC</w:t>
      </w:r>
      <w:proofErr w:type="spellEnd"/>
      <w:r w:rsidR="00DA2DF2" w:rsidRPr="00DA2DF2">
        <w:rPr>
          <w:szCs w:val="24"/>
        </w:rPr>
        <w:t> 2013)</w:t>
      </w:r>
      <w:r w:rsidRPr="00A10388">
        <w:t>.</w:t>
      </w:r>
      <w:r w:rsidRPr="00DA2DF2">
        <w:t xml:space="preserve"> </w:t>
      </w:r>
    </w:p>
    <w:p w14:paraId="1D0A6FAC" w14:textId="57E1BC2F" w:rsidR="00A10388" w:rsidRPr="008265A6" w:rsidRDefault="00A10388" w:rsidP="00B035CF">
      <w:pPr>
        <w:pStyle w:val="BodyText"/>
      </w:pPr>
      <w:r w:rsidRPr="00A10388">
        <w:t>New Zealand’s Productivity Hub is a partnership of public sector agencies that aims to improve the contribution of policy to improving productivity growth by connecting people, shaping research agendas</w:t>
      </w:r>
      <w:r w:rsidR="004D0D1E">
        <w:t>,</w:t>
      </w:r>
      <w:r w:rsidRPr="00A10388">
        <w:t xml:space="preserve"> and sharing research. The Hub Board </w:t>
      </w:r>
      <w:r w:rsidR="00C336A5">
        <w:t>comprises</w:t>
      </w:r>
      <w:r w:rsidRPr="00A10388">
        <w:t xml:space="preserve"> representatives from the New Zealand Productivity Commission, the Ministry of Business, Innovation and Employment, Statistics New Zealand and the New Zealand Treasury, with secretariat functions in the New Zealand Productivity Commission.</w:t>
      </w:r>
    </w:p>
    <w:p w14:paraId="1D0A6FAD" w14:textId="77777777" w:rsidR="00501036" w:rsidRPr="004E3B94" w:rsidRDefault="00501036" w:rsidP="00501036">
      <w:pPr>
        <w:pStyle w:val="BoxSpaceAboveElement"/>
        <w:keepLines/>
        <w:rPr>
          <w:vanish w:val="0"/>
          <w:color w:val="auto"/>
        </w:rPr>
      </w:pPr>
    </w:p>
    <w:tbl>
      <w:tblPr>
        <w:tblW w:w="4814" w:type="pct"/>
        <w:tblInd w:w="170"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501036" w14:paraId="1D0A6FB0" w14:textId="77777777" w:rsidTr="00DA091E">
        <w:trPr>
          <w:cantSplit/>
          <w:tblHeader/>
        </w:trPr>
        <w:tc>
          <w:tcPr>
            <w:tcW w:w="5000" w:type="pct"/>
            <w:tcBorders>
              <w:top w:val="single" w:sz="6" w:space="0" w:color="265A9A" w:themeColor="accent2"/>
              <w:left w:val="nil"/>
              <w:bottom w:val="nil"/>
              <w:right w:val="nil"/>
            </w:tcBorders>
            <w:shd w:val="clear" w:color="auto" w:fill="E1EBF5"/>
            <w:tcMar>
              <w:left w:w="170" w:type="dxa"/>
              <w:right w:w="170" w:type="dxa"/>
            </w:tcMar>
          </w:tcPr>
          <w:p w14:paraId="1D0A6FAE" w14:textId="77777777" w:rsidR="00501036" w:rsidRPr="00042209" w:rsidRDefault="00F257A1" w:rsidP="009C46C2">
            <w:pPr>
              <w:pStyle w:val="FindingTitle"/>
              <w:spacing w:before="120"/>
              <w:rPr>
                <w:noProof/>
              </w:rPr>
            </w:pPr>
            <w:r w:rsidRPr="00042209">
              <w:t>conclusion 1.7</w:t>
            </w:r>
          </w:p>
          <w:p w14:paraId="1D0A6FAF" w14:textId="77777777" w:rsidR="00501036" w:rsidRPr="00CE4C64" w:rsidRDefault="00F65C26" w:rsidP="00F65C26">
            <w:pPr>
              <w:pStyle w:val="BodyText"/>
              <w:spacing w:before="60" w:line="260" w:lineRule="atLeast"/>
            </w:pPr>
            <w:r w:rsidRPr="00042209">
              <w:rPr>
                <w:rFonts w:ascii="Arial" w:hAnsi="Arial" w:cs="Arial"/>
                <w:sz w:val="20"/>
              </w:rPr>
              <w:t>Understanding the microeconomic drivers of productivity performance is important to improve policy design</w:t>
            </w:r>
            <w:r w:rsidR="00501036" w:rsidRPr="00042209">
              <w:rPr>
                <w:rFonts w:ascii="Arial" w:hAnsi="Arial" w:cs="Arial"/>
                <w:sz w:val="20"/>
              </w:rPr>
              <w:t>.</w:t>
            </w:r>
            <w:r w:rsidRPr="00042209">
              <w:rPr>
                <w:rFonts w:ascii="Arial" w:hAnsi="Arial" w:cs="Arial"/>
                <w:sz w:val="20"/>
              </w:rPr>
              <w:t xml:space="preserve"> Recent improvements in data collections in Australia are an important first step in improving the evidence base. The Australian Government could further consider a coordinated approach to productivity research to leverage new data, as seen in New Zealand. </w:t>
            </w:r>
          </w:p>
        </w:tc>
      </w:tr>
      <w:tr w:rsidR="00501036" w14:paraId="1D0A6FB2" w14:textId="77777777" w:rsidTr="00DA091E">
        <w:trPr>
          <w:cantSplit/>
          <w:tblHeader/>
        </w:trPr>
        <w:tc>
          <w:tcPr>
            <w:tcW w:w="5000" w:type="pct"/>
            <w:tcBorders>
              <w:top w:val="nil"/>
              <w:left w:val="nil"/>
              <w:bottom w:val="single" w:sz="6" w:space="0" w:color="265A9A" w:themeColor="accent2"/>
              <w:right w:val="nil"/>
            </w:tcBorders>
            <w:shd w:val="clear" w:color="auto" w:fill="E1EBF5"/>
            <w:tcMar>
              <w:left w:w="170" w:type="dxa"/>
              <w:right w:w="170" w:type="dxa"/>
            </w:tcMar>
          </w:tcPr>
          <w:p w14:paraId="1D0A6FB1" w14:textId="77777777" w:rsidR="00501036" w:rsidRDefault="00501036" w:rsidP="009C46C2">
            <w:pPr>
              <w:pStyle w:val="Space"/>
              <w:keepLines/>
            </w:pPr>
          </w:p>
        </w:tc>
      </w:tr>
      <w:tr w:rsidR="00501036" w:rsidRPr="000863A5" w14:paraId="1D0A6FB4" w14:textId="77777777" w:rsidTr="00DA091E">
        <w:trPr>
          <w:cantSplit/>
          <w:tblHeader/>
        </w:trPr>
        <w:tc>
          <w:tcPr>
            <w:tcW w:w="5000" w:type="pct"/>
            <w:tcBorders>
              <w:top w:val="single" w:sz="6" w:space="0" w:color="265A9A" w:themeColor="accent2"/>
              <w:left w:val="nil"/>
              <w:bottom w:val="nil"/>
              <w:right w:val="nil"/>
            </w:tcBorders>
            <w:tcMar>
              <w:left w:w="170" w:type="dxa"/>
              <w:right w:w="170" w:type="dxa"/>
            </w:tcMar>
          </w:tcPr>
          <w:p w14:paraId="1D0A6FB3" w14:textId="77777777" w:rsidR="00501036" w:rsidRPr="00626D32" w:rsidRDefault="00501036" w:rsidP="009C46C2">
            <w:pPr>
              <w:pStyle w:val="BoxSpaceBelow"/>
              <w:keepLines/>
            </w:pPr>
          </w:p>
        </w:tc>
      </w:tr>
    </w:tbl>
    <w:p w14:paraId="1D0A6FB5" w14:textId="77777777" w:rsidR="005D7C3B" w:rsidRDefault="005D7C3B" w:rsidP="00BE21F9">
      <w:pPr>
        <w:pStyle w:val="BodyText"/>
      </w:pPr>
    </w:p>
    <w:p w14:paraId="1D0A6FB6" w14:textId="77777777" w:rsidR="005D7C3B" w:rsidRDefault="005D7C3B" w:rsidP="005D7C3B">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5D7C3B" w14:paraId="1D0A6FB8" w14:textId="77777777" w:rsidTr="00B329A5">
        <w:tc>
          <w:tcPr>
            <w:tcW w:w="8771" w:type="dxa"/>
            <w:tcBorders>
              <w:top w:val="single" w:sz="6" w:space="0" w:color="78A22F"/>
              <w:left w:val="nil"/>
              <w:bottom w:val="nil"/>
              <w:right w:val="nil"/>
            </w:tcBorders>
            <w:shd w:val="clear" w:color="auto" w:fill="F2F2F2"/>
          </w:tcPr>
          <w:p w14:paraId="1D0A6FB7" w14:textId="77777777" w:rsidR="005D7C3B" w:rsidRDefault="005D7C3B" w:rsidP="00417FCC">
            <w:pPr>
              <w:pStyle w:val="BoxTitle"/>
            </w:pPr>
            <w:r>
              <w:rPr>
                <w:b w:val="0"/>
              </w:rPr>
              <w:t xml:space="preserve">Box </w:t>
            </w:r>
            <w:r w:rsidR="00417FCC">
              <w:rPr>
                <w:b w:val="0"/>
              </w:rPr>
              <w:t>2</w:t>
            </w:r>
            <w:r>
              <w:tab/>
              <w:t>Some explanations for poor productivity growth</w:t>
            </w:r>
          </w:p>
        </w:tc>
      </w:tr>
      <w:tr w:rsidR="005D7C3B" w14:paraId="1D0A6FBF" w14:textId="77777777" w:rsidTr="00B329A5">
        <w:tc>
          <w:tcPr>
            <w:tcW w:w="8771" w:type="dxa"/>
            <w:tcBorders>
              <w:top w:val="nil"/>
              <w:left w:val="nil"/>
              <w:bottom w:val="nil"/>
              <w:right w:val="nil"/>
            </w:tcBorders>
            <w:shd w:val="clear" w:color="auto" w:fill="F2F2F2"/>
          </w:tcPr>
          <w:p w14:paraId="1D0A6FB9" w14:textId="23AB0612" w:rsidR="005D7C3B" w:rsidRDefault="005D7C3B" w:rsidP="00B329A5">
            <w:pPr>
              <w:pStyle w:val="Box"/>
            </w:pPr>
            <w:r>
              <w:t xml:space="preserve">Recent papers have sought to </w:t>
            </w:r>
            <w:r w:rsidR="00971AA7">
              <w:t>link</w:t>
            </w:r>
            <w:r>
              <w:t xml:space="preserve"> the productivity slowdown </w:t>
            </w:r>
            <w:r w:rsidR="00971AA7">
              <w:t xml:space="preserve">to an </w:t>
            </w:r>
            <w:r>
              <w:t xml:space="preserve">evolution in market governance that has eroded competition and reduced the value to firms of generating positive </w:t>
            </w:r>
            <w:proofErr w:type="spellStart"/>
            <w:r>
              <w:t>spillovers</w:t>
            </w:r>
            <w:proofErr w:type="spellEnd"/>
            <w:r>
              <w:t>.</w:t>
            </w:r>
          </w:p>
          <w:p w14:paraId="1D0A6FBA" w14:textId="1C03EE67" w:rsidR="005D7C3B" w:rsidRDefault="005D7C3B" w:rsidP="00B329A5">
            <w:pPr>
              <w:pStyle w:val="BoxListBullet"/>
            </w:pPr>
            <w:r>
              <w:t>Bartlett (2015) argues that the shift in focus to shareholder value has undermined any implicit social contract that had been in place between joint stock firms and the community in exchange for limited liability. But forgoing this social contract has also not delivered on shareholder value. Rather, power has been concentrated in the hands of management, with a consequent focus</w:t>
            </w:r>
            <w:r w:rsidR="005C68E1">
              <w:t xml:space="preserve"> on short</w:t>
            </w:r>
            <w:r w:rsidR="005C68E1">
              <w:noBreakHyphen/>
            </w:r>
            <w:r w:rsidR="00392986">
              <w:t>term rather than long</w:t>
            </w:r>
            <w:r w:rsidR="00392986">
              <w:noBreakHyphen/>
            </w:r>
            <w:r>
              <w:t>term returns. This, encouraged further by differential tax treatment of stock options, has made share price the target, reducing the payment of dividends. Share buy</w:t>
            </w:r>
            <w:r w:rsidR="00EE434A">
              <w:noBreakHyphen/>
            </w:r>
            <w:r>
              <w:t xml:space="preserve">backs have reduced scope for the market to allocate capital efficiently and lowers the dynamism of the market. </w:t>
            </w:r>
          </w:p>
          <w:p w14:paraId="1D0A6FBB" w14:textId="4203BC1F" w:rsidR="005D7C3B" w:rsidRDefault="005D7C3B" w:rsidP="00B329A5">
            <w:pPr>
              <w:pStyle w:val="BoxListBullet"/>
            </w:pPr>
            <w:proofErr w:type="spellStart"/>
            <w:r>
              <w:t>Lazonick</w:t>
            </w:r>
            <w:proofErr w:type="spellEnd"/>
            <w:r>
              <w:t xml:space="preserve"> (2014) calculat</w:t>
            </w:r>
            <w:r w:rsidR="00971AA7">
              <w:t>ed that in the United States 54 </w:t>
            </w:r>
            <w:r>
              <w:t>per cent of earnings form the top 500 S&amp;P compa</w:t>
            </w:r>
            <w:r w:rsidR="00971AA7">
              <w:t>nies ($2.4 </w:t>
            </w:r>
            <w:r>
              <w:t>trillion) was used to buy back their own stock over the per</w:t>
            </w:r>
            <w:r w:rsidR="00971AA7">
              <w:t>iod 2003 to 2012, while only 37 </w:t>
            </w:r>
            <w:r>
              <w:t>per cent was paid out as dividends. He made the case that firms had adopted a ‘downsize and distribute’ model, as management extracts value from the firm rather than reinvesting in employees and new capital. Hence</w:t>
            </w:r>
            <w:r w:rsidR="00971AA7">
              <w:t>,</w:t>
            </w:r>
            <w:r>
              <w:t xml:space="preserve"> in rewarding the financial interests, value creation is harmed. Rule changes in the United States in 2003 that allow safe harbou</w:t>
            </w:r>
            <w:r w:rsidR="00971AA7">
              <w:t>r on share repurchases below 25 </w:t>
            </w:r>
            <w:r>
              <w:t xml:space="preserve">per cent appear to have enabled this trend. </w:t>
            </w:r>
          </w:p>
          <w:p w14:paraId="1D0A6FBC" w14:textId="23BEE71B" w:rsidR="005D7C3B" w:rsidRDefault="005D7C3B" w:rsidP="00B329A5">
            <w:pPr>
              <w:pStyle w:val="BoxListBullet"/>
            </w:pPr>
            <w:proofErr w:type="spellStart"/>
            <w:r>
              <w:t>Erixon</w:t>
            </w:r>
            <w:proofErr w:type="spellEnd"/>
            <w:r>
              <w:t xml:space="preserve"> and </w:t>
            </w:r>
            <w:proofErr w:type="spellStart"/>
            <w:r>
              <w:t>Weigel</w:t>
            </w:r>
            <w:proofErr w:type="spellEnd"/>
            <w:r>
              <w:t xml:space="preserve"> (2016) suggest that the passive behaviour of the large pension funds, </w:t>
            </w:r>
            <w:r w:rsidR="00971AA7">
              <w:t>which</w:t>
            </w:r>
            <w:r>
              <w:t xml:space="preserve"> look for and reward stable returns at the firm level, reduces the incentive of joint</w:t>
            </w:r>
            <w:r w:rsidR="00EE434A">
              <w:noBreakHyphen/>
            </w:r>
            <w:r>
              <w:t xml:space="preserve">stock firms to take risks. This results in a mismatch of the incentives facing firm management and </w:t>
            </w:r>
            <w:r w:rsidR="0029281B">
              <w:t>those that would provide overall benefits to</w:t>
            </w:r>
            <w:r>
              <w:t xml:space="preserve"> the broader community.</w:t>
            </w:r>
          </w:p>
          <w:p w14:paraId="1D0A6FBD" w14:textId="76AA7117" w:rsidR="005D7C3B" w:rsidRDefault="005D7C3B" w:rsidP="00B329A5">
            <w:pPr>
              <w:pStyle w:val="BoxListBullet"/>
            </w:pPr>
            <w:r>
              <w:t xml:space="preserve">Berger (2014) attributed </w:t>
            </w:r>
            <w:r w:rsidR="0029281B">
              <w:t xml:space="preserve">much of </w:t>
            </w:r>
            <w:r>
              <w:t xml:space="preserve">the downsizing of manufacturing </w:t>
            </w:r>
            <w:r w:rsidR="0029281B">
              <w:t xml:space="preserve">in the United States </w:t>
            </w:r>
            <w:r>
              <w:t xml:space="preserve">to changes in corporate structures. </w:t>
            </w:r>
            <w:r w:rsidR="00427146">
              <w:t>These involved a</w:t>
            </w:r>
            <w:r>
              <w:t xml:space="preserve"> move away from vertical integ</w:t>
            </w:r>
            <w:r w:rsidR="00640E10">
              <w:t>ration to single business lines</w:t>
            </w:r>
            <w:r>
              <w:t xml:space="preserve"> in response to the pressures from the financial market. Berger explained the reduced resilience of manufacturing firms to external events </w:t>
            </w:r>
            <w:r w:rsidR="00640E10">
              <w:t>as a reflection</w:t>
            </w:r>
            <w:r>
              <w:t xml:space="preserve"> of loss of vertical integration</w:t>
            </w:r>
            <w:r w:rsidR="002061A4">
              <w:t>, which</w:t>
            </w:r>
            <w:r>
              <w:t xml:space="preserve"> had </w:t>
            </w:r>
            <w:r w:rsidR="007A2CDF">
              <w:t xml:space="preserve">formerly </w:t>
            </w:r>
            <w:r>
              <w:t>allowed firms to control the entire value chain when scaling up innovation through production to market. The separation of R&amp;D and manufacturing has been facilitated by digital technologies, which Berger acknowledges has been highly rewarding for the United States. But her point is that it was vertically integrated fir</w:t>
            </w:r>
            <w:r w:rsidR="007A2CDF">
              <w:t xml:space="preserve">ms that created more </w:t>
            </w:r>
            <w:proofErr w:type="spellStart"/>
            <w:r w:rsidR="007A2CDF">
              <w:t>spillovers</w:t>
            </w:r>
            <w:proofErr w:type="spellEnd"/>
            <w:r>
              <w:t xml:space="preserve"> </w:t>
            </w:r>
            <w:r w:rsidR="00DA3EFD">
              <w:t xml:space="preserve">by </w:t>
            </w:r>
            <w:r>
              <w:t>providing ‘</w:t>
            </w:r>
            <w:proofErr w:type="spellStart"/>
            <w:r>
              <w:t>semi</w:t>
            </w:r>
            <w:r w:rsidR="00EE434A">
              <w:noBreakHyphen/>
            </w:r>
            <w:r>
              <w:t>public</w:t>
            </w:r>
            <w:proofErr w:type="spellEnd"/>
            <w:r>
              <w:t xml:space="preserve"> goods through apprenticeships, basic research, funding to bring innovation to scale</w:t>
            </w:r>
            <w:r w:rsidR="007A2CDF">
              <w:t>,</w:t>
            </w:r>
            <w:r>
              <w:t xml:space="preserve"> and diffusion of new technologies to suppliers. The downsized firms ‘could not keep these activities in house or pay for them’. (p.</w:t>
            </w:r>
            <w:r w:rsidR="00EE434A">
              <w:t> </w:t>
            </w:r>
            <w:r>
              <w:t>5)</w:t>
            </w:r>
          </w:p>
          <w:p w14:paraId="1D0A6FBE" w14:textId="566F7D0F" w:rsidR="005D7C3B" w:rsidRDefault="005D7C3B" w:rsidP="008B3E2F">
            <w:pPr>
              <w:pStyle w:val="BoxListBullet"/>
            </w:pPr>
            <w:r>
              <w:t xml:space="preserve">Azar, Schmalz and </w:t>
            </w:r>
            <w:proofErr w:type="spellStart"/>
            <w:r>
              <w:t>Tecu</w:t>
            </w:r>
            <w:proofErr w:type="spellEnd"/>
            <w:r>
              <w:t xml:space="preserve"> (2017) also point to the effects of financial markets in lowering productivity, but through reduced competition. </w:t>
            </w:r>
            <w:r w:rsidR="008B3E2F">
              <w:t xml:space="preserve">Their contention is that firms owned by overlapping sets of investors have reduced incentives to compete. </w:t>
            </w:r>
            <w:r>
              <w:t xml:space="preserve">Profits are higher in </w:t>
            </w:r>
            <w:r w:rsidR="008B3E2F">
              <w:t xml:space="preserve">industries where there is higher ownership </w:t>
            </w:r>
            <w:r>
              <w:t>concentrat</w:t>
            </w:r>
            <w:r w:rsidR="008B3E2F">
              <w:t>ion</w:t>
            </w:r>
            <w:r>
              <w:t xml:space="preserve"> and price competition </w:t>
            </w:r>
            <w:r w:rsidR="009C0531">
              <w:t xml:space="preserve">is </w:t>
            </w:r>
            <w:r>
              <w:t xml:space="preserve">weaker. For example, </w:t>
            </w:r>
            <w:r w:rsidR="008B3E2F">
              <w:t>the authors</w:t>
            </w:r>
            <w:r>
              <w:t xml:space="preserve"> estimate that 44</w:t>
            </w:r>
            <w:r w:rsidR="007A2CDF">
              <w:t> </w:t>
            </w:r>
            <w:r>
              <w:t>per cent of shares in the airline industry in the United States are owned by just five investors, and fares are 3</w:t>
            </w:r>
            <w:r w:rsidR="00EE434A">
              <w:noBreakHyphen/>
            </w:r>
            <w:r>
              <w:t>5</w:t>
            </w:r>
            <w:r w:rsidR="007A2CDF">
              <w:t> </w:t>
            </w:r>
            <w:r>
              <w:t xml:space="preserve">per cent higher than </w:t>
            </w:r>
            <w:r w:rsidR="00DA3EFD">
              <w:t xml:space="preserve">they </w:t>
            </w:r>
            <w:r>
              <w:t>would be if ownership were more diverse.</w:t>
            </w:r>
          </w:p>
        </w:tc>
      </w:tr>
      <w:tr w:rsidR="005D7C3B" w14:paraId="1D0A6FC1" w14:textId="77777777" w:rsidTr="00B329A5">
        <w:tc>
          <w:tcPr>
            <w:tcW w:w="8771" w:type="dxa"/>
            <w:tcBorders>
              <w:top w:val="nil"/>
              <w:left w:val="nil"/>
              <w:bottom w:val="nil"/>
              <w:right w:val="nil"/>
            </w:tcBorders>
            <w:shd w:val="clear" w:color="auto" w:fill="F2F2F2"/>
          </w:tcPr>
          <w:p w14:paraId="1D0A6FC0" w14:textId="1B06259A" w:rsidR="005D7C3B" w:rsidRDefault="005D7C3B" w:rsidP="004B0B31">
            <w:pPr>
              <w:pStyle w:val="BoxSource"/>
            </w:pPr>
            <w:r>
              <w:rPr>
                <w:i/>
              </w:rPr>
              <w:t>Sources</w:t>
            </w:r>
            <w:r w:rsidRPr="00167F06">
              <w:t xml:space="preserve">: </w:t>
            </w:r>
            <w:r w:rsidR="004B0B31">
              <w:t xml:space="preserve">Bartlett </w:t>
            </w:r>
            <w:r w:rsidR="004B0B31" w:rsidRPr="004B0B31">
              <w:rPr>
                <w:rFonts w:cs="Arial"/>
              </w:rPr>
              <w:t>(2015)</w:t>
            </w:r>
            <w:r w:rsidR="004B0B31">
              <w:t xml:space="preserve">, </w:t>
            </w:r>
            <w:proofErr w:type="spellStart"/>
            <w:r w:rsidR="004B0B31">
              <w:t>Lazonick</w:t>
            </w:r>
            <w:proofErr w:type="spellEnd"/>
            <w:r w:rsidR="004B0B31">
              <w:t xml:space="preserve"> </w:t>
            </w:r>
            <w:r w:rsidR="004B0B31" w:rsidRPr="004B0B31">
              <w:rPr>
                <w:rFonts w:cs="Arial"/>
              </w:rPr>
              <w:t>(2014)</w:t>
            </w:r>
            <w:r>
              <w:t xml:space="preserve">, </w:t>
            </w:r>
            <w:proofErr w:type="spellStart"/>
            <w:r w:rsidR="004B0B31">
              <w:t>Erixon</w:t>
            </w:r>
            <w:proofErr w:type="spellEnd"/>
            <w:r w:rsidR="004B0B31">
              <w:t xml:space="preserve"> and </w:t>
            </w:r>
            <w:proofErr w:type="spellStart"/>
            <w:r w:rsidR="004B0B31">
              <w:t>Weigel</w:t>
            </w:r>
            <w:proofErr w:type="spellEnd"/>
            <w:r w:rsidR="004B0B31">
              <w:t xml:space="preserve"> </w:t>
            </w:r>
            <w:r w:rsidR="004B0B31" w:rsidRPr="004B0B31">
              <w:rPr>
                <w:rFonts w:cs="Arial"/>
              </w:rPr>
              <w:t>(2016)</w:t>
            </w:r>
            <w:r>
              <w:t xml:space="preserve">, </w:t>
            </w:r>
            <w:r w:rsidR="004B0B31">
              <w:t xml:space="preserve">Berger </w:t>
            </w:r>
            <w:r w:rsidR="004B0B31" w:rsidRPr="004B0B31">
              <w:rPr>
                <w:rFonts w:cs="Arial"/>
              </w:rPr>
              <w:t>(2014)</w:t>
            </w:r>
            <w:r>
              <w:t xml:space="preserve">, </w:t>
            </w:r>
            <w:r w:rsidR="004B0B31">
              <w:t xml:space="preserve">Azar, Schmalz and </w:t>
            </w:r>
            <w:proofErr w:type="spellStart"/>
            <w:r w:rsidR="004B0B31">
              <w:t>Tecu</w:t>
            </w:r>
            <w:proofErr w:type="spellEnd"/>
            <w:r w:rsidR="004B0B31">
              <w:t xml:space="preserve"> </w:t>
            </w:r>
            <w:r w:rsidR="004B0B31" w:rsidRPr="004B0B31">
              <w:rPr>
                <w:rFonts w:cs="Arial"/>
              </w:rPr>
              <w:t>(2017)</w:t>
            </w:r>
            <w:r>
              <w:t xml:space="preserve">. </w:t>
            </w:r>
          </w:p>
        </w:tc>
      </w:tr>
      <w:tr w:rsidR="005D7C3B" w14:paraId="1D0A6FC3" w14:textId="77777777" w:rsidTr="00B329A5">
        <w:tc>
          <w:tcPr>
            <w:tcW w:w="8771" w:type="dxa"/>
            <w:tcBorders>
              <w:top w:val="nil"/>
              <w:left w:val="nil"/>
              <w:bottom w:val="single" w:sz="6" w:space="0" w:color="78A22F"/>
              <w:right w:val="nil"/>
            </w:tcBorders>
            <w:shd w:val="clear" w:color="auto" w:fill="F2F2F2"/>
          </w:tcPr>
          <w:p w14:paraId="1D0A6FC2" w14:textId="77777777" w:rsidR="005D7C3B" w:rsidRDefault="005D7C3B" w:rsidP="00B329A5">
            <w:pPr>
              <w:pStyle w:val="Box"/>
              <w:spacing w:before="0" w:line="120" w:lineRule="exact"/>
            </w:pPr>
          </w:p>
        </w:tc>
      </w:tr>
      <w:tr w:rsidR="005D7C3B" w:rsidRPr="000863A5" w14:paraId="1D0A6FC5" w14:textId="77777777" w:rsidTr="00B329A5">
        <w:tc>
          <w:tcPr>
            <w:tcW w:w="8771" w:type="dxa"/>
            <w:tcBorders>
              <w:top w:val="single" w:sz="6" w:space="0" w:color="78A22F"/>
              <w:left w:val="nil"/>
              <w:bottom w:val="nil"/>
              <w:right w:val="nil"/>
            </w:tcBorders>
          </w:tcPr>
          <w:p w14:paraId="1D0A6FC4" w14:textId="77777777" w:rsidR="005D7C3B" w:rsidRPr="00626D32" w:rsidRDefault="005D7C3B" w:rsidP="00B329A5">
            <w:pPr>
              <w:pStyle w:val="BoxSpaceBelow"/>
            </w:pPr>
          </w:p>
        </w:tc>
      </w:tr>
    </w:tbl>
    <w:p w14:paraId="1D0A6FC6" w14:textId="77777777" w:rsidR="005D7C3B" w:rsidRDefault="005D7C3B" w:rsidP="005D7C3B">
      <w:pPr>
        <w:pStyle w:val="BodyText"/>
      </w:pPr>
    </w:p>
    <w:p w14:paraId="1D0A6FC7" w14:textId="77777777" w:rsidR="00513B84" w:rsidRPr="00353C53" w:rsidRDefault="00513B84" w:rsidP="00513B84">
      <w:pPr>
        <w:pStyle w:val="Heading3"/>
      </w:pPr>
      <w:r w:rsidRPr="00353C53">
        <w:lastRenderedPageBreak/>
        <w:t>The effects of globalisation on industry composition</w:t>
      </w:r>
    </w:p>
    <w:p w14:paraId="1D0A6FC8" w14:textId="4410C769" w:rsidR="00513B84" w:rsidRDefault="00513B84" w:rsidP="00513B84">
      <w:pPr>
        <w:pStyle w:val="BodyText"/>
      </w:pPr>
      <w:r w:rsidRPr="006A3D88">
        <w:t>The integration of gl</w:t>
      </w:r>
      <w:r>
        <w:t>obal input and product markets</w:t>
      </w:r>
      <w:r w:rsidRPr="006A3D88">
        <w:t xml:space="preserve"> </w:t>
      </w:r>
      <w:r w:rsidR="00283DCB">
        <w:t>has</w:t>
      </w:r>
      <w:r w:rsidR="008F340A">
        <w:t xml:space="preserve"> seen the </w:t>
      </w:r>
      <w:r w:rsidR="004D0D1E">
        <w:t xml:space="preserve">development </w:t>
      </w:r>
      <w:r w:rsidR="008F340A">
        <w:t>of global value chains</w:t>
      </w:r>
      <w:r w:rsidR="00C766DD">
        <w:t xml:space="preserve"> (</w:t>
      </w:r>
      <w:proofErr w:type="spellStart"/>
      <w:r w:rsidR="00C766DD">
        <w:t>GVCs</w:t>
      </w:r>
      <w:proofErr w:type="spellEnd"/>
      <w:r w:rsidR="00C766DD">
        <w:t>)</w:t>
      </w:r>
      <w:r w:rsidR="00283DCB">
        <w:t>,</w:t>
      </w:r>
      <w:r w:rsidR="008F340A">
        <w:t xml:space="preserve"> </w:t>
      </w:r>
      <w:r w:rsidR="004D0D1E">
        <w:t>which are</w:t>
      </w:r>
      <w:r w:rsidR="004D0D1E" w:rsidRPr="006A3D88">
        <w:t xml:space="preserve"> </w:t>
      </w:r>
      <w:r w:rsidRPr="006A3D88">
        <w:t xml:space="preserve">a significant source of structural adjustment </w:t>
      </w:r>
      <w:r w:rsidR="008F340A">
        <w:t>in</w:t>
      </w:r>
      <w:r w:rsidRPr="006A3D88">
        <w:t xml:space="preserve"> many advanced economies. Improvements in telecommunications, logistics and transport technologies have</w:t>
      </w:r>
      <w:r>
        <w:t xml:space="preserve"> reduced the </w:t>
      </w:r>
      <w:r w:rsidR="007041C8">
        <w:t>significance</w:t>
      </w:r>
      <w:r>
        <w:t xml:space="preserve"> of geographical distances as a factor determining production methods or access to consumption goods. Among other things, t</w:t>
      </w:r>
      <w:r w:rsidRPr="006A3D88">
        <w:t xml:space="preserve">his means </w:t>
      </w:r>
      <w:r>
        <w:t xml:space="preserve">that </w:t>
      </w:r>
      <w:r w:rsidRPr="006A3D88">
        <w:t>producers have been able to take advantage of lower</w:t>
      </w:r>
      <w:r w:rsidR="007041C8">
        <w:noBreakHyphen/>
      </w:r>
      <w:r w:rsidRPr="006A3D88">
        <w:t>cost pro</w:t>
      </w:r>
      <w:r>
        <w:t>duction in developing economies</w:t>
      </w:r>
      <w:r w:rsidRPr="006A3D88">
        <w:t xml:space="preserve">. </w:t>
      </w:r>
    </w:p>
    <w:p w14:paraId="1D0A6FC9" w14:textId="55DD4AB4" w:rsidR="00513B84" w:rsidRDefault="00283DCB" w:rsidP="00283DCB">
      <w:pPr>
        <w:pStyle w:val="BodyText"/>
      </w:pPr>
      <w:r>
        <w:t>On one hand, closer international integration can facilitate the diffusion of innovations at the global frontier to national frontier firms through trade openness, participation in</w:t>
      </w:r>
      <w:r w:rsidR="00C766DD">
        <w:t xml:space="preserve"> </w:t>
      </w:r>
      <w:proofErr w:type="spellStart"/>
      <w:r>
        <w:t>GVCs</w:t>
      </w:r>
      <w:proofErr w:type="spellEnd"/>
      <w:r>
        <w:t xml:space="preserve"> and t</w:t>
      </w:r>
      <w:r w:rsidR="004B0B31">
        <w:t>he mobility of skilled workers</w:t>
      </w:r>
      <w:r>
        <w:t>. However, a</w:t>
      </w:r>
      <w:r w:rsidR="00513B84" w:rsidRPr="006A3D88">
        <w:t xml:space="preserve"> number of studies have found that </w:t>
      </w:r>
      <w:r w:rsidR="00513B84">
        <w:t>access to overseas (input) markets</w:t>
      </w:r>
      <w:r w:rsidR="00513B84" w:rsidRPr="006A3D88">
        <w:t xml:space="preserve"> creates downward pressure on employment in the tradeable sector of advanced economies, which tends to have higher measured productivity on average</w:t>
      </w:r>
      <w:r w:rsidR="0025600D">
        <w:t xml:space="preserve"> </w:t>
      </w:r>
      <w:r w:rsidR="0025600D" w:rsidRPr="0025600D">
        <w:rPr>
          <w:szCs w:val="24"/>
        </w:rPr>
        <w:t>(</w:t>
      </w:r>
      <w:proofErr w:type="spellStart"/>
      <w:r w:rsidR="0025600D" w:rsidRPr="0025600D">
        <w:rPr>
          <w:szCs w:val="24"/>
        </w:rPr>
        <w:t>Bassanini</w:t>
      </w:r>
      <w:proofErr w:type="spellEnd"/>
      <w:r w:rsidR="0025600D" w:rsidRPr="0025600D">
        <w:rPr>
          <w:szCs w:val="24"/>
        </w:rPr>
        <w:t xml:space="preserve"> and </w:t>
      </w:r>
      <w:proofErr w:type="spellStart"/>
      <w:r w:rsidR="0025600D" w:rsidRPr="0025600D">
        <w:rPr>
          <w:szCs w:val="24"/>
        </w:rPr>
        <w:t>Manfredi</w:t>
      </w:r>
      <w:proofErr w:type="spellEnd"/>
      <w:r w:rsidR="0025600D" w:rsidRPr="0025600D">
        <w:rPr>
          <w:szCs w:val="24"/>
        </w:rPr>
        <w:t> 2012)</w:t>
      </w:r>
      <w:r w:rsidR="00513B84">
        <w:t xml:space="preserve">. </w:t>
      </w:r>
      <w:r w:rsidR="00513B84" w:rsidRPr="006A3D88">
        <w:t xml:space="preserve">In the United States, for example, </w:t>
      </w:r>
      <w:proofErr w:type="spellStart"/>
      <w:r w:rsidR="00513B84">
        <w:t>Hlatshwayo</w:t>
      </w:r>
      <w:proofErr w:type="spellEnd"/>
      <w:r w:rsidR="00513B84">
        <w:t xml:space="preserve"> and Spence </w:t>
      </w:r>
      <w:r w:rsidR="00513B84" w:rsidRPr="009C7D9A">
        <w:t>(2014)</w:t>
      </w:r>
      <w:r w:rsidR="00513B84">
        <w:t xml:space="preserve"> f</w:t>
      </w:r>
      <w:r w:rsidR="008F340A">
        <w:t>ou</w:t>
      </w:r>
      <w:r w:rsidR="00513B84">
        <w:t xml:space="preserve">nd that </w:t>
      </w:r>
      <w:r w:rsidR="00513B84" w:rsidRPr="006A3D88">
        <w:t>nearly all employment creation since 1990 has occurred in the non</w:t>
      </w:r>
      <w:r w:rsidR="00EE434A">
        <w:noBreakHyphen/>
      </w:r>
      <w:r w:rsidR="00513B84" w:rsidRPr="006A3D88">
        <w:t>t</w:t>
      </w:r>
      <w:r w:rsidR="00513B84">
        <w:t>radeable sector of the economy.</w:t>
      </w:r>
      <w:r w:rsidR="00513B84" w:rsidRPr="006A3D88">
        <w:t xml:space="preserve"> In New Zealand since the late </w:t>
      </w:r>
      <w:proofErr w:type="spellStart"/>
      <w:r w:rsidR="00513B84" w:rsidRPr="006A3D88">
        <w:t>1970s</w:t>
      </w:r>
      <w:proofErr w:type="spellEnd"/>
      <w:r w:rsidR="00513B84" w:rsidRPr="006A3D88">
        <w:t>, much of employment growth has been in the ‘non</w:t>
      </w:r>
      <w:r w:rsidR="00C930DC">
        <w:noBreakHyphen/>
      </w:r>
      <w:r w:rsidR="00513B84" w:rsidRPr="006A3D88">
        <w:t xml:space="preserve">measured’ sector of the economy; and employment growth in the measured market sector over the </w:t>
      </w:r>
      <w:r w:rsidR="00513B84">
        <w:t>entire period averaged only 0.1 </w:t>
      </w:r>
      <w:r w:rsidR="00513B84" w:rsidRPr="006A3D88">
        <w:t>per cent a year</w:t>
      </w:r>
      <w:r w:rsidR="00513B84">
        <w:t xml:space="preserve"> </w:t>
      </w:r>
      <w:r w:rsidR="00513B84" w:rsidRPr="009C7D9A">
        <w:rPr>
          <w:szCs w:val="24"/>
        </w:rPr>
        <w:t>(Conway, Meehan and Parham 2015)</w:t>
      </w:r>
      <w:r w:rsidR="00513B84" w:rsidRPr="006A3D88">
        <w:t>.</w:t>
      </w:r>
    </w:p>
    <w:p w14:paraId="1D0A6FCA" w14:textId="5BD4730E" w:rsidR="00513B84" w:rsidRDefault="00513B84" w:rsidP="00513B84">
      <w:pPr>
        <w:pStyle w:val="BodyText"/>
      </w:pPr>
      <w:r>
        <w:t>In Australia, as in other advanced economies, globalisation is likely to have contributed to a shift in employment from manufacturing activities to services. Further compositional shifts away from lower</w:t>
      </w:r>
      <w:r w:rsidR="00544C78">
        <w:noBreakHyphen/>
      </w:r>
      <w:r>
        <w:t xml:space="preserve"> to medium</w:t>
      </w:r>
      <w:r>
        <w:noBreakHyphen/>
        <w:t xml:space="preserve">skilled manufacturing activities are likely to continue to take place in Australia </w:t>
      </w:r>
      <w:r w:rsidR="00DF2E3B">
        <w:t xml:space="preserve">because </w:t>
      </w:r>
      <w:r>
        <w:t xml:space="preserve">of continued development </w:t>
      </w:r>
      <w:r w:rsidR="004D0D1E">
        <w:t xml:space="preserve">in </w:t>
      </w:r>
      <w:r>
        <w:t>lower</w:t>
      </w:r>
      <w:r w:rsidR="007041C8">
        <w:noBreakHyphen/>
      </w:r>
      <w:r>
        <w:t>cost economies.</w:t>
      </w:r>
      <w:r w:rsidR="008F340A">
        <w:t xml:space="preserve"> </w:t>
      </w:r>
      <w:r>
        <w:t xml:space="preserve">These structural changes in industry composition can also </w:t>
      </w:r>
      <w:r w:rsidR="007041C8">
        <w:t xml:space="preserve">partly </w:t>
      </w:r>
      <w:r>
        <w:t xml:space="preserve">explain lower rates of capital investment. Services industries are, on average, less capital intensive, and require less capital per unit of labour to produce a given unit of output. </w:t>
      </w:r>
      <w:r w:rsidR="00460008">
        <w:t>As services grow as a proportion of the economy, t</w:t>
      </w:r>
      <w:r>
        <w:t>his places further downward pressure on rates of investment over time</w:t>
      </w:r>
      <w:r w:rsidR="00460008">
        <w:t xml:space="preserve"> </w:t>
      </w:r>
      <w:r w:rsidR="006E3A21" w:rsidRPr="006E3A21">
        <w:rPr>
          <w:szCs w:val="24"/>
        </w:rPr>
        <w:t>(Elias and Evans 2014)</w:t>
      </w:r>
      <w:r w:rsidR="006E3A21">
        <w:t>.</w:t>
      </w:r>
    </w:p>
    <w:p w14:paraId="1D0A6FCB" w14:textId="7AA04396" w:rsidR="00191199" w:rsidRDefault="008F340A" w:rsidP="00513B84">
      <w:pPr>
        <w:pStyle w:val="BodyText"/>
      </w:pPr>
      <w:r>
        <w:t xml:space="preserve">However, as discussed in PC </w:t>
      </w:r>
      <w:r w:rsidR="006E3A21" w:rsidRPr="006E3A21">
        <w:t>(</w:t>
      </w:r>
      <w:proofErr w:type="spellStart"/>
      <w:r w:rsidR="006E3A21" w:rsidRPr="006E3A21">
        <w:t>2016a</w:t>
      </w:r>
      <w:proofErr w:type="spellEnd"/>
      <w:r w:rsidR="006E3A21" w:rsidRPr="006E3A21">
        <w:t>)</w:t>
      </w:r>
      <w:r>
        <w:t>, this particular aspect of globalisation may have reached, or may soon reach, its peak. As production becomes more automated</w:t>
      </w:r>
      <w:r w:rsidR="00460008">
        <w:t xml:space="preserve"> and specialised, relative labour costs across countries </w:t>
      </w:r>
      <w:r w:rsidR="00C766DD">
        <w:t xml:space="preserve">will </w:t>
      </w:r>
      <w:r w:rsidR="00460008">
        <w:t>factor into production decisions less</w:t>
      </w:r>
      <w:r w:rsidR="00C766DD">
        <w:t xml:space="preserve">, with potential implications for the extent and value derivable from </w:t>
      </w:r>
      <w:proofErr w:type="spellStart"/>
      <w:r w:rsidR="00C766DD">
        <w:t>GVCs</w:t>
      </w:r>
      <w:proofErr w:type="spellEnd"/>
      <w:r w:rsidR="00460008">
        <w:t xml:space="preserve">. </w:t>
      </w:r>
      <w:r w:rsidR="00DF2E3B">
        <w:t>W</w:t>
      </w:r>
      <w:r w:rsidR="00460008">
        <w:t xml:space="preserve">ith lower or zero labour costs, moving production </w:t>
      </w:r>
      <w:r w:rsidR="00C766DD">
        <w:t xml:space="preserve">centres </w:t>
      </w:r>
      <w:r w:rsidR="00460008">
        <w:t>closer to consumers will help to minimise transportation and storage costs. While this could benefit consumers</w:t>
      </w:r>
      <w:r w:rsidR="00B24F2D">
        <w:t xml:space="preserve"> in some countries</w:t>
      </w:r>
      <w:r w:rsidR="00460008">
        <w:t xml:space="preserve">, there are considerations for employment and future forms of </w:t>
      </w:r>
      <w:r w:rsidR="00E10632">
        <w:t xml:space="preserve">international </w:t>
      </w:r>
      <w:r w:rsidR="00460008">
        <w:t xml:space="preserve">economic development in yet to be industrialised countries </w:t>
      </w:r>
      <w:r w:rsidR="00DF2E3B">
        <w:t>that</w:t>
      </w:r>
      <w:r w:rsidR="00460008">
        <w:t xml:space="preserve"> beg consideration.</w:t>
      </w:r>
      <w:r w:rsidR="00B24F2D" w:rsidRPr="00E6296D">
        <w:rPr>
          <w:rStyle w:val="FootnoteReference"/>
        </w:rPr>
        <w:footnoteReference w:id="22"/>
      </w:r>
      <w:r w:rsidR="00460008">
        <w:t xml:space="preserve"> </w:t>
      </w:r>
    </w:p>
    <w:p w14:paraId="1D0A6FCC" w14:textId="0D542730" w:rsidR="00DC0E88" w:rsidRPr="00353C53" w:rsidRDefault="004D4212" w:rsidP="00513B84">
      <w:pPr>
        <w:pStyle w:val="Heading3"/>
      </w:pPr>
      <w:r>
        <w:lastRenderedPageBreak/>
        <w:t>I</w:t>
      </w:r>
      <w:r w:rsidR="00DC0E88" w:rsidRPr="00353C53">
        <w:t>nvest</w:t>
      </w:r>
      <w:r w:rsidR="00DC0E88">
        <w:t>ment in knowledge</w:t>
      </w:r>
      <w:r w:rsidR="00EE434A">
        <w:noBreakHyphen/>
      </w:r>
      <w:r w:rsidR="00DC0E88">
        <w:t>based capital</w:t>
      </w:r>
    </w:p>
    <w:p w14:paraId="1D0A6FCD" w14:textId="4E3F3058" w:rsidR="00C75F19" w:rsidRDefault="00A365CF" w:rsidP="00DC0E88">
      <w:pPr>
        <w:pStyle w:val="BodyText"/>
      </w:pPr>
      <w:r>
        <w:t>MFP</w:t>
      </w:r>
      <w:r w:rsidRPr="005320F7">
        <w:t xml:space="preserve"> growth is underpinned by innovation, which in turn, is underpinned by investment in different forms of knowledge</w:t>
      </w:r>
      <w:r>
        <w:noBreakHyphen/>
      </w:r>
      <w:r w:rsidRPr="005320F7">
        <w:t>based capital (</w:t>
      </w:r>
      <w:r w:rsidR="006143E4">
        <w:t xml:space="preserve">or </w:t>
      </w:r>
      <w:proofErr w:type="spellStart"/>
      <w:r w:rsidR="006143E4">
        <w:t>KBC</w:t>
      </w:r>
      <w:proofErr w:type="spellEnd"/>
      <w:r w:rsidR="006143E4">
        <w:t>,</w:t>
      </w:r>
      <w:r w:rsidR="004D4212">
        <w:t xml:space="preserve"> otherwise </w:t>
      </w:r>
      <w:r w:rsidR="00460008">
        <w:t xml:space="preserve">termed </w:t>
      </w:r>
      <w:r w:rsidR="004D4212">
        <w:t>intangible investment,</w:t>
      </w:r>
      <w:r w:rsidR="006143E4">
        <w:t xml:space="preserve"> including</w:t>
      </w:r>
      <w:r w:rsidRPr="005320F7">
        <w:t xml:space="preserve"> R&amp;D, intellectual property, new organisational processes and systems,</w:t>
      </w:r>
      <w:r w:rsidR="006143E4">
        <w:t xml:space="preserve"> and so on</w:t>
      </w:r>
      <w:r w:rsidRPr="005320F7">
        <w:t>)</w:t>
      </w:r>
      <w:r w:rsidR="00531417">
        <w:t>.</w:t>
      </w:r>
      <w:r w:rsidR="00C75F19">
        <w:t xml:space="preserve"> </w:t>
      </w:r>
      <w:r w:rsidR="001D56BD">
        <w:t>B</w:t>
      </w:r>
      <w:r>
        <w:t xml:space="preserve">enefits </w:t>
      </w:r>
      <w:r w:rsidR="001D56BD">
        <w:t xml:space="preserve">flowing from investment in </w:t>
      </w:r>
      <w:proofErr w:type="spellStart"/>
      <w:r w:rsidR="001D56BD">
        <w:t>KBC</w:t>
      </w:r>
      <w:proofErr w:type="spellEnd"/>
      <w:r w:rsidR="001D56BD">
        <w:t xml:space="preserve"> </w:t>
      </w:r>
      <w:r w:rsidR="006143E4">
        <w:t>often</w:t>
      </w:r>
      <w:r w:rsidR="006143E4" w:rsidRPr="005320F7">
        <w:t xml:space="preserve"> </w:t>
      </w:r>
      <w:r w:rsidRPr="005320F7">
        <w:t>spill</w:t>
      </w:r>
      <w:r w:rsidR="00531417">
        <w:t xml:space="preserve"> over </w:t>
      </w:r>
      <w:r w:rsidRPr="005320F7">
        <w:t>to other firms</w:t>
      </w:r>
      <w:r w:rsidR="00531417">
        <w:t xml:space="preserve"> over time</w:t>
      </w:r>
      <w:r w:rsidRPr="005320F7">
        <w:t xml:space="preserve">. </w:t>
      </w:r>
      <w:r w:rsidR="00C75F19">
        <w:t xml:space="preserve">However, there has been some concern that productivity performance has suffered recently </w:t>
      </w:r>
      <w:r w:rsidR="00DF2E3B">
        <w:t>because</w:t>
      </w:r>
      <w:r w:rsidR="00C75F19">
        <w:t xml:space="preserve"> of lower rates of </w:t>
      </w:r>
      <w:proofErr w:type="spellStart"/>
      <w:r w:rsidR="00C75F19">
        <w:t>KBC</w:t>
      </w:r>
      <w:proofErr w:type="spellEnd"/>
      <w:r w:rsidR="00C75F19">
        <w:t xml:space="preserve"> investment. For example</w:t>
      </w:r>
      <w:r w:rsidR="00460008">
        <w:t>,</w:t>
      </w:r>
      <w:r w:rsidR="00C75F19">
        <w:t xml:space="preserve"> l</w:t>
      </w:r>
      <w:r w:rsidRPr="005320F7">
        <w:t xml:space="preserve">ower rates of </w:t>
      </w:r>
      <w:proofErr w:type="spellStart"/>
      <w:r w:rsidRPr="005320F7">
        <w:t>KBC</w:t>
      </w:r>
      <w:proofErr w:type="spellEnd"/>
      <w:r w:rsidRPr="005320F7">
        <w:t xml:space="preserve"> accumulation have been linked with lower rates of productivity growth among ICT</w:t>
      </w:r>
      <w:r w:rsidR="00C75F19">
        <w:noBreakHyphen/>
      </w:r>
      <w:r w:rsidRPr="005320F7">
        <w:t>intensive industries</w:t>
      </w:r>
      <w:r w:rsidR="00C75F19">
        <w:t xml:space="preserve"> in the U</w:t>
      </w:r>
      <w:r w:rsidR="00265579">
        <w:t xml:space="preserve">nited </w:t>
      </w:r>
      <w:r w:rsidR="00C75F19">
        <w:t>S</w:t>
      </w:r>
      <w:r w:rsidR="00265579">
        <w:t>tates</w:t>
      </w:r>
      <w:r w:rsidR="00460008" w:rsidRPr="00460008">
        <w:t xml:space="preserve"> </w:t>
      </w:r>
      <w:r w:rsidR="00EE72B2" w:rsidRPr="00EE72B2">
        <w:rPr>
          <w:szCs w:val="24"/>
        </w:rPr>
        <w:t>(Fernald </w:t>
      </w:r>
      <w:proofErr w:type="spellStart"/>
      <w:r w:rsidR="00EE72B2" w:rsidRPr="00EE72B2">
        <w:rPr>
          <w:szCs w:val="24"/>
        </w:rPr>
        <w:t>2014b</w:t>
      </w:r>
      <w:proofErr w:type="spellEnd"/>
      <w:r w:rsidR="00EE72B2" w:rsidRPr="00EE72B2">
        <w:rPr>
          <w:szCs w:val="24"/>
        </w:rPr>
        <w:t>)</w:t>
      </w:r>
      <w:r w:rsidR="00531417">
        <w:t>.</w:t>
      </w:r>
      <w:r>
        <w:t xml:space="preserve"> </w:t>
      </w:r>
    </w:p>
    <w:p w14:paraId="1D0A6FCE" w14:textId="1A443127" w:rsidR="00BA5D2F" w:rsidRDefault="004D4212" w:rsidP="00DC0E88">
      <w:pPr>
        <w:pStyle w:val="BodyText"/>
      </w:pPr>
      <w:r>
        <w:t xml:space="preserve">The overall impact of </w:t>
      </w:r>
      <w:proofErr w:type="spellStart"/>
      <w:r>
        <w:t>KBC</w:t>
      </w:r>
      <w:proofErr w:type="spellEnd"/>
      <w:r>
        <w:t xml:space="preserve"> investment on productivity, while significant, is </w:t>
      </w:r>
      <w:r w:rsidR="00D63847">
        <w:t xml:space="preserve">however, </w:t>
      </w:r>
      <w:r>
        <w:t xml:space="preserve">neither simple to isolate nor necessarily unidirectional. </w:t>
      </w:r>
      <w:r w:rsidR="002C0A65">
        <w:t>R</w:t>
      </w:r>
      <w:r>
        <w:t xml:space="preserve">ates of </w:t>
      </w:r>
      <w:proofErr w:type="spellStart"/>
      <w:r>
        <w:t>KBC</w:t>
      </w:r>
      <w:proofErr w:type="spellEnd"/>
      <w:r>
        <w:t xml:space="preserve"> investment are likely to accompany broad technological shifts that</w:t>
      </w:r>
      <w:r w:rsidR="002C0A65">
        <w:t xml:space="preserve"> also</w:t>
      </w:r>
      <w:r>
        <w:t xml:space="preserve"> </w:t>
      </w:r>
      <w:r w:rsidR="00C75F19">
        <w:t>necessitate</w:t>
      </w:r>
      <w:r>
        <w:t xml:space="preserve"> </w:t>
      </w:r>
      <w:r w:rsidR="002C0A65">
        <w:t xml:space="preserve">other </w:t>
      </w:r>
      <w:r>
        <w:t>changes in organisational and management practise</w:t>
      </w:r>
      <w:r w:rsidR="00C75F19">
        <w:t xml:space="preserve"> for firms to compete and survive</w:t>
      </w:r>
      <w:r>
        <w:t xml:space="preserve">. </w:t>
      </w:r>
      <w:r w:rsidR="00C75F19">
        <w:t xml:space="preserve">Some reduction in </w:t>
      </w:r>
      <w:proofErr w:type="spellStart"/>
      <w:r w:rsidR="00C75F19">
        <w:t>KBC</w:t>
      </w:r>
      <w:proofErr w:type="spellEnd"/>
      <w:r w:rsidR="00C75F19">
        <w:t xml:space="preserve"> investment rates and productivity growth is therefore unsurprising in the post</w:t>
      </w:r>
      <w:r w:rsidR="00C75F19">
        <w:noBreakHyphen/>
        <w:t xml:space="preserve">ICT revolution era, as most firms are likely to have adapted (to the extent required) </w:t>
      </w:r>
      <w:r w:rsidR="00BA5D2F">
        <w:t xml:space="preserve">and invested in digital technologies. For example in </w:t>
      </w:r>
      <w:r w:rsidR="00781D56">
        <w:t>1997</w:t>
      </w:r>
      <w:r w:rsidR="00781D56">
        <w:noBreakHyphen/>
        <w:t>98</w:t>
      </w:r>
      <w:r w:rsidR="00EA38D8">
        <w:t>,</w:t>
      </w:r>
      <w:r w:rsidR="00781D56">
        <w:t xml:space="preserve"> 29 </w:t>
      </w:r>
      <w:r w:rsidR="00BA5D2F">
        <w:t>per cent of Australian busines</w:t>
      </w:r>
      <w:r w:rsidR="00781D56">
        <w:t>s</w:t>
      </w:r>
      <w:r w:rsidR="00BA5D2F">
        <w:t xml:space="preserve">es made use of the </w:t>
      </w:r>
      <w:proofErr w:type="spellStart"/>
      <w:r w:rsidR="00BA5D2F">
        <w:t>internet</w:t>
      </w:r>
      <w:proofErr w:type="spellEnd"/>
      <w:r w:rsidR="00BA5D2F">
        <w:t xml:space="preserve">. By </w:t>
      </w:r>
      <w:r w:rsidR="00781D56">
        <w:t>2015</w:t>
      </w:r>
      <w:r w:rsidR="00EE434A">
        <w:noBreakHyphen/>
      </w:r>
      <w:r w:rsidR="00781D56">
        <w:t>16</w:t>
      </w:r>
      <w:r w:rsidR="00BA5D2F">
        <w:t xml:space="preserve">, this had grown to </w:t>
      </w:r>
      <w:r w:rsidR="00781D56">
        <w:t>over 95</w:t>
      </w:r>
      <w:r w:rsidR="00BA5D2F">
        <w:t> per cent</w:t>
      </w:r>
      <w:r w:rsidR="00EA38D8">
        <w:t xml:space="preserve"> </w:t>
      </w:r>
      <w:r w:rsidR="00CE4E85" w:rsidRPr="00CE4E85">
        <w:rPr>
          <w:szCs w:val="24"/>
        </w:rPr>
        <w:t xml:space="preserve">(ABS 1999, </w:t>
      </w:r>
      <w:proofErr w:type="spellStart"/>
      <w:r w:rsidR="00CE4E85" w:rsidRPr="00CE4E85">
        <w:rPr>
          <w:szCs w:val="24"/>
        </w:rPr>
        <w:t>2017b</w:t>
      </w:r>
      <w:proofErr w:type="spellEnd"/>
      <w:r w:rsidR="00CE4E85" w:rsidRPr="00CE4E85">
        <w:rPr>
          <w:szCs w:val="24"/>
        </w:rPr>
        <w:t>)</w:t>
      </w:r>
      <w:r w:rsidR="00BA5D2F">
        <w:t>.</w:t>
      </w:r>
      <w:r w:rsidR="00781D56" w:rsidRPr="00E6296D">
        <w:rPr>
          <w:rStyle w:val="FootnoteReference"/>
        </w:rPr>
        <w:footnoteReference w:id="23"/>
      </w:r>
      <w:r w:rsidR="00BA5D2F">
        <w:t xml:space="preserve"> </w:t>
      </w:r>
      <w:r w:rsidR="00C75F19" w:rsidRPr="005320F7">
        <w:t xml:space="preserve">It may be that </w:t>
      </w:r>
      <w:r w:rsidR="00DB2F34">
        <w:t xml:space="preserve">there are diminishing returns to productivity associated with such investments in ICT — </w:t>
      </w:r>
      <w:r w:rsidR="00C75F19" w:rsidRPr="005320F7">
        <w:t>particularly in industries mak</w:t>
      </w:r>
      <w:r w:rsidR="00745BFB">
        <w:t>ing</w:t>
      </w:r>
      <w:r w:rsidR="00C75F19" w:rsidRPr="005320F7">
        <w:t xml:space="preserve"> significant use of ICTs.</w:t>
      </w:r>
      <w:r w:rsidR="00BA5D2F">
        <w:t xml:space="preserve"> </w:t>
      </w:r>
    </w:p>
    <w:p w14:paraId="1D0A6FCF" w14:textId="5F41F098" w:rsidR="00BA5D2F" w:rsidRDefault="00BA5D2F" w:rsidP="00DC0E88">
      <w:pPr>
        <w:pStyle w:val="BodyText"/>
      </w:pPr>
      <w:r>
        <w:t xml:space="preserve">This being the case, future rates of </w:t>
      </w:r>
      <w:proofErr w:type="spellStart"/>
      <w:r>
        <w:t>KBC</w:t>
      </w:r>
      <w:proofErr w:type="spellEnd"/>
      <w:r>
        <w:t xml:space="preserve"> investment should broadly cor</w:t>
      </w:r>
      <w:r w:rsidR="00042A40">
        <w:t>respond to new forms of general</w:t>
      </w:r>
      <w:r w:rsidR="00042A40">
        <w:noBreakHyphen/>
      </w:r>
      <w:r>
        <w:t>purpose technologies as they become available. Exactly what form these technologies will take is uncertain, but because of the</w:t>
      </w:r>
      <w:r w:rsidRPr="00BA5D2F">
        <w:t xml:space="preserve"> intangible nature </w:t>
      </w:r>
      <w:r>
        <w:t xml:space="preserve">of most </w:t>
      </w:r>
      <w:proofErr w:type="spellStart"/>
      <w:r>
        <w:t>KBC</w:t>
      </w:r>
      <w:proofErr w:type="spellEnd"/>
      <w:r>
        <w:t xml:space="preserve">, </w:t>
      </w:r>
      <w:r w:rsidRPr="00BA5D2F">
        <w:t>certain policy settings</w:t>
      </w:r>
      <w:r>
        <w:t xml:space="preserve"> </w:t>
      </w:r>
      <w:r w:rsidRPr="00BA5D2F">
        <w:t xml:space="preserve">in the </w:t>
      </w:r>
      <w:r>
        <w:t>fields of taxation, innovation,</w:t>
      </w:r>
      <w:r w:rsidRPr="00BA5D2F">
        <w:t xml:space="preserve"> competition, and intellectual property</w:t>
      </w:r>
      <w:r>
        <w:t xml:space="preserve"> need to be updated</w:t>
      </w:r>
      <w:r w:rsidRPr="00BA5D2F">
        <w:t xml:space="preserve">. </w:t>
      </w:r>
      <w:r w:rsidR="00954FA2">
        <w:t xml:space="preserve">Specific enabling roles for the government are clear, such as </w:t>
      </w:r>
      <w:r w:rsidRPr="00BA5D2F">
        <w:t xml:space="preserve">policies that enable the exploitation of data as an economic asset. </w:t>
      </w:r>
      <w:r>
        <w:t>However, t</w:t>
      </w:r>
      <w:r w:rsidRPr="00BA5D2F">
        <w:t xml:space="preserve">he rising importance of </w:t>
      </w:r>
      <w:proofErr w:type="spellStart"/>
      <w:r w:rsidRPr="00BA5D2F">
        <w:t>KBC</w:t>
      </w:r>
      <w:proofErr w:type="spellEnd"/>
      <w:r w:rsidRPr="00BA5D2F">
        <w:t xml:space="preserve"> also </w:t>
      </w:r>
      <w:r>
        <w:t>suggests</w:t>
      </w:r>
      <w:r w:rsidRPr="00BA5D2F">
        <w:t xml:space="preserve"> </w:t>
      </w:r>
      <w:r>
        <w:t>that policy frameworks applicable to</w:t>
      </w:r>
      <w:r w:rsidR="00954FA2">
        <w:t>, for example,</w:t>
      </w:r>
      <w:r>
        <w:t xml:space="preserve"> </w:t>
      </w:r>
      <w:r w:rsidRPr="00BA5D2F">
        <w:t>education</w:t>
      </w:r>
      <w:r w:rsidR="00954FA2">
        <w:t xml:space="preserve">, will also be crucial in facilitating the abilities and competencies of future workers to generate the forms of </w:t>
      </w:r>
      <w:proofErr w:type="spellStart"/>
      <w:r w:rsidR="00954FA2">
        <w:t>KBC</w:t>
      </w:r>
      <w:proofErr w:type="spellEnd"/>
      <w:r w:rsidR="00954FA2">
        <w:t xml:space="preserve"> and innovations valued by an ever</w:t>
      </w:r>
      <w:r w:rsidR="00DA3EFD">
        <w:noBreakHyphen/>
      </w:r>
      <w:r w:rsidR="00954FA2">
        <w:t>evolving and complex economic environment</w:t>
      </w:r>
      <w:r w:rsidR="00B24F2D">
        <w:t>.</w:t>
      </w:r>
    </w:p>
    <w:p w14:paraId="1D0A6FD0" w14:textId="487AE1BC" w:rsidR="005D7C3B" w:rsidRDefault="00D63847" w:rsidP="00BE21F9">
      <w:pPr>
        <w:pStyle w:val="BodyText"/>
      </w:pPr>
      <w:r>
        <w:t xml:space="preserve">Ensuring the robustness of competition and intellectual property frameworks is crucial </w:t>
      </w:r>
      <w:r w:rsidR="00CB49A8">
        <w:t>in</w:t>
      </w:r>
      <w:r>
        <w:t xml:space="preserve"> facilitating </w:t>
      </w:r>
      <w:proofErr w:type="spellStart"/>
      <w:r>
        <w:t>spillovers</w:t>
      </w:r>
      <w:proofErr w:type="spellEnd"/>
      <w:r>
        <w:t xml:space="preserve"> of knowledge between firms. This is important because some</w:t>
      </w:r>
      <w:r w:rsidRPr="005320F7">
        <w:t xml:space="preserve"> </w:t>
      </w:r>
      <w:r>
        <w:t>studies</w:t>
      </w:r>
      <w:r w:rsidRPr="005320F7">
        <w:t xml:space="preserve"> </w:t>
      </w:r>
      <w:r w:rsidR="009959AB">
        <w:t>have linked</w:t>
      </w:r>
      <w:r w:rsidR="00CB49A8" w:rsidRPr="005320F7">
        <w:t xml:space="preserve"> </w:t>
      </w:r>
      <w:r w:rsidRPr="005320F7">
        <w:t xml:space="preserve">falls in </w:t>
      </w:r>
      <w:r>
        <w:t>MFP</w:t>
      </w:r>
      <w:r w:rsidRPr="005320F7">
        <w:t xml:space="preserve"> growth </w:t>
      </w:r>
      <w:r w:rsidR="00CB49A8">
        <w:t xml:space="preserve">to </w:t>
      </w:r>
      <w:r w:rsidRPr="005320F7">
        <w:t>declin</w:t>
      </w:r>
      <w:r w:rsidR="00CB49A8">
        <w:t xml:space="preserve">ing </w:t>
      </w:r>
      <w:proofErr w:type="spellStart"/>
      <w:r>
        <w:t>KBC</w:t>
      </w:r>
      <w:proofErr w:type="spellEnd"/>
      <w:r>
        <w:t xml:space="preserve"> </w:t>
      </w:r>
      <w:r w:rsidR="006E3A21">
        <w:t xml:space="preserve">investment </w:t>
      </w:r>
      <w:r w:rsidRPr="005320F7">
        <w:t xml:space="preserve">over the </w:t>
      </w:r>
      <w:r>
        <w:t>p</w:t>
      </w:r>
      <w:r w:rsidRPr="005320F7">
        <w:t>ast two decades</w:t>
      </w:r>
      <w:r w:rsidR="009959AB">
        <w:t>. This is</w:t>
      </w:r>
      <w:r>
        <w:t xml:space="preserve"> </w:t>
      </w:r>
      <w:r w:rsidR="009959AB">
        <w:t>based on</w:t>
      </w:r>
      <w:r w:rsidRPr="005320F7">
        <w:t xml:space="preserve"> a decline in rates of business start</w:t>
      </w:r>
      <w:r w:rsidR="00EE434A">
        <w:noBreakHyphen/>
      </w:r>
      <w:r w:rsidRPr="005320F7">
        <w:t>ups</w:t>
      </w:r>
      <w:r>
        <w:t xml:space="preserve"> and dynamism </w:t>
      </w:r>
      <w:r w:rsidRPr="009C7D9A">
        <w:rPr>
          <w:szCs w:val="24"/>
        </w:rPr>
        <w:t xml:space="preserve">(Andrews and </w:t>
      </w:r>
      <w:proofErr w:type="spellStart"/>
      <w:r w:rsidRPr="009C7D9A">
        <w:rPr>
          <w:szCs w:val="24"/>
        </w:rPr>
        <w:t>Criscuolo</w:t>
      </w:r>
      <w:proofErr w:type="spellEnd"/>
      <w:r w:rsidRPr="009C7D9A">
        <w:rPr>
          <w:szCs w:val="24"/>
        </w:rPr>
        <w:t> 2015)</w:t>
      </w:r>
      <w:r w:rsidR="00A84184">
        <w:t xml:space="preserve">, and </w:t>
      </w:r>
      <w:r w:rsidR="00787F27">
        <w:t xml:space="preserve">at least </w:t>
      </w:r>
      <w:r w:rsidR="00A84184">
        <w:t>in the U</w:t>
      </w:r>
      <w:r w:rsidR="00265579">
        <w:t xml:space="preserve">nited </w:t>
      </w:r>
      <w:r w:rsidR="00A84184">
        <w:t>S</w:t>
      </w:r>
      <w:r w:rsidR="00265579">
        <w:t>tates</w:t>
      </w:r>
      <w:r w:rsidR="00A84184">
        <w:t>, a declining proportion of employment in so</w:t>
      </w:r>
      <w:r w:rsidR="00A84184">
        <w:noBreakHyphen/>
        <w:t xml:space="preserve">called ‘advanced’ industries </w:t>
      </w:r>
      <w:r w:rsidR="00042A40">
        <w:t>that</w:t>
      </w:r>
      <w:r w:rsidR="00A84184">
        <w:t xml:space="preserve"> generate </w:t>
      </w:r>
      <w:r w:rsidR="009959AB">
        <w:t xml:space="preserve">domestic and international </w:t>
      </w:r>
      <w:proofErr w:type="spellStart"/>
      <w:r w:rsidR="00A84184">
        <w:t>spillovers</w:t>
      </w:r>
      <w:proofErr w:type="spellEnd"/>
      <w:r w:rsidR="006E3A21">
        <w:t xml:space="preserve"> </w:t>
      </w:r>
      <w:r w:rsidR="006E3A21" w:rsidRPr="006E3A21">
        <w:rPr>
          <w:szCs w:val="24"/>
        </w:rPr>
        <w:t>(</w:t>
      </w:r>
      <w:proofErr w:type="spellStart"/>
      <w:r w:rsidR="006E3A21" w:rsidRPr="006E3A21">
        <w:rPr>
          <w:szCs w:val="24"/>
        </w:rPr>
        <w:t>Muro</w:t>
      </w:r>
      <w:proofErr w:type="spellEnd"/>
      <w:r w:rsidR="006E3A21" w:rsidRPr="006E3A21">
        <w:rPr>
          <w:szCs w:val="24"/>
        </w:rPr>
        <w:t xml:space="preserve"> et al. 2015)</w:t>
      </w:r>
      <w:r>
        <w:t xml:space="preserve">. </w:t>
      </w:r>
    </w:p>
    <w:p w14:paraId="1D0A6FD1" w14:textId="77777777" w:rsidR="00DC0E88" w:rsidRPr="00353C53" w:rsidRDefault="00DC0E88" w:rsidP="00DC0E88">
      <w:pPr>
        <w:pStyle w:val="Heading3"/>
      </w:pPr>
      <w:r w:rsidRPr="00353C53">
        <w:lastRenderedPageBreak/>
        <w:t xml:space="preserve">Changes in the </w:t>
      </w:r>
      <w:r w:rsidR="00513B84">
        <w:t>nature</w:t>
      </w:r>
      <w:r w:rsidR="00513B84" w:rsidRPr="00353C53">
        <w:t xml:space="preserve"> </w:t>
      </w:r>
      <w:r w:rsidRPr="00353C53">
        <w:t xml:space="preserve">of technological progress </w:t>
      </w:r>
    </w:p>
    <w:p w14:paraId="1D0A6FD2" w14:textId="77777777" w:rsidR="00753A36" w:rsidRDefault="002E34B7" w:rsidP="00753A36">
      <w:pPr>
        <w:pStyle w:val="BodyText"/>
      </w:pPr>
      <w:r>
        <w:t xml:space="preserve">Technological advances interact with productivity performance in different ways. </w:t>
      </w:r>
      <w:r w:rsidR="00753A36">
        <w:t>In and of themselves, new technologies are insufficient to drive productivity growth</w:t>
      </w:r>
      <w:r w:rsidR="00D56729">
        <w:t xml:space="preserve"> —</w:t>
      </w:r>
      <w:r w:rsidR="00753A36">
        <w:t xml:space="preserve"> </w:t>
      </w:r>
      <w:r w:rsidR="00B101DA">
        <w:t>they must be</w:t>
      </w:r>
      <w:r w:rsidR="00753A36">
        <w:t xml:space="preserve"> diffused and </w:t>
      </w:r>
      <w:r w:rsidR="009959AB">
        <w:t xml:space="preserve">used </w:t>
      </w:r>
      <w:r w:rsidR="00753A36">
        <w:t xml:space="preserve">through the economy. </w:t>
      </w:r>
      <w:r>
        <w:t xml:space="preserve">For example, </w:t>
      </w:r>
      <w:proofErr w:type="spellStart"/>
      <w:r>
        <w:t>Syverson</w:t>
      </w:r>
      <w:proofErr w:type="spellEnd"/>
      <w:r>
        <w:t xml:space="preserve"> </w:t>
      </w:r>
      <w:r w:rsidR="00FF6843" w:rsidRPr="00FF6843">
        <w:t>(2013)</w:t>
      </w:r>
      <w:r>
        <w:t xml:space="preserve"> notes that </w:t>
      </w:r>
      <w:r w:rsidR="00B101DA">
        <w:t xml:space="preserve">productivity </w:t>
      </w:r>
      <w:r w:rsidRPr="008D5946">
        <w:t>gains from electrification (</w:t>
      </w:r>
      <w:r w:rsidR="00B101DA">
        <w:t>initially</w:t>
      </w:r>
      <w:r w:rsidR="00753A36">
        <w:t xml:space="preserve"> mass produced and consumed from the late 19</w:t>
      </w:r>
      <w:r w:rsidR="00753A36" w:rsidRPr="001A772A">
        <w:rPr>
          <w:vertAlign w:val="superscript"/>
        </w:rPr>
        <w:t>th</w:t>
      </w:r>
      <w:r w:rsidR="00753A36">
        <w:t xml:space="preserve"> century</w:t>
      </w:r>
      <w:r w:rsidRPr="008D5946">
        <w:t>) were considerable through</w:t>
      </w:r>
      <w:r w:rsidR="00B101DA">
        <w:t>out</w:t>
      </w:r>
      <w:r w:rsidRPr="008D5946">
        <w:t xml:space="preserve"> the first half of the 20</w:t>
      </w:r>
      <w:r w:rsidRPr="008D5946">
        <w:rPr>
          <w:vertAlign w:val="superscript"/>
        </w:rPr>
        <w:t>th</w:t>
      </w:r>
      <w:r w:rsidRPr="008D5946">
        <w:t xml:space="preserve"> century, </w:t>
      </w:r>
      <w:r w:rsidR="00B101DA">
        <w:t>and showed multiple decades</w:t>
      </w:r>
      <w:r w:rsidR="00FF6843">
        <w:noBreakHyphen/>
      </w:r>
      <w:r w:rsidR="00B101DA">
        <w:t xml:space="preserve">long waves of slowdown and acceleration on account of their general purpose nature. </w:t>
      </w:r>
      <w:r w:rsidR="00753A36">
        <w:t xml:space="preserve">The United States also saw an earlier acceleration in productivity </w:t>
      </w:r>
      <w:r w:rsidR="00B101DA">
        <w:t xml:space="preserve">from electrification </w:t>
      </w:r>
      <w:r w:rsidR="00753A36">
        <w:t xml:space="preserve">than other countries because </w:t>
      </w:r>
      <w:r w:rsidR="00D56729">
        <w:t xml:space="preserve">of </w:t>
      </w:r>
      <w:r w:rsidR="00753A36">
        <w:t>the</w:t>
      </w:r>
      <w:r w:rsidR="00D56729">
        <w:t>ir more rapid</w:t>
      </w:r>
      <w:r w:rsidR="00753A36">
        <w:t xml:space="preserve"> diffusion of electricity</w:t>
      </w:r>
      <w:r w:rsidR="00D56729">
        <w:noBreakHyphen/>
      </w:r>
      <w:r w:rsidR="00753A36">
        <w:t>based general</w:t>
      </w:r>
      <w:r w:rsidR="00D56729">
        <w:noBreakHyphen/>
      </w:r>
      <w:r w:rsidR="00753A36">
        <w:t>purpose technologies in production</w:t>
      </w:r>
      <w:r w:rsidR="009C00C0">
        <w:t xml:space="preserve"> </w:t>
      </w:r>
      <w:r w:rsidR="009C00C0" w:rsidRPr="009C00C0">
        <w:rPr>
          <w:szCs w:val="24"/>
        </w:rPr>
        <w:t>(</w:t>
      </w:r>
      <w:proofErr w:type="spellStart"/>
      <w:r w:rsidR="009C00C0" w:rsidRPr="009C00C0">
        <w:rPr>
          <w:szCs w:val="24"/>
        </w:rPr>
        <w:t>Ristuccia</w:t>
      </w:r>
      <w:proofErr w:type="spellEnd"/>
      <w:r w:rsidR="009C00C0" w:rsidRPr="009C00C0">
        <w:rPr>
          <w:szCs w:val="24"/>
        </w:rPr>
        <w:t xml:space="preserve"> and </w:t>
      </w:r>
      <w:proofErr w:type="spellStart"/>
      <w:r w:rsidR="009C00C0" w:rsidRPr="009C00C0">
        <w:rPr>
          <w:szCs w:val="24"/>
        </w:rPr>
        <w:t>Solomou</w:t>
      </w:r>
      <w:proofErr w:type="spellEnd"/>
      <w:r w:rsidR="009C00C0" w:rsidRPr="009C00C0">
        <w:rPr>
          <w:szCs w:val="24"/>
        </w:rPr>
        <w:t> 2002)</w:t>
      </w:r>
      <w:r w:rsidR="00753A36">
        <w:t>.</w:t>
      </w:r>
    </w:p>
    <w:p w14:paraId="1D0A6FD3" w14:textId="57FCDED3" w:rsidR="007219BD" w:rsidRDefault="00A2469B" w:rsidP="007914A3">
      <w:pPr>
        <w:pStyle w:val="BodyText"/>
      </w:pPr>
      <w:r>
        <w:t xml:space="preserve">This is true of many forms of technology </w:t>
      </w:r>
      <w:r w:rsidR="00AD03CB">
        <w:t>that</w:t>
      </w:r>
      <w:r>
        <w:t xml:space="preserve"> disrupt or change common ways of doing things, a</w:t>
      </w:r>
      <w:r w:rsidR="00C766DD">
        <w:t>s</w:t>
      </w:r>
      <w:r>
        <w:t xml:space="preserve"> was the case with the ICT revolution of the </w:t>
      </w:r>
      <w:proofErr w:type="spellStart"/>
      <w:r>
        <w:t>1990s</w:t>
      </w:r>
      <w:proofErr w:type="spellEnd"/>
      <w:r>
        <w:t>.</w:t>
      </w:r>
      <w:r w:rsidRPr="00E6296D">
        <w:rPr>
          <w:rStyle w:val="FootnoteReference"/>
        </w:rPr>
        <w:footnoteReference w:id="24"/>
      </w:r>
      <w:r w:rsidRPr="00A92C8E">
        <w:t xml:space="preserve"> </w:t>
      </w:r>
      <w:r>
        <w:t>Adoption and utilisation of ICT technology</w:t>
      </w:r>
      <w:r w:rsidR="00AD03CB">
        <w:t>,</w:t>
      </w:r>
      <w:r>
        <w:t xml:space="preserve"> such as </w:t>
      </w:r>
      <w:r w:rsidR="002E34B7" w:rsidRPr="008D5946">
        <w:t>computers</w:t>
      </w:r>
      <w:r w:rsidR="00AD03CB">
        <w:t xml:space="preserve">, </w:t>
      </w:r>
      <w:r w:rsidR="002E34B7" w:rsidRPr="008D5946">
        <w:t xml:space="preserve">boosted productivity growth in Australia in the </w:t>
      </w:r>
      <w:proofErr w:type="spellStart"/>
      <w:r w:rsidR="002E34B7" w:rsidRPr="008D5946">
        <w:t>1990s</w:t>
      </w:r>
      <w:proofErr w:type="spellEnd"/>
      <w:r w:rsidR="009C00C0">
        <w:t xml:space="preserve"> </w:t>
      </w:r>
      <w:r w:rsidR="009C00C0" w:rsidRPr="009C00C0">
        <w:rPr>
          <w:szCs w:val="24"/>
        </w:rPr>
        <w:t>(Parham 2004)</w:t>
      </w:r>
      <w:r>
        <w:t xml:space="preserve">. </w:t>
      </w:r>
      <w:r w:rsidR="007914A3">
        <w:t>But e</w:t>
      </w:r>
      <w:r>
        <w:t xml:space="preserve">xactly where productivity performance is </w:t>
      </w:r>
      <w:r w:rsidR="000E1946">
        <w:t>at</w:t>
      </w:r>
      <w:r>
        <w:t xml:space="preserve"> and how it relates to various technological shifts </w:t>
      </w:r>
      <w:r w:rsidR="000E1946">
        <w:t xml:space="preserve">occurring at any given point in time </w:t>
      </w:r>
      <w:r>
        <w:t>is difficult to know with precision. It is evident that many of the</w:t>
      </w:r>
      <w:r w:rsidR="00A10737">
        <w:t xml:space="preserve"> major</w:t>
      </w:r>
      <w:r>
        <w:t xml:space="preserve"> technological discoveries in the 20</w:t>
      </w:r>
      <w:r w:rsidRPr="001A772A">
        <w:rPr>
          <w:vertAlign w:val="superscript"/>
        </w:rPr>
        <w:t>th</w:t>
      </w:r>
      <w:r>
        <w:t xml:space="preserve"> century constitute ‘one</w:t>
      </w:r>
      <w:r>
        <w:noBreakHyphen/>
        <w:t xml:space="preserve">offs’ that cannot be repeated, </w:t>
      </w:r>
      <w:r w:rsidR="00043D46">
        <w:t>or at least cannot materially be improved upon, such as near</w:t>
      </w:r>
      <w:r w:rsidR="00043D46">
        <w:noBreakHyphen/>
        <w:t xml:space="preserve">instantaneous global telecommunications technology, </w:t>
      </w:r>
      <w:r w:rsidR="00A10737">
        <w:t xml:space="preserve">installation of </w:t>
      </w:r>
      <w:r w:rsidR="00CD5BC8">
        <w:t>widespread electrification and plumbing systems</w:t>
      </w:r>
      <w:r w:rsidR="00A10737">
        <w:t xml:space="preserve">, transcontinental transport networks, and </w:t>
      </w:r>
      <w:r w:rsidR="007914A3">
        <w:t>indeed</w:t>
      </w:r>
      <w:r w:rsidR="001217A5">
        <w:t xml:space="preserve"> </w:t>
      </w:r>
      <w:r w:rsidR="00A10737">
        <w:t xml:space="preserve">the </w:t>
      </w:r>
      <w:proofErr w:type="spellStart"/>
      <w:r w:rsidR="00A10737">
        <w:t>internet</w:t>
      </w:r>
      <w:proofErr w:type="spellEnd"/>
      <w:r w:rsidR="00A10737">
        <w:t xml:space="preserve">. </w:t>
      </w:r>
    </w:p>
    <w:p w14:paraId="1D0A6FD4" w14:textId="3E10AB9E" w:rsidR="002142BD" w:rsidRDefault="00A10737" w:rsidP="007914A3">
      <w:pPr>
        <w:pStyle w:val="BodyText"/>
      </w:pPr>
      <w:r>
        <w:t xml:space="preserve">On the basis that further technological innovations are likely to be more marginal in nature, Gordon </w:t>
      </w:r>
      <w:r w:rsidR="0019693B" w:rsidRPr="0019693B">
        <w:t>(2012, 2014, 2015)</w:t>
      </w:r>
      <w:r w:rsidR="0019693B">
        <w:t xml:space="preserve"> </w:t>
      </w:r>
      <w:r>
        <w:t>contends that technological progress is unlikely to yield the sorts of productivity gains as it has in the past (</w:t>
      </w:r>
      <w:r w:rsidR="007914A3">
        <w:t xml:space="preserve">an issue </w:t>
      </w:r>
      <w:r>
        <w:t>compounded by a number of supply</w:t>
      </w:r>
      <w:r>
        <w:noBreakHyphen/>
        <w:t>side ‘headwinds’ including environmental challenges, economic inequality, and demographic</w:t>
      </w:r>
      <w:r w:rsidR="00050549">
        <w:t xml:space="preserve"> changes</w:t>
      </w:r>
      <w:r>
        <w:t xml:space="preserve">). </w:t>
      </w:r>
      <w:r w:rsidR="00953D25">
        <w:t>In a similar vein, Cowen</w:t>
      </w:r>
      <w:r w:rsidR="007219BD">
        <w:t xml:space="preserve"> </w:t>
      </w:r>
      <w:r w:rsidR="007219BD" w:rsidRPr="007219BD">
        <w:t>(2011)</w:t>
      </w:r>
      <w:r w:rsidR="00953D25">
        <w:t xml:space="preserve"> propounds a process of diminishing returns from previous sources of growth, including from mass</w:t>
      </w:r>
      <w:r w:rsidR="00953D25">
        <w:noBreakHyphen/>
        <w:t>education of the population, the application and spread of large</w:t>
      </w:r>
      <w:r w:rsidR="00C766DD">
        <w:t xml:space="preserve"> one</w:t>
      </w:r>
      <w:r w:rsidR="00C766DD">
        <w:noBreakHyphen/>
        <w:t>off</w:t>
      </w:r>
      <w:r w:rsidR="00953D25">
        <w:t xml:space="preserve"> technological breakthroughs, and the exploitation of largely free land, implying more incremental growth in future.</w:t>
      </w:r>
    </w:p>
    <w:p w14:paraId="1D0A6FD5" w14:textId="3ACB42CC" w:rsidR="007914A3" w:rsidRDefault="007914A3" w:rsidP="007914A3">
      <w:pPr>
        <w:pStyle w:val="BodyText"/>
      </w:pPr>
      <w:r>
        <w:t>Prognostications about the future of technology</w:t>
      </w:r>
      <w:r w:rsidR="00C766DD">
        <w:t>, and its impact on growth,</w:t>
      </w:r>
      <w:r>
        <w:t xml:space="preserve"> are ultimately a matter of judgment</w:t>
      </w:r>
      <w:r w:rsidR="00AD03CB">
        <w:t>. T</w:t>
      </w:r>
      <w:r>
        <w:t xml:space="preserve">here are equally optimistic assessments of </w:t>
      </w:r>
      <w:r w:rsidR="00AD03CB">
        <w:t>the effects of</w:t>
      </w:r>
      <w:r>
        <w:t xml:space="preserve"> future technological developments </w:t>
      </w:r>
      <w:r w:rsidR="00AD03CB">
        <w:t>on</w:t>
      </w:r>
      <w:r>
        <w:t xml:space="preserve"> productivity and</w:t>
      </w:r>
      <w:r w:rsidR="00AD03CB">
        <w:t xml:space="preserve"> </w:t>
      </w:r>
      <w:r w:rsidR="002142BD">
        <w:t>people’s</w:t>
      </w:r>
      <w:r>
        <w:t xml:space="preserve"> living standards. </w:t>
      </w:r>
      <w:proofErr w:type="spellStart"/>
      <w:r>
        <w:t>Brynjolfsson</w:t>
      </w:r>
      <w:proofErr w:type="spellEnd"/>
      <w:r>
        <w:t xml:space="preserve"> and McAfee </w:t>
      </w:r>
      <w:r w:rsidRPr="009C7D9A">
        <w:t>(2014)</w:t>
      </w:r>
      <w:r>
        <w:t xml:space="preserve">, for example, </w:t>
      </w:r>
      <w:r w:rsidRPr="00A92C8E">
        <w:t>suggest there is significant growth potential stemming from advances in digital technologies</w:t>
      </w:r>
      <w:r w:rsidR="001217A5">
        <w:t xml:space="preserve"> (like machine learning, artificial intelligence, </w:t>
      </w:r>
      <w:r w:rsidR="000C4014">
        <w:t xml:space="preserve">robotics, and </w:t>
      </w:r>
      <w:r w:rsidR="001217A5">
        <w:t>networked communication)</w:t>
      </w:r>
      <w:r w:rsidRPr="00A92C8E">
        <w:t xml:space="preserve"> that ar</w:t>
      </w:r>
      <w:r>
        <w:t>e simply yet to be seen.</w:t>
      </w:r>
      <w:r w:rsidRPr="007914A3">
        <w:t xml:space="preserve"> </w:t>
      </w:r>
      <w:r>
        <w:t>This would imply that what may be nascent technologies today could result in large (measured or unmeasured) productivity gains in future.</w:t>
      </w:r>
    </w:p>
    <w:p w14:paraId="1D0A6FD6" w14:textId="55414924" w:rsidR="000C4014" w:rsidRDefault="002142BD" w:rsidP="00DC0E88">
      <w:pPr>
        <w:pStyle w:val="BodyText"/>
      </w:pPr>
      <w:r>
        <w:lastRenderedPageBreak/>
        <w:t>An explanation for the prevailing productivity growth slowdown is therefore that we are simply at the end of one technological revolution (</w:t>
      </w:r>
      <w:r w:rsidR="00C766DD">
        <w:t xml:space="preserve">i.e. </w:t>
      </w:r>
      <w:r>
        <w:t xml:space="preserve">ICT), and that the benefits from new technologies are </w:t>
      </w:r>
      <w:r w:rsidR="00C766DD">
        <w:t xml:space="preserve">just </w:t>
      </w:r>
      <w:r>
        <w:t xml:space="preserve">yet to materialise in any widespread fashion. </w:t>
      </w:r>
      <w:r w:rsidRPr="002142BD">
        <w:t xml:space="preserve">Part of the optimism attributed to the </w:t>
      </w:r>
      <w:proofErr w:type="spellStart"/>
      <w:r w:rsidRPr="002142BD">
        <w:t>Brynjolfsson</w:t>
      </w:r>
      <w:proofErr w:type="spellEnd"/>
      <w:r w:rsidRPr="002142BD">
        <w:t xml:space="preserve"> and McAfee worldview rests on an assumption that new technologies will benefit consumers through lower prices and</w:t>
      </w:r>
      <w:r w:rsidR="00C766DD">
        <w:t>/</w:t>
      </w:r>
      <w:r w:rsidRPr="002142BD">
        <w:t>or greater leisure time.</w:t>
      </w:r>
      <w:r w:rsidR="0047664E" w:rsidRPr="00E6296D">
        <w:rPr>
          <w:rStyle w:val="FootnoteReference"/>
        </w:rPr>
        <w:footnoteReference w:id="25"/>
      </w:r>
      <w:r w:rsidRPr="002142BD">
        <w:t xml:space="preserve"> This assumes that policy settings </w:t>
      </w:r>
      <w:r w:rsidR="008F0667">
        <w:t xml:space="preserve">that </w:t>
      </w:r>
      <w:r w:rsidRPr="002142BD">
        <w:t xml:space="preserve">facilitate competition </w:t>
      </w:r>
      <w:r w:rsidR="008F0667">
        <w:t xml:space="preserve">feed through </w:t>
      </w:r>
      <w:r w:rsidRPr="002142BD">
        <w:t>to lower prices, that technology is diffused, and that capital income is redistributed</w:t>
      </w:r>
      <w:r w:rsidR="00AD03CB">
        <w:t xml:space="preserve"> (t</w:t>
      </w:r>
      <w:r w:rsidRPr="002142BD">
        <w:t xml:space="preserve">hat is, that the owners of </w:t>
      </w:r>
      <w:r w:rsidR="000C4014">
        <w:t>new capital</w:t>
      </w:r>
      <w:r w:rsidR="000C4014">
        <w:noBreakHyphen/>
        <w:t xml:space="preserve">embodied technologies </w:t>
      </w:r>
      <w:r w:rsidRPr="002142BD">
        <w:t>will be taxed on the capital income they generate</w:t>
      </w:r>
      <w:r w:rsidR="00AD03CB">
        <w:t>)</w:t>
      </w:r>
      <w:r w:rsidRPr="002142BD">
        <w:t>. Such optimism about the capacity of policy and taxation to adapt to technological shifts is not shared by Robert Gordon</w:t>
      </w:r>
      <w:r w:rsidR="000E1946">
        <w:t>, and other technological ‘pessimists’</w:t>
      </w:r>
      <w:r w:rsidRPr="002142BD">
        <w:t>.</w:t>
      </w:r>
      <w:r w:rsidR="000C4014">
        <w:t xml:space="preserve"> </w:t>
      </w:r>
    </w:p>
    <w:p w14:paraId="1D0A6FD7" w14:textId="44D01B14" w:rsidR="00FA7AF6" w:rsidRDefault="000C4014" w:rsidP="00FA7AF6">
      <w:pPr>
        <w:pStyle w:val="BodyText"/>
      </w:pPr>
      <w:r>
        <w:t xml:space="preserve">That many new areas of technological development are characterised by increasing degrees of complexity and excludable intellectual property pose a challenge for policy makers. However, this is not mutually exclusive with the idea that future discoveries could be revolutionary (as opposed to evolutionary or more marginal) in nature. </w:t>
      </w:r>
      <w:r w:rsidR="001706A7">
        <w:t xml:space="preserve">The confluence of nanotechnology and biomedical sciences </w:t>
      </w:r>
      <w:r w:rsidR="00FA7AF6">
        <w:t>is</w:t>
      </w:r>
      <w:r w:rsidR="001706A7">
        <w:t xml:space="preserve"> one example</w:t>
      </w:r>
      <w:r w:rsidR="00FA7AF6">
        <w:t xml:space="preserve"> where frequent and significant advances are being made</w:t>
      </w:r>
      <w:r w:rsidR="00E6403E">
        <w:t xml:space="preserve"> (for example</w:t>
      </w:r>
      <w:r w:rsidR="0019693B">
        <w:t>, see the review in</w:t>
      </w:r>
      <w:r w:rsidR="00E6403E">
        <w:t xml:space="preserve"> Chan and Xu</w:t>
      </w:r>
      <w:r w:rsidR="0019693B">
        <w:t xml:space="preserve"> </w:t>
      </w:r>
      <w:r w:rsidR="0019693B" w:rsidRPr="0019693B">
        <w:t>(2016)</w:t>
      </w:r>
      <w:r w:rsidR="0019693B">
        <w:t>)</w:t>
      </w:r>
      <w:r w:rsidR="00FA7AF6">
        <w:t xml:space="preserve">. </w:t>
      </w:r>
    </w:p>
    <w:p w14:paraId="1D0A6FD8" w14:textId="23DDA24F" w:rsidR="000C4014" w:rsidRDefault="00050549" w:rsidP="00FA7AF6">
      <w:pPr>
        <w:pStyle w:val="Heading3"/>
      </w:pPr>
      <w:r>
        <w:t xml:space="preserve">Macroeconomic environment </w:t>
      </w:r>
    </w:p>
    <w:p w14:paraId="1D0A6FD9" w14:textId="663E2698" w:rsidR="00F26E7E" w:rsidRDefault="00E10632" w:rsidP="00BE21F9">
      <w:pPr>
        <w:pStyle w:val="BodyText"/>
      </w:pPr>
      <w:r>
        <w:t>Beyond the thesis of supply</w:t>
      </w:r>
      <w:r w:rsidR="00E5025D">
        <w:noBreakHyphen/>
      </w:r>
      <w:r>
        <w:t>side limitations proposed by the like</w:t>
      </w:r>
      <w:r w:rsidR="00210D95">
        <w:t>s</w:t>
      </w:r>
      <w:r>
        <w:t xml:space="preserve"> of Gordon</w:t>
      </w:r>
      <w:r w:rsidR="007219BD">
        <w:t xml:space="preserve"> </w:t>
      </w:r>
      <w:r w:rsidR="007219BD" w:rsidRPr="007219BD">
        <w:t>(2012, 2014)</w:t>
      </w:r>
      <w:r>
        <w:t xml:space="preserve"> and Cowen</w:t>
      </w:r>
      <w:r w:rsidR="007219BD">
        <w:t xml:space="preserve"> </w:t>
      </w:r>
      <w:r w:rsidR="007219BD" w:rsidRPr="007219BD">
        <w:t>(2011)</w:t>
      </w:r>
      <w:r>
        <w:t>, a number of additional theories have been proposed to explain t</w:t>
      </w:r>
      <w:r w:rsidR="00C766DD" w:rsidRPr="00E10632">
        <w:t>he prolonged malaise experienced in advanced economies</w:t>
      </w:r>
      <w:r>
        <w:t xml:space="preserve">. These include </w:t>
      </w:r>
      <w:r w:rsidR="00994BF9">
        <w:t xml:space="preserve">deleveraging following </w:t>
      </w:r>
      <w:r w:rsidR="00AD03CB">
        <w:t xml:space="preserve">an </w:t>
      </w:r>
      <w:r w:rsidR="00994BF9">
        <w:t xml:space="preserve">excessive </w:t>
      </w:r>
      <w:r w:rsidR="00210D95">
        <w:t>buildup</w:t>
      </w:r>
      <w:r w:rsidR="00AD03CB">
        <w:t xml:space="preserve"> of private and public</w:t>
      </w:r>
      <w:r w:rsidR="00994BF9">
        <w:t xml:space="preserve"> debt </w:t>
      </w:r>
      <w:r w:rsidR="001332A8" w:rsidRPr="001332A8">
        <w:rPr>
          <w:szCs w:val="24"/>
        </w:rPr>
        <w:t>(Reinhart, Reinhart and Rogoff 2012; Reinhart and Rogoff 2010)</w:t>
      </w:r>
      <w:r w:rsidR="00AD03CB">
        <w:t>;</w:t>
      </w:r>
      <w:r w:rsidR="00994BF9">
        <w:t xml:space="preserve"> the ramifications of a</w:t>
      </w:r>
      <w:r w:rsidR="00210D95">
        <w:t xml:space="preserve"> global</w:t>
      </w:r>
      <w:r w:rsidR="00994BF9">
        <w:t xml:space="preserve"> </w:t>
      </w:r>
      <w:r>
        <w:t xml:space="preserve">savings ‘glut’ </w:t>
      </w:r>
      <w:r w:rsidR="00210D95">
        <w:t>emanating from developing economies</w:t>
      </w:r>
      <w:r w:rsidR="00C15D35">
        <w:t xml:space="preserve"> </w:t>
      </w:r>
      <w:r w:rsidR="00C15D35" w:rsidRPr="00C15D35">
        <w:rPr>
          <w:szCs w:val="24"/>
        </w:rPr>
        <w:t>(Bernanke 2007)</w:t>
      </w:r>
      <w:r w:rsidR="00AD03CB">
        <w:t>;</w:t>
      </w:r>
      <w:r>
        <w:t xml:space="preserve"> </w:t>
      </w:r>
      <w:r w:rsidR="0034480D">
        <w:t>the presence of a ‘</w:t>
      </w:r>
      <w:r>
        <w:t>liquidity trap</w:t>
      </w:r>
      <w:r w:rsidR="0034480D">
        <w:t>’</w:t>
      </w:r>
      <w:r w:rsidR="00FD1445">
        <w:t xml:space="preserve"> </w:t>
      </w:r>
      <w:r w:rsidR="00FD1445" w:rsidRPr="00FD1445">
        <w:rPr>
          <w:szCs w:val="24"/>
        </w:rPr>
        <w:t xml:space="preserve">(Krugman and </w:t>
      </w:r>
      <w:proofErr w:type="spellStart"/>
      <w:r w:rsidR="00FD1445" w:rsidRPr="00FD1445">
        <w:rPr>
          <w:szCs w:val="24"/>
        </w:rPr>
        <w:t>Eggerston</w:t>
      </w:r>
      <w:proofErr w:type="spellEnd"/>
      <w:r w:rsidR="00FD1445" w:rsidRPr="00FD1445">
        <w:rPr>
          <w:szCs w:val="24"/>
        </w:rPr>
        <w:t> 2012)</w:t>
      </w:r>
      <w:r w:rsidR="00AD03CB">
        <w:t>;</w:t>
      </w:r>
      <w:r w:rsidR="00F26E7E">
        <w:t xml:space="preserve"> </w:t>
      </w:r>
      <w:r w:rsidR="00664F0F">
        <w:t xml:space="preserve">and </w:t>
      </w:r>
      <w:r w:rsidR="00F26E7E">
        <w:t>the effects of a long</w:t>
      </w:r>
      <w:r w:rsidR="00F26E7E">
        <w:noBreakHyphen/>
        <w:t xml:space="preserve">run increase and decrease in the propensity to save and invest, respectively, </w:t>
      </w:r>
      <w:r w:rsidR="00C76362">
        <w:t xml:space="preserve">coined </w:t>
      </w:r>
      <w:r w:rsidR="00F26E7E">
        <w:t>‘secular stagnation’</w:t>
      </w:r>
      <w:r w:rsidR="00FD1445">
        <w:t xml:space="preserve"> </w:t>
      </w:r>
      <w:r w:rsidR="00FD1445" w:rsidRPr="00FD1445">
        <w:rPr>
          <w:szCs w:val="24"/>
        </w:rPr>
        <w:t>(Summers 2016)</w:t>
      </w:r>
      <w:r w:rsidR="00210D95">
        <w:t>.</w:t>
      </w:r>
      <w:r w:rsidR="000A1EAE" w:rsidRPr="00E6296D">
        <w:rPr>
          <w:rStyle w:val="FootnoteReference"/>
        </w:rPr>
        <w:footnoteReference w:id="26"/>
      </w:r>
      <w:r w:rsidR="0034480D">
        <w:t xml:space="preserve"> </w:t>
      </w:r>
    </w:p>
    <w:p w14:paraId="396DF546" w14:textId="3A8621AD" w:rsidR="00330A35" w:rsidRDefault="00C76362" w:rsidP="000E2420">
      <w:pPr>
        <w:pStyle w:val="BodyText"/>
      </w:pPr>
      <w:r>
        <w:t>T</w:t>
      </w:r>
      <w:r w:rsidR="0034480D">
        <w:t>hese theories differ in</w:t>
      </w:r>
      <w:r w:rsidR="00210D95">
        <w:t xml:space="preserve"> important ways, </w:t>
      </w:r>
      <w:r w:rsidR="00664F0F">
        <w:t xml:space="preserve">including </w:t>
      </w:r>
      <w:r w:rsidR="00210D95">
        <w:t>the extent to which low growth can be attributed to domestic versus international factors</w:t>
      </w:r>
      <w:r w:rsidR="0086013E">
        <w:t xml:space="preserve"> (for example,</w:t>
      </w:r>
      <w:r w:rsidR="00F26E7E">
        <w:t xml:space="preserve"> foreign savings and international capital flows)</w:t>
      </w:r>
      <w:r w:rsidR="00210D95">
        <w:t xml:space="preserve">, and to structural factors (such as population ageing) versus policy </w:t>
      </w:r>
      <w:r w:rsidR="00D1508E">
        <w:t>settings</w:t>
      </w:r>
      <w:r w:rsidR="00210D95">
        <w:t>.</w:t>
      </w:r>
      <w:r w:rsidR="00664F0F">
        <w:t xml:space="preserve"> </w:t>
      </w:r>
      <w:r>
        <w:t xml:space="preserve">The IMF has also observed that </w:t>
      </w:r>
      <w:r w:rsidR="000E2420">
        <w:t xml:space="preserve">the prolonged period of uncertainty and sluggish private investment </w:t>
      </w:r>
      <w:r w:rsidR="00E66947">
        <w:t>after</w:t>
      </w:r>
      <w:r w:rsidR="000E2420">
        <w:t xml:space="preserve"> </w:t>
      </w:r>
      <w:r>
        <w:t>the Global Financial Crisis</w:t>
      </w:r>
      <w:r w:rsidR="000E2420">
        <w:t xml:space="preserve"> has </w:t>
      </w:r>
      <w:r>
        <w:t xml:space="preserve">further held back productivity growth, especially in advanced economies, and that </w:t>
      </w:r>
      <w:r w:rsidR="000E2420">
        <w:t>this</w:t>
      </w:r>
      <w:r>
        <w:t xml:space="preserve"> slow growth </w:t>
      </w:r>
      <w:r w:rsidR="000E2420">
        <w:t xml:space="preserve">is likely to make challenges such as </w:t>
      </w:r>
      <w:r>
        <w:t>population ageing hard</w:t>
      </w:r>
      <w:r w:rsidR="00050549">
        <w:t>er</w:t>
      </w:r>
      <w:r>
        <w:t xml:space="preserve"> to </w:t>
      </w:r>
      <w:r w:rsidR="000E2420">
        <w:t>address</w:t>
      </w:r>
      <w:r w:rsidR="00B8241B">
        <w:t xml:space="preserve"> (IMF 2017)</w:t>
      </w:r>
      <w:r w:rsidR="000E2420">
        <w:t xml:space="preserve">. </w:t>
      </w:r>
      <w:r w:rsidR="00330A35">
        <w:t xml:space="preserve">In the </w:t>
      </w:r>
      <w:r w:rsidR="00330A35">
        <w:lastRenderedPageBreak/>
        <w:t>Australian context, a further major factor</w:t>
      </w:r>
      <w:r w:rsidR="00785DA9">
        <w:t xml:space="preserve"> </w:t>
      </w:r>
      <w:r w:rsidR="00A1739D">
        <w:t xml:space="preserve">that may affect </w:t>
      </w:r>
      <w:r w:rsidR="000E4E17">
        <w:t>medium</w:t>
      </w:r>
      <w:r w:rsidR="00A1739D">
        <w:noBreakHyphen/>
        <w:t>term</w:t>
      </w:r>
      <w:r w:rsidR="00330A35">
        <w:t xml:space="preserve"> growth </w:t>
      </w:r>
      <w:r w:rsidR="00330A35" w:rsidDel="00EE6FD9">
        <w:t>is</w:t>
      </w:r>
      <w:r w:rsidR="00330A35">
        <w:t xml:space="preserve"> the </w:t>
      </w:r>
      <w:r w:rsidR="00170C4B">
        <w:t>mining</w:t>
      </w:r>
      <w:r w:rsidR="00330A35">
        <w:t xml:space="preserve"> investment boom and associated increases in </w:t>
      </w:r>
      <w:r w:rsidR="00920971">
        <w:t>Australia’s</w:t>
      </w:r>
      <w:r w:rsidR="00330A35">
        <w:t xml:space="preserve"> terms of trade and exchange rate, which made it </w:t>
      </w:r>
      <w:r w:rsidR="001A50C4">
        <w:t>uneconomic to invest in non</w:t>
      </w:r>
      <w:r w:rsidR="001A50C4">
        <w:noBreakHyphen/>
        <w:t xml:space="preserve">resources sector industries for a time. </w:t>
      </w:r>
    </w:p>
    <w:p w14:paraId="6E94767E" w14:textId="1B99FD01" w:rsidR="000E2420" w:rsidRDefault="000E2420" w:rsidP="000E2420">
      <w:pPr>
        <w:pStyle w:val="BodyText"/>
      </w:pPr>
      <w:r>
        <w:t>Monetary policy has been accommodative</w:t>
      </w:r>
      <w:r w:rsidR="000E4E17">
        <w:t xml:space="preserve"> </w:t>
      </w:r>
      <w:r>
        <w:t>in most advanced economies, including Australia</w:t>
      </w:r>
      <w:r w:rsidR="00A160BE">
        <w:t>. It</w:t>
      </w:r>
      <w:r w:rsidR="00D1508E">
        <w:t xml:space="preserve"> remains part of the arsenal (along with prudential safeguards and fiscal interventions) to </w:t>
      </w:r>
      <w:r w:rsidR="00330A35">
        <w:t xml:space="preserve">support </w:t>
      </w:r>
      <w:r w:rsidR="007F7D01">
        <w:t xml:space="preserve">investment and </w:t>
      </w:r>
      <w:r w:rsidR="00920971">
        <w:t>growth</w:t>
      </w:r>
      <w:r w:rsidR="00A160BE">
        <w:t>,</w:t>
      </w:r>
      <w:r w:rsidR="00920971">
        <w:t xml:space="preserve"> </w:t>
      </w:r>
      <w:r w:rsidR="00A160BE">
        <w:t>though it has</w:t>
      </w:r>
      <w:r w:rsidR="00330A35">
        <w:t xml:space="preserve"> </w:t>
      </w:r>
      <w:r w:rsidR="00A160BE">
        <w:t>had</w:t>
      </w:r>
      <w:r w:rsidR="00920971">
        <w:t xml:space="preserve"> limited </w:t>
      </w:r>
      <w:r w:rsidR="00A160BE">
        <w:t>impact</w:t>
      </w:r>
      <w:r w:rsidR="009B3FAD">
        <w:t>s</w:t>
      </w:r>
      <w:r w:rsidR="00920971">
        <w:t xml:space="preserve"> over the past 10</w:t>
      </w:r>
      <w:r w:rsidR="00EE6FD9">
        <w:t> </w:t>
      </w:r>
      <w:r w:rsidR="00920971">
        <w:t xml:space="preserve">years. </w:t>
      </w:r>
    </w:p>
    <w:p w14:paraId="1D0A6FDC" w14:textId="77777777" w:rsidR="00CD1D03" w:rsidRDefault="00092F05" w:rsidP="00BE21F9">
      <w:pPr>
        <w:pStyle w:val="Heading2"/>
      </w:pPr>
      <w:bookmarkStart w:id="13" w:name="_Toc489008891"/>
      <w:r>
        <w:t>4</w:t>
      </w:r>
      <w:r w:rsidR="008656CE">
        <w:tab/>
        <w:t xml:space="preserve">Implications of productivity </w:t>
      </w:r>
      <w:r w:rsidR="00EA0EFD">
        <w:t>for</w:t>
      </w:r>
      <w:r w:rsidR="008656CE">
        <w:t xml:space="preserve"> </w:t>
      </w:r>
      <w:r w:rsidR="00FE0806">
        <w:t xml:space="preserve">wages and </w:t>
      </w:r>
      <w:r w:rsidR="008656CE">
        <w:t>incomes</w:t>
      </w:r>
      <w:r w:rsidR="00EA0EFD">
        <w:t xml:space="preserve"> </w:t>
      </w:r>
      <w:bookmarkEnd w:id="13"/>
    </w:p>
    <w:p w14:paraId="1D0A6FDD" w14:textId="77777777" w:rsidR="00E73F9C" w:rsidRDefault="00E73F9C" w:rsidP="00F40EBA">
      <w:pPr>
        <w:pStyle w:val="Heading3"/>
        <w:spacing w:before="280"/>
      </w:pPr>
      <w:r>
        <w:t>Income</w:t>
      </w:r>
      <w:r w:rsidR="00A76A00">
        <w:t xml:space="preserve"> growth</w:t>
      </w:r>
    </w:p>
    <w:p w14:paraId="1D0A6FDE" w14:textId="433EB000" w:rsidR="00EA4AD8" w:rsidRDefault="00FA7AF6" w:rsidP="008C3D0A">
      <w:pPr>
        <w:pStyle w:val="BodyText"/>
      </w:pPr>
      <w:r>
        <w:t>Exactly how future technologies, policy settings and investment activity interacts to drive productivity is open to debate. However</w:t>
      </w:r>
      <w:r w:rsidR="00A811E5">
        <w:t>,</w:t>
      </w:r>
      <w:r>
        <w:t xml:space="preserve"> </w:t>
      </w:r>
      <w:r w:rsidR="00932B64">
        <w:t xml:space="preserve">if expectations of income growth are guided by the experience of the recent past, </w:t>
      </w:r>
      <w:r>
        <w:t xml:space="preserve">it is clear that </w:t>
      </w:r>
      <w:r w:rsidR="00932B64">
        <w:t xml:space="preserve">productivity growth </w:t>
      </w:r>
      <w:r>
        <w:t xml:space="preserve">will </w:t>
      </w:r>
      <w:r w:rsidR="00932B64">
        <w:t xml:space="preserve">need to </w:t>
      </w:r>
      <w:r>
        <w:t>play</w:t>
      </w:r>
      <w:r w:rsidR="00932B64">
        <w:t xml:space="preserve"> a significant role</w:t>
      </w:r>
      <w:r w:rsidR="00EA4AD8">
        <w:t>.</w:t>
      </w:r>
      <w:r w:rsidR="00422B26">
        <w:t xml:space="preserve"> </w:t>
      </w:r>
    </w:p>
    <w:p w14:paraId="1D0A6FDF" w14:textId="77777777" w:rsidR="00107291" w:rsidRDefault="008C3D0A" w:rsidP="008C3D0A">
      <w:pPr>
        <w:pStyle w:val="BodyText"/>
      </w:pPr>
      <w:r>
        <w:t xml:space="preserve">The main sources of </w:t>
      </w:r>
      <w:r w:rsidR="00932B64">
        <w:t xml:space="preserve">national </w:t>
      </w:r>
      <w:r>
        <w:t>income growth are growth in productivity</w:t>
      </w:r>
      <w:r w:rsidR="00932B64">
        <w:t xml:space="preserve"> (from improved MFP and capital deepening)</w:t>
      </w:r>
      <w:r>
        <w:t>, changes in the prices of goods and services we trade with other countries (</w:t>
      </w:r>
      <w:r w:rsidR="009959AB">
        <w:t xml:space="preserve">that is, </w:t>
      </w:r>
      <w:r>
        <w:t xml:space="preserve">the </w:t>
      </w:r>
      <w:proofErr w:type="spellStart"/>
      <w:r w:rsidR="00422B26">
        <w:t>ToT</w:t>
      </w:r>
      <w:proofErr w:type="spellEnd"/>
      <w:r>
        <w:t>), changes in output from increased labour utilisation (</w:t>
      </w:r>
      <w:r w:rsidR="009959AB">
        <w:t xml:space="preserve">due to </w:t>
      </w:r>
      <w:r>
        <w:t>lower unemployment</w:t>
      </w:r>
      <w:r w:rsidR="009959AB">
        <w:t>,</w:t>
      </w:r>
      <w:r>
        <w:t xml:space="preserve"> higher participation</w:t>
      </w:r>
      <w:r w:rsidR="009959AB">
        <w:t>, and reduced underemployment</w:t>
      </w:r>
      <w:r>
        <w:t>), growth in net foreign income, and any change in the amount of income needed to replace depreciated capital. Figure </w:t>
      </w:r>
      <w:r w:rsidR="00A5662D">
        <w:t>1</w:t>
      </w:r>
      <w:r w:rsidR="00CF0E9C">
        <w:t>3</w:t>
      </w:r>
      <w:r>
        <w:t xml:space="preserve"> shows the contribution of each of these sources to growth in real net national disposable income per person </w:t>
      </w:r>
      <w:r w:rsidR="008445A9">
        <w:t xml:space="preserve">in Australia </w:t>
      </w:r>
      <w:r>
        <w:t>over the past half century.</w:t>
      </w:r>
    </w:p>
    <w:p w14:paraId="7F71662A" w14:textId="77777777" w:rsidR="00A1528C" w:rsidRDefault="00A1528C" w:rsidP="00A1528C">
      <w:pPr>
        <w:pStyle w:val="BodyText"/>
      </w:pPr>
      <w:r>
        <w:t>In the most recent year, 2015</w:t>
      </w:r>
      <w:r>
        <w:noBreakHyphen/>
        <w:t xml:space="preserve">16, annual per capita disposable income growth fell by 1.3 per cent, which contrasts with the positive average annual income growth since the </w:t>
      </w:r>
      <w:proofErr w:type="spellStart"/>
      <w:r>
        <w:t>1960s</w:t>
      </w:r>
      <w:proofErr w:type="spellEnd"/>
      <w:r>
        <w:t xml:space="preserve">. The main contributor to the negative growth was the falling </w:t>
      </w:r>
      <w:proofErr w:type="spellStart"/>
      <w:r>
        <w:t>ToT</w:t>
      </w:r>
      <w:proofErr w:type="spellEnd"/>
      <w:r>
        <w:t xml:space="preserve">, while depreciation also contributed to a decline in real disposable income growth per capita. The growth of net foreign income and MFP were positive but more than offset by the deterioration in the </w:t>
      </w:r>
      <w:proofErr w:type="spellStart"/>
      <w:r>
        <w:t>ToT</w:t>
      </w:r>
      <w:proofErr w:type="spellEnd"/>
      <w:r>
        <w:t xml:space="preserve"> and depreciation.</w:t>
      </w:r>
    </w:p>
    <w:p w14:paraId="020ACE04" w14:textId="21EC08C5" w:rsidR="00A1528C" w:rsidRDefault="00A1528C" w:rsidP="008C3D0A">
      <w:pPr>
        <w:pStyle w:val="BodyText"/>
      </w:pPr>
      <w:r>
        <w:t>In the Australian economy, periods of negative income growth have been infrequent. However, per capita incomes have declined in four consecutive years since 2012</w:t>
      </w:r>
      <w:r>
        <w:noBreakHyphen/>
        <w:t xml:space="preserve">13 due to large declines in the </w:t>
      </w:r>
      <w:proofErr w:type="spellStart"/>
      <w:r>
        <w:t>ToT</w:t>
      </w:r>
      <w:proofErr w:type="spellEnd"/>
      <w:r>
        <w:t>. In 2015</w:t>
      </w:r>
      <w:r>
        <w:noBreakHyphen/>
        <w:t xml:space="preserve">16, the </w:t>
      </w:r>
      <w:proofErr w:type="spellStart"/>
      <w:r>
        <w:t>ToT</w:t>
      </w:r>
      <w:proofErr w:type="spellEnd"/>
      <w:r>
        <w:t xml:space="preserve"> was still 10 per cent above its long</w:t>
      </w:r>
      <w:r>
        <w:noBreakHyphen/>
        <w:t xml:space="preserve">term historical average. If the </w:t>
      </w:r>
      <w:proofErr w:type="spellStart"/>
      <w:r>
        <w:t>ToT</w:t>
      </w:r>
      <w:proofErr w:type="spellEnd"/>
      <w:r>
        <w:t xml:space="preserve"> continues its current downward trend, it will exert further pressure on Australians’ incomes and place greater emphasis on increasing productivity in the decades ahead </w:t>
      </w:r>
      <w:r w:rsidRPr="006E3A21">
        <w:rPr>
          <w:szCs w:val="24"/>
        </w:rPr>
        <w:t>(PC </w:t>
      </w:r>
      <w:proofErr w:type="spellStart"/>
      <w:r w:rsidRPr="006E3A21">
        <w:rPr>
          <w:szCs w:val="24"/>
        </w:rPr>
        <w:t>2016b</w:t>
      </w:r>
      <w:proofErr w:type="spellEnd"/>
      <w:r w:rsidRPr="006E3A21">
        <w:rPr>
          <w:szCs w:val="24"/>
        </w:rPr>
        <w:t>)</w:t>
      </w:r>
      <w:r>
        <w:t xml:space="preserve">. </w:t>
      </w:r>
    </w:p>
    <w:p w14:paraId="1D0A6FE0" w14:textId="77777777" w:rsidR="008C3D0A" w:rsidRDefault="008C3D0A" w:rsidP="008C3D0A">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8C3D0A" w14:paraId="1D0A6FE3" w14:textId="77777777" w:rsidTr="00E068FD">
        <w:tc>
          <w:tcPr>
            <w:tcW w:w="8771" w:type="dxa"/>
            <w:tcBorders>
              <w:top w:val="single" w:sz="6" w:space="0" w:color="78A22F"/>
              <w:left w:val="nil"/>
              <w:bottom w:val="nil"/>
              <w:right w:val="nil"/>
            </w:tcBorders>
            <w:shd w:val="clear" w:color="auto" w:fill="auto"/>
          </w:tcPr>
          <w:p w14:paraId="1D0A6FE1" w14:textId="77777777" w:rsidR="008C3D0A" w:rsidRPr="00650058" w:rsidRDefault="008C3D0A" w:rsidP="00E068FD">
            <w:pPr>
              <w:pStyle w:val="FigureTitle"/>
              <w:rPr>
                <w:vertAlign w:val="superscript"/>
              </w:rPr>
            </w:pPr>
            <w:r w:rsidRPr="00784A05">
              <w:rPr>
                <w:b w:val="0"/>
              </w:rPr>
              <w:t xml:space="preserve">Figure </w:t>
            </w:r>
            <w:r w:rsidR="00497B26">
              <w:rPr>
                <w:b w:val="0"/>
              </w:rPr>
              <w:t>1</w:t>
            </w:r>
            <w:r w:rsidR="001F4B4F">
              <w:rPr>
                <w:b w:val="0"/>
              </w:rPr>
              <w:t>3</w:t>
            </w:r>
            <w:r>
              <w:tab/>
              <w:t xml:space="preserve">Contributions to average income </w:t>
            </w:r>
            <w:proofErr w:type="spellStart"/>
            <w:r>
              <w:t>growth</w:t>
            </w:r>
            <w:r>
              <w:rPr>
                <w:vertAlign w:val="superscript"/>
              </w:rPr>
              <w:t>a</w:t>
            </w:r>
            <w:proofErr w:type="spellEnd"/>
          </w:p>
          <w:p w14:paraId="1D0A6FE2" w14:textId="77777777" w:rsidR="008C3D0A" w:rsidRPr="00176D3F" w:rsidRDefault="008C3D0A" w:rsidP="00E068FD">
            <w:pPr>
              <w:pStyle w:val="Subtitle"/>
            </w:pPr>
            <w:r>
              <w:t>Percentage points contribution</w:t>
            </w:r>
          </w:p>
        </w:tc>
      </w:tr>
      <w:tr w:rsidR="008C3D0A" w14:paraId="1D0A6FE7" w14:textId="77777777" w:rsidTr="00E068FD">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4"/>
            </w:tblGrid>
            <w:tr w:rsidR="008C3D0A" w14:paraId="1D0A6FE5" w14:textId="77777777" w:rsidTr="00E068FD">
              <w:trPr>
                <w:jc w:val="center"/>
              </w:trPr>
              <w:tc>
                <w:tcPr>
                  <w:tcW w:w="8504" w:type="dxa"/>
                  <w:tcBorders>
                    <w:top w:val="nil"/>
                    <w:bottom w:val="nil"/>
                  </w:tcBorders>
                </w:tcPr>
                <w:p w14:paraId="1D0A6FE4" w14:textId="77777777" w:rsidR="008C3D0A" w:rsidRDefault="009C54B0" w:rsidP="00E068FD">
                  <w:pPr>
                    <w:pStyle w:val="Figure"/>
                    <w:spacing w:before="60" w:after="60"/>
                  </w:pPr>
                  <w:r w:rsidRPr="009C54B0">
                    <w:rPr>
                      <w:noProof/>
                    </w:rPr>
                    <w:drawing>
                      <wp:inline distT="0" distB="0" distL="0" distR="0" wp14:anchorId="1D0A71A4" wp14:editId="7142426A">
                        <wp:extent cx="5036820" cy="3032760"/>
                        <wp:effectExtent l="0" t="0" r="0" b="0"/>
                        <wp:docPr id="23" name="Picture 23" descr="This figure decomposes growth in real net national disposable income across aggregate productivity cycles into contributions from multifactor productivity growth, capital and labour input growth, the terms of trade, net foreign income growth, and capital depreciation. It highlights that the terms of trade cannot be relied on as a future source of growth, emphasising that productivity improvements will be the primary determinant of income growth in fut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036820" cy="3032760"/>
                                </a:xfrm>
                                <a:prstGeom prst="rect">
                                  <a:avLst/>
                                </a:prstGeom>
                                <a:noFill/>
                                <a:ln>
                                  <a:noFill/>
                                </a:ln>
                              </pic:spPr>
                            </pic:pic>
                          </a:graphicData>
                        </a:graphic>
                      </wp:inline>
                    </w:drawing>
                  </w:r>
                </w:p>
              </w:tc>
            </w:tr>
          </w:tbl>
          <w:p w14:paraId="1D0A6FE6" w14:textId="77777777" w:rsidR="008C3D0A" w:rsidRDefault="008C3D0A" w:rsidP="00E068FD">
            <w:pPr>
              <w:pStyle w:val="Figure"/>
            </w:pPr>
          </w:p>
        </w:tc>
      </w:tr>
      <w:tr w:rsidR="008C3D0A" w:rsidRPr="00176D3F" w14:paraId="1D0A6FE9" w14:textId="77777777" w:rsidTr="00E068FD">
        <w:tc>
          <w:tcPr>
            <w:tcW w:w="8771" w:type="dxa"/>
            <w:tcBorders>
              <w:top w:val="nil"/>
              <w:left w:val="nil"/>
              <w:bottom w:val="nil"/>
              <w:right w:val="nil"/>
            </w:tcBorders>
            <w:shd w:val="clear" w:color="auto" w:fill="auto"/>
          </w:tcPr>
          <w:p w14:paraId="1D0A6FE8" w14:textId="7F45FD3E" w:rsidR="008C3D0A" w:rsidRPr="00176D3F" w:rsidRDefault="008C3D0A" w:rsidP="004F7A56">
            <w:pPr>
              <w:pStyle w:val="Note"/>
            </w:pPr>
            <w:r>
              <w:rPr>
                <w:rStyle w:val="NoteLabel"/>
              </w:rPr>
              <w:t>a</w:t>
            </w:r>
            <w:r>
              <w:t xml:space="preserve"> Measured as average annual per capita real net national disposable income growth. MFP based on 12 selected market industries (Divisions A to K and R). </w:t>
            </w:r>
            <w:r w:rsidRPr="008871C6">
              <w:t>The contributions of MFP have been scaled from the 12</w:t>
            </w:r>
            <w:r w:rsidR="00EE434A">
              <w:noBreakHyphen/>
            </w:r>
            <w:r w:rsidRPr="008871C6">
              <w:t xml:space="preserve">industry to the whole economy and are </w:t>
            </w:r>
            <w:r>
              <w:t xml:space="preserve">therefore different from </w:t>
            </w:r>
            <w:r w:rsidR="004F7A56">
              <w:t xml:space="preserve">the </w:t>
            </w:r>
            <w:r>
              <w:t>figure</w:t>
            </w:r>
            <w:r w:rsidR="004F7A56">
              <w:t>s above.</w:t>
            </w:r>
            <w:r>
              <w:t xml:space="preserve"> </w:t>
            </w:r>
          </w:p>
        </w:tc>
      </w:tr>
      <w:tr w:rsidR="008C3D0A" w:rsidRPr="00176D3F" w14:paraId="1D0A6FEB" w14:textId="77777777" w:rsidTr="00E068FD">
        <w:tc>
          <w:tcPr>
            <w:tcW w:w="8771" w:type="dxa"/>
            <w:tcBorders>
              <w:top w:val="nil"/>
              <w:left w:val="nil"/>
              <w:bottom w:val="nil"/>
              <w:right w:val="nil"/>
            </w:tcBorders>
            <w:shd w:val="clear" w:color="auto" w:fill="auto"/>
          </w:tcPr>
          <w:p w14:paraId="1D0A6FEA" w14:textId="106AEC55" w:rsidR="008C3D0A" w:rsidRPr="00176D3F" w:rsidRDefault="00EE434A" w:rsidP="00A5662D">
            <w:pPr>
              <w:pStyle w:val="Source"/>
            </w:pPr>
            <w:r>
              <w:rPr>
                <w:i/>
              </w:rPr>
              <w:t>S</w:t>
            </w:r>
            <w:r w:rsidR="008C3D0A" w:rsidRPr="00784A05">
              <w:rPr>
                <w:i/>
              </w:rPr>
              <w:t>ource</w:t>
            </w:r>
            <w:r w:rsidR="00A5662D">
              <w:rPr>
                <w:i/>
              </w:rPr>
              <w:t>s</w:t>
            </w:r>
            <w:r w:rsidR="008C3D0A" w:rsidRPr="00176D3F">
              <w:t xml:space="preserve">: </w:t>
            </w:r>
            <w:r w:rsidR="00A5662D">
              <w:t xml:space="preserve">ABS </w:t>
            </w:r>
            <w:r w:rsidR="00A5662D" w:rsidRPr="00A5662D">
              <w:rPr>
                <w:rFonts w:cs="Arial"/>
              </w:rPr>
              <w:t>(</w:t>
            </w:r>
            <w:proofErr w:type="spellStart"/>
            <w:r w:rsidR="00A5662D" w:rsidRPr="00A5662D">
              <w:rPr>
                <w:rFonts w:cs="Arial"/>
              </w:rPr>
              <w:t>2016a</w:t>
            </w:r>
            <w:proofErr w:type="spellEnd"/>
            <w:r w:rsidR="00A5662D" w:rsidRPr="00A5662D">
              <w:rPr>
                <w:rFonts w:cs="Arial"/>
              </w:rPr>
              <w:t>)</w:t>
            </w:r>
            <w:r w:rsidR="008C3D0A">
              <w:t xml:space="preserve">, </w:t>
            </w:r>
            <w:r w:rsidR="008C3D0A" w:rsidRPr="00EA325A">
              <w:rPr>
                <w:i/>
              </w:rPr>
              <w:t>Australian S</w:t>
            </w:r>
            <w:r w:rsidR="008C3D0A">
              <w:rPr>
                <w:i/>
              </w:rPr>
              <w:t>ystem of National Accounts, 2015</w:t>
            </w:r>
            <w:r w:rsidR="008C3D0A">
              <w:rPr>
                <w:i/>
              </w:rPr>
              <w:noBreakHyphen/>
              <w:t>16</w:t>
            </w:r>
            <w:r w:rsidR="008C3D0A" w:rsidRPr="00EA325A">
              <w:t>, Cat.</w:t>
            </w:r>
            <w:r w:rsidR="008C3D0A">
              <w:t> no. </w:t>
            </w:r>
            <w:r w:rsidR="008C3D0A" w:rsidRPr="00EA325A">
              <w:t>5204.0</w:t>
            </w:r>
            <w:r w:rsidR="008C3D0A">
              <w:t xml:space="preserve"> and ABS</w:t>
            </w:r>
            <w:r w:rsidR="00A5662D">
              <w:t xml:space="preserve"> </w:t>
            </w:r>
            <w:r w:rsidR="00A5662D" w:rsidRPr="00A5662D">
              <w:rPr>
                <w:rFonts w:cs="Arial"/>
              </w:rPr>
              <w:t>(</w:t>
            </w:r>
            <w:proofErr w:type="spellStart"/>
            <w:r w:rsidR="00A5662D" w:rsidRPr="00A5662D">
              <w:rPr>
                <w:rFonts w:cs="Arial"/>
              </w:rPr>
              <w:t>2016d</w:t>
            </w:r>
            <w:proofErr w:type="spellEnd"/>
            <w:r w:rsidR="00A5662D" w:rsidRPr="00A5662D">
              <w:rPr>
                <w:rFonts w:cs="Arial"/>
              </w:rPr>
              <w:t>)</w:t>
            </w:r>
            <w:r w:rsidR="008C3D0A">
              <w:t xml:space="preserve">, </w:t>
            </w:r>
            <w:r w:rsidR="008C3D0A" w:rsidRPr="00EA325A">
              <w:rPr>
                <w:i/>
              </w:rPr>
              <w:t>Estimates of Industr</w:t>
            </w:r>
            <w:r w:rsidR="008C3D0A">
              <w:rPr>
                <w:i/>
              </w:rPr>
              <w:t>y Multifactor Productivity, 2015</w:t>
            </w:r>
            <w:r w:rsidR="008C3D0A">
              <w:rPr>
                <w:i/>
              </w:rPr>
              <w:noBreakHyphen/>
              <w:t>16</w:t>
            </w:r>
            <w:r w:rsidR="008C3D0A" w:rsidRPr="00EA325A">
              <w:t>, C</w:t>
            </w:r>
            <w:r w:rsidR="008C3D0A">
              <w:t>at. no. 5260.0.55.002, December</w:t>
            </w:r>
            <w:r w:rsidR="00F40EBA">
              <w:t xml:space="preserve"> 2016</w:t>
            </w:r>
            <w:r w:rsidR="008C3D0A">
              <w:t>.</w:t>
            </w:r>
          </w:p>
        </w:tc>
      </w:tr>
      <w:tr w:rsidR="008C3D0A" w14:paraId="1D0A6FED" w14:textId="77777777" w:rsidTr="00E068FD">
        <w:tc>
          <w:tcPr>
            <w:tcW w:w="8771" w:type="dxa"/>
            <w:tcBorders>
              <w:top w:val="nil"/>
              <w:left w:val="nil"/>
              <w:bottom w:val="single" w:sz="6" w:space="0" w:color="78A22F"/>
              <w:right w:val="nil"/>
            </w:tcBorders>
            <w:shd w:val="clear" w:color="auto" w:fill="auto"/>
          </w:tcPr>
          <w:p w14:paraId="1D0A6FEC" w14:textId="77777777" w:rsidR="008C3D0A" w:rsidRDefault="008C3D0A" w:rsidP="00E068FD">
            <w:pPr>
              <w:pStyle w:val="Figurespace"/>
            </w:pPr>
          </w:p>
        </w:tc>
      </w:tr>
      <w:tr w:rsidR="008C3D0A" w:rsidRPr="000863A5" w14:paraId="1D0A6FEF" w14:textId="77777777" w:rsidTr="00E068FD">
        <w:tc>
          <w:tcPr>
            <w:tcW w:w="8771" w:type="dxa"/>
            <w:tcBorders>
              <w:top w:val="single" w:sz="6" w:space="0" w:color="78A22F"/>
              <w:left w:val="nil"/>
              <w:bottom w:val="nil"/>
              <w:right w:val="nil"/>
            </w:tcBorders>
          </w:tcPr>
          <w:p w14:paraId="1D0A6FEE" w14:textId="77777777" w:rsidR="008C3D0A" w:rsidRPr="00626D32" w:rsidRDefault="008C3D0A" w:rsidP="00E068FD">
            <w:pPr>
              <w:pStyle w:val="BoxSpaceBelow"/>
            </w:pPr>
          </w:p>
        </w:tc>
      </w:tr>
    </w:tbl>
    <w:p w14:paraId="1D0A6FF3" w14:textId="77777777" w:rsidR="00E77DD6" w:rsidRDefault="0017137D" w:rsidP="00907EB7">
      <w:pPr>
        <w:pStyle w:val="BodyText"/>
      </w:pPr>
      <w:r>
        <w:t xml:space="preserve">Looking ahead, the </w:t>
      </w:r>
      <w:proofErr w:type="spellStart"/>
      <w:r w:rsidR="00422B26">
        <w:t>ToT</w:t>
      </w:r>
      <w:proofErr w:type="spellEnd"/>
      <w:r>
        <w:t xml:space="preserve"> cannot be relied upon as a source of income growth. </w:t>
      </w:r>
      <w:r w:rsidR="0097472F">
        <w:t>The 2017</w:t>
      </w:r>
      <w:r w:rsidR="00E77DD6">
        <w:noBreakHyphen/>
      </w:r>
      <w:r w:rsidR="0097472F">
        <w:t xml:space="preserve">18 </w:t>
      </w:r>
      <w:r w:rsidR="00E77DD6">
        <w:t xml:space="preserve">Australian Government </w:t>
      </w:r>
      <w:r w:rsidR="0097472F">
        <w:t>Budget forecast that</w:t>
      </w:r>
      <w:r w:rsidR="00E77DD6">
        <w:t xml:space="preserve"> despite</w:t>
      </w:r>
      <w:r w:rsidR="0097472F">
        <w:t xml:space="preserve"> h</w:t>
      </w:r>
      <w:r w:rsidR="0097472F" w:rsidRPr="0097472F">
        <w:t>igher commodity prices in 2016</w:t>
      </w:r>
      <w:r w:rsidR="007219BD">
        <w:noBreakHyphen/>
      </w:r>
      <w:r w:rsidR="0097472F" w:rsidRPr="0097472F">
        <w:t>17</w:t>
      </w:r>
      <w:r w:rsidR="00E77DD6">
        <w:t xml:space="preserve">, </w:t>
      </w:r>
      <w:r>
        <w:t xml:space="preserve">the </w:t>
      </w:r>
      <w:proofErr w:type="spellStart"/>
      <w:r w:rsidR="00422B26">
        <w:t>ToT</w:t>
      </w:r>
      <w:proofErr w:type="spellEnd"/>
      <w:r>
        <w:t xml:space="preserve"> </w:t>
      </w:r>
      <w:r w:rsidR="00E77DD6">
        <w:t xml:space="preserve">will fall </w:t>
      </w:r>
      <w:r w:rsidR="0097472F" w:rsidRPr="0097472F">
        <w:t>in 2017</w:t>
      </w:r>
      <w:r w:rsidR="00E77DD6">
        <w:noBreakHyphen/>
      </w:r>
      <w:r w:rsidR="0097472F" w:rsidRPr="0097472F">
        <w:t>18 and 2018</w:t>
      </w:r>
      <w:r w:rsidR="00E77DD6">
        <w:noBreakHyphen/>
      </w:r>
      <w:r w:rsidR="0097472F" w:rsidRPr="0097472F">
        <w:t>19</w:t>
      </w:r>
      <w:r w:rsidR="00E77DD6">
        <w:t>, and eventually</w:t>
      </w:r>
      <w:r w:rsidR="007A7379">
        <w:t xml:space="preserve"> return</w:t>
      </w:r>
      <w:r w:rsidR="00E77DD6">
        <w:t xml:space="preserve"> to</w:t>
      </w:r>
      <w:r w:rsidR="007A7379">
        <w:t xml:space="preserve"> </w:t>
      </w:r>
      <w:r w:rsidR="00E77DD6">
        <w:t xml:space="preserve">its </w:t>
      </w:r>
      <w:r w:rsidR="00E77DD6" w:rsidRPr="00E77DD6">
        <w:t>2005 level from 2020</w:t>
      </w:r>
      <w:r w:rsidR="00E77DD6">
        <w:noBreakHyphen/>
      </w:r>
      <w:r w:rsidR="00E77DD6" w:rsidRPr="00E77DD6">
        <w:t>21.</w:t>
      </w:r>
      <w:r w:rsidR="00E77DD6">
        <w:t xml:space="preserve"> This implies continued falls over the medium term from its current level</w:t>
      </w:r>
      <w:r w:rsidR="00387DE2">
        <w:t xml:space="preserve"> </w:t>
      </w:r>
      <w:r w:rsidR="00387DE2" w:rsidRPr="00387DE2">
        <w:rPr>
          <w:szCs w:val="24"/>
        </w:rPr>
        <w:t xml:space="preserve">(Bullen, </w:t>
      </w:r>
      <w:proofErr w:type="spellStart"/>
      <w:r w:rsidR="00387DE2" w:rsidRPr="00387DE2">
        <w:rPr>
          <w:szCs w:val="24"/>
        </w:rPr>
        <w:t>Kouparitsas</w:t>
      </w:r>
      <w:proofErr w:type="spellEnd"/>
      <w:r w:rsidR="00387DE2" w:rsidRPr="00387DE2">
        <w:rPr>
          <w:szCs w:val="24"/>
        </w:rPr>
        <w:t xml:space="preserve"> and </w:t>
      </w:r>
      <w:proofErr w:type="spellStart"/>
      <w:r w:rsidR="00387DE2" w:rsidRPr="00387DE2">
        <w:rPr>
          <w:szCs w:val="24"/>
        </w:rPr>
        <w:t>Krolikowski</w:t>
      </w:r>
      <w:proofErr w:type="spellEnd"/>
      <w:r w:rsidR="00387DE2" w:rsidRPr="00387DE2">
        <w:rPr>
          <w:szCs w:val="24"/>
        </w:rPr>
        <w:t> 2014)</w:t>
      </w:r>
      <w:r w:rsidR="002E34B7" w:rsidRPr="002E34B7">
        <w:t>.</w:t>
      </w:r>
      <w:r>
        <w:t xml:space="preserve"> </w:t>
      </w:r>
    </w:p>
    <w:p w14:paraId="1D0A6FF4" w14:textId="77777777" w:rsidR="00B101DA" w:rsidRDefault="0017137D" w:rsidP="00107291">
      <w:pPr>
        <w:pStyle w:val="BodyText"/>
      </w:pPr>
      <w:r w:rsidRPr="0017137D">
        <w:t xml:space="preserve">Net foreign income inflows depend on the past balance between saving and investment </w:t>
      </w:r>
      <w:r w:rsidR="007A7379">
        <w:t xml:space="preserve">(which in any year determines </w:t>
      </w:r>
      <w:r w:rsidRPr="0017137D">
        <w:t>how much Australia relies on foreign borrowing</w:t>
      </w:r>
      <w:r w:rsidR="007A7379">
        <w:t>)</w:t>
      </w:r>
      <w:r w:rsidRPr="0017137D">
        <w:t xml:space="preserve"> and on the relative returns on these two</w:t>
      </w:r>
      <w:r w:rsidR="00FE0806">
        <w:noBreakHyphen/>
      </w:r>
      <w:r w:rsidRPr="0017137D">
        <w:t xml:space="preserve">way investments. The inflow can increase for any net debt position (for example, if the </w:t>
      </w:r>
      <w:r w:rsidR="00FE0806">
        <w:t>dividend and interest income from</w:t>
      </w:r>
      <w:r w:rsidRPr="0017137D">
        <w:t xml:space="preserve"> investments held by Australians abroad rise relative to the return on investments in Australia</w:t>
      </w:r>
      <w:r w:rsidR="00FE0806">
        <w:t xml:space="preserve"> held by foreigners</w:t>
      </w:r>
      <w:r w:rsidRPr="0017137D">
        <w:t>). While the inflows have been positive (but modest) in recent years, Australia has</w:t>
      </w:r>
      <w:r w:rsidR="007A7379">
        <w:t xml:space="preserve"> continued to</w:t>
      </w:r>
      <w:r w:rsidRPr="0017137D">
        <w:t xml:space="preserve"> rel</w:t>
      </w:r>
      <w:r w:rsidR="007A7379">
        <w:t>y</w:t>
      </w:r>
      <w:r w:rsidRPr="0017137D">
        <w:t xml:space="preserve"> on financing of investment from overseas, which suggests future negative inflows.</w:t>
      </w:r>
    </w:p>
    <w:p w14:paraId="1D0A6FF5" w14:textId="0DD1D84E" w:rsidR="0017137D" w:rsidRDefault="0017137D" w:rsidP="00B101DA">
      <w:pPr>
        <w:pStyle w:val="BodyText"/>
      </w:pPr>
      <w:r>
        <w:t>Growth in c</w:t>
      </w:r>
      <w:r w:rsidRPr="0017137D">
        <w:t xml:space="preserve">apital </w:t>
      </w:r>
      <w:r>
        <w:t>inputs</w:t>
      </w:r>
      <w:r w:rsidRPr="0017137D">
        <w:t xml:space="preserve"> has been the most consistent factor behind growing per capita</w:t>
      </w:r>
      <w:r>
        <w:t xml:space="preserve"> </w:t>
      </w:r>
      <w:r w:rsidR="007A7379">
        <w:t xml:space="preserve">incomes </w:t>
      </w:r>
      <w:r>
        <w:t>over time</w:t>
      </w:r>
      <w:r w:rsidR="004B0B31">
        <w:t xml:space="preserve">. However, </w:t>
      </w:r>
      <w:r w:rsidRPr="0017137D">
        <w:t>depreciation</w:t>
      </w:r>
      <w:r w:rsidR="004B0B31">
        <w:t xml:space="preserve"> </w:t>
      </w:r>
      <w:r w:rsidRPr="0017137D">
        <w:t>offset</w:t>
      </w:r>
      <w:r>
        <w:t>s, in part,</w:t>
      </w:r>
      <w:r w:rsidRPr="0017137D">
        <w:t xml:space="preserve"> </w:t>
      </w:r>
      <w:r w:rsidR="004B0B31">
        <w:t>investment’s</w:t>
      </w:r>
      <w:r w:rsidRPr="0017137D">
        <w:t xml:space="preserve"> influence on incomes. </w:t>
      </w:r>
      <w:r>
        <w:t>Future contributions from capital investment will depend, in part, on the quality of investment decisions, how fast the assets depreciate, and how well long</w:t>
      </w:r>
      <w:r w:rsidR="00EE434A">
        <w:noBreakHyphen/>
      </w:r>
      <w:r>
        <w:t xml:space="preserve">lived assets are </w:t>
      </w:r>
      <w:r>
        <w:lastRenderedPageBreak/>
        <w:t xml:space="preserve">managed. </w:t>
      </w:r>
      <w:r w:rsidR="008A2570">
        <w:t>It will also depend on the extent of investment itself</w:t>
      </w:r>
      <w:r w:rsidR="00F10869">
        <w:t>. C</w:t>
      </w:r>
      <w:r w:rsidR="008A2570">
        <w:t>ompositional shifts to less capital</w:t>
      </w:r>
      <w:r w:rsidR="002D29C0">
        <w:noBreakHyphen/>
      </w:r>
      <w:r w:rsidR="008A2570">
        <w:t xml:space="preserve">intensive industries suggest, if anything, some downside risk to capital input growth in future. </w:t>
      </w:r>
      <w:r w:rsidRPr="0017137D">
        <w:t>Investment in human capital</w:t>
      </w:r>
      <w:r w:rsidR="008A2570">
        <w:t xml:space="preserve"> however</w:t>
      </w:r>
      <w:r w:rsidRPr="0017137D">
        <w:t>, th</w:t>
      </w:r>
      <w:r w:rsidR="002D29C0">
        <w:t>r</w:t>
      </w:r>
      <w:r w:rsidRPr="0017137D">
        <w:t xml:space="preserve">ough education, training, and learning by doing, can complement capital </w:t>
      </w:r>
      <w:r w:rsidR="00F10869">
        <w:t xml:space="preserve">and other </w:t>
      </w:r>
      <w:proofErr w:type="spellStart"/>
      <w:r w:rsidR="00F10869">
        <w:t>KBC</w:t>
      </w:r>
      <w:proofErr w:type="spellEnd"/>
      <w:r w:rsidR="00F10869">
        <w:t xml:space="preserve"> </w:t>
      </w:r>
      <w:r>
        <w:t xml:space="preserve">investment </w:t>
      </w:r>
      <w:r w:rsidRPr="0017137D">
        <w:t>and contribute to higher productivity.</w:t>
      </w:r>
    </w:p>
    <w:p w14:paraId="1D0A6FF6" w14:textId="53E09608" w:rsidR="00435023" w:rsidRDefault="0017137D" w:rsidP="00E83D0C">
      <w:pPr>
        <w:pStyle w:val="BodyText"/>
      </w:pPr>
      <w:r w:rsidRPr="0017137D">
        <w:t xml:space="preserve">Labour inputs can vary </w:t>
      </w:r>
      <w:r>
        <w:t>over time</w:t>
      </w:r>
      <w:r w:rsidRPr="0017137D">
        <w:t xml:space="preserve"> (</w:t>
      </w:r>
      <w:r w:rsidR="00F10869">
        <w:t xml:space="preserve">increasing, </w:t>
      </w:r>
      <w:r w:rsidRPr="0017137D">
        <w:t xml:space="preserve">for example, through longer working hours per employee, lower unemployment or higher participation rates). </w:t>
      </w:r>
      <w:r w:rsidR="008A2570">
        <w:t xml:space="preserve">Notwithstanding cyclical variation in average hours and unemployment, average incomes have generally </w:t>
      </w:r>
      <w:r w:rsidR="002D29C0">
        <w:t xml:space="preserve">grown </w:t>
      </w:r>
      <w:r w:rsidR="008A2570">
        <w:t xml:space="preserve">significantly </w:t>
      </w:r>
      <w:r w:rsidR="002D29C0">
        <w:t>as</w:t>
      </w:r>
      <w:r w:rsidR="008A2570">
        <w:t xml:space="preserve"> labour force participation </w:t>
      </w:r>
      <w:r w:rsidR="002D29C0">
        <w:t>has increased</w:t>
      </w:r>
      <w:r w:rsidR="008A2570">
        <w:t xml:space="preserve"> in Australia (particularly </w:t>
      </w:r>
      <w:r w:rsidR="00A57E80">
        <w:t>for</w:t>
      </w:r>
      <w:r w:rsidR="008A2570">
        <w:t xml:space="preserve"> females). However the ageing population implies that, overall, more of the population will be in age brackets where participation </w:t>
      </w:r>
      <w:r w:rsidR="00F10869">
        <w:t xml:space="preserve">rates are </w:t>
      </w:r>
      <w:r w:rsidR="008A2570">
        <w:t>low</w:t>
      </w:r>
      <w:r w:rsidR="00F10869">
        <w:t>er</w:t>
      </w:r>
      <w:r w:rsidR="008A2570">
        <w:t xml:space="preserve"> </w:t>
      </w:r>
      <w:r w:rsidR="00F10869">
        <w:t xml:space="preserve">(as a higher share </w:t>
      </w:r>
      <w:r w:rsidR="008A2570">
        <w:t>o</w:t>
      </w:r>
      <w:r w:rsidR="00F10869">
        <w:t>f</w:t>
      </w:r>
      <w:r w:rsidR="008A2570">
        <w:t xml:space="preserve"> people are in retirement</w:t>
      </w:r>
      <w:r w:rsidR="00F10869">
        <w:t>)</w:t>
      </w:r>
      <w:r w:rsidR="008A2570">
        <w:t xml:space="preserve">, suggesting that </w:t>
      </w:r>
      <w:r w:rsidR="00907EB7">
        <w:t>population ageing</w:t>
      </w:r>
      <w:r w:rsidR="008A2570">
        <w:t xml:space="preserve"> will, on average, </w:t>
      </w:r>
      <w:r w:rsidR="00F10869">
        <w:t xml:space="preserve">reduce </w:t>
      </w:r>
      <w:r w:rsidR="008A2570">
        <w:t>per capita income grow</w:t>
      </w:r>
      <w:r w:rsidR="0025600D">
        <w:t xml:space="preserve">th </w:t>
      </w:r>
      <w:r w:rsidR="0025600D" w:rsidRPr="0025600D">
        <w:rPr>
          <w:szCs w:val="24"/>
        </w:rPr>
        <w:t>(Australian Government 2015)</w:t>
      </w:r>
      <w:r w:rsidR="008A2570">
        <w:t>. This is already beginning to play out</w:t>
      </w:r>
      <w:r w:rsidR="00F20503">
        <w:t xml:space="preserve"> as</w:t>
      </w:r>
      <w:r w:rsidR="008A2570">
        <w:t xml:space="preserve"> labour input </w:t>
      </w:r>
      <w:r w:rsidR="00F20503">
        <w:t xml:space="preserve">has </w:t>
      </w:r>
      <w:r w:rsidR="008A2570">
        <w:t>had</w:t>
      </w:r>
      <w:r w:rsidRPr="0017137D">
        <w:t xml:space="preserve"> a negligible role in income growth</w:t>
      </w:r>
      <w:r w:rsidR="00F10869">
        <w:t xml:space="preserve"> in recent years</w:t>
      </w:r>
      <w:r w:rsidRPr="0017137D">
        <w:t xml:space="preserve">. </w:t>
      </w:r>
      <w:r w:rsidR="008A2570">
        <w:t>F</w:t>
      </w:r>
      <w:r w:rsidRPr="0017137D">
        <w:t xml:space="preserve">uture reductions in labour inputs per capita appear inevitable, with associated </w:t>
      </w:r>
      <w:r w:rsidR="00F20503">
        <w:t>negative</w:t>
      </w:r>
      <w:r w:rsidRPr="0017137D">
        <w:t xml:space="preserve"> income effects</w:t>
      </w:r>
      <w:r w:rsidR="0042493A">
        <w:t>.</w:t>
      </w:r>
    </w:p>
    <w:p w14:paraId="1D0A6FF7" w14:textId="77777777" w:rsidR="008E12D0" w:rsidRPr="004E3B94" w:rsidRDefault="008E12D0" w:rsidP="008E12D0">
      <w:pPr>
        <w:pStyle w:val="BoxSpaceAboveElement"/>
        <w:keepLines/>
        <w:rPr>
          <w:vanish w:val="0"/>
          <w:color w:val="auto"/>
        </w:rPr>
      </w:pPr>
    </w:p>
    <w:tbl>
      <w:tblPr>
        <w:tblW w:w="4814" w:type="pct"/>
        <w:tblInd w:w="170"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8E12D0" w14:paraId="1D0A6FFA" w14:textId="77777777" w:rsidTr="00DA091E">
        <w:trPr>
          <w:cantSplit/>
          <w:tblHeader/>
        </w:trPr>
        <w:tc>
          <w:tcPr>
            <w:tcW w:w="5000" w:type="pct"/>
            <w:tcBorders>
              <w:top w:val="single" w:sz="6" w:space="0" w:color="265A9A" w:themeColor="accent2"/>
              <w:left w:val="nil"/>
              <w:bottom w:val="nil"/>
              <w:right w:val="nil"/>
            </w:tcBorders>
            <w:shd w:val="clear" w:color="auto" w:fill="E1EBF5"/>
            <w:tcMar>
              <w:left w:w="170" w:type="dxa"/>
              <w:right w:w="170" w:type="dxa"/>
            </w:tcMar>
          </w:tcPr>
          <w:p w14:paraId="1D0A6FF8" w14:textId="77777777" w:rsidR="008E12D0" w:rsidRPr="00DA091E" w:rsidRDefault="00F257A1" w:rsidP="00F746C6">
            <w:pPr>
              <w:pStyle w:val="FindingTitle"/>
              <w:spacing w:before="120"/>
              <w:rPr>
                <w:noProof/>
              </w:rPr>
            </w:pPr>
            <w:r w:rsidRPr="00DA091E">
              <w:t>conclusion 1.8</w:t>
            </w:r>
          </w:p>
          <w:p w14:paraId="1D0A6FF9" w14:textId="77777777" w:rsidR="008E12D0" w:rsidRPr="00CE4C64" w:rsidRDefault="004B0B31" w:rsidP="004B0B31">
            <w:pPr>
              <w:pStyle w:val="BodyText"/>
              <w:spacing w:before="60" w:line="260" w:lineRule="atLeast"/>
            </w:pPr>
            <w:r w:rsidRPr="00DA091E">
              <w:rPr>
                <w:rFonts w:ascii="Arial" w:hAnsi="Arial" w:cs="Arial"/>
                <w:sz w:val="20"/>
              </w:rPr>
              <w:t>Productivity improvement will be the primary determinant of income growth in the future. In the absence of material improvement in productivity performance, the prospects for income and wage growth remain subdued, given likely reversion of the terms of trade, and population ageing</w:t>
            </w:r>
            <w:r w:rsidR="008E12D0" w:rsidRPr="00DA091E">
              <w:rPr>
                <w:rFonts w:ascii="Arial" w:hAnsi="Arial" w:cs="Arial"/>
                <w:sz w:val="20"/>
              </w:rPr>
              <w:t>.</w:t>
            </w:r>
          </w:p>
        </w:tc>
      </w:tr>
      <w:tr w:rsidR="008E12D0" w14:paraId="1D0A6FFC" w14:textId="77777777" w:rsidTr="00DA091E">
        <w:trPr>
          <w:cantSplit/>
          <w:tblHeader/>
        </w:trPr>
        <w:tc>
          <w:tcPr>
            <w:tcW w:w="5000" w:type="pct"/>
            <w:tcBorders>
              <w:top w:val="nil"/>
              <w:left w:val="nil"/>
              <w:bottom w:val="single" w:sz="6" w:space="0" w:color="265A9A" w:themeColor="accent2"/>
              <w:right w:val="nil"/>
            </w:tcBorders>
            <w:shd w:val="clear" w:color="auto" w:fill="E1EBF5"/>
            <w:tcMar>
              <w:left w:w="170" w:type="dxa"/>
              <w:right w:w="170" w:type="dxa"/>
            </w:tcMar>
          </w:tcPr>
          <w:p w14:paraId="1D0A6FFB" w14:textId="77777777" w:rsidR="008E12D0" w:rsidRDefault="008E12D0" w:rsidP="00F746C6">
            <w:pPr>
              <w:pStyle w:val="Space"/>
              <w:keepLines/>
            </w:pPr>
          </w:p>
        </w:tc>
      </w:tr>
      <w:tr w:rsidR="008E12D0" w:rsidRPr="000863A5" w14:paraId="1D0A6FFE" w14:textId="77777777" w:rsidTr="00DA091E">
        <w:trPr>
          <w:cantSplit/>
          <w:tblHeader/>
        </w:trPr>
        <w:tc>
          <w:tcPr>
            <w:tcW w:w="5000" w:type="pct"/>
            <w:tcBorders>
              <w:top w:val="single" w:sz="6" w:space="0" w:color="265A9A" w:themeColor="accent2"/>
              <w:left w:val="nil"/>
              <w:bottom w:val="nil"/>
              <w:right w:val="nil"/>
            </w:tcBorders>
            <w:tcMar>
              <w:left w:w="170" w:type="dxa"/>
              <w:right w:w="170" w:type="dxa"/>
            </w:tcMar>
          </w:tcPr>
          <w:p w14:paraId="1D0A6FFD" w14:textId="77777777" w:rsidR="008E12D0" w:rsidRPr="00626D32" w:rsidRDefault="008E12D0" w:rsidP="00F746C6">
            <w:pPr>
              <w:pStyle w:val="BoxSpaceBelow"/>
              <w:keepLines/>
            </w:pPr>
          </w:p>
        </w:tc>
      </w:tr>
    </w:tbl>
    <w:p w14:paraId="1D0A6FFF" w14:textId="77777777" w:rsidR="00E73F9C" w:rsidRPr="00EA4AD8" w:rsidRDefault="00E73F9C" w:rsidP="00E73F9C">
      <w:pPr>
        <w:pStyle w:val="Heading3"/>
      </w:pPr>
      <w:r w:rsidRPr="00EA4AD8">
        <w:t>Wages</w:t>
      </w:r>
      <w:r w:rsidR="00F322C6" w:rsidRPr="00EA4AD8">
        <w:t xml:space="preserve"> and </w:t>
      </w:r>
      <w:r w:rsidR="00194360">
        <w:t>aggregate demand</w:t>
      </w:r>
    </w:p>
    <w:p w14:paraId="1D0A7000" w14:textId="77777777" w:rsidR="0058036D" w:rsidRPr="00EA4AD8" w:rsidRDefault="0025046A" w:rsidP="0025046A">
      <w:pPr>
        <w:pStyle w:val="BodyText"/>
      </w:pPr>
      <w:r w:rsidRPr="00EA4AD8">
        <w:t xml:space="preserve">Falling rates of average income growth are also </w:t>
      </w:r>
      <w:r w:rsidR="0058036D" w:rsidRPr="00EA4AD8">
        <w:t xml:space="preserve">directly </w:t>
      </w:r>
      <w:r w:rsidR="00772387" w:rsidRPr="00EA4AD8">
        <w:t>captured</w:t>
      </w:r>
      <w:r w:rsidRPr="00EA4AD8">
        <w:t xml:space="preserve"> in </w:t>
      </w:r>
      <w:r w:rsidR="00772387" w:rsidRPr="00EA4AD8">
        <w:t>lower</w:t>
      </w:r>
      <w:r w:rsidRPr="00EA4AD8">
        <w:t xml:space="preserve"> growth in peoples’ wages. Nominal wages growth </w:t>
      </w:r>
      <w:r w:rsidR="00772387" w:rsidRPr="00EA4AD8">
        <w:t>(</w:t>
      </w:r>
      <w:r w:rsidR="00173693" w:rsidRPr="00EA4AD8">
        <w:t>that is,</w:t>
      </w:r>
      <w:r w:rsidR="00772387" w:rsidRPr="00EA4AD8">
        <w:t xml:space="preserve"> growth in take</w:t>
      </w:r>
      <w:r w:rsidR="00772387" w:rsidRPr="00EA4AD8">
        <w:noBreakHyphen/>
        <w:t xml:space="preserve">home pay) </w:t>
      </w:r>
      <w:r w:rsidRPr="00EA4AD8">
        <w:t>is currently the lowest since records began in 1998</w:t>
      </w:r>
      <w:r w:rsidR="0058036D" w:rsidRPr="00EA4AD8">
        <w:t xml:space="preserve">, </w:t>
      </w:r>
      <w:r w:rsidR="00772387" w:rsidRPr="00EA4AD8">
        <w:t>at</w:t>
      </w:r>
      <w:r w:rsidR="0058036D" w:rsidRPr="00EA4AD8">
        <w:t xml:space="preserve"> 1.9 per cent </w:t>
      </w:r>
      <w:r w:rsidR="00901C5F" w:rsidRPr="00EA4AD8">
        <w:t>in the most recent</w:t>
      </w:r>
      <w:r w:rsidR="0058036D" w:rsidRPr="00EA4AD8">
        <w:t xml:space="preserve"> year</w:t>
      </w:r>
      <w:r w:rsidR="00DD60E1">
        <w:t xml:space="preserve"> (figure </w:t>
      </w:r>
      <w:r w:rsidR="00646DD1">
        <w:t>1</w:t>
      </w:r>
      <w:r w:rsidR="00CF0E9C">
        <w:t>4</w:t>
      </w:r>
      <w:r w:rsidR="00DD60E1">
        <w:t>, panel </w:t>
      </w:r>
      <w:r w:rsidRPr="00EA4AD8">
        <w:t xml:space="preserve">a). When adjusted for </w:t>
      </w:r>
      <w:r w:rsidR="0058036D" w:rsidRPr="00EA4AD8">
        <w:t>growth</w:t>
      </w:r>
      <w:r w:rsidR="00901C5F" w:rsidRPr="00EA4AD8">
        <w:t xml:space="preserve"> in the prices of consumables</w:t>
      </w:r>
      <w:r w:rsidRPr="00EA4AD8">
        <w:t xml:space="preserve">, </w:t>
      </w:r>
      <w:r w:rsidRPr="00EA4AD8">
        <w:rPr>
          <w:i/>
        </w:rPr>
        <w:t>real</w:t>
      </w:r>
      <w:r w:rsidRPr="00EA4AD8">
        <w:t xml:space="preserve"> wage growth has also been low, growing on average by 0.</w:t>
      </w:r>
      <w:r w:rsidR="000801C4">
        <w:t>2</w:t>
      </w:r>
      <w:r w:rsidRPr="00EA4AD8">
        <w:t xml:space="preserve"> per cent over the last </w:t>
      </w:r>
      <w:r w:rsidR="00DD60E1">
        <w:t>three</w:t>
      </w:r>
      <w:r w:rsidRPr="00EA4AD8">
        <w:t xml:space="preserve"> years (figure </w:t>
      </w:r>
      <w:r w:rsidR="00646DD1">
        <w:t>1</w:t>
      </w:r>
      <w:r w:rsidR="00CF0E9C">
        <w:t>4</w:t>
      </w:r>
      <w:r w:rsidRPr="00EA4AD8">
        <w:t>, panel</w:t>
      </w:r>
      <w:r w:rsidR="002D29C0">
        <w:t> </w:t>
      </w:r>
      <w:r w:rsidRPr="00EA4AD8">
        <w:t xml:space="preserve">b). </w:t>
      </w:r>
    </w:p>
    <w:p w14:paraId="1D0A7001" w14:textId="77777777" w:rsidR="0025046A" w:rsidRDefault="0058036D" w:rsidP="0025046A">
      <w:pPr>
        <w:pStyle w:val="BodyText"/>
      </w:pPr>
      <w:r w:rsidRPr="00EA4AD8">
        <w:t xml:space="preserve">LP growth is </w:t>
      </w:r>
      <w:r w:rsidR="00D223DB">
        <w:t>not sufficient</w:t>
      </w:r>
      <w:r w:rsidR="00667A8E" w:rsidRPr="00EA4AD8">
        <w:t xml:space="preserve"> for </w:t>
      </w:r>
      <w:r w:rsidR="00BF17A2" w:rsidRPr="00EA4AD8">
        <w:t xml:space="preserve">growth in real </w:t>
      </w:r>
      <w:r w:rsidR="00667A8E" w:rsidRPr="00EA4AD8">
        <w:t>wages</w:t>
      </w:r>
      <w:r w:rsidR="00BF17A2" w:rsidRPr="00EA4AD8">
        <w:t xml:space="preserve">. </w:t>
      </w:r>
      <w:r w:rsidR="00A66468" w:rsidRPr="00EA4AD8">
        <w:t xml:space="preserve">For LP improvements to translate to improved real wages, it must be the case that there is some overall increase in output prices (inflation) to compensate producers for higher labour input costs, </w:t>
      </w:r>
      <w:r w:rsidR="00A66468" w:rsidRPr="00EA4AD8">
        <w:rPr>
          <w:i/>
        </w:rPr>
        <w:t>and</w:t>
      </w:r>
      <w:r w:rsidR="00A66468" w:rsidRPr="00EA4AD8">
        <w:t xml:space="preserve"> that workers have the capacity to bargain with employers for increases in remuneration in line with observable productivity improvements. </w:t>
      </w:r>
    </w:p>
    <w:p w14:paraId="1D0A7002" w14:textId="77777777" w:rsidR="008D7D32" w:rsidRDefault="00CA2859" w:rsidP="003449EA">
      <w:pPr>
        <w:pStyle w:val="BodyText"/>
      </w:pPr>
      <w:r>
        <w:t>If</w:t>
      </w:r>
      <w:r w:rsidR="00F4017C">
        <w:t xml:space="preserve"> </w:t>
      </w:r>
      <w:r w:rsidR="002D29C0">
        <w:t>output prices do not rise,</w:t>
      </w:r>
      <w:r>
        <w:t xml:space="preserve"> including due to non</w:t>
      </w:r>
      <w:r>
        <w:noBreakHyphen/>
        <w:t>wage related factors, this can place downward pressure on wage increases.</w:t>
      </w:r>
      <w:r w:rsidRPr="00E6296D">
        <w:rPr>
          <w:rStyle w:val="FootnoteReference"/>
        </w:rPr>
        <w:footnoteReference w:id="27"/>
      </w:r>
      <w:r w:rsidRPr="00522328">
        <w:t xml:space="preserve"> </w:t>
      </w:r>
      <w:r>
        <w:t>C</w:t>
      </w:r>
      <w:r w:rsidR="00D14A51" w:rsidRPr="00522328">
        <w:t>ompany profits can</w:t>
      </w:r>
      <w:r>
        <w:t>, however,</w:t>
      </w:r>
      <w:r w:rsidR="00D14A51" w:rsidRPr="00522328">
        <w:t xml:space="preserve"> still be </w:t>
      </w:r>
      <w:r w:rsidR="00D14A51" w:rsidRPr="00522328">
        <w:lastRenderedPageBreak/>
        <w:t xml:space="preserve">maintained if the cost of capital (the other main input to production besides labour) is </w:t>
      </w:r>
      <w:r>
        <w:t xml:space="preserve">low or </w:t>
      </w:r>
      <w:r w:rsidR="00D14A51" w:rsidRPr="00522328">
        <w:t xml:space="preserve">falling. This has generally occurred in Australia </w:t>
      </w:r>
      <w:r w:rsidR="006C3BC7" w:rsidRPr="00522328">
        <w:t xml:space="preserve">in recent years </w:t>
      </w:r>
      <w:r w:rsidR="00D14A51" w:rsidRPr="00522328">
        <w:t>with the assistance of lower</w:t>
      </w:r>
      <w:r w:rsidR="00772387" w:rsidRPr="00522328">
        <w:t xml:space="preserve"> domestic (and global)</w:t>
      </w:r>
      <w:r w:rsidR="00D14A51" w:rsidRPr="00522328">
        <w:t xml:space="preserve"> interest rates.</w:t>
      </w:r>
      <w:r>
        <w:t xml:space="preserve"> </w:t>
      </w:r>
    </w:p>
    <w:p w14:paraId="1D0A7003" w14:textId="6FE9128D" w:rsidR="00646DD1" w:rsidRPr="008265A6" w:rsidRDefault="00646DD1" w:rsidP="00646DD1">
      <w:pPr>
        <w:pStyle w:val="BodyText"/>
      </w:pPr>
      <w:r>
        <w:t xml:space="preserve">A key question therefore remains about whether there is scope for a significant pick up in the rate of growth in </w:t>
      </w:r>
      <w:r w:rsidR="002D29C0">
        <w:t xml:space="preserve">output </w:t>
      </w:r>
      <w:r>
        <w:t xml:space="preserve">prices. There are, of course, numerous drivers of </w:t>
      </w:r>
      <w:r w:rsidR="002D29C0">
        <w:t xml:space="preserve">prices </w:t>
      </w:r>
      <w:r>
        <w:t xml:space="preserve">over time. Wages growth itself is obviously a key determinant, but it is also driven by factors like competition (domestic and international), market structure, government regulations, fluctuations in the exchange rate (for those businesses operating in the traded sector), as well as advances in technology </w:t>
      </w:r>
      <w:r w:rsidR="005C68E1">
        <w:t>that</w:t>
      </w:r>
      <w:r>
        <w:t xml:space="preserve"> make production processes cheaper by lowering the cost of capital inputs over time. </w:t>
      </w:r>
    </w:p>
    <w:p w14:paraId="1D0A7004" w14:textId="4EA07D96" w:rsidR="00646DD1" w:rsidRPr="00522328" w:rsidRDefault="00646DD1" w:rsidP="00646DD1">
      <w:pPr>
        <w:pStyle w:val="BodyText"/>
      </w:pPr>
      <w:r w:rsidRPr="00522328">
        <w:t>Capital and labour input prices can have important impacts on employers’ choices about how much capital and labour to employ in production, particularly in instances where they are substitut</w:t>
      </w:r>
      <w:r>
        <w:t>es</w:t>
      </w:r>
      <w:r w:rsidRPr="00522328">
        <w:t xml:space="preserve"> for each other (rather than complement</w:t>
      </w:r>
      <w:r w:rsidR="002D29C0">
        <w:t>s</w:t>
      </w:r>
      <w:r w:rsidRPr="00522328">
        <w:t xml:space="preserve">). For example, advances in technology </w:t>
      </w:r>
      <w:r w:rsidR="00F20503">
        <w:t>that enables</w:t>
      </w:r>
      <w:r w:rsidRPr="00522328">
        <w:t xml:space="preserve"> automation of production lines have seen marked disruption in </w:t>
      </w:r>
      <w:r>
        <w:t xml:space="preserve">employment in </w:t>
      </w:r>
      <w:r w:rsidRPr="00522328">
        <w:t xml:space="preserve">automotive manufacturing and retail distribution. This is not to say however, that advances in technology are incompatible with growth in employment. </w:t>
      </w:r>
    </w:p>
    <w:p w14:paraId="1D0A7005" w14:textId="77777777" w:rsidR="00CE6020" w:rsidRDefault="00CE6020" w:rsidP="00A02E1D">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CE6020" w14:paraId="1D0A7008" w14:textId="77777777" w:rsidTr="00772387">
        <w:trPr>
          <w:tblHeader/>
        </w:trPr>
        <w:tc>
          <w:tcPr>
            <w:tcW w:w="8771" w:type="dxa"/>
            <w:tcBorders>
              <w:top w:val="single" w:sz="6" w:space="0" w:color="78A22F"/>
              <w:left w:val="nil"/>
              <w:bottom w:val="nil"/>
              <w:right w:val="nil"/>
            </w:tcBorders>
            <w:shd w:val="clear" w:color="auto" w:fill="auto"/>
          </w:tcPr>
          <w:p w14:paraId="1D0A7006" w14:textId="77777777" w:rsidR="00CE6020" w:rsidRDefault="00CE6020" w:rsidP="00772387">
            <w:pPr>
              <w:pStyle w:val="FigureTitle"/>
            </w:pPr>
            <w:r w:rsidRPr="00784A05">
              <w:rPr>
                <w:b w:val="0"/>
              </w:rPr>
              <w:t xml:space="preserve">Figure </w:t>
            </w:r>
            <w:r w:rsidR="00497B26">
              <w:rPr>
                <w:b w:val="0"/>
              </w:rPr>
              <w:t>1</w:t>
            </w:r>
            <w:r w:rsidR="001F4B4F">
              <w:rPr>
                <w:b w:val="0"/>
              </w:rPr>
              <w:t>4</w:t>
            </w:r>
            <w:r w:rsidR="00273C86">
              <w:tab/>
              <w:t>Annual g</w:t>
            </w:r>
            <w:r>
              <w:t xml:space="preserve">rowth in hourly </w:t>
            </w:r>
            <w:proofErr w:type="spellStart"/>
            <w:r>
              <w:t>wages</w:t>
            </w:r>
            <w:r w:rsidR="00273C86">
              <w:rPr>
                <w:vertAlign w:val="superscript"/>
              </w:rPr>
              <w:t>a</w:t>
            </w:r>
            <w:proofErr w:type="spellEnd"/>
          </w:p>
          <w:p w14:paraId="1D0A7007" w14:textId="77777777" w:rsidR="00CE6020" w:rsidRPr="00176D3F" w:rsidRDefault="00CE6020" w:rsidP="00772387">
            <w:pPr>
              <w:pStyle w:val="Subtitle"/>
            </w:pPr>
            <w:r w:rsidRPr="00803ABE">
              <w:t>Total hourly rates of pay excluding bonuses</w:t>
            </w:r>
            <w:r w:rsidR="00273C86">
              <w:t xml:space="preserve"> (trend)</w:t>
            </w:r>
          </w:p>
        </w:tc>
      </w:tr>
      <w:tr w:rsidR="00CE6020" w14:paraId="1D0A7010" w14:textId="77777777" w:rsidTr="00772387">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4252"/>
              <w:gridCol w:w="4252"/>
            </w:tblGrid>
            <w:tr w:rsidR="00CE6020" w:rsidRPr="00B1465D" w14:paraId="1D0A700B" w14:textId="77777777" w:rsidTr="00772387">
              <w:trPr>
                <w:tblHeader/>
                <w:jc w:val="center"/>
              </w:trPr>
              <w:tc>
                <w:tcPr>
                  <w:tcW w:w="2500" w:type="pct"/>
                  <w:tcBorders>
                    <w:top w:val="nil"/>
                    <w:bottom w:val="nil"/>
                  </w:tcBorders>
                </w:tcPr>
                <w:p w14:paraId="1D0A7009" w14:textId="77777777" w:rsidR="00CE6020" w:rsidRPr="00B1465D" w:rsidRDefault="00CE6020" w:rsidP="00772387">
                  <w:pPr>
                    <w:pStyle w:val="Figure"/>
                    <w:spacing w:before="60" w:after="60"/>
                    <w:rPr>
                      <w:rFonts w:ascii="Arial" w:hAnsi="Arial" w:cs="Arial"/>
                      <w:sz w:val="18"/>
                      <w:szCs w:val="18"/>
                    </w:rPr>
                  </w:pPr>
                  <w:r>
                    <w:rPr>
                      <w:rFonts w:ascii="Arial" w:hAnsi="Arial" w:cs="Arial"/>
                      <w:sz w:val="18"/>
                      <w:szCs w:val="18"/>
                    </w:rPr>
                    <w:t xml:space="preserve">(a) </w:t>
                  </w:r>
                  <w:proofErr w:type="spellStart"/>
                  <w:r>
                    <w:rPr>
                      <w:rFonts w:ascii="Arial" w:hAnsi="Arial" w:cs="Arial"/>
                      <w:sz w:val="18"/>
                      <w:szCs w:val="18"/>
                    </w:rPr>
                    <w:t>Nominal</w:t>
                  </w:r>
                  <w:r w:rsidRPr="00DF197F">
                    <w:rPr>
                      <w:vertAlign w:val="superscript"/>
                    </w:rPr>
                    <w:t>a</w:t>
                  </w:r>
                  <w:proofErr w:type="spellEnd"/>
                </w:p>
              </w:tc>
              <w:tc>
                <w:tcPr>
                  <w:tcW w:w="2500" w:type="pct"/>
                  <w:tcBorders>
                    <w:top w:val="nil"/>
                    <w:bottom w:val="nil"/>
                  </w:tcBorders>
                </w:tcPr>
                <w:p w14:paraId="1D0A700A" w14:textId="77777777" w:rsidR="00CE6020" w:rsidRPr="00B1465D" w:rsidRDefault="00CE6020" w:rsidP="00772387">
                  <w:pPr>
                    <w:pStyle w:val="Figure"/>
                    <w:spacing w:before="60" w:after="60"/>
                    <w:rPr>
                      <w:rFonts w:ascii="Arial" w:hAnsi="Arial" w:cs="Arial"/>
                      <w:sz w:val="18"/>
                      <w:szCs w:val="18"/>
                    </w:rPr>
                  </w:pPr>
                  <w:r>
                    <w:rPr>
                      <w:rFonts w:ascii="Arial" w:hAnsi="Arial" w:cs="Arial"/>
                      <w:sz w:val="18"/>
                      <w:szCs w:val="18"/>
                    </w:rPr>
                    <w:t xml:space="preserve">(b) </w:t>
                  </w:r>
                  <w:proofErr w:type="spellStart"/>
                  <w:r>
                    <w:rPr>
                      <w:rFonts w:ascii="Arial" w:hAnsi="Arial" w:cs="Arial"/>
                      <w:sz w:val="18"/>
                      <w:szCs w:val="18"/>
                    </w:rPr>
                    <w:t>Real</w:t>
                  </w:r>
                  <w:r>
                    <w:rPr>
                      <w:vertAlign w:val="superscript"/>
                    </w:rPr>
                    <w:t>b</w:t>
                  </w:r>
                  <w:proofErr w:type="spellEnd"/>
                </w:p>
              </w:tc>
            </w:tr>
            <w:tr w:rsidR="00CE6020" w:rsidRPr="00B1465D" w14:paraId="1D0A700E" w14:textId="77777777" w:rsidTr="00772387">
              <w:trPr>
                <w:tblHeader/>
                <w:jc w:val="center"/>
              </w:trPr>
              <w:tc>
                <w:tcPr>
                  <w:tcW w:w="2500" w:type="pct"/>
                  <w:tcBorders>
                    <w:top w:val="nil"/>
                    <w:bottom w:val="nil"/>
                  </w:tcBorders>
                </w:tcPr>
                <w:p w14:paraId="1D0A700C" w14:textId="77777777" w:rsidR="00CE6020" w:rsidRPr="00B1465D" w:rsidRDefault="00DD60E1" w:rsidP="00772387">
                  <w:pPr>
                    <w:pStyle w:val="Figure"/>
                    <w:spacing w:before="60" w:after="60"/>
                    <w:rPr>
                      <w:rFonts w:ascii="Arial" w:hAnsi="Arial" w:cs="Arial"/>
                      <w:sz w:val="18"/>
                      <w:szCs w:val="18"/>
                    </w:rPr>
                  </w:pPr>
                  <w:r w:rsidRPr="00DD60E1">
                    <w:rPr>
                      <w:rFonts w:ascii="Arial" w:hAnsi="Arial" w:cs="Arial"/>
                      <w:noProof/>
                      <w:sz w:val="18"/>
                      <w:szCs w:val="18"/>
                    </w:rPr>
                    <w:drawing>
                      <wp:inline distT="0" distB="0" distL="0" distR="0" wp14:anchorId="1D0A71A6" wp14:editId="49130330">
                        <wp:extent cx="2651760" cy="2354580"/>
                        <wp:effectExtent l="0" t="0" r="0" b="7620"/>
                        <wp:docPr id="6" name="Picture 6" descr="This figure shows that nominal wages growth is at a historical low in 2017. Real wage growth (that is, after adjusting for inflation) has also been low, growing on average by 0.2 per cent over the last three yea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651760" cy="2354580"/>
                                </a:xfrm>
                                <a:prstGeom prst="rect">
                                  <a:avLst/>
                                </a:prstGeom>
                                <a:noFill/>
                                <a:ln>
                                  <a:noFill/>
                                </a:ln>
                              </pic:spPr>
                            </pic:pic>
                          </a:graphicData>
                        </a:graphic>
                      </wp:inline>
                    </w:drawing>
                  </w:r>
                </w:p>
              </w:tc>
              <w:tc>
                <w:tcPr>
                  <w:tcW w:w="2500" w:type="pct"/>
                  <w:tcBorders>
                    <w:top w:val="nil"/>
                    <w:bottom w:val="nil"/>
                  </w:tcBorders>
                </w:tcPr>
                <w:p w14:paraId="1D0A700D" w14:textId="77777777" w:rsidR="00CE6020" w:rsidRPr="00B1465D" w:rsidRDefault="00DD60E1" w:rsidP="00772387">
                  <w:pPr>
                    <w:pStyle w:val="Figure"/>
                    <w:spacing w:before="60" w:after="60"/>
                    <w:rPr>
                      <w:rFonts w:ascii="Arial" w:hAnsi="Arial" w:cs="Arial"/>
                      <w:sz w:val="18"/>
                      <w:szCs w:val="18"/>
                    </w:rPr>
                  </w:pPr>
                  <w:r w:rsidRPr="00DD60E1">
                    <w:rPr>
                      <w:rFonts w:ascii="Arial" w:hAnsi="Arial" w:cs="Arial"/>
                      <w:noProof/>
                      <w:sz w:val="18"/>
                      <w:szCs w:val="18"/>
                    </w:rPr>
                    <w:drawing>
                      <wp:inline distT="0" distB="0" distL="0" distR="0" wp14:anchorId="1D0A71A8" wp14:editId="78498DF5">
                        <wp:extent cx="2651760" cy="2354580"/>
                        <wp:effectExtent l="0" t="0" r="0" b="7620"/>
                        <wp:docPr id="22" name="Picture 22" descr="This figure shows that nominal wages growth is at a historical low in 2017. Real wage growth (that is, after adjusting for inflation) has also been low, growing on average by 0.2 per cent over the last three yea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651760" cy="2354580"/>
                                </a:xfrm>
                                <a:prstGeom prst="rect">
                                  <a:avLst/>
                                </a:prstGeom>
                                <a:noFill/>
                                <a:ln>
                                  <a:noFill/>
                                </a:ln>
                              </pic:spPr>
                            </pic:pic>
                          </a:graphicData>
                        </a:graphic>
                      </wp:inline>
                    </w:drawing>
                  </w:r>
                </w:p>
              </w:tc>
            </w:tr>
          </w:tbl>
          <w:p w14:paraId="1D0A700F" w14:textId="77777777" w:rsidR="00CE6020" w:rsidRDefault="00CE6020" w:rsidP="00772387">
            <w:pPr>
              <w:pStyle w:val="Figure"/>
            </w:pPr>
          </w:p>
        </w:tc>
      </w:tr>
      <w:tr w:rsidR="00CE6020" w:rsidRPr="00176D3F" w14:paraId="1D0A7012" w14:textId="77777777" w:rsidTr="00772387">
        <w:tc>
          <w:tcPr>
            <w:tcW w:w="8771" w:type="dxa"/>
            <w:tcBorders>
              <w:top w:val="nil"/>
              <w:left w:val="nil"/>
              <w:bottom w:val="nil"/>
              <w:right w:val="nil"/>
            </w:tcBorders>
            <w:shd w:val="clear" w:color="auto" w:fill="auto"/>
          </w:tcPr>
          <w:p w14:paraId="1D0A7011" w14:textId="06981589" w:rsidR="00CE6020" w:rsidRPr="00176D3F" w:rsidRDefault="00CE6020" w:rsidP="00787668">
            <w:pPr>
              <w:pStyle w:val="Note"/>
            </w:pPr>
            <w:r>
              <w:rPr>
                <w:rStyle w:val="NoteLabel"/>
              </w:rPr>
              <w:t>a</w:t>
            </w:r>
            <w:r>
              <w:t xml:space="preserve"> Nominal wages have been deflated using RBA y</w:t>
            </w:r>
            <w:r w:rsidRPr="007E395B">
              <w:t>ear</w:t>
            </w:r>
            <w:r w:rsidR="00EE434A">
              <w:noBreakHyphen/>
            </w:r>
            <w:r w:rsidRPr="007E395B">
              <w:t>ended inflation excluding volatile items</w:t>
            </w:r>
            <w:r>
              <w:t>.</w:t>
            </w:r>
          </w:p>
        </w:tc>
      </w:tr>
      <w:tr w:rsidR="00CE6020" w:rsidRPr="00176D3F" w14:paraId="1D0A7014" w14:textId="77777777" w:rsidTr="00772387">
        <w:tc>
          <w:tcPr>
            <w:tcW w:w="8771" w:type="dxa"/>
            <w:tcBorders>
              <w:top w:val="nil"/>
              <w:left w:val="nil"/>
              <w:bottom w:val="nil"/>
              <w:right w:val="nil"/>
            </w:tcBorders>
            <w:shd w:val="clear" w:color="auto" w:fill="auto"/>
          </w:tcPr>
          <w:p w14:paraId="1D0A7013" w14:textId="65C7281B" w:rsidR="00CE6020" w:rsidRPr="00176D3F" w:rsidRDefault="00EE434A" w:rsidP="00EE434A">
            <w:pPr>
              <w:pStyle w:val="Source"/>
            </w:pPr>
            <w:r>
              <w:rPr>
                <w:i/>
              </w:rPr>
              <w:t>S</w:t>
            </w:r>
            <w:r w:rsidR="00CE6020" w:rsidRPr="00784A05">
              <w:rPr>
                <w:i/>
              </w:rPr>
              <w:t>ource</w:t>
            </w:r>
            <w:r>
              <w:rPr>
                <w:i/>
              </w:rPr>
              <w:t>s</w:t>
            </w:r>
            <w:r w:rsidR="00CE6020" w:rsidRPr="00176D3F">
              <w:t xml:space="preserve">: </w:t>
            </w:r>
            <w:r w:rsidR="00787668">
              <w:t xml:space="preserve">ABS </w:t>
            </w:r>
            <w:r w:rsidR="00787668">
              <w:rPr>
                <w:rFonts w:cs="Arial"/>
                <w:szCs w:val="24"/>
              </w:rPr>
              <w:t>(</w:t>
            </w:r>
            <w:proofErr w:type="spellStart"/>
            <w:r w:rsidR="00787668" w:rsidRPr="00787668">
              <w:rPr>
                <w:rFonts w:cs="Arial"/>
                <w:szCs w:val="24"/>
              </w:rPr>
              <w:t>2017c</w:t>
            </w:r>
            <w:proofErr w:type="spellEnd"/>
            <w:r w:rsidR="00787668" w:rsidRPr="00787668">
              <w:rPr>
                <w:rFonts w:cs="Arial"/>
                <w:szCs w:val="24"/>
              </w:rPr>
              <w:t>)</w:t>
            </w:r>
            <w:r w:rsidR="00787668">
              <w:t xml:space="preserve">, </w:t>
            </w:r>
            <w:r w:rsidR="00DB64F0" w:rsidRPr="00DB64F0">
              <w:rPr>
                <w:i/>
              </w:rPr>
              <w:t>Wage Price Index</w:t>
            </w:r>
            <w:r w:rsidR="00DB64F0">
              <w:rPr>
                <w:i/>
              </w:rPr>
              <w:t>, Australia</w:t>
            </w:r>
            <w:r w:rsidR="00DB64F0" w:rsidRPr="00DB64F0">
              <w:rPr>
                <w:i/>
              </w:rPr>
              <w:t xml:space="preserve"> </w:t>
            </w:r>
            <w:r w:rsidR="00787668">
              <w:t>C</w:t>
            </w:r>
            <w:r w:rsidR="00CE6020">
              <w:t xml:space="preserve">at. no. </w:t>
            </w:r>
            <w:r w:rsidR="00CE6020" w:rsidRPr="007E395B">
              <w:t>6345.0,</w:t>
            </w:r>
            <w:r w:rsidR="00CE6020">
              <w:t xml:space="preserve"> and RBA</w:t>
            </w:r>
            <w:r w:rsidR="00787668">
              <w:t xml:space="preserve"> </w:t>
            </w:r>
            <w:r w:rsidR="00787668">
              <w:rPr>
                <w:rFonts w:cs="Arial"/>
                <w:szCs w:val="24"/>
              </w:rPr>
              <w:t>(</w:t>
            </w:r>
            <w:proofErr w:type="spellStart"/>
            <w:r w:rsidR="00787668" w:rsidRPr="00787668">
              <w:rPr>
                <w:rFonts w:cs="Arial"/>
                <w:szCs w:val="24"/>
              </w:rPr>
              <w:t>2017a</w:t>
            </w:r>
            <w:proofErr w:type="spellEnd"/>
            <w:r w:rsidR="00787668" w:rsidRPr="00787668">
              <w:rPr>
                <w:rFonts w:cs="Arial"/>
                <w:szCs w:val="24"/>
              </w:rPr>
              <w:t>)</w:t>
            </w:r>
            <w:r w:rsidR="00CE6020">
              <w:t xml:space="preserve"> </w:t>
            </w:r>
            <w:r w:rsidR="00CE6020" w:rsidRPr="00DB64F0">
              <w:rPr>
                <w:i/>
              </w:rPr>
              <w:t>Consumer Price Inflation</w:t>
            </w:r>
            <w:r w:rsidR="00CE6020">
              <w:t xml:space="preserve"> (</w:t>
            </w:r>
            <w:r>
              <w:t>t</w:t>
            </w:r>
            <w:r w:rsidR="00CE6020">
              <w:t>able </w:t>
            </w:r>
            <w:proofErr w:type="spellStart"/>
            <w:r w:rsidR="00CE6020" w:rsidRPr="007E395B">
              <w:t>G1</w:t>
            </w:r>
            <w:proofErr w:type="spellEnd"/>
            <w:r w:rsidR="00CE6020">
              <w:t>).</w:t>
            </w:r>
          </w:p>
        </w:tc>
      </w:tr>
      <w:tr w:rsidR="00CE6020" w14:paraId="1D0A7016" w14:textId="77777777" w:rsidTr="00772387">
        <w:tc>
          <w:tcPr>
            <w:tcW w:w="8771" w:type="dxa"/>
            <w:tcBorders>
              <w:top w:val="nil"/>
              <w:left w:val="nil"/>
              <w:bottom w:val="single" w:sz="6" w:space="0" w:color="78A22F"/>
              <w:right w:val="nil"/>
            </w:tcBorders>
            <w:shd w:val="clear" w:color="auto" w:fill="auto"/>
          </w:tcPr>
          <w:p w14:paraId="1D0A7015" w14:textId="77777777" w:rsidR="00CE6020" w:rsidRDefault="00CE6020" w:rsidP="00772387">
            <w:pPr>
              <w:pStyle w:val="Figurespace"/>
            </w:pPr>
          </w:p>
        </w:tc>
      </w:tr>
      <w:tr w:rsidR="00CE6020" w:rsidRPr="000863A5" w14:paraId="1D0A7018" w14:textId="77777777" w:rsidTr="00772387">
        <w:tc>
          <w:tcPr>
            <w:tcW w:w="8771" w:type="dxa"/>
            <w:tcBorders>
              <w:top w:val="single" w:sz="6" w:space="0" w:color="78A22F"/>
              <w:left w:val="nil"/>
              <w:bottom w:val="nil"/>
              <w:right w:val="nil"/>
            </w:tcBorders>
          </w:tcPr>
          <w:p w14:paraId="1D0A7017" w14:textId="77777777" w:rsidR="00CE6020" w:rsidRPr="00626D32" w:rsidRDefault="00CE6020" w:rsidP="00772387">
            <w:pPr>
              <w:pStyle w:val="BoxSpaceBelow"/>
            </w:pPr>
          </w:p>
        </w:tc>
      </w:tr>
    </w:tbl>
    <w:p w14:paraId="1D0A7019" w14:textId="19CE3BF2" w:rsidR="00667E39" w:rsidRDefault="00667E39" w:rsidP="00667E39">
      <w:pPr>
        <w:pStyle w:val="BodyText"/>
      </w:pPr>
      <w:r w:rsidRPr="006575BA">
        <w:lastRenderedPageBreak/>
        <w:t xml:space="preserve">Previous waves of technological advance, </w:t>
      </w:r>
      <w:r w:rsidR="0040245F">
        <w:t>for example</w:t>
      </w:r>
      <w:r w:rsidRPr="006575BA">
        <w:t xml:space="preserve"> during the Industrial Revolution, have tended to ultimately improve both labour productivity and employment (via the creation of new markets and opportunities that did not formerly exist). This suggests that current technological change may creat</w:t>
      </w:r>
      <w:r w:rsidR="00B15DAA">
        <w:t>e</w:t>
      </w:r>
      <w:r w:rsidRPr="006575BA">
        <w:t xml:space="preserve"> as many or more jobs than it destroys. This idea is supported by a number of theoretical and applied analyses. For example, in a theoretical framework, </w:t>
      </w:r>
      <w:proofErr w:type="spellStart"/>
      <w:r w:rsidRPr="006575BA">
        <w:t>Acemoglu</w:t>
      </w:r>
      <w:proofErr w:type="spellEnd"/>
      <w:r w:rsidRPr="006575BA">
        <w:t xml:space="preserve"> </w:t>
      </w:r>
      <w:r w:rsidR="0042493A" w:rsidRPr="0042493A">
        <w:rPr>
          <w:szCs w:val="24"/>
        </w:rPr>
        <w:t>(2011)</w:t>
      </w:r>
      <w:r w:rsidR="0042493A">
        <w:t xml:space="preserve"> </w:t>
      </w:r>
      <w:r w:rsidRPr="006575BA">
        <w:t>finds that the short</w:t>
      </w:r>
      <w:r w:rsidR="00E27540">
        <w:noBreakHyphen/>
      </w:r>
      <w:r w:rsidRPr="006575BA">
        <w:t>run and long</w:t>
      </w:r>
      <w:r w:rsidR="009C0C77">
        <w:noBreakHyphen/>
      </w:r>
      <w:r w:rsidRPr="006575BA">
        <w:t xml:space="preserve">run impacts of technological advances on wages typically differ and that there is no tension between technological changes </w:t>
      </w:r>
      <w:r w:rsidR="00F20503">
        <w:t xml:space="preserve">that </w:t>
      </w:r>
      <w:r w:rsidRPr="006575BA">
        <w:t>increase wages and technology being strongly labour</w:t>
      </w:r>
      <w:r w:rsidR="00EE434A">
        <w:noBreakHyphen/>
      </w:r>
      <w:r w:rsidRPr="006575BA">
        <w:t>saving. Recent evidence on the impact of robotics on employment reaches similar conclusions. In a study of 17 countries over 199</w:t>
      </w:r>
      <w:r w:rsidR="0042493A">
        <w:t xml:space="preserve">3 to 2007, </w:t>
      </w:r>
      <w:proofErr w:type="spellStart"/>
      <w:r w:rsidR="0042493A">
        <w:t>Graetz</w:t>
      </w:r>
      <w:proofErr w:type="spellEnd"/>
      <w:r w:rsidR="0042493A">
        <w:t xml:space="preserve"> and Michaels </w:t>
      </w:r>
      <w:r w:rsidR="0042493A" w:rsidRPr="0042493A">
        <w:t>(2015)</w:t>
      </w:r>
      <w:r w:rsidRPr="006575BA">
        <w:t xml:space="preserve"> find that the use of robots increases growth, wages, and total factor productivity</w:t>
      </w:r>
      <w:r w:rsidR="0040245F">
        <w:t xml:space="preserve">. However, there can be distributional effects, and they found </w:t>
      </w:r>
      <w:r w:rsidRPr="006575BA">
        <w:t>that growth in hours worked and wages of low</w:t>
      </w:r>
      <w:r w:rsidR="00EE434A">
        <w:noBreakHyphen/>
      </w:r>
      <w:r w:rsidRPr="006575BA">
        <w:t xml:space="preserve"> and middle</w:t>
      </w:r>
      <w:r w:rsidR="00EE434A">
        <w:noBreakHyphen/>
      </w:r>
      <w:r w:rsidRPr="006575BA">
        <w:t>skilled workers may have suffered from ‘robot densification’. In a similar vein to the impacts of globalisation, further technological advance (in areas such as robotics and artificial intelligence) would seem to imply structural changes in employment composition towards areas of the economy that are comparatively high</w:t>
      </w:r>
      <w:r w:rsidR="00290F55">
        <w:noBreakHyphen/>
      </w:r>
      <w:r w:rsidRPr="006575BA">
        <w:t>skilled, or that require innately human traits like adaptability, creativity and common sense</w:t>
      </w:r>
      <w:r w:rsidR="00663619">
        <w:t xml:space="preserve"> </w:t>
      </w:r>
      <w:r w:rsidR="00663619" w:rsidRPr="00663619">
        <w:rPr>
          <w:szCs w:val="24"/>
        </w:rPr>
        <w:t>(Frey and Osborne 2013)</w:t>
      </w:r>
      <w:r w:rsidRPr="006575BA">
        <w:t>.</w:t>
      </w:r>
      <w:r w:rsidR="00B90F7F" w:rsidRPr="00E6296D">
        <w:rPr>
          <w:rStyle w:val="FootnoteReference"/>
        </w:rPr>
        <w:footnoteReference w:id="28"/>
      </w:r>
      <w:r w:rsidR="00B90F7F">
        <w:t xml:space="preserve"> </w:t>
      </w:r>
    </w:p>
    <w:p w14:paraId="1D0A701A" w14:textId="174B9219" w:rsidR="0040245F" w:rsidRDefault="00542030" w:rsidP="00B90F7F">
      <w:pPr>
        <w:pStyle w:val="BodyText"/>
      </w:pPr>
      <w:r>
        <w:t xml:space="preserve">Of course, </w:t>
      </w:r>
      <w:r w:rsidR="00B90F7F">
        <w:t xml:space="preserve">discussion of the impact of technology on the nature of work (including </w:t>
      </w:r>
      <w:r>
        <w:t>unemployment</w:t>
      </w:r>
      <w:r w:rsidR="00AD3444">
        <w:t>,</w:t>
      </w:r>
      <w:r w:rsidR="006330C5">
        <w:t xml:space="preserve"> but also the quality and quantity of work itself</w:t>
      </w:r>
      <w:r w:rsidR="00B90F7F">
        <w:t>)</w:t>
      </w:r>
      <w:r>
        <w:t xml:space="preserve"> is not new. However</w:t>
      </w:r>
      <w:r w:rsidR="005E09D9">
        <w:t>, recent concerns reflect a view (</w:t>
      </w:r>
      <w:r w:rsidR="0062595F">
        <w:t xml:space="preserve">which may or may not be </w:t>
      </w:r>
      <w:r w:rsidR="007F58DE">
        <w:t>subject to cognitive biases</w:t>
      </w:r>
      <w:r w:rsidR="005E09D9">
        <w:t>) that</w:t>
      </w:r>
      <w:r w:rsidR="007F58DE">
        <w:t xml:space="preserve"> </w:t>
      </w:r>
      <w:r>
        <w:t xml:space="preserve">individuals, firms, </w:t>
      </w:r>
      <w:r w:rsidR="0062595F">
        <w:t xml:space="preserve">entire </w:t>
      </w:r>
      <w:r>
        <w:t xml:space="preserve">regions, </w:t>
      </w:r>
      <w:r w:rsidR="005E09D9">
        <w:t>and indeed governments (vis</w:t>
      </w:r>
      <w:r w:rsidR="00EE434A">
        <w:noBreakHyphen/>
      </w:r>
      <w:r w:rsidR="005E09D9">
        <w:t>à</w:t>
      </w:r>
      <w:r w:rsidR="00EE434A">
        <w:noBreakHyphen/>
      </w:r>
      <w:r w:rsidR="005E09D9">
        <w:t xml:space="preserve">vis policy settings) </w:t>
      </w:r>
      <w:r w:rsidR="00404CCC">
        <w:t>are</w:t>
      </w:r>
      <w:r w:rsidR="005E09D9">
        <w:t xml:space="preserve"> insufficient</w:t>
      </w:r>
      <w:r w:rsidR="00404CCC">
        <w:t>ly adaptable</w:t>
      </w:r>
      <w:r w:rsidR="005E09D9">
        <w:t xml:space="preserve"> </w:t>
      </w:r>
      <w:r w:rsidR="00404CCC">
        <w:t>to</w:t>
      </w:r>
      <w:r w:rsidR="005E09D9">
        <w:t xml:space="preserve"> the </w:t>
      </w:r>
      <w:r w:rsidR="007F58DE">
        <w:t xml:space="preserve">pace of </w:t>
      </w:r>
      <w:r w:rsidR="0062595F">
        <w:t xml:space="preserve">current </w:t>
      </w:r>
      <w:r w:rsidR="007F58DE">
        <w:t>technological change</w:t>
      </w:r>
      <w:r w:rsidR="00404CCC">
        <w:t>.</w:t>
      </w:r>
      <w:r w:rsidR="007F58DE">
        <w:t xml:space="preserve"> </w:t>
      </w:r>
      <w:r w:rsidR="00404CCC">
        <w:t>Some see th</w:t>
      </w:r>
      <w:r w:rsidR="00AD3444">
        <w:t>is change</w:t>
      </w:r>
      <w:r w:rsidR="00404CCC">
        <w:t xml:space="preserve"> as </w:t>
      </w:r>
      <w:r w:rsidR="007F58DE">
        <w:t xml:space="preserve">greater than in the past </w:t>
      </w:r>
      <w:r w:rsidR="00404CCC">
        <w:t>and with the potential for</w:t>
      </w:r>
      <w:r w:rsidR="007F58DE">
        <w:t xml:space="preserve"> large unforeseen impacts </w:t>
      </w:r>
      <w:r>
        <w:t>(see</w:t>
      </w:r>
      <w:r w:rsidR="00404CCC">
        <w:t xml:space="preserve">, </w:t>
      </w:r>
      <w:r>
        <w:t>for example</w:t>
      </w:r>
      <w:r w:rsidR="00404CCC">
        <w:t>, the</w:t>
      </w:r>
      <w:r>
        <w:t xml:space="preserve"> discussion in</w:t>
      </w:r>
      <w:r w:rsidR="00D46125">
        <w:t xml:space="preserve"> </w:t>
      </w:r>
      <w:proofErr w:type="spellStart"/>
      <w:r w:rsidR="009C0C77">
        <w:t>Hajkowicz</w:t>
      </w:r>
      <w:proofErr w:type="spellEnd"/>
      <w:r w:rsidR="009C0C77">
        <w:t xml:space="preserve"> et al.</w:t>
      </w:r>
      <w:r w:rsidR="00D46125">
        <w:t xml:space="preserve"> </w:t>
      </w:r>
      <w:r w:rsidR="00D46125" w:rsidRPr="00D46125">
        <w:rPr>
          <w:szCs w:val="24"/>
        </w:rPr>
        <w:t>(2016)</w:t>
      </w:r>
      <w:r w:rsidR="00D46125">
        <w:t>)</w:t>
      </w:r>
      <w:r>
        <w:t xml:space="preserve">. </w:t>
      </w:r>
    </w:p>
    <w:p w14:paraId="1D0A701B" w14:textId="7D609FF8" w:rsidR="00667E39" w:rsidRDefault="007F58DE" w:rsidP="00667E39">
      <w:pPr>
        <w:pStyle w:val="BodyText"/>
      </w:pPr>
      <w:r>
        <w:t>While the extent of this mismatch cannot be known with precision,</w:t>
      </w:r>
      <w:r w:rsidR="00667E39">
        <w:t xml:space="preserve"> there </w:t>
      </w:r>
      <w:r>
        <w:t xml:space="preserve">is likely to be, as ever, </w:t>
      </w:r>
      <w:r w:rsidR="00667E39">
        <w:t xml:space="preserve">some degree of frictional unemployment arising from reductions in the costs of capital </w:t>
      </w:r>
      <w:r>
        <w:t>(</w:t>
      </w:r>
      <w:r w:rsidR="009C0C77">
        <w:t xml:space="preserve">relative </w:t>
      </w:r>
      <w:r>
        <w:t xml:space="preserve">to wages) </w:t>
      </w:r>
      <w:r w:rsidR="00667E39">
        <w:t xml:space="preserve">over </w:t>
      </w:r>
      <w:r w:rsidR="00EA4B6B">
        <w:t>time. Any</w:t>
      </w:r>
      <w:r>
        <w:t xml:space="preserve"> faster pace of technological change could</w:t>
      </w:r>
      <w:r w:rsidR="00EA4B6B">
        <w:t>, however,</w:t>
      </w:r>
      <w:r>
        <w:t xml:space="preserve"> risk </w:t>
      </w:r>
      <w:r w:rsidR="00EA4B6B">
        <w:t xml:space="preserve">frictional </w:t>
      </w:r>
      <w:r w:rsidR="00667E39" w:rsidRPr="002D71C0">
        <w:t>unemploy</w:t>
      </w:r>
      <w:r w:rsidR="00EA4B6B">
        <w:t>ment</w:t>
      </w:r>
      <w:r w:rsidR="009C0C77">
        <w:t xml:space="preserve"> </w:t>
      </w:r>
      <w:r w:rsidR="00EA4B6B">
        <w:t>transmuting to long</w:t>
      </w:r>
      <w:r w:rsidR="00EA4B6B">
        <w:noBreakHyphen/>
        <w:t xml:space="preserve">term </w:t>
      </w:r>
      <w:r w:rsidR="00667E39" w:rsidRPr="002D71C0">
        <w:t>unemploy</w:t>
      </w:r>
      <w:r w:rsidR="00EA4B6B">
        <w:t>ment</w:t>
      </w:r>
      <w:r>
        <w:t xml:space="preserve">. </w:t>
      </w:r>
      <w:r w:rsidR="00EA4B6B">
        <w:t>As indicated by past experience in Australia</w:t>
      </w:r>
      <w:r w:rsidR="00663619">
        <w:t xml:space="preserve"> during the </w:t>
      </w:r>
      <w:proofErr w:type="spellStart"/>
      <w:r w:rsidR="00663619">
        <w:t>1990s</w:t>
      </w:r>
      <w:proofErr w:type="spellEnd"/>
      <w:r w:rsidR="00663619">
        <w:t xml:space="preserve"> recession</w:t>
      </w:r>
      <w:r w:rsidR="00EA4B6B">
        <w:t xml:space="preserve">, </w:t>
      </w:r>
      <w:r w:rsidR="00D46125">
        <w:t>delayed</w:t>
      </w:r>
      <w:r w:rsidR="00EA4B6B">
        <w:t xml:space="preserve"> policy response (even in the absence of technological factors) </w:t>
      </w:r>
      <w:r>
        <w:t>heighten</w:t>
      </w:r>
      <w:r w:rsidR="0042493A">
        <w:t>s</w:t>
      </w:r>
      <w:r w:rsidR="00EA4B6B">
        <w:t xml:space="preserve"> the risk of</w:t>
      </w:r>
      <w:r w:rsidR="00667E39" w:rsidRPr="002D71C0">
        <w:t xml:space="preserve"> lasting damage to </w:t>
      </w:r>
      <w:r w:rsidR="00EA4B6B">
        <w:t xml:space="preserve">individuals’ </w:t>
      </w:r>
      <w:r w:rsidR="00667E39" w:rsidRPr="002D71C0">
        <w:t xml:space="preserve">job prospects, reducing </w:t>
      </w:r>
      <w:r w:rsidR="00EA4B6B">
        <w:t>the</w:t>
      </w:r>
      <w:r w:rsidR="00EA4B6B" w:rsidRPr="002D71C0">
        <w:t xml:space="preserve"> </w:t>
      </w:r>
      <w:r w:rsidR="00667E39" w:rsidRPr="002D71C0">
        <w:t>probability of being matched to a vacant job</w:t>
      </w:r>
      <w:r w:rsidR="00D46125">
        <w:t xml:space="preserve"> </w:t>
      </w:r>
      <w:r w:rsidR="00D46125" w:rsidRPr="00D46125">
        <w:rPr>
          <w:szCs w:val="24"/>
        </w:rPr>
        <w:t xml:space="preserve">(Chapman and </w:t>
      </w:r>
      <w:proofErr w:type="spellStart"/>
      <w:r w:rsidR="00D46125" w:rsidRPr="00D46125">
        <w:rPr>
          <w:szCs w:val="24"/>
        </w:rPr>
        <w:t>Kapuscinski</w:t>
      </w:r>
      <w:proofErr w:type="spellEnd"/>
      <w:r w:rsidR="00D46125" w:rsidRPr="00D46125">
        <w:rPr>
          <w:szCs w:val="24"/>
        </w:rPr>
        <w:t> 2000)</w:t>
      </w:r>
      <w:r w:rsidR="00667E39" w:rsidRPr="002D71C0">
        <w:t>. Workers unemployed for longer might see a deterioration of</w:t>
      </w:r>
      <w:r w:rsidR="0042493A">
        <w:t xml:space="preserve"> their skills and productivity </w:t>
      </w:r>
      <w:r w:rsidR="0042493A" w:rsidRPr="0042493A">
        <w:rPr>
          <w:szCs w:val="24"/>
        </w:rPr>
        <w:t>(</w:t>
      </w:r>
      <w:proofErr w:type="spellStart"/>
      <w:r w:rsidR="0042493A" w:rsidRPr="0042493A">
        <w:rPr>
          <w:szCs w:val="24"/>
        </w:rPr>
        <w:t>Ljungqvist</w:t>
      </w:r>
      <w:proofErr w:type="spellEnd"/>
      <w:r w:rsidR="0042493A" w:rsidRPr="0042493A">
        <w:rPr>
          <w:szCs w:val="24"/>
        </w:rPr>
        <w:t xml:space="preserve"> and Sargent 1998; </w:t>
      </w:r>
      <w:proofErr w:type="spellStart"/>
      <w:r w:rsidR="0042493A" w:rsidRPr="0042493A">
        <w:rPr>
          <w:szCs w:val="24"/>
        </w:rPr>
        <w:t>Pissarides</w:t>
      </w:r>
      <w:proofErr w:type="spellEnd"/>
      <w:r w:rsidR="0042493A" w:rsidRPr="0042493A">
        <w:rPr>
          <w:szCs w:val="24"/>
        </w:rPr>
        <w:t> 1992)</w:t>
      </w:r>
      <w:r w:rsidR="00667E39" w:rsidRPr="002D71C0">
        <w:t xml:space="preserve"> or be regarded as less employable, reducing their chances</w:t>
      </w:r>
      <w:r w:rsidR="0042493A">
        <w:t xml:space="preserve"> of finding </w:t>
      </w:r>
      <w:r w:rsidR="00D46125">
        <w:t xml:space="preserve">further </w:t>
      </w:r>
      <w:r w:rsidR="0042493A">
        <w:t xml:space="preserve">employment </w:t>
      </w:r>
      <w:r w:rsidR="0042493A" w:rsidRPr="0042493A">
        <w:rPr>
          <w:szCs w:val="24"/>
        </w:rPr>
        <w:t>(Blanchard and Diamond 1994)</w:t>
      </w:r>
      <w:r w:rsidR="00667E39" w:rsidRPr="002D71C0">
        <w:t>.</w:t>
      </w:r>
      <w:r w:rsidR="00B6657E">
        <w:t xml:space="preserve"> This emphasises the need for policy settings to ensure that such workers are able to </w:t>
      </w:r>
      <w:r w:rsidR="0040245F">
        <w:t>have their skills recognised and be able to transfer them to new fields of work (see chapter</w:t>
      </w:r>
      <w:r w:rsidR="002055CB">
        <w:t> </w:t>
      </w:r>
      <w:r w:rsidR="00E633E9">
        <w:t>3</w:t>
      </w:r>
      <w:r w:rsidR="008265A6">
        <w:t xml:space="preserve"> in the main report</w:t>
      </w:r>
      <w:r w:rsidR="00E633E9">
        <w:t xml:space="preserve"> </w:t>
      </w:r>
      <w:r w:rsidR="002055CB">
        <w:t xml:space="preserve">and </w:t>
      </w:r>
      <w:r w:rsidR="00E27540">
        <w:t>supporting paper</w:t>
      </w:r>
      <w:r w:rsidR="00663619">
        <w:t> </w:t>
      </w:r>
      <w:r w:rsidR="00E633E9">
        <w:t>8</w:t>
      </w:r>
      <w:r w:rsidR="0040245F">
        <w:t>)</w:t>
      </w:r>
      <w:r w:rsidR="00B6657E" w:rsidRPr="00663619">
        <w:t>.</w:t>
      </w:r>
      <w:r w:rsidR="00B6657E">
        <w:t xml:space="preserve"> </w:t>
      </w:r>
    </w:p>
    <w:p w14:paraId="1D0A701C" w14:textId="77777777" w:rsidR="008E12D0" w:rsidRPr="004E3B94" w:rsidRDefault="008E12D0" w:rsidP="008E12D0">
      <w:pPr>
        <w:pStyle w:val="BoxSpaceAboveElement"/>
        <w:keepLines/>
        <w:rPr>
          <w:vanish w:val="0"/>
          <w:color w:val="auto"/>
        </w:rPr>
      </w:pPr>
    </w:p>
    <w:tbl>
      <w:tblPr>
        <w:tblW w:w="4814" w:type="pct"/>
        <w:tblInd w:w="170"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DA091E" w:rsidRPr="00DA091E" w14:paraId="1D0A701F" w14:textId="77777777" w:rsidTr="00DA091E">
        <w:trPr>
          <w:cantSplit/>
          <w:tblHeader/>
        </w:trPr>
        <w:tc>
          <w:tcPr>
            <w:tcW w:w="5000" w:type="pct"/>
            <w:tcBorders>
              <w:top w:val="single" w:sz="6" w:space="0" w:color="265A9A" w:themeColor="accent2"/>
              <w:left w:val="nil"/>
              <w:bottom w:val="nil"/>
              <w:right w:val="nil"/>
            </w:tcBorders>
            <w:shd w:val="clear" w:color="auto" w:fill="E1EBF5"/>
            <w:tcMar>
              <w:left w:w="170" w:type="dxa"/>
              <w:right w:w="170" w:type="dxa"/>
            </w:tcMar>
          </w:tcPr>
          <w:p w14:paraId="1D0A701D" w14:textId="77777777" w:rsidR="008E12D0" w:rsidRPr="00DA091E" w:rsidRDefault="00F257A1" w:rsidP="00F746C6">
            <w:pPr>
              <w:pStyle w:val="FindingTitle"/>
              <w:spacing w:before="120"/>
              <w:rPr>
                <w:noProof/>
              </w:rPr>
            </w:pPr>
            <w:r w:rsidRPr="00DA091E">
              <w:t>conclusion 1.9</w:t>
            </w:r>
          </w:p>
          <w:p w14:paraId="1D0A701E" w14:textId="77777777" w:rsidR="008E12D0" w:rsidRPr="00DA091E" w:rsidRDefault="00864250" w:rsidP="00864250">
            <w:pPr>
              <w:pStyle w:val="BodyText"/>
              <w:spacing w:before="60" w:line="260" w:lineRule="atLeast"/>
            </w:pPr>
            <w:r w:rsidRPr="00DA091E">
              <w:rPr>
                <w:rFonts w:ascii="Arial" w:hAnsi="Arial" w:cs="Arial"/>
                <w:sz w:val="20"/>
              </w:rPr>
              <w:t>T</w:t>
            </w:r>
            <w:r w:rsidR="00F257A1" w:rsidRPr="00DA091E">
              <w:rPr>
                <w:rFonts w:ascii="Arial" w:hAnsi="Arial" w:cs="Arial"/>
                <w:sz w:val="20"/>
              </w:rPr>
              <w:t>echnology creates jobs at the same time as it makes others redundant. To the extent that technological shifts</w:t>
            </w:r>
            <w:r w:rsidRPr="00DA091E">
              <w:rPr>
                <w:rFonts w:ascii="Arial" w:hAnsi="Arial" w:cs="Arial"/>
                <w:sz w:val="20"/>
              </w:rPr>
              <w:t xml:space="preserve"> require more advanced or new skills from workers, there is a role for government to ensure education and labour market policy settings enable upskilling and retraining.</w:t>
            </w:r>
          </w:p>
        </w:tc>
      </w:tr>
      <w:tr w:rsidR="00DA091E" w:rsidRPr="00DA091E" w14:paraId="1D0A7021" w14:textId="77777777" w:rsidTr="00DA091E">
        <w:trPr>
          <w:cantSplit/>
          <w:tblHeader/>
        </w:trPr>
        <w:tc>
          <w:tcPr>
            <w:tcW w:w="5000" w:type="pct"/>
            <w:tcBorders>
              <w:top w:val="nil"/>
              <w:left w:val="nil"/>
              <w:bottom w:val="single" w:sz="6" w:space="0" w:color="265A9A" w:themeColor="accent2"/>
              <w:right w:val="nil"/>
            </w:tcBorders>
            <w:shd w:val="clear" w:color="auto" w:fill="E1EBF5"/>
            <w:tcMar>
              <w:left w:w="170" w:type="dxa"/>
              <w:right w:w="170" w:type="dxa"/>
            </w:tcMar>
          </w:tcPr>
          <w:p w14:paraId="1D0A7020" w14:textId="77777777" w:rsidR="008E12D0" w:rsidRPr="00DA091E" w:rsidRDefault="008E12D0" w:rsidP="00F746C6">
            <w:pPr>
              <w:pStyle w:val="Space"/>
              <w:keepLines/>
            </w:pPr>
          </w:p>
        </w:tc>
      </w:tr>
      <w:tr w:rsidR="008E12D0" w:rsidRPr="000863A5" w14:paraId="1D0A7023" w14:textId="77777777" w:rsidTr="00DA091E">
        <w:trPr>
          <w:cantSplit/>
          <w:tblHeader/>
        </w:trPr>
        <w:tc>
          <w:tcPr>
            <w:tcW w:w="5000" w:type="pct"/>
            <w:tcBorders>
              <w:top w:val="single" w:sz="6" w:space="0" w:color="265A9A" w:themeColor="accent2"/>
              <w:left w:val="nil"/>
              <w:bottom w:val="nil"/>
              <w:right w:val="nil"/>
            </w:tcBorders>
            <w:tcMar>
              <w:left w:w="170" w:type="dxa"/>
              <w:right w:w="170" w:type="dxa"/>
            </w:tcMar>
          </w:tcPr>
          <w:p w14:paraId="1D0A7022" w14:textId="77777777" w:rsidR="008E12D0" w:rsidRPr="00626D32" w:rsidRDefault="008E12D0" w:rsidP="00F746C6">
            <w:pPr>
              <w:pStyle w:val="BoxSpaceBelow"/>
              <w:keepLines/>
            </w:pPr>
          </w:p>
        </w:tc>
      </w:tr>
    </w:tbl>
    <w:p w14:paraId="1D0A7024" w14:textId="77777777" w:rsidR="00E73F9C" w:rsidRPr="00522328" w:rsidRDefault="00E73F9C" w:rsidP="00E73F9C">
      <w:pPr>
        <w:pStyle w:val="Heading3"/>
      </w:pPr>
      <w:r w:rsidRPr="00522328">
        <w:t>Labour’s share of income</w:t>
      </w:r>
    </w:p>
    <w:p w14:paraId="1D0A7025" w14:textId="5287A772" w:rsidR="00691837" w:rsidRDefault="0033378A" w:rsidP="00667A8E">
      <w:pPr>
        <w:pStyle w:val="BodyText"/>
      </w:pPr>
      <w:r>
        <w:t xml:space="preserve">Over the </w:t>
      </w:r>
      <w:r w:rsidR="00F55E79">
        <w:t xml:space="preserve">course of the </w:t>
      </w:r>
      <w:proofErr w:type="spellStart"/>
      <w:r w:rsidR="00F55E79">
        <w:t>1990s</w:t>
      </w:r>
      <w:proofErr w:type="spellEnd"/>
      <w:r w:rsidR="00F55E79">
        <w:t xml:space="preserve"> and </w:t>
      </w:r>
      <w:proofErr w:type="spellStart"/>
      <w:r w:rsidR="00F55E79">
        <w:t>2000s</w:t>
      </w:r>
      <w:proofErr w:type="spellEnd"/>
      <w:r>
        <w:t xml:space="preserve">, the </w:t>
      </w:r>
      <w:r w:rsidRPr="00642250">
        <w:rPr>
          <w:i/>
        </w:rPr>
        <w:t>aggregate</w:t>
      </w:r>
      <w:r>
        <w:t xml:space="preserve"> </w:t>
      </w:r>
      <w:r w:rsidR="00642250">
        <w:t xml:space="preserve">labour </w:t>
      </w:r>
      <w:r w:rsidR="00857712">
        <w:t xml:space="preserve">income share (LIS) </w:t>
      </w:r>
      <w:r w:rsidR="00642250">
        <w:t>fell by</w:t>
      </w:r>
      <w:r w:rsidR="00772387">
        <w:t xml:space="preserve"> </w:t>
      </w:r>
      <w:r w:rsidR="00C82E28">
        <w:t>about</w:t>
      </w:r>
      <w:r w:rsidR="00B6657E">
        <w:t xml:space="preserve"> 4 </w:t>
      </w:r>
      <w:r w:rsidR="00642250">
        <w:t>percentage points</w:t>
      </w:r>
      <w:r w:rsidR="00F55E79">
        <w:t xml:space="preserve">, with most of this occurring during </w:t>
      </w:r>
      <w:r w:rsidR="002A3303">
        <w:t>the</w:t>
      </w:r>
      <w:r w:rsidR="00F55E79">
        <w:t xml:space="preserve"> </w:t>
      </w:r>
      <w:proofErr w:type="spellStart"/>
      <w:r w:rsidR="00F55E79">
        <w:t>2000s</w:t>
      </w:r>
      <w:proofErr w:type="spellEnd"/>
      <w:r w:rsidR="00642250">
        <w:t>.</w:t>
      </w:r>
      <w:r w:rsidR="00642250" w:rsidRPr="00E6296D">
        <w:rPr>
          <w:rStyle w:val="FootnoteReference"/>
        </w:rPr>
        <w:footnoteReference w:id="29"/>
      </w:r>
      <w:r w:rsidR="00642250">
        <w:t xml:space="preserve"> This implies that the share of income accruing to capital owners in the form of profits rose by a commensurate amount. </w:t>
      </w:r>
      <w:r w:rsidR="002A3303">
        <w:t xml:space="preserve">This has given rise to some degree of concern about </w:t>
      </w:r>
      <w:r w:rsidR="004A3333">
        <w:t xml:space="preserve">a </w:t>
      </w:r>
      <w:r w:rsidR="002A3303">
        <w:t xml:space="preserve">‘decoupling’ of </w:t>
      </w:r>
      <w:r w:rsidR="00691837">
        <w:t xml:space="preserve">real </w:t>
      </w:r>
      <w:r w:rsidR="002A3303">
        <w:t>wages and labour productivity</w:t>
      </w:r>
      <w:r w:rsidR="00A3040D">
        <w:t xml:space="preserve">, for example in </w:t>
      </w:r>
      <w:r w:rsidR="00A5662D">
        <w:t xml:space="preserve">Cowgill </w:t>
      </w:r>
      <w:r w:rsidR="00A5662D" w:rsidRPr="00A5662D">
        <w:t>(2013)</w:t>
      </w:r>
      <w:r w:rsidR="00A3040D">
        <w:t>, and most recently</w:t>
      </w:r>
      <w:r w:rsidR="00857712">
        <w:t xml:space="preserve"> in</w:t>
      </w:r>
      <w:r w:rsidR="00A5662D">
        <w:t xml:space="preserve"> Cooney </w:t>
      </w:r>
      <w:r w:rsidR="00A5662D" w:rsidRPr="00A5662D">
        <w:t>(2016)</w:t>
      </w:r>
      <w:r w:rsidR="00A3040D">
        <w:t xml:space="preserve">, who both examined trends in the </w:t>
      </w:r>
      <w:r w:rsidR="00857712">
        <w:t>LIS</w:t>
      </w:r>
      <w:r w:rsidR="00A3040D">
        <w:t xml:space="preserve"> up until around the peak of the mining boom. However, income shares</w:t>
      </w:r>
      <w:r w:rsidR="006F644A">
        <w:t>, and their interpretation,</w:t>
      </w:r>
      <w:r w:rsidR="00A3040D" w:rsidRPr="002A3303">
        <w:t xml:space="preserve"> can be skewed by structural changes in the economy, particularly when </w:t>
      </w:r>
      <w:r w:rsidR="00A3040D">
        <w:t>they occur quickly</w:t>
      </w:r>
      <w:r w:rsidR="00A3040D" w:rsidRPr="002A3303">
        <w:t xml:space="preserve"> and on a large scale, as </w:t>
      </w:r>
      <w:r w:rsidR="00A3040D">
        <w:t>they</w:t>
      </w:r>
      <w:r w:rsidR="00A3040D" w:rsidRPr="002A3303">
        <w:t xml:space="preserve"> did during the boom</w:t>
      </w:r>
      <w:r w:rsidR="00F65C26">
        <w:t xml:space="preserve"> (box 3)</w:t>
      </w:r>
      <w:r w:rsidR="00A3040D" w:rsidRPr="002A3303">
        <w:t>.</w:t>
      </w:r>
      <w:r w:rsidR="00A3040D">
        <w:t xml:space="preserve"> </w:t>
      </w:r>
      <w:r w:rsidR="00677E8A">
        <w:t>And the LIS has risen in recen</w:t>
      </w:r>
      <w:r w:rsidR="00392986">
        <w:t>t years to be close to its long</w:t>
      </w:r>
      <w:r w:rsidR="00392986">
        <w:noBreakHyphen/>
      </w:r>
      <w:r w:rsidR="00677E8A">
        <w:t xml:space="preserve">term average. </w:t>
      </w:r>
    </w:p>
    <w:p w14:paraId="1D0A7026" w14:textId="428E3572" w:rsidR="00042209" w:rsidRDefault="00A3040D" w:rsidP="00A02E1D">
      <w:pPr>
        <w:pStyle w:val="BodyText"/>
      </w:pPr>
      <w:r>
        <w:t>As noted in Parham (2013), the period of apparent decoupling evident in aggregate measures was almost entirely driven by additional ca</w:t>
      </w:r>
      <w:r w:rsidR="00AD3444">
        <w:t>pital income from strong mining</w:t>
      </w:r>
      <w:r w:rsidR="00AD3444">
        <w:noBreakHyphen/>
      </w:r>
      <w:r>
        <w:t xml:space="preserve">related investment over the </w:t>
      </w:r>
      <w:proofErr w:type="spellStart"/>
      <w:r>
        <w:t>2000s</w:t>
      </w:r>
      <w:proofErr w:type="spellEnd"/>
      <w:r>
        <w:t xml:space="preserve">, </w:t>
      </w:r>
      <w:r w:rsidR="009E2E83">
        <w:t>as opposed to</w:t>
      </w:r>
      <w:r>
        <w:t xml:space="preserve"> lower labour incomes. </w:t>
      </w:r>
      <w:r w:rsidR="00691837">
        <w:t>Updated</w:t>
      </w:r>
      <w:r>
        <w:t xml:space="preserve"> analysis reveals that </w:t>
      </w:r>
      <w:r w:rsidR="00691837">
        <w:t>in the period since (</w:t>
      </w:r>
      <w:r w:rsidR="00857712">
        <w:t>to 2016</w:t>
      </w:r>
      <w:r w:rsidR="00691837">
        <w:t xml:space="preserve">), </w:t>
      </w:r>
      <w:r w:rsidR="00857712">
        <w:t xml:space="preserve">the </w:t>
      </w:r>
      <w:r w:rsidR="00857712" w:rsidRPr="00857712">
        <w:rPr>
          <w:i/>
        </w:rPr>
        <w:t>aggregate</w:t>
      </w:r>
      <w:r w:rsidR="00857712">
        <w:t xml:space="preserve"> LIS</w:t>
      </w:r>
      <w:r w:rsidR="00691837">
        <w:t xml:space="preserve"> has strongly</w:t>
      </w:r>
      <w:r w:rsidR="00857712">
        <w:t xml:space="preserve"> reversed its downward trend. </w:t>
      </w:r>
      <w:r w:rsidR="009E2E83">
        <w:t>Moreover,</w:t>
      </w:r>
      <w:r w:rsidR="00D824F3" w:rsidRPr="00D824F3">
        <w:t xml:space="preserve"> </w:t>
      </w:r>
      <w:r w:rsidR="00677E8A">
        <w:t>excluding</w:t>
      </w:r>
      <w:r w:rsidR="00D824F3" w:rsidRPr="00D824F3">
        <w:t xml:space="preserve"> the mining </w:t>
      </w:r>
      <w:r w:rsidR="00857712">
        <w:t>industry</w:t>
      </w:r>
      <w:r w:rsidR="00D824F3" w:rsidRPr="00D824F3">
        <w:t xml:space="preserve">, the LIS has </w:t>
      </w:r>
      <w:r w:rsidR="009E2E83">
        <w:t>on average</w:t>
      </w:r>
      <w:r w:rsidR="00CF0E9C">
        <w:t xml:space="preserve"> been flat (figure </w:t>
      </w:r>
      <w:r w:rsidR="00A5662D">
        <w:t>1</w:t>
      </w:r>
      <w:r w:rsidR="00CF0E9C">
        <w:t>5</w:t>
      </w:r>
      <w:r w:rsidR="009E2E83">
        <w:t>, panel</w:t>
      </w:r>
      <w:r w:rsidR="00B15C33">
        <w:t> </w:t>
      </w:r>
      <w:r w:rsidR="009E2E83">
        <w:t>b</w:t>
      </w:r>
      <w:r w:rsidR="00D824F3">
        <w:t>)</w:t>
      </w:r>
      <w:r w:rsidR="00691837">
        <w:t xml:space="preserve">, </w:t>
      </w:r>
      <w:r w:rsidR="009E2E83">
        <w:t xml:space="preserve">and </w:t>
      </w:r>
      <w:r w:rsidR="00857712">
        <w:t xml:space="preserve">actually </w:t>
      </w:r>
      <w:r w:rsidR="009E2E83">
        <w:t>rose</w:t>
      </w:r>
      <w:r w:rsidR="00857712">
        <w:t xml:space="preserve"> slightly over the period</w:t>
      </w:r>
      <w:r w:rsidR="009E2E83">
        <w:t xml:space="preserve"> 2010</w:t>
      </w:r>
      <w:r w:rsidR="00EE434A">
        <w:t>–</w:t>
      </w:r>
      <w:r w:rsidR="009E2E83">
        <w:t>16</w:t>
      </w:r>
      <w:r w:rsidR="00D824F3">
        <w:t>.</w:t>
      </w:r>
      <w:r w:rsidR="00F65C26">
        <w:t xml:space="preserve"> </w:t>
      </w:r>
    </w:p>
    <w:p w14:paraId="76317632" w14:textId="465451E0" w:rsidR="00A1528C" w:rsidRDefault="00A1528C" w:rsidP="00A02E1D">
      <w:pPr>
        <w:pStyle w:val="BodyText"/>
      </w:pPr>
      <w:r>
        <w:t>A shift</w:t>
      </w:r>
      <w:r>
        <w:noBreakHyphen/>
        <w:t>share decomposition of the LIS also confirms that mining has overwhelmingly contributed to its movements, both on the up</w:t>
      </w:r>
      <w:r>
        <w:noBreakHyphen/>
        <w:t xml:space="preserve"> and downside of the boom. This reflects the shift in the composition of economic activity back to sectors of the economy that are less capital intensive, and thereby have higher labour income shares (figure 16). The decomposition also suggests that recent improvements in the LIS were driven by </w:t>
      </w:r>
      <w:r w:rsidRPr="006F644A">
        <w:rPr>
          <w:i/>
        </w:rPr>
        <w:t>within</w:t>
      </w:r>
      <w:r>
        <w:noBreakHyphen/>
        <w:t xml:space="preserve">industry growth in the majority of industries. </w:t>
      </w:r>
    </w:p>
    <w:p w14:paraId="1D0A7027" w14:textId="77777777" w:rsidR="00803ABE" w:rsidRDefault="00803ABE" w:rsidP="006D078E">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803ABE" w14:paraId="1D0A702A" w14:textId="77777777" w:rsidTr="006D078E">
        <w:trPr>
          <w:tblHeader/>
        </w:trPr>
        <w:tc>
          <w:tcPr>
            <w:tcW w:w="8771" w:type="dxa"/>
            <w:tcBorders>
              <w:top w:val="single" w:sz="6" w:space="0" w:color="78A22F"/>
              <w:left w:val="nil"/>
              <w:bottom w:val="nil"/>
              <w:right w:val="nil"/>
            </w:tcBorders>
            <w:shd w:val="clear" w:color="auto" w:fill="auto"/>
          </w:tcPr>
          <w:p w14:paraId="1D0A7028" w14:textId="77777777" w:rsidR="00803ABE" w:rsidRDefault="00803ABE" w:rsidP="006D078E">
            <w:pPr>
              <w:pStyle w:val="FigureTitle"/>
            </w:pPr>
            <w:r w:rsidRPr="00784A05">
              <w:rPr>
                <w:b w:val="0"/>
              </w:rPr>
              <w:t xml:space="preserve">Figure </w:t>
            </w:r>
            <w:r w:rsidR="00497B26">
              <w:rPr>
                <w:b w:val="0"/>
              </w:rPr>
              <w:t>1</w:t>
            </w:r>
            <w:r w:rsidR="001F4B4F">
              <w:rPr>
                <w:b w:val="0"/>
              </w:rPr>
              <w:t>5</w:t>
            </w:r>
            <w:r>
              <w:tab/>
            </w:r>
            <w:r w:rsidR="007E395B">
              <w:t>Labour</w:t>
            </w:r>
            <w:r w:rsidR="00691837">
              <w:t xml:space="preserve"> and capital income shares</w:t>
            </w:r>
          </w:p>
          <w:p w14:paraId="1D0A7029" w14:textId="77777777" w:rsidR="00803ABE" w:rsidRPr="00176D3F" w:rsidRDefault="00691837" w:rsidP="00691837">
            <w:pPr>
              <w:pStyle w:val="Subtitle"/>
            </w:pPr>
            <w:r>
              <w:t>Historical and recent perspectives</w:t>
            </w:r>
          </w:p>
        </w:tc>
      </w:tr>
      <w:tr w:rsidR="00803ABE" w14:paraId="1D0A7032" w14:textId="77777777" w:rsidTr="006D078E">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4252"/>
              <w:gridCol w:w="4252"/>
            </w:tblGrid>
            <w:tr w:rsidR="00587F37" w:rsidRPr="00B1465D" w14:paraId="1D0A702D" w14:textId="77777777" w:rsidTr="006D078E">
              <w:trPr>
                <w:tblHeader/>
                <w:jc w:val="center"/>
              </w:trPr>
              <w:tc>
                <w:tcPr>
                  <w:tcW w:w="2500" w:type="pct"/>
                  <w:tcBorders>
                    <w:top w:val="nil"/>
                    <w:bottom w:val="nil"/>
                  </w:tcBorders>
                </w:tcPr>
                <w:p w14:paraId="1D0A702B" w14:textId="77777777" w:rsidR="00587F37" w:rsidRPr="00B1465D" w:rsidRDefault="00691837" w:rsidP="00901C5F">
                  <w:pPr>
                    <w:pStyle w:val="Figure"/>
                    <w:spacing w:before="60" w:after="60"/>
                    <w:rPr>
                      <w:rFonts w:ascii="Arial" w:hAnsi="Arial" w:cs="Arial"/>
                      <w:sz w:val="18"/>
                      <w:szCs w:val="18"/>
                    </w:rPr>
                  </w:pPr>
                  <w:r>
                    <w:rPr>
                      <w:rFonts w:ascii="Arial" w:hAnsi="Arial" w:cs="Arial"/>
                      <w:sz w:val="18"/>
                      <w:szCs w:val="18"/>
                    </w:rPr>
                    <w:t>(a) Long</w:t>
                  </w:r>
                  <w:r>
                    <w:rPr>
                      <w:rFonts w:ascii="Arial" w:hAnsi="Arial" w:cs="Arial"/>
                      <w:sz w:val="18"/>
                      <w:szCs w:val="18"/>
                    </w:rPr>
                    <w:noBreakHyphen/>
                    <w:t>run</w:t>
                  </w:r>
                  <w:r w:rsidR="00802BF1">
                    <w:rPr>
                      <w:rFonts w:ascii="Arial" w:hAnsi="Arial" w:cs="Arial"/>
                      <w:sz w:val="18"/>
                      <w:szCs w:val="18"/>
                    </w:rPr>
                    <w:t xml:space="preserve"> </w:t>
                  </w:r>
                  <w:r w:rsidR="00587F37">
                    <w:rPr>
                      <w:rFonts w:ascii="Arial" w:hAnsi="Arial" w:cs="Arial"/>
                      <w:sz w:val="18"/>
                      <w:szCs w:val="18"/>
                    </w:rPr>
                    <w:t xml:space="preserve">income </w:t>
                  </w:r>
                  <w:proofErr w:type="spellStart"/>
                  <w:r w:rsidR="00587F37">
                    <w:rPr>
                      <w:rFonts w:ascii="Arial" w:hAnsi="Arial" w:cs="Arial"/>
                      <w:sz w:val="18"/>
                      <w:szCs w:val="18"/>
                    </w:rPr>
                    <w:t>shares</w:t>
                  </w:r>
                  <w:r w:rsidR="000274C1" w:rsidRPr="00DF197F">
                    <w:rPr>
                      <w:vertAlign w:val="superscript"/>
                    </w:rPr>
                    <w:t>a</w:t>
                  </w:r>
                  <w:proofErr w:type="spellEnd"/>
                </w:p>
              </w:tc>
              <w:tc>
                <w:tcPr>
                  <w:tcW w:w="2500" w:type="pct"/>
                  <w:tcBorders>
                    <w:top w:val="nil"/>
                    <w:bottom w:val="nil"/>
                  </w:tcBorders>
                </w:tcPr>
                <w:p w14:paraId="1D0A702C" w14:textId="77777777" w:rsidR="00587F37" w:rsidRPr="00B1465D" w:rsidRDefault="00691837" w:rsidP="000274C1">
                  <w:pPr>
                    <w:pStyle w:val="Figure"/>
                    <w:spacing w:before="60" w:after="60"/>
                    <w:rPr>
                      <w:rFonts w:ascii="Arial" w:hAnsi="Arial" w:cs="Arial"/>
                      <w:sz w:val="18"/>
                      <w:szCs w:val="18"/>
                    </w:rPr>
                  </w:pPr>
                  <w:r>
                    <w:rPr>
                      <w:rFonts w:ascii="Arial" w:hAnsi="Arial" w:cs="Arial"/>
                      <w:sz w:val="18"/>
                      <w:szCs w:val="18"/>
                    </w:rPr>
                    <w:t xml:space="preserve">(b) </w:t>
                  </w:r>
                  <w:r w:rsidR="00587F37">
                    <w:rPr>
                      <w:rFonts w:ascii="Arial" w:hAnsi="Arial" w:cs="Arial"/>
                      <w:sz w:val="18"/>
                      <w:szCs w:val="18"/>
                    </w:rPr>
                    <w:t xml:space="preserve">The impact of </w:t>
                  </w:r>
                  <w:r w:rsidR="008F75AD">
                    <w:rPr>
                      <w:rFonts w:ascii="Arial" w:hAnsi="Arial" w:cs="Arial"/>
                      <w:sz w:val="18"/>
                      <w:szCs w:val="18"/>
                    </w:rPr>
                    <w:t xml:space="preserve">the </w:t>
                  </w:r>
                  <w:r w:rsidR="00587F37">
                    <w:rPr>
                      <w:rFonts w:ascii="Arial" w:hAnsi="Arial" w:cs="Arial"/>
                      <w:sz w:val="18"/>
                      <w:szCs w:val="18"/>
                    </w:rPr>
                    <w:t>mining</w:t>
                  </w:r>
                  <w:r w:rsidR="0033378A">
                    <w:rPr>
                      <w:rFonts w:ascii="Arial" w:hAnsi="Arial" w:cs="Arial"/>
                      <w:sz w:val="18"/>
                      <w:szCs w:val="18"/>
                    </w:rPr>
                    <w:t xml:space="preserve"> </w:t>
                  </w:r>
                  <w:r w:rsidR="008F75AD">
                    <w:rPr>
                      <w:rFonts w:ascii="Arial" w:hAnsi="Arial" w:cs="Arial"/>
                      <w:sz w:val="18"/>
                      <w:szCs w:val="18"/>
                    </w:rPr>
                    <w:t xml:space="preserve">boom </w:t>
                  </w:r>
                  <w:r w:rsidR="0033378A">
                    <w:rPr>
                      <w:rFonts w:ascii="Arial" w:hAnsi="Arial" w:cs="Arial"/>
                      <w:sz w:val="18"/>
                      <w:szCs w:val="18"/>
                    </w:rPr>
                    <w:t xml:space="preserve">on the </w:t>
                  </w:r>
                  <w:proofErr w:type="spellStart"/>
                  <w:r w:rsidR="0033378A">
                    <w:rPr>
                      <w:rFonts w:ascii="Arial" w:hAnsi="Arial" w:cs="Arial"/>
                      <w:sz w:val="18"/>
                      <w:szCs w:val="18"/>
                    </w:rPr>
                    <w:t>LIS</w:t>
                  </w:r>
                  <w:r w:rsidR="000274C1">
                    <w:rPr>
                      <w:vertAlign w:val="superscript"/>
                    </w:rPr>
                    <w:t>b</w:t>
                  </w:r>
                  <w:proofErr w:type="spellEnd"/>
                </w:p>
              </w:tc>
            </w:tr>
            <w:tr w:rsidR="00587F37" w:rsidRPr="00B1465D" w14:paraId="1D0A7030" w14:textId="77777777" w:rsidTr="006D078E">
              <w:trPr>
                <w:tblHeader/>
                <w:jc w:val="center"/>
              </w:trPr>
              <w:tc>
                <w:tcPr>
                  <w:tcW w:w="2500" w:type="pct"/>
                  <w:tcBorders>
                    <w:top w:val="nil"/>
                    <w:bottom w:val="nil"/>
                  </w:tcBorders>
                </w:tcPr>
                <w:p w14:paraId="1D0A702E" w14:textId="77777777" w:rsidR="00587F37" w:rsidRPr="00B1465D" w:rsidRDefault="00587F37" w:rsidP="006D078E">
                  <w:pPr>
                    <w:pStyle w:val="Figure"/>
                    <w:spacing w:before="60" w:after="60"/>
                    <w:rPr>
                      <w:rFonts w:ascii="Arial" w:hAnsi="Arial" w:cs="Arial"/>
                      <w:sz w:val="18"/>
                      <w:szCs w:val="18"/>
                    </w:rPr>
                  </w:pPr>
                  <w:r>
                    <w:rPr>
                      <w:rFonts w:ascii="Arial" w:hAnsi="Arial" w:cs="Arial"/>
                      <w:noProof/>
                      <w:sz w:val="18"/>
                      <w:szCs w:val="18"/>
                    </w:rPr>
                    <w:drawing>
                      <wp:inline distT="0" distB="0" distL="0" distR="0" wp14:anchorId="1D0A71AA" wp14:editId="07855C4B">
                        <wp:extent cx="2667000" cy="2336800"/>
                        <wp:effectExtent l="0" t="0" r="0" b="6350"/>
                        <wp:docPr id="25" name="Picture 25" descr="This figure shows long run and recent trends in the labour income share across two panels. In panel (a), long run income shares of compensation of employees, gross operating surplus and gross mixed income are presented for the period 1960 to 2016. This highlights that, despite some deviation in the short term, the aggregate share of income accruing to labour has been relatively unchanged over the last 30 years. In panel (b), the impact of the mining sector on recent fluctuations is shown in more detail. This highlights that the fall in the aggregate labour income share over the 2000s was overwhelmingly driven by the mining sector, and that it was broadly flat in the remainder of the economy over this peri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667000" cy="2336800"/>
                                </a:xfrm>
                                <a:prstGeom prst="rect">
                                  <a:avLst/>
                                </a:prstGeom>
                                <a:noFill/>
                                <a:ln>
                                  <a:noFill/>
                                </a:ln>
                              </pic:spPr>
                            </pic:pic>
                          </a:graphicData>
                        </a:graphic>
                      </wp:inline>
                    </w:drawing>
                  </w:r>
                </w:p>
              </w:tc>
              <w:tc>
                <w:tcPr>
                  <w:tcW w:w="2500" w:type="pct"/>
                  <w:tcBorders>
                    <w:top w:val="nil"/>
                    <w:bottom w:val="nil"/>
                  </w:tcBorders>
                </w:tcPr>
                <w:p w14:paraId="1D0A702F" w14:textId="77777777" w:rsidR="00587F37" w:rsidRPr="00B1465D" w:rsidRDefault="009E2E83" w:rsidP="006D078E">
                  <w:pPr>
                    <w:pStyle w:val="Figure"/>
                    <w:spacing w:before="60" w:after="60"/>
                    <w:rPr>
                      <w:rFonts w:ascii="Arial" w:hAnsi="Arial" w:cs="Arial"/>
                      <w:sz w:val="18"/>
                      <w:szCs w:val="18"/>
                    </w:rPr>
                  </w:pPr>
                  <w:r>
                    <w:rPr>
                      <w:rFonts w:ascii="Arial" w:hAnsi="Arial" w:cs="Arial"/>
                      <w:noProof/>
                      <w:sz w:val="18"/>
                      <w:szCs w:val="18"/>
                    </w:rPr>
                    <w:drawing>
                      <wp:inline distT="0" distB="0" distL="0" distR="0" wp14:anchorId="1D0A71AC" wp14:editId="017ADDAE">
                        <wp:extent cx="2667000" cy="2336800"/>
                        <wp:effectExtent l="0" t="0" r="0" b="6350"/>
                        <wp:docPr id="30" name="Picture 30" descr="This figure shows long run and recent trends in the labour income share across two panels. In panel (a), long run income shares of compensation of employees, gross operating surplus and gross mixed income are presented for the period 1960 to 2016. This highlights that, despite some deviation in the short term, the aggregate share of income accruing to labour has been relatively unchanged over the last 30 years. In panel (b), the impact of the mining sector on recent fluctuations is shown in more detail. This highlights that the fall in the aggregate labour income share over the 2000s was overwhelmingly driven by the mining sector, and that it was broadly flat in the remainder of the economy over this peri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667000" cy="2336800"/>
                                </a:xfrm>
                                <a:prstGeom prst="rect">
                                  <a:avLst/>
                                </a:prstGeom>
                                <a:noFill/>
                                <a:ln>
                                  <a:noFill/>
                                </a:ln>
                              </pic:spPr>
                            </pic:pic>
                          </a:graphicData>
                        </a:graphic>
                      </wp:inline>
                    </w:drawing>
                  </w:r>
                </w:p>
              </w:tc>
            </w:tr>
          </w:tbl>
          <w:p w14:paraId="1D0A7031" w14:textId="77777777" w:rsidR="00803ABE" w:rsidRDefault="00803ABE" w:rsidP="006D078E">
            <w:pPr>
              <w:pStyle w:val="Figure"/>
            </w:pPr>
          </w:p>
        </w:tc>
      </w:tr>
      <w:tr w:rsidR="00803ABE" w:rsidRPr="00176D3F" w14:paraId="1D0A7034" w14:textId="77777777" w:rsidTr="006D078E">
        <w:tc>
          <w:tcPr>
            <w:tcW w:w="8771" w:type="dxa"/>
            <w:tcBorders>
              <w:top w:val="nil"/>
              <w:left w:val="nil"/>
              <w:bottom w:val="nil"/>
              <w:right w:val="nil"/>
            </w:tcBorders>
            <w:shd w:val="clear" w:color="auto" w:fill="auto"/>
          </w:tcPr>
          <w:p w14:paraId="1D0A7033" w14:textId="6F221390" w:rsidR="00803ABE" w:rsidRPr="00176D3F" w:rsidRDefault="00803ABE" w:rsidP="006C3BC7">
            <w:pPr>
              <w:pStyle w:val="Note"/>
            </w:pPr>
            <w:r>
              <w:rPr>
                <w:rStyle w:val="NoteLabel"/>
              </w:rPr>
              <w:t>a</w:t>
            </w:r>
            <w:r>
              <w:t xml:space="preserve"> </w:t>
            </w:r>
            <w:r w:rsidR="00901C5F">
              <w:t>Dotted lines are income shares in 2015</w:t>
            </w:r>
            <w:r w:rsidR="00EE434A">
              <w:noBreakHyphen/>
            </w:r>
            <w:r w:rsidR="00901C5F">
              <w:t xml:space="preserve">16. </w:t>
            </w:r>
            <w:r w:rsidR="000274C1">
              <w:t xml:space="preserve">COE = compensation of employees, </w:t>
            </w:r>
            <w:proofErr w:type="spellStart"/>
            <w:r w:rsidR="000274C1">
              <w:t>GOS</w:t>
            </w:r>
            <w:proofErr w:type="spellEnd"/>
            <w:r w:rsidR="000274C1">
              <w:t xml:space="preserve"> = gross operating surplus, </w:t>
            </w:r>
            <w:proofErr w:type="spellStart"/>
            <w:r w:rsidR="000274C1">
              <w:t>GMI</w:t>
            </w:r>
            <w:proofErr w:type="spellEnd"/>
            <w:r w:rsidR="000274C1">
              <w:t xml:space="preserve"> = gross mixed income. </w:t>
            </w:r>
            <w:r w:rsidR="000274C1">
              <w:rPr>
                <w:rStyle w:val="NoteLabel"/>
              </w:rPr>
              <w:t>b</w:t>
            </w:r>
            <w:r w:rsidR="000274C1">
              <w:t xml:space="preserve"> </w:t>
            </w:r>
            <w:proofErr w:type="spellStart"/>
            <w:r w:rsidR="000274C1">
              <w:t>GMI</w:t>
            </w:r>
            <w:proofErr w:type="spellEnd"/>
            <w:r w:rsidR="000274C1">
              <w:t xml:space="preserve"> for all 19 industries has been </w:t>
            </w:r>
            <w:r w:rsidR="000274C1" w:rsidRPr="00152EF8">
              <w:t>apportioned</w:t>
            </w:r>
            <w:r w:rsidR="000274C1">
              <w:t xml:space="preserve"> to labour in line with </w:t>
            </w:r>
            <w:r w:rsidR="000274C1" w:rsidRPr="00152EF8">
              <w:t>ABS practise</w:t>
            </w:r>
            <w:r w:rsidR="000274C1">
              <w:t xml:space="preserve"> (including the three non</w:t>
            </w:r>
            <w:r w:rsidR="000274C1">
              <w:noBreakHyphen/>
            </w:r>
            <w:r w:rsidR="000274C1" w:rsidRPr="00152EF8">
              <w:t>market sectors for which less detailed data on factor incomes is available</w:t>
            </w:r>
            <w:r w:rsidR="000274C1">
              <w:t>)</w:t>
            </w:r>
            <w:r w:rsidR="000274C1" w:rsidRPr="00152EF8">
              <w:t>.</w:t>
            </w:r>
          </w:p>
        </w:tc>
      </w:tr>
      <w:tr w:rsidR="00803ABE" w:rsidRPr="00176D3F" w14:paraId="1D0A7036" w14:textId="77777777" w:rsidTr="006D078E">
        <w:tc>
          <w:tcPr>
            <w:tcW w:w="8771" w:type="dxa"/>
            <w:tcBorders>
              <w:top w:val="nil"/>
              <w:left w:val="nil"/>
              <w:bottom w:val="nil"/>
              <w:right w:val="nil"/>
            </w:tcBorders>
            <w:shd w:val="clear" w:color="auto" w:fill="auto"/>
          </w:tcPr>
          <w:p w14:paraId="1D0A7035" w14:textId="255341D2" w:rsidR="00803ABE" w:rsidRPr="00176D3F" w:rsidRDefault="00EE434A" w:rsidP="005A3921">
            <w:pPr>
              <w:pStyle w:val="Source"/>
            </w:pPr>
            <w:r>
              <w:rPr>
                <w:i/>
              </w:rPr>
              <w:t>S</w:t>
            </w:r>
            <w:r w:rsidR="00803ABE" w:rsidRPr="00784A05">
              <w:rPr>
                <w:i/>
              </w:rPr>
              <w:t>ource</w:t>
            </w:r>
            <w:r>
              <w:rPr>
                <w:i/>
              </w:rPr>
              <w:t>s</w:t>
            </w:r>
            <w:r w:rsidR="00803ABE" w:rsidRPr="00176D3F">
              <w:t xml:space="preserve">: </w:t>
            </w:r>
            <w:r w:rsidR="00152EF8">
              <w:t xml:space="preserve">ABS </w:t>
            </w:r>
            <w:r w:rsidR="00A5662D" w:rsidRPr="00A5662D">
              <w:rPr>
                <w:rFonts w:cs="Arial"/>
              </w:rPr>
              <w:t>(</w:t>
            </w:r>
            <w:proofErr w:type="spellStart"/>
            <w:r w:rsidR="00A5662D" w:rsidRPr="00A5662D">
              <w:rPr>
                <w:rFonts w:cs="Arial"/>
              </w:rPr>
              <w:t>2016a</w:t>
            </w:r>
            <w:proofErr w:type="spellEnd"/>
            <w:r w:rsidR="00A5662D" w:rsidRPr="00A5662D">
              <w:rPr>
                <w:rFonts w:cs="Arial"/>
              </w:rPr>
              <w:t>)</w:t>
            </w:r>
            <w:r w:rsidR="00A5662D">
              <w:t xml:space="preserve"> </w:t>
            </w:r>
            <w:r w:rsidR="00152EF8" w:rsidRPr="00DB64F0">
              <w:rPr>
                <w:i/>
              </w:rPr>
              <w:t>System of National Accounts</w:t>
            </w:r>
            <w:r w:rsidR="005A3921" w:rsidRPr="00DB64F0">
              <w:rPr>
                <w:i/>
              </w:rPr>
              <w:t>, 2015</w:t>
            </w:r>
            <w:r w:rsidR="005A3921" w:rsidRPr="00DB64F0">
              <w:rPr>
                <w:i/>
              </w:rPr>
              <w:noBreakHyphen/>
              <w:t>16</w:t>
            </w:r>
            <w:r w:rsidR="00152EF8">
              <w:t>,</w:t>
            </w:r>
            <w:r w:rsidR="00DB64F0">
              <w:t xml:space="preserve"> C</w:t>
            </w:r>
            <w:r w:rsidR="00152EF8">
              <w:t xml:space="preserve">at. no. 5204.0 and ABS </w:t>
            </w:r>
            <w:r w:rsidR="00A5662D" w:rsidRPr="00A5662D">
              <w:rPr>
                <w:rFonts w:cs="Arial"/>
              </w:rPr>
              <w:t>(</w:t>
            </w:r>
            <w:proofErr w:type="spellStart"/>
            <w:r w:rsidR="00A5662D" w:rsidRPr="00A5662D">
              <w:rPr>
                <w:rFonts w:cs="Arial"/>
              </w:rPr>
              <w:t>2016d</w:t>
            </w:r>
            <w:proofErr w:type="spellEnd"/>
            <w:r w:rsidR="00A5662D" w:rsidRPr="00A5662D">
              <w:rPr>
                <w:rFonts w:cs="Arial"/>
              </w:rPr>
              <w:t>)</w:t>
            </w:r>
            <w:r w:rsidR="00A5662D">
              <w:t xml:space="preserve"> </w:t>
            </w:r>
            <w:r w:rsidR="005A3921" w:rsidRPr="00DB64F0">
              <w:rPr>
                <w:i/>
              </w:rPr>
              <w:t>Estimates of Industry Multifactor Productivity, 2015</w:t>
            </w:r>
            <w:r w:rsidR="005A3921" w:rsidRPr="00DB64F0">
              <w:rPr>
                <w:i/>
              </w:rPr>
              <w:noBreakHyphen/>
              <w:t>16</w:t>
            </w:r>
            <w:r w:rsidR="006D078E">
              <w:t xml:space="preserve">, </w:t>
            </w:r>
            <w:r w:rsidR="00DB64F0">
              <w:t>C</w:t>
            </w:r>
            <w:r w:rsidR="00152EF8">
              <w:t>at. no. 5260.0</w:t>
            </w:r>
            <w:r w:rsidR="005A3921">
              <w:t xml:space="preserve">.55.002 </w:t>
            </w:r>
            <w:r w:rsidR="006D078E">
              <w:t xml:space="preserve">and PC calculations. </w:t>
            </w:r>
          </w:p>
        </w:tc>
      </w:tr>
      <w:tr w:rsidR="00803ABE" w14:paraId="1D0A7038" w14:textId="77777777" w:rsidTr="006D078E">
        <w:tc>
          <w:tcPr>
            <w:tcW w:w="8771" w:type="dxa"/>
            <w:tcBorders>
              <w:top w:val="nil"/>
              <w:left w:val="nil"/>
              <w:bottom w:val="single" w:sz="6" w:space="0" w:color="78A22F"/>
              <w:right w:val="nil"/>
            </w:tcBorders>
            <w:shd w:val="clear" w:color="auto" w:fill="auto"/>
          </w:tcPr>
          <w:p w14:paraId="1D0A7037" w14:textId="77777777" w:rsidR="00803ABE" w:rsidRDefault="00803ABE" w:rsidP="006D078E">
            <w:pPr>
              <w:pStyle w:val="Figurespace"/>
            </w:pPr>
          </w:p>
        </w:tc>
      </w:tr>
      <w:tr w:rsidR="00803ABE" w:rsidRPr="000863A5" w14:paraId="1D0A703A" w14:textId="77777777" w:rsidTr="006D078E">
        <w:tc>
          <w:tcPr>
            <w:tcW w:w="8771" w:type="dxa"/>
            <w:tcBorders>
              <w:top w:val="single" w:sz="6" w:space="0" w:color="78A22F"/>
              <w:left w:val="nil"/>
              <w:bottom w:val="nil"/>
              <w:right w:val="nil"/>
            </w:tcBorders>
          </w:tcPr>
          <w:p w14:paraId="1D0A7039" w14:textId="77777777" w:rsidR="00803ABE" w:rsidRPr="00626D32" w:rsidRDefault="00803ABE" w:rsidP="006D078E">
            <w:pPr>
              <w:pStyle w:val="BoxSpaceBelow"/>
            </w:pPr>
          </w:p>
        </w:tc>
      </w:tr>
    </w:tbl>
    <w:p w14:paraId="6D2E036C" w14:textId="77777777" w:rsidR="00A1528C" w:rsidRDefault="00A1528C" w:rsidP="00A1528C">
      <w:pPr>
        <w:pStyle w:val="BodyText"/>
      </w:pPr>
      <w:r>
        <w:t xml:space="preserve">This suggests, </w:t>
      </w:r>
      <w:r w:rsidRPr="009E2E83">
        <w:rPr>
          <w:i/>
        </w:rPr>
        <w:t>prima facie</w:t>
      </w:r>
      <w:r>
        <w:t xml:space="preserve">, </w:t>
      </w:r>
      <w:r w:rsidRPr="00D824F3">
        <w:t xml:space="preserve">that </w:t>
      </w:r>
      <w:r>
        <w:t xml:space="preserve">the ‘decoupling’ hypothesised by Cowgill </w:t>
      </w:r>
      <w:r>
        <w:rPr>
          <w:szCs w:val="24"/>
        </w:rPr>
        <w:t>(</w:t>
      </w:r>
      <w:r w:rsidRPr="00BD7E30">
        <w:rPr>
          <w:szCs w:val="24"/>
        </w:rPr>
        <w:t>2013)</w:t>
      </w:r>
      <w:r>
        <w:t xml:space="preserve"> and Cooney </w:t>
      </w:r>
      <w:r w:rsidRPr="00BD7E30">
        <w:t>(2016)</w:t>
      </w:r>
      <w:r>
        <w:t xml:space="preserve">, which </w:t>
      </w:r>
      <w:r w:rsidRPr="00275795">
        <w:rPr>
          <w:i/>
        </w:rPr>
        <w:t>has</w:t>
      </w:r>
      <w:r>
        <w:t xml:space="preserve"> been observed in the United States, is unlikely to reflect a structural reduction in the capacity for real </w:t>
      </w:r>
      <w:r w:rsidRPr="00D824F3">
        <w:t>wage growth</w:t>
      </w:r>
      <w:r>
        <w:t xml:space="preserve"> to reflect improvements in labour productivity in Australia. This partly reflects that wage setting institutions and regulations in Australia have generally prevented real wages from falling in any sustained fashion.</w:t>
      </w:r>
      <w:r w:rsidRPr="00E6296D">
        <w:rPr>
          <w:rStyle w:val="FootnoteReference"/>
        </w:rPr>
        <w:footnoteReference w:id="30"/>
      </w:r>
      <w:r>
        <w:t xml:space="preserve"> </w:t>
      </w:r>
    </w:p>
    <w:p w14:paraId="771937D1" w14:textId="2BD5E70D" w:rsidR="00A1528C" w:rsidRDefault="00A1528C" w:rsidP="008A5910">
      <w:pPr>
        <w:pStyle w:val="BodyText"/>
      </w:pPr>
      <w:r>
        <w:t xml:space="preserve">The framework of looking at income shares does not, however, convey anything about the </w:t>
      </w:r>
      <w:r w:rsidRPr="00BD7E30">
        <w:rPr>
          <w:i/>
        </w:rPr>
        <w:t>distribution</w:t>
      </w:r>
      <w:r>
        <w:t xml:space="preserve"> of labour incomes that generate it, or the consequences of substitution of labour for capital, which could come about because of further technological advances lowering prices for capital inputs relative to wages.</w:t>
      </w:r>
    </w:p>
    <w:p w14:paraId="1D0A703C" w14:textId="77777777" w:rsidR="00F65C26" w:rsidRDefault="00F65C26" w:rsidP="00F65C26">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F65C26" w14:paraId="1D0A703E" w14:textId="77777777" w:rsidTr="00AD60A3">
        <w:tc>
          <w:tcPr>
            <w:tcW w:w="8771" w:type="dxa"/>
            <w:tcBorders>
              <w:top w:val="single" w:sz="6" w:space="0" w:color="78A22F"/>
              <w:left w:val="nil"/>
              <w:bottom w:val="nil"/>
              <w:right w:val="nil"/>
            </w:tcBorders>
            <w:shd w:val="clear" w:color="auto" w:fill="F2F2F2"/>
          </w:tcPr>
          <w:p w14:paraId="1D0A703D" w14:textId="77777777" w:rsidR="00F65C26" w:rsidRDefault="00F65C26" w:rsidP="00AD60A3">
            <w:pPr>
              <w:pStyle w:val="BoxTitle"/>
            </w:pPr>
            <w:r>
              <w:rPr>
                <w:b w:val="0"/>
              </w:rPr>
              <w:t>Box 3</w:t>
            </w:r>
            <w:r>
              <w:tab/>
              <w:t xml:space="preserve">Productivity, real wages, the LIS and </w:t>
            </w:r>
            <w:proofErr w:type="spellStart"/>
            <w:r>
              <w:t>RULCs</w:t>
            </w:r>
            <w:proofErr w:type="spellEnd"/>
          </w:p>
        </w:tc>
      </w:tr>
      <w:tr w:rsidR="00F65C26" w14:paraId="1D0A704A" w14:textId="77777777" w:rsidTr="00AD60A3">
        <w:tc>
          <w:tcPr>
            <w:tcW w:w="8771" w:type="dxa"/>
            <w:tcBorders>
              <w:top w:val="nil"/>
              <w:left w:val="nil"/>
              <w:bottom w:val="nil"/>
              <w:right w:val="nil"/>
            </w:tcBorders>
            <w:shd w:val="clear" w:color="auto" w:fill="F2F2F2"/>
          </w:tcPr>
          <w:p w14:paraId="1D0A703F" w14:textId="77777777" w:rsidR="00F65C26" w:rsidRDefault="00F65C26" w:rsidP="00AD60A3">
            <w:pPr>
              <w:pStyle w:val="Box"/>
            </w:pPr>
            <w:r>
              <w:t xml:space="preserve">The neoclassical growth accounting framework proposed in Solow </w:t>
            </w:r>
            <w:r w:rsidRPr="00BD7E30">
              <w:rPr>
                <w:rFonts w:cs="Arial"/>
              </w:rPr>
              <w:t>(1956)</w:t>
            </w:r>
            <w:r>
              <w:t xml:space="preserve"> and Swan </w:t>
            </w:r>
            <w:r w:rsidRPr="00BD7E30">
              <w:rPr>
                <w:rFonts w:cs="Arial"/>
              </w:rPr>
              <w:t>(1956)</w:t>
            </w:r>
            <w:r>
              <w:t xml:space="preserve"> is useful to analyse the drivers of the labour income share, productivity and real wages. Assuming a Cobb Douglas production function, constant returns to scale and competitive factor markets, output grows according to the following production function.</w:t>
            </w:r>
          </w:p>
          <w:p w14:paraId="1D0A7040" w14:textId="77777777" w:rsidR="00F65C26" w:rsidRDefault="00F65C26" w:rsidP="00AD60A3">
            <w:pPr>
              <w:pStyle w:val="Box"/>
            </w:pPr>
            <m:oMathPara>
              <m:oMath>
                <m:r>
                  <w:rPr>
                    <w:rFonts w:ascii="Cambria Math" w:hAnsi="Cambria Math"/>
                  </w:rPr>
                  <m:t>Y=A.f</m:t>
                </m:r>
                <m:d>
                  <m:dPr>
                    <m:ctrlPr>
                      <w:rPr>
                        <w:rFonts w:ascii="Cambria Math" w:hAnsi="Cambria Math"/>
                        <w:i/>
                      </w:rPr>
                    </m:ctrlPr>
                  </m:dPr>
                  <m:e>
                    <m:r>
                      <w:rPr>
                        <w:rFonts w:ascii="Cambria Math" w:hAnsi="Cambria Math"/>
                      </w:rPr>
                      <m:t>K, L</m:t>
                    </m:r>
                  </m:e>
                </m:d>
                <m:r>
                  <w:rPr>
                    <w:rFonts w:ascii="Cambria Math" w:hAnsi="Cambria Math"/>
                  </w:rPr>
                  <m:t>=A.</m:t>
                </m:r>
                <m:sSup>
                  <m:sSupPr>
                    <m:ctrlPr>
                      <w:rPr>
                        <w:rFonts w:ascii="Cambria Math" w:eastAsia="Calibri" w:hAnsi="Cambria Math"/>
                        <w:i/>
                      </w:rPr>
                    </m:ctrlPr>
                  </m:sSupPr>
                  <m:e>
                    <m:r>
                      <w:rPr>
                        <w:rFonts w:ascii="Cambria Math" w:hAnsi="Cambria Math"/>
                      </w:rPr>
                      <m:t>K</m:t>
                    </m:r>
                  </m:e>
                  <m:sup>
                    <m:r>
                      <w:rPr>
                        <w:rFonts w:ascii="Cambria Math" w:hAnsi="Cambria Math"/>
                      </w:rPr>
                      <m:t>∝</m:t>
                    </m:r>
                  </m:sup>
                </m:sSup>
                <m:r>
                  <w:rPr>
                    <w:rFonts w:ascii="Cambria Math" w:hAnsi="Cambria Math"/>
                  </w:rPr>
                  <m:t>.</m:t>
                </m:r>
                <m:sSup>
                  <m:sSupPr>
                    <m:ctrlPr>
                      <w:rPr>
                        <w:rFonts w:ascii="Cambria Math" w:eastAsia="Calibri" w:hAnsi="Cambria Math"/>
                        <w:i/>
                      </w:rPr>
                    </m:ctrlPr>
                  </m:sSupPr>
                  <m:e>
                    <m:r>
                      <w:rPr>
                        <w:rFonts w:ascii="Cambria Math" w:hAnsi="Cambria Math"/>
                      </w:rPr>
                      <m:t>L</m:t>
                    </m:r>
                  </m:e>
                  <m:sup>
                    <m:d>
                      <m:dPr>
                        <m:ctrlPr>
                          <w:rPr>
                            <w:rFonts w:ascii="Cambria Math" w:hAnsi="Cambria Math"/>
                            <w:i/>
                          </w:rPr>
                        </m:ctrlPr>
                      </m:dPr>
                      <m:e>
                        <m:r>
                          <w:rPr>
                            <w:rFonts w:ascii="Cambria Math" w:hAnsi="Cambria Math"/>
                          </w:rPr>
                          <m:t>1-∝</m:t>
                        </m:r>
                      </m:e>
                    </m:d>
                  </m:sup>
                </m:sSup>
              </m:oMath>
            </m:oMathPara>
          </w:p>
          <w:p w14:paraId="1D0A7041" w14:textId="77777777" w:rsidR="00F65C26" w:rsidRDefault="00F65C26" w:rsidP="00AD60A3">
            <w:pPr>
              <w:pStyle w:val="Box"/>
            </w:pPr>
            <w:r>
              <w:t xml:space="preserve">Where the partial derivatives with respect to K and L give their respective real prices – the rental price of capital and the real producer wage. </w:t>
            </w:r>
          </w:p>
          <w:p w14:paraId="1D0A7042" w14:textId="77777777" w:rsidR="00F65C26" w:rsidRDefault="00767EE9" w:rsidP="00AD60A3">
            <w:pPr>
              <w:pStyle w:val="Box"/>
            </w:pPr>
            <m:oMathPara>
              <m:oMath>
                <m:f>
                  <m:fPr>
                    <m:ctrlPr>
                      <w:rPr>
                        <w:rFonts w:ascii="Cambria Math" w:hAnsi="Cambria Math"/>
                        <w:i/>
                        <w:iCs/>
                      </w:rPr>
                    </m:ctrlPr>
                  </m:fPr>
                  <m:num>
                    <m:r>
                      <w:rPr>
                        <w:rFonts w:ascii="Cambria Math" w:hAnsi="Cambria Math"/>
                      </w:rPr>
                      <m:t>∂Y</m:t>
                    </m:r>
                  </m:num>
                  <m:den>
                    <m:r>
                      <w:rPr>
                        <w:rFonts w:ascii="Cambria Math" w:hAnsi="Cambria Math"/>
                      </w:rPr>
                      <m:t>∂K</m:t>
                    </m:r>
                  </m:den>
                </m:f>
                <m:r>
                  <w:rPr>
                    <w:rFonts w:ascii="Cambria Math" w:hAnsi="Cambria Math"/>
                  </w:rPr>
                  <m:t>= ∝.</m:t>
                </m:r>
                <m:f>
                  <m:fPr>
                    <m:ctrlPr>
                      <w:rPr>
                        <w:rFonts w:ascii="Cambria Math" w:hAnsi="Cambria Math"/>
                        <w:i/>
                        <w:iCs/>
                      </w:rPr>
                    </m:ctrlPr>
                  </m:fPr>
                  <m:num>
                    <m:r>
                      <w:rPr>
                        <w:rFonts w:ascii="Cambria Math" w:hAnsi="Cambria Math"/>
                      </w:rPr>
                      <m:t>Y</m:t>
                    </m:r>
                  </m:num>
                  <m:den>
                    <m:r>
                      <w:rPr>
                        <w:rFonts w:ascii="Cambria Math" w:hAnsi="Cambria Math"/>
                      </w:rPr>
                      <m:t>K</m:t>
                    </m:r>
                  </m:den>
                </m:f>
                <m:r>
                  <w:rPr>
                    <w:rFonts w:ascii="Cambria Math" w:hAnsi="Cambria Math"/>
                  </w:rPr>
                  <m:t xml:space="preserve">=r    and,     </m:t>
                </m:r>
                <m:f>
                  <m:fPr>
                    <m:ctrlPr>
                      <w:rPr>
                        <w:rFonts w:ascii="Cambria Math" w:hAnsi="Cambria Math"/>
                        <w:i/>
                        <w:iCs/>
                      </w:rPr>
                    </m:ctrlPr>
                  </m:fPr>
                  <m:num>
                    <m:r>
                      <w:rPr>
                        <w:rFonts w:ascii="Cambria Math" w:hAnsi="Cambria Math"/>
                      </w:rPr>
                      <m:t>∂Y</m:t>
                    </m:r>
                  </m:num>
                  <m:den>
                    <m:r>
                      <w:rPr>
                        <w:rFonts w:ascii="Cambria Math" w:hAnsi="Cambria Math"/>
                      </w:rPr>
                      <m:t>∂L</m:t>
                    </m:r>
                  </m:den>
                </m:f>
                <m:r>
                  <w:rPr>
                    <w:rFonts w:ascii="Cambria Math" w:hAnsi="Cambria Math"/>
                  </w:rPr>
                  <m:t>=</m:t>
                </m:r>
                <m:d>
                  <m:dPr>
                    <m:ctrlPr>
                      <w:rPr>
                        <w:rFonts w:ascii="Cambria Math" w:hAnsi="Cambria Math"/>
                        <w:i/>
                        <w:iCs/>
                      </w:rPr>
                    </m:ctrlPr>
                  </m:dPr>
                  <m:e>
                    <m:r>
                      <w:rPr>
                        <w:rFonts w:ascii="Cambria Math" w:hAnsi="Cambria Math"/>
                      </w:rPr>
                      <m:t>1-∝</m:t>
                    </m:r>
                  </m:e>
                </m:d>
                <m:r>
                  <w:rPr>
                    <w:rFonts w:ascii="Cambria Math" w:hAnsi="Cambria Math"/>
                  </w:rPr>
                  <m:t>.</m:t>
                </m:r>
                <m:f>
                  <m:fPr>
                    <m:ctrlPr>
                      <w:rPr>
                        <w:rFonts w:ascii="Cambria Math" w:hAnsi="Cambria Math"/>
                        <w:i/>
                        <w:iCs/>
                      </w:rPr>
                    </m:ctrlPr>
                  </m:fPr>
                  <m:num>
                    <m:r>
                      <w:rPr>
                        <w:rFonts w:ascii="Cambria Math" w:hAnsi="Cambria Math"/>
                      </w:rPr>
                      <m:t>Y</m:t>
                    </m:r>
                  </m:num>
                  <m:den>
                    <m:r>
                      <w:rPr>
                        <w:rFonts w:ascii="Cambria Math" w:hAnsi="Cambria Math"/>
                      </w:rPr>
                      <m:t>L</m:t>
                    </m:r>
                  </m:den>
                </m:f>
                <m:r>
                  <w:rPr>
                    <w:rFonts w:ascii="Cambria Math" w:hAnsi="Cambria Math"/>
                  </w:rPr>
                  <m:t xml:space="preserve">=w      </m:t>
                </m:r>
              </m:oMath>
            </m:oMathPara>
          </w:p>
          <w:p w14:paraId="1D0A7043" w14:textId="77777777" w:rsidR="00F65C26" w:rsidRDefault="00F65C26" w:rsidP="00AD60A3">
            <w:pPr>
              <w:pStyle w:val="Box"/>
            </w:pPr>
            <w:r>
              <w:t xml:space="preserve">A key interpretation of the above is that the real producer wage w will grow in proportion to labour productivity Y/L, assuming that labour’s share of income </w:t>
            </w:r>
            <m:oMath>
              <m:d>
                <m:dPr>
                  <m:ctrlPr>
                    <w:rPr>
                      <w:rFonts w:ascii="Cambria Math" w:hAnsi="Cambria Math"/>
                      <w:i/>
                      <w:iCs/>
                    </w:rPr>
                  </m:ctrlPr>
                </m:dPr>
                <m:e>
                  <m:r>
                    <w:rPr>
                      <w:rFonts w:ascii="Cambria Math" w:hAnsi="Cambria Math"/>
                    </w:rPr>
                    <m:t>1-∝</m:t>
                  </m:r>
                </m:e>
              </m:d>
            </m:oMath>
            <w:r>
              <w:rPr>
                <w:iCs/>
              </w:rPr>
              <w:t xml:space="preserve"> </w:t>
            </w:r>
            <w:r>
              <w:t>(the LIS) remains roughly constant. Rearranging the above, we find that:</w:t>
            </w:r>
          </w:p>
          <w:p w14:paraId="1D0A7044" w14:textId="77777777" w:rsidR="00F65C26" w:rsidRDefault="00F65C26" w:rsidP="00AD60A3">
            <w:pPr>
              <w:pStyle w:val="Box"/>
            </w:pPr>
            <m:oMathPara>
              <m:oMath>
                <m:r>
                  <w:rPr>
                    <w:rFonts w:ascii="Cambria Math" w:hAnsi="Cambria Math"/>
                  </w:rPr>
                  <m:t>∝ =r.</m:t>
                </m:r>
                <m:f>
                  <m:fPr>
                    <m:ctrlPr>
                      <w:rPr>
                        <w:rFonts w:ascii="Cambria Math" w:hAnsi="Cambria Math"/>
                        <w:i/>
                        <w:iCs/>
                      </w:rPr>
                    </m:ctrlPr>
                  </m:fPr>
                  <m:num>
                    <m:r>
                      <w:rPr>
                        <w:rFonts w:ascii="Cambria Math" w:hAnsi="Cambria Math"/>
                      </w:rPr>
                      <m:t>K</m:t>
                    </m:r>
                  </m:num>
                  <m:den>
                    <m:r>
                      <w:rPr>
                        <w:rFonts w:ascii="Cambria Math" w:hAnsi="Cambria Math"/>
                      </w:rPr>
                      <m:t>Y</m:t>
                    </m:r>
                  </m:den>
                </m:f>
                <m:r>
                  <w:rPr>
                    <w:rFonts w:ascii="Cambria Math" w:hAnsi="Cambria Math"/>
                  </w:rPr>
                  <m:t xml:space="preserve">     and,     </m:t>
                </m:r>
                <m:d>
                  <m:dPr>
                    <m:ctrlPr>
                      <w:rPr>
                        <w:rFonts w:ascii="Cambria Math" w:hAnsi="Cambria Math"/>
                        <w:i/>
                        <w:iCs/>
                      </w:rPr>
                    </m:ctrlPr>
                  </m:dPr>
                  <m:e>
                    <m:r>
                      <w:rPr>
                        <w:rFonts w:ascii="Cambria Math" w:hAnsi="Cambria Math"/>
                      </w:rPr>
                      <m:t>1-∝</m:t>
                    </m:r>
                  </m:e>
                </m:d>
                <m:r>
                  <w:rPr>
                    <w:rFonts w:ascii="Cambria Math" w:hAnsi="Cambria Math"/>
                  </w:rPr>
                  <m:t>=w.</m:t>
                </m:r>
                <m:f>
                  <m:fPr>
                    <m:ctrlPr>
                      <w:rPr>
                        <w:rFonts w:ascii="Cambria Math" w:hAnsi="Cambria Math"/>
                        <w:i/>
                        <w:iCs/>
                      </w:rPr>
                    </m:ctrlPr>
                  </m:fPr>
                  <m:num>
                    <m:r>
                      <w:rPr>
                        <w:rFonts w:ascii="Cambria Math" w:hAnsi="Cambria Math"/>
                      </w:rPr>
                      <m:t>L</m:t>
                    </m:r>
                  </m:num>
                  <m:den>
                    <m:r>
                      <w:rPr>
                        <w:rFonts w:ascii="Cambria Math" w:hAnsi="Cambria Math"/>
                      </w:rPr>
                      <m:t>Y</m:t>
                    </m:r>
                  </m:den>
                </m:f>
              </m:oMath>
            </m:oMathPara>
          </w:p>
          <w:p w14:paraId="1D0A7045" w14:textId="77777777" w:rsidR="00F65C26" w:rsidRDefault="00F65C26" w:rsidP="00AD60A3">
            <w:pPr>
              <w:pStyle w:val="Box"/>
            </w:pPr>
            <w:r>
              <w:t xml:space="preserve">Note the right hand side of the </w:t>
            </w:r>
            <w:r w:rsidR="0046438A">
              <w:t xml:space="preserve">latter </w:t>
            </w:r>
            <w:r>
              <w:t xml:space="preserve">equation represents the cost of labour per unit of output. Growth in </w:t>
            </w:r>
            <m:oMath>
              <m:d>
                <m:dPr>
                  <m:ctrlPr>
                    <w:rPr>
                      <w:rFonts w:ascii="Cambria Math" w:hAnsi="Cambria Math"/>
                      <w:i/>
                      <w:iCs/>
                    </w:rPr>
                  </m:ctrlPr>
                </m:dPr>
                <m:e>
                  <m:r>
                    <w:rPr>
                      <w:rFonts w:ascii="Cambria Math" w:hAnsi="Cambria Math"/>
                    </w:rPr>
                    <m:t>1-∝</m:t>
                  </m:r>
                </m:e>
              </m:d>
            </m:oMath>
            <w:r>
              <w:t xml:space="preserve"> is therefore equivalent to growth in real unit labour costs (RULCs). Another result can be shown by rearranging the above, and expressing in growth terms. We find that:</w:t>
            </w:r>
          </w:p>
          <w:p w14:paraId="1D0A7046" w14:textId="77777777" w:rsidR="00F65C26" w:rsidRDefault="00F65C26" w:rsidP="00AD60A3">
            <w:pPr>
              <w:pStyle w:val="Box"/>
            </w:pPr>
            <m:oMathPara>
              <m:oMath>
                <m:r>
                  <w:rPr>
                    <w:rFonts w:ascii="Cambria Math" w:hAnsi="Cambria Math"/>
                  </w:rPr>
                  <m:t xml:space="preserve"> </m:t>
                </m:r>
                <m:acc>
                  <m:accPr>
                    <m:ctrlPr>
                      <w:rPr>
                        <w:rFonts w:ascii="Cambria Math" w:hAnsi="Cambria Math"/>
                        <w:i/>
                        <w:iCs/>
                      </w:rPr>
                    </m:ctrlPr>
                  </m:accPr>
                  <m:e>
                    <m:d>
                      <m:dPr>
                        <m:ctrlPr>
                          <w:rPr>
                            <w:rFonts w:ascii="Cambria Math" w:hAnsi="Cambria Math"/>
                            <w:i/>
                            <w:iCs/>
                          </w:rPr>
                        </m:ctrlPr>
                      </m:dPr>
                      <m:e>
                        <m:r>
                          <w:rPr>
                            <w:rFonts w:ascii="Cambria Math" w:hAnsi="Cambria Math"/>
                          </w:rPr>
                          <m:t>1-∝</m:t>
                        </m:r>
                      </m:e>
                    </m:d>
                  </m:e>
                </m:acc>
                <m:r>
                  <w:rPr>
                    <w:rFonts w:ascii="Cambria Math" w:hAnsi="Cambria Math"/>
                  </w:rPr>
                  <m:t xml:space="preserve"> -  </m:t>
                </m:r>
                <m:acc>
                  <m:accPr>
                    <m:ctrlPr>
                      <w:rPr>
                        <w:rFonts w:ascii="Cambria Math" w:hAnsi="Cambria Math"/>
                        <w:i/>
                      </w:rPr>
                    </m:ctrlPr>
                  </m:accPr>
                  <m:e>
                    <m:r>
                      <w:rPr>
                        <w:rFonts w:ascii="Cambria Math" w:hAnsi="Cambria Math"/>
                      </w:rPr>
                      <m:t>∝</m:t>
                    </m:r>
                  </m:e>
                </m:acc>
                <m:r>
                  <w:rPr>
                    <w:rFonts w:ascii="Cambria Math" w:hAnsi="Cambria Math"/>
                  </w:rPr>
                  <m:t xml:space="preserve"> = </m:t>
                </m:r>
                <m:acc>
                  <m:accPr>
                    <m:ctrlPr>
                      <w:rPr>
                        <w:rFonts w:ascii="Cambria Math" w:hAnsi="Cambria Math"/>
                        <w:i/>
                      </w:rPr>
                    </m:ctrlPr>
                  </m:accPr>
                  <m:e>
                    <m:d>
                      <m:dPr>
                        <m:ctrlPr>
                          <w:rPr>
                            <w:rFonts w:ascii="Cambria Math" w:hAnsi="Cambria Math"/>
                            <w:i/>
                          </w:rPr>
                        </m:ctrlPr>
                      </m:dPr>
                      <m:e>
                        <m:f>
                          <m:fPr>
                            <m:ctrlPr>
                              <w:rPr>
                                <w:rFonts w:ascii="Cambria Math" w:hAnsi="Cambria Math"/>
                                <w:i/>
                              </w:rPr>
                            </m:ctrlPr>
                          </m:fPr>
                          <m:num>
                            <m:r>
                              <w:rPr>
                                <w:rFonts w:ascii="Cambria Math" w:hAnsi="Cambria Math"/>
                              </w:rPr>
                              <m:t>w</m:t>
                            </m:r>
                          </m:num>
                          <m:den>
                            <m:r>
                              <w:rPr>
                                <w:rFonts w:ascii="Cambria Math" w:hAnsi="Cambria Math"/>
                              </w:rPr>
                              <m:t>r</m:t>
                            </m:r>
                          </m:den>
                        </m:f>
                      </m:e>
                    </m:d>
                  </m:e>
                </m:acc>
                <m:r>
                  <w:rPr>
                    <w:rFonts w:ascii="Cambria Math" w:hAnsi="Cambria Math"/>
                  </w:rPr>
                  <m:t xml:space="preserve">- </m:t>
                </m:r>
                <m:acc>
                  <m:accPr>
                    <m:ctrlPr>
                      <w:rPr>
                        <w:rFonts w:ascii="Cambria Math" w:hAnsi="Cambria Math"/>
                        <w:i/>
                      </w:rPr>
                    </m:ctrlPr>
                  </m:accPr>
                  <m:e>
                    <m:d>
                      <m:dPr>
                        <m:ctrlPr>
                          <w:rPr>
                            <w:rFonts w:ascii="Cambria Math" w:hAnsi="Cambria Math"/>
                            <w:i/>
                          </w:rPr>
                        </m:ctrlPr>
                      </m:dPr>
                      <m:e>
                        <m:f>
                          <m:fPr>
                            <m:ctrlPr>
                              <w:rPr>
                                <w:rFonts w:ascii="Cambria Math" w:hAnsi="Cambria Math"/>
                                <w:i/>
                              </w:rPr>
                            </m:ctrlPr>
                          </m:fPr>
                          <m:num>
                            <m:r>
                              <w:rPr>
                                <w:rFonts w:ascii="Cambria Math" w:hAnsi="Cambria Math"/>
                              </w:rPr>
                              <m:t>K</m:t>
                            </m:r>
                          </m:num>
                          <m:den>
                            <m:r>
                              <w:rPr>
                                <w:rFonts w:ascii="Cambria Math" w:hAnsi="Cambria Math"/>
                              </w:rPr>
                              <m:t>L</m:t>
                            </m:r>
                          </m:den>
                        </m:f>
                      </m:e>
                    </m:d>
                  </m:e>
                </m:acc>
              </m:oMath>
            </m:oMathPara>
          </w:p>
          <w:p w14:paraId="1D0A7047" w14:textId="77777777" w:rsidR="00F65C26" w:rsidRDefault="00F65C26" w:rsidP="00AD60A3">
            <w:pPr>
              <w:pStyle w:val="Box"/>
            </w:pPr>
            <w:r>
              <w:t>In this equation, the left hand side is equal to zero, given that the capital and labour shares sum to one. For this condition to hold for the right hand side of the equation, changes in capital intensity must be matched by changes to the relative prices of capital and labour</w:t>
            </w:r>
            <w:r w:rsidRPr="005C6DFB">
              <w:t>.</w:t>
            </w:r>
            <w:r>
              <w:t xml:space="preserve"> This result stems from an assumption that K and L are perfectly substitutable. Persistent falls in the LIS can be explained in this framework. This can arise, for example, when technology manifests in a lower rental price of capital, which incentivises capital investment. In this case, </w:t>
            </w:r>
            <w:r w:rsidR="0046438A">
              <w:t>capital intensity</w:t>
            </w:r>
            <w:r>
              <w:t xml:space="preserve"> rises</w:t>
            </w:r>
            <w:r w:rsidR="0046438A">
              <w:t xml:space="preserve"> due to lower relative costs of capital</w:t>
            </w:r>
            <w:r>
              <w:t>, and this is offset by a commensurate fall in the LIS.</w:t>
            </w:r>
          </w:p>
          <w:p w14:paraId="1D0A7048" w14:textId="77777777" w:rsidR="00F65C26" w:rsidRDefault="0046438A" w:rsidP="00AD60A3">
            <w:pPr>
              <w:pStyle w:val="Box"/>
            </w:pPr>
            <w:r>
              <w:t>Since</w:t>
            </w:r>
            <w:r w:rsidR="00F65C26">
              <w:t xml:space="preserve"> the mining boom, </w:t>
            </w:r>
            <w:proofErr w:type="spellStart"/>
            <w:r w:rsidR="00F65C26">
              <w:t>RULCs</w:t>
            </w:r>
            <w:proofErr w:type="spellEnd"/>
            <w:r w:rsidR="00F65C26">
              <w:t xml:space="preserve"> have risen in aggregate, as activity shifted back to industries with higher </w:t>
            </w:r>
            <w:proofErr w:type="spellStart"/>
            <w:r w:rsidR="00F65C26">
              <w:t>RULCs</w:t>
            </w:r>
            <w:proofErr w:type="spellEnd"/>
            <w:r w:rsidR="00F65C26">
              <w:t xml:space="preserve">. The relevance of changes in </w:t>
            </w:r>
            <w:proofErr w:type="spellStart"/>
            <w:r w:rsidR="00F65C26">
              <w:t>RULCs</w:t>
            </w:r>
            <w:proofErr w:type="spellEnd"/>
            <w:r w:rsidR="00F65C26">
              <w:t xml:space="preserve"> for policy is not always clear. As in Australia’s case in recent years, the fall and subsequent rise in the LIS can be a natural development reflecting structural changes in the economy. In other situations, it could be driven by the erosion of bargaining power of employees placing persistent downward pressure on real wages. This might stem from labour market laws, declining unionisation, or simply competition from lower wage countries. Some suggest this partly explains the situation in the U</w:t>
            </w:r>
            <w:r w:rsidR="00265579">
              <w:t xml:space="preserve">nited </w:t>
            </w:r>
            <w:r w:rsidR="00F65C26">
              <w:t>S</w:t>
            </w:r>
            <w:r w:rsidR="00265579">
              <w:t>tates</w:t>
            </w:r>
            <w:r w:rsidR="00F65C26">
              <w:t>, and that restoration of employee bargaining powers may ameliorate inequality there.</w:t>
            </w:r>
          </w:p>
          <w:p w14:paraId="1D0A7049" w14:textId="77777777" w:rsidR="00F65C26" w:rsidRDefault="00F65C26" w:rsidP="00AD60A3">
            <w:pPr>
              <w:pStyle w:val="Box"/>
            </w:pPr>
            <w:r>
              <w:t xml:space="preserve">To reiterate, standard growth theory predicts that growth in </w:t>
            </w:r>
            <w:proofErr w:type="spellStart"/>
            <w:r>
              <w:t>RULCs</w:t>
            </w:r>
            <w:proofErr w:type="spellEnd"/>
            <w:r>
              <w:t xml:space="preserve"> should average out to zero. The reversion in the LIS over recent years toward its historical average should not be considered a problem. Provided higher </w:t>
            </w:r>
            <w:proofErr w:type="spellStart"/>
            <w:r>
              <w:t>RULCs</w:t>
            </w:r>
            <w:proofErr w:type="spellEnd"/>
            <w:r>
              <w:t xml:space="preserve"> are not accompanied by increased unemployment, they can be in the national interest, as (in Australia’s case) they represent shifts in employment composition, and the attainment of allocative efficiency in labour markets. Domestically, this emphasises the importance of labour market flexibility, rather than concerns over international competitiveness, in the interpretation of recent </w:t>
            </w:r>
            <w:proofErr w:type="spellStart"/>
            <w:r>
              <w:t>RULC</w:t>
            </w:r>
            <w:proofErr w:type="spellEnd"/>
            <w:r>
              <w:t xml:space="preserve"> developments.</w:t>
            </w:r>
          </w:p>
        </w:tc>
      </w:tr>
      <w:tr w:rsidR="00F65C26" w14:paraId="1D0A704C" w14:textId="77777777" w:rsidTr="00AD60A3">
        <w:tc>
          <w:tcPr>
            <w:tcW w:w="8771" w:type="dxa"/>
            <w:tcBorders>
              <w:top w:val="nil"/>
              <w:left w:val="nil"/>
              <w:bottom w:val="nil"/>
              <w:right w:val="nil"/>
            </w:tcBorders>
            <w:shd w:val="clear" w:color="auto" w:fill="F2F2F2"/>
          </w:tcPr>
          <w:p w14:paraId="1D0A704B" w14:textId="77777777" w:rsidR="00F65C26" w:rsidRDefault="00F65C26" w:rsidP="00AD60A3">
            <w:pPr>
              <w:pStyle w:val="BoxSource"/>
            </w:pPr>
            <w:r>
              <w:rPr>
                <w:i/>
              </w:rPr>
              <w:t>Sources</w:t>
            </w:r>
            <w:r w:rsidRPr="00167F06">
              <w:t xml:space="preserve">: </w:t>
            </w:r>
            <w:r>
              <w:t xml:space="preserve">Solow </w:t>
            </w:r>
            <w:r w:rsidRPr="00BD7E30">
              <w:rPr>
                <w:rFonts w:cs="Arial"/>
                <w:sz w:val="20"/>
              </w:rPr>
              <w:t>(1956)</w:t>
            </w:r>
            <w:r>
              <w:t xml:space="preserve"> and Swan </w:t>
            </w:r>
            <w:r w:rsidRPr="00BD7E30">
              <w:rPr>
                <w:rFonts w:cs="Arial"/>
                <w:sz w:val="20"/>
              </w:rPr>
              <w:t>(1956)</w:t>
            </w:r>
            <w:r>
              <w:t>.</w:t>
            </w:r>
          </w:p>
        </w:tc>
      </w:tr>
      <w:tr w:rsidR="00F65C26" w14:paraId="1D0A704E" w14:textId="77777777" w:rsidTr="00AD60A3">
        <w:tc>
          <w:tcPr>
            <w:tcW w:w="8771" w:type="dxa"/>
            <w:tcBorders>
              <w:top w:val="nil"/>
              <w:left w:val="nil"/>
              <w:bottom w:val="single" w:sz="6" w:space="0" w:color="78A22F"/>
              <w:right w:val="nil"/>
            </w:tcBorders>
            <w:shd w:val="clear" w:color="auto" w:fill="F2F2F2"/>
          </w:tcPr>
          <w:p w14:paraId="1D0A704D" w14:textId="77777777" w:rsidR="00F65C26" w:rsidRDefault="00F65C26" w:rsidP="00AD60A3">
            <w:pPr>
              <w:pStyle w:val="Box"/>
              <w:spacing w:before="0" w:line="120" w:lineRule="exact"/>
            </w:pPr>
          </w:p>
        </w:tc>
      </w:tr>
      <w:tr w:rsidR="00F65C26" w:rsidRPr="000863A5" w14:paraId="1D0A7050" w14:textId="77777777" w:rsidTr="00AD60A3">
        <w:tc>
          <w:tcPr>
            <w:tcW w:w="8771" w:type="dxa"/>
            <w:tcBorders>
              <w:top w:val="single" w:sz="6" w:space="0" w:color="78A22F"/>
              <w:left w:val="nil"/>
              <w:bottom w:val="nil"/>
              <w:right w:val="nil"/>
            </w:tcBorders>
          </w:tcPr>
          <w:p w14:paraId="1D0A704F" w14:textId="77777777" w:rsidR="00F65C26" w:rsidRPr="00626D32" w:rsidRDefault="00F65C26" w:rsidP="00AD60A3">
            <w:pPr>
              <w:pStyle w:val="BoxSpaceBelow"/>
            </w:pPr>
          </w:p>
        </w:tc>
      </w:tr>
    </w:tbl>
    <w:p w14:paraId="1D0A7053" w14:textId="77777777" w:rsidR="006D078E" w:rsidRDefault="006D078E" w:rsidP="006D078E">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6D078E" w14:paraId="1D0A7056" w14:textId="77777777" w:rsidTr="006D078E">
        <w:trPr>
          <w:tblHeader/>
        </w:trPr>
        <w:tc>
          <w:tcPr>
            <w:tcW w:w="8771" w:type="dxa"/>
            <w:tcBorders>
              <w:top w:val="single" w:sz="6" w:space="0" w:color="78A22F"/>
              <w:left w:val="nil"/>
              <w:bottom w:val="nil"/>
              <w:right w:val="nil"/>
            </w:tcBorders>
            <w:shd w:val="clear" w:color="auto" w:fill="auto"/>
          </w:tcPr>
          <w:p w14:paraId="1D0A7054" w14:textId="77777777" w:rsidR="006D078E" w:rsidRDefault="006D078E" w:rsidP="006D078E">
            <w:pPr>
              <w:pStyle w:val="FigureTitle"/>
            </w:pPr>
            <w:r w:rsidRPr="00784A05">
              <w:rPr>
                <w:b w:val="0"/>
              </w:rPr>
              <w:t xml:space="preserve">Figure </w:t>
            </w:r>
            <w:r w:rsidR="00497B26">
              <w:rPr>
                <w:b w:val="0"/>
              </w:rPr>
              <w:t>1</w:t>
            </w:r>
            <w:r w:rsidR="001F4B4F">
              <w:rPr>
                <w:b w:val="0"/>
              </w:rPr>
              <w:t>6</w:t>
            </w:r>
            <w:r w:rsidR="00802BF1">
              <w:tab/>
              <w:t xml:space="preserve">Labour </w:t>
            </w:r>
            <w:r>
              <w:t xml:space="preserve">income </w:t>
            </w:r>
            <w:r w:rsidR="00802BF1">
              <w:t xml:space="preserve">share </w:t>
            </w:r>
            <w:proofErr w:type="spellStart"/>
            <w:r>
              <w:t>decomposition</w:t>
            </w:r>
            <w:r>
              <w:rPr>
                <w:vertAlign w:val="superscript"/>
              </w:rPr>
              <w:t>a</w:t>
            </w:r>
            <w:proofErr w:type="spellEnd"/>
          </w:p>
          <w:p w14:paraId="1D0A7055" w14:textId="77777777" w:rsidR="006D078E" w:rsidRPr="00176D3F" w:rsidRDefault="006D078E" w:rsidP="006D078E">
            <w:pPr>
              <w:pStyle w:val="Subtitle"/>
            </w:pPr>
            <w:r>
              <w:t>Whole of economy (19</w:t>
            </w:r>
            <w:r>
              <w:noBreakHyphen/>
              <w:t>industry sector)</w:t>
            </w:r>
          </w:p>
        </w:tc>
      </w:tr>
      <w:tr w:rsidR="006D078E" w14:paraId="1D0A705A" w14:textId="77777777" w:rsidTr="006D078E">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8504"/>
            </w:tblGrid>
            <w:tr w:rsidR="006D078E" w:rsidRPr="00B1465D" w14:paraId="1D0A7058" w14:textId="77777777" w:rsidTr="006D078E">
              <w:trPr>
                <w:tblHeader/>
                <w:jc w:val="center"/>
              </w:trPr>
              <w:tc>
                <w:tcPr>
                  <w:tcW w:w="5000" w:type="pct"/>
                  <w:tcBorders>
                    <w:top w:val="nil"/>
                    <w:bottom w:val="nil"/>
                  </w:tcBorders>
                </w:tcPr>
                <w:p w14:paraId="1D0A7057" w14:textId="77777777" w:rsidR="006D078E" w:rsidRPr="00B1465D" w:rsidRDefault="006D078E" w:rsidP="006D078E">
                  <w:pPr>
                    <w:pStyle w:val="Figure"/>
                    <w:spacing w:before="60" w:after="60"/>
                    <w:rPr>
                      <w:rFonts w:ascii="Arial" w:hAnsi="Arial" w:cs="Arial"/>
                      <w:sz w:val="18"/>
                      <w:szCs w:val="18"/>
                    </w:rPr>
                  </w:pPr>
                  <w:r>
                    <w:rPr>
                      <w:rFonts w:ascii="Arial" w:hAnsi="Arial" w:cs="Arial"/>
                      <w:noProof/>
                      <w:sz w:val="18"/>
                      <w:szCs w:val="18"/>
                    </w:rPr>
                    <w:drawing>
                      <wp:inline distT="0" distB="0" distL="0" distR="0" wp14:anchorId="1D0A71AE" wp14:editId="3A93A08F">
                        <wp:extent cx="5219700" cy="2735182"/>
                        <wp:effectExtent l="0" t="0" r="0" b="8255"/>
                        <wp:docPr id="29" name="Picture 29" descr="This figure presents the results of a decomposition of changes in the labour income share into contributions from a within industry effect and a between industry effect in the 1990s, the 2000s, and the period from 2010 to 2016. It highlights the impact of resources shifting between different sectors on the aggregate labour income share, and that recent growth in the labour income share has been driven by significant within industry grow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219700" cy="2735182"/>
                                </a:xfrm>
                                <a:prstGeom prst="rect">
                                  <a:avLst/>
                                </a:prstGeom>
                                <a:noFill/>
                                <a:ln>
                                  <a:noFill/>
                                </a:ln>
                              </pic:spPr>
                            </pic:pic>
                          </a:graphicData>
                        </a:graphic>
                      </wp:inline>
                    </w:drawing>
                  </w:r>
                </w:p>
              </w:tc>
            </w:tr>
          </w:tbl>
          <w:p w14:paraId="1D0A7059" w14:textId="77777777" w:rsidR="006D078E" w:rsidRDefault="006D078E" w:rsidP="006D078E">
            <w:pPr>
              <w:pStyle w:val="Figure"/>
            </w:pPr>
          </w:p>
        </w:tc>
      </w:tr>
      <w:tr w:rsidR="006D078E" w:rsidRPr="00176D3F" w14:paraId="1D0A705C" w14:textId="77777777" w:rsidTr="006D078E">
        <w:tc>
          <w:tcPr>
            <w:tcW w:w="8771" w:type="dxa"/>
            <w:tcBorders>
              <w:top w:val="nil"/>
              <w:left w:val="nil"/>
              <w:bottom w:val="nil"/>
              <w:right w:val="nil"/>
            </w:tcBorders>
            <w:shd w:val="clear" w:color="auto" w:fill="auto"/>
          </w:tcPr>
          <w:p w14:paraId="1D0A705B" w14:textId="7510818D" w:rsidR="006D078E" w:rsidRPr="00176D3F" w:rsidRDefault="006D078E" w:rsidP="006D078E">
            <w:pPr>
              <w:pStyle w:val="Note"/>
            </w:pPr>
            <w:r>
              <w:rPr>
                <w:rStyle w:val="NoteLabel"/>
              </w:rPr>
              <w:t>a</w:t>
            </w:r>
            <w:r>
              <w:t xml:space="preserve"> For a description of the methodology, see Parham (2013), </w:t>
            </w:r>
            <w:r w:rsidR="00EE434A">
              <w:t>a</w:t>
            </w:r>
            <w:r>
              <w:t>ppendix</w:t>
            </w:r>
            <w:r w:rsidR="00166F83">
              <w:t> </w:t>
            </w:r>
            <w:r>
              <w:t>A</w:t>
            </w:r>
            <w:r w:rsidR="00802BF1">
              <w:t xml:space="preserve">, </w:t>
            </w:r>
            <w:r w:rsidR="00EE434A">
              <w:t>s</w:t>
            </w:r>
            <w:r w:rsidR="00802BF1">
              <w:t xml:space="preserve">ection </w:t>
            </w:r>
            <w:proofErr w:type="spellStart"/>
            <w:r w:rsidR="00802BF1">
              <w:t>A</w:t>
            </w:r>
            <w:r>
              <w:t>.4</w:t>
            </w:r>
            <w:proofErr w:type="spellEnd"/>
            <w:r>
              <w:t>.</w:t>
            </w:r>
          </w:p>
        </w:tc>
      </w:tr>
      <w:tr w:rsidR="006D078E" w:rsidRPr="00176D3F" w14:paraId="1D0A705E" w14:textId="77777777" w:rsidTr="006D078E">
        <w:tc>
          <w:tcPr>
            <w:tcW w:w="8771" w:type="dxa"/>
            <w:tcBorders>
              <w:top w:val="nil"/>
              <w:left w:val="nil"/>
              <w:bottom w:val="nil"/>
              <w:right w:val="nil"/>
            </w:tcBorders>
            <w:shd w:val="clear" w:color="auto" w:fill="auto"/>
          </w:tcPr>
          <w:p w14:paraId="1D0A705D" w14:textId="4B724EF4" w:rsidR="006D078E" w:rsidRPr="00176D3F" w:rsidRDefault="00EE434A" w:rsidP="00BD7E30">
            <w:pPr>
              <w:pStyle w:val="Source"/>
            </w:pPr>
            <w:r>
              <w:rPr>
                <w:i/>
              </w:rPr>
              <w:t>S</w:t>
            </w:r>
            <w:r w:rsidR="006D078E" w:rsidRPr="00784A05">
              <w:rPr>
                <w:i/>
              </w:rPr>
              <w:t>ource</w:t>
            </w:r>
            <w:r>
              <w:rPr>
                <w:i/>
              </w:rPr>
              <w:t>s</w:t>
            </w:r>
            <w:r w:rsidR="006D078E" w:rsidRPr="00176D3F">
              <w:t xml:space="preserve">: </w:t>
            </w:r>
            <w:r w:rsidR="00BD7E30">
              <w:t xml:space="preserve">ABS </w:t>
            </w:r>
            <w:r w:rsidR="00BD7E30" w:rsidRPr="00BD7E30">
              <w:rPr>
                <w:rFonts w:cs="Arial"/>
              </w:rPr>
              <w:t>(</w:t>
            </w:r>
            <w:proofErr w:type="spellStart"/>
            <w:r w:rsidR="00BD7E30" w:rsidRPr="00BD7E30">
              <w:rPr>
                <w:rFonts w:cs="Arial"/>
              </w:rPr>
              <w:t>2016a</w:t>
            </w:r>
            <w:proofErr w:type="spellEnd"/>
            <w:r w:rsidR="00BD7E30" w:rsidRPr="00BD7E30">
              <w:rPr>
                <w:rFonts w:cs="Arial"/>
              </w:rPr>
              <w:t>)</w:t>
            </w:r>
            <w:r w:rsidR="00BD7E30">
              <w:t xml:space="preserve"> </w:t>
            </w:r>
            <w:r w:rsidR="00DB64F0" w:rsidRPr="00DB64F0">
              <w:rPr>
                <w:i/>
              </w:rPr>
              <w:t>System of National Accounts, 2015</w:t>
            </w:r>
            <w:r w:rsidR="00DB64F0" w:rsidRPr="00DB64F0">
              <w:rPr>
                <w:i/>
              </w:rPr>
              <w:noBreakHyphen/>
              <w:t>16</w:t>
            </w:r>
            <w:r w:rsidR="00DB64F0">
              <w:t xml:space="preserve">, </w:t>
            </w:r>
            <w:r w:rsidR="00BD7E30">
              <w:t>C</w:t>
            </w:r>
            <w:r w:rsidR="006D078E">
              <w:t>at. no. 5204.0</w:t>
            </w:r>
            <w:r w:rsidR="00BD7E30">
              <w:t xml:space="preserve"> and ABS </w:t>
            </w:r>
            <w:r w:rsidR="00AD0CC1" w:rsidRPr="00AD0CC1">
              <w:rPr>
                <w:rFonts w:cs="Arial"/>
              </w:rPr>
              <w:t>(</w:t>
            </w:r>
            <w:proofErr w:type="spellStart"/>
            <w:r w:rsidR="00AD0CC1" w:rsidRPr="00AD0CC1">
              <w:rPr>
                <w:rFonts w:cs="Arial"/>
              </w:rPr>
              <w:t>2016d</w:t>
            </w:r>
            <w:proofErr w:type="spellEnd"/>
            <w:r w:rsidR="00AD0CC1" w:rsidRPr="00AD0CC1">
              <w:rPr>
                <w:rFonts w:cs="Arial"/>
              </w:rPr>
              <w:t>)</w:t>
            </w:r>
            <w:r w:rsidR="00BD7E30">
              <w:t xml:space="preserve"> </w:t>
            </w:r>
            <w:r w:rsidR="00DB64F0" w:rsidRPr="00DB64F0">
              <w:rPr>
                <w:i/>
              </w:rPr>
              <w:t>Estimates of Industry Multifactor Productivity, 2015</w:t>
            </w:r>
            <w:r w:rsidR="00DB64F0" w:rsidRPr="00DB64F0">
              <w:rPr>
                <w:i/>
              </w:rPr>
              <w:noBreakHyphen/>
              <w:t>16</w:t>
            </w:r>
            <w:r w:rsidR="00DB64F0">
              <w:t xml:space="preserve">, </w:t>
            </w:r>
            <w:r w:rsidR="00BD7E30">
              <w:t>C</w:t>
            </w:r>
            <w:r w:rsidR="006D078E">
              <w:t xml:space="preserve">at. no. 5260.0.55.002 </w:t>
            </w:r>
            <w:r w:rsidR="00BD7E30">
              <w:t>and Productivity Commission estimates</w:t>
            </w:r>
            <w:r w:rsidR="006D078E">
              <w:t>.</w:t>
            </w:r>
          </w:p>
        </w:tc>
      </w:tr>
      <w:tr w:rsidR="006D078E" w14:paraId="1D0A7060" w14:textId="77777777" w:rsidTr="006D078E">
        <w:tc>
          <w:tcPr>
            <w:tcW w:w="8771" w:type="dxa"/>
            <w:tcBorders>
              <w:top w:val="nil"/>
              <w:left w:val="nil"/>
              <w:bottom w:val="single" w:sz="6" w:space="0" w:color="78A22F"/>
              <w:right w:val="nil"/>
            </w:tcBorders>
            <w:shd w:val="clear" w:color="auto" w:fill="auto"/>
          </w:tcPr>
          <w:p w14:paraId="1D0A705F" w14:textId="77777777" w:rsidR="006D078E" w:rsidRDefault="006D078E" w:rsidP="006D078E">
            <w:pPr>
              <w:pStyle w:val="Figurespace"/>
            </w:pPr>
          </w:p>
        </w:tc>
      </w:tr>
      <w:tr w:rsidR="006D078E" w:rsidRPr="000863A5" w14:paraId="1D0A7062" w14:textId="77777777" w:rsidTr="006D078E">
        <w:tc>
          <w:tcPr>
            <w:tcW w:w="8771" w:type="dxa"/>
            <w:tcBorders>
              <w:top w:val="single" w:sz="6" w:space="0" w:color="78A22F"/>
              <w:left w:val="nil"/>
              <w:bottom w:val="nil"/>
              <w:right w:val="nil"/>
            </w:tcBorders>
          </w:tcPr>
          <w:p w14:paraId="1D0A7061" w14:textId="77777777" w:rsidR="006D078E" w:rsidRPr="00626D32" w:rsidRDefault="006D078E" w:rsidP="006D078E">
            <w:pPr>
              <w:pStyle w:val="BoxSpaceBelow"/>
            </w:pPr>
          </w:p>
        </w:tc>
      </w:tr>
    </w:tbl>
    <w:p w14:paraId="1D0A7063" w14:textId="77777777" w:rsidR="00335B09" w:rsidRPr="00802BF1" w:rsidRDefault="003574D5" w:rsidP="00802BF1">
      <w:pPr>
        <w:pStyle w:val="Heading3"/>
      </w:pPr>
      <w:r>
        <w:t>Inequality, productivity, and incomes</w:t>
      </w:r>
    </w:p>
    <w:p w14:paraId="1D0A7064" w14:textId="77777777" w:rsidR="00E26B38" w:rsidRDefault="00E26B38" w:rsidP="00275795">
      <w:pPr>
        <w:pStyle w:val="Heading4"/>
        <w:spacing w:before="240"/>
      </w:pPr>
      <w:r>
        <w:t>Inequality and fiscal sustainability</w:t>
      </w:r>
    </w:p>
    <w:p w14:paraId="1D0A7065" w14:textId="3B8A232A" w:rsidR="00D715A9" w:rsidRDefault="000E79CE" w:rsidP="00AF0742">
      <w:pPr>
        <w:pStyle w:val="BodyText"/>
      </w:pPr>
      <w:r>
        <w:t>Australia has performed well on v</w:t>
      </w:r>
      <w:r w:rsidR="005C2A1A">
        <w:t>arious indicators of inequality.</w:t>
      </w:r>
      <w:r>
        <w:t xml:space="preserve"> </w:t>
      </w:r>
      <w:r w:rsidR="005C2A1A">
        <w:t>A</w:t>
      </w:r>
      <w:r>
        <w:t xml:space="preserve"> number of studies </w:t>
      </w:r>
      <w:r w:rsidR="005C2A1A">
        <w:t>have found</w:t>
      </w:r>
      <w:r>
        <w:t xml:space="preserve"> that measures of inequality have </w:t>
      </w:r>
      <w:r w:rsidR="005C2A1A">
        <w:t xml:space="preserve">not significantly changed </w:t>
      </w:r>
      <w:r>
        <w:t xml:space="preserve">over recent years </w:t>
      </w:r>
      <w:r w:rsidR="00C943F9" w:rsidRPr="00C943F9">
        <w:rPr>
          <w:szCs w:val="24"/>
        </w:rPr>
        <w:t>(</w:t>
      </w:r>
      <w:proofErr w:type="spellStart"/>
      <w:r w:rsidR="00C943F9" w:rsidRPr="00C943F9">
        <w:rPr>
          <w:szCs w:val="24"/>
        </w:rPr>
        <w:t>Dollman</w:t>
      </w:r>
      <w:proofErr w:type="spellEnd"/>
      <w:r w:rsidR="00C943F9" w:rsidRPr="00C943F9">
        <w:rPr>
          <w:szCs w:val="24"/>
        </w:rPr>
        <w:t xml:space="preserve"> et al. 2015; Fletcher and </w:t>
      </w:r>
      <w:proofErr w:type="spellStart"/>
      <w:r w:rsidR="00C943F9" w:rsidRPr="00C943F9">
        <w:rPr>
          <w:szCs w:val="24"/>
        </w:rPr>
        <w:t>Guttman</w:t>
      </w:r>
      <w:proofErr w:type="spellEnd"/>
      <w:r w:rsidR="00C943F9" w:rsidRPr="00C943F9">
        <w:rPr>
          <w:szCs w:val="24"/>
        </w:rPr>
        <w:t xml:space="preserve"> 2013; Greenville, </w:t>
      </w:r>
      <w:proofErr w:type="spellStart"/>
      <w:r w:rsidR="00C943F9" w:rsidRPr="00C943F9">
        <w:rPr>
          <w:szCs w:val="24"/>
        </w:rPr>
        <w:t>Pobke</w:t>
      </w:r>
      <w:proofErr w:type="spellEnd"/>
      <w:r w:rsidR="00C943F9" w:rsidRPr="00C943F9">
        <w:rPr>
          <w:szCs w:val="24"/>
        </w:rPr>
        <w:t xml:space="preserve"> and Rogers 2013; Wilkins 2016, 2017)</w:t>
      </w:r>
      <w:r>
        <w:t xml:space="preserve">. This </w:t>
      </w:r>
      <w:r w:rsidR="00677E8A">
        <w:t>is because</w:t>
      </w:r>
      <w:r>
        <w:t xml:space="preserve"> Australia’s tax and transfer system has generally </w:t>
      </w:r>
      <w:r w:rsidR="00170C4B">
        <w:t>been successful</w:t>
      </w:r>
      <w:r>
        <w:t xml:space="preserve"> in </w:t>
      </w:r>
      <w:r w:rsidR="005C2A1A">
        <w:t xml:space="preserve">redistributing income to support those on </w:t>
      </w:r>
      <w:r>
        <w:t>low income</w:t>
      </w:r>
      <w:r w:rsidR="005C2A1A">
        <w:t>s</w:t>
      </w:r>
      <w:r w:rsidR="00483410">
        <w:t xml:space="preserve">, and that growth in wage income for those on low incomes has generally been strong </w:t>
      </w:r>
      <w:r w:rsidR="00C87F80">
        <w:t xml:space="preserve">compared </w:t>
      </w:r>
      <w:r w:rsidR="00D715A9">
        <w:t>with</w:t>
      </w:r>
      <w:r w:rsidR="00483410" w:rsidDel="00991DE9">
        <w:t xml:space="preserve"> </w:t>
      </w:r>
      <w:r w:rsidR="00991DE9">
        <w:t>growth</w:t>
      </w:r>
      <w:r w:rsidR="00483410">
        <w:t xml:space="preserve"> in other countries</w:t>
      </w:r>
      <w:r w:rsidR="00D715A9">
        <w:t xml:space="preserve"> </w:t>
      </w:r>
      <w:r w:rsidR="00C943F9" w:rsidRPr="00C943F9">
        <w:rPr>
          <w:szCs w:val="24"/>
        </w:rPr>
        <w:t>(OECD 2011)</w:t>
      </w:r>
      <w:r w:rsidR="00D715A9">
        <w:t>.</w:t>
      </w:r>
      <w:r w:rsidR="00252996">
        <w:t xml:space="preserve"> </w:t>
      </w:r>
    </w:p>
    <w:p w14:paraId="1D0A7066" w14:textId="053E3243" w:rsidR="00D756B0" w:rsidRDefault="00D756B0" w:rsidP="00AF0742">
      <w:pPr>
        <w:pStyle w:val="BodyText"/>
      </w:pPr>
      <w:r>
        <w:t xml:space="preserve">That the tax and transfer system has successfully supported those in genuine need is undeniably positive. However, it </w:t>
      </w:r>
      <w:r w:rsidR="00483410">
        <w:t xml:space="preserve">can potentially </w:t>
      </w:r>
      <w:r>
        <w:t>distract from observable</w:t>
      </w:r>
      <w:r w:rsidR="00483410">
        <w:t xml:space="preserve"> increases in wage income inequality in Australia</w:t>
      </w:r>
      <w:r>
        <w:t xml:space="preserve"> (that is, a function of the wage rate and hours worked, taken before tax and not including transfers) (figure </w:t>
      </w:r>
      <w:r w:rsidR="00956275">
        <w:t>1</w:t>
      </w:r>
      <w:r w:rsidR="00CF0E9C">
        <w:t>7</w:t>
      </w:r>
      <w:r>
        <w:t>)</w:t>
      </w:r>
      <w:r w:rsidR="00483410">
        <w:t xml:space="preserve">. </w:t>
      </w:r>
      <w:r>
        <w:t>Such</w:t>
      </w:r>
      <w:r w:rsidR="00483410">
        <w:t xml:space="preserve"> inequality is not necessarily problematic if those on low incomes continue to experience growth in real incomes (either as a function of </w:t>
      </w:r>
      <w:r w:rsidR="00BE21F9">
        <w:t xml:space="preserve">growth in </w:t>
      </w:r>
      <w:r w:rsidR="00483410">
        <w:t xml:space="preserve">wages, or </w:t>
      </w:r>
      <w:r>
        <w:t>average hours)</w:t>
      </w:r>
      <w:r w:rsidR="00170C4B">
        <w:t xml:space="preserve"> and the tax and transfer system itself is </w:t>
      </w:r>
      <w:r w:rsidR="00170C4B" w:rsidRPr="00BE21F9">
        <w:rPr>
          <w:i/>
        </w:rPr>
        <w:t>sustainable</w:t>
      </w:r>
      <w:r>
        <w:t xml:space="preserve">. </w:t>
      </w:r>
    </w:p>
    <w:p w14:paraId="1D0A7067" w14:textId="77777777" w:rsidR="00621BB2" w:rsidRDefault="00621BB2" w:rsidP="0069048B">
      <w:pPr>
        <w:pStyle w:val="BoxSpaceAbove"/>
      </w:pPr>
    </w:p>
    <w:tbl>
      <w:tblPr>
        <w:tblW w:w="4843" w:type="pct"/>
        <w:tblInd w:w="142"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804"/>
      </w:tblGrid>
      <w:tr w:rsidR="00621BB2" w14:paraId="1D0A706A" w14:textId="77777777" w:rsidTr="00900637">
        <w:trPr>
          <w:tblHeader/>
        </w:trPr>
        <w:tc>
          <w:tcPr>
            <w:tcW w:w="5000" w:type="pct"/>
            <w:tcBorders>
              <w:top w:val="single" w:sz="6" w:space="0" w:color="78A22F"/>
              <w:left w:val="nil"/>
              <w:bottom w:val="nil"/>
              <w:right w:val="nil"/>
            </w:tcBorders>
            <w:shd w:val="clear" w:color="auto" w:fill="auto"/>
          </w:tcPr>
          <w:p w14:paraId="1D0A7068" w14:textId="77777777" w:rsidR="00621BB2" w:rsidRDefault="00621BB2" w:rsidP="0069048B">
            <w:pPr>
              <w:pStyle w:val="FigureTitle"/>
            </w:pPr>
            <w:r w:rsidRPr="00784A05">
              <w:rPr>
                <w:b w:val="0"/>
              </w:rPr>
              <w:t xml:space="preserve">Figure </w:t>
            </w:r>
            <w:r w:rsidR="00497B26">
              <w:rPr>
                <w:b w:val="0"/>
              </w:rPr>
              <w:t>1</w:t>
            </w:r>
            <w:r w:rsidR="001F4B4F">
              <w:rPr>
                <w:b w:val="0"/>
              </w:rPr>
              <w:t>7</w:t>
            </w:r>
            <w:r>
              <w:tab/>
            </w:r>
            <w:r w:rsidR="00470184">
              <w:t xml:space="preserve">Wage income growth by </w:t>
            </w:r>
            <w:proofErr w:type="spellStart"/>
            <w:r w:rsidR="00470184">
              <w:t>percentile</w:t>
            </w:r>
            <w:r w:rsidR="00470184">
              <w:rPr>
                <w:vertAlign w:val="superscript"/>
              </w:rPr>
              <w:t>a</w:t>
            </w:r>
            <w:proofErr w:type="spellEnd"/>
          </w:p>
          <w:p w14:paraId="1D0A7069" w14:textId="7B4BC80B" w:rsidR="00621BB2" w:rsidRPr="00176D3F" w:rsidRDefault="00470184" w:rsidP="0069048B">
            <w:pPr>
              <w:pStyle w:val="Subtitle"/>
            </w:pPr>
            <w:r>
              <w:t>Real average weekly earnings (non</w:t>
            </w:r>
            <w:r w:rsidR="00EE434A">
              <w:noBreakHyphen/>
            </w:r>
            <w:r>
              <w:t>managerial, adult employees only)</w:t>
            </w:r>
          </w:p>
        </w:tc>
      </w:tr>
      <w:tr w:rsidR="00621BB2" w14:paraId="1D0A706E" w14:textId="77777777" w:rsidTr="00900637">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20"/>
            </w:tblGrid>
            <w:tr w:rsidR="00621BB2" w:rsidRPr="00B1465D" w14:paraId="1D0A706C" w14:textId="77777777" w:rsidTr="0069048B">
              <w:trPr>
                <w:tblHeader/>
                <w:jc w:val="center"/>
              </w:trPr>
              <w:tc>
                <w:tcPr>
                  <w:tcW w:w="5000" w:type="pct"/>
                  <w:tcBorders>
                    <w:top w:val="nil"/>
                    <w:bottom w:val="nil"/>
                  </w:tcBorders>
                </w:tcPr>
                <w:p w14:paraId="1D0A706B" w14:textId="77777777" w:rsidR="00621BB2" w:rsidRPr="00B1465D" w:rsidRDefault="00E26B38" w:rsidP="0069048B">
                  <w:pPr>
                    <w:pStyle w:val="Figure"/>
                    <w:spacing w:before="60" w:after="60"/>
                    <w:rPr>
                      <w:rFonts w:ascii="Arial" w:hAnsi="Arial" w:cs="Arial"/>
                      <w:sz w:val="18"/>
                      <w:szCs w:val="18"/>
                    </w:rPr>
                  </w:pPr>
                  <w:r w:rsidRPr="00E26B38">
                    <w:rPr>
                      <w:rFonts w:ascii="Arial" w:hAnsi="Arial" w:cs="Arial"/>
                      <w:noProof/>
                      <w:sz w:val="18"/>
                      <w:szCs w:val="18"/>
                    </w:rPr>
                    <w:drawing>
                      <wp:inline distT="0" distB="0" distL="0" distR="0" wp14:anchorId="1D0A71B0" wp14:editId="67D697E9">
                        <wp:extent cx="5402580" cy="2877185"/>
                        <wp:effectExtent l="0" t="0" r="7620" b="0"/>
                        <wp:docPr id="10" name="Picture 10" descr="This figure shows indexes of real wage income (that is real incomes before tax and not adjusting for transfers) from 1975 to 2016 across income percentiles. It highlights that wage income growth was broadly similar and flat for both poor and rich individuals from 1975 until the late 1980s. Since then, there has been significant divergence in wage income growth across income percentiles, with higher-income individuals’ wage incomes growing at a faster rate than lower-income individuals. Despite this, real wage incomes have grown for those at the lower end of the wage income spectru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402580" cy="2877185"/>
                                </a:xfrm>
                                <a:prstGeom prst="rect">
                                  <a:avLst/>
                                </a:prstGeom>
                                <a:noFill/>
                                <a:ln>
                                  <a:noFill/>
                                </a:ln>
                              </pic:spPr>
                            </pic:pic>
                          </a:graphicData>
                        </a:graphic>
                      </wp:inline>
                    </w:drawing>
                  </w:r>
                </w:p>
              </w:tc>
            </w:tr>
          </w:tbl>
          <w:p w14:paraId="1D0A706D" w14:textId="77777777" w:rsidR="00621BB2" w:rsidRDefault="00621BB2" w:rsidP="0069048B">
            <w:pPr>
              <w:pStyle w:val="Figure"/>
            </w:pPr>
          </w:p>
        </w:tc>
      </w:tr>
      <w:tr w:rsidR="00621BB2" w:rsidRPr="00176D3F" w14:paraId="1D0A7070" w14:textId="77777777" w:rsidTr="00900637">
        <w:tc>
          <w:tcPr>
            <w:tcW w:w="5000" w:type="pct"/>
            <w:tcBorders>
              <w:top w:val="nil"/>
              <w:left w:val="nil"/>
              <w:bottom w:val="nil"/>
              <w:right w:val="nil"/>
            </w:tcBorders>
            <w:shd w:val="clear" w:color="auto" w:fill="auto"/>
          </w:tcPr>
          <w:p w14:paraId="1D0A706F" w14:textId="0CE213FF" w:rsidR="00621BB2" w:rsidRPr="00176D3F" w:rsidRDefault="00621BB2" w:rsidP="003C548A">
            <w:pPr>
              <w:pStyle w:val="Note"/>
            </w:pPr>
            <w:proofErr w:type="spellStart"/>
            <w:r>
              <w:rPr>
                <w:rStyle w:val="NoteLabel"/>
              </w:rPr>
              <w:t>a</w:t>
            </w:r>
            <w:proofErr w:type="spellEnd"/>
            <w:r>
              <w:t xml:space="preserve"> </w:t>
            </w:r>
            <w:r w:rsidR="00470184" w:rsidRPr="00470184">
              <w:t xml:space="preserve">Average weekly earnings represent average gross (before tax) earnings of employees and do not relate to average award rates nor to the earnings of the </w:t>
            </w:r>
            <w:r w:rsidR="00EE434A">
              <w:t>‘</w:t>
            </w:r>
            <w:r w:rsidR="00470184" w:rsidRPr="00470184">
              <w:t>average person</w:t>
            </w:r>
            <w:r w:rsidR="00EE434A">
              <w:t>’</w:t>
            </w:r>
            <w:r w:rsidR="00470184" w:rsidRPr="00470184">
              <w:t>. Estimates of average weekly earnings are derived by dividing estimates of weekly total earnings by e</w:t>
            </w:r>
            <w:r w:rsidR="003C548A">
              <w:t>stimates of number of employees</w:t>
            </w:r>
            <w:r>
              <w:t xml:space="preserve">. </w:t>
            </w:r>
          </w:p>
        </w:tc>
      </w:tr>
      <w:tr w:rsidR="00621BB2" w:rsidRPr="00176D3F" w14:paraId="1D0A7072" w14:textId="77777777" w:rsidTr="00900637">
        <w:tc>
          <w:tcPr>
            <w:tcW w:w="5000" w:type="pct"/>
            <w:tcBorders>
              <w:top w:val="nil"/>
              <w:left w:val="nil"/>
              <w:bottom w:val="nil"/>
              <w:right w:val="nil"/>
            </w:tcBorders>
            <w:shd w:val="clear" w:color="auto" w:fill="auto"/>
          </w:tcPr>
          <w:p w14:paraId="1D0A7071" w14:textId="6CF8ED21" w:rsidR="00621BB2" w:rsidRPr="00176D3F" w:rsidRDefault="00EE434A" w:rsidP="003C548A">
            <w:pPr>
              <w:pStyle w:val="Source"/>
            </w:pPr>
            <w:r>
              <w:rPr>
                <w:i/>
              </w:rPr>
              <w:t>S</w:t>
            </w:r>
            <w:r w:rsidR="00621BB2" w:rsidRPr="00784A05">
              <w:rPr>
                <w:i/>
              </w:rPr>
              <w:t>ource</w:t>
            </w:r>
            <w:r w:rsidR="003C548A">
              <w:rPr>
                <w:i/>
              </w:rPr>
              <w:t>s</w:t>
            </w:r>
            <w:r w:rsidR="00621BB2" w:rsidRPr="00176D3F">
              <w:t xml:space="preserve">: </w:t>
            </w:r>
            <w:r w:rsidR="003C548A">
              <w:t xml:space="preserve">Leigh </w:t>
            </w:r>
            <w:r w:rsidR="003C548A" w:rsidRPr="003C548A">
              <w:rPr>
                <w:rFonts w:cs="Arial"/>
              </w:rPr>
              <w:t>(2013)</w:t>
            </w:r>
            <w:r w:rsidR="00470184">
              <w:t xml:space="preserve">, ABS </w:t>
            </w:r>
            <w:r w:rsidR="00AD0CC1" w:rsidRPr="00AD0CC1">
              <w:rPr>
                <w:rFonts w:cs="Arial"/>
              </w:rPr>
              <w:t>(</w:t>
            </w:r>
            <w:proofErr w:type="spellStart"/>
            <w:r w:rsidR="00AD0CC1" w:rsidRPr="00AD0CC1">
              <w:rPr>
                <w:rFonts w:cs="Arial"/>
              </w:rPr>
              <w:t>2016c</w:t>
            </w:r>
            <w:proofErr w:type="spellEnd"/>
            <w:r w:rsidR="00AD0CC1" w:rsidRPr="00AD0CC1">
              <w:rPr>
                <w:rFonts w:cs="Arial"/>
              </w:rPr>
              <w:t>)</w:t>
            </w:r>
            <w:r w:rsidR="003C548A">
              <w:t xml:space="preserve"> </w:t>
            </w:r>
            <w:r w:rsidR="00DB64F0" w:rsidRPr="00DB64F0">
              <w:rPr>
                <w:i/>
              </w:rPr>
              <w:t>Employee Earnings and Hours, Australia</w:t>
            </w:r>
            <w:r w:rsidR="00DB64F0">
              <w:t xml:space="preserve"> (various issues), </w:t>
            </w:r>
            <w:r w:rsidR="0097472F">
              <w:t>Cat.</w:t>
            </w:r>
            <w:r w:rsidR="00DB64F0">
              <w:t> </w:t>
            </w:r>
            <w:r w:rsidR="0097472F">
              <w:t xml:space="preserve">no. </w:t>
            </w:r>
            <w:r w:rsidR="0097472F" w:rsidRPr="0097472F">
              <w:t>6306.0</w:t>
            </w:r>
            <w:r w:rsidR="0097472F">
              <w:t xml:space="preserve">. </w:t>
            </w:r>
          </w:p>
        </w:tc>
      </w:tr>
      <w:tr w:rsidR="00621BB2" w14:paraId="1D0A7074" w14:textId="77777777" w:rsidTr="00900637">
        <w:tc>
          <w:tcPr>
            <w:tcW w:w="5000" w:type="pct"/>
            <w:tcBorders>
              <w:top w:val="nil"/>
              <w:left w:val="nil"/>
              <w:bottom w:val="single" w:sz="6" w:space="0" w:color="78A22F"/>
              <w:right w:val="nil"/>
            </w:tcBorders>
            <w:shd w:val="clear" w:color="auto" w:fill="auto"/>
          </w:tcPr>
          <w:p w14:paraId="1D0A7073" w14:textId="77777777" w:rsidR="00621BB2" w:rsidRDefault="00621BB2" w:rsidP="0069048B">
            <w:pPr>
              <w:pStyle w:val="Figurespace"/>
            </w:pPr>
          </w:p>
        </w:tc>
      </w:tr>
      <w:tr w:rsidR="00621BB2" w:rsidRPr="000863A5" w14:paraId="1D0A7076" w14:textId="77777777" w:rsidTr="00900637">
        <w:tc>
          <w:tcPr>
            <w:tcW w:w="5000" w:type="pct"/>
            <w:tcBorders>
              <w:top w:val="single" w:sz="6" w:space="0" w:color="78A22F"/>
              <w:left w:val="nil"/>
              <w:bottom w:val="nil"/>
              <w:right w:val="nil"/>
            </w:tcBorders>
          </w:tcPr>
          <w:p w14:paraId="1D0A7075" w14:textId="77777777" w:rsidR="00621BB2" w:rsidRPr="00626D32" w:rsidRDefault="00621BB2" w:rsidP="0069048B">
            <w:pPr>
              <w:pStyle w:val="BoxSpaceBelow"/>
            </w:pPr>
          </w:p>
        </w:tc>
      </w:tr>
    </w:tbl>
    <w:p w14:paraId="1D0A7077" w14:textId="7DBC35B5" w:rsidR="005C2A1A" w:rsidRDefault="00965FC6" w:rsidP="00AF0742">
      <w:pPr>
        <w:pStyle w:val="BodyText"/>
      </w:pPr>
      <w:r>
        <w:t>The ability of the transfer system to continue to support those on low inco</w:t>
      </w:r>
      <w:r w:rsidR="009024F4">
        <w:t xml:space="preserve">me rests on </w:t>
      </w:r>
      <w:r w:rsidR="00677E8A">
        <w:t xml:space="preserve">the </w:t>
      </w:r>
      <w:r w:rsidR="00170C4B">
        <w:t xml:space="preserve">ability and </w:t>
      </w:r>
      <w:r w:rsidR="00677E8A">
        <w:t>willingness of the community to continue to support the system. The cost of the system</w:t>
      </w:r>
      <w:r w:rsidR="009024F4">
        <w:t xml:space="preserve"> is determined by </w:t>
      </w:r>
      <w:r w:rsidR="00621BB2">
        <w:t xml:space="preserve">the individual policy settings </w:t>
      </w:r>
      <w:r w:rsidR="009024F4">
        <w:t>dictating</w:t>
      </w:r>
      <w:r w:rsidR="00621BB2">
        <w:t xml:space="preserve"> eligibility for different kinds of government transfers</w:t>
      </w:r>
      <w:r w:rsidR="00CC7FFE">
        <w:t xml:space="preserve"> (provided</w:t>
      </w:r>
      <w:r w:rsidR="007B7486">
        <w:t xml:space="preserve"> either</w:t>
      </w:r>
      <w:r w:rsidR="00CC7FFE">
        <w:t xml:space="preserve"> as direct cash transfers or in kind)</w:t>
      </w:r>
      <w:r w:rsidR="00621BB2">
        <w:t xml:space="preserve">, </w:t>
      </w:r>
      <w:r w:rsidR="00CC7FFE">
        <w:t xml:space="preserve">the </w:t>
      </w:r>
      <w:r w:rsidR="003B78FB">
        <w:t>size of</w:t>
      </w:r>
      <w:r w:rsidR="00CC7FFE">
        <w:t xml:space="preserve"> those transfers, </w:t>
      </w:r>
      <w:r w:rsidR="00621BB2">
        <w:t xml:space="preserve">the </w:t>
      </w:r>
      <w:r w:rsidR="000576FE">
        <w:t>progressive nature of the taxation system</w:t>
      </w:r>
      <w:r w:rsidR="007B7486">
        <w:t>, and the broader revenue raising capacity of governments.</w:t>
      </w:r>
    </w:p>
    <w:p w14:paraId="75645F79" w14:textId="06484B8C" w:rsidR="00AD3444" w:rsidRDefault="00E26B38" w:rsidP="00E26B38">
      <w:pPr>
        <w:pStyle w:val="BodyText"/>
      </w:pPr>
      <w:r>
        <w:t>Despite</w:t>
      </w:r>
      <w:r w:rsidR="000576FE">
        <w:t>, or perhaps because of,</w:t>
      </w:r>
      <w:r>
        <w:t xml:space="preserve"> significant growth in </w:t>
      </w:r>
      <w:r w:rsidR="00E736DF">
        <w:t xml:space="preserve">average </w:t>
      </w:r>
      <w:r w:rsidR="00170C4B">
        <w:t>incomes</w:t>
      </w:r>
      <w:r>
        <w:t xml:space="preserve"> over the </w:t>
      </w:r>
      <w:r w:rsidR="00170C4B">
        <w:t>p</w:t>
      </w:r>
      <w:r>
        <w:t xml:space="preserve">ast two decades, the goods and services </w:t>
      </w:r>
      <w:r w:rsidR="00E736DF">
        <w:t>provided</w:t>
      </w:r>
      <w:r>
        <w:t xml:space="preserve"> by governments have grown (</w:t>
      </w:r>
      <w:r w:rsidR="003978B9">
        <w:t>recent</w:t>
      </w:r>
      <w:r>
        <w:t xml:space="preserve"> example</w:t>
      </w:r>
      <w:r w:rsidR="003978B9">
        <w:t xml:space="preserve">s include </w:t>
      </w:r>
      <w:r>
        <w:t>the National Disability Insurance Scheme</w:t>
      </w:r>
      <w:r w:rsidR="003978B9">
        <w:t xml:space="preserve"> and increases in </w:t>
      </w:r>
      <w:r>
        <w:t>school funding).</w:t>
      </w:r>
      <w:r w:rsidR="00EE1D0A">
        <w:rPr>
          <w:rStyle w:val="FootnoteReference"/>
        </w:rPr>
        <w:footnoteReference w:id="31"/>
      </w:r>
      <w:r>
        <w:t xml:space="preserve"> This, in addition to the demand for health services </w:t>
      </w:r>
      <w:r w:rsidR="000576FE">
        <w:t xml:space="preserve">with an </w:t>
      </w:r>
      <w:r>
        <w:t>ageing</w:t>
      </w:r>
      <w:r w:rsidR="000576FE">
        <w:t xml:space="preserve"> population</w:t>
      </w:r>
      <w:r>
        <w:t>, imply a transfer system that will conti</w:t>
      </w:r>
      <w:r w:rsidR="003C548A">
        <w:t xml:space="preserve">nue to grow faster than output </w:t>
      </w:r>
      <w:r w:rsidR="003C548A" w:rsidRPr="003C548A">
        <w:rPr>
          <w:szCs w:val="24"/>
        </w:rPr>
        <w:t>(Parkinson 2012)</w:t>
      </w:r>
      <w:r>
        <w:t xml:space="preserve">. </w:t>
      </w:r>
      <w:r w:rsidR="00A53180">
        <w:t xml:space="preserve">If this occurs, either expectations will have to be adjusted or output and productivity will need to grow to fund public services </w:t>
      </w:r>
      <w:r w:rsidR="005132E7">
        <w:t>(</w:t>
      </w:r>
      <w:r w:rsidR="00A53180">
        <w:t>including welfare transfers</w:t>
      </w:r>
      <w:r w:rsidR="005132E7">
        <w:t>). It may</w:t>
      </w:r>
      <w:r w:rsidR="00A53180">
        <w:t xml:space="preserve"> </w:t>
      </w:r>
      <w:r w:rsidR="005132E7">
        <w:t>even</w:t>
      </w:r>
      <w:r w:rsidR="00A53180">
        <w:t xml:space="preserve"> </w:t>
      </w:r>
      <w:r w:rsidR="005132E7">
        <w:t xml:space="preserve">require </w:t>
      </w:r>
      <w:r w:rsidR="00A53180">
        <w:t xml:space="preserve">both given the need for </w:t>
      </w:r>
      <w:r w:rsidR="001D4E86">
        <w:t xml:space="preserve">otherwise </w:t>
      </w:r>
      <w:r w:rsidR="00A53180">
        <w:t xml:space="preserve">significant outperformance of growth on its own. </w:t>
      </w:r>
      <w:r w:rsidR="000970DD">
        <w:t xml:space="preserve"> </w:t>
      </w:r>
    </w:p>
    <w:p w14:paraId="1D0A708E" w14:textId="240CC2B2" w:rsidR="005314D1" w:rsidRDefault="00227F96" w:rsidP="00AF0742">
      <w:pPr>
        <w:pStyle w:val="BodyText"/>
      </w:pPr>
      <w:r>
        <w:lastRenderedPageBreak/>
        <w:t xml:space="preserve">The transfer system </w:t>
      </w:r>
      <w:r w:rsidR="00802ABF">
        <w:t>will</w:t>
      </w:r>
      <w:r>
        <w:t xml:space="preserve"> </w:t>
      </w:r>
      <w:r w:rsidR="00EB4CDE">
        <w:t xml:space="preserve">of course </w:t>
      </w:r>
      <w:r>
        <w:t xml:space="preserve">continue to perform a key function in </w:t>
      </w:r>
      <w:r w:rsidR="006B7A96">
        <w:t>supporting those on low incomes</w:t>
      </w:r>
      <w:r>
        <w:t xml:space="preserve"> in Australia, </w:t>
      </w:r>
      <w:r w:rsidR="00462E0D">
        <w:t>providing social insurance to all members of the</w:t>
      </w:r>
      <w:r>
        <w:t xml:space="preserve"> community. But </w:t>
      </w:r>
      <w:r w:rsidR="00F67712">
        <w:t>inevitable constraints on revenue</w:t>
      </w:r>
      <w:r w:rsidR="006B7A96">
        <w:t xml:space="preserve"> </w:t>
      </w:r>
      <w:r w:rsidR="00462E0D">
        <w:t>are at odds with funding the</w:t>
      </w:r>
      <w:r w:rsidR="006B7A96">
        <w:t xml:space="preserve"> growing </w:t>
      </w:r>
      <w:r w:rsidR="00462E0D">
        <w:t xml:space="preserve">cost of providing social insurance — something has to give. The best path out of this </w:t>
      </w:r>
      <w:r w:rsidR="00303B0B">
        <w:t>growing</w:t>
      </w:r>
      <w:r w:rsidR="00462E0D">
        <w:t xml:space="preserve"> problem is to raise income growth — </w:t>
      </w:r>
      <w:r w:rsidR="0036175F">
        <w:t xml:space="preserve">both </w:t>
      </w:r>
      <w:r w:rsidR="00462E0D">
        <w:t>overall (raising revenue)</w:t>
      </w:r>
      <w:r w:rsidR="0036175F">
        <w:t>,</w:t>
      </w:r>
      <w:r w:rsidR="00462E0D">
        <w:t xml:space="preserve"> and at the bottom end of the income spectrum (reducing need).</w:t>
      </w:r>
      <w:r>
        <w:t xml:space="preserve"> This </w:t>
      </w:r>
      <w:r w:rsidR="006B7A96">
        <w:t>highlights</w:t>
      </w:r>
      <w:r>
        <w:t xml:space="preserve"> the importance of </w:t>
      </w:r>
      <w:r w:rsidRPr="00227F96">
        <w:t>policy setting</w:t>
      </w:r>
      <w:r w:rsidR="00802ABF">
        <w:t>s</w:t>
      </w:r>
      <w:r w:rsidRPr="00227F96">
        <w:t xml:space="preserve"> </w:t>
      </w:r>
      <w:r w:rsidR="00AD3444">
        <w:t>that</w:t>
      </w:r>
      <w:r w:rsidRPr="00227F96">
        <w:t xml:space="preserve"> </w:t>
      </w:r>
      <w:r>
        <w:t>facilitat</w:t>
      </w:r>
      <w:r w:rsidR="00F67712">
        <w:t>e</w:t>
      </w:r>
      <w:r w:rsidRPr="00227F96">
        <w:t xml:space="preserve"> wage earnings growth at </w:t>
      </w:r>
      <w:r w:rsidR="006B7A96">
        <w:t>all points</w:t>
      </w:r>
      <w:r w:rsidRPr="00227F96">
        <w:t xml:space="preserve"> o</w:t>
      </w:r>
      <w:r>
        <w:t>f the income spectrum</w:t>
      </w:r>
      <w:r w:rsidR="00802ABF">
        <w:t xml:space="preserve"> (either through </w:t>
      </w:r>
      <w:r w:rsidR="0036175F">
        <w:t xml:space="preserve">growth in </w:t>
      </w:r>
      <w:r w:rsidR="00802ABF">
        <w:t xml:space="preserve">wages </w:t>
      </w:r>
      <w:r w:rsidR="0036175F">
        <w:t>and/</w:t>
      </w:r>
      <w:r w:rsidR="00802ABF">
        <w:t>or hours)</w:t>
      </w:r>
      <w:r>
        <w:t xml:space="preserve">. This will help to reduce </w:t>
      </w:r>
      <w:r w:rsidRPr="00227F96">
        <w:t>reliance on</w:t>
      </w:r>
      <w:r>
        <w:t xml:space="preserve"> income</w:t>
      </w:r>
      <w:r w:rsidRPr="00227F96">
        <w:t xml:space="preserve"> redistribut</w:t>
      </w:r>
      <w:r>
        <w:t xml:space="preserve">ion </w:t>
      </w:r>
      <w:r w:rsidR="006B7A96">
        <w:t xml:space="preserve">for </w:t>
      </w:r>
      <w:r w:rsidR="0036175F">
        <w:t xml:space="preserve">working age households </w:t>
      </w:r>
      <w:r w:rsidR="006B7A96">
        <w:t>on low incomes</w:t>
      </w:r>
      <w:r w:rsidRPr="00227F96">
        <w:t>.</w:t>
      </w:r>
      <w:r>
        <w:t xml:space="preserve"> It also emphasises the importance of honing transfer eligibility settings to ensure that they are targeted to recipients in genuine need.</w:t>
      </w:r>
    </w:p>
    <w:p w14:paraId="1D0A708F" w14:textId="77777777" w:rsidR="008E12D0" w:rsidRPr="004E3B94" w:rsidRDefault="008E12D0" w:rsidP="008E12D0">
      <w:pPr>
        <w:pStyle w:val="BoxSpaceAboveElement"/>
        <w:keepLines/>
        <w:rPr>
          <w:vanish w:val="0"/>
          <w:color w:val="auto"/>
        </w:rPr>
      </w:pPr>
    </w:p>
    <w:tbl>
      <w:tblPr>
        <w:tblW w:w="4800" w:type="pct"/>
        <w:tblInd w:w="195"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64"/>
      </w:tblGrid>
      <w:tr w:rsidR="008E12D0" w14:paraId="1D0A7092" w14:textId="77777777" w:rsidTr="00042209">
        <w:trPr>
          <w:cantSplit/>
          <w:tblHeader/>
        </w:trPr>
        <w:tc>
          <w:tcPr>
            <w:tcW w:w="5000" w:type="pct"/>
            <w:tcBorders>
              <w:top w:val="single" w:sz="6" w:space="0" w:color="265A9A" w:themeColor="accent2"/>
              <w:left w:val="nil"/>
              <w:bottom w:val="nil"/>
              <w:right w:val="nil"/>
            </w:tcBorders>
            <w:shd w:val="clear" w:color="auto" w:fill="E1EBF5"/>
            <w:tcMar>
              <w:left w:w="170" w:type="dxa"/>
              <w:right w:w="170" w:type="dxa"/>
            </w:tcMar>
          </w:tcPr>
          <w:p w14:paraId="1D0A7090" w14:textId="77777777" w:rsidR="008E12D0" w:rsidRPr="00042209" w:rsidRDefault="008E12D0" w:rsidP="00F746C6">
            <w:pPr>
              <w:pStyle w:val="FindingTitle"/>
              <w:spacing w:before="120"/>
              <w:rPr>
                <w:noProof/>
              </w:rPr>
            </w:pPr>
            <w:r w:rsidRPr="00042209">
              <w:t xml:space="preserve">conclusion </w:t>
            </w:r>
            <w:r w:rsidR="00AD60A3" w:rsidRPr="00042209">
              <w:t>1.10</w:t>
            </w:r>
          </w:p>
          <w:p w14:paraId="1D0A7091" w14:textId="77777777" w:rsidR="008E12D0" w:rsidRPr="00042209" w:rsidRDefault="00F72272" w:rsidP="00E249F6">
            <w:pPr>
              <w:pStyle w:val="BodyText"/>
              <w:spacing w:before="60" w:line="260" w:lineRule="atLeast"/>
            </w:pPr>
            <w:r w:rsidRPr="00042209">
              <w:rPr>
                <w:rFonts w:ascii="Arial" w:hAnsi="Arial" w:cs="Arial"/>
                <w:sz w:val="20"/>
              </w:rPr>
              <w:t xml:space="preserve">Governments must confront a mismatch </w:t>
            </w:r>
            <w:r w:rsidR="00E249F6" w:rsidRPr="00042209">
              <w:rPr>
                <w:rFonts w:ascii="Arial" w:hAnsi="Arial" w:cs="Arial"/>
                <w:sz w:val="20"/>
              </w:rPr>
              <w:t>between</w:t>
            </w:r>
            <w:r w:rsidRPr="00042209">
              <w:rPr>
                <w:rFonts w:ascii="Arial" w:hAnsi="Arial" w:cs="Arial"/>
                <w:sz w:val="20"/>
              </w:rPr>
              <w:t xml:space="preserve"> revenue</w:t>
            </w:r>
            <w:r w:rsidR="00E249F6" w:rsidRPr="00042209">
              <w:rPr>
                <w:rFonts w:ascii="Arial" w:hAnsi="Arial" w:cs="Arial"/>
                <w:sz w:val="20"/>
              </w:rPr>
              <w:t xml:space="preserve"> growth and the community’s</w:t>
            </w:r>
            <w:r w:rsidRPr="00042209">
              <w:rPr>
                <w:rFonts w:ascii="Arial" w:hAnsi="Arial" w:cs="Arial"/>
                <w:sz w:val="20"/>
              </w:rPr>
              <w:t xml:space="preserve"> expectations on government services provision.</w:t>
            </w:r>
            <w:r w:rsidR="00E249F6" w:rsidRPr="00042209">
              <w:rPr>
                <w:rFonts w:ascii="Arial" w:hAnsi="Arial" w:cs="Arial"/>
                <w:sz w:val="20"/>
              </w:rPr>
              <w:t xml:space="preserve"> </w:t>
            </w:r>
            <w:r w:rsidR="00384EFC" w:rsidRPr="00042209">
              <w:rPr>
                <w:rFonts w:ascii="Arial" w:hAnsi="Arial" w:cs="Arial"/>
                <w:sz w:val="20"/>
              </w:rPr>
              <w:t>I</w:t>
            </w:r>
            <w:r w:rsidRPr="00042209">
              <w:rPr>
                <w:rFonts w:ascii="Arial" w:hAnsi="Arial" w:cs="Arial"/>
                <w:sz w:val="20"/>
              </w:rPr>
              <w:t xml:space="preserve">ncome growth at all points in the income spectrum is key to </w:t>
            </w:r>
            <w:r w:rsidR="00E249F6" w:rsidRPr="00042209">
              <w:rPr>
                <w:rFonts w:ascii="Arial" w:hAnsi="Arial" w:cs="Arial"/>
                <w:sz w:val="20"/>
              </w:rPr>
              <w:t xml:space="preserve">fiscal sustainability </w:t>
            </w:r>
            <w:r w:rsidR="00384EFC" w:rsidRPr="00042209">
              <w:rPr>
                <w:rFonts w:ascii="Arial" w:hAnsi="Arial" w:cs="Arial"/>
                <w:sz w:val="20"/>
              </w:rPr>
              <w:t xml:space="preserve">as it contributes to government </w:t>
            </w:r>
            <w:r w:rsidR="000A1604" w:rsidRPr="00042209">
              <w:rPr>
                <w:rFonts w:ascii="Arial" w:hAnsi="Arial" w:cs="Arial"/>
                <w:sz w:val="20"/>
              </w:rPr>
              <w:t>revenue</w:t>
            </w:r>
            <w:r w:rsidR="00384EFC" w:rsidRPr="00042209">
              <w:rPr>
                <w:rFonts w:ascii="Arial" w:hAnsi="Arial" w:cs="Arial"/>
                <w:sz w:val="20"/>
              </w:rPr>
              <w:t xml:space="preserve"> and reduces the need for social assistance.</w:t>
            </w:r>
            <w:r w:rsidR="00E249F6" w:rsidRPr="00042209">
              <w:rPr>
                <w:rFonts w:ascii="Arial" w:hAnsi="Arial" w:cs="Arial"/>
                <w:sz w:val="20"/>
              </w:rPr>
              <w:t xml:space="preserve"> </w:t>
            </w:r>
          </w:p>
        </w:tc>
      </w:tr>
      <w:tr w:rsidR="008E12D0" w14:paraId="1D0A7094" w14:textId="77777777" w:rsidTr="00042209">
        <w:trPr>
          <w:cantSplit/>
          <w:tblHeader/>
        </w:trPr>
        <w:tc>
          <w:tcPr>
            <w:tcW w:w="5000" w:type="pct"/>
            <w:tcBorders>
              <w:top w:val="nil"/>
              <w:left w:val="nil"/>
              <w:bottom w:val="single" w:sz="6" w:space="0" w:color="265A9A" w:themeColor="accent2"/>
              <w:right w:val="nil"/>
            </w:tcBorders>
            <w:shd w:val="clear" w:color="auto" w:fill="E1EBF5"/>
            <w:tcMar>
              <w:left w:w="170" w:type="dxa"/>
              <w:right w:w="170" w:type="dxa"/>
            </w:tcMar>
          </w:tcPr>
          <w:p w14:paraId="1D0A7093" w14:textId="77777777" w:rsidR="008E12D0" w:rsidRPr="00042209" w:rsidRDefault="008E12D0" w:rsidP="00F746C6">
            <w:pPr>
              <w:pStyle w:val="Space"/>
              <w:keepLines/>
            </w:pPr>
          </w:p>
        </w:tc>
      </w:tr>
      <w:tr w:rsidR="008E12D0" w:rsidRPr="000863A5" w14:paraId="1D0A7096" w14:textId="77777777" w:rsidTr="00042209">
        <w:trPr>
          <w:cantSplit/>
          <w:tblHeader/>
        </w:trPr>
        <w:tc>
          <w:tcPr>
            <w:tcW w:w="5000" w:type="pct"/>
            <w:tcBorders>
              <w:top w:val="single" w:sz="6" w:space="0" w:color="265A9A" w:themeColor="accent2"/>
              <w:left w:val="nil"/>
              <w:bottom w:val="nil"/>
              <w:right w:val="nil"/>
            </w:tcBorders>
            <w:tcMar>
              <w:left w:w="170" w:type="dxa"/>
              <w:right w:w="170" w:type="dxa"/>
            </w:tcMar>
          </w:tcPr>
          <w:p w14:paraId="1D0A7095" w14:textId="77777777" w:rsidR="008E12D0" w:rsidRPr="00626D32" w:rsidRDefault="008E12D0" w:rsidP="00F746C6">
            <w:pPr>
              <w:pStyle w:val="BoxSpaceBelow"/>
              <w:keepLines/>
            </w:pPr>
          </w:p>
        </w:tc>
      </w:tr>
    </w:tbl>
    <w:p w14:paraId="1D0A7097" w14:textId="77777777" w:rsidR="00E26B38" w:rsidRDefault="00E26B38" w:rsidP="00E26B38">
      <w:pPr>
        <w:pStyle w:val="Heading4"/>
      </w:pPr>
      <w:r>
        <w:t>Inequality and productivity</w:t>
      </w:r>
    </w:p>
    <w:p w14:paraId="1D0A7098" w14:textId="1D8489A8" w:rsidR="00B96895" w:rsidRDefault="007B2F35" w:rsidP="00AF0742">
      <w:pPr>
        <w:pStyle w:val="BodyText"/>
      </w:pPr>
      <w:r>
        <w:t xml:space="preserve">The focus on inequality is </w:t>
      </w:r>
      <w:r w:rsidR="00CB26E6">
        <w:t xml:space="preserve">not just </w:t>
      </w:r>
      <w:r>
        <w:t xml:space="preserve">relevant from the perspective of the </w:t>
      </w:r>
      <w:r w:rsidR="000970DD">
        <w:t xml:space="preserve">sustainability of the </w:t>
      </w:r>
      <w:r>
        <w:t>transfer system. F</w:t>
      </w:r>
      <w:r w:rsidRPr="00B77108">
        <w:t xml:space="preserve">ollowing the widespread impacts of the </w:t>
      </w:r>
      <w:proofErr w:type="spellStart"/>
      <w:r>
        <w:t>GFC</w:t>
      </w:r>
      <w:proofErr w:type="spellEnd"/>
      <w:r>
        <w:t xml:space="preserve"> on employment and growth, t</w:t>
      </w:r>
      <w:r w:rsidR="00B77108" w:rsidRPr="00B77108">
        <w:t>here</w:t>
      </w:r>
      <w:r w:rsidR="00B96895" w:rsidRPr="00B77108">
        <w:t xml:space="preserve"> has been </w:t>
      </w:r>
      <w:r w:rsidR="00E26B38">
        <w:t>increasing interest</w:t>
      </w:r>
      <w:r w:rsidR="00B96895" w:rsidRPr="00B77108">
        <w:t xml:space="preserve"> </w:t>
      </w:r>
      <w:r w:rsidR="00E26B38">
        <w:t>in</w:t>
      </w:r>
      <w:r w:rsidR="00B96895" w:rsidRPr="00B77108">
        <w:t xml:space="preserve"> the interaction between economic inequal</w:t>
      </w:r>
      <w:r w:rsidR="00B77108">
        <w:t xml:space="preserve">ity, </w:t>
      </w:r>
      <w:r w:rsidR="00E26B38">
        <w:t xml:space="preserve">and </w:t>
      </w:r>
      <w:r>
        <w:t xml:space="preserve">overall </w:t>
      </w:r>
      <w:r w:rsidR="00B77108">
        <w:t xml:space="preserve">productivity and </w:t>
      </w:r>
      <w:r>
        <w:t xml:space="preserve">economic </w:t>
      </w:r>
      <w:r w:rsidR="00B77108">
        <w:t xml:space="preserve">growth. </w:t>
      </w:r>
      <w:r w:rsidR="00E42DD1">
        <w:t xml:space="preserve">Not only does improved productivity increase the scope for income growth across all household income groups, there is evidence that </w:t>
      </w:r>
      <w:r w:rsidR="00622BAF">
        <w:t xml:space="preserve">higher levels of inequality can adversely affect productivity growth </w:t>
      </w:r>
      <w:r w:rsidR="00DE6525" w:rsidRPr="00DE6525">
        <w:rPr>
          <w:szCs w:val="24"/>
        </w:rPr>
        <w:t xml:space="preserve">(OECD 2011, </w:t>
      </w:r>
      <w:proofErr w:type="spellStart"/>
      <w:r w:rsidR="00DE6525" w:rsidRPr="00DE6525">
        <w:rPr>
          <w:szCs w:val="24"/>
        </w:rPr>
        <w:t>2016</w:t>
      </w:r>
      <w:r w:rsidR="00B8241B">
        <w:rPr>
          <w:szCs w:val="24"/>
        </w:rPr>
        <w:t>b</w:t>
      </w:r>
      <w:proofErr w:type="spellEnd"/>
      <w:r w:rsidR="00DE6525" w:rsidRPr="00DE6525">
        <w:rPr>
          <w:szCs w:val="24"/>
        </w:rPr>
        <w:t xml:space="preserve">; </w:t>
      </w:r>
      <w:proofErr w:type="spellStart"/>
      <w:r w:rsidR="00DE6525" w:rsidRPr="00DE6525">
        <w:rPr>
          <w:szCs w:val="24"/>
        </w:rPr>
        <w:t>Ostry</w:t>
      </w:r>
      <w:proofErr w:type="spellEnd"/>
      <w:r w:rsidR="00DE6525" w:rsidRPr="00DE6525">
        <w:rPr>
          <w:szCs w:val="24"/>
        </w:rPr>
        <w:t xml:space="preserve">, Berg and </w:t>
      </w:r>
      <w:proofErr w:type="spellStart"/>
      <w:r w:rsidR="00DE6525" w:rsidRPr="00DE6525">
        <w:rPr>
          <w:szCs w:val="24"/>
        </w:rPr>
        <w:t>Tsangarides</w:t>
      </w:r>
      <w:proofErr w:type="spellEnd"/>
      <w:r w:rsidR="00DE6525" w:rsidRPr="00DE6525">
        <w:rPr>
          <w:szCs w:val="24"/>
        </w:rPr>
        <w:t> 2014)</w:t>
      </w:r>
      <w:r w:rsidR="000A4A37">
        <w:t>.</w:t>
      </w:r>
      <w:r w:rsidR="0072548F">
        <w:t xml:space="preserve"> This is not to suggest primacy of an economic over a social outcome, but simply to recognise that</w:t>
      </w:r>
      <w:r w:rsidR="000A1604">
        <w:t>,</w:t>
      </w:r>
      <w:r w:rsidR="0072548F">
        <w:t xml:space="preserve"> in many cases, the </w:t>
      </w:r>
      <w:r w:rsidR="000A1604">
        <w:t>barriers to</w:t>
      </w:r>
      <w:r w:rsidR="0072548F">
        <w:t xml:space="preserve"> realising greater productivity are </w:t>
      </w:r>
      <w:r w:rsidR="00303B0B">
        <w:t>also those contributing to widening</w:t>
      </w:r>
      <w:r w:rsidR="0072548F">
        <w:t xml:space="preserve"> inequalities. </w:t>
      </w:r>
    </w:p>
    <w:p w14:paraId="1D0A7099" w14:textId="11E878A9" w:rsidR="006D113E" w:rsidRDefault="009C0A36" w:rsidP="006D113E">
      <w:pPr>
        <w:pStyle w:val="BodyText"/>
      </w:pPr>
      <w:r w:rsidRPr="003B78FB">
        <w:t>Importantly</w:t>
      </w:r>
      <w:r w:rsidR="0072548F" w:rsidRPr="003B78FB">
        <w:t>, t</w:t>
      </w:r>
      <w:r w:rsidR="006D113E" w:rsidRPr="002F7956">
        <w:t>he observed</w:t>
      </w:r>
      <w:r w:rsidR="006D113E" w:rsidRPr="00A84184">
        <w:t xml:space="preserve"> rise in wage inequality appears to partly reflect the increasing dispersion in average wages paid across firms, suggesting that raising the productivity of laggard firms could promote improvements in wage equality</w:t>
      </w:r>
      <w:r w:rsidR="006D113E" w:rsidRPr="00787F27">
        <w:t xml:space="preserve"> </w:t>
      </w:r>
      <w:r w:rsidR="006D113E" w:rsidRPr="002F7956">
        <w:rPr>
          <w:szCs w:val="24"/>
        </w:rPr>
        <w:t>(OECD 2015)</w:t>
      </w:r>
      <w:r w:rsidR="00CF58D2" w:rsidRPr="003B78FB">
        <w:t xml:space="preserve">. </w:t>
      </w:r>
      <w:r w:rsidRPr="003B78FB">
        <w:t xml:space="preserve">This </w:t>
      </w:r>
      <w:r w:rsidR="000A1604">
        <w:t>points to</w:t>
      </w:r>
      <w:r w:rsidRPr="003B78FB">
        <w:t xml:space="preserve"> the importance of policy settings </w:t>
      </w:r>
      <w:r w:rsidR="00AD3444">
        <w:t>that</w:t>
      </w:r>
      <w:r w:rsidRPr="003B78FB">
        <w:t xml:space="preserve"> assist individuals, firms, industries and regions to adapt to new technologies and opportunities</w:t>
      </w:r>
      <w:r w:rsidR="000751C5" w:rsidRPr="003B78FB">
        <w:t>, as well as preventing them from falling into a position of low</w:t>
      </w:r>
      <w:r w:rsidR="000751C5" w:rsidRPr="003B78FB">
        <w:noBreakHyphen/>
        <w:t xml:space="preserve">growth and/or disadvantage, which aggravates both </w:t>
      </w:r>
      <w:r w:rsidR="00991DE9">
        <w:t>in</w:t>
      </w:r>
      <w:r w:rsidR="000751C5" w:rsidRPr="003B78FB">
        <w:t xml:space="preserve">equality and the potential for future productivity growth. </w:t>
      </w:r>
    </w:p>
    <w:p w14:paraId="1D0A709B" w14:textId="77777777" w:rsidR="006D113E" w:rsidRDefault="009A7195" w:rsidP="00AF0742">
      <w:pPr>
        <w:pStyle w:val="BodyText"/>
      </w:pPr>
      <w:r>
        <w:t>A</w:t>
      </w:r>
      <w:r w:rsidR="0062595F">
        <w:t>nother</w:t>
      </w:r>
      <w:r w:rsidR="008C2E93">
        <w:t xml:space="preserve"> </w:t>
      </w:r>
      <w:r>
        <w:t xml:space="preserve">channel through which </w:t>
      </w:r>
      <w:r w:rsidR="002849C4" w:rsidRPr="002849C4">
        <w:t xml:space="preserve">inequality </w:t>
      </w:r>
      <w:r w:rsidR="008C2E93">
        <w:t>directly e</w:t>
      </w:r>
      <w:r w:rsidR="002849C4" w:rsidRPr="002849C4">
        <w:t>ffect</w:t>
      </w:r>
      <w:r w:rsidR="008C2E93">
        <w:t>s</w:t>
      </w:r>
      <w:r w:rsidR="002849C4" w:rsidRPr="002849C4">
        <w:t xml:space="preserve"> </w:t>
      </w:r>
      <w:r>
        <w:t xml:space="preserve">productivity is that it undermines opportunities for education and human capital development of disadvantaged individuals, lowering their </w:t>
      </w:r>
      <w:r w:rsidR="008C2E93">
        <w:t xml:space="preserve">productive potential, </w:t>
      </w:r>
      <w:r w:rsidR="002849C4" w:rsidRPr="002849C4">
        <w:t>and hampering skills development</w:t>
      </w:r>
      <w:r>
        <w:t>. In this sense, combating any inequality in educational attainment could potentially reverse the supposedly exhausted labour supply gains posited in</w:t>
      </w:r>
      <w:r w:rsidR="00417FCC">
        <w:t xml:space="preserve"> Cowen </w:t>
      </w:r>
      <w:r w:rsidR="00417FCC" w:rsidRPr="00417FCC">
        <w:t>(2011)</w:t>
      </w:r>
      <w:r>
        <w:t xml:space="preserve">. </w:t>
      </w:r>
    </w:p>
    <w:p w14:paraId="1D0A709C" w14:textId="1BF5BBA0" w:rsidR="00D434A0" w:rsidRPr="00842E3F" w:rsidRDefault="00A153C4" w:rsidP="00842E3F">
      <w:pPr>
        <w:pStyle w:val="Heading2"/>
        <w:ind w:left="2127" w:hanging="2127"/>
      </w:pPr>
      <w:r>
        <w:br w:type="column"/>
      </w:r>
      <w:bookmarkStart w:id="14" w:name="_Toc489008892"/>
      <w:r w:rsidR="00F122CC" w:rsidRPr="00842E3F">
        <w:lastRenderedPageBreak/>
        <w:t>Appendix</w:t>
      </w:r>
      <w:r w:rsidR="00166F83">
        <w:t> </w:t>
      </w:r>
      <w:r w:rsidR="00F122CC" w:rsidRPr="00842E3F">
        <w:t>A</w:t>
      </w:r>
      <w:r w:rsidR="00FB4CB2" w:rsidRPr="00842E3F">
        <w:t>:</w:t>
      </w:r>
      <w:r w:rsidR="00F122CC" w:rsidRPr="00842E3F">
        <w:tab/>
      </w:r>
      <w:r w:rsidR="008F7CF1" w:rsidRPr="00842E3F">
        <w:t>International productivity data — which measure to use?</w:t>
      </w:r>
      <w:bookmarkEnd w:id="14"/>
    </w:p>
    <w:p w14:paraId="1D0A709D" w14:textId="77777777" w:rsidR="00B0317A" w:rsidRDefault="003B67B6" w:rsidP="008F7CF1">
      <w:pPr>
        <w:pStyle w:val="BodyText"/>
      </w:pPr>
      <w:r>
        <w:t>There are several sources of productivity data for Australia</w:t>
      </w:r>
      <w:r w:rsidR="00B0317A">
        <w:t>, including</w:t>
      </w:r>
      <w:r w:rsidR="008D1B45">
        <w:t xml:space="preserve"> </w:t>
      </w:r>
      <w:r w:rsidR="00067FB2">
        <w:t>from</w:t>
      </w:r>
      <w:r w:rsidR="008D1B45">
        <w:t xml:space="preserve"> international datasets</w:t>
      </w:r>
      <w:r>
        <w:t xml:space="preserve">. </w:t>
      </w:r>
      <w:r w:rsidR="00B0317A">
        <w:t>Th</w:t>
      </w:r>
      <w:r w:rsidR="00067FB2">
        <w:t xml:space="preserve">e four </w:t>
      </w:r>
      <w:r w:rsidR="001515D3">
        <w:t>analysed</w:t>
      </w:r>
      <w:r w:rsidR="00067FB2">
        <w:t xml:space="preserve"> in this review</w:t>
      </w:r>
      <w:r w:rsidR="00B0317A">
        <w:t xml:space="preserve"> are:</w:t>
      </w:r>
    </w:p>
    <w:p w14:paraId="1D0A709E" w14:textId="77777777" w:rsidR="00B0317A" w:rsidRDefault="00B0317A" w:rsidP="00B0317A">
      <w:pPr>
        <w:pStyle w:val="ListBullet"/>
      </w:pPr>
      <w:r>
        <w:t xml:space="preserve">the </w:t>
      </w:r>
      <w:r w:rsidRPr="00B0317A">
        <w:t>Austra</w:t>
      </w:r>
      <w:r>
        <w:t>lian Bureau of Statistics (ABS)</w:t>
      </w:r>
      <w:r w:rsidRPr="00B0317A">
        <w:t xml:space="preserve"> </w:t>
      </w:r>
      <w:r w:rsidRPr="003B78FB">
        <w:rPr>
          <w:i/>
        </w:rPr>
        <w:t>System of National Accounts</w:t>
      </w:r>
    </w:p>
    <w:p w14:paraId="1D0A709F" w14:textId="77777777" w:rsidR="00B0317A" w:rsidRDefault="00B0317A" w:rsidP="00B0317A">
      <w:pPr>
        <w:pStyle w:val="ListBullet"/>
      </w:pPr>
      <w:r>
        <w:t xml:space="preserve">the </w:t>
      </w:r>
      <w:r w:rsidRPr="00B0317A">
        <w:t>Organisation for Economic C</w:t>
      </w:r>
      <w:r>
        <w:t>ooperation &amp; Development (OECD)</w:t>
      </w:r>
      <w:r w:rsidRPr="00B0317A">
        <w:t xml:space="preserve"> </w:t>
      </w:r>
      <w:r w:rsidRPr="003B78FB">
        <w:rPr>
          <w:i/>
        </w:rPr>
        <w:t>Productivity Database</w:t>
      </w:r>
    </w:p>
    <w:p w14:paraId="1D0A70A0" w14:textId="77777777" w:rsidR="00B0317A" w:rsidRDefault="00067FB2" w:rsidP="00B0317A">
      <w:pPr>
        <w:pStyle w:val="ListBullet"/>
      </w:pPr>
      <w:r>
        <w:t>The Conference Board (</w:t>
      </w:r>
      <w:proofErr w:type="spellStart"/>
      <w:r>
        <w:t>TCB</w:t>
      </w:r>
      <w:proofErr w:type="spellEnd"/>
      <w:r>
        <w:t>)</w:t>
      </w:r>
      <w:r w:rsidR="00B0317A" w:rsidRPr="00B0317A">
        <w:t xml:space="preserve"> </w:t>
      </w:r>
      <w:r w:rsidR="00B0317A" w:rsidRPr="003B78FB">
        <w:rPr>
          <w:i/>
        </w:rPr>
        <w:t>Total Economy Database</w:t>
      </w:r>
      <w:r w:rsidR="00B0317A">
        <w:t xml:space="preserve"> (TED)</w:t>
      </w:r>
      <w:r w:rsidR="002F7956">
        <w:t>, and</w:t>
      </w:r>
    </w:p>
    <w:p w14:paraId="1D0A70A1" w14:textId="77777777" w:rsidR="00B0317A" w:rsidRDefault="00B0317A" w:rsidP="00B0317A">
      <w:pPr>
        <w:pStyle w:val="ListBullet"/>
      </w:pPr>
      <w:proofErr w:type="spellStart"/>
      <w:r w:rsidRPr="00B0317A">
        <w:t>Bergeaud</w:t>
      </w:r>
      <w:proofErr w:type="spellEnd"/>
      <w:r>
        <w:t xml:space="preserve">, </w:t>
      </w:r>
      <w:proofErr w:type="spellStart"/>
      <w:r w:rsidRPr="00B0317A">
        <w:t>Cette</w:t>
      </w:r>
      <w:proofErr w:type="spellEnd"/>
      <w:r>
        <w:t xml:space="preserve"> </w:t>
      </w:r>
      <w:r w:rsidRPr="00B0317A">
        <w:t xml:space="preserve">and </w:t>
      </w:r>
      <w:proofErr w:type="spellStart"/>
      <w:r w:rsidRPr="00B0317A">
        <w:t>Lecat</w:t>
      </w:r>
      <w:r w:rsidR="003B78FB">
        <w:t>’s</w:t>
      </w:r>
      <w:proofErr w:type="spellEnd"/>
      <w:r w:rsidRPr="00B0317A">
        <w:t xml:space="preserve"> </w:t>
      </w:r>
      <w:r w:rsidRPr="003B78FB">
        <w:rPr>
          <w:i/>
        </w:rPr>
        <w:t>Long Term Productivity Database</w:t>
      </w:r>
      <w:r w:rsidR="00470428">
        <w:t xml:space="preserve"> (</w:t>
      </w:r>
      <w:proofErr w:type="spellStart"/>
      <w:r w:rsidR="00470428">
        <w:t>LTPD</w:t>
      </w:r>
      <w:proofErr w:type="spellEnd"/>
      <w:r w:rsidR="00470428">
        <w:t>)</w:t>
      </w:r>
      <w:r>
        <w:t>.</w:t>
      </w:r>
    </w:p>
    <w:p w14:paraId="1D0A70A2" w14:textId="3976A5EF" w:rsidR="003B67B6" w:rsidRDefault="00067FB2" w:rsidP="008F7CF1">
      <w:pPr>
        <w:pStyle w:val="BodyText"/>
      </w:pPr>
      <w:r>
        <w:t xml:space="preserve">While ABS data are the authoritative source on productivity trends for Australia taken in isolation, it is often useful to compare productivity between countries, including over longer time frames. In such cases, additional data are needed to measure productivity across countries in a consistent and comparable way. </w:t>
      </w:r>
      <w:r w:rsidR="00F54674">
        <w:t>T</w:t>
      </w:r>
      <w:r>
        <w:t xml:space="preserve">he sources listed above </w:t>
      </w:r>
      <w:r w:rsidR="00F54674">
        <w:t xml:space="preserve">each employ </w:t>
      </w:r>
      <w:r w:rsidR="007017EA">
        <w:t>diffe</w:t>
      </w:r>
      <w:r>
        <w:t>rent assumptions</w:t>
      </w:r>
      <w:r w:rsidR="00F54674">
        <w:t xml:space="preserve">, which can give rise to different productivity indicators for </w:t>
      </w:r>
      <w:r w:rsidR="001515D3">
        <w:t>each country</w:t>
      </w:r>
      <w:r w:rsidR="00651B7A">
        <w:t xml:space="preserve">. </w:t>
      </w:r>
      <w:r w:rsidR="00F54674">
        <w:t>K</w:t>
      </w:r>
      <w:r>
        <w:t>ey difference</w:t>
      </w:r>
      <w:r w:rsidR="00F54674">
        <w:t>s</w:t>
      </w:r>
      <w:r>
        <w:t xml:space="preserve"> </w:t>
      </w:r>
      <w:r w:rsidR="00F54674">
        <w:t>include</w:t>
      </w:r>
      <w:r>
        <w:t xml:space="preserve"> how the measures adjust (or do not adjust) for price levels between countries</w:t>
      </w:r>
      <w:r w:rsidR="00F54674">
        <w:t xml:space="preserve"> and how they measure labour and capital inputs</w:t>
      </w:r>
      <w:r>
        <w:t xml:space="preserve">. </w:t>
      </w:r>
      <w:r w:rsidR="00651B7A">
        <w:t>This append</w:t>
      </w:r>
      <w:r w:rsidR="006F373C">
        <w:t>ix provides a</w:t>
      </w:r>
      <w:r>
        <w:t xml:space="preserve"> </w:t>
      </w:r>
      <w:r w:rsidR="001515D3">
        <w:t xml:space="preserve">brief </w:t>
      </w:r>
      <w:r>
        <w:t xml:space="preserve">overview of the logic </w:t>
      </w:r>
      <w:r w:rsidR="00991DE9">
        <w:t>for</w:t>
      </w:r>
      <w:r>
        <w:t xml:space="preserve"> adjusting for prices, the </w:t>
      </w:r>
      <w:r w:rsidR="00CF58D2">
        <w:t xml:space="preserve">methodologies of the </w:t>
      </w:r>
      <w:r>
        <w:t>different sources</w:t>
      </w:r>
      <w:r w:rsidR="00651B7A">
        <w:t xml:space="preserve">, as well as </w:t>
      </w:r>
      <w:r w:rsidR="001515D3">
        <w:t xml:space="preserve">some </w:t>
      </w:r>
      <w:r w:rsidR="00651B7A">
        <w:t xml:space="preserve">guidance for what measures to use and when. </w:t>
      </w:r>
    </w:p>
    <w:p w14:paraId="1D0A70A3" w14:textId="77777777" w:rsidR="001C3C2A" w:rsidRDefault="00067FB2" w:rsidP="001C3C2A">
      <w:pPr>
        <w:pStyle w:val="Heading3"/>
      </w:pPr>
      <w:r>
        <w:t>The need to adjust</w:t>
      </w:r>
      <w:r w:rsidR="001C3C2A">
        <w:t xml:space="preserve"> for prices</w:t>
      </w:r>
    </w:p>
    <w:p w14:paraId="1D0A70A4" w14:textId="43850675" w:rsidR="008F7CF1" w:rsidRDefault="006F373C" w:rsidP="008F7CF1">
      <w:pPr>
        <w:pStyle w:val="BodyText"/>
      </w:pPr>
      <w:r>
        <w:t>T</w:t>
      </w:r>
      <w:r w:rsidR="008F7CF1" w:rsidRPr="008F7CF1">
        <w:t xml:space="preserve">o make valid comparisons of productivity across countries, both in terms of </w:t>
      </w:r>
      <w:r w:rsidR="00344257">
        <w:t xml:space="preserve">productivity </w:t>
      </w:r>
      <w:r w:rsidR="008F7CF1" w:rsidRPr="008F7CF1">
        <w:t xml:space="preserve">levels and </w:t>
      </w:r>
      <w:r w:rsidR="00344257">
        <w:t xml:space="preserve">their </w:t>
      </w:r>
      <w:r w:rsidR="008F7CF1" w:rsidRPr="008F7CF1">
        <w:t>growth rates, nominal estimates of output need to be adjusted for th</w:t>
      </w:r>
      <w:r w:rsidR="00344257">
        <w:t>e impact of price movements (</w:t>
      </w:r>
      <w:r w:rsidR="008F7CF1" w:rsidRPr="008F7CF1">
        <w:t xml:space="preserve">inflation) both </w:t>
      </w:r>
      <w:r w:rsidR="008F7CF1" w:rsidRPr="00344257">
        <w:rPr>
          <w:i/>
        </w:rPr>
        <w:t>within countries across time</w:t>
      </w:r>
      <w:r w:rsidR="008F7CF1" w:rsidRPr="008F7CF1">
        <w:t xml:space="preserve">, </w:t>
      </w:r>
      <w:r w:rsidR="00344257">
        <w:t xml:space="preserve">and </w:t>
      </w:r>
      <w:r w:rsidR="008F7CF1" w:rsidRPr="008F7CF1">
        <w:t xml:space="preserve">differences in price levels </w:t>
      </w:r>
      <w:r w:rsidR="008F7CF1" w:rsidRPr="00344257">
        <w:rPr>
          <w:i/>
        </w:rPr>
        <w:t>between countries</w:t>
      </w:r>
      <w:r w:rsidR="008F7CF1" w:rsidRPr="008F7CF1">
        <w:t xml:space="preserve">. Differences in prices between countries matter because the quantity of </w:t>
      </w:r>
      <w:r w:rsidR="001011E6">
        <w:t>(</w:t>
      </w:r>
      <w:r w:rsidR="008F7CF1" w:rsidRPr="008F7CF1">
        <w:t>real</w:t>
      </w:r>
      <w:r w:rsidR="001011E6">
        <w:t>)</w:t>
      </w:r>
      <w:r w:rsidR="008F7CF1" w:rsidRPr="008F7CF1">
        <w:t xml:space="preserve"> </w:t>
      </w:r>
      <w:r w:rsidR="001011E6">
        <w:t>goods and services</w:t>
      </w:r>
      <w:r w:rsidR="008F7CF1" w:rsidRPr="008F7CF1">
        <w:t xml:space="preserve"> you can consume with</w:t>
      </w:r>
      <w:r w:rsidR="00651B7A">
        <w:t xml:space="preserve"> a given unit of currency</w:t>
      </w:r>
      <w:r w:rsidR="008F7CF1" w:rsidRPr="008F7CF1">
        <w:t xml:space="preserve"> </w:t>
      </w:r>
      <w:r w:rsidR="001011E6">
        <w:t>(</w:t>
      </w:r>
      <w:r w:rsidR="00344257">
        <w:t>for example</w:t>
      </w:r>
      <w:r w:rsidR="008F7CF1" w:rsidRPr="008F7CF1">
        <w:t xml:space="preserve"> $1</w:t>
      </w:r>
      <w:r w:rsidR="00344257">
        <w:t> </w:t>
      </w:r>
      <w:r w:rsidR="008F7CF1" w:rsidRPr="008F7CF1">
        <w:t>US</w:t>
      </w:r>
      <w:r w:rsidR="00344257">
        <w:t>D</w:t>
      </w:r>
      <w:r w:rsidR="001011E6">
        <w:t>)</w:t>
      </w:r>
      <w:r w:rsidR="008F7CF1" w:rsidRPr="008F7CF1">
        <w:t xml:space="preserve"> is different in different countries.</w:t>
      </w:r>
      <w:r w:rsidR="00651B7A">
        <w:t xml:space="preserve"> As such</w:t>
      </w:r>
      <w:r w:rsidR="008F7CF1" w:rsidRPr="008F7CF1">
        <w:t xml:space="preserve">, comparisons of productivity between countries are only valid if </w:t>
      </w:r>
      <w:r w:rsidR="00344257" w:rsidRPr="008F7CF1">
        <w:t xml:space="preserve">the measure of output </w:t>
      </w:r>
      <w:r w:rsidR="001515D3">
        <w:t xml:space="preserve">both </w:t>
      </w:r>
      <w:r w:rsidR="00344257">
        <w:t>removes the impact of inflation</w:t>
      </w:r>
      <w:r w:rsidR="00CF58D2">
        <w:t xml:space="preserve"> (changes in the price level within a country)</w:t>
      </w:r>
      <w:r w:rsidR="00344257" w:rsidRPr="008F7CF1">
        <w:t xml:space="preserve">, and </w:t>
      </w:r>
      <w:r w:rsidR="002F1004">
        <w:t xml:space="preserve">the difference in purchasing power between the countries (differences between the price levels across countries). </w:t>
      </w:r>
    </w:p>
    <w:p w14:paraId="1D0A70A5" w14:textId="72C829AB" w:rsidR="008F7CF1" w:rsidRDefault="006F373C" w:rsidP="008F7CF1">
      <w:pPr>
        <w:pStyle w:val="BodyText"/>
      </w:pPr>
      <w:r>
        <w:t>T</w:t>
      </w:r>
      <w:r w:rsidR="008F7CF1" w:rsidRPr="008F7CF1">
        <w:t xml:space="preserve">here are a number of ways of correcting for prices between countries. These are </w:t>
      </w:r>
      <w:r w:rsidR="001011E6">
        <w:t xml:space="preserve">often </w:t>
      </w:r>
      <w:r w:rsidR="008F7CF1" w:rsidRPr="008F7CF1">
        <w:t xml:space="preserve">based on market exchange rates or purchasing power parity (PPP) conversions. For international comparisons of </w:t>
      </w:r>
      <w:r w:rsidR="008F7CF1" w:rsidRPr="001011E6">
        <w:rPr>
          <w:i/>
        </w:rPr>
        <w:t>productivity</w:t>
      </w:r>
      <w:r w:rsidR="008F7CF1" w:rsidRPr="008F7CF1">
        <w:t>, PPPs are preferred because market exchange rates tend to fluctuate for reasons other than underlying price movements, such as interest rate different</w:t>
      </w:r>
      <w:r w:rsidR="00BB0D48">
        <w:t xml:space="preserve">ials, and currency speculation </w:t>
      </w:r>
      <w:r w:rsidR="00BB0D48" w:rsidRPr="00BB0D48">
        <w:rPr>
          <w:szCs w:val="24"/>
        </w:rPr>
        <w:t>(ONS 2012)</w:t>
      </w:r>
      <w:r w:rsidR="008F7CF1" w:rsidRPr="008F7CF1">
        <w:t>. Market exchange rates also fail to account for price movements in the non</w:t>
      </w:r>
      <w:r w:rsidR="008F7CF1">
        <w:noBreakHyphen/>
      </w:r>
      <w:r w:rsidR="008F7CF1" w:rsidRPr="008F7CF1">
        <w:t>traded sector, which generally comprises a large proportion of final consumption expenditure</w:t>
      </w:r>
      <w:r w:rsidR="001011E6">
        <w:t xml:space="preserve"> for households.</w:t>
      </w:r>
      <w:r w:rsidR="008F7CF1" w:rsidRPr="008F7CF1">
        <w:t xml:space="preserve"> </w:t>
      </w:r>
    </w:p>
    <w:p w14:paraId="1D0A70A6" w14:textId="0EE98992" w:rsidR="001C3C2A" w:rsidRDefault="008F7CF1" w:rsidP="008F7CF1">
      <w:pPr>
        <w:pStyle w:val="BodyText"/>
      </w:pPr>
      <w:r w:rsidRPr="008F7CF1">
        <w:lastRenderedPageBreak/>
        <w:t>The process of calculating PPPs across countries involves collecting significant volumes of data on the individual prices of products constituting final demand</w:t>
      </w:r>
      <w:r w:rsidR="001011E6">
        <w:t xml:space="preserve"> </w:t>
      </w:r>
      <w:r w:rsidR="006F12E9">
        <w:t>(</w:t>
      </w:r>
      <w:r w:rsidRPr="008F7CF1">
        <w:t xml:space="preserve">according to expenditure classes </w:t>
      </w:r>
      <w:r w:rsidR="005C68E1">
        <w:t>that</w:t>
      </w:r>
      <w:r w:rsidRPr="008F7CF1">
        <w:t xml:space="preserve"> are comparable across countries</w:t>
      </w:r>
      <w:r w:rsidR="006F12E9">
        <w:t>)</w:t>
      </w:r>
      <w:r w:rsidRPr="008F7CF1">
        <w:t>, and using th</w:t>
      </w:r>
      <w:r w:rsidR="006F12E9">
        <w:t>em to produce ratios of price</w:t>
      </w:r>
      <w:r w:rsidRPr="008F7CF1">
        <w:t>s, with which the GDPs and component expenditures being compared are deflated to obtain real expenditure</w:t>
      </w:r>
      <w:r w:rsidR="005204F2">
        <w:t>s</w:t>
      </w:r>
      <w:r w:rsidRPr="008F7CF1">
        <w:t xml:space="preserve">. </w:t>
      </w:r>
      <w:r w:rsidR="001011E6" w:rsidRPr="00942A4E">
        <w:t xml:space="preserve">The process of using </w:t>
      </w:r>
      <w:r w:rsidR="001011E6">
        <w:t>PPPs</w:t>
      </w:r>
      <w:r w:rsidR="001011E6" w:rsidRPr="00942A4E">
        <w:t xml:space="preserve"> to deflate nominal output of each country therefore </w:t>
      </w:r>
      <w:r w:rsidR="00853484">
        <w:t>provides</w:t>
      </w:r>
      <w:r w:rsidR="001011E6" w:rsidRPr="00942A4E">
        <w:t xml:space="preserve"> an estimate of output for which a unit of currency in all countries in the sample has the same purchasing power.</w:t>
      </w:r>
    </w:p>
    <w:p w14:paraId="1D0A70A7" w14:textId="6ED5F962" w:rsidR="00EC282D" w:rsidRDefault="008F7CF1" w:rsidP="00EC282D">
      <w:pPr>
        <w:pStyle w:val="BodyText"/>
      </w:pPr>
      <w:r w:rsidRPr="008F7CF1">
        <w:t xml:space="preserve">Reflecting the administrative </w:t>
      </w:r>
      <w:r w:rsidR="00EC282D">
        <w:t>complexity</w:t>
      </w:r>
      <w:r w:rsidRPr="008F7CF1">
        <w:t xml:space="preserve"> of such a task,</w:t>
      </w:r>
      <w:r w:rsidR="001011E6">
        <w:t xml:space="preserve"> calculation of PPPs </w:t>
      </w:r>
      <w:r w:rsidR="006F12E9">
        <w:t>tend to be conducted at intervals</w:t>
      </w:r>
      <w:r w:rsidR="001011E6">
        <w:t xml:space="preserve">. </w:t>
      </w:r>
      <w:r w:rsidR="006F12E9">
        <w:t>The joint Eurostat</w:t>
      </w:r>
      <w:r w:rsidR="006F12E9">
        <w:noBreakHyphen/>
        <w:t xml:space="preserve">OECD PPP </w:t>
      </w:r>
      <w:proofErr w:type="spellStart"/>
      <w:r w:rsidR="006F12E9">
        <w:t>Programme</w:t>
      </w:r>
      <w:proofErr w:type="spellEnd"/>
      <w:r w:rsidR="006F12E9">
        <w:t xml:space="preserve"> </w:t>
      </w:r>
      <w:r w:rsidR="00DE6525" w:rsidRPr="00DE6525">
        <w:rPr>
          <w:szCs w:val="24"/>
        </w:rPr>
        <w:t>(OECD </w:t>
      </w:r>
      <w:proofErr w:type="spellStart"/>
      <w:r w:rsidR="00DE6525" w:rsidRPr="00DE6525">
        <w:rPr>
          <w:szCs w:val="24"/>
        </w:rPr>
        <w:t>2016a</w:t>
      </w:r>
      <w:proofErr w:type="spellEnd"/>
      <w:r w:rsidR="00DE6525" w:rsidRPr="00DE6525">
        <w:rPr>
          <w:szCs w:val="24"/>
        </w:rPr>
        <w:t>)</w:t>
      </w:r>
      <w:r w:rsidR="00DE6525">
        <w:t xml:space="preserve"> </w:t>
      </w:r>
      <w:r w:rsidR="001515D3">
        <w:t xml:space="preserve">(for a subset of countries) </w:t>
      </w:r>
      <w:r w:rsidR="006F12E9">
        <w:t xml:space="preserve">is one of the main sources of PPP data, which feed into the </w:t>
      </w:r>
      <w:r w:rsidR="001515D3">
        <w:t>(</w:t>
      </w:r>
      <w:r w:rsidR="006F12E9">
        <w:t>global</w:t>
      </w:r>
      <w:r w:rsidR="001515D3">
        <w:t xml:space="preserve"> level)</w:t>
      </w:r>
      <w:r w:rsidR="006F12E9">
        <w:t xml:space="preserve"> World Bank</w:t>
      </w:r>
      <w:r w:rsidR="001011E6">
        <w:t xml:space="preserve"> International Comparison Program</w:t>
      </w:r>
      <w:r w:rsidR="00DE6525">
        <w:t xml:space="preserve"> </w:t>
      </w:r>
      <w:r w:rsidR="00DE6525" w:rsidRPr="00DE6525">
        <w:rPr>
          <w:szCs w:val="24"/>
        </w:rPr>
        <w:t>(World Bank 2014)</w:t>
      </w:r>
      <w:r w:rsidR="006F12E9">
        <w:t>.</w:t>
      </w:r>
      <w:r w:rsidR="00DB181C">
        <w:t xml:space="preserve"> </w:t>
      </w:r>
      <w:r w:rsidRPr="008F7CF1">
        <w:t xml:space="preserve">The most recent </w:t>
      </w:r>
      <w:proofErr w:type="spellStart"/>
      <w:r w:rsidR="006F12E9">
        <w:t>ICP</w:t>
      </w:r>
      <w:proofErr w:type="spellEnd"/>
      <w:r w:rsidR="006F12E9">
        <w:t xml:space="preserve"> </w:t>
      </w:r>
      <w:r w:rsidRPr="008F7CF1">
        <w:t xml:space="preserve">round was </w:t>
      </w:r>
      <w:r w:rsidR="006F12E9">
        <w:t xml:space="preserve">in </w:t>
      </w:r>
      <w:r w:rsidRPr="008F7CF1">
        <w:t>201</w:t>
      </w:r>
      <w:r w:rsidR="007017EA">
        <w:t xml:space="preserve">1, and prior to that 2005. </w:t>
      </w:r>
      <w:r w:rsidR="001515D3">
        <w:t>T</w:t>
      </w:r>
      <w:r w:rsidR="00EC282D">
        <w:t xml:space="preserve">he </w:t>
      </w:r>
      <w:proofErr w:type="spellStart"/>
      <w:r w:rsidR="00EC282D">
        <w:t>ICP</w:t>
      </w:r>
      <w:proofErr w:type="spellEnd"/>
      <w:r w:rsidR="00EC282D">
        <w:t xml:space="preserve"> round is just at one point in time, and by definition, a measure of the growth of productivity across time </w:t>
      </w:r>
      <w:r w:rsidR="00913717">
        <w:t>must</w:t>
      </w:r>
      <w:r w:rsidR="00EC282D">
        <w:t xml:space="preserve"> measure a change in the ratio of a volume measure of output to a volume measure of inputs over time. In order to do this, </w:t>
      </w:r>
      <w:proofErr w:type="spellStart"/>
      <w:r w:rsidR="00EC282D">
        <w:t>TCB</w:t>
      </w:r>
      <w:proofErr w:type="spellEnd"/>
      <w:r w:rsidR="00EC282D">
        <w:t xml:space="preserve"> use PPPs based on the World Bank</w:t>
      </w:r>
      <w:r w:rsidR="00E848FF">
        <w:noBreakHyphen/>
      </w:r>
      <w:proofErr w:type="spellStart"/>
      <w:r w:rsidR="00EC282D">
        <w:t>ICP</w:t>
      </w:r>
      <w:proofErr w:type="spellEnd"/>
      <w:r w:rsidR="00EC282D">
        <w:t xml:space="preserve"> 2011 round, but </w:t>
      </w:r>
      <w:r w:rsidR="00913717">
        <w:t xml:space="preserve">dynamically </w:t>
      </w:r>
      <w:r w:rsidR="00EC282D">
        <w:t xml:space="preserve">adjust them each year using the change </w:t>
      </w:r>
      <w:r w:rsidR="00913717">
        <w:t xml:space="preserve">in </w:t>
      </w:r>
      <w:r w:rsidR="00EC282D">
        <w:t xml:space="preserve">countries’ national </w:t>
      </w:r>
      <w:r w:rsidR="00913717">
        <w:t xml:space="preserve">implicit </w:t>
      </w:r>
      <w:r w:rsidR="00EC282D">
        <w:t xml:space="preserve">GDP deflator, relative to the US </w:t>
      </w:r>
      <w:r w:rsidR="00913717">
        <w:t xml:space="preserve">implicit </w:t>
      </w:r>
      <w:r w:rsidR="00EC282D">
        <w:t xml:space="preserve">GDP deflator. This provides a measure of output </w:t>
      </w:r>
      <w:r w:rsidR="005C68E1">
        <w:t>that</w:t>
      </w:r>
      <w:r w:rsidR="00EC282D">
        <w:t xml:space="preserve"> can be used to analyse volume estimates both across countries and time, facilitating comparisons of productivity growth rates in addition to levels. </w:t>
      </w:r>
    </w:p>
    <w:p w14:paraId="1D0A70A8" w14:textId="37FD56F9" w:rsidR="00913717" w:rsidRDefault="00EC282D" w:rsidP="00913717">
      <w:pPr>
        <w:pStyle w:val="BodyText"/>
      </w:pPr>
      <w:r>
        <w:t xml:space="preserve">The 2011 </w:t>
      </w:r>
      <w:proofErr w:type="spellStart"/>
      <w:r>
        <w:t>ICP</w:t>
      </w:r>
      <w:proofErr w:type="spellEnd"/>
      <w:r>
        <w:t xml:space="preserve"> round indicates Australia’s aggregate price level was </w:t>
      </w:r>
      <w:r w:rsidR="00C82E28">
        <w:t>about</w:t>
      </w:r>
      <w:r>
        <w:t xml:space="preserve"> 1.6 times the aggregate price level of the U</w:t>
      </w:r>
      <w:r w:rsidR="00265579">
        <w:t xml:space="preserve">nited </w:t>
      </w:r>
      <w:r>
        <w:t>S</w:t>
      </w:r>
      <w:r w:rsidR="00265579">
        <w:t>tates</w:t>
      </w:r>
      <w:r>
        <w:t xml:space="preserve"> (price level index value of 155.9/100). A consequence of PPP adjustment for Australia is therefore that aggregate nominal output values are adjusted downwards when converted into USD. Because this reduces the quantity of output relative to inputs, productivity </w:t>
      </w:r>
      <w:r w:rsidRPr="001515D3">
        <w:rPr>
          <w:i/>
        </w:rPr>
        <w:t>l</w:t>
      </w:r>
      <w:r w:rsidR="00913717" w:rsidRPr="001515D3">
        <w:rPr>
          <w:i/>
        </w:rPr>
        <w:t>evel</w:t>
      </w:r>
      <w:r w:rsidR="00913717">
        <w:t xml:space="preserve"> estimates will be lower than implied by ABS statistics.</w:t>
      </w:r>
      <w:r>
        <w:t xml:space="preserve"> </w:t>
      </w:r>
      <w:r w:rsidR="00913717">
        <w:t>I</w:t>
      </w:r>
      <w:r>
        <w:t>f</w:t>
      </w:r>
      <w:r w:rsidR="00913717">
        <w:t>, however,</w:t>
      </w:r>
      <w:r>
        <w:t xml:space="preserve"> the PPP adjustment is constant</w:t>
      </w:r>
      <w:r w:rsidR="00951FCA">
        <w:t xml:space="preserve"> (</w:t>
      </w:r>
      <w:r>
        <w:t>or does not change significantly</w:t>
      </w:r>
      <w:r w:rsidR="00951FCA">
        <w:t xml:space="preserve"> over time)</w:t>
      </w:r>
      <w:r>
        <w:t>, it will have no</w:t>
      </w:r>
      <w:r w:rsidR="00951FCA">
        <w:t xml:space="preserve"> (</w:t>
      </w:r>
      <w:r>
        <w:t>or little</w:t>
      </w:r>
      <w:r w:rsidR="00951FCA">
        <w:t>)</w:t>
      </w:r>
      <w:r>
        <w:t xml:space="preserve"> effect on growth rates. </w:t>
      </w:r>
      <w:r w:rsidR="00470428">
        <w:t xml:space="preserve">Differences in implied productivity growth rates therefore tend to reflect </w:t>
      </w:r>
      <w:r w:rsidR="002F1004">
        <w:t xml:space="preserve">other </w:t>
      </w:r>
      <w:r w:rsidR="00470428">
        <w:t>differences in the methodologies employed in different data sources</w:t>
      </w:r>
      <w:r w:rsidR="00593A61">
        <w:t xml:space="preserve"> (see next section)</w:t>
      </w:r>
      <w:r w:rsidR="00470428">
        <w:t xml:space="preserve">. </w:t>
      </w:r>
    </w:p>
    <w:p w14:paraId="1D0A70A9" w14:textId="77777777" w:rsidR="000F3785" w:rsidRDefault="00F54674" w:rsidP="000F3785">
      <w:pPr>
        <w:pStyle w:val="Heading3"/>
      </w:pPr>
      <w:r>
        <w:t>Different</w:t>
      </w:r>
      <w:r w:rsidR="000F3785">
        <w:t xml:space="preserve"> </w:t>
      </w:r>
      <w:r w:rsidR="00B0317A">
        <w:t xml:space="preserve">productivity </w:t>
      </w:r>
      <w:r w:rsidR="00853484">
        <w:t>data</w:t>
      </w:r>
      <w:r>
        <w:t xml:space="preserve"> for Australia</w:t>
      </w:r>
    </w:p>
    <w:p w14:paraId="1D0A70AA" w14:textId="23B9D5E2" w:rsidR="000F3785" w:rsidRPr="008F7CF1" w:rsidRDefault="000F3785" w:rsidP="00913717">
      <w:pPr>
        <w:pStyle w:val="BodyText"/>
      </w:pPr>
      <w:r>
        <w:t>A summary of the</w:t>
      </w:r>
      <w:r w:rsidRPr="008F7CF1">
        <w:t xml:space="preserve"> assumptions</w:t>
      </w:r>
      <w:r>
        <w:t xml:space="preserve"> and</w:t>
      </w:r>
      <w:r w:rsidRPr="008F7CF1">
        <w:t xml:space="preserve"> methods </w:t>
      </w:r>
      <w:r>
        <w:t xml:space="preserve">of the four main international data sources — those including aggregate level data for Australia — is presented </w:t>
      </w:r>
      <w:r w:rsidR="00470428">
        <w:t>in</w:t>
      </w:r>
      <w:r>
        <w:t xml:space="preserve"> table </w:t>
      </w:r>
      <w:r w:rsidR="00F72272">
        <w:t>4</w:t>
      </w:r>
      <w:r>
        <w:t>, and the implied MFP growth ra</w:t>
      </w:r>
      <w:r w:rsidR="00067FB2">
        <w:t>tes for each are in figure </w:t>
      </w:r>
      <w:r w:rsidR="005132E7">
        <w:t>18</w:t>
      </w:r>
      <w:r w:rsidR="00067FB2">
        <w:t>.</w:t>
      </w:r>
      <w:r w:rsidR="00F54674">
        <w:t xml:space="preserve"> The methods for measuring output in the four different measures are similar, </w:t>
      </w:r>
      <w:r w:rsidR="001515D3">
        <w:t>indicating</w:t>
      </w:r>
      <w:r w:rsidR="00F54674">
        <w:t xml:space="preserve"> that any significant difference in productivity </w:t>
      </w:r>
      <w:r w:rsidR="00F54674" w:rsidRPr="00067FB2">
        <w:rPr>
          <w:i/>
        </w:rPr>
        <w:t>growth</w:t>
      </w:r>
      <w:r w:rsidR="00F54674">
        <w:t xml:space="preserve"> is </w:t>
      </w:r>
      <w:r w:rsidR="001515D3">
        <w:t>more</w:t>
      </w:r>
      <w:r w:rsidR="00F54674">
        <w:t xml:space="preserve"> an artefact of input measurement.</w:t>
      </w:r>
      <w:r w:rsidR="00BB0D48">
        <w:t xml:space="preserve"> As shown in figure </w:t>
      </w:r>
      <w:r w:rsidR="005132E7">
        <w:t>18</w:t>
      </w:r>
      <w:r w:rsidR="00470428">
        <w:t xml:space="preserve">, MFP growth rates across the ABS, OECD and </w:t>
      </w:r>
      <w:proofErr w:type="spellStart"/>
      <w:r w:rsidR="00470428">
        <w:t>LTPD</w:t>
      </w:r>
      <w:proofErr w:type="spellEnd"/>
      <w:r w:rsidR="00470428">
        <w:t xml:space="preserve"> are similar, whereas the TED</w:t>
      </w:r>
      <w:r w:rsidR="00BB0D48">
        <w:t xml:space="preserve"> </w:t>
      </w:r>
      <w:r w:rsidR="00470428">
        <w:t xml:space="preserve">data imply systematically lower MFP growth rates. </w:t>
      </w:r>
    </w:p>
    <w:p w14:paraId="1D0A70AB" w14:textId="77777777" w:rsidR="008F7CF1" w:rsidRDefault="008F7CF1" w:rsidP="008F7CF1">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71"/>
      </w:tblGrid>
      <w:tr w:rsidR="008F7CF1" w14:paraId="1D0A70AE" w14:textId="77777777" w:rsidTr="001011E6">
        <w:tc>
          <w:tcPr>
            <w:tcW w:w="8771" w:type="dxa"/>
            <w:tcBorders>
              <w:top w:val="single" w:sz="6" w:space="0" w:color="78A22F"/>
              <w:left w:val="nil"/>
              <w:bottom w:val="nil"/>
              <w:right w:val="nil"/>
            </w:tcBorders>
            <w:shd w:val="clear" w:color="auto" w:fill="auto"/>
          </w:tcPr>
          <w:p w14:paraId="1D0A70AC" w14:textId="77777777" w:rsidR="008F7CF1" w:rsidRDefault="008F7CF1" w:rsidP="001011E6">
            <w:pPr>
              <w:pStyle w:val="TableTitle"/>
            </w:pPr>
            <w:r>
              <w:rPr>
                <w:b w:val="0"/>
              </w:rPr>
              <w:t xml:space="preserve">Table </w:t>
            </w:r>
            <w:r w:rsidR="00F72272">
              <w:rPr>
                <w:b w:val="0"/>
              </w:rPr>
              <w:t>4</w:t>
            </w:r>
            <w:r>
              <w:tab/>
            </w:r>
            <w:r w:rsidR="00592805">
              <w:t>Summary</w:t>
            </w:r>
            <w:r>
              <w:t xml:space="preserve"> of international productivity data</w:t>
            </w:r>
            <w:r w:rsidR="00592805">
              <w:t xml:space="preserve"> </w:t>
            </w:r>
            <w:proofErr w:type="spellStart"/>
            <w:r w:rsidR="00592805">
              <w:t>sources</w:t>
            </w:r>
            <w:r w:rsidRPr="00C21FFD">
              <w:rPr>
                <w:vertAlign w:val="superscript"/>
              </w:rPr>
              <w:t>a</w:t>
            </w:r>
            <w:proofErr w:type="spellEnd"/>
          </w:p>
          <w:p w14:paraId="1D0A70AD" w14:textId="77777777" w:rsidR="008F7CF1" w:rsidRPr="00784A05" w:rsidRDefault="00FB5B57" w:rsidP="00FB5B57">
            <w:pPr>
              <w:pStyle w:val="Subtitle"/>
            </w:pPr>
            <w:r>
              <w:t xml:space="preserve">Databases that include </w:t>
            </w:r>
            <w:r w:rsidR="00592805">
              <w:t xml:space="preserve">aggregate </w:t>
            </w:r>
            <w:r>
              <w:t>indicators for Australia</w:t>
            </w:r>
          </w:p>
        </w:tc>
      </w:tr>
      <w:tr w:rsidR="008F7CF1" w14:paraId="1D0A70D8" w14:textId="77777777" w:rsidTr="001011E6">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193"/>
              <w:gridCol w:w="1189"/>
              <w:gridCol w:w="1281"/>
              <w:gridCol w:w="1188"/>
              <w:gridCol w:w="1188"/>
              <w:gridCol w:w="1260"/>
              <w:gridCol w:w="1188"/>
            </w:tblGrid>
            <w:tr w:rsidR="00C8273B" w14:paraId="1D0A70B6" w14:textId="77777777" w:rsidTr="002620DE">
              <w:trPr>
                <w:tblHeader/>
              </w:trPr>
              <w:tc>
                <w:tcPr>
                  <w:tcW w:w="702" w:type="pct"/>
                  <w:tcBorders>
                    <w:top w:val="single" w:sz="6" w:space="0" w:color="BFBFBF"/>
                    <w:bottom w:val="single" w:sz="6" w:space="0" w:color="BFBFBF"/>
                  </w:tcBorders>
                  <w:shd w:val="clear" w:color="auto" w:fill="auto"/>
                  <w:tcMar>
                    <w:top w:w="28" w:type="dxa"/>
                  </w:tcMar>
                </w:tcPr>
                <w:p w14:paraId="1D0A70AF" w14:textId="77777777" w:rsidR="002620DE" w:rsidRDefault="002620DE" w:rsidP="001011E6">
                  <w:pPr>
                    <w:pStyle w:val="TableColumnHeading"/>
                    <w:jc w:val="left"/>
                  </w:pPr>
                </w:p>
              </w:tc>
              <w:tc>
                <w:tcPr>
                  <w:tcW w:w="700" w:type="pct"/>
                  <w:tcBorders>
                    <w:top w:val="single" w:sz="6" w:space="0" w:color="BFBFBF"/>
                    <w:bottom w:val="single" w:sz="6" w:space="0" w:color="BFBFBF"/>
                  </w:tcBorders>
                </w:tcPr>
                <w:p w14:paraId="1D0A70B0" w14:textId="77777777" w:rsidR="002620DE" w:rsidRDefault="002620DE" w:rsidP="001011E6">
                  <w:pPr>
                    <w:pStyle w:val="TableColumnHeading"/>
                  </w:pPr>
                  <w:r>
                    <w:t>Output (Y)</w:t>
                  </w:r>
                </w:p>
              </w:tc>
              <w:tc>
                <w:tcPr>
                  <w:tcW w:w="754" w:type="pct"/>
                  <w:tcBorders>
                    <w:top w:val="single" w:sz="6" w:space="0" w:color="BFBFBF"/>
                    <w:bottom w:val="single" w:sz="6" w:space="0" w:color="BFBFBF"/>
                  </w:tcBorders>
                  <w:shd w:val="clear" w:color="auto" w:fill="auto"/>
                  <w:tcMar>
                    <w:top w:w="28" w:type="dxa"/>
                  </w:tcMar>
                </w:tcPr>
                <w:p w14:paraId="1D0A70B1" w14:textId="77777777" w:rsidR="002620DE" w:rsidRDefault="002620DE" w:rsidP="001011E6">
                  <w:pPr>
                    <w:pStyle w:val="TableColumnHeading"/>
                  </w:pPr>
                  <w:r>
                    <w:t>Capital (K)</w:t>
                  </w:r>
                </w:p>
              </w:tc>
              <w:tc>
                <w:tcPr>
                  <w:tcW w:w="700" w:type="pct"/>
                  <w:tcBorders>
                    <w:top w:val="single" w:sz="6" w:space="0" w:color="BFBFBF"/>
                    <w:bottom w:val="single" w:sz="6" w:space="0" w:color="BFBFBF"/>
                  </w:tcBorders>
                  <w:shd w:val="clear" w:color="auto" w:fill="auto"/>
                  <w:tcMar>
                    <w:top w:w="28" w:type="dxa"/>
                  </w:tcMar>
                </w:tcPr>
                <w:p w14:paraId="1D0A70B2" w14:textId="77777777" w:rsidR="002620DE" w:rsidRDefault="002620DE" w:rsidP="00344257">
                  <w:pPr>
                    <w:pStyle w:val="TableColumnHeading"/>
                  </w:pPr>
                  <w:r>
                    <w:t>Labour (L)</w:t>
                  </w:r>
                </w:p>
              </w:tc>
              <w:tc>
                <w:tcPr>
                  <w:tcW w:w="700" w:type="pct"/>
                  <w:tcBorders>
                    <w:top w:val="single" w:sz="6" w:space="0" w:color="BFBFBF"/>
                    <w:bottom w:val="single" w:sz="6" w:space="0" w:color="BFBFBF"/>
                  </w:tcBorders>
                </w:tcPr>
                <w:p w14:paraId="1D0A70B3" w14:textId="77777777" w:rsidR="002620DE" w:rsidRDefault="002620DE" w:rsidP="00344257">
                  <w:pPr>
                    <w:pStyle w:val="TableColumnHeading"/>
                  </w:pPr>
                  <w:r>
                    <w:t xml:space="preserve">Sectoral coverage </w:t>
                  </w:r>
                </w:p>
              </w:tc>
              <w:tc>
                <w:tcPr>
                  <w:tcW w:w="742" w:type="pct"/>
                  <w:tcBorders>
                    <w:top w:val="single" w:sz="6" w:space="0" w:color="BFBFBF"/>
                    <w:bottom w:val="single" w:sz="6" w:space="0" w:color="BFBFBF"/>
                  </w:tcBorders>
                </w:tcPr>
                <w:p w14:paraId="1D0A70B4" w14:textId="77777777" w:rsidR="002620DE" w:rsidRDefault="002620DE" w:rsidP="00344257">
                  <w:pPr>
                    <w:pStyle w:val="TableColumnHeading"/>
                  </w:pPr>
                  <w:r>
                    <w:t>Periodicity</w:t>
                  </w:r>
                </w:p>
              </w:tc>
              <w:tc>
                <w:tcPr>
                  <w:tcW w:w="700" w:type="pct"/>
                  <w:tcBorders>
                    <w:top w:val="single" w:sz="6" w:space="0" w:color="BFBFBF"/>
                    <w:bottom w:val="single" w:sz="6" w:space="0" w:color="BFBFBF"/>
                  </w:tcBorders>
                </w:tcPr>
                <w:p w14:paraId="1D0A70B5" w14:textId="77777777" w:rsidR="002620DE" w:rsidRDefault="002620DE" w:rsidP="00344257">
                  <w:pPr>
                    <w:pStyle w:val="TableColumnHeading"/>
                  </w:pPr>
                  <w:r>
                    <w:t>PPP adjusted?</w:t>
                  </w:r>
                </w:p>
              </w:tc>
            </w:tr>
            <w:tr w:rsidR="00C8273B" w14:paraId="1D0A70BE" w14:textId="77777777" w:rsidTr="002620DE">
              <w:tc>
                <w:tcPr>
                  <w:tcW w:w="702" w:type="pct"/>
                  <w:tcBorders>
                    <w:top w:val="single" w:sz="6" w:space="0" w:color="BFBFBF"/>
                  </w:tcBorders>
                </w:tcPr>
                <w:p w14:paraId="1D0A70B7" w14:textId="77777777" w:rsidR="002620DE" w:rsidRDefault="002620DE" w:rsidP="001011E6">
                  <w:pPr>
                    <w:pStyle w:val="TableUnitsRow"/>
                    <w:jc w:val="left"/>
                  </w:pPr>
                  <w:r>
                    <w:t>Australian Bureau of Statistics (ABS): System of National Accounts</w:t>
                  </w:r>
                </w:p>
              </w:tc>
              <w:tc>
                <w:tcPr>
                  <w:tcW w:w="700" w:type="pct"/>
                  <w:tcBorders>
                    <w:top w:val="single" w:sz="6" w:space="0" w:color="BFBFBF"/>
                  </w:tcBorders>
                </w:tcPr>
                <w:p w14:paraId="1D0A70B8" w14:textId="77777777" w:rsidR="002620DE" w:rsidRDefault="002620DE" w:rsidP="00C8273B">
                  <w:pPr>
                    <w:pStyle w:val="TableUnitsRow"/>
                  </w:pPr>
                  <w:r w:rsidRPr="00066283">
                    <w:t>Gross value added (</w:t>
                  </w:r>
                  <w:proofErr w:type="spellStart"/>
                  <w:r w:rsidRPr="00066283">
                    <w:t>GVA</w:t>
                  </w:r>
                  <w:proofErr w:type="spellEnd"/>
                  <w:r w:rsidRPr="00066283">
                    <w:t>) at basic prices</w:t>
                  </w:r>
                  <w:r w:rsidRPr="00D72551">
                    <w:rPr>
                      <w:rFonts w:cs="Arial"/>
                      <w:vertAlign w:val="superscript"/>
                    </w:rPr>
                    <w:t>†</w:t>
                  </w:r>
                  <w:r>
                    <w:t xml:space="preserve"> (for the market sector industries), and </w:t>
                  </w:r>
                  <w:r w:rsidRPr="00066283">
                    <w:t>GDP at market prices</w:t>
                  </w:r>
                  <w:r w:rsidRPr="00D72551">
                    <w:rPr>
                      <w:rFonts w:cs="Arial"/>
                      <w:vertAlign w:val="superscript"/>
                    </w:rPr>
                    <w:t>†</w:t>
                  </w:r>
                  <w:r w:rsidRPr="00066283">
                    <w:t xml:space="preserve"> </w:t>
                  </w:r>
                  <w:r>
                    <w:t>(whole of economy)</w:t>
                  </w:r>
                  <w:r>
                    <w:rPr>
                      <w:rFonts w:cs="Arial"/>
                      <w:vertAlign w:val="superscript"/>
                    </w:rPr>
                    <w:t xml:space="preserve"> </w:t>
                  </w:r>
                </w:p>
              </w:tc>
              <w:tc>
                <w:tcPr>
                  <w:tcW w:w="754" w:type="pct"/>
                  <w:tcBorders>
                    <w:top w:val="single" w:sz="6" w:space="0" w:color="BFBFBF"/>
                  </w:tcBorders>
                </w:tcPr>
                <w:p w14:paraId="1D0A70B9" w14:textId="77777777" w:rsidR="002620DE" w:rsidRDefault="002620DE" w:rsidP="00344257">
                  <w:pPr>
                    <w:pStyle w:val="TableUnitsRow"/>
                  </w:pPr>
                  <w:r w:rsidRPr="00066283">
                    <w:t xml:space="preserve">Detailed industry specific asset breakdown </w:t>
                  </w:r>
                  <w:r>
                    <w:t>(PIM method, hyperbolic age</w:t>
                  </w:r>
                  <w:r>
                    <w:noBreakHyphen/>
                    <w:t xml:space="preserve">efficiency, and a mix of exogenous and </w:t>
                  </w:r>
                  <w:r w:rsidR="00C8273B">
                    <w:t>endogenous rate</w:t>
                  </w:r>
                  <w:r>
                    <w:t xml:space="preserve"> of return)</w:t>
                  </w:r>
                </w:p>
              </w:tc>
              <w:tc>
                <w:tcPr>
                  <w:tcW w:w="700" w:type="pct"/>
                  <w:tcBorders>
                    <w:top w:val="single" w:sz="6" w:space="0" w:color="BFBFBF"/>
                  </w:tcBorders>
                </w:tcPr>
                <w:p w14:paraId="1D0A70BA" w14:textId="77777777" w:rsidR="002620DE" w:rsidRPr="00344257" w:rsidRDefault="005D29A1" w:rsidP="00344257">
                  <w:pPr>
                    <w:pStyle w:val="TableColumnHeading"/>
                    <w:rPr>
                      <w:i w:val="0"/>
                    </w:rPr>
                  </w:pPr>
                  <w:r>
                    <w:rPr>
                      <w:i w:val="0"/>
                    </w:rPr>
                    <w:t xml:space="preserve">Hours from the </w:t>
                  </w:r>
                  <w:r w:rsidR="002620DE" w:rsidRPr="00344257">
                    <w:rPr>
                      <w:i w:val="0"/>
                    </w:rPr>
                    <w:t xml:space="preserve">ABS Labour Force Survey </w:t>
                  </w:r>
                </w:p>
              </w:tc>
              <w:tc>
                <w:tcPr>
                  <w:tcW w:w="700" w:type="pct"/>
                  <w:tcBorders>
                    <w:top w:val="single" w:sz="6" w:space="0" w:color="BFBFBF"/>
                  </w:tcBorders>
                </w:tcPr>
                <w:p w14:paraId="1D0A70BB" w14:textId="77777777" w:rsidR="002620DE" w:rsidRPr="00344257" w:rsidRDefault="002620DE" w:rsidP="00344257">
                  <w:pPr>
                    <w:pStyle w:val="TableColumnHeading"/>
                    <w:rPr>
                      <w:i w:val="0"/>
                    </w:rPr>
                  </w:pPr>
                  <w:r w:rsidRPr="00344257">
                    <w:rPr>
                      <w:i w:val="0"/>
                    </w:rPr>
                    <w:t xml:space="preserve">Market sector (12 or 16 industry), and whole of economy (19 industry plus ownership of dwellings and net taxes) </w:t>
                  </w:r>
                </w:p>
              </w:tc>
              <w:tc>
                <w:tcPr>
                  <w:tcW w:w="742" w:type="pct"/>
                  <w:tcBorders>
                    <w:top w:val="single" w:sz="6" w:space="0" w:color="BFBFBF"/>
                  </w:tcBorders>
                </w:tcPr>
                <w:p w14:paraId="1D0A70BC" w14:textId="77777777" w:rsidR="002620DE" w:rsidRPr="00344257" w:rsidRDefault="002620DE" w:rsidP="00344257">
                  <w:pPr>
                    <w:pStyle w:val="TableColumnHeading"/>
                    <w:rPr>
                      <w:i w:val="0"/>
                    </w:rPr>
                  </w:pPr>
                  <w:r w:rsidRPr="00344257">
                    <w:rPr>
                      <w:i w:val="0"/>
                    </w:rPr>
                    <w:t>Fiscal year (1 July to 30 June)</w:t>
                  </w:r>
                </w:p>
              </w:tc>
              <w:tc>
                <w:tcPr>
                  <w:tcW w:w="700" w:type="pct"/>
                  <w:tcBorders>
                    <w:top w:val="single" w:sz="6" w:space="0" w:color="BFBFBF"/>
                  </w:tcBorders>
                </w:tcPr>
                <w:p w14:paraId="1D0A70BD" w14:textId="77777777" w:rsidR="002620DE" w:rsidRPr="00344257" w:rsidRDefault="002620DE" w:rsidP="00592805">
                  <w:pPr>
                    <w:pStyle w:val="TableColumnHeading"/>
                    <w:rPr>
                      <w:i w:val="0"/>
                    </w:rPr>
                  </w:pPr>
                  <w:r>
                    <w:rPr>
                      <w:i w:val="0"/>
                    </w:rPr>
                    <w:t>No</w:t>
                  </w:r>
                  <w:r w:rsidR="00592805">
                    <w:rPr>
                      <w:i w:val="0"/>
                    </w:rPr>
                    <w:t>, expressed in domestic currency</w:t>
                  </w:r>
                </w:p>
              </w:tc>
            </w:tr>
            <w:tr w:rsidR="00C8273B" w14:paraId="1D0A70C6" w14:textId="77777777" w:rsidTr="002620DE">
              <w:tc>
                <w:tcPr>
                  <w:tcW w:w="702" w:type="pct"/>
                </w:tcPr>
                <w:p w14:paraId="1D0A70BF" w14:textId="77777777" w:rsidR="002620DE" w:rsidRDefault="002620DE" w:rsidP="001011E6">
                  <w:pPr>
                    <w:pStyle w:val="TableBodyText"/>
                    <w:jc w:val="left"/>
                  </w:pPr>
                  <w:r w:rsidRPr="008F7CF1">
                    <w:t>Organisation for Economic Cooperation &amp; Development (OECD)</w:t>
                  </w:r>
                  <w:r>
                    <w:t>: Productivity Database</w:t>
                  </w:r>
                </w:p>
              </w:tc>
              <w:tc>
                <w:tcPr>
                  <w:tcW w:w="700" w:type="pct"/>
                </w:tcPr>
                <w:p w14:paraId="1D0A70C0" w14:textId="77777777" w:rsidR="002620DE" w:rsidRDefault="002620DE" w:rsidP="00D72551">
                  <w:pPr>
                    <w:pStyle w:val="TableBodyText"/>
                  </w:pPr>
                  <w:r w:rsidRPr="00066283">
                    <w:t>GDP at market prices</w:t>
                  </w:r>
                  <w:r w:rsidRPr="00D72551">
                    <w:rPr>
                      <w:rFonts w:cs="Arial"/>
                      <w:vertAlign w:val="superscript"/>
                    </w:rPr>
                    <w:t>†</w:t>
                  </w:r>
                  <w:r w:rsidRPr="00066283">
                    <w:t xml:space="preserve"> </w:t>
                  </w:r>
                  <w:r>
                    <w:t>(whole of economy)</w:t>
                  </w:r>
                </w:p>
              </w:tc>
              <w:tc>
                <w:tcPr>
                  <w:tcW w:w="754" w:type="pct"/>
                </w:tcPr>
                <w:p w14:paraId="1D0A70C1" w14:textId="77777777" w:rsidR="002620DE" w:rsidRDefault="002620DE" w:rsidP="00C8273B">
                  <w:pPr>
                    <w:pStyle w:val="TableBodyText"/>
                  </w:pPr>
                  <w:r w:rsidRPr="00066283">
                    <w:t>Internationally harmonised 8</w:t>
                  </w:r>
                  <w:r>
                    <w:noBreakHyphen/>
                  </w:r>
                  <w:r w:rsidRPr="00066283">
                    <w:t>way asset breakdown, ICT defl</w:t>
                  </w:r>
                  <w:r>
                    <w:t xml:space="preserve">ators, </w:t>
                  </w:r>
                  <w:r w:rsidR="00C8273B">
                    <w:t>age efficiency profiles (exogenous rate</w:t>
                  </w:r>
                  <w:r>
                    <w:t xml:space="preserve"> of return)</w:t>
                  </w:r>
                  <w:r w:rsidRPr="00066283">
                    <w:t>.</w:t>
                  </w:r>
                </w:p>
              </w:tc>
              <w:tc>
                <w:tcPr>
                  <w:tcW w:w="700" w:type="pct"/>
                </w:tcPr>
                <w:p w14:paraId="1D0A70C2" w14:textId="77777777" w:rsidR="002620DE" w:rsidRPr="00344257" w:rsidRDefault="005D29A1" w:rsidP="00344257">
                  <w:pPr>
                    <w:pStyle w:val="TableColumnHeading"/>
                    <w:rPr>
                      <w:i w:val="0"/>
                    </w:rPr>
                  </w:pPr>
                  <w:r>
                    <w:rPr>
                      <w:i w:val="0"/>
                    </w:rPr>
                    <w:t xml:space="preserve">Hours from the </w:t>
                  </w:r>
                  <w:r w:rsidR="002620DE" w:rsidRPr="00344257">
                    <w:rPr>
                      <w:i w:val="0"/>
                    </w:rPr>
                    <w:t>OECD National Accounts Database (adjusted from the ABS Labour Force Survey)</w:t>
                  </w:r>
                </w:p>
              </w:tc>
              <w:tc>
                <w:tcPr>
                  <w:tcW w:w="700" w:type="pct"/>
                </w:tcPr>
                <w:p w14:paraId="1D0A70C3" w14:textId="77777777" w:rsidR="002620DE" w:rsidRPr="00344257" w:rsidRDefault="002620DE" w:rsidP="00344257">
                  <w:pPr>
                    <w:pStyle w:val="TableColumnHeading"/>
                    <w:rPr>
                      <w:i w:val="0"/>
                    </w:rPr>
                  </w:pPr>
                  <w:r w:rsidRPr="00344257">
                    <w:rPr>
                      <w:i w:val="0"/>
                    </w:rPr>
                    <w:t>Whole of economy (19 industry plus ownership of dwellings and net taxes)</w:t>
                  </w:r>
                </w:p>
              </w:tc>
              <w:tc>
                <w:tcPr>
                  <w:tcW w:w="742" w:type="pct"/>
                </w:tcPr>
                <w:p w14:paraId="1D0A70C4" w14:textId="77777777" w:rsidR="002620DE" w:rsidRPr="00344257" w:rsidRDefault="002620DE" w:rsidP="00344257">
                  <w:pPr>
                    <w:pStyle w:val="TableColumnHeading"/>
                    <w:rPr>
                      <w:i w:val="0"/>
                    </w:rPr>
                  </w:pPr>
                  <w:r w:rsidRPr="00344257">
                    <w:rPr>
                      <w:i w:val="0"/>
                    </w:rPr>
                    <w:t>Calendar year (1 January to 31 December)</w:t>
                  </w:r>
                </w:p>
              </w:tc>
              <w:tc>
                <w:tcPr>
                  <w:tcW w:w="700" w:type="pct"/>
                </w:tcPr>
                <w:p w14:paraId="1D0A70C5" w14:textId="77777777" w:rsidR="002620DE" w:rsidRPr="00344257" w:rsidRDefault="002620DE" w:rsidP="00592805">
                  <w:pPr>
                    <w:pStyle w:val="TableColumnHeading"/>
                    <w:rPr>
                      <w:i w:val="0"/>
                    </w:rPr>
                  </w:pPr>
                  <w:r>
                    <w:rPr>
                      <w:i w:val="0"/>
                    </w:rPr>
                    <w:t>No</w:t>
                  </w:r>
                  <w:r w:rsidR="00592805">
                    <w:rPr>
                      <w:i w:val="0"/>
                    </w:rPr>
                    <w:t>, expressed in domestic currency</w:t>
                  </w:r>
                </w:p>
              </w:tc>
            </w:tr>
            <w:tr w:rsidR="00C8273B" w14:paraId="1D0A70CE" w14:textId="77777777" w:rsidTr="002620DE">
              <w:tc>
                <w:tcPr>
                  <w:tcW w:w="702" w:type="pct"/>
                  <w:shd w:val="clear" w:color="auto" w:fill="auto"/>
                </w:tcPr>
                <w:p w14:paraId="1D0A70C7" w14:textId="77777777" w:rsidR="002620DE" w:rsidRDefault="002620DE" w:rsidP="001011E6">
                  <w:pPr>
                    <w:pStyle w:val="TableBodyText"/>
                    <w:jc w:val="left"/>
                  </w:pPr>
                  <w:r>
                    <w:t>The Conference Board (</w:t>
                  </w:r>
                  <w:proofErr w:type="spellStart"/>
                  <w:r>
                    <w:t>TCB</w:t>
                  </w:r>
                  <w:proofErr w:type="spellEnd"/>
                  <w:r>
                    <w:t>): Total Economy Database</w:t>
                  </w:r>
                </w:p>
              </w:tc>
              <w:tc>
                <w:tcPr>
                  <w:tcW w:w="700" w:type="pct"/>
                </w:tcPr>
                <w:p w14:paraId="1D0A70C8" w14:textId="77777777" w:rsidR="002620DE" w:rsidRDefault="002620DE" w:rsidP="001011E6">
                  <w:pPr>
                    <w:pStyle w:val="TableBodyText"/>
                  </w:pPr>
                  <w:r>
                    <w:t>GDP</w:t>
                  </w:r>
                  <w:r w:rsidRPr="00066283">
                    <w:t xml:space="preserve"> at market prices</w:t>
                  </w:r>
                  <w:r w:rsidRPr="00D72551">
                    <w:rPr>
                      <w:rFonts w:cs="Arial"/>
                      <w:vertAlign w:val="superscript"/>
                    </w:rPr>
                    <w:t>†</w:t>
                  </w:r>
                  <w:r>
                    <w:t xml:space="preserve"> (whole of economy)</w:t>
                  </w:r>
                </w:p>
              </w:tc>
              <w:tc>
                <w:tcPr>
                  <w:tcW w:w="754" w:type="pct"/>
                  <w:shd w:val="clear" w:color="auto" w:fill="auto"/>
                </w:tcPr>
                <w:p w14:paraId="1D0A70C9" w14:textId="77777777" w:rsidR="002620DE" w:rsidRDefault="002620DE" w:rsidP="00344257">
                  <w:pPr>
                    <w:pStyle w:val="TableBodyText"/>
                  </w:pPr>
                  <w:r w:rsidRPr="00066283">
                    <w:t xml:space="preserve">Internationally harmonised </w:t>
                  </w:r>
                  <w:r>
                    <w:t>3</w:t>
                  </w:r>
                  <w:r>
                    <w:noBreakHyphen/>
                    <w:t>way asset breakdown (PIM method, geometric age</w:t>
                  </w:r>
                  <w:r>
                    <w:noBreakHyphen/>
                    <w:t>efficiency, endogenous rate of return)</w:t>
                  </w:r>
                </w:p>
              </w:tc>
              <w:tc>
                <w:tcPr>
                  <w:tcW w:w="700" w:type="pct"/>
                  <w:shd w:val="clear" w:color="auto" w:fill="auto"/>
                </w:tcPr>
                <w:p w14:paraId="1D0A70CA" w14:textId="77777777" w:rsidR="002620DE" w:rsidRPr="00344257" w:rsidRDefault="005D29A1" w:rsidP="005D29A1">
                  <w:pPr>
                    <w:pStyle w:val="TableColumnHeading"/>
                    <w:rPr>
                      <w:i w:val="0"/>
                    </w:rPr>
                  </w:pPr>
                  <w:r>
                    <w:rPr>
                      <w:i w:val="0"/>
                    </w:rPr>
                    <w:t>Hours are a</w:t>
                  </w:r>
                  <w:r w:rsidR="002620DE" w:rsidRPr="00344257">
                    <w:rPr>
                      <w:i w:val="0"/>
                    </w:rPr>
                    <w:t xml:space="preserve">djusted from the ABS Labour Force Survey </w:t>
                  </w:r>
                </w:p>
              </w:tc>
              <w:tc>
                <w:tcPr>
                  <w:tcW w:w="700" w:type="pct"/>
                </w:tcPr>
                <w:p w14:paraId="1D0A70CB" w14:textId="77777777" w:rsidR="002620DE" w:rsidRPr="00344257" w:rsidRDefault="002620DE" w:rsidP="00344257">
                  <w:pPr>
                    <w:pStyle w:val="TableColumnHeading"/>
                    <w:rPr>
                      <w:i w:val="0"/>
                    </w:rPr>
                  </w:pPr>
                  <w:r w:rsidRPr="00344257">
                    <w:rPr>
                      <w:i w:val="0"/>
                    </w:rPr>
                    <w:t>Whole of economy (19 industry plus ownership of dwellings and net taxes)</w:t>
                  </w:r>
                </w:p>
              </w:tc>
              <w:tc>
                <w:tcPr>
                  <w:tcW w:w="742" w:type="pct"/>
                </w:tcPr>
                <w:p w14:paraId="1D0A70CC" w14:textId="77777777" w:rsidR="002620DE" w:rsidRPr="00344257" w:rsidRDefault="002620DE" w:rsidP="00344257">
                  <w:pPr>
                    <w:pStyle w:val="TableColumnHeading"/>
                    <w:rPr>
                      <w:i w:val="0"/>
                    </w:rPr>
                  </w:pPr>
                  <w:r w:rsidRPr="00344257">
                    <w:rPr>
                      <w:i w:val="0"/>
                    </w:rPr>
                    <w:t>Calendar year (1 January to 31 December)</w:t>
                  </w:r>
                </w:p>
              </w:tc>
              <w:tc>
                <w:tcPr>
                  <w:tcW w:w="700" w:type="pct"/>
                </w:tcPr>
                <w:p w14:paraId="1D0A70CD" w14:textId="48220043" w:rsidR="002620DE" w:rsidRPr="00344257" w:rsidRDefault="002620DE" w:rsidP="00592805">
                  <w:pPr>
                    <w:pStyle w:val="TableColumnHeading"/>
                    <w:rPr>
                      <w:i w:val="0"/>
                    </w:rPr>
                  </w:pPr>
                  <w:r>
                    <w:rPr>
                      <w:i w:val="0"/>
                    </w:rPr>
                    <w:t>Yes</w:t>
                  </w:r>
                  <w:r w:rsidR="00C8273B">
                    <w:rPr>
                      <w:i w:val="0"/>
                    </w:rPr>
                    <w:t>,</w:t>
                  </w:r>
                  <w:r w:rsidR="00592805">
                    <w:rPr>
                      <w:i w:val="0"/>
                    </w:rPr>
                    <w:t xml:space="preserve"> expressed</w:t>
                  </w:r>
                  <w:r w:rsidR="00C8273B">
                    <w:rPr>
                      <w:i w:val="0"/>
                    </w:rPr>
                    <w:t xml:space="preserve"> </w:t>
                  </w:r>
                  <w:r w:rsidR="00592805">
                    <w:rPr>
                      <w:i w:val="0"/>
                    </w:rPr>
                    <w:t>in</w:t>
                  </w:r>
                  <w:r w:rsidR="00126F12">
                    <w:rPr>
                      <w:i w:val="0"/>
                    </w:rPr>
                    <w:t xml:space="preserve"> 2016</w:t>
                  </w:r>
                  <w:r w:rsidR="00C8273B">
                    <w:rPr>
                      <w:i w:val="0"/>
                    </w:rPr>
                    <w:t xml:space="preserve"> US dollars</w:t>
                  </w:r>
                  <w:r w:rsidR="00592805">
                    <w:rPr>
                      <w:i w:val="0"/>
                    </w:rPr>
                    <w:t xml:space="preserve"> (</w:t>
                  </w:r>
                  <w:proofErr w:type="spellStart"/>
                  <w:r w:rsidR="00592805">
                    <w:rPr>
                      <w:i w:val="0"/>
                    </w:rPr>
                    <w:t>EKS</w:t>
                  </w:r>
                  <w:proofErr w:type="spellEnd"/>
                  <w:r w:rsidR="00592805">
                    <w:rPr>
                      <w:i w:val="0"/>
                    </w:rPr>
                    <w:t xml:space="preserve"> PPPs based on 2011 World Bank</w:t>
                  </w:r>
                  <w:r w:rsidR="00592805">
                    <w:rPr>
                      <w:i w:val="0"/>
                    </w:rPr>
                    <w:noBreakHyphen/>
                  </w:r>
                  <w:proofErr w:type="spellStart"/>
                  <w:r w:rsidR="00592805">
                    <w:rPr>
                      <w:i w:val="0"/>
                    </w:rPr>
                    <w:t>ICP</w:t>
                  </w:r>
                  <w:proofErr w:type="spellEnd"/>
                  <w:r w:rsidR="00C8273B">
                    <w:rPr>
                      <w:i w:val="0"/>
                    </w:rPr>
                    <w:t xml:space="preserve"> </w:t>
                  </w:r>
                  <w:r w:rsidR="00592805">
                    <w:rPr>
                      <w:i w:val="0"/>
                    </w:rPr>
                    <w:t>round)</w:t>
                  </w:r>
                  <w:r w:rsidR="00C8273B">
                    <w:rPr>
                      <w:i w:val="0"/>
                    </w:rPr>
                    <w:t xml:space="preserve"> </w:t>
                  </w:r>
                </w:p>
              </w:tc>
            </w:tr>
            <w:tr w:rsidR="00C8273B" w14:paraId="1D0A70D6" w14:textId="77777777" w:rsidTr="002620DE">
              <w:tc>
                <w:tcPr>
                  <w:tcW w:w="702" w:type="pct"/>
                  <w:tcBorders>
                    <w:bottom w:val="single" w:sz="6" w:space="0" w:color="BFBFBF"/>
                  </w:tcBorders>
                  <w:shd w:val="clear" w:color="auto" w:fill="auto"/>
                </w:tcPr>
                <w:p w14:paraId="1D0A70CF" w14:textId="782826EC" w:rsidR="002620DE" w:rsidRDefault="00527C7F" w:rsidP="00527C7F">
                  <w:pPr>
                    <w:pStyle w:val="TableBodyText"/>
                    <w:jc w:val="left"/>
                  </w:pPr>
                  <w:proofErr w:type="spellStart"/>
                  <w:r>
                    <w:t>Bergeaud</w:t>
                  </w:r>
                  <w:proofErr w:type="spellEnd"/>
                  <w:r>
                    <w:t xml:space="preserve">, </w:t>
                  </w:r>
                  <w:proofErr w:type="spellStart"/>
                  <w:r>
                    <w:t>Cette</w:t>
                  </w:r>
                  <w:proofErr w:type="spellEnd"/>
                  <w:r>
                    <w:t>,</w:t>
                  </w:r>
                  <w:r w:rsidR="002620DE" w:rsidRPr="00FB5B57">
                    <w:t xml:space="preserve"> </w:t>
                  </w:r>
                  <w:r w:rsidR="002620DE">
                    <w:t>and</w:t>
                  </w:r>
                  <w:r w:rsidR="00392986">
                    <w:t xml:space="preserve"> </w:t>
                  </w:r>
                  <w:proofErr w:type="spellStart"/>
                  <w:r w:rsidR="00392986">
                    <w:t>Lecat</w:t>
                  </w:r>
                  <w:proofErr w:type="spellEnd"/>
                  <w:r w:rsidR="002620DE" w:rsidRPr="00FB5B57">
                    <w:t xml:space="preserve"> (2016)</w:t>
                  </w:r>
                  <w:r w:rsidR="002620DE">
                    <w:t>:</w:t>
                  </w:r>
                  <w:r w:rsidR="002620DE" w:rsidRPr="00FB5B57">
                    <w:t xml:space="preserve"> </w:t>
                  </w:r>
                  <w:r w:rsidR="002620DE">
                    <w:t xml:space="preserve">Long Term </w:t>
                  </w:r>
                  <w:r w:rsidR="00C8273B">
                    <w:t>P</w:t>
                  </w:r>
                  <w:r w:rsidR="002620DE">
                    <w:t>roductivity Database</w:t>
                  </w:r>
                </w:p>
              </w:tc>
              <w:tc>
                <w:tcPr>
                  <w:tcW w:w="700" w:type="pct"/>
                  <w:tcBorders>
                    <w:bottom w:val="single" w:sz="6" w:space="0" w:color="BFBFBF"/>
                  </w:tcBorders>
                </w:tcPr>
                <w:p w14:paraId="1D0A70D0" w14:textId="77777777" w:rsidR="002620DE" w:rsidRPr="005D29A1" w:rsidRDefault="00592805" w:rsidP="0091254F">
                  <w:pPr>
                    <w:pStyle w:val="TableBodyText"/>
                  </w:pPr>
                  <w:r w:rsidRPr="005D29A1">
                    <w:t>GDP at market prices</w:t>
                  </w:r>
                  <w:r w:rsidRPr="005D29A1">
                    <w:rPr>
                      <w:rFonts w:cs="Arial"/>
                      <w:vertAlign w:val="superscript"/>
                    </w:rPr>
                    <w:t>†</w:t>
                  </w:r>
                  <w:r w:rsidRPr="005D29A1">
                    <w:t xml:space="preserve"> (whole of economy</w:t>
                  </w:r>
                  <w:r w:rsidR="005D29A1">
                    <w:t xml:space="preserve"> from OECD</w:t>
                  </w:r>
                  <w:r w:rsidRPr="005D29A1">
                    <w:t>)</w:t>
                  </w:r>
                  <w:r w:rsidR="005D29A1" w:rsidRPr="005D29A1">
                    <w:t>. Historical data from</w:t>
                  </w:r>
                  <w:r w:rsidR="005D29A1">
                    <w:t xml:space="preserve"> </w:t>
                  </w:r>
                  <w:r w:rsidR="0091254F">
                    <w:t xml:space="preserve">Bolt and van </w:t>
                  </w:r>
                  <w:proofErr w:type="spellStart"/>
                  <w:r w:rsidR="0091254F">
                    <w:t>Zanden</w:t>
                  </w:r>
                  <w:proofErr w:type="spellEnd"/>
                  <w:r w:rsidR="005D29A1" w:rsidRPr="005D29A1">
                    <w:t xml:space="preserve"> </w:t>
                  </w:r>
                  <w:r w:rsidR="00E249F6" w:rsidRPr="00E249F6">
                    <w:rPr>
                      <w:rFonts w:cs="Arial"/>
                    </w:rPr>
                    <w:t>(2013)</w:t>
                  </w:r>
                  <w:r w:rsidR="0091254F">
                    <w:t xml:space="preserve"> updating Maddison </w:t>
                  </w:r>
                  <w:r w:rsidR="0091254F" w:rsidRPr="0091254F">
                    <w:rPr>
                      <w:rFonts w:cs="Arial"/>
                    </w:rPr>
                    <w:t>(2001)</w:t>
                  </w:r>
                </w:p>
              </w:tc>
              <w:tc>
                <w:tcPr>
                  <w:tcW w:w="754" w:type="pct"/>
                  <w:tcBorders>
                    <w:bottom w:val="single" w:sz="6" w:space="0" w:color="BFBFBF"/>
                  </w:tcBorders>
                  <w:shd w:val="clear" w:color="auto" w:fill="auto"/>
                </w:tcPr>
                <w:p w14:paraId="1D0A70D1" w14:textId="77777777" w:rsidR="002620DE" w:rsidRPr="00066283" w:rsidRDefault="003976D2" w:rsidP="0091254F">
                  <w:pPr>
                    <w:pStyle w:val="TableBodyText"/>
                  </w:pPr>
                  <w:r w:rsidRPr="00066283">
                    <w:t xml:space="preserve">Internationally harmonised </w:t>
                  </w:r>
                  <w:r>
                    <w:t>2</w:t>
                  </w:r>
                  <w:r>
                    <w:noBreakHyphen/>
                    <w:t xml:space="preserve">way asset breakdown (simple age efficiency and depreciation). </w:t>
                  </w:r>
                  <w:r w:rsidR="0091254F">
                    <w:t xml:space="preserve">Historical data from Mitchell </w:t>
                  </w:r>
                  <w:r w:rsidR="0091254F" w:rsidRPr="0091254F">
                    <w:rPr>
                      <w:rFonts w:cs="Arial"/>
                    </w:rPr>
                    <w:t>(1998)</w:t>
                  </w:r>
                  <w:r w:rsidR="0091254F">
                    <w:t xml:space="preserve"> and </w:t>
                  </w:r>
                  <w:proofErr w:type="spellStart"/>
                  <w:r w:rsidR="0091254F">
                    <w:t>Butlin</w:t>
                  </w:r>
                  <w:proofErr w:type="spellEnd"/>
                  <w:r w:rsidR="0091254F">
                    <w:t xml:space="preserve"> </w:t>
                  </w:r>
                  <w:r w:rsidR="0091254F" w:rsidRPr="0091254F">
                    <w:rPr>
                      <w:rFonts w:cs="Arial"/>
                    </w:rPr>
                    <w:t>(1977)</w:t>
                  </w:r>
                  <w:r w:rsidR="005D29A1">
                    <w:t>.</w:t>
                  </w:r>
                </w:p>
              </w:tc>
              <w:tc>
                <w:tcPr>
                  <w:tcW w:w="700" w:type="pct"/>
                  <w:tcBorders>
                    <w:bottom w:val="single" w:sz="6" w:space="0" w:color="BFBFBF"/>
                  </w:tcBorders>
                  <w:shd w:val="clear" w:color="auto" w:fill="auto"/>
                </w:tcPr>
                <w:p w14:paraId="1D0A70D2" w14:textId="77777777" w:rsidR="002620DE" w:rsidRPr="00344257" w:rsidRDefault="005D29A1" w:rsidP="00AD0CC1">
                  <w:pPr>
                    <w:pStyle w:val="TableColumnHeading"/>
                    <w:rPr>
                      <w:i w:val="0"/>
                    </w:rPr>
                  </w:pPr>
                  <w:r>
                    <w:rPr>
                      <w:i w:val="0"/>
                    </w:rPr>
                    <w:t xml:space="preserve">Hours are from </w:t>
                  </w:r>
                  <w:proofErr w:type="spellStart"/>
                  <w:r>
                    <w:rPr>
                      <w:i w:val="0"/>
                    </w:rPr>
                    <w:t>TCB</w:t>
                  </w:r>
                  <w:proofErr w:type="spellEnd"/>
                  <w:r>
                    <w:rPr>
                      <w:i w:val="0"/>
                    </w:rPr>
                    <w:t xml:space="preserve"> and the OECD. Historical data from </w:t>
                  </w:r>
                  <w:r w:rsidR="00603896">
                    <w:rPr>
                      <w:i w:val="0"/>
                    </w:rPr>
                    <w:t xml:space="preserve">Huberman and </w:t>
                  </w:r>
                  <w:proofErr w:type="spellStart"/>
                  <w:r w:rsidR="00603896">
                    <w:rPr>
                      <w:i w:val="0"/>
                    </w:rPr>
                    <w:t>Minns</w:t>
                  </w:r>
                  <w:proofErr w:type="spellEnd"/>
                  <w:r w:rsidR="00603896">
                    <w:rPr>
                      <w:i w:val="0"/>
                    </w:rPr>
                    <w:t xml:space="preserve"> </w:t>
                  </w:r>
                  <w:r w:rsidR="00603896" w:rsidRPr="00AD0CC1">
                    <w:rPr>
                      <w:rFonts w:cs="Arial"/>
                      <w:i w:val="0"/>
                    </w:rPr>
                    <w:t>(2007)</w:t>
                  </w:r>
                  <w:r>
                    <w:rPr>
                      <w:i w:val="0"/>
                    </w:rPr>
                    <w:t xml:space="preserve"> and </w:t>
                  </w:r>
                  <w:r w:rsidR="00AD0CC1">
                    <w:rPr>
                      <w:i w:val="0"/>
                    </w:rPr>
                    <w:t xml:space="preserve">Clark </w:t>
                  </w:r>
                  <w:r w:rsidR="00AD0CC1" w:rsidRPr="00AD0CC1">
                    <w:rPr>
                      <w:rFonts w:cs="Arial"/>
                    </w:rPr>
                    <w:t>(</w:t>
                  </w:r>
                  <w:r w:rsidR="00AD0CC1" w:rsidRPr="00AD0CC1">
                    <w:rPr>
                      <w:rFonts w:cs="Arial"/>
                      <w:i w:val="0"/>
                    </w:rPr>
                    <w:t>1957</w:t>
                  </w:r>
                  <w:r w:rsidR="00AD0CC1" w:rsidRPr="00AD0CC1">
                    <w:rPr>
                      <w:rFonts w:cs="Arial"/>
                    </w:rPr>
                    <w:t>)</w:t>
                  </w:r>
                </w:p>
              </w:tc>
              <w:tc>
                <w:tcPr>
                  <w:tcW w:w="700" w:type="pct"/>
                  <w:tcBorders>
                    <w:bottom w:val="single" w:sz="6" w:space="0" w:color="BFBFBF"/>
                  </w:tcBorders>
                </w:tcPr>
                <w:p w14:paraId="1D0A70D3" w14:textId="77777777" w:rsidR="002620DE" w:rsidRPr="00344257" w:rsidRDefault="00C8273B" w:rsidP="00344257">
                  <w:pPr>
                    <w:pStyle w:val="TableColumnHeading"/>
                    <w:rPr>
                      <w:i w:val="0"/>
                    </w:rPr>
                  </w:pPr>
                  <w:r w:rsidRPr="00344257">
                    <w:rPr>
                      <w:i w:val="0"/>
                    </w:rPr>
                    <w:t>Whole of economy (19 industry plus ownership of dwellings and net taxes)</w:t>
                  </w:r>
                </w:p>
              </w:tc>
              <w:tc>
                <w:tcPr>
                  <w:tcW w:w="742" w:type="pct"/>
                  <w:tcBorders>
                    <w:bottom w:val="single" w:sz="6" w:space="0" w:color="BFBFBF"/>
                  </w:tcBorders>
                </w:tcPr>
                <w:p w14:paraId="1D0A70D4" w14:textId="77777777" w:rsidR="002620DE" w:rsidRPr="00344257" w:rsidRDefault="00C8273B" w:rsidP="005D29A1">
                  <w:pPr>
                    <w:pStyle w:val="TableColumnHeading"/>
                    <w:rPr>
                      <w:i w:val="0"/>
                    </w:rPr>
                  </w:pPr>
                  <w:r w:rsidRPr="00344257">
                    <w:rPr>
                      <w:i w:val="0"/>
                    </w:rPr>
                    <w:t>Calendar year (1 January to 31 December)</w:t>
                  </w:r>
                </w:p>
              </w:tc>
              <w:tc>
                <w:tcPr>
                  <w:tcW w:w="700" w:type="pct"/>
                  <w:tcBorders>
                    <w:bottom w:val="single" w:sz="6" w:space="0" w:color="BFBFBF"/>
                  </w:tcBorders>
                </w:tcPr>
                <w:p w14:paraId="1D0A70D5" w14:textId="77777777" w:rsidR="002620DE" w:rsidRPr="00344257" w:rsidRDefault="002620DE" w:rsidP="00592805">
                  <w:pPr>
                    <w:pStyle w:val="TableColumnHeading"/>
                    <w:rPr>
                      <w:i w:val="0"/>
                    </w:rPr>
                  </w:pPr>
                  <w:r>
                    <w:rPr>
                      <w:i w:val="0"/>
                    </w:rPr>
                    <w:t>Yes</w:t>
                  </w:r>
                  <w:r w:rsidR="00C8273B">
                    <w:rPr>
                      <w:i w:val="0"/>
                    </w:rPr>
                    <w:t xml:space="preserve">, </w:t>
                  </w:r>
                  <w:r w:rsidR="00592805">
                    <w:rPr>
                      <w:i w:val="0"/>
                    </w:rPr>
                    <w:t>expressed in</w:t>
                  </w:r>
                  <w:r w:rsidR="00C8273B">
                    <w:rPr>
                      <w:i w:val="0"/>
                    </w:rPr>
                    <w:t xml:space="preserve"> 2005 US dollars (PPP</w:t>
                  </w:r>
                  <w:r w:rsidR="00592805">
                    <w:rPr>
                      <w:i w:val="0"/>
                    </w:rPr>
                    <w:t>s</w:t>
                  </w:r>
                  <w:r w:rsidR="00C8273B">
                    <w:rPr>
                      <w:i w:val="0"/>
                    </w:rPr>
                    <w:t xml:space="preserve"> based on</w:t>
                  </w:r>
                  <w:r w:rsidR="00592805">
                    <w:rPr>
                      <w:i w:val="0"/>
                    </w:rPr>
                    <w:t xml:space="preserve"> 2005 </w:t>
                  </w:r>
                  <w:r w:rsidR="00C8273B">
                    <w:rPr>
                      <w:i w:val="0"/>
                    </w:rPr>
                    <w:t xml:space="preserve">Penn World Tables) </w:t>
                  </w:r>
                </w:p>
              </w:tc>
            </w:tr>
          </w:tbl>
          <w:p w14:paraId="1D0A70D7" w14:textId="77777777" w:rsidR="008F7CF1" w:rsidRDefault="008F7CF1" w:rsidP="001011E6">
            <w:pPr>
              <w:pStyle w:val="Box"/>
            </w:pPr>
          </w:p>
        </w:tc>
      </w:tr>
      <w:tr w:rsidR="008F7CF1" w14:paraId="1D0A70DA" w14:textId="77777777" w:rsidTr="001011E6">
        <w:tc>
          <w:tcPr>
            <w:tcW w:w="8771" w:type="dxa"/>
            <w:tcBorders>
              <w:top w:val="nil"/>
              <w:left w:val="nil"/>
              <w:bottom w:val="nil"/>
              <w:right w:val="nil"/>
            </w:tcBorders>
            <w:shd w:val="clear" w:color="auto" w:fill="auto"/>
          </w:tcPr>
          <w:p w14:paraId="1D0A70D9" w14:textId="77777777" w:rsidR="008F7CF1" w:rsidRDefault="008F7CF1" w:rsidP="00D72551">
            <w:pPr>
              <w:pStyle w:val="Note"/>
              <w:rPr>
                <w:i/>
              </w:rPr>
            </w:pPr>
            <w:proofErr w:type="spellStart"/>
            <w:r w:rsidRPr="008E77FE">
              <w:rPr>
                <w:rStyle w:val="NoteLabel"/>
              </w:rPr>
              <w:t>a</w:t>
            </w:r>
            <w:proofErr w:type="spellEnd"/>
            <w:r>
              <w:t xml:space="preserve"> Excludes </w:t>
            </w:r>
            <w:proofErr w:type="spellStart"/>
            <w:r w:rsidR="00D72551">
              <w:t>GGDC</w:t>
            </w:r>
            <w:proofErr w:type="spellEnd"/>
            <w:r>
              <w:t xml:space="preserve"> data</w:t>
            </w:r>
            <w:r w:rsidR="00D72551">
              <w:t xml:space="preserve"> because the EU</w:t>
            </w:r>
            <w:r w:rsidR="00D72551">
              <w:noBreakHyphen/>
            </w:r>
            <w:proofErr w:type="spellStart"/>
            <w:r w:rsidR="00D72551">
              <w:t>KLEMS</w:t>
            </w:r>
            <w:proofErr w:type="spellEnd"/>
            <w:r w:rsidR="00D72551">
              <w:t xml:space="preserve"> project is no longer running</w:t>
            </w:r>
            <w:r>
              <w:t xml:space="preserve">. </w:t>
            </w:r>
            <w:r w:rsidR="00D72551" w:rsidRPr="00D72551">
              <w:rPr>
                <w:rFonts w:cs="Arial"/>
                <w:vertAlign w:val="superscript"/>
              </w:rPr>
              <w:t>†</w:t>
            </w:r>
            <w:r w:rsidR="00D72551">
              <w:t xml:space="preserve"> Basic prices do</w:t>
            </w:r>
            <w:r w:rsidR="00D72551" w:rsidRPr="00D72551">
              <w:t xml:space="preserve"> not take into account net taxes </w:t>
            </w:r>
            <w:r w:rsidR="00D72551">
              <w:t xml:space="preserve">(taxes less subsidies) </w:t>
            </w:r>
            <w:r w:rsidR="00D72551" w:rsidRPr="00D72551">
              <w:t xml:space="preserve">on production of </w:t>
            </w:r>
            <w:r w:rsidR="00D72551">
              <w:t>goods and services</w:t>
            </w:r>
            <w:r w:rsidR="00D72551" w:rsidRPr="00D72551">
              <w:t xml:space="preserve">, </w:t>
            </w:r>
            <w:r w:rsidR="00D72551">
              <w:t>while m</w:t>
            </w:r>
            <w:r w:rsidR="00D72551" w:rsidRPr="00D72551">
              <w:t xml:space="preserve">arket prices include the additional cost attributable to net taxes – </w:t>
            </w:r>
            <w:r w:rsidR="00D72551">
              <w:t>that is, market prices are the actual prices</w:t>
            </w:r>
            <w:r w:rsidR="00D72551" w:rsidRPr="00D72551">
              <w:t xml:space="preserve"> people pay for</w:t>
            </w:r>
            <w:r w:rsidR="00D72551">
              <w:t xml:space="preserve"> goods and services</w:t>
            </w:r>
            <w:r>
              <w:t>.</w:t>
            </w:r>
            <w:r w:rsidR="00D72551">
              <w:t xml:space="preserve"> </w:t>
            </w:r>
          </w:p>
        </w:tc>
      </w:tr>
      <w:tr w:rsidR="008F7CF1" w14:paraId="1D0A70DC" w14:textId="77777777" w:rsidTr="001011E6">
        <w:tc>
          <w:tcPr>
            <w:tcW w:w="8771" w:type="dxa"/>
            <w:tcBorders>
              <w:top w:val="nil"/>
              <w:left w:val="nil"/>
              <w:bottom w:val="nil"/>
              <w:right w:val="nil"/>
            </w:tcBorders>
            <w:shd w:val="clear" w:color="auto" w:fill="auto"/>
          </w:tcPr>
          <w:p w14:paraId="1D0A70DB" w14:textId="77777777" w:rsidR="008F7CF1" w:rsidRDefault="00AD0CC1" w:rsidP="00AD0CC1">
            <w:pPr>
              <w:pStyle w:val="Source"/>
            </w:pPr>
            <w:r>
              <w:rPr>
                <w:i/>
              </w:rPr>
              <w:t>Source</w:t>
            </w:r>
            <w:r w:rsidR="008F7CF1">
              <w:rPr>
                <w:i/>
              </w:rPr>
              <w:t>s</w:t>
            </w:r>
            <w:r w:rsidR="008F7CF1" w:rsidRPr="00167F06">
              <w:t xml:space="preserve">: </w:t>
            </w:r>
            <w:r>
              <w:t xml:space="preserve">ABS </w:t>
            </w:r>
            <w:r w:rsidRPr="00AD0CC1">
              <w:rPr>
                <w:rFonts w:cs="Arial"/>
              </w:rPr>
              <w:t>(</w:t>
            </w:r>
            <w:proofErr w:type="spellStart"/>
            <w:r w:rsidRPr="00AD0CC1">
              <w:rPr>
                <w:rFonts w:cs="Arial"/>
              </w:rPr>
              <w:t>2016b</w:t>
            </w:r>
            <w:proofErr w:type="spellEnd"/>
            <w:r w:rsidRPr="00AD0CC1">
              <w:rPr>
                <w:rFonts w:cs="Arial"/>
              </w:rPr>
              <w:t>)</w:t>
            </w:r>
            <w:r>
              <w:t xml:space="preserve">, OECD </w:t>
            </w:r>
            <w:r w:rsidR="00527C7F" w:rsidRPr="00527C7F">
              <w:rPr>
                <w:rFonts w:cs="Arial"/>
              </w:rPr>
              <w:t>(</w:t>
            </w:r>
            <w:proofErr w:type="spellStart"/>
            <w:r w:rsidR="00527C7F" w:rsidRPr="00527C7F">
              <w:rPr>
                <w:rFonts w:cs="Arial"/>
              </w:rPr>
              <w:t>2017a</w:t>
            </w:r>
            <w:proofErr w:type="spellEnd"/>
            <w:r w:rsidR="00527C7F" w:rsidRPr="00527C7F">
              <w:rPr>
                <w:rFonts w:cs="Arial"/>
              </w:rPr>
              <w:t>)</w:t>
            </w:r>
            <w:r>
              <w:t xml:space="preserve">, The Conference Board </w:t>
            </w:r>
            <w:r w:rsidRPr="00AD0CC1">
              <w:rPr>
                <w:rFonts w:cs="Arial"/>
              </w:rPr>
              <w:t>(2017)</w:t>
            </w:r>
            <w:r>
              <w:t xml:space="preserve">, and </w:t>
            </w:r>
            <w:proofErr w:type="spellStart"/>
            <w:r w:rsidRPr="00FB5B57">
              <w:t>Bergeaud</w:t>
            </w:r>
            <w:proofErr w:type="spellEnd"/>
            <w:r w:rsidRPr="00FB5B57">
              <w:t xml:space="preserve">, </w:t>
            </w:r>
            <w:proofErr w:type="spellStart"/>
            <w:r w:rsidRPr="00FB5B57">
              <w:t>Cette</w:t>
            </w:r>
            <w:proofErr w:type="spellEnd"/>
            <w:r w:rsidRPr="00FB5B57">
              <w:t xml:space="preserve">, </w:t>
            </w:r>
            <w:r>
              <w:t xml:space="preserve">and </w:t>
            </w:r>
            <w:proofErr w:type="spellStart"/>
            <w:r>
              <w:t>Lecat</w:t>
            </w:r>
            <w:proofErr w:type="spellEnd"/>
            <w:r>
              <w:t xml:space="preserve"> </w:t>
            </w:r>
            <w:r w:rsidRPr="00AD0CC1">
              <w:rPr>
                <w:rFonts w:cs="Arial"/>
              </w:rPr>
              <w:t>(2016)</w:t>
            </w:r>
            <w:r>
              <w:t>.</w:t>
            </w:r>
          </w:p>
        </w:tc>
      </w:tr>
      <w:tr w:rsidR="008F7CF1" w14:paraId="1D0A70DE" w14:textId="77777777" w:rsidTr="001011E6">
        <w:tc>
          <w:tcPr>
            <w:tcW w:w="8771" w:type="dxa"/>
            <w:tcBorders>
              <w:top w:val="nil"/>
              <w:left w:val="nil"/>
              <w:bottom w:val="single" w:sz="6" w:space="0" w:color="78A22F"/>
              <w:right w:val="nil"/>
            </w:tcBorders>
            <w:shd w:val="clear" w:color="auto" w:fill="auto"/>
          </w:tcPr>
          <w:p w14:paraId="1D0A70DD" w14:textId="77777777" w:rsidR="008F7CF1" w:rsidRDefault="008F7CF1" w:rsidP="001011E6">
            <w:pPr>
              <w:pStyle w:val="Box"/>
              <w:spacing w:before="0" w:line="120" w:lineRule="exact"/>
            </w:pPr>
          </w:p>
        </w:tc>
      </w:tr>
      <w:tr w:rsidR="008F7CF1" w:rsidRPr="000863A5" w14:paraId="1D0A70E0" w14:textId="77777777" w:rsidTr="001011E6">
        <w:tc>
          <w:tcPr>
            <w:tcW w:w="8771" w:type="dxa"/>
            <w:tcBorders>
              <w:top w:val="single" w:sz="6" w:space="0" w:color="78A22F"/>
              <w:left w:val="nil"/>
              <w:bottom w:val="nil"/>
              <w:right w:val="nil"/>
            </w:tcBorders>
          </w:tcPr>
          <w:p w14:paraId="1D0A70DF" w14:textId="77777777" w:rsidR="008F7CF1" w:rsidRPr="00626D32" w:rsidRDefault="008F7CF1" w:rsidP="001011E6">
            <w:pPr>
              <w:pStyle w:val="BoxSpaceBelow"/>
            </w:pPr>
          </w:p>
        </w:tc>
      </w:tr>
    </w:tbl>
    <w:p w14:paraId="1D0A70E1" w14:textId="77777777" w:rsidR="00A07E7F" w:rsidRDefault="00A07E7F" w:rsidP="00A07E7F">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A07E7F" w14:paraId="1D0A70E4" w14:textId="77777777" w:rsidTr="00DA1CB6">
        <w:trPr>
          <w:tblHeader/>
        </w:trPr>
        <w:tc>
          <w:tcPr>
            <w:tcW w:w="8771" w:type="dxa"/>
            <w:tcBorders>
              <w:top w:val="single" w:sz="6" w:space="0" w:color="78A22F"/>
              <w:left w:val="nil"/>
              <w:bottom w:val="nil"/>
              <w:right w:val="nil"/>
            </w:tcBorders>
            <w:shd w:val="clear" w:color="auto" w:fill="auto"/>
          </w:tcPr>
          <w:p w14:paraId="1D0A70E2" w14:textId="1143AC58" w:rsidR="00A07E7F" w:rsidRDefault="00A07E7F" w:rsidP="00DA1CB6">
            <w:pPr>
              <w:pStyle w:val="FigureTitle"/>
            </w:pPr>
            <w:r w:rsidRPr="00784A05">
              <w:rPr>
                <w:b w:val="0"/>
              </w:rPr>
              <w:t xml:space="preserve">Figure </w:t>
            </w:r>
            <w:r w:rsidR="005132E7">
              <w:rPr>
                <w:b w:val="0"/>
              </w:rPr>
              <w:t>18</w:t>
            </w:r>
            <w:r>
              <w:tab/>
              <w:t>Australia’s whole</w:t>
            </w:r>
            <w:r>
              <w:noBreakHyphen/>
              <w:t>of</w:t>
            </w:r>
            <w:r>
              <w:noBreakHyphen/>
              <w:t xml:space="preserve">economy MFP </w:t>
            </w:r>
            <w:proofErr w:type="spellStart"/>
            <w:r>
              <w:t>growth</w:t>
            </w:r>
            <w:r w:rsidRPr="00C21FFD">
              <w:rPr>
                <w:vertAlign w:val="superscript"/>
              </w:rPr>
              <w:t>a</w:t>
            </w:r>
            <w:proofErr w:type="spellEnd"/>
          </w:p>
          <w:p w14:paraId="1D0A70E3" w14:textId="77777777" w:rsidR="00A07E7F" w:rsidRPr="00176D3F" w:rsidRDefault="00A07E7F" w:rsidP="00DA1CB6">
            <w:pPr>
              <w:pStyle w:val="Subtitle"/>
            </w:pPr>
            <w:r>
              <w:t>Implied by four available measures</w:t>
            </w:r>
          </w:p>
        </w:tc>
      </w:tr>
      <w:tr w:rsidR="00A07E7F" w14:paraId="1D0A70E8" w14:textId="77777777" w:rsidTr="00DA1CB6">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8504"/>
            </w:tblGrid>
            <w:tr w:rsidR="00A07E7F" w:rsidRPr="00B1465D" w14:paraId="1D0A70E6" w14:textId="77777777" w:rsidTr="00DA1CB6">
              <w:trPr>
                <w:tblHeader/>
                <w:jc w:val="center"/>
              </w:trPr>
              <w:tc>
                <w:tcPr>
                  <w:tcW w:w="5000" w:type="pct"/>
                  <w:tcBorders>
                    <w:top w:val="nil"/>
                    <w:bottom w:val="nil"/>
                  </w:tcBorders>
                </w:tcPr>
                <w:p w14:paraId="1D0A70E5" w14:textId="77777777" w:rsidR="00A07E7F" w:rsidRPr="00B1465D" w:rsidRDefault="00A07E7F" w:rsidP="00DA1CB6">
                  <w:pPr>
                    <w:pStyle w:val="Figure"/>
                    <w:spacing w:before="60" w:after="60"/>
                    <w:rPr>
                      <w:rFonts w:ascii="Arial" w:hAnsi="Arial" w:cs="Arial"/>
                      <w:sz w:val="18"/>
                      <w:szCs w:val="18"/>
                    </w:rPr>
                  </w:pPr>
                  <w:r>
                    <w:rPr>
                      <w:rFonts w:ascii="Arial" w:hAnsi="Arial" w:cs="Arial"/>
                      <w:noProof/>
                      <w:sz w:val="18"/>
                      <w:szCs w:val="18"/>
                    </w:rPr>
                    <w:drawing>
                      <wp:inline distT="0" distB="0" distL="0" distR="0" wp14:anchorId="1D0A71B6" wp14:editId="784F8774">
                        <wp:extent cx="5401945" cy="2912745"/>
                        <wp:effectExtent l="0" t="0" r="8255" b="1905"/>
                        <wp:docPr id="11" name="Picture 11" descr="This figure shows four different measured estimates of aggregate Australian multifactor productivity growth from 1995 to 2015 — those available from the Organisation for Economic Cooperation and Development, The Conference Board, the Australian Bureau of Statistics and a database compiled by Bergeaud, Cette and Lecat (2016). It highlights the impact of different methodological assumptions on productivity measures. While the trend patterns are similar, the Conference Board estimates are much lower than the other meas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401945" cy="2912745"/>
                                </a:xfrm>
                                <a:prstGeom prst="rect">
                                  <a:avLst/>
                                </a:prstGeom>
                                <a:noFill/>
                                <a:ln>
                                  <a:noFill/>
                                </a:ln>
                              </pic:spPr>
                            </pic:pic>
                          </a:graphicData>
                        </a:graphic>
                      </wp:inline>
                    </w:drawing>
                  </w:r>
                </w:p>
              </w:tc>
            </w:tr>
          </w:tbl>
          <w:p w14:paraId="1D0A70E7" w14:textId="77777777" w:rsidR="00A07E7F" w:rsidRDefault="00A07E7F" w:rsidP="00DA1CB6">
            <w:pPr>
              <w:pStyle w:val="Figure"/>
            </w:pPr>
          </w:p>
        </w:tc>
      </w:tr>
      <w:tr w:rsidR="00A07E7F" w:rsidRPr="00176D3F" w14:paraId="1D0A70EA" w14:textId="77777777" w:rsidTr="00DA1CB6">
        <w:tc>
          <w:tcPr>
            <w:tcW w:w="8771" w:type="dxa"/>
            <w:tcBorders>
              <w:top w:val="nil"/>
              <w:left w:val="nil"/>
              <w:bottom w:val="nil"/>
              <w:right w:val="nil"/>
            </w:tcBorders>
            <w:shd w:val="clear" w:color="auto" w:fill="auto"/>
          </w:tcPr>
          <w:p w14:paraId="1D0A70E9" w14:textId="77777777" w:rsidR="00A07E7F" w:rsidRPr="00176D3F" w:rsidRDefault="00A07E7F" w:rsidP="00DA1CB6">
            <w:pPr>
              <w:pStyle w:val="Note"/>
            </w:pPr>
            <w:r>
              <w:rPr>
                <w:rStyle w:val="NoteLabel"/>
              </w:rPr>
              <w:t>a</w:t>
            </w:r>
            <w:r>
              <w:t xml:space="preserve"> The ABS ‘implied’ series has been derived from national accounts data on a whole of economy basis for consistency with how the</w:t>
            </w:r>
            <w:r w:rsidR="00202090">
              <w:t xml:space="preserve"> other measures are calculated.</w:t>
            </w:r>
          </w:p>
        </w:tc>
      </w:tr>
      <w:tr w:rsidR="00A07E7F" w:rsidRPr="00176D3F" w14:paraId="1D0A70EC" w14:textId="77777777" w:rsidTr="00DA1CB6">
        <w:tc>
          <w:tcPr>
            <w:tcW w:w="8771" w:type="dxa"/>
            <w:tcBorders>
              <w:top w:val="nil"/>
              <w:left w:val="nil"/>
              <w:bottom w:val="nil"/>
              <w:right w:val="nil"/>
            </w:tcBorders>
            <w:shd w:val="clear" w:color="auto" w:fill="auto"/>
          </w:tcPr>
          <w:p w14:paraId="1D0A70EB" w14:textId="4B6F9F85" w:rsidR="00A07E7F" w:rsidRPr="00176D3F" w:rsidRDefault="00EE434A" w:rsidP="00BB0D48">
            <w:pPr>
              <w:pStyle w:val="Source"/>
            </w:pPr>
            <w:r>
              <w:rPr>
                <w:i/>
              </w:rPr>
              <w:t>S</w:t>
            </w:r>
            <w:r w:rsidR="00A07E7F" w:rsidRPr="00784A05">
              <w:rPr>
                <w:i/>
              </w:rPr>
              <w:t>ource</w:t>
            </w:r>
            <w:r>
              <w:rPr>
                <w:i/>
              </w:rPr>
              <w:t>s</w:t>
            </w:r>
            <w:r w:rsidR="00A07E7F" w:rsidRPr="00176D3F">
              <w:t xml:space="preserve">: </w:t>
            </w:r>
            <w:r w:rsidR="00527C7F">
              <w:t xml:space="preserve">OECD </w:t>
            </w:r>
            <w:r w:rsidR="00527C7F" w:rsidRPr="00527C7F">
              <w:rPr>
                <w:rFonts w:cs="Arial"/>
              </w:rPr>
              <w:t>(</w:t>
            </w:r>
            <w:proofErr w:type="spellStart"/>
            <w:r w:rsidR="00527C7F" w:rsidRPr="00527C7F">
              <w:rPr>
                <w:rFonts w:cs="Arial"/>
              </w:rPr>
              <w:t>2017b</w:t>
            </w:r>
            <w:proofErr w:type="spellEnd"/>
            <w:r w:rsidR="00527C7F" w:rsidRPr="00527C7F">
              <w:rPr>
                <w:rFonts w:cs="Arial"/>
              </w:rPr>
              <w:t>)</w:t>
            </w:r>
            <w:r w:rsidR="00527C7F">
              <w:t xml:space="preserve"> Productivity Database</w:t>
            </w:r>
            <w:r w:rsidR="009A5496">
              <w:t>, The Conferenc</w:t>
            </w:r>
            <w:r w:rsidR="00527C7F">
              <w:t xml:space="preserve">e Board </w:t>
            </w:r>
            <w:r w:rsidR="00527C7F" w:rsidRPr="00527C7F">
              <w:rPr>
                <w:rFonts w:cs="Arial"/>
              </w:rPr>
              <w:t>(2017)</w:t>
            </w:r>
            <w:r w:rsidR="00527C7F">
              <w:t xml:space="preserve"> Total Economy Database – May 2017</w:t>
            </w:r>
            <w:r w:rsidR="009A5496">
              <w:t xml:space="preserve">, Long Term Productivity Database from </w:t>
            </w:r>
            <w:proofErr w:type="spellStart"/>
            <w:r w:rsidR="009A5496" w:rsidRPr="00C137AC">
              <w:t>Berge</w:t>
            </w:r>
            <w:r w:rsidR="00527C7F">
              <w:t>aud</w:t>
            </w:r>
            <w:proofErr w:type="spellEnd"/>
            <w:r w:rsidR="009A5496" w:rsidRPr="00C137AC">
              <w:t xml:space="preserve">, </w:t>
            </w:r>
            <w:proofErr w:type="spellStart"/>
            <w:r w:rsidR="009A5496" w:rsidRPr="00C137AC">
              <w:t>Cette</w:t>
            </w:r>
            <w:proofErr w:type="spellEnd"/>
            <w:r w:rsidR="00527C7F">
              <w:t xml:space="preserve"> and </w:t>
            </w:r>
            <w:proofErr w:type="spellStart"/>
            <w:r w:rsidR="00527C7F">
              <w:t>Lecat</w:t>
            </w:r>
            <w:proofErr w:type="spellEnd"/>
            <w:r w:rsidR="00527C7F">
              <w:t xml:space="preserve"> </w:t>
            </w:r>
            <w:r w:rsidR="00527C7F" w:rsidRPr="00527C7F">
              <w:rPr>
                <w:rFonts w:cs="Arial"/>
              </w:rPr>
              <w:t>(2016)</w:t>
            </w:r>
            <w:r w:rsidR="00527C7F">
              <w:t xml:space="preserve">, ABS </w:t>
            </w:r>
            <w:r w:rsidR="00527C7F" w:rsidRPr="00527C7F">
              <w:rPr>
                <w:rFonts w:cs="Arial"/>
              </w:rPr>
              <w:t>(</w:t>
            </w:r>
            <w:proofErr w:type="spellStart"/>
            <w:r w:rsidR="00527C7F" w:rsidRPr="00527C7F">
              <w:rPr>
                <w:rFonts w:cs="Arial"/>
              </w:rPr>
              <w:t>2016a</w:t>
            </w:r>
            <w:proofErr w:type="spellEnd"/>
            <w:r w:rsidR="00527C7F" w:rsidRPr="00527C7F">
              <w:rPr>
                <w:rFonts w:cs="Arial"/>
              </w:rPr>
              <w:t xml:space="preserve">, </w:t>
            </w:r>
            <w:proofErr w:type="spellStart"/>
            <w:r w:rsidR="00527C7F" w:rsidRPr="00527C7F">
              <w:rPr>
                <w:rFonts w:cs="Arial"/>
              </w:rPr>
              <w:t>2016d</w:t>
            </w:r>
            <w:proofErr w:type="spellEnd"/>
            <w:r w:rsidR="00527C7F" w:rsidRPr="00527C7F">
              <w:rPr>
                <w:rFonts w:cs="Arial"/>
              </w:rPr>
              <w:t>)</w:t>
            </w:r>
            <w:r w:rsidR="00527C7F">
              <w:t xml:space="preserve"> </w:t>
            </w:r>
            <w:r w:rsidR="009A5496" w:rsidRPr="005A3921">
              <w:t>Estimates of Industry Multifactor Productivity, 2015</w:t>
            </w:r>
            <w:r w:rsidR="009A5496">
              <w:noBreakHyphen/>
            </w:r>
            <w:r w:rsidR="009A5496" w:rsidRPr="005A3921">
              <w:t>16</w:t>
            </w:r>
            <w:r w:rsidR="009A5496">
              <w:t xml:space="preserve">, </w:t>
            </w:r>
            <w:r w:rsidR="00DB64F0">
              <w:t xml:space="preserve">Cat. </w:t>
            </w:r>
            <w:r w:rsidR="009A5496">
              <w:t xml:space="preserve">no. 5260.0.55.002 ABS </w:t>
            </w:r>
            <w:r w:rsidR="009A5496" w:rsidRPr="00EA325A">
              <w:rPr>
                <w:i/>
              </w:rPr>
              <w:t>Australian S</w:t>
            </w:r>
            <w:r w:rsidR="009A5496">
              <w:rPr>
                <w:i/>
              </w:rPr>
              <w:t>ystem of National Accounts, 2015</w:t>
            </w:r>
            <w:r w:rsidR="009A5496">
              <w:rPr>
                <w:i/>
              </w:rPr>
              <w:noBreakHyphen/>
              <w:t>16</w:t>
            </w:r>
            <w:r w:rsidR="009A5496" w:rsidRPr="00EA325A">
              <w:t xml:space="preserve">, </w:t>
            </w:r>
            <w:r w:rsidR="00DB64F0" w:rsidRPr="00EA325A">
              <w:t>Cat.</w:t>
            </w:r>
            <w:r w:rsidR="00DB64F0">
              <w:t> no. </w:t>
            </w:r>
            <w:r w:rsidR="00DB64F0" w:rsidRPr="00EA325A">
              <w:t>5204.0</w:t>
            </w:r>
            <w:r w:rsidR="00DB64F0">
              <w:t xml:space="preserve">, </w:t>
            </w:r>
            <w:r w:rsidR="009A5496">
              <w:t xml:space="preserve">and </w:t>
            </w:r>
            <w:r w:rsidR="00202090">
              <w:t>Pro</w:t>
            </w:r>
            <w:r w:rsidR="00BB0D48">
              <w:t>ductivity Commission estimates.</w:t>
            </w:r>
          </w:p>
        </w:tc>
      </w:tr>
      <w:tr w:rsidR="00A07E7F" w14:paraId="1D0A70EE" w14:textId="77777777" w:rsidTr="00DA1CB6">
        <w:tc>
          <w:tcPr>
            <w:tcW w:w="8771" w:type="dxa"/>
            <w:tcBorders>
              <w:top w:val="nil"/>
              <w:left w:val="nil"/>
              <w:bottom w:val="single" w:sz="6" w:space="0" w:color="78A22F"/>
              <w:right w:val="nil"/>
            </w:tcBorders>
            <w:shd w:val="clear" w:color="auto" w:fill="auto"/>
          </w:tcPr>
          <w:p w14:paraId="1D0A70ED" w14:textId="77777777" w:rsidR="00A07E7F" w:rsidRDefault="00A07E7F" w:rsidP="00DA1CB6">
            <w:pPr>
              <w:pStyle w:val="Figurespace"/>
            </w:pPr>
          </w:p>
        </w:tc>
      </w:tr>
      <w:tr w:rsidR="00A07E7F" w:rsidRPr="000863A5" w14:paraId="1D0A70F0" w14:textId="77777777" w:rsidTr="00DA1CB6">
        <w:tc>
          <w:tcPr>
            <w:tcW w:w="8771" w:type="dxa"/>
            <w:tcBorders>
              <w:top w:val="single" w:sz="6" w:space="0" w:color="78A22F"/>
              <w:left w:val="nil"/>
              <w:bottom w:val="nil"/>
              <w:right w:val="nil"/>
            </w:tcBorders>
          </w:tcPr>
          <w:p w14:paraId="1D0A70EF" w14:textId="77777777" w:rsidR="00A07E7F" w:rsidRPr="00626D32" w:rsidRDefault="00A07E7F" w:rsidP="00DA1CB6">
            <w:pPr>
              <w:pStyle w:val="BoxSpaceBelow"/>
            </w:pPr>
          </w:p>
        </w:tc>
      </w:tr>
    </w:tbl>
    <w:p w14:paraId="1D0A70F1" w14:textId="46046C51" w:rsidR="000F3785" w:rsidRDefault="000F3785" w:rsidP="000F3785">
      <w:pPr>
        <w:pStyle w:val="BodyText"/>
      </w:pPr>
      <w:r>
        <w:t xml:space="preserve">Conceptually, systematically lower MFP growth rates implied by </w:t>
      </w:r>
      <w:proofErr w:type="spellStart"/>
      <w:r>
        <w:t>TCB</w:t>
      </w:r>
      <w:proofErr w:type="spellEnd"/>
      <w:r>
        <w:t xml:space="preserve"> data are due to me</w:t>
      </w:r>
      <w:r w:rsidR="00470428">
        <w:t xml:space="preserve">thodological assumptions </w:t>
      </w:r>
      <w:r w:rsidR="006F373C">
        <w:t>that</w:t>
      </w:r>
      <w:r w:rsidR="00470428">
        <w:t xml:space="preserve"> have the </w:t>
      </w:r>
      <w:r w:rsidR="009A5496">
        <w:t>overall</w:t>
      </w:r>
      <w:r w:rsidR="00470428">
        <w:t xml:space="preserve"> effect of raising</w:t>
      </w:r>
      <w:r>
        <w:t xml:space="preserve"> the rate of input growth relative to output growth. </w:t>
      </w:r>
      <w:r w:rsidR="00470428">
        <w:t xml:space="preserve">The </w:t>
      </w:r>
      <w:proofErr w:type="spellStart"/>
      <w:r w:rsidR="00470428">
        <w:t>TCB</w:t>
      </w:r>
      <w:proofErr w:type="spellEnd"/>
      <w:r w:rsidR="00470428">
        <w:t xml:space="preserve"> make a number of assumptions </w:t>
      </w:r>
      <w:r w:rsidR="006F373C">
        <w:t>that</w:t>
      </w:r>
      <w:r w:rsidR="00470428">
        <w:t xml:space="preserve"> differ from the other measures. </w:t>
      </w:r>
      <w:r>
        <w:t xml:space="preserve">These include explicitly accounting for human capital (or labour quality) in the </w:t>
      </w:r>
      <w:r w:rsidR="00470428">
        <w:t>measurement</w:t>
      </w:r>
      <w:r>
        <w:t xml:space="preserve"> of hours</w:t>
      </w:r>
      <w:r w:rsidR="00470428">
        <w:t xml:space="preserve"> worked</w:t>
      </w:r>
      <w:r>
        <w:t xml:space="preserve">, and different </w:t>
      </w:r>
      <w:r w:rsidR="0024350F">
        <w:t>treatment</w:t>
      </w:r>
      <w:r>
        <w:t xml:space="preserve"> of ICT capital </w:t>
      </w:r>
      <w:r w:rsidR="009A5496">
        <w:t xml:space="preserve">goods </w:t>
      </w:r>
      <w:r>
        <w:t>(</w:t>
      </w:r>
      <w:r w:rsidR="009A5496">
        <w:t>that</w:t>
      </w:r>
      <w:r w:rsidR="0024350F">
        <w:t xml:space="preserve"> they </w:t>
      </w:r>
      <w:r>
        <w:t>depreciate at a faster rate</w:t>
      </w:r>
      <w:r w:rsidR="0024350F">
        <w:t>, implying a higher rate of capital services for the ICT capital stock</w:t>
      </w:r>
      <w:r>
        <w:t xml:space="preserve">). </w:t>
      </w:r>
      <w:proofErr w:type="spellStart"/>
      <w:r>
        <w:t>TCB</w:t>
      </w:r>
      <w:proofErr w:type="spellEnd"/>
      <w:r>
        <w:t xml:space="preserve"> </w:t>
      </w:r>
      <w:r w:rsidRPr="00E339A2">
        <w:t>also directly estimate labour’s share of income by ass</w:t>
      </w:r>
      <w:r>
        <w:t>uming the wage rate of the self</w:t>
      </w:r>
      <w:r>
        <w:noBreakHyphen/>
      </w:r>
      <w:r w:rsidRPr="00E339A2">
        <w:t>employed is equal to that of other employees,</w:t>
      </w:r>
      <w:r>
        <w:t xml:space="preserve"> meaning the labour (and capital) income shares </w:t>
      </w:r>
      <w:r w:rsidR="002F1004">
        <w:t>are</w:t>
      </w:r>
      <w:r>
        <w:t xml:space="preserve"> different </w:t>
      </w:r>
      <w:r w:rsidR="00D026B2">
        <w:t>from</w:t>
      </w:r>
      <w:r>
        <w:t xml:space="preserve"> those measured by the ABS</w:t>
      </w:r>
      <w:r w:rsidRPr="00E339A2">
        <w:t>.</w:t>
      </w:r>
      <w:r>
        <w:t xml:space="preserve"> </w:t>
      </w:r>
    </w:p>
    <w:p w14:paraId="1D0A70F2" w14:textId="77777777" w:rsidR="000F3785" w:rsidRDefault="000F3785" w:rsidP="000F3785">
      <w:pPr>
        <w:pStyle w:val="Heading3"/>
      </w:pPr>
      <w:r>
        <w:t>What measure to use and when</w:t>
      </w:r>
    </w:p>
    <w:p w14:paraId="1D0A70F3" w14:textId="77777777" w:rsidR="000F3785" w:rsidRDefault="000F3785" w:rsidP="000F3785">
      <w:pPr>
        <w:pStyle w:val="BodyText"/>
      </w:pPr>
      <w:r>
        <w:t>In international comparisons of productivity performance, dynamically PPP</w:t>
      </w:r>
      <w:r>
        <w:noBreakHyphen/>
      </w:r>
      <w:r w:rsidR="00F54674">
        <w:t xml:space="preserve">adjusted measures such as </w:t>
      </w:r>
      <w:proofErr w:type="spellStart"/>
      <w:r w:rsidR="00F54674">
        <w:t>TCB</w:t>
      </w:r>
      <w:proofErr w:type="spellEnd"/>
      <w:r w:rsidR="00F54674">
        <w:t xml:space="preserve"> TED</w:t>
      </w:r>
      <w:r>
        <w:t xml:space="preserve"> are most </w:t>
      </w:r>
      <w:r w:rsidR="002E39E0">
        <w:t>suitable</w:t>
      </w:r>
      <w:r>
        <w:t>, given that they facilitate comparisons of productivity levels and growth rates both across countries and through time. As such, the Commis</w:t>
      </w:r>
      <w:r w:rsidR="00F54674">
        <w:t xml:space="preserve">sion generally presents the </w:t>
      </w:r>
      <w:proofErr w:type="spellStart"/>
      <w:r w:rsidR="00F54674">
        <w:t>TC</w:t>
      </w:r>
      <w:r w:rsidR="009A5496">
        <w:t>B</w:t>
      </w:r>
      <w:proofErr w:type="spellEnd"/>
      <w:r w:rsidR="00F54674">
        <w:t xml:space="preserve"> </w:t>
      </w:r>
      <w:r>
        <w:t xml:space="preserve">TED data in instances where international comparisons are being made, such as the Productivity Update. However, it is useful to bear </w:t>
      </w:r>
      <w:r>
        <w:lastRenderedPageBreak/>
        <w:t xml:space="preserve">in mind </w:t>
      </w:r>
      <w:proofErr w:type="spellStart"/>
      <w:r>
        <w:t>TCB’s</w:t>
      </w:r>
      <w:proofErr w:type="spellEnd"/>
      <w:r>
        <w:t xml:space="preserve"> methodology for measuring capital and labour inputs, and the impact this has on implied productivity growth rates relative to ABS measures. </w:t>
      </w:r>
    </w:p>
    <w:p w14:paraId="1D0A70F4" w14:textId="77777777" w:rsidR="000F3785" w:rsidRDefault="000F3785" w:rsidP="000F3785">
      <w:pPr>
        <w:pStyle w:val="BodyText"/>
      </w:pPr>
      <w:r>
        <w:t>For longer</w:t>
      </w:r>
      <w:r>
        <w:noBreakHyphen/>
        <w:t xml:space="preserve">run analysis, databases such as </w:t>
      </w:r>
      <w:r w:rsidR="009A5496">
        <w:t xml:space="preserve">the </w:t>
      </w:r>
      <w:proofErr w:type="spellStart"/>
      <w:r w:rsidR="009A5496">
        <w:t>LTPD</w:t>
      </w:r>
      <w:proofErr w:type="spellEnd"/>
      <w:r>
        <w:t xml:space="preserve"> compile</w:t>
      </w:r>
      <w:r w:rsidR="00E92C35">
        <w:t xml:space="preserve">d by </w:t>
      </w:r>
      <w:proofErr w:type="spellStart"/>
      <w:r w:rsidR="00E92C35">
        <w:t>Bergeaud</w:t>
      </w:r>
      <w:proofErr w:type="spellEnd"/>
      <w:r w:rsidR="00E92C35">
        <w:t xml:space="preserve">, </w:t>
      </w:r>
      <w:proofErr w:type="spellStart"/>
      <w:r w:rsidR="00E92C35">
        <w:t>Cette</w:t>
      </w:r>
      <w:proofErr w:type="spellEnd"/>
      <w:r w:rsidR="00E92C35">
        <w:t xml:space="preserve"> and </w:t>
      </w:r>
      <w:proofErr w:type="spellStart"/>
      <w:r w:rsidR="00E92C35">
        <w:t>Lecat</w:t>
      </w:r>
      <w:proofErr w:type="spellEnd"/>
      <w:r w:rsidR="00E92C35">
        <w:t xml:space="preserve"> </w:t>
      </w:r>
      <w:r w:rsidR="00E92C35" w:rsidRPr="00E92C35">
        <w:t>(2016)</w:t>
      </w:r>
      <w:r>
        <w:t xml:space="preserve"> are a useful starting point, although </w:t>
      </w:r>
      <w:r w:rsidR="00281DC8">
        <w:t xml:space="preserve">the </w:t>
      </w:r>
      <w:r>
        <w:t xml:space="preserve">assumptions inevitably needed to enumerate </w:t>
      </w:r>
      <w:r w:rsidR="009A5496">
        <w:t xml:space="preserve">the </w:t>
      </w:r>
      <w:r>
        <w:t>historical components of data series of that length</w:t>
      </w:r>
      <w:r w:rsidR="00281DC8">
        <w:t xml:space="preserve"> introduce more uncertainty into the estimates</w:t>
      </w:r>
      <w:r>
        <w:t xml:space="preserve">. The authors </w:t>
      </w:r>
      <w:r w:rsidR="009A5496">
        <w:t xml:space="preserve">note, </w:t>
      </w:r>
      <w:r>
        <w:t>nonetheless</w:t>
      </w:r>
      <w:r w:rsidR="009A5496">
        <w:t>,</w:t>
      </w:r>
      <w:r>
        <w:t xml:space="preserve"> that their results are consistent with other analyses usually produced on one or a limited number of countries, and over shorter periods. Indeed their MFP growth estimates in figure </w:t>
      </w:r>
      <w:r w:rsidR="009D0EC4">
        <w:t>19</w:t>
      </w:r>
      <w:r w:rsidR="00281DC8">
        <w:t xml:space="preserve"> </w:t>
      </w:r>
      <w:r>
        <w:t xml:space="preserve">are </w:t>
      </w:r>
      <w:r w:rsidR="0024350F">
        <w:t>not dissimilar in trend terms</w:t>
      </w:r>
      <w:r>
        <w:t xml:space="preserve"> </w:t>
      </w:r>
      <w:r w:rsidR="00131EA1">
        <w:t>from</w:t>
      </w:r>
      <w:r>
        <w:t xml:space="preserve"> ABS estimates. </w:t>
      </w:r>
    </w:p>
    <w:p w14:paraId="1D0A70F5" w14:textId="052D2402" w:rsidR="00B95A25" w:rsidRDefault="000F3785">
      <w:pPr>
        <w:pStyle w:val="BodyText"/>
      </w:pPr>
      <w:r>
        <w:t>In any domestic</w:t>
      </w:r>
      <w:r>
        <w:noBreakHyphen/>
        <w:t xml:space="preserve">level analysis, ABS statistics are </w:t>
      </w:r>
      <w:r w:rsidR="00DB6699">
        <w:t>the authoritative source</w:t>
      </w:r>
      <w:r>
        <w:t xml:space="preserve">, though again, </w:t>
      </w:r>
      <w:r w:rsidR="0024350F">
        <w:t xml:space="preserve">it is useful to </w:t>
      </w:r>
      <w:r>
        <w:t xml:space="preserve">bear in mind the impact of the ABS’ </w:t>
      </w:r>
      <w:r w:rsidR="009A5496">
        <w:t xml:space="preserve">principal </w:t>
      </w:r>
      <w:r>
        <w:t>methodology for estimating capital and labour inputs on productivity statistics.</w:t>
      </w:r>
      <w:r w:rsidR="00DB6699">
        <w:t xml:space="preserve"> </w:t>
      </w:r>
      <w:r w:rsidR="00326DE3">
        <w:t xml:space="preserve">The ABS produces a number of additional experimental productivity estimates </w:t>
      </w:r>
      <w:r w:rsidR="00FB570F">
        <w:t>that</w:t>
      </w:r>
      <w:r w:rsidR="00326DE3">
        <w:t xml:space="preserve"> explore the effect of different methodological assumptions.</w:t>
      </w:r>
    </w:p>
    <w:p w14:paraId="1DEFC820" w14:textId="77777777" w:rsidR="00B62CB5" w:rsidRDefault="00B62CB5">
      <w:pPr>
        <w:pStyle w:val="BodyText"/>
      </w:pPr>
    </w:p>
    <w:p w14:paraId="2885B2D8" w14:textId="77777777" w:rsidR="00A829EE" w:rsidRDefault="00A829EE">
      <w:pPr>
        <w:pStyle w:val="BodyText"/>
        <w:sectPr w:rsidR="00A829EE" w:rsidSect="00B634FC">
          <w:headerReference w:type="even" r:id="rId46"/>
          <w:headerReference w:type="default" r:id="rId47"/>
          <w:footerReference w:type="even" r:id="rId48"/>
          <w:footerReference w:type="default" r:id="rId49"/>
          <w:type w:val="evenPage"/>
          <w:pgSz w:w="11907" w:h="16840" w:code="9"/>
          <w:pgMar w:top="1985" w:right="1304" w:bottom="1247" w:left="1814" w:header="1701" w:footer="397" w:gutter="0"/>
          <w:pgNumType w:start="1" w:chapSep="period"/>
          <w:cols w:space="720"/>
        </w:sectPr>
      </w:pPr>
    </w:p>
    <w:p w14:paraId="1D0A70F6" w14:textId="2318F1C3" w:rsidR="00B95A25" w:rsidRDefault="00B95A25" w:rsidP="00900637">
      <w:pPr>
        <w:pStyle w:val="Heading1nochapterno"/>
        <w:spacing w:after="600"/>
      </w:pPr>
      <w:bookmarkStart w:id="15" w:name="_Toc489008893"/>
      <w:r>
        <w:lastRenderedPageBreak/>
        <w:t>References</w:t>
      </w:r>
      <w:bookmarkEnd w:id="15"/>
    </w:p>
    <w:p w14:paraId="1D0A70F7" w14:textId="60328BB1" w:rsidR="00B15C33" w:rsidRDefault="00B15C33" w:rsidP="00042209">
      <w:pPr>
        <w:pStyle w:val="Reference"/>
      </w:pPr>
      <w:r>
        <w:t xml:space="preserve">ABS 1999, </w:t>
      </w:r>
      <w:r w:rsidRPr="001C1964">
        <w:rPr>
          <w:i/>
        </w:rPr>
        <w:t>Business Use of Information Technology, Australia, 1997</w:t>
      </w:r>
      <w:r w:rsidR="00EE434A" w:rsidRPr="001C1964">
        <w:rPr>
          <w:i/>
        </w:rPr>
        <w:noBreakHyphen/>
      </w:r>
      <w:r w:rsidRPr="001C1964">
        <w:rPr>
          <w:i/>
        </w:rPr>
        <w:t>98</w:t>
      </w:r>
      <w:r>
        <w:t xml:space="preserve">, Cat. </w:t>
      </w:r>
      <w:r w:rsidR="00E633E9">
        <w:t>no. </w:t>
      </w:r>
      <w:r>
        <w:t>8129.0, Canberra, 5 October.</w:t>
      </w:r>
    </w:p>
    <w:p w14:paraId="1D0A70F8" w14:textId="78327673" w:rsidR="00B15C33" w:rsidRDefault="00B15C33" w:rsidP="00042209">
      <w:pPr>
        <w:pStyle w:val="Reference"/>
      </w:pPr>
      <w:r>
        <w:t>——</w:t>
      </w:r>
      <w:r w:rsidR="0053562A">
        <w:t> </w:t>
      </w:r>
      <w:proofErr w:type="spellStart"/>
      <w:r>
        <w:t>2016a</w:t>
      </w:r>
      <w:proofErr w:type="spellEnd"/>
      <w:r>
        <w:t xml:space="preserve">, </w:t>
      </w:r>
      <w:r w:rsidRPr="001C1964">
        <w:rPr>
          <w:i/>
        </w:rPr>
        <w:t>Australian System of National Accounts, 2015</w:t>
      </w:r>
      <w:r w:rsidR="00EE434A" w:rsidRPr="001C1964">
        <w:rPr>
          <w:i/>
        </w:rPr>
        <w:noBreakHyphen/>
      </w:r>
      <w:r w:rsidRPr="001C1964">
        <w:rPr>
          <w:i/>
        </w:rPr>
        <w:t>16</w:t>
      </w:r>
      <w:r>
        <w:t xml:space="preserve">, October, Cat. </w:t>
      </w:r>
      <w:r w:rsidR="00E633E9">
        <w:t>no. </w:t>
      </w:r>
      <w:r>
        <w:t>5204.0.</w:t>
      </w:r>
    </w:p>
    <w:p w14:paraId="1D0A70F9" w14:textId="7562DDDF" w:rsidR="00B15C33" w:rsidRDefault="00B15C33" w:rsidP="00042209">
      <w:pPr>
        <w:pStyle w:val="Reference"/>
      </w:pPr>
      <w:r>
        <w:t>——</w:t>
      </w:r>
      <w:r w:rsidR="0053562A">
        <w:t> </w:t>
      </w:r>
      <w:proofErr w:type="spellStart"/>
      <w:r>
        <w:t>2016b</w:t>
      </w:r>
      <w:proofErr w:type="spellEnd"/>
      <w:r>
        <w:t xml:space="preserve">, </w:t>
      </w:r>
      <w:r w:rsidRPr="001C1964">
        <w:rPr>
          <w:i/>
        </w:rPr>
        <w:t>Australian System of National Accounts: Concepts, Sources and Methods, 2015</w:t>
      </w:r>
      <w:r>
        <w:t>, March, Cat. no</w:t>
      </w:r>
      <w:r w:rsidR="00E633E9">
        <w:t>. </w:t>
      </w:r>
      <w:r>
        <w:t>5216.0.</w:t>
      </w:r>
    </w:p>
    <w:p w14:paraId="1D0A70FA" w14:textId="30841A64" w:rsidR="00B15C33" w:rsidRDefault="00B15C33" w:rsidP="00042209">
      <w:pPr>
        <w:pStyle w:val="Reference"/>
      </w:pPr>
      <w:r>
        <w:t>——</w:t>
      </w:r>
      <w:r w:rsidR="0053562A">
        <w:t> </w:t>
      </w:r>
      <w:proofErr w:type="spellStart"/>
      <w:r>
        <w:t>2016c</w:t>
      </w:r>
      <w:proofErr w:type="spellEnd"/>
      <w:r>
        <w:t xml:space="preserve">, </w:t>
      </w:r>
      <w:r w:rsidRPr="001C1964">
        <w:rPr>
          <w:i/>
        </w:rPr>
        <w:t>Employee Earnings and Hours, May 2016</w:t>
      </w:r>
      <w:r>
        <w:t xml:space="preserve">, Cat. </w:t>
      </w:r>
      <w:r w:rsidR="00E633E9">
        <w:t>no. </w:t>
      </w:r>
      <w:r>
        <w:t>6306.0.</w:t>
      </w:r>
    </w:p>
    <w:p w14:paraId="1D0A70FB" w14:textId="313DBFF6" w:rsidR="00B15C33" w:rsidRDefault="00B15C33" w:rsidP="00042209">
      <w:pPr>
        <w:pStyle w:val="Reference"/>
      </w:pPr>
      <w:r>
        <w:t>——</w:t>
      </w:r>
      <w:r w:rsidR="0053562A">
        <w:t> </w:t>
      </w:r>
      <w:proofErr w:type="spellStart"/>
      <w:r>
        <w:t>2016d</w:t>
      </w:r>
      <w:proofErr w:type="spellEnd"/>
      <w:r>
        <w:t xml:space="preserve">, </w:t>
      </w:r>
      <w:r w:rsidRPr="001C1964">
        <w:rPr>
          <w:i/>
        </w:rPr>
        <w:t>Estimates of Industry Multifactor Productivity, 2015</w:t>
      </w:r>
      <w:r w:rsidR="00EE434A" w:rsidRPr="001C1964">
        <w:rPr>
          <w:i/>
        </w:rPr>
        <w:noBreakHyphen/>
      </w:r>
      <w:r w:rsidRPr="001C1964">
        <w:rPr>
          <w:i/>
        </w:rPr>
        <w:t>16</w:t>
      </w:r>
      <w:r w:rsidR="001C1964">
        <w:t>, Cat. </w:t>
      </w:r>
      <w:r w:rsidR="00E633E9">
        <w:t>no. </w:t>
      </w:r>
      <w:r>
        <w:t>5260.0.55.002, Canberra.</w:t>
      </w:r>
    </w:p>
    <w:p w14:paraId="1D0A70FC" w14:textId="6C1C26B5" w:rsidR="00B15C33" w:rsidRDefault="00B15C33" w:rsidP="00042209">
      <w:pPr>
        <w:pStyle w:val="Reference"/>
      </w:pPr>
      <w:r>
        <w:t>——</w:t>
      </w:r>
      <w:r w:rsidR="0053562A">
        <w:t> </w:t>
      </w:r>
      <w:proofErr w:type="spellStart"/>
      <w:r>
        <w:t>2017a</w:t>
      </w:r>
      <w:proofErr w:type="spellEnd"/>
      <w:r>
        <w:t xml:space="preserve">, </w:t>
      </w:r>
      <w:r w:rsidRPr="001C1964">
        <w:rPr>
          <w:i/>
        </w:rPr>
        <w:t>Private New Capital Expenditure and Expected Expenditure, Australia, Mar 2017</w:t>
      </w:r>
      <w:r>
        <w:t xml:space="preserve">, Cat. </w:t>
      </w:r>
      <w:r w:rsidR="00E633E9">
        <w:t>no. </w:t>
      </w:r>
      <w:r>
        <w:t>5625.0, Canberra.</w:t>
      </w:r>
    </w:p>
    <w:p w14:paraId="1D0A70FD" w14:textId="6A601578" w:rsidR="00B15C33" w:rsidRDefault="00B15C33" w:rsidP="00042209">
      <w:pPr>
        <w:pStyle w:val="Reference"/>
      </w:pPr>
      <w:r>
        <w:t>——</w:t>
      </w:r>
      <w:r w:rsidR="0053562A">
        <w:t> </w:t>
      </w:r>
      <w:proofErr w:type="spellStart"/>
      <w:r>
        <w:t>2017b</w:t>
      </w:r>
      <w:proofErr w:type="spellEnd"/>
      <w:r>
        <w:t xml:space="preserve">, </w:t>
      </w:r>
      <w:r w:rsidRPr="001C1964">
        <w:rPr>
          <w:i/>
        </w:rPr>
        <w:t>Summary of IT Use and Innovation in Australian Business, 2015</w:t>
      </w:r>
      <w:r w:rsidR="00EE434A" w:rsidRPr="001C1964">
        <w:rPr>
          <w:i/>
        </w:rPr>
        <w:noBreakHyphen/>
      </w:r>
      <w:r w:rsidRPr="001C1964">
        <w:rPr>
          <w:i/>
        </w:rPr>
        <w:t>16</w:t>
      </w:r>
      <w:r>
        <w:t>, Cat. no</w:t>
      </w:r>
      <w:r w:rsidR="00E633E9">
        <w:t>. </w:t>
      </w:r>
      <w:r>
        <w:t xml:space="preserve">8166.0, Canberra, </w:t>
      </w:r>
      <w:r w:rsidR="00E633E9">
        <w:t>15 </w:t>
      </w:r>
      <w:r>
        <w:t>June.</w:t>
      </w:r>
    </w:p>
    <w:p w14:paraId="1D0A70FE" w14:textId="2A3635F0" w:rsidR="00B15C33" w:rsidRDefault="00B15C33" w:rsidP="00042209">
      <w:pPr>
        <w:pStyle w:val="Reference"/>
      </w:pPr>
      <w:r>
        <w:t>——</w:t>
      </w:r>
      <w:r w:rsidR="0053562A">
        <w:t> </w:t>
      </w:r>
      <w:proofErr w:type="spellStart"/>
      <w:r>
        <w:t>2017c</w:t>
      </w:r>
      <w:proofErr w:type="spellEnd"/>
      <w:r>
        <w:t xml:space="preserve">, </w:t>
      </w:r>
      <w:r w:rsidRPr="001C1964">
        <w:rPr>
          <w:i/>
        </w:rPr>
        <w:t>Wage Price Index, Australia, Mar 2017</w:t>
      </w:r>
      <w:r>
        <w:t xml:space="preserve">, Cat. </w:t>
      </w:r>
      <w:r w:rsidR="00E633E9">
        <w:t>no. </w:t>
      </w:r>
      <w:r>
        <w:t>6345.0, Canberra.</w:t>
      </w:r>
    </w:p>
    <w:p w14:paraId="1D0A70FF" w14:textId="2930BE44" w:rsidR="00B15C33" w:rsidRDefault="00B15C33" w:rsidP="00042209">
      <w:pPr>
        <w:pStyle w:val="Reference"/>
      </w:pPr>
      <w:proofErr w:type="spellStart"/>
      <w:r>
        <w:t>Acemoglu</w:t>
      </w:r>
      <w:proofErr w:type="spellEnd"/>
      <w:r>
        <w:t xml:space="preserve">, D. 2011, ‘When </w:t>
      </w:r>
      <w:r w:rsidR="000D0F69">
        <w:t>d</w:t>
      </w:r>
      <w:r>
        <w:t xml:space="preserve">oes </w:t>
      </w:r>
      <w:proofErr w:type="spellStart"/>
      <w:r w:rsidR="000D0F69">
        <w:t>l</w:t>
      </w:r>
      <w:r>
        <w:t>abor</w:t>
      </w:r>
      <w:proofErr w:type="spellEnd"/>
      <w:r>
        <w:t xml:space="preserve"> </w:t>
      </w:r>
      <w:r w:rsidR="000D0F69">
        <w:t>s</w:t>
      </w:r>
      <w:r>
        <w:t xml:space="preserve">carcity </w:t>
      </w:r>
      <w:r w:rsidR="000D0F69">
        <w:t>e</w:t>
      </w:r>
      <w:r>
        <w:t xml:space="preserve">ncourage </w:t>
      </w:r>
      <w:r w:rsidR="000D0F69">
        <w:t>i</w:t>
      </w:r>
      <w:r>
        <w:t xml:space="preserve">nnovation?’, </w:t>
      </w:r>
      <w:r w:rsidRPr="001C1964">
        <w:rPr>
          <w:i/>
        </w:rPr>
        <w:t>Journal of Political Economy</w:t>
      </w:r>
      <w:r>
        <w:t>, vol. 118, no. 6, pp. 1037–1078.</w:t>
      </w:r>
    </w:p>
    <w:p w14:paraId="1D0A7100" w14:textId="27A8E81C" w:rsidR="00B15C33" w:rsidRDefault="00B15C33" w:rsidP="00042209">
      <w:pPr>
        <w:pStyle w:val="Reference"/>
      </w:pPr>
      <w:proofErr w:type="spellStart"/>
      <w:r>
        <w:t>Albrizio</w:t>
      </w:r>
      <w:proofErr w:type="spellEnd"/>
      <w:r>
        <w:t xml:space="preserve">, S. and </w:t>
      </w:r>
      <w:proofErr w:type="spellStart"/>
      <w:r>
        <w:t>Nicoletti</w:t>
      </w:r>
      <w:proofErr w:type="spellEnd"/>
      <w:r>
        <w:t xml:space="preserve">, G. 2017, Boosting </w:t>
      </w:r>
      <w:r w:rsidR="000D0F69">
        <w:t>p</w:t>
      </w:r>
      <w:r>
        <w:t xml:space="preserve">roductivity: A framework for </w:t>
      </w:r>
      <w:r w:rsidR="000D0F69">
        <w:t>a</w:t>
      </w:r>
      <w:r>
        <w:t xml:space="preserve">nalysis and a </w:t>
      </w:r>
      <w:r w:rsidR="000D0F69">
        <w:t>c</w:t>
      </w:r>
      <w:r>
        <w:t xml:space="preserve">hecklist for </w:t>
      </w:r>
      <w:r w:rsidR="000D0F69">
        <w:t>p</w:t>
      </w:r>
      <w:r>
        <w:t xml:space="preserve">olicy, Background Paper, </w:t>
      </w:r>
      <w:proofErr w:type="spellStart"/>
      <w:r>
        <w:t>GFP</w:t>
      </w:r>
      <w:proofErr w:type="spellEnd"/>
      <w:r>
        <w:t xml:space="preserve"> Annual Conference 2017, OECD.</w:t>
      </w:r>
    </w:p>
    <w:p w14:paraId="1D0A7101" w14:textId="77777777" w:rsidR="00B15C33" w:rsidRDefault="00B15C33" w:rsidP="00042209">
      <w:pPr>
        <w:pStyle w:val="Reference"/>
      </w:pPr>
      <w:r>
        <w:t xml:space="preserve">Andrews, D. and </w:t>
      </w:r>
      <w:proofErr w:type="spellStart"/>
      <w:r>
        <w:t>Criscuolo</w:t>
      </w:r>
      <w:proofErr w:type="spellEnd"/>
      <w:r>
        <w:t xml:space="preserve">, C. 2015, </w:t>
      </w:r>
      <w:r w:rsidRPr="001C1964">
        <w:rPr>
          <w:i/>
        </w:rPr>
        <w:t>The Future of Productivity</w:t>
      </w:r>
      <w:r>
        <w:t>, OECD Publishing.</w:t>
      </w:r>
    </w:p>
    <w:p w14:paraId="1D0A7102" w14:textId="0AC7145F" w:rsidR="00B15C33" w:rsidRDefault="00B15C33" w:rsidP="00042209">
      <w:pPr>
        <w:pStyle w:val="Reference"/>
      </w:pPr>
      <w:r>
        <w:t xml:space="preserve">——, —— and Gal, P. 2015, Frontier </w:t>
      </w:r>
      <w:r w:rsidR="000D0F69">
        <w:t>f</w:t>
      </w:r>
      <w:r>
        <w:t xml:space="preserve">irms, </w:t>
      </w:r>
      <w:r w:rsidR="000D0F69">
        <w:t>t</w:t>
      </w:r>
      <w:r>
        <w:t xml:space="preserve">echnology </w:t>
      </w:r>
      <w:r w:rsidR="000D0F69">
        <w:t>d</w:t>
      </w:r>
      <w:r>
        <w:t xml:space="preserve">iffusion and </w:t>
      </w:r>
      <w:r w:rsidR="000D0F69">
        <w:t>p</w:t>
      </w:r>
      <w:r>
        <w:t xml:space="preserve">ublic </w:t>
      </w:r>
      <w:r w:rsidR="000D0F69">
        <w:t>p</w:t>
      </w:r>
      <w:r>
        <w:t xml:space="preserve">olicy: Micro </w:t>
      </w:r>
      <w:r w:rsidR="000D0F69">
        <w:t>e</w:t>
      </w:r>
      <w:r>
        <w:t xml:space="preserve">vidence from OECD </w:t>
      </w:r>
      <w:r w:rsidR="000D0F69">
        <w:t>c</w:t>
      </w:r>
      <w:r>
        <w:t>ountries, Productivity Working Paper No</w:t>
      </w:r>
      <w:r w:rsidR="00E633E9">
        <w:t>. </w:t>
      </w:r>
      <w:r>
        <w:t>2, November, OECD Publishing, Paris.</w:t>
      </w:r>
    </w:p>
    <w:p w14:paraId="1D0A7103" w14:textId="77777777" w:rsidR="00B15C33" w:rsidRDefault="00B15C33" w:rsidP="00042209">
      <w:pPr>
        <w:pStyle w:val="Reference"/>
      </w:pPr>
      <w:r>
        <w:t xml:space="preserve">Australian Government 2007, </w:t>
      </w:r>
      <w:r w:rsidRPr="001C1964">
        <w:rPr>
          <w:i/>
        </w:rPr>
        <w:t>Intergenerational Report 2007</w:t>
      </w:r>
      <w:r>
        <w:t>, April.</w:t>
      </w:r>
    </w:p>
    <w:p w14:paraId="1D0A7104" w14:textId="74DAB336" w:rsidR="00B15C33" w:rsidRDefault="00B15C33" w:rsidP="00042209">
      <w:pPr>
        <w:pStyle w:val="Reference"/>
      </w:pPr>
      <w:r>
        <w:t>——</w:t>
      </w:r>
      <w:r w:rsidR="0053562A">
        <w:t> </w:t>
      </w:r>
      <w:r>
        <w:t xml:space="preserve">2010, </w:t>
      </w:r>
      <w:r w:rsidRPr="001C1964">
        <w:rPr>
          <w:i/>
        </w:rPr>
        <w:t xml:space="preserve">Intergenerational Report 2010: Australia to 2050 </w:t>
      </w:r>
      <w:r w:rsidR="00EE434A" w:rsidRPr="001C1964">
        <w:rPr>
          <w:i/>
        </w:rPr>
        <w:noBreakHyphen/>
      </w:r>
      <w:r w:rsidRPr="001C1964">
        <w:rPr>
          <w:i/>
        </w:rPr>
        <w:t xml:space="preserve"> Future challenges</w:t>
      </w:r>
      <w:r>
        <w:t>, January.</w:t>
      </w:r>
    </w:p>
    <w:p w14:paraId="1D0A7105" w14:textId="36BFC896" w:rsidR="00B15C33" w:rsidRDefault="00B15C33" w:rsidP="00042209">
      <w:pPr>
        <w:pStyle w:val="Reference"/>
      </w:pPr>
      <w:r>
        <w:t>——</w:t>
      </w:r>
      <w:r w:rsidR="0053562A">
        <w:t> </w:t>
      </w:r>
      <w:r>
        <w:t xml:space="preserve">2015, </w:t>
      </w:r>
      <w:r w:rsidRPr="001C1964">
        <w:rPr>
          <w:i/>
        </w:rPr>
        <w:t>2015 Intergenerational Report: Australia in 2055</w:t>
      </w:r>
      <w:r>
        <w:t>, March.</w:t>
      </w:r>
    </w:p>
    <w:p w14:paraId="1D0A7106" w14:textId="16B92AD9" w:rsidR="00B15C33" w:rsidRDefault="00B15C33" w:rsidP="00042209">
      <w:pPr>
        <w:pStyle w:val="Reference"/>
      </w:pPr>
      <w:r>
        <w:t>——</w:t>
      </w:r>
      <w:r w:rsidR="0053562A">
        <w:t> </w:t>
      </w:r>
      <w:r>
        <w:t xml:space="preserve">2017, </w:t>
      </w:r>
      <w:r w:rsidRPr="001C1964">
        <w:rPr>
          <w:i/>
        </w:rPr>
        <w:t>Budget 2017</w:t>
      </w:r>
      <w:r w:rsidR="00EE434A" w:rsidRPr="001C1964">
        <w:rPr>
          <w:i/>
        </w:rPr>
        <w:noBreakHyphen/>
      </w:r>
      <w:r w:rsidRPr="001C1964">
        <w:rPr>
          <w:i/>
        </w:rPr>
        <w:t xml:space="preserve">18 </w:t>
      </w:r>
      <w:r w:rsidR="00EE434A" w:rsidRPr="001C1964">
        <w:rPr>
          <w:i/>
        </w:rPr>
        <w:noBreakHyphen/>
      </w:r>
      <w:r w:rsidRPr="001C1964">
        <w:rPr>
          <w:i/>
        </w:rPr>
        <w:t xml:space="preserve"> Budget Paper No</w:t>
      </w:r>
      <w:r w:rsidR="00E633E9" w:rsidRPr="001C1964">
        <w:rPr>
          <w:i/>
        </w:rPr>
        <w:t>. </w:t>
      </w:r>
      <w:r w:rsidRPr="001C1964">
        <w:rPr>
          <w:i/>
        </w:rPr>
        <w:t>1</w:t>
      </w:r>
      <w:r>
        <w:t>, May.</w:t>
      </w:r>
    </w:p>
    <w:p w14:paraId="1D0A7107" w14:textId="77777777" w:rsidR="00B15C33" w:rsidRDefault="00B15C33" w:rsidP="00042209">
      <w:pPr>
        <w:pStyle w:val="Reference"/>
      </w:pPr>
      <w:r>
        <w:t>Australian Treasury 2009, Raising the level of productivity growth in the Australian economy, Submission to the House of Representatives Standing Committee on Economics Inquiry into raising the level of productivity growth in the Australian economy, August.</w:t>
      </w:r>
    </w:p>
    <w:p w14:paraId="1D0A7108" w14:textId="335034C6" w:rsidR="00B15C33" w:rsidRDefault="00B15C33" w:rsidP="00042209">
      <w:pPr>
        <w:pStyle w:val="Reference"/>
      </w:pPr>
      <w:r>
        <w:t xml:space="preserve">Azar, J., Schmalz, M.C. and </w:t>
      </w:r>
      <w:proofErr w:type="spellStart"/>
      <w:r>
        <w:t>Tecu</w:t>
      </w:r>
      <w:proofErr w:type="spellEnd"/>
      <w:r>
        <w:t>, I. 2017, Anti</w:t>
      </w:r>
      <w:r w:rsidR="00EE434A">
        <w:noBreakHyphen/>
      </w:r>
      <w:r>
        <w:t xml:space="preserve">Competitive </w:t>
      </w:r>
      <w:r w:rsidR="000D0F69">
        <w:t>e</w:t>
      </w:r>
      <w:r>
        <w:t xml:space="preserve">ffects of </w:t>
      </w:r>
      <w:r w:rsidR="000D0F69">
        <w:t>c</w:t>
      </w:r>
      <w:r>
        <w:t xml:space="preserve">ommon </w:t>
      </w:r>
      <w:r w:rsidR="000D0F69">
        <w:t>o</w:t>
      </w:r>
      <w:r>
        <w:t>wnership, Social Science Research Network Scholarly Paper, 23</w:t>
      </w:r>
      <w:r w:rsidR="00E633E9">
        <w:t> </w:t>
      </w:r>
      <w:r>
        <w:t>March, ID 2427345, Rochester, NY.</w:t>
      </w:r>
    </w:p>
    <w:p w14:paraId="1D0A7109" w14:textId="1D1AD646" w:rsidR="00B15C33" w:rsidRDefault="00B15C33" w:rsidP="00042209">
      <w:pPr>
        <w:pStyle w:val="Reference"/>
      </w:pPr>
      <w:r>
        <w:lastRenderedPageBreak/>
        <w:t>Banks, G. 2005, ‘Structural reform Australian</w:t>
      </w:r>
      <w:r w:rsidR="00EE434A">
        <w:noBreakHyphen/>
      </w:r>
      <w:r>
        <w:t>style: lessons for others?’, Presentation to the IMF, World Bank and OECD.</w:t>
      </w:r>
    </w:p>
    <w:p w14:paraId="1D0A710A" w14:textId="77777777" w:rsidR="00B15C33" w:rsidRDefault="00B15C33" w:rsidP="00042209">
      <w:pPr>
        <w:pStyle w:val="Reference"/>
      </w:pPr>
      <w:r>
        <w:t xml:space="preserve">Barnes, P. and McClure, A. 2009, </w:t>
      </w:r>
      <w:r w:rsidRPr="000D0F69">
        <w:rPr>
          <w:i/>
        </w:rPr>
        <w:t>Investments in Intangible Assets and Australia’s Productivity Growth</w:t>
      </w:r>
      <w:r>
        <w:t>, Staff Working Paper, Productivity Commission, Canberra.</w:t>
      </w:r>
    </w:p>
    <w:p w14:paraId="1D0A710B" w14:textId="77777777" w:rsidR="00B15C33" w:rsidRDefault="00B15C33" w:rsidP="00042209">
      <w:pPr>
        <w:pStyle w:val="Reference"/>
      </w:pPr>
      <w:r>
        <w:t xml:space="preserve">——, Soames, L., Li, C. and Munoz, M. 2013, </w:t>
      </w:r>
      <w:r w:rsidRPr="000D0F69">
        <w:rPr>
          <w:i/>
        </w:rPr>
        <w:t>Productivity in Manufacturing: Measurement and Interpretation</w:t>
      </w:r>
      <w:r>
        <w:t>, Staff Working Paper, Productivity Commission.</w:t>
      </w:r>
    </w:p>
    <w:p w14:paraId="1D0A710C" w14:textId="357D6A73" w:rsidR="00B15C33" w:rsidRDefault="00B15C33" w:rsidP="00042209">
      <w:pPr>
        <w:pStyle w:val="Reference"/>
      </w:pPr>
      <w:r>
        <w:t xml:space="preserve">Bartlett, B. 2015, Is the </w:t>
      </w:r>
      <w:r w:rsidR="000D0F69">
        <w:t>o</w:t>
      </w:r>
      <w:r w:rsidR="00E633E9">
        <w:t xml:space="preserve">nly </w:t>
      </w:r>
      <w:r w:rsidR="000D0F69">
        <w:t>p</w:t>
      </w:r>
      <w:r w:rsidR="00E633E9">
        <w:t xml:space="preserve">urpose </w:t>
      </w:r>
      <w:r>
        <w:t xml:space="preserve">of a </w:t>
      </w:r>
      <w:r w:rsidR="000D0F69">
        <w:t>c</w:t>
      </w:r>
      <w:r>
        <w:t xml:space="preserve">orporation to </w:t>
      </w:r>
      <w:r w:rsidR="000D0F69">
        <w:t>m</w:t>
      </w:r>
      <w:r w:rsidR="00E633E9">
        <w:t xml:space="preserve">aximise </w:t>
      </w:r>
      <w:r w:rsidR="000D0F69">
        <w:t>p</w:t>
      </w:r>
      <w:r w:rsidR="00E633E9">
        <w:t>rofit</w:t>
      </w:r>
      <w:r>
        <w:t>?, The Big Picture.</w:t>
      </w:r>
    </w:p>
    <w:p w14:paraId="1D0A710D" w14:textId="09070E70" w:rsidR="00B15C33" w:rsidRDefault="00B15C33" w:rsidP="00042209">
      <w:pPr>
        <w:pStyle w:val="Reference"/>
      </w:pPr>
      <w:proofErr w:type="spellStart"/>
      <w:r>
        <w:t>Bassanini</w:t>
      </w:r>
      <w:proofErr w:type="spellEnd"/>
      <w:r>
        <w:t xml:space="preserve">, A. and </w:t>
      </w:r>
      <w:proofErr w:type="spellStart"/>
      <w:r>
        <w:t>Manfredi</w:t>
      </w:r>
      <w:proofErr w:type="spellEnd"/>
      <w:r>
        <w:t xml:space="preserve">, T. 2012, Capital’s </w:t>
      </w:r>
      <w:r w:rsidR="000D0F69">
        <w:t>g</w:t>
      </w:r>
      <w:r>
        <w:t xml:space="preserve">rabbing </w:t>
      </w:r>
      <w:r w:rsidR="000D0F69">
        <w:t>h</w:t>
      </w:r>
      <w:r>
        <w:t xml:space="preserve">and? A </w:t>
      </w:r>
      <w:r w:rsidR="000D0F69">
        <w:t>c</w:t>
      </w:r>
      <w:r>
        <w:t>ross</w:t>
      </w:r>
      <w:r w:rsidR="00EE434A">
        <w:noBreakHyphen/>
      </w:r>
      <w:r w:rsidR="000D0F69">
        <w:t>c</w:t>
      </w:r>
      <w:r>
        <w:t>ountry/</w:t>
      </w:r>
      <w:r w:rsidR="000D0F69">
        <w:t>c</w:t>
      </w:r>
      <w:r>
        <w:t>ross</w:t>
      </w:r>
      <w:r w:rsidR="00EE434A">
        <w:noBreakHyphen/>
      </w:r>
      <w:r w:rsidR="000D0F69">
        <w:t>i</w:t>
      </w:r>
      <w:r>
        <w:t xml:space="preserve">ndustry </w:t>
      </w:r>
      <w:r w:rsidR="000D0F69">
        <w:t>a</w:t>
      </w:r>
      <w:r>
        <w:t xml:space="preserve">nalysis of the </w:t>
      </w:r>
      <w:r w:rsidR="000D0F69">
        <w:t>d</w:t>
      </w:r>
      <w:r>
        <w:t xml:space="preserve">ecline of the </w:t>
      </w:r>
      <w:r w:rsidR="000D0F69">
        <w:t>labour s</w:t>
      </w:r>
      <w:r>
        <w:t>hare, OECD Social, Employment and Migration Working Papers, 133, OECD Publishing.</w:t>
      </w:r>
    </w:p>
    <w:p w14:paraId="1D0A710E" w14:textId="723F2C95" w:rsidR="00B15C33" w:rsidRDefault="00B15C33" w:rsidP="00042209">
      <w:pPr>
        <w:pStyle w:val="Reference"/>
      </w:pPr>
      <w:proofErr w:type="spellStart"/>
      <w:r>
        <w:t>Battersby</w:t>
      </w:r>
      <w:proofErr w:type="spellEnd"/>
      <w:r>
        <w:t xml:space="preserve">, B. 2006, Does </w:t>
      </w:r>
      <w:r w:rsidR="000D0F69">
        <w:t>d</w:t>
      </w:r>
      <w:r w:rsidR="00E633E9">
        <w:t xml:space="preserve">istance </w:t>
      </w:r>
      <w:r w:rsidR="000D0F69">
        <w:t>m</w:t>
      </w:r>
      <w:r w:rsidR="00E633E9">
        <w:t>atter</w:t>
      </w:r>
      <w:r>
        <w:t xml:space="preserve">? The </w:t>
      </w:r>
      <w:r w:rsidR="000D0F69">
        <w:t>e</w:t>
      </w:r>
      <w:r w:rsidR="00E633E9">
        <w:t xml:space="preserve">ffect </w:t>
      </w:r>
      <w:r>
        <w:t xml:space="preserve">of </w:t>
      </w:r>
      <w:r w:rsidR="000D0F69">
        <w:t>g</w:t>
      </w:r>
      <w:r w:rsidR="00E633E9">
        <w:t xml:space="preserve">eographic </w:t>
      </w:r>
      <w:r w:rsidR="000D0F69">
        <w:t>i</w:t>
      </w:r>
      <w:r w:rsidR="00E633E9">
        <w:t xml:space="preserve">solation </w:t>
      </w:r>
      <w:r>
        <w:t xml:space="preserve">on </w:t>
      </w:r>
      <w:r w:rsidR="000D0F69">
        <w:t>p</w:t>
      </w:r>
      <w:r w:rsidR="00E633E9">
        <w:t xml:space="preserve">roductivity </w:t>
      </w:r>
      <w:r w:rsidR="000D0F69">
        <w:t>l</w:t>
      </w:r>
      <w:r w:rsidR="00E633E9">
        <w:t>evels</w:t>
      </w:r>
      <w:r>
        <w:t>, Treasury Working Paper, 2006–03, Australian Treasury, Canberra.</w:t>
      </w:r>
    </w:p>
    <w:p w14:paraId="1D0A710F" w14:textId="639CF696" w:rsidR="00B15C33" w:rsidRDefault="00B15C33" w:rsidP="00042209">
      <w:pPr>
        <w:pStyle w:val="Reference"/>
      </w:pPr>
      <w:proofErr w:type="spellStart"/>
      <w:r>
        <w:t>Bergeaud</w:t>
      </w:r>
      <w:proofErr w:type="spellEnd"/>
      <w:r>
        <w:t xml:space="preserve">, A., </w:t>
      </w:r>
      <w:proofErr w:type="spellStart"/>
      <w:r>
        <w:t>Cette</w:t>
      </w:r>
      <w:proofErr w:type="spellEnd"/>
      <w:r>
        <w:t xml:space="preserve">, G. and </w:t>
      </w:r>
      <w:proofErr w:type="spellStart"/>
      <w:r>
        <w:t>Lecat</w:t>
      </w:r>
      <w:proofErr w:type="spellEnd"/>
      <w:r>
        <w:t xml:space="preserve">, R. 2016, ‘Productivity </w:t>
      </w:r>
      <w:r w:rsidR="000D0F69">
        <w:t>t</w:t>
      </w:r>
      <w:r>
        <w:t xml:space="preserve">rends in </w:t>
      </w:r>
      <w:r w:rsidR="000D0F69">
        <w:t>a</w:t>
      </w:r>
      <w:r>
        <w:t xml:space="preserve">dvanced </w:t>
      </w:r>
      <w:r w:rsidR="000D0F69">
        <w:t>c</w:t>
      </w:r>
      <w:r>
        <w:t xml:space="preserve">ountries between 1890 and 2012’, </w:t>
      </w:r>
      <w:r w:rsidRPr="001C1964">
        <w:rPr>
          <w:i/>
        </w:rPr>
        <w:t>Review of Income and Wealth</w:t>
      </w:r>
      <w:r>
        <w:t>, vol. 62, no. 3, pp. 420–440.</w:t>
      </w:r>
    </w:p>
    <w:p w14:paraId="1D0A7110" w14:textId="1C9DAAA2" w:rsidR="00B15C33" w:rsidRDefault="00B15C33" w:rsidP="00042209">
      <w:pPr>
        <w:pStyle w:val="Reference"/>
      </w:pPr>
      <w:r>
        <w:t xml:space="preserve">Berger, S. 2014, How </w:t>
      </w:r>
      <w:r w:rsidR="000D0F69">
        <w:t>f</w:t>
      </w:r>
      <w:r>
        <w:t xml:space="preserve">inance </w:t>
      </w:r>
      <w:r w:rsidR="000D0F69">
        <w:t>g</w:t>
      </w:r>
      <w:r>
        <w:t xml:space="preserve">utted </w:t>
      </w:r>
      <w:r w:rsidR="000D0F69">
        <w:t>m</w:t>
      </w:r>
      <w:r>
        <w:t xml:space="preserve">anufacturing, </w:t>
      </w:r>
      <w:r w:rsidRPr="00105F5D">
        <w:rPr>
          <w:i/>
        </w:rPr>
        <w:t>Boston Review</w:t>
      </w:r>
      <w:r>
        <w:t xml:space="preserve">, </w:t>
      </w:r>
      <w:r w:rsidR="00105F5D">
        <w:t>1 April</w:t>
      </w:r>
      <w:r>
        <w:t>.</w:t>
      </w:r>
    </w:p>
    <w:p w14:paraId="1D0A7111" w14:textId="1DC76616" w:rsidR="00B15C33" w:rsidRDefault="00B15C33" w:rsidP="00711147">
      <w:pPr>
        <w:pStyle w:val="Reference"/>
      </w:pPr>
      <w:r>
        <w:t xml:space="preserve">Bernanke, B. 2007, ‘Global </w:t>
      </w:r>
      <w:r w:rsidR="00105F5D">
        <w:t>i</w:t>
      </w:r>
      <w:r>
        <w:t xml:space="preserve">mbalances: </w:t>
      </w:r>
      <w:r w:rsidR="00105F5D">
        <w:t>r</w:t>
      </w:r>
      <w:r>
        <w:t>ec</w:t>
      </w:r>
      <w:r w:rsidR="00711147">
        <w:t xml:space="preserve">ent </w:t>
      </w:r>
      <w:r w:rsidR="00105F5D">
        <w:t>d</w:t>
      </w:r>
      <w:r w:rsidR="00711147">
        <w:t xml:space="preserve">evelopments and </w:t>
      </w:r>
      <w:r w:rsidR="00105F5D">
        <w:t>p</w:t>
      </w:r>
      <w:r w:rsidR="00711147">
        <w:t>rospects’, speech at the Bundesbank Lecture, Berlin, Germany, 11 September.</w:t>
      </w:r>
    </w:p>
    <w:p w14:paraId="1D0A7112" w14:textId="77777777" w:rsidR="00B15C33" w:rsidRDefault="00B15C33" w:rsidP="00042209">
      <w:pPr>
        <w:pStyle w:val="Reference"/>
      </w:pPr>
      <w:r>
        <w:t xml:space="preserve">Bernstein, J. 2013, </w:t>
      </w:r>
      <w:r w:rsidRPr="00711147">
        <w:rPr>
          <w:i/>
        </w:rPr>
        <w:t>The Impact of Inequality on Growth</w:t>
      </w:r>
      <w:r>
        <w:t xml:space="preserve">, December, </w:t>
      </w:r>
      <w:proofErr w:type="spellStart"/>
      <w:r>
        <w:t>Center</w:t>
      </w:r>
      <w:proofErr w:type="spellEnd"/>
      <w:r>
        <w:t xml:space="preserve"> for American Progress, Washington.</w:t>
      </w:r>
    </w:p>
    <w:p w14:paraId="1D0A7113" w14:textId="55694355" w:rsidR="00B15C33" w:rsidRDefault="00B15C33" w:rsidP="00042209">
      <w:pPr>
        <w:pStyle w:val="Reference"/>
      </w:pPr>
      <w:r>
        <w:t xml:space="preserve">Blanchard, O. and Diamond, P. 1994, ‘Ranking, </w:t>
      </w:r>
      <w:r w:rsidR="00105F5D">
        <w:t>u</w:t>
      </w:r>
      <w:r>
        <w:t xml:space="preserve">nemployment </w:t>
      </w:r>
      <w:r w:rsidR="00105F5D">
        <w:t>d</w:t>
      </w:r>
      <w:r>
        <w:t xml:space="preserve">uration, and </w:t>
      </w:r>
      <w:r w:rsidR="00105F5D">
        <w:t>w</w:t>
      </w:r>
      <w:r>
        <w:t xml:space="preserve">ages’, </w:t>
      </w:r>
      <w:r w:rsidRPr="00711147">
        <w:rPr>
          <w:i/>
        </w:rPr>
        <w:t>Review of Economic Studies</w:t>
      </w:r>
      <w:r>
        <w:t>, vol. 61, no. 3, pp. 417–434.</w:t>
      </w:r>
    </w:p>
    <w:p w14:paraId="1D0A7114" w14:textId="42BFF75A" w:rsidR="00B15C33" w:rsidRDefault="00B15C33" w:rsidP="00042209">
      <w:pPr>
        <w:pStyle w:val="Reference"/>
      </w:pPr>
      <w:r>
        <w:t xml:space="preserve">Bloom, N., </w:t>
      </w:r>
      <w:proofErr w:type="spellStart"/>
      <w:r>
        <w:t>Brynjolfsson</w:t>
      </w:r>
      <w:proofErr w:type="spellEnd"/>
      <w:r>
        <w:t xml:space="preserve">, E., Foster, L., </w:t>
      </w:r>
      <w:proofErr w:type="spellStart"/>
      <w:r>
        <w:t>Jamin</w:t>
      </w:r>
      <w:proofErr w:type="spellEnd"/>
      <w:r>
        <w:t xml:space="preserve">, R., Patnaik, M., </w:t>
      </w:r>
      <w:proofErr w:type="spellStart"/>
      <w:r>
        <w:t>Saporta</w:t>
      </w:r>
      <w:r w:rsidR="00EE434A">
        <w:noBreakHyphen/>
      </w:r>
      <w:r>
        <w:t>Eksten</w:t>
      </w:r>
      <w:proofErr w:type="spellEnd"/>
      <w:r>
        <w:t xml:space="preserve">, I. and Van Reenen, J. 2016, What </w:t>
      </w:r>
      <w:r w:rsidR="00105F5D">
        <w:t>d</w:t>
      </w:r>
      <w:r>
        <w:t xml:space="preserve">rives </w:t>
      </w:r>
      <w:r w:rsidR="00105F5D">
        <w:t>d</w:t>
      </w:r>
      <w:r>
        <w:t xml:space="preserve">ifferences in </w:t>
      </w:r>
      <w:r w:rsidR="00105F5D">
        <w:t>m</w:t>
      </w:r>
      <w:r>
        <w:t>anagement?, Stanford University Mimeo.</w:t>
      </w:r>
    </w:p>
    <w:p w14:paraId="1D0A7115" w14:textId="77777777" w:rsidR="00B15C33" w:rsidRDefault="00B15C33" w:rsidP="00042209">
      <w:pPr>
        <w:pStyle w:val="Reference"/>
      </w:pPr>
      <w:proofErr w:type="spellStart"/>
      <w:r>
        <w:t>Brynjolfsson</w:t>
      </w:r>
      <w:proofErr w:type="spellEnd"/>
      <w:r>
        <w:t xml:space="preserve">, E. and McAfee, A. 2014, </w:t>
      </w:r>
      <w:r w:rsidRPr="00711147">
        <w:rPr>
          <w:i/>
        </w:rPr>
        <w:t>The Second Machine Age: Work, Progress, and Prosperity in a Time of Brilliant Technologies</w:t>
      </w:r>
      <w:r>
        <w:t>, W.W. Norton &amp; Company, Inc.</w:t>
      </w:r>
    </w:p>
    <w:p w14:paraId="1D0A7116" w14:textId="77777777" w:rsidR="00B15C33" w:rsidRDefault="00B15C33" w:rsidP="00042209">
      <w:pPr>
        <w:pStyle w:val="Reference"/>
      </w:pPr>
      <w:proofErr w:type="spellStart"/>
      <w:r>
        <w:t>Bucifal</w:t>
      </w:r>
      <w:proofErr w:type="spellEnd"/>
      <w:r>
        <w:t xml:space="preserve">, S. and </w:t>
      </w:r>
      <w:proofErr w:type="spellStart"/>
      <w:r>
        <w:t>Bulic</w:t>
      </w:r>
      <w:proofErr w:type="spellEnd"/>
      <w:r>
        <w:t>, F. 2016, Updating investment estimates for Australia’s organisational capital, Staff Research Paper, 2/2016, Department of Industry, Innovation and Science, Canberra.</w:t>
      </w:r>
    </w:p>
    <w:p w14:paraId="1D0A7117" w14:textId="47DD5616" w:rsidR="00B15C33" w:rsidRDefault="00B15C33" w:rsidP="00042209">
      <w:pPr>
        <w:pStyle w:val="Reference"/>
      </w:pPr>
      <w:r>
        <w:t xml:space="preserve">Bullen, J., </w:t>
      </w:r>
      <w:proofErr w:type="spellStart"/>
      <w:r>
        <w:t>Kouparitsas</w:t>
      </w:r>
      <w:proofErr w:type="spellEnd"/>
      <w:r>
        <w:t xml:space="preserve">, M. and </w:t>
      </w:r>
      <w:proofErr w:type="spellStart"/>
      <w:r>
        <w:t>Krolikowski</w:t>
      </w:r>
      <w:proofErr w:type="spellEnd"/>
      <w:r>
        <w:t>, M. 2014, Long</w:t>
      </w:r>
      <w:r w:rsidR="00EE434A">
        <w:noBreakHyphen/>
      </w:r>
      <w:r>
        <w:t>run forecasts of Australia’s terms of trade, Working Paper, May, The Treasury.</w:t>
      </w:r>
    </w:p>
    <w:p w14:paraId="1D0A7118" w14:textId="01DAE8D2" w:rsidR="00B15C33" w:rsidRDefault="00B15C33" w:rsidP="00042209">
      <w:pPr>
        <w:pStyle w:val="Reference"/>
      </w:pPr>
      <w:proofErr w:type="spellStart"/>
      <w:r>
        <w:t>Butlin</w:t>
      </w:r>
      <w:proofErr w:type="spellEnd"/>
      <w:r>
        <w:t xml:space="preserve">, </w:t>
      </w:r>
      <w:proofErr w:type="spellStart"/>
      <w:r>
        <w:t>M.W</w:t>
      </w:r>
      <w:proofErr w:type="spellEnd"/>
      <w:r>
        <w:t xml:space="preserve">. 1977, A </w:t>
      </w:r>
      <w:r w:rsidR="00105F5D">
        <w:t>p</w:t>
      </w:r>
      <w:r>
        <w:t xml:space="preserve">reliminary </w:t>
      </w:r>
      <w:r w:rsidR="00105F5D">
        <w:t>a</w:t>
      </w:r>
      <w:r>
        <w:t xml:space="preserve">nnual </w:t>
      </w:r>
      <w:r w:rsidR="00105F5D">
        <w:t>d</w:t>
      </w:r>
      <w:r>
        <w:t>atabase 1900</w:t>
      </w:r>
      <w:r w:rsidR="00EE434A">
        <w:noBreakHyphen/>
      </w:r>
      <w:r>
        <w:t>01 to 1973</w:t>
      </w:r>
      <w:r w:rsidR="00EE434A">
        <w:noBreakHyphen/>
      </w:r>
      <w:r>
        <w:t>74, Research Discussion Paper, May, Reserve Bank of Australia.</w:t>
      </w:r>
    </w:p>
    <w:p w14:paraId="1D0A7119" w14:textId="00DDB4A0" w:rsidR="00B15C33" w:rsidRDefault="00B15C33" w:rsidP="00042209">
      <w:pPr>
        <w:pStyle w:val="Reference"/>
      </w:pPr>
      <w:r>
        <w:t xml:space="preserve">Byrne, </w:t>
      </w:r>
      <w:proofErr w:type="spellStart"/>
      <w:r>
        <w:t>D.M</w:t>
      </w:r>
      <w:proofErr w:type="spellEnd"/>
      <w:r>
        <w:t xml:space="preserve">., Fernald, J. and </w:t>
      </w:r>
      <w:proofErr w:type="spellStart"/>
      <w:r>
        <w:t>Reinsdorf</w:t>
      </w:r>
      <w:proofErr w:type="spellEnd"/>
      <w:r>
        <w:t xml:space="preserve">, M. 2016, Does the United States have a </w:t>
      </w:r>
      <w:r w:rsidR="00105F5D">
        <w:t>p</w:t>
      </w:r>
      <w:r>
        <w:t xml:space="preserve">roductivity </w:t>
      </w:r>
      <w:r w:rsidR="00105F5D">
        <w:t>s</w:t>
      </w:r>
      <w:r>
        <w:t xml:space="preserve">lowdown or a </w:t>
      </w:r>
      <w:r w:rsidR="00105F5D">
        <w:t>m</w:t>
      </w:r>
      <w:r>
        <w:t xml:space="preserve">easurement </w:t>
      </w:r>
      <w:r w:rsidR="00105F5D">
        <w:t>p</w:t>
      </w:r>
      <w:r>
        <w:t>roblem, Finance and Economics Discussion Series, 2016–017, Board of Governors of the Federal Reserve System, Washington.</w:t>
      </w:r>
    </w:p>
    <w:p w14:paraId="1D0A711A" w14:textId="71CD3D52" w:rsidR="00B15C33" w:rsidRDefault="00B15C33" w:rsidP="00042209">
      <w:pPr>
        <w:pStyle w:val="Reference"/>
      </w:pPr>
      <w:proofErr w:type="spellStart"/>
      <w:r>
        <w:t>Carmody</w:t>
      </w:r>
      <w:proofErr w:type="spellEnd"/>
      <w:r>
        <w:t xml:space="preserve">, C. 2013, Slowing </w:t>
      </w:r>
      <w:r w:rsidR="00105F5D">
        <w:t>p</w:t>
      </w:r>
      <w:r>
        <w:t xml:space="preserve">roductivity </w:t>
      </w:r>
      <w:r w:rsidR="00105F5D">
        <w:t>g</w:t>
      </w:r>
      <w:r>
        <w:t xml:space="preserve">rowth </w:t>
      </w:r>
      <w:r w:rsidR="00E633E9">
        <w:t xml:space="preserve">— </w:t>
      </w:r>
      <w:r>
        <w:t xml:space="preserve">A </w:t>
      </w:r>
      <w:r w:rsidR="00105F5D">
        <w:t>d</w:t>
      </w:r>
      <w:r>
        <w:t xml:space="preserve">eveloped </w:t>
      </w:r>
      <w:r w:rsidR="00105F5D">
        <w:t>e</w:t>
      </w:r>
      <w:r>
        <w:t xml:space="preserve">conomy </w:t>
      </w:r>
      <w:r w:rsidR="00105F5D">
        <w:t>c</w:t>
      </w:r>
      <w:r>
        <w:t xml:space="preserve">omparison, </w:t>
      </w:r>
      <w:r w:rsidRPr="00711147">
        <w:rPr>
          <w:i/>
        </w:rPr>
        <w:t>Economic Roundup</w:t>
      </w:r>
      <w:r>
        <w:t>, Issue 2, 2013, The Treasury.</w:t>
      </w:r>
    </w:p>
    <w:p w14:paraId="1D0A711B" w14:textId="7BF1B0D3" w:rsidR="00B15C33" w:rsidRDefault="00B15C33" w:rsidP="00042209">
      <w:pPr>
        <w:pStyle w:val="Reference"/>
      </w:pPr>
      <w:r>
        <w:lastRenderedPageBreak/>
        <w:t xml:space="preserve">Chan, J. and Xu, C. 2016, </w:t>
      </w:r>
      <w:r w:rsidRPr="00105F5D">
        <w:rPr>
          <w:i/>
        </w:rPr>
        <w:t>Perspectives in Micro</w:t>
      </w:r>
      <w:r w:rsidR="00EE434A" w:rsidRPr="00105F5D">
        <w:rPr>
          <w:i/>
        </w:rPr>
        <w:noBreakHyphen/>
      </w:r>
      <w:r w:rsidRPr="00105F5D">
        <w:rPr>
          <w:i/>
        </w:rPr>
        <w:t xml:space="preserve"> and Nanotechnology for Biomedical Applications</w:t>
      </w:r>
      <w:r>
        <w:t>, Imperial College Press.</w:t>
      </w:r>
    </w:p>
    <w:p w14:paraId="1D0A711C" w14:textId="7485BD2D" w:rsidR="00B15C33" w:rsidRDefault="00B15C33" w:rsidP="00042209">
      <w:pPr>
        <w:pStyle w:val="Reference"/>
      </w:pPr>
      <w:r>
        <w:t xml:space="preserve">Chapman, B. and </w:t>
      </w:r>
      <w:proofErr w:type="spellStart"/>
      <w:r>
        <w:t>Kapuscinski</w:t>
      </w:r>
      <w:proofErr w:type="spellEnd"/>
      <w:r>
        <w:t xml:space="preserve">, C.A. 2000, Avoiding </w:t>
      </w:r>
      <w:r w:rsidR="000B06E9">
        <w:t>r</w:t>
      </w:r>
      <w:r>
        <w:t xml:space="preserve">ecessions and Australian </w:t>
      </w:r>
      <w:r w:rsidR="000B06E9">
        <w:t>l</w:t>
      </w:r>
      <w:r>
        <w:t>ong</w:t>
      </w:r>
      <w:r w:rsidR="00EE434A">
        <w:noBreakHyphen/>
      </w:r>
      <w:r w:rsidR="000B06E9">
        <w:t>t</w:t>
      </w:r>
      <w:r>
        <w:t xml:space="preserve">erm </w:t>
      </w:r>
      <w:r w:rsidR="000B06E9">
        <w:t>u</w:t>
      </w:r>
      <w:r>
        <w:t>nemployment, Discussion Paper, June, 29, The Australia Institute.</w:t>
      </w:r>
    </w:p>
    <w:p w14:paraId="1D0A711D" w14:textId="6A48D611" w:rsidR="00B15C33" w:rsidRDefault="00B15C33" w:rsidP="00042209">
      <w:pPr>
        <w:pStyle w:val="Reference"/>
      </w:pPr>
      <w:r>
        <w:t xml:space="preserve">Connolly, E. and </w:t>
      </w:r>
      <w:proofErr w:type="spellStart"/>
      <w:r>
        <w:t>Gustafsson</w:t>
      </w:r>
      <w:proofErr w:type="spellEnd"/>
      <w:r>
        <w:t xml:space="preserve">, L. 2013, ‘Australian </w:t>
      </w:r>
      <w:r w:rsidR="000B06E9">
        <w:t>p</w:t>
      </w:r>
      <w:r>
        <w:t xml:space="preserve">roductivity </w:t>
      </w:r>
      <w:r w:rsidR="000B06E9">
        <w:t>g</w:t>
      </w:r>
      <w:r>
        <w:t xml:space="preserve">rowth: </w:t>
      </w:r>
      <w:r w:rsidR="000B06E9">
        <w:t>t</w:t>
      </w:r>
      <w:r>
        <w:t xml:space="preserve">rends and </w:t>
      </w:r>
      <w:r w:rsidR="000B06E9">
        <w:t>d</w:t>
      </w:r>
      <w:r>
        <w:t xml:space="preserve">eterminants’, </w:t>
      </w:r>
      <w:r w:rsidRPr="00711147">
        <w:rPr>
          <w:i/>
        </w:rPr>
        <w:t>The Australian Economic Review</w:t>
      </w:r>
      <w:r>
        <w:t>, vol. 46, no. 4, pp. 473–482.</w:t>
      </w:r>
    </w:p>
    <w:p w14:paraId="1D0A711E" w14:textId="64A1C004" w:rsidR="00B15C33" w:rsidRDefault="00B15C33" w:rsidP="00042209">
      <w:pPr>
        <w:pStyle w:val="Reference"/>
      </w:pPr>
      <w:r>
        <w:t xml:space="preserve">—— and </w:t>
      </w:r>
      <w:proofErr w:type="spellStart"/>
      <w:r>
        <w:t>Orsmond</w:t>
      </w:r>
      <w:proofErr w:type="spellEnd"/>
      <w:r>
        <w:t xml:space="preserve">, D. 2011, The </w:t>
      </w:r>
      <w:r w:rsidR="000B06E9">
        <w:t>m</w:t>
      </w:r>
      <w:r>
        <w:t xml:space="preserve">ining </w:t>
      </w:r>
      <w:r w:rsidR="000B06E9">
        <w:t>i</w:t>
      </w:r>
      <w:r>
        <w:t xml:space="preserve">ndustry: From </w:t>
      </w:r>
      <w:r w:rsidR="000B06E9">
        <w:t>b</w:t>
      </w:r>
      <w:r>
        <w:t xml:space="preserve">ust to </w:t>
      </w:r>
      <w:r w:rsidR="000B06E9">
        <w:t>b</w:t>
      </w:r>
      <w:r>
        <w:t>oom, Research Discussion Paper, 2011–08, Reserve Bank of Australia, Sydney.</w:t>
      </w:r>
    </w:p>
    <w:p w14:paraId="1D0A711F" w14:textId="77777777" w:rsidR="00B15C33" w:rsidRDefault="00B15C33" w:rsidP="00042209">
      <w:pPr>
        <w:pStyle w:val="Reference"/>
      </w:pPr>
      <w:r>
        <w:t>Conway, P. 2016, Achieving New Zealand’s productivity potential, New Zealand Productivity Commission.</w:t>
      </w:r>
    </w:p>
    <w:p w14:paraId="1D0A7120" w14:textId="65F30DF4" w:rsidR="00B15C33" w:rsidRDefault="00E633E9" w:rsidP="00042209">
      <w:pPr>
        <w:pStyle w:val="Reference"/>
      </w:pPr>
      <w:r>
        <w:t>——</w:t>
      </w:r>
      <w:r w:rsidR="00B15C33">
        <w:t>, Meehan, L. and Parham, D. 2015, Who benefits from productivity growth? – The labour income share in New Zealand, Working Paper 2015/1, New Zealand Productivity Commission Working Paper, New Zealand Productivity Commission, Wellington.</w:t>
      </w:r>
    </w:p>
    <w:p w14:paraId="1D0A7121" w14:textId="77777777" w:rsidR="00B15C33" w:rsidRDefault="00B15C33" w:rsidP="00042209">
      <w:pPr>
        <w:pStyle w:val="Reference"/>
      </w:pPr>
      <w:r>
        <w:t xml:space="preserve">Cooney, M. 2016, Inequality: </w:t>
      </w:r>
      <w:r w:rsidRPr="000B06E9">
        <w:rPr>
          <w:i/>
        </w:rPr>
        <w:t>The Facts and the Future</w:t>
      </w:r>
      <w:r>
        <w:t>, Chifley Research Centre Inclusive Prosperity Commission.</w:t>
      </w:r>
    </w:p>
    <w:p w14:paraId="1D0A7122" w14:textId="77777777" w:rsidR="00B15C33" w:rsidRDefault="00B15C33" w:rsidP="00042209">
      <w:pPr>
        <w:pStyle w:val="Reference"/>
      </w:pPr>
      <w:proofErr w:type="spellStart"/>
      <w:r>
        <w:t>Corrado</w:t>
      </w:r>
      <w:proofErr w:type="spellEnd"/>
      <w:r>
        <w:t xml:space="preserve">, C., </w:t>
      </w:r>
      <w:proofErr w:type="spellStart"/>
      <w:r>
        <w:t>Hulten</w:t>
      </w:r>
      <w:proofErr w:type="spellEnd"/>
      <w:r>
        <w:t xml:space="preserve">, C. and </w:t>
      </w:r>
      <w:proofErr w:type="spellStart"/>
      <w:r>
        <w:t>Sichel</w:t>
      </w:r>
      <w:proofErr w:type="spellEnd"/>
      <w:r>
        <w:t xml:space="preserve">, D. 2005, ‘Measuring capital and technology: An expanded framework’, </w:t>
      </w:r>
      <w:r w:rsidRPr="000B4F5C">
        <w:rPr>
          <w:i/>
        </w:rPr>
        <w:t>Studies in Income and Wealth</w:t>
      </w:r>
      <w:r>
        <w:t>, vol. 65, Measuring Capital in the New Economy, pp. 11–41.</w:t>
      </w:r>
    </w:p>
    <w:p w14:paraId="1D0A7123" w14:textId="46A5002F" w:rsidR="00B15C33" w:rsidRDefault="00B15C33" w:rsidP="00042209">
      <w:pPr>
        <w:pStyle w:val="Reference"/>
      </w:pPr>
      <w:r>
        <w:t>——, —— and ——</w:t>
      </w:r>
      <w:r w:rsidR="0053562A">
        <w:t> </w:t>
      </w:r>
      <w:r>
        <w:t xml:space="preserve">2006, Intangible </w:t>
      </w:r>
      <w:r w:rsidR="000B06E9">
        <w:t>c</w:t>
      </w:r>
      <w:r>
        <w:t xml:space="preserve">apital and </w:t>
      </w:r>
      <w:r w:rsidR="000B06E9">
        <w:t>e</w:t>
      </w:r>
      <w:r>
        <w:t xml:space="preserve">conomic </w:t>
      </w:r>
      <w:r w:rsidR="000B06E9">
        <w:t>g</w:t>
      </w:r>
      <w:r>
        <w:t xml:space="preserve">rowth, </w:t>
      </w:r>
      <w:proofErr w:type="spellStart"/>
      <w:r>
        <w:t>NBER</w:t>
      </w:r>
      <w:proofErr w:type="spellEnd"/>
      <w:r>
        <w:t xml:space="preserve"> Working Paper, 11948, National Bureau of Economic Research, Cambridge, Massachusetts.</w:t>
      </w:r>
    </w:p>
    <w:p w14:paraId="1D0A7124" w14:textId="0858C1DB" w:rsidR="00B15C33" w:rsidRDefault="00B15C33" w:rsidP="00042209">
      <w:pPr>
        <w:pStyle w:val="Reference"/>
      </w:pPr>
      <w:r>
        <w:t xml:space="preserve">Cowen, T. 2011, </w:t>
      </w:r>
      <w:r w:rsidRPr="000B06E9">
        <w:rPr>
          <w:i/>
        </w:rPr>
        <w:t>The Great Stagnation: How America Ate All the Low</w:t>
      </w:r>
      <w:r w:rsidR="00EE434A" w:rsidRPr="000B06E9">
        <w:rPr>
          <w:i/>
        </w:rPr>
        <w:noBreakHyphen/>
      </w:r>
      <w:r w:rsidRPr="000B06E9">
        <w:rPr>
          <w:i/>
        </w:rPr>
        <w:t>Hanging Fruit of Modern History, Got Sick, and Will (Eventually) Feel Better</w:t>
      </w:r>
      <w:r>
        <w:t>, Dutton Adult.</w:t>
      </w:r>
    </w:p>
    <w:p w14:paraId="1D0A7125" w14:textId="2ADBF300" w:rsidR="00B15C33" w:rsidRDefault="00B15C33" w:rsidP="00042209">
      <w:pPr>
        <w:pStyle w:val="Reference"/>
      </w:pPr>
      <w:r>
        <w:t xml:space="preserve">Cowgill, M. 2013, A </w:t>
      </w:r>
      <w:r w:rsidR="000B06E9">
        <w:t>s</w:t>
      </w:r>
      <w:r>
        <w:t xml:space="preserve">hrinking </w:t>
      </w:r>
      <w:r w:rsidR="000B06E9">
        <w:t>s</w:t>
      </w:r>
      <w:r>
        <w:t xml:space="preserve">lice of the </w:t>
      </w:r>
      <w:r w:rsidR="000B06E9">
        <w:t>p</w:t>
      </w:r>
      <w:r>
        <w:t>ie, The Working Australia Papers, 1, Australian Council of Trade Unions.</w:t>
      </w:r>
    </w:p>
    <w:p w14:paraId="1D0A7126" w14:textId="65BE74C9" w:rsidR="00B15C33" w:rsidRDefault="00B15C33" w:rsidP="00042209">
      <w:pPr>
        <w:pStyle w:val="Reference"/>
      </w:pPr>
      <w:r>
        <w:t xml:space="preserve">Davis, G. and Rahman, J. 2006, Perspectives on Australia’s </w:t>
      </w:r>
      <w:r w:rsidR="000B06E9">
        <w:t>p</w:t>
      </w:r>
      <w:r>
        <w:t xml:space="preserve">roductivity </w:t>
      </w:r>
      <w:r w:rsidR="000B06E9">
        <w:t>p</w:t>
      </w:r>
      <w:r>
        <w:t>rospects, Working Paper, Treasury Working Paper, The Treasury.</w:t>
      </w:r>
    </w:p>
    <w:p w14:paraId="1D0A7127" w14:textId="31AB0148" w:rsidR="00B15C33" w:rsidRDefault="00B15C33" w:rsidP="00042209">
      <w:pPr>
        <w:pStyle w:val="Reference"/>
      </w:pPr>
      <w:proofErr w:type="spellStart"/>
      <w:r>
        <w:t>Dollman</w:t>
      </w:r>
      <w:proofErr w:type="spellEnd"/>
      <w:r>
        <w:t xml:space="preserve">, R., Kaplan, G., La Cava, G. and Stone, T. 2015, Household </w:t>
      </w:r>
      <w:r w:rsidR="000B06E9">
        <w:t>e</w:t>
      </w:r>
      <w:r>
        <w:t xml:space="preserve">conomic </w:t>
      </w:r>
      <w:r w:rsidR="000B06E9">
        <w:t>i</w:t>
      </w:r>
      <w:r>
        <w:t>nequality in Australia, Research Discussion Paper, December, Reserve Bank of Australia.</w:t>
      </w:r>
    </w:p>
    <w:p w14:paraId="1D0A7128" w14:textId="237900D9" w:rsidR="00B15C33" w:rsidRDefault="00B15C33" w:rsidP="00042209">
      <w:pPr>
        <w:pStyle w:val="Reference"/>
      </w:pPr>
      <w:r>
        <w:t xml:space="preserve">Dolman, B. 2009, ‘What </w:t>
      </w:r>
      <w:r w:rsidR="000B06E9">
        <w:t>h</w:t>
      </w:r>
      <w:r>
        <w:t xml:space="preserve">appened to Australia’s </w:t>
      </w:r>
      <w:r w:rsidR="000B06E9">
        <w:t>p</w:t>
      </w:r>
      <w:r>
        <w:t xml:space="preserve">roductivity </w:t>
      </w:r>
      <w:r w:rsidR="000B06E9">
        <w:t>s</w:t>
      </w:r>
      <w:r>
        <w:t xml:space="preserve">urge?’, </w:t>
      </w:r>
      <w:r w:rsidRPr="000B4F5C">
        <w:rPr>
          <w:i/>
        </w:rPr>
        <w:t>The Australian Economic Review</w:t>
      </w:r>
      <w:r>
        <w:t>, vol. 42, no. 3, pp. 243–263.</w:t>
      </w:r>
    </w:p>
    <w:p w14:paraId="1D0A7129" w14:textId="650424C0" w:rsidR="00B15C33" w:rsidRDefault="00B15C33" w:rsidP="000B4F5C">
      <w:pPr>
        <w:pStyle w:val="Reference"/>
      </w:pPr>
      <w:r>
        <w:t xml:space="preserve">—— and </w:t>
      </w:r>
      <w:proofErr w:type="spellStart"/>
      <w:r>
        <w:t>Gruen</w:t>
      </w:r>
      <w:proofErr w:type="spellEnd"/>
      <w:r>
        <w:t>, D. 2012, ‘Prod</w:t>
      </w:r>
      <w:r w:rsidR="000B4F5C">
        <w:t xml:space="preserve">uctivity and </w:t>
      </w:r>
      <w:r w:rsidR="000B06E9">
        <w:t>s</w:t>
      </w:r>
      <w:r w:rsidR="000B4F5C">
        <w:t>tructural Change’, Address to the Australian Conference of Economists, Melbourne, 10 July, Australian Treasury</w:t>
      </w:r>
    </w:p>
    <w:p w14:paraId="1D0A712A" w14:textId="77777777" w:rsidR="00B15C33" w:rsidRDefault="00B15C33" w:rsidP="00042209">
      <w:pPr>
        <w:pStyle w:val="Reference"/>
      </w:pPr>
      <w:r>
        <w:t xml:space="preserve">——, Parham, D. and Zheng, S. 2007, </w:t>
      </w:r>
      <w:r w:rsidRPr="000B06E9">
        <w:rPr>
          <w:i/>
        </w:rPr>
        <w:t>Can Australia Match US Productivity Performance?</w:t>
      </w:r>
      <w:r>
        <w:t>, Staff Working Paper, Productivity Commission.</w:t>
      </w:r>
    </w:p>
    <w:p w14:paraId="1D0A712B" w14:textId="3441CADE" w:rsidR="00B15C33" w:rsidRDefault="00B15C33" w:rsidP="00042209">
      <w:pPr>
        <w:pStyle w:val="Reference"/>
      </w:pPr>
      <w:r>
        <w:t xml:space="preserve">Elias, S. and Evans, C. 2014, </w:t>
      </w:r>
      <w:r w:rsidR="000B06E9">
        <w:t>‘</w:t>
      </w:r>
      <w:r>
        <w:t xml:space="preserve">Cycles in </w:t>
      </w:r>
      <w:r w:rsidR="000B06E9">
        <w:t>n</w:t>
      </w:r>
      <w:r>
        <w:t>on</w:t>
      </w:r>
      <w:r w:rsidR="00EE434A">
        <w:noBreakHyphen/>
      </w:r>
      <w:r>
        <w:t xml:space="preserve">mining </w:t>
      </w:r>
      <w:r w:rsidR="000B06E9">
        <w:t>b</w:t>
      </w:r>
      <w:r>
        <w:t xml:space="preserve">usiness </w:t>
      </w:r>
      <w:r w:rsidR="000B06E9">
        <w:t>i</w:t>
      </w:r>
      <w:r>
        <w:t>nvestment</w:t>
      </w:r>
      <w:r w:rsidR="000B06E9">
        <w:t>’</w:t>
      </w:r>
      <w:r>
        <w:t xml:space="preserve">, </w:t>
      </w:r>
      <w:r w:rsidRPr="000B06E9">
        <w:rPr>
          <w:i/>
        </w:rPr>
        <w:t>Bulletin</w:t>
      </w:r>
      <w:r>
        <w:t>, December Quarter 2014, Reserve Bank Australia, Sydney.</w:t>
      </w:r>
    </w:p>
    <w:p w14:paraId="1D0A712C" w14:textId="0D2687C4" w:rsidR="00B15C33" w:rsidRDefault="00B15C33" w:rsidP="00042209">
      <w:pPr>
        <w:pStyle w:val="Reference"/>
      </w:pPr>
      <w:proofErr w:type="spellStart"/>
      <w:r>
        <w:lastRenderedPageBreak/>
        <w:t>Elnasri</w:t>
      </w:r>
      <w:proofErr w:type="spellEnd"/>
      <w:r>
        <w:t xml:space="preserve">, A. and Fox, K. 2014, The </w:t>
      </w:r>
      <w:r w:rsidR="000B06E9">
        <w:t>c</w:t>
      </w:r>
      <w:r>
        <w:t xml:space="preserve">ontribution of </w:t>
      </w:r>
      <w:r w:rsidR="000B06E9">
        <w:t>r</w:t>
      </w:r>
      <w:r>
        <w:t xml:space="preserve">esearch and </w:t>
      </w:r>
      <w:r w:rsidR="000B06E9">
        <w:t>i</w:t>
      </w:r>
      <w:r>
        <w:t xml:space="preserve">nnovation to </w:t>
      </w:r>
      <w:r w:rsidR="000B06E9">
        <w:t>p</w:t>
      </w:r>
      <w:r>
        <w:t xml:space="preserve">roductivity and </w:t>
      </w:r>
      <w:r w:rsidR="000B06E9">
        <w:t>e</w:t>
      </w:r>
      <w:r>
        <w:t xml:space="preserve">conomic </w:t>
      </w:r>
      <w:r w:rsidR="000B06E9">
        <w:t>g</w:t>
      </w:r>
      <w:r>
        <w:t>rowth, Australian School of Business Research Paper, No. 2014 ECON 08, Sydney.</w:t>
      </w:r>
    </w:p>
    <w:p w14:paraId="1D0A712D" w14:textId="2BB1A721" w:rsidR="00B15C33" w:rsidRDefault="00B15C33" w:rsidP="00042209">
      <w:pPr>
        <w:pStyle w:val="Reference"/>
      </w:pPr>
      <w:proofErr w:type="spellStart"/>
      <w:r>
        <w:t>Erixon</w:t>
      </w:r>
      <w:proofErr w:type="spellEnd"/>
      <w:r>
        <w:t xml:space="preserve">, F. and </w:t>
      </w:r>
      <w:proofErr w:type="spellStart"/>
      <w:r>
        <w:t>Weigel</w:t>
      </w:r>
      <w:proofErr w:type="spellEnd"/>
      <w:r>
        <w:t xml:space="preserve">, B. 2016, </w:t>
      </w:r>
      <w:r w:rsidRPr="000B06E9">
        <w:rPr>
          <w:i/>
        </w:rPr>
        <w:t xml:space="preserve">The Innovation Illusion: </w:t>
      </w:r>
      <w:r w:rsidR="000B06E9" w:rsidRPr="000B06E9">
        <w:rPr>
          <w:i/>
        </w:rPr>
        <w:t>H</w:t>
      </w:r>
      <w:r w:rsidRPr="000B06E9">
        <w:rPr>
          <w:i/>
        </w:rPr>
        <w:t xml:space="preserve">ow </w:t>
      </w:r>
      <w:r w:rsidR="000B06E9" w:rsidRPr="000B06E9">
        <w:rPr>
          <w:i/>
        </w:rPr>
        <w:t>so Little is Created by so Many Working so H</w:t>
      </w:r>
      <w:r w:rsidRPr="000B06E9">
        <w:rPr>
          <w:i/>
        </w:rPr>
        <w:t>ard</w:t>
      </w:r>
      <w:r>
        <w:t>, Yale University Press, New Haven.</w:t>
      </w:r>
    </w:p>
    <w:p w14:paraId="1D0A712E" w14:textId="08FE625E" w:rsidR="00B15C33" w:rsidRDefault="000B06E9" w:rsidP="00042209">
      <w:pPr>
        <w:pStyle w:val="Reference"/>
      </w:pPr>
      <w:proofErr w:type="spellStart"/>
      <w:r>
        <w:t>Eslake</w:t>
      </w:r>
      <w:proofErr w:type="spellEnd"/>
      <w:r>
        <w:t xml:space="preserve">, S. 2011, </w:t>
      </w:r>
      <w:r w:rsidR="00B15C33">
        <w:t xml:space="preserve">Productivity: The </w:t>
      </w:r>
      <w:proofErr w:type="spellStart"/>
      <w:r>
        <w:t>l</w:t>
      </w:r>
      <w:r w:rsidR="00B15C33">
        <w:t>ost</w:t>
      </w:r>
      <w:proofErr w:type="spellEnd"/>
      <w:r w:rsidR="00B15C33">
        <w:t xml:space="preserve"> </w:t>
      </w:r>
      <w:r>
        <w:t>decade</w:t>
      </w:r>
      <w:r w:rsidR="00B15C33">
        <w:t xml:space="preserve">, presented at </w:t>
      </w:r>
      <w:r w:rsidR="00B517F6">
        <w:t>t</w:t>
      </w:r>
      <w:r w:rsidR="00B15C33">
        <w:t xml:space="preserve">he Australian </w:t>
      </w:r>
      <w:r w:rsidR="00B517F6">
        <w:t>e</w:t>
      </w:r>
      <w:r w:rsidR="00B15C33">
        <w:t xml:space="preserve">conomy in the </w:t>
      </w:r>
      <w:proofErr w:type="spellStart"/>
      <w:r w:rsidR="00B15C33">
        <w:t>2000s</w:t>
      </w:r>
      <w:proofErr w:type="spellEnd"/>
      <w:r w:rsidR="00B15C33">
        <w:t>, Sydney, Reserve Bank of Australia.</w:t>
      </w:r>
    </w:p>
    <w:p w14:paraId="1D0A712F" w14:textId="6632A9BD" w:rsidR="00B15C33" w:rsidRDefault="00B15C33" w:rsidP="00042209">
      <w:pPr>
        <w:pStyle w:val="Reference"/>
      </w:pPr>
      <w:r>
        <w:t xml:space="preserve">Fernald, J. </w:t>
      </w:r>
      <w:proofErr w:type="spellStart"/>
      <w:r>
        <w:t>2014a</w:t>
      </w:r>
      <w:proofErr w:type="spellEnd"/>
      <w:r>
        <w:t xml:space="preserve">, Productivity and </w:t>
      </w:r>
      <w:r w:rsidR="000B06E9">
        <w:t>p</w:t>
      </w:r>
      <w:r>
        <w:t xml:space="preserve">otential </w:t>
      </w:r>
      <w:r w:rsidR="000B06E9">
        <w:t>o</w:t>
      </w:r>
      <w:r>
        <w:t xml:space="preserve">utput </w:t>
      </w:r>
      <w:r w:rsidR="000B06E9">
        <w:t>b</w:t>
      </w:r>
      <w:r>
        <w:t xml:space="preserve">efore, </w:t>
      </w:r>
      <w:r w:rsidR="000B06E9">
        <w:t>d</w:t>
      </w:r>
      <w:r>
        <w:t xml:space="preserve">uring and </w:t>
      </w:r>
      <w:r w:rsidR="000B06E9">
        <w:t>a</w:t>
      </w:r>
      <w:r>
        <w:t>fter the Great Recession, Federal Reserve Bank of San Francisco Working Paper Series, Federal Reserve Bank of San Francisco.</w:t>
      </w:r>
    </w:p>
    <w:p w14:paraId="1D0A7130" w14:textId="04079AF0" w:rsidR="00B15C33" w:rsidRDefault="00B15C33" w:rsidP="00042209">
      <w:pPr>
        <w:pStyle w:val="Reference"/>
      </w:pPr>
      <w:r>
        <w:t>——</w:t>
      </w:r>
      <w:r w:rsidR="0053562A">
        <w:t> </w:t>
      </w:r>
      <w:proofErr w:type="spellStart"/>
      <w:r>
        <w:t>2014b</w:t>
      </w:r>
      <w:proofErr w:type="spellEnd"/>
      <w:r>
        <w:t xml:space="preserve">, </w:t>
      </w:r>
      <w:r w:rsidR="00B31435">
        <w:t>‘</w:t>
      </w:r>
      <w:r>
        <w:t xml:space="preserve">Productivity and </w:t>
      </w:r>
      <w:r w:rsidR="000B06E9">
        <w:t>p</w:t>
      </w:r>
      <w:r>
        <w:t xml:space="preserve">otential </w:t>
      </w:r>
      <w:r w:rsidR="000B06E9">
        <w:t>o</w:t>
      </w:r>
      <w:r>
        <w:t xml:space="preserve">utput </w:t>
      </w:r>
      <w:r w:rsidR="000B06E9">
        <w:t>b</w:t>
      </w:r>
      <w:r>
        <w:t xml:space="preserve">efore, </w:t>
      </w:r>
      <w:r w:rsidR="000B06E9">
        <w:t>d</w:t>
      </w:r>
      <w:r>
        <w:t xml:space="preserve">uring, and </w:t>
      </w:r>
      <w:r w:rsidR="000B06E9">
        <w:t>a</w:t>
      </w:r>
      <w:r>
        <w:t>fter the Great Recession</w:t>
      </w:r>
      <w:r w:rsidR="00B31435">
        <w:t>’</w:t>
      </w:r>
      <w:r>
        <w:t xml:space="preserve">, </w:t>
      </w:r>
      <w:proofErr w:type="spellStart"/>
      <w:r w:rsidRPr="000B06E9">
        <w:rPr>
          <w:i/>
        </w:rPr>
        <w:t>NBER</w:t>
      </w:r>
      <w:proofErr w:type="spellEnd"/>
      <w:r w:rsidRPr="000B06E9">
        <w:rPr>
          <w:i/>
        </w:rPr>
        <w:t xml:space="preserve"> Macroeconomics Annual 2014</w:t>
      </w:r>
      <w:r>
        <w:t xml:space="preserve">, </w:t>
      </w:r>
      <w:r w:rsidR="000B06E9">
        <w:t xml:space="preserve">Volume 29, </w:t>
      </w:r>
      <w:r>
        <w:t>National Bureau of Economic Research.</w:t>
      </w:r>
    </w:p>
    <w:p w14:paraId="1D0A7131" w14:textId="62F26FD0" w:rsidR="00B15C33" w:rsidRDefault="00B15C33" w:rsidP="00042209">
      <w:pPr>
        <w:pStyle w:val="Reference"/>
      </w:pPr>
      <w:r>
        <w:t xml:space="preserve">Fletcher, M. and </w:t>
      </w:r>
      <w:proofErr w:type="spellStart"/>
      <w:r>
        <w:t>Guttman</w:t>
      </w:r>
      <w:proofErr w:type="spellEnd"/>
      <w:r>
        <w:t xml:space="preserve">, B. 2013, </w:t>
      </w:r>
      <w:r w:rsidR="00B31435">
        <w:t>‘</w:t>
      </w:r>
      <w:r>
        <w:t>Income inequality in Australia</w:t>
      </w:r>
      <w:r w:rsidR="00B31435">
        <w:t>’</w:t>
      </w:r>
      <w:r>
        <w:t xml:space="preserve">, </w:t>
      </w:r>
      <w:r w:rsidRPr="000B4F5C">
        <w:rPr>
          <w:i/>
        </w:rPr>
        <w:t>Economic Roundup</w:t>
      </w:r>
      <w:r>
        <w:t>, December, Australian Government Treasury.</w:t>
      </w:r>
    </w:p>
    <w:p w14:paraId="1D0A7132" w14:textId="5C41133B" w:rsidR="00B15C33" w:rsidRDefault="00B15C33" w:rsidP="00042209">
      <w:pPr>
        <w:pStyle w:val="Reference"/>
      </w:pPr>
      <w:r>
        <w:t xml:space="preserve">Foster, R.A. 1996, </w:t>
      </w:r>
      <w:r w:rsidRPr="00B1351D">
        <w:rPr>
          <w:i/>
        </w:rPr>
        <w:t xml:space="preserve">Australian </w:t>
      </w:r>
      <w:r w:rsidR="00B1351D" w:rsidRPr="00B1351D">
        <w:rPr>
          <w:i/>
        </w:rPr>
        <w:t>E</w:t>
      </w:r>
      <w:r w:rsidRPr="00B1351D">
        <w:rPr>
          <w:i/>
        </w:rPr>
        <w:t xml:space="preserve">conomic </w:t>
      </w:r>
      <w:r w:rsidR="00B1351D" w:rsidRPr="00B1351D">
        <w:rPr>
          <w:i/>
        </w:rPr>
        <w:t>S</w:t>
      </w:r>
      <w:r w:rsidRPr="00B1351D">
        <w:rPr>
          <w:i/>
        </w:rPr>
        <w:t>tatistics 1949</w:t>
      </w:r>
      <w:r w:rsidR="00EE434A" w:rsidRPr="00B1351D">
        <w:rPr>
          <w:i/>
        </w:rPr>
        <w:noBreakHyphen/>
      </w:r>
      <w:r w:rsidRPr="00B1351D">
        <w:rPr>
          <w:i/>
        </w:rPr>
        <w:t>50 to 1994</w:t>
      </w:r>
      <w:r w:rsidR="00EE434A" w:rsidRPr="00B1351D">
        <w:rPr>
          <w:i/>
        </w:rPr>
        <w:noBreakHyphen/>
      </w:r>
      <w:r w:rsidRPr="00B1351D">
        <w:rPr>
          <w:i/>
        </w:rPr>
        <w:t>95</w:t>
      </w:r>
      <w:r>
        <w:t>, Occasional Paper No. 8, Reserve Bank of Australia.</w:t>
      </w:r>
    </w:p>
    <w:p w14:paraId="1D0A7133" w14:textId="683B4633" w:rsidR="00B15C33" w:rsidRDefault="005F6195" w:rsidP="00042209">
      <w:pPr>
        <w:pStyle w:val="Reference"/>
      </w:pPr>
      <w:r>
        <w:t xml:space="preserve">Frey, C. and Osborne, M. 2013, </w:t>
      </w:r>
      <w:r w:rsidR="00B15C33" w:rsidRPr="005F6195">
        <w:rPr>
          <w:i/>
        </w:rPr>
        <w:t xml:space="preserve">The </w:t>
      </w:r>
      <w:r w:rsidRPr="005F6195">
        <w:rPr>
          <w:i/>
        </w:rPr>
        <w:t>F</w:t>
      </w:r>
      <w:r w:rsidR="00B15C33" w:rsidRPr="005F6195">
        <w:rPr>
          <w:i/>
        </w:rPr>
        <w:t xml:space="preserve">uture of </w:t>
      </w:r>
      <w:r w:rsidRPr="005F6195">
        <w:rPr>
          <w:i/>
        </w:rPr>
        <w:t>E</w:t>
      </w:r>
      <w:r w:rsidR="00B15C33" w:rsidRPr="005F6195">
        <w:rPr>
          <w:i/>
        </w:rPr>
        <w:t xml:space="preserve">mployment: How </w:t>
      </w:r>
      <w:r w:rsidRPr="005F6195">
        <w:rPr>
          <w:i/>
        </w:rPr>
        <w:t>S</w:t>
      </w:r>
      <w:r w:rsidR="00B15C33" w:rsidRPr="005F6195">
        <w:rPr>
          <w:i/>
        </w:rPr>
        <w:t xml:space="preserve">usceptible are </w:t>
      </w:r>
      <w:r w:rsidRPr="005F6195">
        <w:rPr>
          <w:i/>
        </w:rPr>
        <w:t>J</w:t>
      </w:r>
      <w:r w:rsidR="00B517F6" w:rsidRPr="005F6195">
        <w:rPr>
          <w:i/>
        </w:rPr>
        <w:t>o</w:t>
      </w:r>
      <w:r w:rsidR="00B15C33" w:rsidRPr="005F6195">
        <w:rPr>
          <w:i/>
        </w:rPr>
        <w:t xml:space="preserve">bs to </w:t>
      </w:r>
      <w:r w:rsidRPr="005F6195">
        <w:rPr>
          <w:i/>
        </w:rPr>
        <w:t>Computerisation?</w:t>
      </w:r>
      <w:r w:rsidR="00B15C33">
        <w:t xml:space="preserve">, Oxford Martin </w:t>
      </w:r>
      <w:proofErr w:type="spellStart"/>
      <w:r w:rsidR="00B15C33">
        <w:t>Programme</w:t>
      </w:r>
      <w:proofErr w:type="spellEnd"/>
      <w:r w:rsidR="00B15C33">
        <w:t xml:space="preserve"> on Technology and Employment</w:t>
      </w:r>
      <w:r>
        <w:t>, September.</w:t>
      </w:r>
    </w:p>
    <w:p w14:paraId="1D0A7134" w14:textId="17FA2990" w:rsidR="00B15C33" w:rsidRDefault="00B15C33" w:rsidP="00042209">
      <w:pPr>
        <w:pStyle w:val="Reference"/>
      </w:pPr>
      <w:r>
        <w:t xml:space="preserve">Gabbitas, O. and Salma, U. 2016, </w:t>
      </w:r>
      <w:proofErr w:type="spellStart"/>
      <w:r w:rsidRPr="00B1351D">
        <w:rPr>
          <w:i/>
        </w:rPr>
        <w:t>VUMR</w:t>
      </w:r>
      <w:proofErr w:type="spellEnd"/>
      <w:r w:rsidRPr="00B1351D">
        <w:rPr>
          <w:i/>
        </w:rPr>
        <w:t xml:space="preserve"> Modelling Reference Case, 2009</w:t>
      </w:r>
      <w:r w:rsidR="00EE434A" w:rsidRPr="00B1351D">
        <w:rPr>
          <w:i/>
        </w:rPr>
        <w:noBreakHyphen/>
      </w:r>
      <w:r w:rsidRPr="00B1351D">
        <w:rPr>
          <w:i/>
        </w:rPr>
        <w:t>10 to 2059</w:t>
      </w:r>
      <w:r w:rsidR="00EE434A" w:rsidRPr="00B1351D">
        <w:rPr>
          <w:i/>
        </w:rPr>
        <w:noBreakHyphen/>
      </w:r>
      <w:r w:rsidRPr="00B1351D">
        <w:rPr>
          <w:i/>
        </w:rPr>
        <w:t>60</w:t>
      </w:r>
      <w:r>
        <w:t xml:space="preserve">, Staff Working Paper, </w:t>
      </w:r>
      <w:r w:rsidR="00E633E9">
        <w:t>28 </w:t>
      </w:r>
      <w:r>
        <w:t>November, Productivity Commission.</w:t>
      </w:r>
    </w:p>
    <w:p w14:paraId="1D0A7135" w14:textId="77777777" w:rsidR="00B15C33" w:rsidRDefault="00B15C33" w:rsidP="00042209">
      <w:pPr>
        <w:pStyle w:val="Reference"/>
      </w:pPr>
      <w:r>
        <w:t xml:space="preserve">Gordon, J., Zhao, S. and </w:t>
      </w:r>
      <w:proofErr w:type="spellStart"/>
      <w:r>
        <w:t>Gretton</w:t>
      </w:r>
      <w:proofErr w:type="spellEnd"/>
      <w:r>
        <w:t xml:space="preserve">, P. 2015, </w:t>
      </w:r>
      <w:r w:rsidRPr="00D36558">
        <w:rPr>
          <w:i/>
        </w:rPr>
        <w:t>On Productivity: Concepts and Measurement</w:t>
      </w:r>
      <w:r>
        <w:t>, February, Productivity Commission.</w:t>
      </w:r>
    </w:p>
    <w:p w14:paraId="1D0A7136" w14:textId="7C8EFDCC" w:rsidR="00B15C33" w:rsidRDefault="00D36558" w:rsidP="00042209">
      <w:pPr>
        <w:pStyle w:val="Reference"/>
      </w:pPr>
      <w:r>
        <w:t xml:space="preserve">Gordon, R. 2012, </w:t>
      </w:r>
      <w:r w:rsidR="00B15C33">
        <w:t>Is U.S. economic growth over? faltering innovat</w:t>
      </w:r>
      <w:r>
        <w:t>ion confronts the six headwinds</w:t>
      </w:r>
      <w:r w:rsidR="00B15C33">
        <w:t xml:space="preserve">, </w:t>
      </w:r>
      <w:proofErr w:type="spellStart"/>
      <w:r w:rsidR="00B15C33">
        <w:t>NBER</w:t>
      </w:r>
      <w:proofErr w:type="spellEnd"/>
      <w:r w:rsidR="00B15C33">
        <w:t xml:space="preserve"> Working Paper 18315.</w:t>
      </w:r>
    </w:p>
    <w:p w14:paraId="1D0A7137" w14:textId="3DE166F6" w:rsidR="00B15C33" w:rsidRDefault="00B15C33" w:rsidP="00042209">
      <w:pPr>
        <w:pStyle w:val="Reference"/>
      </w:pPr>
      <w:r>
        <w:t>——</w:t>
      </w:r>
      <w:r w:rsidR="0053562A">
        <w:t> </w:t>
      </w:r>
      <w:r w:rsidR="00D36558">
        <w:t xml:space="preserve">2014, </w:t>
      </w:r>
      <w:r>
        <w:t>The demise of U.S. economic growth: Restate</w:t>
      </w:r>
      <w:r w:rsidR="00D36558">
        <w:t>ment, rebuttal, and reflections</w:t>
      </w:r>
      <w:r>
        <w:t xml:space="preserve">, </w:t>
      </w:r>
      <w:proofErr w:type="spellStart"/>
      <w:r>
        <w:t>NBER</w:t>
      </w:r>
      <w:proofErr w:type="spellEnd"/>
      <w:r>
        <w:t xml:space="preserve"> Working Papers 19895.</w:t>
      </w:r>
    </w:p>
    <w:p w14:paraId="1D0A7138" w14:textId="5D9822D5" w:rsidR="00B15C33" w:rsidRDefault="00B62CB5" w:rsidP="00042209">
      <w:pPr>
        <w:pStyle w:val="Reference"/>
      </w:pPr>
      <w:r>
        <w:t>—— </w:t>
      </w:r>
      <w:r w:rsidR="00B15C33">
        <w:t xml:space="preserve">2015, ‘Secular stagnation on the supply side: US productivity growth in the long run’, </w:t>
      </w:r>
      <w:proofErr w:type="spellStart"/>
      <w:r w:rsidR="00B15C33" w:rsidRPr="000B4F5C">
        <w:rPr>
          <w:i/>
        </w:rPr>
        <w:t>Digiworld</w:t>
      </w:r>
      <w:proofErr w:type="spellEnd"/>
      <w:r w:rsidR="00B15C33" w:rsidRPr="000B4F5C">
        <w:rPr>
          <w:i/>
        </w:rPr>
        <w:t xml:space="preserve"> Economic Journal</w:t>
      </w:r>
      <w:r w:rsidR="00B15C33">
        <w:t>, vol. 100, no. 4, pp. 19–45.</w:t>
      </w:r>
    </w:p>
    <w:p w14:paraId="1D0A7139" w14:textId="04ED60F8" w:rsidR="00B15C33" w:rsidRDefault="00B15C33" w:rsidP="00042209">
      <w:pPr>
        <w:pStyle w:val="Reference"/>
      </w:pPr>
      <w:proofErr w:type="spellStart"/>
      <w:r>
        <w:t>Graetz</w:t>
      </w:r>
      <w:proofErr w:type="spellEnd"/>
      <w:r>
        <w:t xml:space="preserve">, G. and Michaels, G. 2015, </w:t>
      </w:r>
      <w:r w:rsidR="00D36558">
        <w:t>R</w:t>
      </w:r>
      <w:r>
        <w:t xml:space="preserve">obots at </w:t>
      </w:r>
      <w:r w:rsidR="00D36558">
        <w:t>w</w:t>
      </w:r>
      <w:r>
        <w:t>ork, CEP Discussion Paper, March, 1335, Centre for Economic Performance LSE.</w:t>
      </w:r>
    </w:p>
    <w:p w14:paraId="1D0A713A" w14:textId="77777777" w:rsidR="00B15C33" w:rsidRDefault="00B15C33" w:rsidP="00042209">
      <w:pPr>
        <w:pStyle w:val="Reference"/>
      </w:pPr>
      <w:r>
        <w:t xml:space="preserve">Greenville, J., </w:t>
      </w:r>
      <w:proofErr w:type="spellStart"/>
      <w:r>
        <w:t>Pobke</w:t>
      </w:r>
      <w:proofErr w:type="spellEnd"/>
      <w:r>
        <w:t xml:space="preserve">, C. and Rogers, N. 2013, </w:t>
      </w:r>
      <w:r w:rsidRPr="000B4F5C">
        <w:rPr>
          <w:i/>
        </w:rPr>
        <w:t>Trends in the Distribution of Income in Australia</w:t>
      </w:r>
      <w:r>
        <w:t>, Staff Working Paper, Productivity Commission, Canberra.</w:t>
      </w:r>
    </w:p>
    <w:p w14:paraId="1D0A713B" w14:textId="0AB88506" w:rsidR="00B15C33" w:rsidRDefault="00B15C33" w:rsidP="00042209">
      <w:pPr>
        <w:pStyle w:val="Reference"/>
      </w:pPr>
      <w:proofErr w:type="spellStart"/>
      <w:r>
        <w:t>Hajkowicz</w:t>
      </w:r>
      <w:proofErr w:type="spellEnd"/>
      <w:r>
        <w:t xml:space="preserve">, S., </w:t>
      </w:r>
      <w:proofErr w:type="spellStart"/>
      <w:r>
        <w:t>Reeson</w:t>
      </w:r>
      <w:proofErr w:type="spellEnd"/>
      <w:r>
        <w:t xml:space="preserve">, A., Rudd, L., </w:t>
      </w:r>
      <w:proofErr w:type="spellStart"/>
      <w:r>
        <w:t>Bratanova</w:t>
      </w:r>
      <w:proofErr w:type="spellEnd"/>
      <w:r>
        <w:t xml:space="preserve">, A., </w:t>
      </w:r>
      <w:proofErr w:type="spellStart"/>
      <w:r>
        <w:t>Hodgers</w:t>
      </w:r>
      <w:proofErr w:type="spellEnd"/>
      <w:r>
        <w:t xml:space="preserve">, L., Mason, C. and Boughen, N. 2016, </w:t>
      </w:r>
      <w:r w:rsidRPr="00D36558">
        <w:rPr>
          <w:i/>
        </w:rPr>
        <w:t>Tomorrow’s Digitally Ena</w:t>
      </w:r>
      <w:r w:rsidR="00D36558" w:rsidRPr="00D36558">
        <w:rPr>
          <w:i/>
        </w:rPr>
        <w:t>bled Workforce: Megatrends and Scenarios for Jobs and E</w:t>
      </w:r>
      <w:r w:rsidRPr="00D36558">
        <w:rPr>
          <w:i/>
        </w:rPr>
        <w:t>m</w:t>
      </w:r>
      <w:r w:rsidR="00D36558" w:rsidRPr="00D36558">
        <w:rPr>
          <w:i/>
        </w:rPr>
        <w:t>ployment in Australia over the Coming Twenty Y</w:t>
      </w:r>
      <w:r w:rsidRPr="00D36558">
        <w:rPr>
          <w:i/>
        </w:rPr>
        <w:t>ears</w:t>
      </w:r>
      <w:r>
        <w:t>, January, CSIRO, Brisbane.</w:t>
      </w:r>
    </w:p>
    <w:p w14:paraId="1D0A713C" w14:textId="6A3960E0" w:rsidR="00B15C33" w:rsidRDefault="00B15C33" w:rsidP="00042209">
      <w:pPr>
        <w:pStyle w:val="Reference"/>
      </w:pPr>
      <w:r>
        <w:lastRenderedPageBreak/>
        <w:t xml:space="preserve">Hansen, A.H. 1938, </w:t>
      </w:r>
      <w:r w:rsidR="00D36558">
        <w:rPr>
          <w:i/>
        </w:rPr>
        <w:t>Full Recovery or S</w:t>
      </w:r>
      <w:r w:rsidRPr="000B4F5C">
        <w:rPr>
          <w:i/>
        </w:rPr>
        <w:t>tagnation?</w:t>
      </w:r>
      <w:r>
        <w:t>, Norton, New York.</w:t>
      </w:r>
    </w:p>
    <w:p w14:paraId="1D0A713D" w14:textId="558FFEBE" w:rsidR="00B15C33" w:rsidRDefault="00B15C33" w:rsidP="00042209">
      <w:pPr>
        <w:pStyle w:val="Reference"/>
      </w:pPr>
      <w:r>
        <w:t>——</w:t>
      </w:r>
      <w:r w:rsidR="0053562A">
        <w:t> </w:t>
      </w:r>
      <w:r>
        <w:t xml:space="preserve">1939, ‘Economic </w:t>
      </w:r>
      <w:r w:rsidR="00D36558">
        <w:t>p</w:t>
      </w:r>
      <w:r>
        <w:t xml:space="preserve">rogress and </w:t>
      </w:r>
      <w:r w:rsidR="00D36558">
        <w:t>d</w:t>
      </w:r>
      <w:r>
        <w:t xml:space="preserve">eclining </w:t>
      </w:r>
      <w:r w:rsidR="00D36558">
        <w:t>p</w:t>
      </w:r>
      <w:r>
        <w:t xml:space="preserve">opulation </w:t>
      </w:r>
      <w:r w:rsidR="00D36558">
        <w:t>g</w:t>
      </w:r>
      <w:r>
        <w:t xml:space="preserve">rowth’, </w:t>
      </w:r>
      <w:r w:rsidRPr="000B4F5C">
        <w:rPr>
          <w:i/>
        </w:rPr>
        <w:t>The American Economic Review</w:t>
      </w:r>
      <w:r>
        <w:t>, vol. 29, pp. 1–15.</w:t>
      </w:r>
    </w:p>
    <w:p w14:paraId="1D0A713F" w14:textId="2FA68233" w:rsidR="00B15C33" w:rsidRDefault="00B15C33" w:rsidP="00042209">
      <w:pPr>
        <w:pStyle w:val="Reference"/>
      </w:pPr>
      <w:proofErr w:type="spellStart"/>
      <w:r>
        <w:t>Hlatshwayo</w:t>
      </w:r>
      <w:proofErr w:type="spellEnd"/>
      <w:r>
        <w:t xml:space="preserve">, S. and Spence, M. 2014, ‘Demand and </w:t>
      </w:r>
      <w:r w:rsidR="00D36558">
        <w:t>d</w:t>
      </w:r>
      <w:r>
        <w:t xml:space="preserve">efective </w:t>
      </w:r>
      <w:r w:rsidR="00D36558">
        <w:t>g</w:t>
      </w:r>
      <w:r>
        <w:t xml:space="preserve">rowth </w:t>
      </w:r>
      <w:r w:rsidR="00D36558">
        <w:t>p</w:t>
      </w:r>
      <w:r>
        <w:t xml:space="preserve">atterns: The </w:t>
      </w:r>
      <w:r w:rsidR="00D36558">
        <w:t>r</w:t>
      </w:r>
      <w:r>
        <w:t xml:space="preserve">ole of the </w:t>
      </w:r>
      <w:r w:rsidR="00D36558">
        <w:t>t</w:t>
      </w:r>
      <w:r>
        <w:t xml:space="preserve">radable and </w:t>
      </w:r>
      <w:r w:rsidR="00D36558">
        <w:t>n</w:t>
      </w:r>
      <w:r>
        <w:t>on</w:t>
      </w:r>
      <w:r w:rsidR="00EE434A">
        <w:noBreakHyphen/>
      </w:r>
      <w:r>
        <w:t xml:space="preserve">tradable </w:t>
      </w:r>
      <w:r w:rsidR="00D36558">
        <w:t>s</w:t>
      </w:r>
      <w:r>
        <w:t xml:space="preserve">ectors in an </w:t>
      </w:r>
      <w:r w:rsidR="00D36558">
        <w:t>o</w:t>
      </w:r>
      <w:r>
        <w:t xml:space="preserve">pen </w:t>
      </w:r>
      <w:r w:rsidR="00D36558">
        <w:t>e</w:t>
      </w:r>
      <w:r>
        <w:t xml:space="preserve">conomy’, </w:t>
      </w:r>
      <w:r w:rsidRPr="000B4F5C">
        <w:rPr>
          <w:i/>
        </w:rPr>
        <w:t>American Economic Review</w:t>
      </w:r>
      <w:r>
        <w:t xml:space="preserve">, vol. 104, </w:t>
      </w:r>
      <w:r w:rsidR="000B4F5C">
        <w:t>n</w:t>
      </w:r>
      <w:r>
        <w:t>o.</w:t>
      </w:r>
      <w:r w:rsidR="000B4F5C">
        <w:t> </w:t>
      </w:r>
      <w:r>
        <w:t>5</w:t>
      </w:r>
      <w:r w:rsidR="00EE434A">
        <w:t> </w:t>
      </w:r>
      <w:r w:rsidR="000B4F5C">
        <w:t xml:space="preserve">, </w:t>
      </w:r>
      <w:r>
        <w:t>May 2014, p</w:t>
      </w:r>
      <w:r w:rsidR="008265A6">
        <w:t>p</w:t>
      </w:r>
      <w:r>
        <w:t>. 272</w:t>
      </w:r>
      <w:r w:rsidR="00166F83">
        <w:t>–</w:t>
      </w:r>
      <w:r>
        <w:t>277.</w:t>
      </w:r>
    </w:p>
    <w:p w14:paraId="1D0A7141" w14:textId="51D030FD" w:rsidR="00B15C33" w:rsidRDefault="00B15C33" w:rsidP="00042209">
      <w:pPr>
        <w:pStyle w:val="Reference"/>
      </w:pPr>
      <w:r>
        <w:t xml:space="preserve">IMF </w:t>
      </w:r>
      <w:r w:rsidR="00CE62F1">
        <w:t xml:space="preserve">(International Monetary Fund) </w:t>
      </w:r>
      <w:r>
        <w:t xml:space="preserve">2015, </w:t>
      </w:r>
      <w:r w:rsidRPr="00CE62F1">
        <w:rPr>
          <w:i/>
        </w:rPr>
        <w:t>Australia</w:t>
      </w:r>
      <w:r w:rsidR="00CE62F1" w:rsidRPr="00CE62F1">
        <w:rPr>
          <w:i/>
        </w:rPr>
        <w:t xml:space="preserve">, Staff Report for the </w:t>
      </w:r>
      <w:r w:rsidRPr="00CE62F1">
        <w:rPr>
          <w:i/>
        </w:rPr>
        <w:t>Article IV Consultation</w:t>
      </w:r>
      <w:r>
        <w:t>,</w:t>
      </w:r>
      <w:r w:rsidR="00CE62F1">
        <w:t xml:space="preserve"> </w:t>
      </w:r>
      <w:r w:rsidR="00CE62F1" w:rsidRPr="00CE62F1">
        <w:t>IMF Country Report No. 15/274</w:t>
      </w:r>
      <w:r w:rsidR="00CE62F1">
        <w:t>, 3 August</w:t>
      </w:r>
      <w:r>
        <w:t>.</w:t>
      </w:r>
    </w:p>
    <w:p w14:paraId="3E8916F4" w14:textId="438669F8" w:rsidR="00B8241B" w:rsidRDefault="00B8241B" w:rsidP="00042209">
      <w:pPr>
        <w:pStyle w:val="Reference"/>
      </w:pPr>
      <w:r>
        <w:t>—— 2017, ‘</w:t>
      </w:r>
      <w:r w:rsidRPr="00B8241B">
        <w:t xml:space="preserve">The Managing Director’s Global Policy Agenda </w:t>
      </w:r>
      <w:r w:rsidR="00E66947">
        <w:t>—</w:t>
      </w:r>
      <w:r w:rsidRPr="00B8241B">
        <w:t xml:space="preserve"> A More Inclusive and Resilient Global Economy</w:t>
      </w:r>
      <w:r>
        <w:t xml:space="preserve">’, </w:t>
      </w:r>
      <w:r w:rsidR="00E66947" w:rsidRPr="00E66947">
        <w:rPr>
          <w:i/>
        </w:rPr>
        <w:t>Policy Papers</w:t>
      </w:r>
      <w:r w:rsidR="00E66947">
        <w:t xml:space="preserve">, </w:t>
      </w:r>
      <w:r>
        <w:t xml:space="preserve">Spring 2017. </w:t>
      </w:r>
    </w:p>
    <w:p w14:paraId="1D0A7142" w14:textId="417DA5D1" w:rsidR="00B15C33" w:rsidRDefault="00B15C33" w:rsidP="00042209">
      <w:pPr>
        <w:pStyle w:val="Reference"/>
      </w:pPr>
      <w:proofErr w:type="spellStart"/>
      <w:r>
        <w:t>Inklaar</w:t>
      </w:r>
      <w:proofErr w:type="spellEnd"/>
      <w:r>
        <w:t xml:space="preserve">, R. and </w:t>
      </w:r>
      <w:proofErr w:type="spellStart"/>
      <w:r>
        <w:t>Timmer</w:t>
      </w:r>
      <w:proofErr w:type="spellEnd"/>
      <w:r>
        <w:t>, M. 2009, ‘Productivity convergence across industries and countries: The importance of theory</w:t>
      </w:r>
      <w:r w:rsidR="00EE434A">
        <w:noBreakHyphen/>
      </w:r>
      <w:r>
        <w:t xml:space="preserve">based measurement’, </w:t>
      </w:r>
      <w:r w:rsidRPr="000B4F5C">
        <w:rPr>
          <w:i/>
        </w:rPr>
        <w:t>Macroeconomic Dynamics</w:t>
      </w:r>
      <w:r>
        <w:t>, vol. 13, no. 2, pp. 218–240.</w:t>
      </w:r>
    </w:p>
    <w:p w14:paraId="1D0A7143" w14:textId="028EF00E" w:rsidR="00B15C33" w:rsidRDefault="00B15C33" w:rsidP="00042209">
      <w:pPr>
        <w:pStyle w:val="Reference"/>
      </w:pPr>
      <w:r>
        <w:t xml:space="preserve">Jorgenson, D., </w:t>
      </w:r>
      <w:proofErr w:type="spellStart"/>
      <w:r>
        <w:t>Ho</w:t>
      </w:r>
      <w:proofErr w:type="spellEnd"/>
      <w:r>
        <w:t xml:space="preserve">, M. and </w:t>
      </w:r>
      <w:proofErr w:type="spellStart"/>
      <w:r>
        <w:t>Stiroh</w:t>
      </w:r>
      <w:proofErr w:type="spellEnd"/>
      <w:r>
        <w:t xml:space="preserve">, K. 2008, ‘A </w:t>
      </w:r>
      <w:proofErr w:type="spellStart"/>
      <w:r w:rsidR="00B94CE4">
        <w:t>t</w:t>
      </w:r>
      <w:r>
        <w:t>etrospective</w:t>
      </w:r>
      <w:proofErr w:type="spellEnd"/>
      <w:r>
        <w:t xml:space="preserve"> </w:t>
      </w:r>
      <w:r w:rsidR="00B94CE4">
        <w:t>l</w:t>
      </w:r>
      <w:r>
        <w:t xml:space="preserve">ook at the U.S. </w:t>
      </w:r>
      <w:r w:rsidR="00B94CE4">
        <w:t>p</w:t>
      </w:r>
      <w:r>
        <w:t xml:space="preserve">roductivity </w:t>
      </w:r>
      <w:r w:rsidR="00B94CE4">
        <w:t>g</w:t>
      </w:r>
      <w:r>
        <w:t xml:space="preserve">rowth </w:t>
      </w:r>
      <w:r w:rsidR="00B94CE4">
        <w:t>r</w:t>
      </w:r>
      <w:r>
        <w:t xml:space="preserve">esurgence’, </w:t>
      </w:r>
      <w:r w:rsidRPr="000B4F5C">
        <w:rPr>
          <w:i/>
        </w:rPr>
        <w:t>Journal of Economic Perspectives</w:t>
      </w:r>
      <w:r>
        <w:t>, vol. 22, no. 1, pp. 3–24.</w:t>
      </w:r>
    </w:p>
    <w:p w14:paraId="1D0A7144" w14:textId="3502F674" w:rsidR="00B15C33" w:rsidRDefault="00B94CE4" w:rsidP="00042209">
      <w:pPr>
        <w:pStyle w:val="Reference"/>
      </w:pPr>
      <w:r>
        <w:t xml:space="preserve">Kent, C. 2014, </w:t>
      </w:r>
      <w:r w:rsidR="00B15C33">
        <w:t>Non</w:t>
      </w:r>
      <w:r w:rsidR="00EE434A">
        <w:noBreakHyphen/>
      </w:r>
      <w:r>
        <w:t>mining business i</w:t>
      </w:r>
      <w:r w:rsidR="00B15C33">
        <w:t xml:space="preserve">nvestment </w:t>
      </w:r>
      <w:r>
        <w:t>—</w:t>
      </w:r>
      <w:r w:rsidR="00B15C33">
        <w:t xml:space="preserve"> Where to from here?’</w:t>
      </w:r>
      <w:r w:rsidR="000B4F5C">
        <w:t xml:space="preserve">, </w:t>
      </w:r>
      <w:r w:rsidR="000B4F5C" w:rsidRPr="000B4F5C">
        <w:t>Address to the Bloomberg Economic Summit</w:t>
      </w:r>
      <w:r w:rsidR="000B4F5C">
        <w:t>, Sydney, 16 September.</w:t>
      </w:r>
    </w:p>
    <w:p w14:paraId="1D0A7145" w14:textId="77777777" w:rsidR="00B15C33" w:rsidRDefault="00B15C33" w:rsidP="00042209">
      <w:pPr>
        <w:pStyle w:val="Reference"/>
      </w:pPr>
      <w:r>
        <w:t xml:space="preserve">Keynes, </w:t>
      </w:r>
      <w:proofErr w:type="spellStart"/>
      <w:r>
        <w:t>J.M</w:t>
      </w:r>
      <w:proofErr w:type="spellEnd"/>
      <w:r>
        <w:t xml:space="preserve">. 1936, </w:t>
      </w:r>
      <w:r w:rsidRPr="000B4F5C">
        <w:rPr>
          <w:i/>
        </w:rPr>
        <w:t>The General Theory of Employment, Interest and Money</w:t>
      </w:r>
      <w:r>
        <w:t>, Macmillan, London.</w:t>
      </w:r>
    </w:p>
    <w:p w14:paraId="1D0A7146" w14:textId="4E21613C" w:rsidR="00B15C33" w:rsidRDefault="00B15C33" w:rsidP="00042209">
      <w:pPr>
        <w:pStyle w:val="Reference"/>
      </w:pPr>
      <w:r>
        <w:t xml:space="preserve">Krugman, P. and </w:t>
      </w:r>
      <w:proofErr w:type="spellStart"/>
      <w:r>
        <w:t>Eggerston</w:t>
      </w:r>
      <w:proofErr w:type="spellEnd"/>
      <w:r>
        <w:t xml:space="preserve">, G. 2012, ‘Debt, </w:t>
      </w:r>
      <w:r w:rsidR="00B94CE4">
        <w:t>d</w:t>
      </w:r>
      <w:r>
        <w:t xml:space="preserve">eleveraging, and the </w:t>
      </w:r>
      <w:r w:rsidR="00B94CE4">
        <w:t>l</w:t>
      </w:r>
      <w:r>
        <w:t xml:space="preserve">iquidity </w:t>
      </w:r>
      <w:r w:rsidR="00B94CE4">
        <w:t>t</w:t>
      </w:r>
      <w:r>
        <w:t>rap: A Fisher</w:t>
      </w:r>
      <w:r w:rsidR="00EE434A">
        <w:noBreakHyphen/>
      </w:r>
      <w:r>
        <w:t>Minsky</w:t>
      </w:r>
      <w:r w:rsidR="00EE434A">
        <w:noBreakHyphen/>
      </w:r>
      <w:r>
        <w:t xml:space="preserve">Koo </w:t>
      </w:r>
      <w:r w:rsidR="00B94CE4">
        <w:t>a</w:t>
      </w:r>
      <w:r>
        <w:t xml:space="preserve">pproach’, </w:t>
      </w:r>
      <w:r w:rsidRPr="000B4F5C">
        <w:rPr>
          <w:i/>
        </w:rPr>
        <w:t>Quarterly Journal of Economics</w:t>
      </w:r>
      <w:r>
        <w:t>, vol. 127, no. 3, pp. 1469–1513.</w:t>
      </w:r>
    </w:p>
    <w:p w14:paraId="1D0A7147" w14:textId="4BE9697D" w:rsidR="00B15C33" w:rsidRDefault="00B15C33" w:rsidP="00042209">
      <w:pPr>
        <w:pStyle w:val="Reference"/>
      </w:pPr>
      <w:r>
        <w:t xml:space="preserve">Lane, K. and </w:t>
      </w:r>
      <w:proofErr w:type="spellStart"/>
      <w:r>
        <w:t>Rosewall</w:t>
      </w:r>
      <w:proofErr w:type="spellEnd"/>
      <w:r>
        <w:t xml:space="preserve">, T. 2015, </w:t>
      </w:r>
      <w:r w:rsidR="00B94CE4">
        <w:t>‘</w:t>
      </w:r>
      <w:r>
        <w:t>Firm</w:t>
      </w:r>
      <w:r w:rsidR="00EE434A">
        <w:noBreakHyphen/>
      </w:r>
      <w:r>
        <w:t xml:space="preserve">level </w:t>
      </w:r>
      <w:r w:rsidR="00B94CE4">
        <w:t>c</w:t>
      </w:r>
      <w:r>
        <w:t xml:space="preserve">apacity </w:t>
      </w:r>
      <w:r w:rsidR="00B94CE4">
        <w:t>u</w:t>
      </w:r>
      <w:r>
        <w:t xml:space="preserve">tilisation and the </w:t>
      </w:r>
      <w:r w:rsidR="00B94CE4">
        <w:t>i</w:t>
      </w:r>
      <w:r>
        <w:t xml:space="preserve">mplications for </w:t>
      </w:r>
      <w:r w:rsidR="00B94CE4">
        <w:t>i</w:t>
      </w:r>
      <w:r>
        <w:t xml:space="preserve">nvestment, </w:t>
      </w:r>
      <w:r w:rsidR="00B94CE4">
        <w:t>l</w:t>
      </w:r>
      <w:r>
        <w:t xml:space="preserve">abour and </w:t>
      </w:r>
      <w:r w:rsidR="00B94CE4">
        <w:t>p</w:t>
      </w:r>
      <w:r>
        <w:t>rices</w:t>
      </w:r>
      <w:r w:rsidR="00B94CE4">
        <w:t>’</w:t>
      </w:r>
      <w:r>
        <w:t xml:space="preserve">, </w:t>
      </w:r>
      <w:r w:rsidRPr="000B4F5C">
        <w:rPr>
          <w:i/>
        </w:rPr>
        <w:t>Bulletin</w:t>
      </w:r>
      <w:r>
        <w:t>, December Quarter 2015, Reserve Bank Australia, Sydney.</w:t>
      </w:r>
    </w:p>
    <w:p w14:paraId="1D0A7148" w14:textId="25189CD9" w:rsidR="00B15C33" w:rsidRDefault="00B15C33" w:rsidP="00042209">
      <w:pPr>
        <w:pStyle w:val="Reference"/>
      </w:pPr>
      <w:proofErr w:type="spellStart"/>
      <w:r>
        <w:t>Lazonick</w:t>
      </w:r>
      <w:proofErr w:type="spellEnd"/>
      <w:r>
        <w:t xml:space="preserve">, W. 2014, </w:t>
      </w:r>
      <w:r w:rsidR="00B94CE4">
        <w:t>‘</w:t>
      </w:r>
      <w:r>
        <w:t xml:space="preserve">Profits </w:t>
      </w:r>
      <w:r w:rsidR="00B94CE4">
        <w:t>w</w:t>
      </w:r>
      <w:r>
        <w:t xml:space="preserve">ithout </w:t>
      </w:r>
      <w:r w:rsidR="00B94CE4">
        <w:t>p</w:t>
      </w:r>
      <w:r>
        <w:t>rosperity</w:t>
      </w:r>
      <w:r w:rsidR="00B94CE4">
        <w:t>’</w:t>
      </w:r>
      <w:r>
        <w:t xml:space="preserve">, </w:t>
      </w:r>
      <w:r w:rsidRPr="000B4F5C">
        <w:rPr>
          <w:i/>
        </w:rPr>
        <w:t>Harvard Business Review</w:t>
      </w:r>
      <w:r>
        <w:t>,</w:t>
      </w:r>
      <w:r w:rsidR="000B4F5C">
        <w:t xml:space="preserve"> September issue</w:t>
      </w:r>
    </w:p>
    <w:p w14:paraId="1D0A7149" w14:textId="77777777" w:rsidR="00B15C33" w:rsidRDefault="00B15C33" w:rsidP="00042209">
      <w:pPr>
        <w:pStyle w:val="Reference"/>
      </w:pPr>
      <w:r>
        <w:t xml:space="preserve">Leigh, A. 2013, </w:t>
      </w:r>
      <w:r w:rsidRPr="000B4F5C">
        <w:rPr>
          <w:i/>
        </w:rPr>
        <w:t>Battlers and Billionaires: The Story of Inequality in Australia</w:t>
      </w:r>
      <w:r>
        <w:t>, Black Inc. Publishing, Melbourne.</w:t>
      </w:r>
    </w:p>
    <w:p w14:paraId="1D0A714A" w14:textId="37240FFF" w:rsidR="00B15C33" w:rsidRDefault="00B15C33" w:rsidP="00042209">
      <w:pPr>
        <w:pStyle w:val="Reference"/>
      </w:pPr>
      <w:proofErr w:type="spellStart"/>
      <w:r>
        <w:t>Ljungqvist</w:t>
      </w:r>
      <w:proofErr w:type="spellEnd"/>
      <w:r>
        <w:t xml:space="preserve">, L. and Sargent, T. 1998, ‘The European </w:t>
      </w:r>
      <w:r w:rsidR="00B94CE4">
        <w:t>u</w:t>
      </w:r>
      <w:r>
        <w:t xml:space="preserve">nemployment </w:t>
      </w:r>
      <w:r w:rsidR="00B94CE4">
        <w:t>d</w:t>
      </w:r>
      <w:r>
        <w:t xml:space="preserve">ilemma’, </w:t>
      </w:r>
      <w:r w:rsidRPr="000B4F5C">
        <w:rPr>
          <w:i/>
        </w:rPr>
        <w:t>Journal of Political Economy</w:t>
      </w:r>
      <w:r>
        <w:t>, vol. 106, no. 3, pp. 514–550.</w:t>
      </w:r>
    </w:p>
    <w:p w14:paraId="1D0A714C" w14:textId="77777777" w:rsidR="00B15C33" w:rsidRDefault="00B15C33" w:rsidP="00042209">
      <w:pPr>
        <w:pStyle w:val="Reference"/>
      </w:pPr>
      <w:r>
        <w:t xml:space="preserve">Maddison, A. 2001, </w:t>
      </w:r>
      <w:r w:rsidRPr="000B4F5C">
        <w:rPr>
          <w:i/>
        </w:rPr>
        <w:t>The World Economy : A Millennial Perspective</w:t>
      </w:r>
      <w:r>
        <w:t>, OECD Development Centre Studies, OECD.</w:t>
      </w:r>
    </w:p>
    <w:p w14:paraId="1D0A714D" w14:textId="575AA65A" w:rsidR="00B15C33" w:rsidRDefault="00B15C33" w:rsidP="00042209">
      <w:pPr>
        <w:pStyle w:val="Reference"/>
      </w:pPr>
      <w:proofErr w:type="spellStart"/>
      <w:r>
        <w:t>Muro</w:t>
      </w:r>
      <w:proofErr w:type="spellEnd"/>
      <w:r>
        <w:t xml:space="preserve">, M., Rothwell, J., Andes, S., </w:t>
      </w:r>
      <w:proofErr w:type="spellStart"/>
      <w:r>
        <w:t>Fikri</w:t>
      </w:r>
      <w:proofErr w:type="spellEnd"/>
      <w:r>
        <w:t xml:space="preserve">, K. and Kulkarni, S. 2015, </w:t>
      </w:r>
      <w:r w:rsidRPr="00D311E6">
        <w:rPr>
          <w:i/>
        </w:rPr>
        <w:t>Ameri</w:t>
      </w:r>
      <w:r w:rsidR="00D311E6" w:rsidRPr="00D311E6">
        <w:rPr>
          <w:i/>
        </w:rPr>
        <w:t>ca’s Advanced Industries: What They Are, Where They Are, and Why They M</w:t>
      </w:r>
      <w:r w:rsidRPr="00D311E6">
        <w:rPr>
          <w:i/>
        </w:rPr>
        <w:t>atter</w:t>
      </w:r>
      <w:r>
        <w:t>, The Brookings Institution.</w:t>
      </w:r>
    </w:p>
    <w:p w14:paraId="1D0A714E" w14:textId="77777777" w:rsidR="00B15C33" w:rsidRDefault="00B15C33" w:rsidP="00042209">
      <w:pPr>
        <w:pStyle w:val="Reference"/>
      </w:pPr>
      <w:proofErr w:type="spellStart"/>
      <w:r>
        <w:t>NZPC</w:t>
      </w:r>
      <w:proofErr w:type="spellEnd"/>
      <w:r>
        <w:t xml:space="preserve"> 2013, </w:t>
      </w:r>
      <w:r w:rsidRPr="00D311E6">
        <w:rPr>
          <w:i/>
        </w:rPr>
        <w:t>Productivity Hub: Purpose and Governance</w:t>
      </w:r>
      <w:r>
        <w:t>, March, Wellington, NZ.</w:t>
      </w:r>
    </w:p>
    <w:p w14:paraId="1D0A714F" w14:textId="406C71DB" w:rsidR="00B15C33" w:rsidRDefault="00B15C33" w:rsidP="00042209">
      <w:pPr>
        <w:pStyle w:val="Reference"/>
      </w:pPr>
      <w:r>
        <w:t xml:space="preserve">OECD 2011, </w:t>
      </w:r>
      <w:r w:rsidRPr="000B4F5C">
        <w:rPr>
          <w:i/>
        </w:rPr>
        <w:t>Divided We Stand: Why Inequality Keeps Rising</w:t>
      </w:r>
      <w:r w:rsidR="000B4F5C">
        <w:t xml:space="preserve">, Paris, December. </w:t>
      </w:r>
    </w:p>
    <w:p w14:paraId="1D0A7150" w14:textId="74DC4F7D" w:rsidR="00B15C33" w:rsidRDefault="00B15C33" w:rsidP="00042209">
      <w:pPr>
        <w:pStyle w:val="Reference"/>
      </w:pPr>
      <w:r>
        <w:lastRenderedPageBreak/>
        <w:t>——</w:t>
      </w:r>
      <w:r w:rsidR="0053562A">
        <w:t> </w:t>
      </w:r>
      <w:r>
        <w:t xml:space="preserve">2013, </w:t>
      </w:r>
      <w:r w:rsidR="000B4F5C">
        <w:rPr>
          <w:i/>
        </w:rPr>
        <w:t>New Sources of G</w:t>
      </w:r>
      <w:r w:rsidRPr="000B4F5C">
        <w:rPr>
          <w:i/>
        </w:rPr>
        <w:t>rowth: Knowledge</w:t>
      </w:r>
      <w:r w:rsidR="00EE434A" w:rsidRPr="000B4F5C">
        <w:rPr>
          <w:i/>
        </w:rPr>
        <w:noBreakHyphen/>
      </w:r>
      <w:r w:rsidR="000B4F5C">
        <w:rPr>
          <w:i/>
        </w:rPr>
        <w:t>based C</w:t>
      </w:r>
      <w:r w:rsidRPr="000B4F5C">
        <w:rPr>
          <w:i/>
        </w:rPr>
        <w:t>apital</w:t>
      </w:r>
      <w:r>
        <w:t>, OECD Directorate for Science, Technology and Innovation</w:t>
      </w:r>
      <w:r w:rsidR="000B4F5C">
        <w:t>, Paris</w:t>
      </w:r>
      <w:r>
        <w:t>.</w:t>
      </w:r>
    </w:p>
    <w:p w14:paraId="1D0A7151" w14:textId="4BD674CF" w:rsidR="00B15C33" w:rsidRDefault="00B15C33" w:rsidP="00042209">
      <w:pPr>
        <w:pStyle w:val="Reference"/>
      </w:pPr>
      <w:r>
        <w:t>——</w:t>
      </w:r>
      <w:r w:rsidR="0053562A">
        <w:t> </w:t>
      </w:r>
      <w:r>
        <w:t xml:space="preserve">2015, The </w:t>
      </w:r>
      <w:r w:rsidR="00D311E6">
        <w:t>f</w:t>
      </w:r>
      <w:r>
        <w:t xml:space="preserve">uture of </w:t>
      </w:r>
      <w:r w:rsidR="00D311E6">
        <w:t>p</w:t>
      </w:r>
      <w:r>
        <w:t>roductivity, July, Joint Economics Department and the Directorate for Science, Technology and Innovation Policy Note, Paris.</w:t>
      </w:r>
    </w:p>
    <w:p w14:paraId="1D0A7152" w14:textId="16D1504C" w:rsidR="00B15C33" w:rsidRDefault="00B15C33" w:rsidP="00042209">
      <w:pPr>
        <w:pStyle w:val="Reference"/>
      </w:pPr>
      <w:r>
        <w:t>——</w:t>
      </w:r>
      <w:r w:rsidR="0053562A">
        <w:t> </w:t>
      </w:r>
      <w:proofErr w:type="spellStart"/>
      <w:r>
        <w:t>2016a</w:t>
      </w:r>
      <w:proofErr w:type="spellEnd"/>
      <w:r>
        <w:t xml:space="preserve">, </w:t>
      </w:r>
      <w:r w:rsidRPr="00D311E6">
        <w:rPr>
          <w:i/>
        </w:rPr>
        <w:t>Eurostat</w:t>
      </w:r>
      <w:r w:rsidR="00EE434A" w:rsidRPr="00D311E6">
        <w:rPr>
          <w:i/>
        </w:rPr>
        <w:noBreakHyphen/>
      </w:r>
      <w:r w:rsidRPr="00D311E6">
        <w:rPr>
          <w:i/>
        </w:rPr>
        <w:t>OECD Methodological Manual on Purchasing Power Parities</w:t>
      </w:r>
      <w:r>
        <w:t>, 2012 edition, Paris.</w:t>
      </w:r>
    </w:p>
    <w:p w14:paraId="1D0A7154" w14:textId="415CFF71" w:rsidR="00B15C33" w:rsidRDefault="00B15C33" w:rsidP="00042209">
      <w:pPr>
        <w:pStyle w:val="Reference"/>
      </w:pPr>
      <w:r>
        <w:t>——</w:t>
      </w:r>
      <w:r w:rsidR="0053562A">
        <w:t> </w:t>
      </w:r>
      <w:proofErr w:type="spellStart"/>
      <w:r>
        <w:t>2016</w:t>
      </w:r>
      <w:r w:rsidR="00B8241B">
        <w:t>b</w:t>
      </w:r>
      <w:proofErr w:type="spellEnd"/>
      <w:r>
        <w:t xml:space="preserve">, The </w:t>
      </w:r>
      <w:r w:rsidR="00D311E6">
        <w:t>p</w:t>
      </w:r>
      <w:r>
        <w:t>roductivity</w:t>
      </w:r>
      <w:r w:rsidR="00EE434A">
        <w:noBreakHyphen/>
      </w:r>
      <w:r w:rsidR="00D311E6">
        <w:t>i</w:t>
      </w:r>
      <w:r>
        <w:t xml:space="preserve">nclusiveness </w:t>
      </w:r>
      <w:r w:rsidR="00D311E6">
        <w:t>n</w:t>
      </w:r>
      <w:r>
        <w:t>exus, Meeting of the OECD Council at Ministerial Level, 1</w:t>
      </w:r>
      <w:r w:rsidR="00EE434A">
        <w:noBreakHyphen/>
      </w:r>
      <w:r>
        <w:t>2 June, OECD Publishing, Paris.</w:t>
      </w:r>
    </w:p>
    <w:p w14:paraId="1D0A7155" w14:textId="04136ADA" w:rsidR="00B15C33" w:rsidRDefault="00B15C33" w:rsidP="00042209">
      <w:pPr>
        <w:pStyle w:val="Reference"/>
      </w:pPr>
      <w:r>
        <w:t>——</w:t>
      </w:r>
      <w:r w:rsidR="0053562A">
        <w:t> </w:t>
      </w:r>
      <w:proofErr w:type="spellStart"/>
      <w:r>
        <w:t>2017a</w:t>
      </w:r>
      <w:proofErr w:type="spellEnd"/>
      <w:r>
        <w:t xml:space="preserve">, </w:t>
      </w:r>
      <w:r w:rsidRPr="00D311E6">
        <w:rPr>
          <w:i/>
        </w:rPr>
        <w:t xml:space="preserve">Measuring Productivity </w:t>
      </w:r>
      <w:r w:rsidR="000B4F5C" w:rsidRPr="00D311E6">
        <w:rPr>
          <w:i/>
        </w:rPr>
        <w:t>—</w:t>
      </w:r>
      <w:r w:rsidRPr="00D311E6">
        <w:rPr>
          <w:i/>
        </w:rPr>
        <w:t xml:space="preserve"> Measurement of Aggregate and Industry Level Productivity Growth</w:t>
      </w:r>
      <w:r>
        <w:t>, Paris.</w:t>
      </w:r>
    </w:p>
    <w:p w14:paraId="1D0A7156" w14:textId="2F04421B" w:rsidR="00B15C33" w:rsidRDefault="00B15C33" w:rsidP="00042209">
      <w:pPr>
        <w:pStyle w:val="Reference"/>
      </w:pPr>
      <w:r>
        <w:t>——</w:t>
      </w:r>
      <w:r w:rsidR="0053562A">
        <w:t> </w:t>
      </w:r>
      <w:proofErr w:type="spellStart"/>
      <w:r>
        <w:t>2017b</w:t>
      </w:r>
      <w:proofErr w:type="spellEnd"/>
      <w:r>
        <w:t>, OECD Productivity Database, Compendium of Productivity Indicators, 2017.</w:t>
      </w:r>
    </w:p>
    <w:p w14:paraId="1D0A7157" w14:textId="13EAD5DF" w:rsidR="00B15C33" w:rsidRPr="00AF0D50" w:rsidRDefault="00D311E6" w:rsidP="00042209">
      <w:pPr>
        <w:pStyle w:val="Reference"/>
        <w:rPr>
          <w:spacing w:val="-4"/>
        </w:rPr>
      </w:pPr>
      <w:r w:rsidRPr="00AF0D50">
        <w:rPr>
          <w:spacing w:val="-4"/>
        </w:rPr>
        <w:t>ONS 2012, International comparisons of p</w:t>
      </w:r>
      <w:r w:rsidR="00B15C33" w:rsidRPr="00AF0D50">
        <w:rPr>
          <w:spacing w:val="-4"/>
        </w:rPr>
        <w:t>roductivity, Information Paper, United Kingdom.</w:t>
      </w:r>
    </w:p>
    <w:p w14:paraId="1D0A7158" w14:textId="77777777" w:rsidR="00B15C33" w:rsidRDefault="00B15C33" w:rsidP="00042209">
      <w:pPr>
        <w:pStyle w:val="Reference"/>
      </w:pPr>
      <w:proofErr w:type="spellStart"/>
      <w:r>
        <w:t>Ostry</w:t>
      </w:r>
      <w:proofErr w:type="spellEnd"/>
      <w:r>
        <w:t xml:space="preserve">, J., Berg, A. and </w:t>
      </w:r>
      <w:proofErr w:type="spellStart"/>
      <w:r>
        <w:t>Tsangarides</w:t>
      </w:r>
      <w:proofErr w:type="spellEnd"/>
      <w:r>
        <w:t xml:space="preserve">, C. 2014, Redistribution, Inequality and Growth, IMF Staff Discussion Note, April, </w:t>
      </w:r>
      <w:proofErr w:type="spellStart"/>
      <w:r>
        <w:t>SDN</w:t>
      </w:r>
      <w:proofErr w:type="spellEnd"/>
      <w:r>
        <w:t>/14/02, United States.</w:t>
      </w:r>
    </w:p>
    <w:p w14:paraId="1D0A7159" w14:textId="697DD2EA" w:rsidR="00B15C33" w:rsidRDefault="00B15C33" w:rsidP="00042209">
      <w:pPr>
        <w:pStyle w:val="Reference"/>
      </w:pPr>
      <w:r>
        <w:t xml:space="preserve">Parham, D. 2004, </w:t>
      </w:r>
      <w:r w:rsidR="00D311E6">
        <w:t>‘</w:t>
      </w:r>
      <w:r>
        <w:t xml:space="preserve">Australia’s </w:t>
      </w:r>
      <w:proofErr w:type="spellStart"/>
      <w:r>
        <w:t>1990s</w:t>
      </w:r>
      <w:proofErr w:type="spellEnd"/>
      <w:r>
        <w:t xml:space="preserve"> </w:t>
      </w:r>
      <w:r w:rsidR="00D311E6">
        <w:t>p</w:t>
      </w:r>
      <w:r>
        <w:t xml:space="preserve">roductivity </w:t>
      </w:r>
      <w:r w:rsidR="00D311E6">
        <w:t>s</w:t>
      </w:r>
      <w:r>
        <w:t xml:space="preserve">urge and </w:t>
      </w:r>
      <w:r w:rsidR="00D311E6">
        <w:t>i</w:t>
      </w:r>
      <w:r>
        <w:t xml:space="preserve">ts </w:t>
      </w:r>
      <w:r w:rsidR="00D311E6">
        <w:t>d</w:t>
      </w:r>
      <w:r>
        <w:t>eterminants</w:t>
      </w:r>
      <w:r w:rsidR="00D311E6">
        <w:t>’</w:t>
      </w:r>
      <w:r>
        <w:t xml:space="preserve">, </w:t>
      </w:r>
      <w:proofErr w:type="spellStart"/>
      <w:r w:rsidRPr="000B4F5C">
        <w:rPr>
          <w:i/>
        </w:rPr>
        <w:t>NBER</w:t>
      </w:r>
      <w:proofErr w:type="spellEnd"/>
      <w:r w:rsidR="00EE434A" w:rsidRPr="000B4F5C">
        <w:rPr>
          <w:i/>
        </w:rPr>
        <w:noBreakHyphen/>
      </w:r>
      <w:r w:rsidRPr="000B4F5C">
        <w:rPr>
          <w:i/>
        </w:rPr>
        <w:t>East Asia Seminar on Economics</w:t>
      </w:r>
      <w:r>
        <w:t>, Volume 13, Growth and Productivity in East Asia.</w:t>
      </w:r>
    </w:p>
    <w:p w14:paraId="4A952F38" w14:textId="697C6472" w:rsidR="00542CE1" w:rsidRDefault="00AF0D50" w:rsidP="00042209">
      <w:pPr>
        <w:pStyle w:val="Reference"/>
      </w:pPr>
      <w:r w:rsidRPr="00AF0D50">
        <w:t xml:space="preserve">—— </w:t>
      </w:r>
      <w:r w:rsidR="00542CE1">
        <w:t>20</w:t>
      </w:r>
      <w:r w:rsidR="00542CE1">
        <w:t>13</w:t>
      </w:r>
      <w:r w:rsidR="00542CE1">
        <w:t>, ‘</w:t>
      </w:r>
      <w:r w:rsidR="00542CE1" w:rsidRPr="00542CE1">
        <w:t>Australia’s productivity: Past, Present and Future</w:t>
      </w:r>
      <w:r w:rsidR="00542CE1">
        <w:t xml:space="preserve">’, </w:t>
      </w:r>
      <w:r w:rsidR="00542CE1" w:rsidRPr="00542CE1">
        <w:rPr>
          <w:i/>
        </w:rPr>
        <w:t>Australian Economic Review</w:t>
      </w:r>
      <w:r w:rsidR="00542CE1">
        <w:t xml:space="preserve">, </w:t>
      </w:r>
      <w:r w:rsidR="00542CE1" w:rsidRPr="00542CE1">
        <w:t>46(4), pp. 462-72.</w:t>
      </w:r>
      <w:bookmarkStart w:id="16" w:name="_GoBack"/>
      <w:bookmarkEnd w:id="16"/>
    </w:p>
    <w:p w14:paraId="1D0A715A" w14:textId="281555D2" w:rsidR="00B15C33" w:rsidRDefault="00D311E6" w:rsidP="00042209">
      <w:pPr>
        <w:pStyle w:val="Reference"/>
      </w:pPr>
      <w:r>
        <w:t xml:space="preserve">Parkinson, M. 2012, </w:t>
      </w:r>
      <w:r w:rsidR="00B15C33">
        <w:t xml:space="preserve">Challenges and </w:t>
      </w:r>
      <w:r>
        <w:t>o</w:t>
      </w:r>
      <w:r w:rsidR="00B15C33">
        <w:t xml:space="preserve">pportunities for the Australian </w:t>
      </w:r>
      <w:r>
        <w:t>e</w:t>
      </w:r>
      <w:r w:rsidR="00B15C33">
        <w:t>conomy</w:t>
      </w:r>
      <w:r>
        <w:t>,</w:t>
      </w:r>
      <w:r w:rsidR="00B15C33">
        <w:t xml:space="preserve"> Speech to the John Curtin Institute o</w:t>
      </w:r>
      <w:r>
        <w:t>f Public policy Breakfast Forum</w:t>
      </w:r>
      <w:r w:rsidR="00B15C33">
        <w:t>, October.</w:t>
      </w:r>
    </w:p>
    <w:p w14:paraId="1D0A715B" w14:textId="2D47868F" w:rsidR="00B15C33" w:rsidRDefault="00B15C33" w:rsidP="00042209">
      <w:pPr>
        <w:pStyle w:val="Reference"/>
      </w:pPr>
      <w:r>
        <w:t xml:space="preserve">PC </w:t>
      </w:r>
      <w:r w:rsidR="00D311E6">
        <w:t xml:space="preserve">(Productivity Commission) </w:t>
      </w:r>
      <w:r>
        <w:t xml:space="preserve">2004, </w:t>
      </w:r>
      <w:r w:rsidRPr="00B62CB5">
        <w:rPr>
          <w:i/>
        </w:rPr>
        <w:t>ICT</w:t>
      </w:r>
      <w:r w:rsidRPr="000B4F5C">
        <w:rPr>
          <w:i/>
        </w:rPr>
        <w:t xml:space="preserve"> Use and Productivity: A Synthesis from Studies of Australian Firms</w:t>
      </w:r>
      <w:r>
        <w:t>, Research Paper.</w:t>
      </w:r>
    </w:p>
    <w:p w14:paraId="1D0A715C" w14:textId="1CA72265" w:rsidR="00B15C33" w:rsidRDefault="00B15C33" w:rsidP="00042209">
      <w:pPr>
        <w:pStyle w:val="Reference"/>
      </w:pPr>
      <w:r>
        <w:t>——</w:t>
      </w:r>
      <w:r w:rsidR="0053562A">
        <w:t> </w:t>
      </w:r>
      <w:r>
        <w:t xml:space="preserve">2005, </w:t>
      </w:r>
      <w:r w:rsidRPr="000B4F5C">
        <w:rPr>
          <w:i/>
        </w:rPr>
        <w:t>Trends in Australian Agriculture</w:t>
      </w:r>
      <w:r>
        <w:t>, Commission Research Paper, Canberra.</w:t>
      </w:r>
    </w:p>
    <w:p w14:paraId="1D0A715D" w14:textId="01A43003" w:rsidR="00B15C33" w:rsidRDefault="00B15C33" w:rsidP="00042209">
      <w:pPr>
        <w:pStyle w:val="Reference"/>
      </w:pPr>
      <w:r>
        <w:t>——</w:t>
      </w:r>
      <w:r w:rsidR="0053562A">
        <w:t> </w:t>
      </w:r>
      <w:r w:rsidR="00B62CB5">
        <w:t>2009, </w:t>
      </w:r>
      <w:r>
        <w:t>Submission to the House of Representatives Standing Committee on Economics: Inquiry into Raising the Level of Productivity Growth in Australia, Submission.</w:t>
      </w:r>
    </w:p>
    <w:p w14:paraId="1D0A715E" w14:textId="0DAF2F03" w:rsidR="00B15C33" w:rsidRDefault="00B15C33" w:rsidP="00042209">
      <w:pPr>
        <w:pStyle w:val="Reference"/>
      </w:pPr>
      <w:r>
        <w:t>——</w:t>
      </w:r>
      <w:r w:rsidR="0053562A">
        <w:t> </w:t>
      </w:r>
      <w:proofErr w:type="spellStart"/>
      <w:r>
        <w:t>2015a</w:t>
      </w:r>
      <w:proofErr w:type="spellEnd"/>
      <w:r>
        <w:t xml:space="preserve">, </w:t>
      </w:r>
      <w:r w:rsidRPr="000B4F5C">
        <w:rPr>
          <w:i/>
        </w:rPr>
        <w:t>Business Set</w:t>
      </w:r>
      <w:r w:rsidR="00EE434A" w:rsidRPr="000B4F5C">
        <w:rPr>
          <w:i/>
        </w:rPr>
        <w:noBreakHyphen/>
      </w:r>
      <w:r w:rsidRPr="000B4F5C">
        <w:rPr>
          <w:i/>
        </w:rPr>
        <w:t>up, Transfer and Closure</w:t>
      </w:r>
      <w:r>
        <w:t xml:space="preserve">, </w:t>
      </w:r>
      <w:r w:rsidR="008A3DBA" w:rsidRPr="008A3DBA">
        <w:t>Final Report</w:t>
      </w:r>
      <w:r w:rsidR="008A3DBA">
        <w:t>,</w:t>
      </w:r>
      <w:r w:rsidR="008A3DBA" w:rsidRPr="008A3DBA">
        <w:t xml:space="preserve"> </w:t>
      </w:r>
      <w:r w:rsidR="008A3DBA">
        <w:t>no. </w:t>
      </w:r>
      <w:r w:rsidR="008A3DBA" w:rsidRPr="008A3DBA">
        <w:t>75, Canberra</w:t>
      </w:r>
      <w:r>
        <w:t>.</w:t>
      </w:r>
    </w:p>
    <w:p w14:paraId="1D0A715F" w14:textId="37E72381" w:rsidR="00B15C33" w:rsidRDefault="00B15C33" w:rsidP="00042209">
      <w:pPr>
        <w:pStyle w:val="Reference"/>
      </w:pPr>
      <w:r>
        <w:t>——</w:t>
      </w:r>
      <w:r w:rsidR="0053562A">
        <w:t> </w:t>
      </w:r>
      <w:proofErr w:type="spellStart"/>
      <w:r>
        <w:t>2015b</w:t>
      </w:r>
      <w:proofErr w:type="spellEnd"/>
      <w:r>
        <w:t xml:space="preserve">, </w:t>
      </w:r>
      <w:r w:rsidRPr="008A3DBA">
        <w:rPr>
          <w:i/>
        </w:rPr>
        <w:t>Tax and Transfer Incidence in Australia</w:t>
      </w:r>
      <w:r>
        <w:t>, Commission Working Paper.</w:t>
      </w:r>
    </w:p>
    <w:p w14:paraId="1D0A7160" w14:textId="093F10AB" w:rsidR="00B15C33" w:rsidRDefault="00B15C33" w:rsidP="00042209">
      <w:pPr>
        <w:pStyle w:val="Reference"/>
      </w:pPr>
      <w:r>
        <w:t>——</w:t>
      </w:r>
      <w:r w:rsidR="0053562A">
        <w:t> </w:t>
      </w:r>
      <w:proofErr w:type="spellStart"/>
      <w:r>
        <w:t>2015c</w:t>
      </w:r>
      <w:proofErr w:type="spellEnd"/>
      <w:r>
        <w:t xml:space="preserve">, </w:t>
      </w:r>
      <w:r w:rsidRPr="008A3DBA">
        <w:rPr>
          <w:i/>
        </w:rPr>
        <w:t>Workplace Relations Framework</w:t>
      </w:r>
      <w:r>
        <w:t xml:space="preserve">, </w:t>
      </w:r>
      <w:r w:rsidR="008A3DBA">
        <w:t>Final</w:t>
      </w:r>
      <w:r>
        <w:t xml:space="preserve"> Report</w:t>
      </w:r>
      <w:r w:rsidR="008A3DBA">
        <w:t>, n</w:t>
      </w:r>
      <w:r w:rsidR="008A3DBA" w:rsidRPr="008A3DBA">
        <w:t>o. 76</w:t>
      </w:r>
      <w:r w:rsidR="008A3DBA">
        <w:t>, Canberra</w:t>
      </w:r>
      <w:r>
        <w:t>.</w:t>
      </w:r>
    </w:p>
    <w:p w14:paraId="1D0A7161" w14:textId="03F0676B" w:rsidR="00B15C33" w:rsidRDefault="00B15C33" w:rsidP="008A3DBA">
      <w:pPr>
        <w:pStyle w:val="Reference"/>
      </w:pPr>
      <w:r>
        <w:t>——</w:t>
      </w:r>
      <w:r w:rsidR="0053562A">
        <w:t> </w:t>
      </w:r>
      <w:proofErr w:type="spellStart"/>
      <w:r>
        <w:t>2016a</w:t>
      </w:r>
      <w:proofErr w:type="spellEnd"/>
      <w:r>
        <w:t xml:space="preserve">, </w:t>
      </w:r>
      <w:r w:rsidRPr="008A3DBA">
        <w:rPr>
          <w:i/>
        </w:rPr>
        <w:t>Digital Disruption: What do governments need to do?</w:t>
      </w:r>
      <w:r>
        <w:t xml:space="preserve">, </w:t>
      </w:r>
      <w:r w:rsidR="008A3DBA">
        <w:t>Commission Research Paper, Canberra</w:t>
      </w:r>
      <w:r>
        <w:t>.</w:t>
      </w:r>
    </w:p>
    <w:p w14:paraId="1D0A7162" w14:textId="14682179" w:rsidR="00B15C33" w:rsidRDefault="00B15C33" w:rsidP="00042209">
      <w:pPr>
        <w:pStyle w:val="Reference"/>
      </w:pPr>
      <w:r>
        <w:t>——</w:t>
      </w:r>
      <w:r w:rsidR="0053562A">
        <w:t> </w:t>
      </w:r>
      <w:proofErr w:type="spellStart"/>
      <w:r w:rsidR="008A3DBA">
        <w:t>2016b</w:t>
      </w:r>
      <w:proofErr w:type="spellEnd"/>
      <w:r w:rsidR="008A3DBA">
        <w:t xml:space="preserve">, </w:t>
      </w:r>
      <w:r w:rsidR="008A3DBA" w:rsidRPr="008A3DBA">
        <w:rPr>
          <w:i/>
        </w:rPr>
        <w:t>PC Productivity Update</w:t>
      </w:r>
      <w:r w:rsidR="008A3DBA">
        <w:t>, April</w:t>
      </w:r>
    </w:p>
    <w:p w14:paraId="1D0A7163" w14:textId="4674A14E" w:rsidR="00B15C33" w:rsidRPr="00AF0D50" w:rsidRDefault="00B15C33" w:rsidP="00042209">
      <w:pPr>
        <w:pStyle w:val="Reference"/>
        <w:rPr>
          <w:spacing w:val="-4"/>
        </w:rPr>
      </w:pPr>
      <w:proofErr w:type="spellStart"/>
      <w:r w:rsidRPr="00AF0D50">
        <w:rPr>
          <w:spacing w:val="-4"/>
        </w:rPr>
        <w:t>Pissarides</w:t>
      </w:r>
      <w:proofErr w:type="spellEnd"/>
      <w:r w:rsidRPr="00AF0D50">
        <w:rPr>
          <w:spacing w:val="-4"/>
        </w:rPr>
        <w:t xml:space="preserve">, C. 1992, ‘Loss of </w:t>
      </w:r>
      <w:r w:rsidR="0091651F" w:rsidRPr="00AF0D50">
        <w:rPr>
          <w:spacing w:val="-4"/>
        </w:rPr>
        <w:t>s</w:t>
      </w:r>
      <w:r w:rsidRPr="00AF0D50">
        <w:rPr>
          <w:spacing w:val="-4"/>
        </w:rPr>
        <w:t xml:space="preserve">kill </w:t>
      </w:r>
      <w:r w:rsidR="0091651F" w:rsidRPr="00AF0D50">
        <w:rPr>
          <w:spacing w:val="-4"/>
        </w:rPr>
        <w:t>d</w:t>
      </w:r>
      <w:r w:rsidRPr="00AF0D50">
        <w:rPr>
          <w:spacing w:val="-4"/>
        </w:rPr>
        <w:t xml:space="preserve">uring </w:t>
      </w:r>
      <w:r w:rsidR="0091651F" w:rsidRPr="00AF0D50">
        <w:rPr>
          <w:spacing w:val="-4"/>
        </w:rPr>
        <w:t>u</w:t>
      </w:r>
      <w:r w:rsidRPr="00AF0D50">
        <w:rPr>
          <w:spacing w:val="-4"/>
        </w:rPr>
        <w:t xml:space="preserve">nemployment and the </w:t>
      </w:r>
      <w:r w:rsidR="0091651F" w:rsidRPr="00AF0D50">
        <w:rPr>
          <w:spacing w:val="-4"/>
        </w:rPr>
        <w:t>p</w:t>
      </w:r>
      <w:r w:rsidRPr="00AF0D50">
        <w:rPr>
          <w:spacing w:val="-4"/>
        </w:rPr>
        <w:t xml:space="preserve">ersistence of </w:t>
      </w:r>
      <w:r w:rsidR="0091651F" w:rsidRPr="00AF0D50">
        <w:rPr>
          <w:spacing w:val="-4"/>
        </w:rPr>
        <w:t>u</w:t>
      </w:r>
      <w:r w:rsidRPr="00AF0D50">
        <w:rPr>
          <w:spacing w:val="-4"/>
        </w:rPr>
        <w:t xml:space="preserve">nemployment </w:t>
      </w:r>
      <w:r w:rsidR="0091651F" w:rsidRPr="00AF0D50">
        <w:rPr>
          <w:spacing w:val="-4"/>
        </w:rPr>
        <w:t>s</w:t>
      </w:r>
      <w:r w:rsidRPr="00AF0D50">
        <w:rPr>
          <w:spacing w:val="-4"/>
        </w:rPr>
        <w:t xml:space="preserve">hocks’, </w:t>
      </w:r>
      <w:r w:rsidRPr="00AF0D50">
        <w:rPr>
          <w:i/>
          <w:spacing w:val="-4"/>
        </w:rPr>
        <w:t>Quarterly Journal of Economics</w:t>
      </w:r>
      <w:r w:rsidRPr="00AF0D50">
        <w:rPr>
          <w:spacing w:val="-4"/>
        </w:rPr>
        <w:t>, vol. 107, no. 4, pp. 1371–1391.</w:t>
      </w:r>
    </w:p>
    <w:p w14:paraId="1D0A7164" w14:textId="0413875D" w:rsidR="00B15C33" w:rsidRPr="00AF0D50" w:rsidRDefault="00B15C33" w:rsidP="00042209">
      <w:pPr>
        <w:pStyle w:val="Reference"/>
        <w:rPr>
          <w:spacing w:val="-4"/>
        </w:rPr>
      </w:pPr>
      <w:r w:rsidRPr="00AF0D50">
        <w:rPr>
          <w:spacing w:val="-4"/>
        </w:rPr>
        <w:t>Plumb, M.,</w:t>
      </w:r>
      <w:r w:rsidR="0091651F" w:rsidRPr="00AF0D50">
        <w:rPr>
          <w:spacing w:val="-4"/>
        </w:rPr>
        <w:t xml:space="preserve"> Kent, C. and Bishop, J. 2012, </w:t>
      </w:r>
      <w:r w:rsidRPr="00AF0D50">
        <w:rPr>
          <w:spacing w:val="-4"/>
        </w:rPr>
        <w:t xml:space="preserve">Implications for the Australian </w:t>
      </w:r>
      <w:r w:rsidR="0091651F" w:rsidRPr="00AF0D50">
        <w:rPr>
          <w:spacing w:val="-4"/>
        </w:rPr>
        <w:t>economy of strong growth in Asia</w:t>
      </w:r>
      <w:r w:rsidRPr="00AF0D50">
        <w:rPr>
          <w:spacing w:val="-4"/>
        </w:rPr>
        <w:t>, presented at Structural Change a</w:t>
      </w:r>
      <w:r w:rsidR="0091651F" w:rsidRPr="00AF0D50">
        <w:rPr>
          <w:spacing w:val="-4"/>
        </w:rPr>
        <w:t>nd the Rise of Asia, Sydney, 19 </w:t>
      </w:r>
      <w:r w:rsidRPr="00AF0D50">
        <w:rPr>
          <w:spacing w:val="-4"/>
        </w:rPr>
        <w:t>September.</w:t>
      </w:r>
    </w:p>
    <w:p w14:paraId="1D0A7165" w14:textId="58883D84" w:rsidR="00B15C33" w:rsidRDefault="00B15C33" w:rsidP="00042209">
      <w:pPr>
        <w:pStyle w:val="Reference"/>
      </w:pPr>
      <w:r>
        <w:lastRenderedPageBreak/>
        <w:t xml:space="preserve">RBA </w:t>
      </w:r>
      <w:proofErr w:type="spellStart"/>
      <w:r>
        <w:t>2017a</w:t>
      </w:r>
      <w:proofErr w:type="spellEnd"/>
      <w:r>
        <w:t xml:space="preserve">, Consumer </w:t>
      </w:r>
      <w:r w:rsidR="0091651F">
        <w:t>p</w:t>
      </w:r>
      <w:r>
        <w:t xml:space="preserve">rice </w:t>
      </w:r>
      <w:r w:rsidR="0091651F">
        <w:t>i</w:t>
      </w:r>
      <w:r>
        <w:t xml:space="preserve">nflation, </w:t>
      </w:r>
      <w:r w:rsidR="00EE434A">
        <w:t>t</w:t>
      </w:r>
      <w:r>
        <w:t xml:space="preserve">able </w:t>
      </w:r>
      <w:proofErr w:type="spellStart"/>
      <w:r>
        <w:t>G1</w:t>
      </w:r>
      <w:proofErr w:type="spellEnd"/>
      <w:r>
        <w:t>, Sydney.</w:t>
      </w:r>
    </w:p>
    <w:p w14:paraId="1D0A7166" w14:textId="012B311D" w:rsidR="00B15C33" w:rsidRDefault="00B15C33" w:rsidP="00042209">
      <w:pPr>
        <w:pStyle w:val="Reference"/>
      </w:pPr>
      <w:r>
        <w:t>——</w:t>
      </w:r>
      <w:r w:rsidR="0053562A">
        <w:t> </w:t>
      </w:r>
      <w:proofErr w:type="spellStart"/>
      <w:r>
        <w:t>2017b</w:t>
      </w:r>
      <w:proofErr w:type="spellEnd"/>
      <w:r>
        <w:t xml:space="preserve">, Statement on </w:t>
      </w:r>
      <w:r w:rsidR="0091651F">
        <w:t>m</w:t>
      </w:r>
      <w:r>
        <w:t xml:space="preserve">onetary </w:t>
      </w:r>
      <w:r w:rsidR="0091651F">
        <w:t>p</w:t>
      </w:r>
      <w:r>
        <w:t>olicy, May 2017, Sydney.</w:t>
      </w:r>
    </w:p>
    <w:p w14:paraId="1D0A7167" w14:textId="658209E3" w:rsidR="00B15C33" w:rsidRDefault="00B15C33" w:rsidP="00042209">
      <w:pPr>
        <w:pStyle w:val="Reference"/>
      </w:pPr>
      <w:r>
        <w:t xml:space="preserve">Reinhart, C., Reinhart, V. and Rogoff, K. 2012, ‘Public </w:t>
      </w:r>
      <w:r w:rsidR="0091651F">
        <w:t>d</w:t>
      </w:r>
      <w:r>
        <w:t xml:space="preserve">ebt </w:t>
      </w:r>
      <w:r w:rsidR="0091651F">
        <w:t>o</w:t>
      </w:r>
      <w:r>
        <w:t>verhangs: Advanced</w:t>
      </w:r>
      <w:r w:rsidR="00EE434A">
        <w:noBreakHyphen/>
      </w:r>
      <w:r w:rsidR="0091651F">
        <w:t>e</w:t>
      </w:r>
      <w:r>
        <w:t xml:space="preserve">conomy </w:t>
      </w:r>
      <w:r w:rsidR="0091651F">
        <w:t>e</w:t>
      </w:r>
      <w:r>
        <w:t xml:space="preserve">pisodes since 1800’, </w:t>
      </w:r>
      <w:r w:rsidRPr="008A3DBA">
        <w:rPr>
          <w:i/>
        </w:rPr>
        <w:t>Journal of Economic Perspectives</w:t>
      </w:r>
      <w:r>
        <w:t>, vol. 26, no. 3, pp. 69–86.</w:t>
      </w:r>
    </w:p>
    <w:p w14:paraId="1D0A7168" w14:textId="77777777" w:rsidR="00B15C33" w:rsidRDefault="00B15C33" w:rsidP="00042209">
      <w:pPr>
        <w:pStyle w:val="Reference"/>
      </w:pPr>
      <w:r>
        <w:t xml:space="preserve">—— and Rogoff, K. 2010, ‘Growth in a time of debt’, </w:t>
      </w:r>
      <w:r w:rsidRPr="008A3DBA">
        <w:rPr>
          <w:i/>
        </w:rPr>
        <w:t>The American Economic Review</w:t>
      </w:r>
      <w:r>
        <w:t>, vol. 100, no. 2, pp. 573–578.</w:t>
      </w:r>
    </w:p>
    <w:p w14:paraId="1D0A7169" w14:textId="2CC9BB1B" w:rsidR="00B15C33" w:rsidRDefault="00B15C33" w:rsidP="00042209">
      <w:pPr>
        <w:pStyle w:val="Reference"/>
      </w:pPr>
      <w:proofErr w:type="spellStart"/>
      <w:r>
        <w:t>Ristuccia</w:t>
      </w:r>
      <w:proofErr w:type="spellEnd"/>
      <w:r>
        <w:t xml:space="preserve">, C.A. and </w:t>
      </w:r>
      <w:proofErr w:type="spellStart"/>
      <w:r>
        <w:t>Solomou</w:t>
      </w:r>
      <w:proofErr w:type="spellEnd"/>
      <w:r>
        <w:t xml:space="preserve">, S. 2002, Electricity </w:t>
      </w:r>
      <w:r w:rsidR="0091651F">
        <w:t>d</w:t>
      </w:r>
      <w:r>
        <w:t xml:space="preserve">iffusion and </w:t>
      </w:r>
      <w:r w:rsidR="0091651F">
        <w:t>t</w:t>
      </w:r>
      <w:r>
        <w:t xml:space="preserve">rend </w:t>
      </w:r>
      <w:r w:rsidR="0091651F">
        <w:t>a</w:t>
      </w:r>
      <w:r>
        <w:t xml:space="preserve">cceleration in </w:t>
      </w:r>
      <w:r w:rsidR="0091651F">
        <w:t>i</w:t>
      </w:r>
      <w:r>
        <w:t>nter</w:t>
      </w:r>
      <w:r w:rsidR="00EE434A">
        <w:noBreakHyphen/>
      </w:r>
      <w:r w:rsidR="0091651F">
        <w:t>w</w:t>
      </w:r>
      <w:r>
        <w:t xml:space="preserve">ar </w:t>
      </w:r>
      <w:r w:rsidR="0091651F">
        <w:t>m</w:t>
      </w:r>
      <w:r>
        <w:t xml:space="preserve">anufacturing </w:t>
      </w:r>
      <w:r w:rsidR="0091651F">
        <w:t>p</w:t>
      </w:r>
      <w:r>
        <w:t>roductivity, Economics Working Paper, 202, University of Cambridge, Ca</w:t>
      </w:r>
      <w:r w:rsidR="008A3DBA">
        <w:t>m</w:t>
      </w:r>
      <w:r>
        <w:t>bridge.</w:t>
      </w:r>
    </w:p>
    <w:p w14:paraId="1D0A716A" w14:textId="10523AA3" w:rsidR="00B15C33" w:rsidRDefault="00B15C33" w:rsidP="00042209">
      <w:pPr>
        <w:pStyle w:val="Reference"/>
      </w:pPr>
      <w:r>
        <w:t xml:space="preserve">Rodrick, D. 2015, Premature </w:t>
      </w:r>
      <w:r w:rsidR="0091651F">
        <w:t>d</w:t>
      </w:r>
      <w:r>
        <w:t xml:space="preserve">eindustrialisation, </w:t>
      </w:r>
      <w:proofErr w:type="spellStart"/>
      <w:r>
        <w:t>NBER</w:t>
      </w:r>
      <w:proofErr w:type="spellEnd"/>
      <w:r>
        <w:t xml:space="preserve"> Working Paper, 20935.</w:t>
      </w:r>
    </w:p>
    <w:p w14:paraId="1D0A716B" w14:textId="77777777" w:rsidR="00B15C33" w:rsidRDefault="00B15C33" w:rsidP="00042209">
      <w:pPr>
        <w:pStyle w:val="Reference"/>
      </w:pPr>
      <w:proofErr w:type="spellStart"/>
      <w:r>
        <w:t>Shahiduzzaman</w:t>
      </w:r>
      <w:proofErr w:type="spellEnd"/>
      <w:r>
        <w:t xml:space="preserve">, M., Layton, A. and </w:t>
      </w:r>
      <w:proofErr w:type="spellStart"/>
      <w:r>
        <w:t>Alam</w:t>
      </w:r>
      <w:proofErr w:type="spellEnd"/>
      <w:r>
        <w:t xml:space="preserve">, K. 2015, ‘On the contribution of information and communication technology to productivity growth in Australia’, </w:t>
      </w:r>
      <w:r w:rsidRPr="008A3DBA">
        <w:rPr>
          <w:i/>
        </w:rPr>
        <w:t>Economic Change and Restructuring</w:t>
      </w:r>
      <w:r>
        <w:t>, vol. 48, no. 3–4, pp. 281–304.</w:t>
      </w:r>
    </w:p>
    <w:p w14:paraId="1D0A716C" w14:textId="7543385E" w:rsidR="00B15C33" w:rsidRDefault="00B15C33" w:rsidP="00042209">
      <w:pPr>
        <w:pStyle w:val="Reference"/>
      </w:pPr>
      <w:r>
        <w:t xml:space="preserve">Solow, </w:t>
      </w:r>
      <w:proofErr w:type="spellStart"/>
      <w:r>
        <w:t>R.M</w:t>
      </w:r>
      <w:proofErr w:type="spellEnd"/>
      <w:r>
        <w:t xml:space="preserve">. 1956, ‘A </w:t>
      </w:r>
      <w:r w:rsidR="0091651F">
        <w:t>c</w:t>
      </w:r>
      <w:r>
        <w:t xml:space="preserve">ontribution to the </w:t>
      </w:r>
      <w:r w:rsidR="0091651F">
        <w:t>t</w:t>
      </w:r>
      <w:r>
        <w:t xml:space="preserve">heory of </w:t>
      </w:r>
      <w:r w:rsidR="0091651F">
        <w:t>e</w:t>
      </w:r>
      <w:r>
        <w:t xml:space="preserve">conomic </w:t>
      </w:r>
      <w:r w:rsidR="0091651F">
        <w:t>g</w:t>
      </w:r>
      <w:r>
        <w:t xml:space="preserve">rowth’, </w:t>
      </w:r>
      <w:r w:rsidRPr="008A3DBA">
        <w:rPr>
          <w:i/>
        </w:rPr>
        <w:t>Quarterly Journal of Economics</w:t>
      </w:r>
      <w:r>
        <w:t>, vol. 70, no. 1, pp. 65–94.</w:t>
      </w:r>
    </w:p>
    <w:p w14:paraId="1D0A716D" w14:textId="1FBBE34E" w:rsidR="00B15C33" w:rsidRDefault="00B15C33" w:rsidP="00042209">
      <w:pPr>
        <w:pStyle w:val="Reference"/>
      </w:pPr>
      <w:r>
        <w:t xml:space="preserve">Summers, L. 2016, Secular </w:t>
      </w:r>
      <w:r w:rsidR="00D57073">
        <w:t>s</w:t>
      </w:r>
      <w:r>
        <w:t xml:space="preserve">tagnation and </w:t>
      </w:r>
      <w:r w:rsidR="00D57073">
        <w:t>m</w:t>
      </w:r>
      <w:r>
        <w:t xml:space="preserve">onetary </w:t>
      </w:r>
      <w:r w:rsidR="00D57073">
        <w:t>p</w:t>
      </w:r>
      <w:r>
        <w:t>olicy, Federal Reserve Bank of St. Louis Review, Second Quarter 2016, Federal Reserve Bank of St. Louis.</w:t>
      </w:r>
    </w:p>
    <w:p w14:paraId="1D0A716E" w14:textId="45D04EA2" w:rsidR="00B15C33" w:rsidRDefault="00B15C33" w:rsidP="00042209">
      <w:pPr>
        <w:pStyle w:val="Reference"/>
      </w:pPr>
      <w:r>
        <w:t xml:space="preserve">Swan, </w:t>
      </w:r>
      <w:proofErr w:type="spellStart"/>
      <w:r>
        <w:t>T.W</w:t>
      </w:r>
      <w:proofErr w:type="spellEnd"/>
      <w:r>
        <w:t xml:space="preserve">. 1956, ‘Economic </w:t>
      </w:r>
      <w:r w:rsidR="00D57073">
        <w:t>g</w:t>
      </w:r>
      <w:r>
        <w:t xml:space="preserve">rowth and </w:t>
      </w:r>
      <w:r w:rsidR="00D57073">
        <w:t>c</w:t>
      </w:r>
      <w:r>
        <w:t xml:space="preserve">apital </w:t>
      </w:r>
      <w:r w:rsidR="00D57073">
        <w:t>a</w:t>
      </w:r>
      <w:r>
        <w:t xml:space="preserve">ccumulation’, </w:t>
      </w:r>
      <w:r w:rsidRPr="001C1964">
        <w:rPr>
          <w:i/>
        </w:rPr>
        <w:t>Economic Record</w:t>
      </w:r>
      <w:r>
        <w:t>, vol. 32, no. 63, pp. 334–361.</w:t>
      </w:r>
    </w:p>
    <w:p w14:paraId="1D0A716F" w14:textId="63E872E7" w:rsidR="00B15C33" w:rsidRDefault="00B15C33" w:rsidP="00042209">
      <w:pPr>
        <w:pStyle w:val="Reference"/>
      </w:pPr>
      <w:proofErr w:type="spellStart"/>
      <w:r>
        <w:t>Syverson</w:t>
      </w:r>
      <w:proofErr w:type="spellEnd"/>
      <w:r>
        <w:t xml:space="preserve">, C. 2013, Will </w:t>
      </w:r>
      <w:r w:rsidR="00D57073">
        <w:t>h</w:t>
      </w:r>
      <w:r>
        <w:t xml:space="preserve">istory </w:t>
      </w:r>
      <w:r w:rsidR="00D57073">
        <w:t>r</w:t>
      </w:r>
      <w:r>
        <w:t xml:space="preserve">epeat </w:t>
      </w:r>
      <w:r w:rsidR="00D57073">
        <w:t>i</w:t>
      </w:r>
      <w:r>
        <w:t xml:space="preserve">tself? Comments on ‘Is the </w:t>
      </w:r>
      <w:r w:rsidR="00D57073">
        <w:t>information t</w:t>
      </w:r>
      <w:r>
        <w:t xml:space="preserve">echnology </w:t>
      </w:r>
      <w:r w:rsidR="00D57073">
        <w:t>r</w:t>
      </w:r>
      <w:r>
        <w:t xml:space="preserve">evolution </w:t>
      </w:r>
      <w:r w:rsidR="00D57073">
        <w:t>o</w:t>
      </w:r>
      <w:r>
        <w:t xml:space="preserve">ver’, </w:t>
      </w:r>
      <w:r w:rsidRPr="008A3DBA">
        <w:rPr>
          <w:i/>
        </w:rPr>
        <w:t>International Productivity Monitor</w:t>
      </w:r>
      <w:r>
        <w:t>, No. 25.</w:t>
      </w:r>
    </w:p>
    <w:p w14:paraId="1D0A7170" w14:textId="46FE7199" w:rsidR="00B15C33" w:rsidRDefault="00B15C33" w:rsidP="00042209">
      <w:pPr>
        <w:pStyle w:val="Reference"/>
      </w:pPr>
      <w:r>
        <w:t>——</w:t>
      </w:r>
      <w:r w:rsidR="0053562A">
        <w:t> </w:t>
      </w:r>
      <w:r>
        <w:t xml:space="preserve">2016, Challenges to </w:t>
      </w:r>
      <w:r w:rsidR="00D57073">
        <w:t>m</w:t>
      </w:r>
      <w:r>
        <w:t xml:space="preserve">ismeasurement </w:t>
      </w:r>
      <w:r w:rsidR="00D57073">
        <w:t>e</w:t>
      </w:r>
      <w:r>
        <w:t xml:space="preserve">xplanations for the US </w:t>
      </w:r>
      <w:r w:rsidR="00D57073">
        <w:t>p</w:t>
      </w:r>
      <w:r>
        <w:t xml:space="preserve">roductivity </w:t>
      </w:r>
      <w:r w:rsidR="00D57073">
        <w:t>s</w:t>
      </w:r>
      <w:r>
        <w:t xml:space="preserve">lowdown, </w:t>
      </w:r>
      <w:proofErr w:type="spellStart"/>
      <w:r>
        <w:t>NBER</w:t>
      </w:r>
      <w:proofErr w:type="spellEnd"/>
      <w:r>
        <w:t xml:space="preserve"> Working Paper, February, National Bureau of Economic Research, United States.</w:t>
      </w:r>
    </w:p>
    <w:p w14:paraId="1D0A7171" w14:textId="77777777" w:rsidR="00B15C33" w:rsidRDefault="00B15C33" w:rsidP="00042209">
      <w:pPr>
        <w:pStyle w:val="Reference"/>
      </w:pPr>
      <w:r>
        <w:t>The Conference Board 2017, Total Economy Database - May 2017.</w:t>
      </w:r>
    </w:p>
    <w:p w14:paraId="1D0A7172" w14:textId="08A81151" w:rsidR="00B15C33" w:rsidRDefault="00B15C33" w:rsidP="00042209">
      <w:pPr>
        <w:pStyle w:val="Reference"/>
      </w:pPr>
      <w:proofErr w:type="spellStart"/>
      <w:r>
        <w:t>Tisdell</w:t>
      </w:r>
      <w:proofErr w:type="spellEnd"/>
      <w:r>
        <w:t xml:space="preserve">, C. 2017, ‘Information </w:t>
      </w:r>
      <w:r w:rsidR="00D57073">
        <w:t>t</w:t>
      </w:r>
      <w:r>
        <w:t xml:space="preserve">echnology’s </w:t>
      </w:r>
      <w:r w:rsidR="00D57073">
        <w:t>i</w:t>
      </w:r>
      <w:r>
        <w:t xml:space="preserve">mpacts on </w:t>
      </w:r>
      <w:r w:rsidR="00D57073">
        <w:t>p</w:t>
      </w:r>
      <w:r>
        <w:t xml:space="preserve">roductivity and </w:t>
      </w:r>
      <w:r w:rsidR="00D57073">
        <w:t>w</w:t>
      </w:r>
      <w:r>
        <w:t xml:space="preserve">elfare: </w:t>
      </w:r>
      <w:r w:rsidR="00D57073">
        <w:t>A</w:t>
      </w:r>
      <w:r>
        <w:t xml:space="preserve"> </w:t>
      </w:r>
      <w:r w:rsidR="00D57073">
        <w:t>r</w:t>
      </w:r>
      <w:r>
        <w:t xml:space="preserve">eview’, </w:t>
      </w:r>
      <w:r w:rsidRPr="008A3DBA">
        <w:rPr>
          <w:i/>
        </w:rPr>
        <w:t>International Journal of Social Economics</w:t>
      </w:r>
      <w:r>
        <w:t>, vol. 44, no. 3, pp. 400–413.</w:t>
      </w:r>
    </w:p>
    <w:p w14:paraId="1D0A7173" w14:textId="77777777" w:rsidR="00B15C33" w:rsidRDefault="00B15C33" w:rsidP="00042209">
      <w:pPr>
        <w:pStyle w:val="Reference"/>
      </w:pPr>
      <w:proofErr w:type="spellStart"/>
      <w:r>
        <w:t>Topp</w:t>
      </w:r>
      <w:proofErr w:type="spellEnd"/>
      <w:r>
        <w:t xml:space="preserve">, V. and </w:t>
      </w:r>
      <w:proofErr w:type="spellStart"/>
      <w:r>
        <w:t>Kulys</w:t>
      </w:r>
      <w:proofErr w:type="spellEnd"/>
      <w:r>
        <w:t xml:space="preserve">, T. 2012, </w:t>
      </w:r>
      <w:r w:rsidRPr="008A3DBA">
        <w:rPr>
          <w:i/>
        </w:rPr>
        <w:t>Productivity in Electricity, Gas and Water: Measurement and Interpretation</w:t>
      </w:r>
      <w:r>
        <w:t>, Productivity Commission Staff Working Paper, Canberra.</w:t>
      </w:r>
    </w:p>
    <w:p w14:paraId="1D0A7174" w14:textId="7D8BB995" w:rsidR="00B15C33" w:rsidRDefault="00B15C33" w:rsidP="00042209">
      <w:pPr>
        <w:pStyle w:val="Reference"/>
      </w:pPr>
      <w:r>
        <w:t xml:space="preserve">——, Soames, L., Parham, D. and Bloch, H. 2008, </w:t>
      </w:r>
      <w:r w:rsidRPr="008A3DBA">
        <w:rPr>
          <w:i/>
        </w:rPr>
        <w:t>Productivity in the Mining Industry: Measurement and Interpretation</w:t>
      </w:r>
      <w:r>
        <w:t>, Staff Working Paper, Productivity Co</w:t>
      </w:r>
      <w:r w:rsidR="00E633E9">
        <w:t>m</w:t>
      </w:r>
      <w:r>
        <w:t>mission, Canberra.</w:t>
      </w:r>
    </w:p>
    <w:p w14:paraId="1D0A7175" w14:textId="342D9310" w:rsidR="00B15C33" w:rsidRDefault="00B15C33" w:rsidP="00042209">
      <w:pPr>
        <w:pStyle w:val="Reference"/>
      </w:pPr>
      <w:r>
        <w:t xml:space="preserve">Wilkins, R. 2016, </w:t>
      </w:r>
      <w:r w:rsidRPr="00D57073">
        <w:rPr>
          <w:i/>
        </w:rPr>
        <w:t>The Household, Income and Labour Dynamics in Australia Survey: Selected Findings from Waves 1 to 14</w:t>
      </w:r>
      <w:r w:rsidR="00D57073">
        <w:t>,</w:t>
      </w:r>
      <w:r>
        <w:t xml:space="preserve"> the 11th Annual Statistical Report of the HILDA Survey, Melbourne Institute of Applied Economic and Social Research, University of Melbourne.</w:t>
      </w:r>
    </w:p>
    <w:p w14:paraId="1D0A7176" w14:textId="09753965" w:rsidR="00B15C33" w:rsidRDefault="00B15C33" w:rsidP="00042209">
      <w:pPr>
        <w:pStyle w:val="Reference"/>
      </w:pPr>
      <w:r>
        <w:lastRenderedPageBreak/>
        <w:t>——</w:t>
      </w:r>
      <w:r w:rsidR="0053562A">
        <w:t> </w:t>
      </w:r>
      <w:r>
        <w:t xml:space="preserve">2017, ‘Income inequality exists in Australia, but the true picture may not be as bad as you thought’, </w:t>
      </w:r>
      <w:r w:rsidRPr="008265A6">
        <w:rPr>
          <w:i/>
        </w:rPr>
        <w:t>The Conversation</w:t>
      </w:r>
      <w:r>
        <w:t>, 20 June.</w:t>
      </w:r>
    </w:p>
    <w:p w14:paraId="1D0A7177" w14:textId="66247757" w:rsidR="00B95A25" w:rsidRPr="008F7CF1" w:rsidRDefault="00B15C33" w:rsidP="00C85280">
      <w:pPr>
        <w:pStyle w:val="Reference"/>
      </w:pPr>
      <w:r>
        <w:t xml:space="preserve">World Bank 2014, </w:t>
      </w:r>
      <w:r w:rsidRPr="00D06467">
        <w:rPr>
          <w:i/>
        </w:rPr>
        <w:t xml:space="preserve">Purchasing </w:t>
      </w:r>
      <w:r w:rsidR="00C85280" w:rsidRPr="00D06467">
        <w:rPr>
          <w:i/>
        </w:rPr>
        <w:t>P</w:t>
      </w:r>
      <w:r w:rsidRPr="00D06467">
        <w:rPr>
          <w:i/>
        </w:rPr>
        <w:t xml:space="preserve">ower </w:t>
      </w:r>
      <w:r w:rsidR="00C85280" w:rsidRPr="00D06467">
        <w:rPr>
          <w:i/>
        </w:rPr>
        <w:t>P</w:t>
      </w:r>
      <w:r w:rsidRPr="00D06467">
        <w:rPr>
          <w:i/>
        </w:rPr>
        <w:t xml:space="preserve">arities and the </w:t>
      </w:r>
      <w:r w:rsidR="00C85280" w:rsidRPr="00D06467">
        <w:rPr>
          <w:i/>
        </w:rPr>
        <w:t>R</w:t>
      </w:r>
      <w:r w:rsidRPr="00D06467">
        <w:rPr>
          <w:i/>
        </w:rPr>
        <w:t xml:space="preserve">eal </w:t>
      </w:r>
      <w:r w:rsidR="00C85280" w:rsidRPr="00D06467">
        <w:rPr>
          <w:i/>
        </w:rPr>
        <w:t>S</w:t>
      </w:r>
      <w:r w:rsidRPr="00D06467">
        <w:rPr>
          <w:i/>
        </w:rPr>
        <w:t xml:space="preserve">ize of </w:t>
      </w:r>
      <w:r w:rsidR="00C85280" w:rsidRPr="00D06467">
        <w:rPr>
          <w:i/>
        </w:rPr>
        <w:t>W</w:t>
      </w:r>
      <w:r w:rsidRPr="00D06467">
        <w:rPr>
          <w:i/>
        </w:rPr>
        <w:t xml:space="preserve">orld </w:t>
      </w:r>
      <w:r w:rsidR="00C85280" w:rsidRPr="00D06467">
        <w:rPr>
          <w:i/>
        </w:rPr>
        <w:t>E</w:t>
      </w:r>
      <w:r w:rsidRPr="00D06467">
        <w:rPr>
          <w:i/>
        </w:rPr>
        <w:t>conomies</w:t>
      </w:r>
      <w:r>
        <w:t xml:space="preserve">, </w:t>
      </w:r>
      <w:r w:rsidR="00C85280">
        <w:t>A Comprehensive Report of the 2011 International Comparison Program, Washington, DC</w:t>
      </w:r>
      <w:r w:rsidR="002F7668">
        <w:t>, 20 November</w:t>
      </w:r>
      <w:r w:rsidR="00042209">
        <w:t>.</w:t>
      </w:r>
    </w:p>
    <w:sectPr w:rsidR="00B95A25" w:rsidRPr="008F7CF1" w:rsidSect="00A829EE">
      <w:type w:val="oddPage"/>
      <w:pgSz w:w="11907" w:h="16840" w:code="9"/>
      <w:pgMar w:top="1985" w:right="1304" w:bottom="1247" w:left="1814" w:header="1701" w:footer="397" w:gutter="0"/>
      <w:pgNumType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8E22EB" w14:textId="77777777" w:rsidR="00C70086" w:rsidRDefault="00C70086">
      <w:r>
        <w:separator/>
      </w:r>
    </w:p>
  </w:endnote>
  <w:endnote w:type="continuationSeparator" w:id="0">
    <w:p w14:paraId="5FC37158" w14:textId="77777777" w:rsidR="00C70086" w:rsidRDefault="00C70086">
      <w:r>
        <w:continuationSeparator/>
      </w:r>
    </w:p>
  </w:endnote>
  <w:endnote w:type="continuationNotice" w:id="1">
    <w:p w14:paraId="1B1FB1A4" w14:textId="77777777" w:rsidR="00C70086" w:rsidRDefault="00C700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C70086" w14:paraId="1D0A71CB" w14:textId="77777777" w:rsidTr="005F48ED">
      <w:trPr>
        <w:trHeight w:hRule="exact" w:val="567"/>
      </w:trPr>
      <w:tc>
        <w:tcPr>
          <w:tcW w:w="510" w:type="dxa"/>
        </w:tcPr>
        <w:p w14:paraId="1D0A71C8" w14:textId="77777777" w:rsidR="00C70086" w:rsidRDefault="00C70086">
          <w:pPr>
            <w:pStyle w:val="Footer"/>
            <w:ind w:right="360" w:firstLine="360"/>
          </w:pPr>
        </w:p>
      </w:tc>
      <w:tc>
        <w:tcPr>
          <w:tcW w:w="7767" w:type="dxa"/>
        </w:tcPr>
        <w:p w14:paraId="1D0A71C9" w14:textId="37E6EF93" w:rsidR="00C70086" w:rsidRPr="00BA5B14" w:rsidRDefault="00C70086" w:rsidP="00685D44">
          <w:pPr>
            <w:pStyle w:val="Footer"/>
            <w:jc w:val="right"/>
            <w:rPr>
              <w:rFonts w:cs="Arial"/>
            </w:rPr>
          </w:pPr>
          <w:r>
            <w:rPr>
              <w:rFonts w:cs="Arial"/>
            </w:rPr>
            <w:t>sp 1</w:t>
          </w:r>
          <w:r>
            <w:t xml:space="preserve"> – </w:t>
          </w:r>
          <w:r>
            <w:rPr>
              <w:rFonts w:cs="Arial"/>
            </w:rPr>
            <w:t>PRODUCTIVITY and income – the australian story</w:t>
          </w:r>
        </w:p>
      </w:tc>
      <w:tc>
        <w:tcPr>
          <w:tcW w:w="510" w:type="dxa"/>
        </w:tcPr>
        <w:p w14:paraId="1D0A71CA" w14:textId="77777777" w:rsidR="00C70086" w:rsidRPr="00A24443" w:rsidRDefault="00C70086">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767EE9">
            <w:rPr>
              <w:rStyle w:val="PageNumber"/>
              <w:caps w:val="0"/>
              <w:noProof/>
            </w:rPr>
            <w:t>1</w:t>
          </w:r>
          <w:r w:rsidRPr="00A24443">
            <w:rPr>
              <w:rStyle w:val="PageNumber"/>
              <w:caps w:val="0"/>
            </w:rPr>
            <w:fldChar w:fldCharType="end"/>
          </w:r>
        </w:p>
      </w:tc>
    </w:tr>
  </w:tbl>
  <w:p w14:paraId="1D0A71CC" w14:textId="77777777" w:rsidR="00C70086" w:rsidRDefault="00C70086">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C70086" w14:paraId="1D0A71D8" w14:textId="77777777" w:rsidTr="005F48ED">
      <w:trPr>
        <w:trHeight w:hRule="exact" w:val="567"/>
      </w:trPr>
      <w:tc>
        <w:tcPr>
          <w:tcW w:w="510" w:type="dxa"/>
        </w:tcPr>
        <w:p w14:paraId="1D0A71D5" w14:textId="77777777" w:rsidR="00C70086" w:rsidRPr="00A24443" w:rsidRDefault="00C70086"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767EE9">
            <w:rPr>
              <w:rStyle w:val="PageNumber"/>
              <w:caps w:val="0"/>
              <w:noProof/>
            </w:rPr>
            <w:t>62</w:t>
          </w:r>
          <w:r w:rsidRPr="00A24443">
            <w:rPr>
              <w:rStyle w:val="PageNumber"/>
              <w:caps w:val="0"/>
            </w:rPr>
            <w:fldChar w:fldCharType="end"/>
          </w:r>
        </w:p>
      </w:tc>
      <w:tc>
        <w:tcPr>
          <w:tcW w:w="7767" w:type="dxa"/>
        </w:tcPr>
        <w:p w14:paraId="1D0A71D6" w14:textId="77777777" w:rsidR="00C70086" w:rsidRPr="0013739A" w:rsidRDefault="00C70086" w:rsidP="0013739A">
          <w:pPr>
            <w:pStyle w:val="Footer"/>
            <w:rPr>
              <w:rFonts w:cs="Arial"/>
            </w:rPr>
          </w:pPr>
          <w:r>
            <w:rPr>
              <w:rFonts w:cs="Arial"/>
            </w:rPr>
            <w:t>Productivity Review</w:t>
          </w:r>
        </w:p>
      </w:tc>
      <w:tc>
        <w:tcPr>
          <w:tcW w:w="510" w:type="dxa"/>
        </w:tcPr>
        <w:p w14:paraId="1D0A71D7" w14:textId="77777777" w:rsidR="00C70086" w:rsidRDefault="00C70086" w:rsidP="0019293B">
          <w:pPr>
            <w:pStyle w:val="Footer"/>
          </w:pPr>
        </w:p>
      </w:tc>
    </w:tr>
  </w:tbl>
  <w:p w14:paraId="1D0A71D9" w14:textId="77777777" w:rsidR="00C70086" w:rsidRDefault="00C70086" w:rsidP="0019293B">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C70086" w14:paraId="1D0A71DD" w14:textId="77777777" w:rsidTr="005F48ED">
      <w:trPr>
        <w:trHeight w:hRule="exact" w:val="567"/>
      </w:trPr>
      <w:tc>
        <w:tcPr>
          <w:tcW w:w="510" w:type="dxa"/>
        </w:tcPr>
        <w:p w14:paraId="1D0A71DA" w14:textId="77777777" w:rsidR="00C70086" w:rsidRDefault="00C70086">
          <w:pPr>
            <w:pStyle w:val="Footer"/>
            <w:ind w:right="360" w:firstLine="360"/>
          </w:pPr>
        </w:p>
      </w:tc>
      <w:tc>
        <w:tcPr>
          <w:tcW w:w="7767" w:type="dxa"/>
        </w:tcPr>
        <w:p w14:paraId="1D0A71DB" w14:textId="5A881F9D" w:rsidR="00C70086" w:rsidRPr="00BA5B14" w:rsidRDefault="00C70086" w:rsidP="006A0C1E">
          <w:pPr>
            <w:pStyle w:val="Footer"/>
            <w:jc w:val="right"/>
            <w:rPr>
              <w:rFonts w:cs="Arial"/>
            </w:rPr>
          </w:pPr>
          <w:r>
            <w:rPr>
              <w:rFonts w:cs="Arial"/>
            </w:rPr>
            <w:t>sp 1</w:t>
          </w:r>
          <w:r>
            <w:t xml:space="preserve"> – </w:t>
          </w:r>
          <w:r>
            <w:rPr>
              <w:rFonts w:cs="Arial"/>
            </w:rPr>
            <w:t>PRODUCTIVITY and income – the australian story</w:t>
          </w:r>
        </w:p>
      </w:tc>
      <w:tc>
        <w:tcPr>
          <w:tcW w:w="510" w:type="dxa"/>
        </w:tcPr>
        <w:p w14:paraId="1D0A71DC" w14:textId="77777777" w:rsidR="00C70086" w:rsidRPr="00A24443" w:rsidRDefault="00C70086">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767EE9">
            <w:rPr>
              <w:rStyle w:val="PageNumber"/>
              <w:caps w:val="0"/>
              <w:noProof/>
            </w:rPr>
            <w:t>61</w:t>
          </w:r>
          <w:r w:rsidRPr="00A24443">
            <w:rPr>
              <w:rStyle w:val="PageNumber"/>
              <w:caps w:val="0"/>
            </w:rPr>
            <w:fldChar w:fldCharType="end"/>
          </w:r>
        </w:p>
      </w:tc>
    </w:tr>
  </w:tbl>
  <w:p w14:paraId="1D0A71DE" w14:textId="77777777" w:rsidR="00C70086" w:rsidRDefault="00C70086">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E0B864" w14:textId="77777777" w:rsidR="00C70086" w:rsidRDefault="00C70086">
      <w:r>
        <w:separator/>
      </w:r>
    </w:p>
  </w:footnote>
  <w:footnote w:type="continuationSeparator" w:id="0">
    <w:p w14:paraId="105015DC" w14:textId="77777777" w:rsidR="00C70086" w:rsidRDefault="00C70086">
      <w:r>
        <w:continuationSeparator/>
      </w:r>
    </w:p>
  </w:footnote>
  <w:footnote w:type="continuationNotice" w:id="1">
    <w:p w14:paraId="5EA711FF" w14:textId="77777777" w:rsidR="00C70086" w:rsidRDefault="00C70086"/>
  </w:footnote>
  <w:footnote w:id="2">
    <w:p w14:paraId="1D0A71DF" w14:textId="77777777" w:rsidR="00C70086" w:rsidRDefault="00C70086">
      <w:pPr>
        <w:pStyle w:val="FootnoteText"/>
      </w:pPr>
      <w:r w:rsidRPr="00E6296D">
        <w:rPr>
          <w:rStyle w:val="FootnoteReference"/>
        </w:rPr>
        <w:footnoteRef/>
      </w:r>
      <w:r>
        <w:t xml:space="preserve"> Supporting Paper 2 explores the challenges in measuring productivity in the non-market sector. </w:t>
      </w:r>
    </w:p>
  </w:footnote>
  <w:footnote w:id="3">
    <w:p w14:paraId="1D0A71E0" w14:textId="1C0BA6CA" w:rsidR="00C70086" w:rsidRDefault="00C70086" w:rsidP="00687BC0">
      <w:pPr>
        <w:pStyle w:val="FootnoteText"/>
      </w:pPr>
      <w:r w:rsidRPr="00E6296D">
        <w:rPr>
          <w:rStyle w:val="FootnoteReference"/>
        </w:rPr>
        <w:footnoteRef/>
      </w:r>
      <w:r>
        <w:t xml:space="preserve"> </w:t>
      </w:r>
      <w:r>
        <w:tab/>
      </w:r>
      <w:r w:rsidRPr="000729E3">
        <w:t xml:space="preserve">While estimates of the effects of ICT on productivity and output differ, there is a general view that its contribution is positive. For a review of the impact of ICT investment on productivity, </w:t>
      </w:r>
      <w:r>
        <w:t xml:space="preserve">see </w:t>
      </w:r>
      <w:r w:rsidRPr="00627745">
        <w:rPr>
          <w:szCs w:val="24"/>
        </w:rPr>
        <w:t>(PC 2004)</w:t>
      </w:r>
      <w:r>
        <w:t xml:space="preserve"> and </w:t>
      </w:r>
      <w:r w:rsidRPr="00627745">
        <w:rPr>
          <w:szCs w:val="24"/>
        </w:rPr>
        <w:t>(</w:t>
      </w:r>
      <w:proofErr w:type="spellStart"/>
      <w:r w:rsidRPr="00627745">
        <w:rPr>
          <w:szCs w:val="24"/>
        </w:rPr>
        <w:t>Tisdell</w:t>
      </w:r>
      <w:proofErr w:type="spellEnd"/>
      <w:r w:rsidRPr="00627745">
        <w:rPr>
          <w:szCs w:val="24"/>
        </w:rPr>
        <w:t> 2017)</w:t>
      </w:r>
      <w:r w:rsidRPr="000729E3">
        <w:t>.</w:t>
      </w:r>
      <w:r>
        <w:t xml:space="preserve"> Also see </w:t>
      </w:r>
      <w:proofErr w:type="spellStart"/>
      <w:r w:rsidRPr="008D7E65">
        <w:rPr>
          <w:szCs w:val="24"/>
        </w:rPr>
        <w:t>Shah</w:t>
      </w:r>
      <w:r>
        <w:rPr>
          <w:szCs w:val="24"/>
        </w:rPr>
        <w:t>iduzzaman</w:t>
      </w:r>
      <w:proofErr w:type="spellEnd"/>
      <w:r>
        <w:rPr>
          <w:szCs w:val="24"/>
        </w:rPr>
        <w:t xml:space="preserve">, Layton and </w:t>
      </w:r>
      <w:proofErr w:type="spellStart"/>
      <w:r>
        <w:rPr>
          <w:szCs w:val="24"/>
        </w:rPr>
        <w:t>Alam</w:t>
      </w:r>
      <w:proofErr w:type="spellEnd"/>
      <w:r>
        <w:rPr>
          <w:szCs w:val="24"/>
        </w:rPr>
        <w:t> 2015</w:t>
      </w:r>
      <w:r>
        <w:t xml:space="preserve"> for a more recent econometric analysis of the relationship and complementarities between ICT investment, ICT and non</w:t>
      </w:r>
      <w:r>
        <w:noBreakHyphen/>
        <w:t xml:space="preserve">ICT capital deepening, and LP and MFP growth in Australia. </w:t>
      </w:r>
    </w:p>
  </w:footnote>
  <w:footnote w:id="4">
    <w:p w14:paraId="1D0A71E1" w14:textId="7DEEC0CB" w:rsidR="00C70086" w:rsidRDefault="00C70086" w:rsidP="00B11772">
      <w:pPr>
        <w:pStyle w:val="FootnoteText"/>
      </w:pPr>
      <w:r w:rsidRPr="00E6296D">
        <w:rPr>
          <w:rStyle w:val="FootnoteReference"/>
        </w:rPr>
        <w:footnoteRef/>
      </w:r>
      <w:r>
        <w:tab/>
        <w:t>As measured by the 12</w:t>
      </w:r>
      <w:r>
        <w:noBreakHyphen/>
        <w:t>industry market sector. The long</w:t>
      </w:r>
      <w:r>
        <w:noBreakHyphen/>
        <w:t>term (30</w:t>
      </w:r>
      <w:r>
        <w:noBreakHyphen/>
        <w:t>year) average annual growth rate for the whole economy is 1.6 per cent. Trends in LP growth are similar regardless of the industry aggregation.</w:t>
      </w:r>
    </w:p>
  </w:footnote>
  <w:footnote w:id="5">
    <w:p w14:paraId="1D0A71E2" w14:textId="723CD580" w:rsidR="00C70086" w:rsidRDefault="00C70086" w:rsidP="00371FFB">
      <w:pPr>
        <w:pStyle w:val="FootnoteText"/>
      </w:pPr>
      <w:r w:rsidRPr="00E6296D">
        <w:rPr>
          <w:rStyle w:val="FootnoteReference"/>
        </w:rPr>
        <w:footnoteRef/>
      </w:r>
      <w:r>
        <w:tab/>
        <w:t xml:space="preserve">Compared with previous commodities booms in Australia, proportionately less of the income accruing from higher commodities prices will accrue to residents. The foreign ownership share in mining has previously been estimated at 80 per cent </w:t>
      </w:r>
      <w:r w:rsidRPr="00FD4C74">
        <w:rPr>
          <w:szCs w:val="24"/>
        </w:rPr>
        <w:t xml:space="preserve">(Connolly and </w:t>
      </w:r>
      <w:proofErr w:type="spellStart"/>
      <w:r w:rsidRPr="00FD4C74">
        <w:rPr>
          <w:szCs w:val="24"/>
        </w:rPr>
        <w:t>Orsmond</w:t>
      </w:r>
      <w:proofErr w:type="spellEnd"/>
      <w:r w:rsidRPr="00FD4C74">
        <w:rPr>
          <w:szCs w:val="24"/>
        </w:rPr>
        <w:t> 2011)</w:t>
      </w:r>
      <w:r>
        <w:t xml:space="preserve">. While this estimate does not account for Australian ownership of </w:t>
      </w:r>
      <w:r w:rsidRPr="00396353">
        <w:rPr>
          <w:i/>
        </w:rPr>
        <w:t>foreign</w:t>
      </w:r>
      <w:r>
        <w:t xml:space="preserve"> mining assets, and therefore the income gain accruing to residents from a shift in </w:t>
      </w:r>
      <w:r w:rsidRPr="00860D53">
        <w:rPr>
          <w:i/>
        </w:rPr>
        <w:t>global</w:t>
      </w:r>
      <w:r>
        <w:t xml:space="preserve"> commodities prices, it nonetheless indicates that a large share of the gains from improvements in </w:t>
      </w:r>
      <w:r w:rsidRPr="00860D53">
        <w:rPr>
          <w:i/>
        </w:rPr>
        <w:t>Australian</w:t>
      </w:r>
      <w:r>
        <w:t xml:space="preserve"> commodities prices will flow offshore. </w:t>
      </w:r>
    </w:p>
  </w:footnote>
  <w:footnote w:id="6">
    <w:p w14:paraId="1D0A71E3" w14:textId="77777777" w:rsidR="00C70086" w:rsidRDefault="00C70086" w:rsidP="00DA1ECB">
      <w:pPr>
        <w:pStyle w:val="FootnoteText"/>
      </w:pPr>
      <w:r w:rsidRPr="00E6296D">
        <w:rPr>
          <w:rStyle w:val="FootnoteReference"/>
        </w:rPr>
        <w:footnoteRef/>
      </w:r>
      <w:r>
        <w:t xml:space="preserve"> </w:t>
      </w:r>
      <w:r>
        <w:tab/>
        <w:t>Adjusted according to long</w:t>
      </w:r>
      <w:r>
        <w:noBreakHyphen/>
        <w:t>run observed realisation ratios for the current period estimate of capex.</w:t>
      </w:r>
    </w:p>
  </w:footnote>
  <w:footnote w:id="7">
    <w:p w14:paraId="1D0A71E4" w14:textId="56F297C9" w:rsidR="00C70086" w:rsidRDefault="00C70086">
      <w:pPr>
        <w:pStyle w:val="FootnoteText"/>
      </w:pPr>
      <w:r w:rsidRPr="00E6296D">
        <w:rPr>
          <w:rStyle w:val="FootnoteReference"/>
        </w:rPr>
        <w:footnoteRef/>
      </w:r>
      <w:r>
        <w:tab/>
        <w:t xml:space="preserve">See Lane and </w:t>
      </w:r>
      <w:proofErr w:type="spellStart"/>
      <w:r>
        <w:t>Rosewall</w:t>
      </w:r>
      <w:proofErr w:type="spellEnd"/>
      <w:r>
        <w:t xml:space="preserve"> </w:t>
      </w:r>
      <w:r w:rsidRPr="00787668">
        <w:t>(2015)</w:t>
      </w:r>
      <w:r>
        <w:t xml:space="preserve"> for a discussion of these indicators, how different businesses interpret surveys, and what this may imply for overall investment. </w:t>
      </w:r>
    </w:p>
  </w:footnote>
  <w:footnote w:id="8">
    <w:p w14:paraId="1D0A71E5" w14:textId="234B3CA5" w:rsidR="00C70086" w:rsidRDefault="00C70086" w:rsidP="003D4855">
      <w:pPr>
        <w:pStyle w:val="FootnoteText"/>
      </w:pPr>
      <w:r w:rsidRPr="00E6296D">
        <w:rPr>
          <w:rStyle w:val="FootnoteReference"/>
        </w:rPr>
        <w:footnoteRef/>
      </w:r>
      <w:r>
        <w:tab/>
        <w:t>Analysis of t</w:t>
      </w:r>
      <w:r w:rsidRPr="00B964F9">
        <w:t xml:space="preserve">rend </w:t>
      </w:r>
      <w:r>
        <w:t xml:space="preserve">versus actual </w:t>
      </w:r>
      <w:r w:rsidRPr="00B964F9">
        <w:t>investment</w:t>
      </w:r>
      <w:r>
        <w:t xml:space="preserve"> positions provides a picture of where current rates of investment are, compared with a theoretical benchmark, and is indicative only. </w:t>
      </w:r>
      <w:r w:rsidRPr="00FF0D2F">
        <w:t xml:space="preserve">That actual and trend investment should track each other over time assumes that the ratio of the capital stock to output is constant, and that investment will account for the rate of </w:t>
      </w:r>
      <w:r>
        <w:t xml:space="preserve">economic </w:t>
      </w:r>
      <w:r w:rsidRPr="00FF0D2F">
        <w:t>growth in a given industry and the rate of depreciation on currently held assets.</w:t>
      </w:r>
    </w:p>
  </w:footnote>
  <w:footnote w:id="9">
    <w:p w14:paraId="1D0A71E6" w14:textId="137642F6" w:rsidR="00C70086" w:rsidRDefault="00C70086" w:rsidP="002061CA">
      <w:pPr>
        <w:pStyle w:val="FootnoteText"/>
      </w:pPr>
      <w:r w:rsidRPr="00E6296D">
        <w:rPr>
          <w:rStyle w:val="FootnoteReference"/>
        </w:rPr>
        <w:footnoteRef/>
      </w:r>
      <w:r>
        <w:tab/>
        <w:t>Indicative estimates of this shortfall are about $40 </w:t>
      </w:r>
      <w:r w:rsidRPr="006F4549">
        <w:t>billion in 2016</w:t>
      </w:r>
      <w:r>
        <w:noBreakHyphen/>
      </w:r>
      <w:r w:rsidRPr="006F4549">
        <w:t>17</w:t>
      </w:r>
      <w:r>
        <w:t xml:space="preserve">. This is based on a projection framework that assumes </w:t>
      </w:r>
      <w:r w:rsidRPr="00261A09">
        <w:t>a return, over the five years</w:t>
      </w:r>
      <w:r>
        <w:t xml:space="preserve"> from 2015</w:t>
      </w:r>
      <w:r>
        <w:noBreakHyphen/>
        <w:t>16</w:t>
      </w:r>
      <w:r w:rsidRPr="00261A09">
        <w:t xml:space="preserve">, to the productivity and output growth rates witnessed on </w:t>
      </w:r>
      <w:r>
        <w:t>average over the last 30 years. It assumes reversion to a constant aggregate capital</w:t>
      </w:r>
      <w:r>
        <w:noBreakHyphen/>
        <w:t>output ratio, and allows</w:t>
      </w:r>
      <w:r w:rsidRPr="00261A09">
        <w:t xml:space="preserve"> investment (gross fixed capital formation) to fall out as a slack</w:t>
      </w:r>
      <w:r>
        <w:t xml:space="preserve"> </w:t>
      </w:r>
      <w:r w:rsidRPr="00261A09">
        <w:t>variable from</w:t>
      </w:r>
      <w:r>
        <w:t xml:space="preserve"> a</w:t>
      </w:r>
      <w:r w:rsidRPr="00261A09">
        <w:t xml:space="preserve"> </w:t>
      </w:r>
      <w:r>
        <w:t>projection of the implied aggregate net capital stock. It assumes constant depreciation at the rates observed in 2015</w:t>
      </w:r>
      <w:r>
        <w:noBreakHyphen/>
        <w:t>16. The implied shortfall in 2016</w:t>
      </w:r>
      <w:r>
        <w:noBreakHyphen/>
        <w:t>17 is based on a conservative scaling of the ratio of whole of economy investment to that implied by the capex survey, acknowledging that some reversion of its industry coverage is likely in the years ahead.</w:t>
      </w:r>
    </w:p>
  </w:footnote>
  <w:footnote w:id="10">
    <w:p w14:paraId="1D0A71E7" w14:textId="77777777" w:rsidR="00C70086" w:rsidRDefault="00C70086">
      <w:pPr>
        <w:pStyle w:val="FootnoteText"/>
      </w:pPr>
      <w:r w:rsidRPr="00E6296D">
        <w:rPr>
          <w:rStyle w:val="FootnoteReference"/>
        </w:rPr>
        <w:footnoteRef/>
      </w:r>
      <w:r>
        <w:t xml:space="preserve"> </w:t>
      </w:r>
      <w:r>
        <w:tab/>
        <w:t>Based on the projection framework described in footnote 7 above.</w:t>
      </w:r>
    </w:p>
  </w:footnote>
  <w:footnote w:id="11">
    <w:p w14:paraId="1D0A71E8" w14:textId="77777777" w:rsidR="00C70086" w:rsidRDefault="00C70086" w:rsidP="00CF0E9C">
      <w:pPr>
        <w:pStyle w:val="FootnoteText"/>
      </w:pPr>
      <w:r w:rsidRPr="00E6296D">
        <w:rPr>
          <w:rStyle w:val="FootnoteReference"/>
        </w:rPr>
        <w:footnoteRef/>
      </w:r>
      <w:r>
        <w:tab/>
        <w:t>It is worth noting that historical average rates of productivity growth capture a period in which a number of large one</w:t>
      </w:r>
      <w:r>
        <w:noBreakHyphen/>
        <w:t xml:space="preserve">off productivity enhancing reforms clearly influenced measured productivity growth at the industry level. It is difficult to explicitly quantify the impact these reforms had at an industry level. If, having moved closer to the frontier, Australia’s relative position has remained constant, the level shift in productivity that such reforms delivered is unlikely to be repeated. </w:t>
      </w:r>
    </w:p>
  </w:footnote>
  <w:footnote w:id="12">
    <w:p w14:paraId="1D0A71E9" w14:textId="659EE776" w:rsidR="00C70086" w:rsidRDefault="00C70086" w:rsidP="00E27540">
      <w:pPr>
        <w:pStyle w:val="FootnoteText"/>
      </w:pPr>
      <w:r w:rsidRPr="00E6296D">
        <w:rPr>
          <w:rStyle w:val="FootnoteReference"/>
        </w:rPr>
        <w:footnoteRef/>
      </w:r>
      <w:r>
        <w:t xml:space="preserve"> </w:t>
      </w:r>
      <w:r>
        <w:tab/>
      </w:r>
      <w:r w:rsidRPr="00584A5C">
        <w:t>Industries that have a higher capital to labour ratio need a higher level of LP to remain profitable</w:t>
      </w:r>
      <w:r>
        <w:t>,</w:t>
      </w:r>
      <w:r w:rsidRPr="00584A5C">
        <w:t xml:space="preserve"> as they have to fund their capital. Hence</w:t>
      </w:r>
      <w:r>
        <w:t>,</w:t>
      </w:r>
      <w:r w:rsidRPr="00584A5C">
        <w:t xml:space="preserve"> the level of LP reflects capital intensity, and is neither inherently good nor bad. This is why the focus is on the growth of LP, and more generally why MFP is a better measure of productivity.</w:t>
      </w:r>
    </w:p>
  </w:footnote>
  <w:footnote w:id="13">
    <w:p w14:paraId="1D0A71EA" w14:textId="77777777" w:rsidR="00C70086" w:rsidRDefault="00C70086" w:rsidP="00EB18A3">
      <w:pPr>
        <w:pStyle w:val="FootnoteText"/>
      </w:pPr>
      <w:r w:rsidRPr="00E6296D">
        <w:rPr>
          <w:rStyle w:val="FootnoteReference"/>
        </w:rPr>
        <w:footnoteRef/>
      </w:r>
      <w:r>
        <w:t xml:space="preserve"> </w:t>
      </w:r>
      <w:r>
        <w:tab/>
      </w:r>
      <w:r w:rsidRPr="001D50E9">
        <w:t xml:space="preserve">There are reasons, such as distance from markets and the small size of our domestic market, which mean that Australia is unlikely to be able to </w:t>
      </w:r>
      <w:r>
        <w:t xml:space="preserve">be </w:t>
      </w:r>
      <w:r w:rsidRPr="001D50E9">
        <w:t>at the frontier of every industry.</w:t>
      </w:r>
    </w:p>
  </w:footnote>
  <w:footnote w:id="14">
    <w:p w14:paraId="1D0A71EB" w14:textId="77777777" w:rsidR="00C70086" w:rsidRDefault="00C70086" w:rsidP="00BE21F9">
      <w:pPr>
        <w:pStyle w:val="FootnoteText"/>
      </w:pPr>
      <w:r w:rsidRPr="00E6296D">
        <w:rPr>
          <w:rStyle w:val="FootnoteReference"/>
        </w:rPr>
        <w:footnoteRef/>
      </w:r>
      <w:r>
        <w:t xml:space="preserve"> </w:t>
      </w:r>
      <w:r>
        <w:tab/>
      </w:r>
      <w:r w:rsidRPr="00896C3D">
        <w:t>Other countries with higher measured labour productivity tend to have skewed industrial compositions (e.g. oil production in Norway).</w:t>
      </w:r>
    </w:p>
  </w:footnote>
  <w:footnote w:id="15">
    <w:p w14:paraId="1D0A71EC" w14:textId="77777777" w:rsidR="00C70086" w:rsidRDefault="00C70086" w:rsidP="00BE21F9">
      <w:pPr>
        <w:pStyle w:val="FootnoteText"/>
      </w:pPr>
      <w:r w:rsidRPr="00E6296D">
        <w:rPr>
          <w:rStyle w:val="FootnoteReference"/>
        </w:rPr>
        <w:footnoteRef/>
      </w:r>
      <w:r>
        <w:t xml:space="preserve"> </w:t>
      </w:r>
      <w:r>
        <w:tab/>
      </w:r>
      <w:r w:rsidRPr="00896C3D">
        <w:t>Comparison of countries that are compositionally similar implies less of a role for allocative efficiency gains through resource redistribution, and more of a role for technological progress</w:t>
      </w:r>
      <w:r>
        <w:t xml:space="preserve"> within industries</w:t>
      </w:r>
      <w:r w:rsidRPr="00896C3D">
        <w:t xml:space="preserve"> in driving further relative productivity gains. </w:t>
      </w:r>
      <w:proofErr w:type="spellStart"/>
      <w:r>
        <w:t>GGDC</w:t>
      </w:r>
      <w:proofErr w:type="spellEnd"/>
      <w:r>
        <w:t xml:space="preserve"> </w:t>
      </w:r>
      <w:proofErr w:type="spellStart"/>
      <w:r>
        <w:t>KLEMS</w:t>
      </w:r>
      <w:proofErr w:type="spellEnd"/>
      <w:r>
        <w:t xml:space="preserve"> d</w:t>
      </w:r>
      <w:r w:rsidRPr="00896C3D">
        <w:t xml:space="preserve">ata generally indicate a high correlation between industrial compositions in Australia and the United States. Other countries </w:t>
      </w:r>
      <w:r>
        <w:t>that</w:t>
      </w:r>
      <w:r w:rsidRPr="00896C3D">
        <w:t xml:space="preserve"> have similarly high correlations tend to have lower labour productivity levels (e.g. the United Kingdom).</w:t>
      </w:r>
    </w:p>
  </w:footnote>
  <w:footnote w:id="16">
    <w:p w14:paraId="1D0A71ED" w14:textId="65EA5988" w:rsidR="00C70086" w:rsidRDefault="00C70086" w:rsidP="00BE21F9">
      <w:pPr>
        <w:pStyle w:val="FootnoteText"/>
      </w:pPr>
      <w:r w:rsidRPr="00E6296D">
        <w:rPr>
          <w:rStyle w:val="FootnoteReference"/>
        </w:rPr>
        <w:footnoteRef/>
      </w:r>
      <w:r>
        <w:tab/>
        <w:t xml:space="preserve">They note that Australia’s industry composition is similar to that of the US, and to the extent that there are differences, they offset each other. For example, Australia had a larger share of employment in some below average productivity industries such as agriculture and construction, but this was offset by its larger share of employment in industries like mining. This point is also made in Davis and Rahman </w:t>
      </w:r>
      <w:r w:rsidRPr="009074D2">
        <w:t>(2006)</w:t>
      </w:r>
      <w:r>
        <w:t xml:space="preserve">. </w:t>
      </w:r>
    </w:p>
  </w:footnote>
  <w:footnote w:id="17">
    <w:p w14:paraId="1D0A71EE" w14:textId="77777777" w:rsidR="00C70086" w:rsidRDefault="00C70086" w:rsidP="00BE21F9">
      <w:pPr>
        <w:pStyle w:val="FootnoteText"/>
      </w:pPr>
      <w:r w:rsidRPr="00E6296D">
        <w:rPr>
          <w:rStyle w:val="FootnoteReference"/>
        </w:rPr>
        <w:footnoteRef/>
      </w:r>
      <w:r>
        <w:tab/>
        <w:t xml:space="preserve">While these data are dated, they provide indicative evidence of whether, and to what extent, Australia may be able to improve its performance relative to the frontier. </w:t>
      </w:r>
    </w:p>
  </w:footnote>
  <w:footnote w:id="18">
    <w:p w14:paraId="1D0A71EF" w14:textId="408F74BC" w:rsidR="00C70086" w:rsidRDefault="00C70086">
      <w:pPr>
        <w:pStyle w:val="FootnoteText"/>
      </w:pPr>
      <w:r w:rsidRPr="00E6296D">
        <w:rPr>
          <w:rStyle w:val="FootnoteReference"/>
        </w:rPr>
        <w:footnoteRef/>
      </w:r>
      <w:r>
        <w:t xml:space="preserve"> </w:t>
      </w:r>
      <w:r>
        <w:tab/>
      </w:r>
      <w:r w:rsidRPr="00CB42AD">
        <w:t xml:space="preserve">MFP </w:t>
      </w:r>
      <w:r>
        <w:t>growth will also reflect</w:t>
      </w:r>
      <w:r w:rsidRPr="00CB42AD">
        <w:t xml:space="preserve"> changes in </w:t>
      </w:r>
      <w:r>
        <w:t xml:space="preserve">the </w:t>
      </w:r>
      <w:r w:rsidRPr="00CB42AD">
        <w:t>real cost of production</w:t>
      </w:r>
      <w:r>
        <w:t>,</w:t>
      </w:r>
      <w:r w:rsidRPr="00CB42AD">
        <w:t xml:space="preserve"> which </w:t>
      </w:r>
      <w:r>
        <w:t>is</w:t>
      </w:r>
      <w:r w:rsidRPr="00CB42AD">
        <w:t xml:space="preserve"> affected </w:t>
      </w:r>
      <w:r>
        <w:t xml:space="preserve">both </w:t>
      </w:r>
      <w:r w:rsidRPr="00CB42AD">
        <w:t>by the rate of technical progress</w:t>
      </w:r>
      <w:r>
        <w:t xml:space="preserve">, </w:t>
      </w:r>
      <w:r w:rsidRPr="00CB42AD">
        <w:t>and changes in quality of any unpriced (natural resource) inputs.</w:t>
      </w:r>
    </w:p>
  </w:footnote>
  <w:footnote w:id="19">
    <w:p w14:paraId="1D0A71F0" w14:textId="77777777" w:rsidR="00C70086" w:rsidRDefault="00C70086" w:rsidP="004B0B31">
      <w:pPr>
        <w:pStyle w:val="FootnoteText"/>
      </w:pPr>
      <w:r w:rsidRPr="00E6296D">
        <w:rPr>
          <w:rStyle w:val="FootnoteReference"/>
        </w:rPr>
        <w:footnoteRef/>
      </w:r>
      <w:r>
        <w:tab/>
        <w:t>Based on data from t</w:t>
      </w:r>
      <w:r w:rsidRPr="00985545">
        <w:t>he Conferen</w:t>
      </w:r>
      <w:r>
        <w:t>ce Board Total Economy Database (a</w:t>
      </w:r>
      <w:r w:rsidRPr="00985545">
        <w:t>djusted version), May 2017</w:t>
      </w:r>
      <w:r>
        <w:t xml:space="preserve"> for the 22 OECD countries where there is a full record of GDP per hour (in PPP terms) from 1950 to 2017.</w:t>
      </w:r>
    </w:p>
  </w:footnote>
  <w:footnote w:id="20">
    <w:p w14:paraId="1D0A71F1" w14:textId="77777777" w:rsidR="00C70086" w:rsidRDefault="00C70086">
      <w:pPr>
        <w:pStyle w:val="FootnoteText"/>
      </w:pPr>
      <w:r w:rsidRPr="00E6296D">
        <w:rPr>
          <w:rStyle w:val="FootnoteReference"/>
        </w:rPr>
        <w:footnoteRef/>
      </w:r>
      <w:r>
        <w:tab/>
        <w:t xml:space="preserve">Obtaining a grasp on the diffusion of such technologies is difficult. One indicator is the number of </w:t>
      </w:r>
      <w:proofErr w:type="spellStart"/>
      <w:r>
        <w:t>internet</w:t>
      </w:r>
      <w:proofErr w:type="spellEnd"/>
      <w:r>
        <w:t xml:space="preserve"> searches for products and services that embody such technologies. As an illustration, the rise in </w:t>
      </w:r>
      <w:proofErr w:type="spellStart"/>
      <w:r>
        <w:t>internet</w:t>
      </w:r>
      <w:proofErr w:type="spellEnd"/>
      <w:r>
        <w:t xml:space="preserve"> searches for Hadoop, a program often used for machine learning rose spectacularly from June 2004 to June 2017 (based on PC analysis of data from Google Trends).</w:t>
      </w:r>
    </w:p>
  </w:footnote>
  <w:footnote w:id="21">
    <w:p w14:paraId="1D0A71F2" w14:textId="3B097D88" w:rsidR="00C70086" w:rsidRDefault="00C70086" w:rsidP="00C05E37">
      <w:pPr>
        <w:pStyle w:val="FootnoteText"/>
      </w:pPr>
      <w:r w:rsidRPr="00E6296D">
        <w:rPr>
          <w:rStyle w:val="FootnoteReference"/>
        </w:rPr>
        <w:footnoteRef/>
      </w:r>
      <w:r>
        <w:tab/>
        <w:t xml:space="preserve">The precise </w:t>
      </w:r>
      <w:r w:rsidRPr="00DD3616">
        <w:rPr>
          <w:i/>
        </w:rPr>
        <w:t>extent</w:t>
      </w:r>
      <w:r>
        <w:t xml:space="preserve"> of this effect is not actually clear from the </w:t>
      </w:r>
      <w:r w:rsidRPr="00DD3616">
        <w:t xml:space="preserve">Andrews and </w:t>
      </w:r>
      <w:proofErr w:type="spellStart"/>
      <w:r w:rsidRPr="00DD3616">
        <w:t>Criscuolo</w:t>
      </w:r>
      <w:proofErr w:type="spellEnd"/>
      <w:r>
        <w:t xml:space="preserve"> analysis. </w:t>
      </w:r>
      <w:r w:rsidRPr="00C05E37">
        <w:t>Firms tend</w:t>
      </w:r>
      <w:r>
        <w:t xml:space="preserve"> not</w:t>
      </w:r>
      <w:r w:rsidRPr="00C05E37">
        <w:t xml:space="preserve"> to stay at the global frontier. In fact, only </w:t>
      </w:r>
      <w:r>
        <w:t>about</w:t>
      </w:r>
      <w:r w:rsidRPr="00C05E37">
        <w:t xml:space="preserve"> half of global frontier firms remain at the global frontier from one ye</w:t>
      </w:r>
      <w:r>
        <w:t>ar to the next and less than 20 </w:t>
      </w:r>
      <w:r w:rsidRPr="00C05E37">
        <w:t>per cent of firms remain at the global frontier after 5</w:t>
      </w:r>
      <w:r>
        <w:t> </w:t>
      </w:r>
      <w:r w:rsidRPr="00C05E37">
        <w:t xml:space="preserve">years. </w:t>
      </w:r>
      <w:r>
        <w:t xml:space="preserve">The authors estimate the frontier as </w:t>
      </w:r>
      <w:r w:rsidRPr="00DD3616">
        <w:t>the top 5</w:t>
      </w:r>
      <w:r>
        <w:t> per cent</w:t>
      </w:r>
      <w:r w:rsidRPr="00DD3616">
        <w:t xml:space="preserve"> of firms </w:t>
      </w:r>
      <w:r>
        <w:t xml:space="preserve">by </w:t>
      </w:r>
      <w:r w:rsidRPr="00DD3616">
        <w:t>productivity level within each industry and eac</w:t>
      </w:r>
      <w:r>
        <w:t>h year. This enables ‘churn’ of firms into and out of the frontier group. The observed divergence of frontier versus non</w:t>
      </w:r>
      <w:r>
        <w:noBreakHyphen/>
        <w:t>frontier firms could be overstated depending on the underlying distribution of firm productivity levels and/or the pace at which individual firms transition into or out of the frontier group, as well as managerial decisions (such as to reduce capacity utilisation during a period of poor demand conditions).</w:t>
      </w:r>
    </w:p>
  </w:footnote>
  <w:footnote w:id="22">
    <w:p w14:paraId="1D0A71F3" w14:textId="10CEA49A" w:rsidR="00C70086" w:rsidRDefault="00C70086">
      <w:pPr>
        <w:pStyle w:val="FootnoteText"/>
      </w:pPr>
      <w:r w:rsidRPr="00E6296D">
        <w:rPr>
          <w:rStyle w:val="FootnoteReference"/>
        </w:rPr>
        <w:footnoteRef/>
      </w:r>
      <w:r>
        <w:t xml:space="preserve"> </w:t>
      </w:r>
      <w:r>
        <w:tab/>
        <w:t xml:space="preserve">See the discussion of ‘premature deindustrialisation’ in Rodrick </w:t>
      </w:r>
      <w:r w:rsidRPr="005B4355">
        <w:t>(2015)</w:t>
      </w:r>
      <w:r>
        <w:t xml:space="preserve">. While this process is beyond the scope of this inquiry, the process also has implications for employment prospects in advanced countries. </w:t>
      </w:r>
    </w:p>
  </w:footnote>
  <w:footnote w:id="23">
    <w:p w14:paraId="1D0A71F4" w14:textId="77777777" w:rsidR="00C70086" w:rsidRDefault="00C70086">
      <w:pPr>
        <w:pStyle w:val="FootnoteText"/>
      </w:pPr>
      <w:r w:rsidRPr="00E6296D">
        <w:rPr>
          <w:rStyle w:val="FootnoteReference"/>
        </w:rPr>
        <w:footnoteRef/>
      </w:r>
      <w:r>
        <w:t xml:space="preserve"> </w:t>
      </w:r>
      <w:r>
        <w:tab/>
        <w:t>For many industries in 2015</w:t>
      </w:r>
      <w:r>
        <w:noBreakHyphen/>
        <w:t xml:space="preserve">16, the saturation of </w:t>
      </w:r>
      <w:proofErr w:type="spellStart"/>
      <w:r>
        <w:t>internet</w:t>
      </w:r>
      <w:proofErr w:type="spellEnd"/>
      <w:r>
        <w:t xml:space="preserve"> access/use is closer to 100 per cent. Certain industries bring the average down, namely Accommodation and Food Services (at 84 per cent, up from 14 per cent in 1997</w:t>
      </w:r>
      <w:r>
        <w:noBreakHyphen/>
        <w:t>98), and Agriculture (at 91 per cent, up from 11 per cent in 1997</w:t>
      </w:r>
      <w:r>
        <w:noBreakHyphen/>
        <w:t xml:space="preserve">98). </w:t>
      </w:r>
    </w:p>
  </w:footnote>
  <w:footnote w:id="24">
    <w:p w14:paraId="1D0A71F5" w14:textId="656B01EE" w:rsidR="00C70086" w:rsidRDefault="00C70086">
      <w:pPr>
        <w:pStyle w:val="FootnoteText"/>
      </w:pPr>
      <w:r w:rsidRPr="00E6296D">
        <w:rPr>
          <w:rStyle w:val="FootnoteReference"/>
        </w:rPr>
        <w:footnoteRef/>
      </w:r>
      <w:r>
        <w:t xml:space="preserve"> </w:t>
      </w:r>
      <w:r>
        <w:tab/>
      </w:r>
      <w:proofErr w:type="spellStart"/>
      <w:r>
        <w:t>Syverson</w:t>
      </w:r>
      <w:proofErr w:type="spellEnd"/>
      <w:r>
        <w:t xml:space="preserve"> </w:t>
      </w:r>
      <w:r w:rsidRPr="00FF6843">
        <w:t>(2013)</w:t>
      </w:r>
      <w:r>
        <w:t xml:space="preserve"> also notes that the pattern of labour productivity gains from ICT exhibit remarkably similar patterns to that of electrification almost a century earlier. </w:t>
      </w:r>
    </w:p>
  </w:footnote>
  <w:footnote w:id="25">
    <w:p w14:paraId="1D0A71F6" w14:textId="77777777" w:rsidR="00C70086" w:rsidRDefault="00C70086">
      <w:pPr>
        <w:pStyle w:val="FootnoteText"/>
      </w:pPr>
      <w:r w:rsidRPr="00E6296D">
        <w:rPr>
          <w:rStyle w:val="FootnoteReference"/>
        </w:rPr>
        <w:footnoteRef/>
      </w:r>
      <w:r>
        <w:t xml:space="preserve"> </w:t>
      </w:r>
      <w:r>
        <w:tab/>
        <w:t>I</w:t>
      </w:r>
      <w:r w:rsidRPr="0047664E">
        <w:t xml:space="preserve">f </w:t>
      </w:r>
      <w:r>
        <w:t>indeed technological progress does translate to greater leisure, it is notable that</w:t>
      </w:r>
      <w:r w:rsidRPr="0047664E">
        <w:t xml:space="preserve"> wellbeing will rise rather than GDP, </w:t>
      </w:r>
      <w:r>
        <w:t>but</w:t>
      </w:r>
      <w:r w:rsidRPr="0047664E">
        <w:t xml:space="preserve"> wellbeing will only rise in aggregate if this leisure is voluntary and widespread across the population.</w:t>
      </w:r>
    </w:p>
  </w:footnote>
  <w:footnote w:id="26">
    <w:p w14:paraId="1D0A71F7" w14:textId="5FFF88CB" w:rsidR="00C70086" w:rsidRDefault="00C70086">
      <w:pPr>
        <w:pStyle w:val="FootnoteText"/>
      </w:pPr>
      <w:r w:rsidRPr="00E6296D">
        <w:rPr>
          <w:rStyle w:val="FootnoteReference"/>
        </w:rPr>
        <w:footnoteRef/>
      </w:r>
      <w:r>
        <w:t xml:space="preserve"> </w:t>
      </w:r>
      <w:r>
        <w:tab/>
        <w:t xml:space="preserve">As in periods of abnormal economic conditions, theories (both new and old) abound as to an explanation. The theories of a liquidity trap and secular stagnation, for example, both date to the Great Depression of the </w:t>
      </w:r>
      <w:proofErr w:type="spellStart"/>
      <w:r>
        <w:t>1930s</w:t>
      </w:r>
      <w:proofErr w:type="spellEnd"/>
      <w:r>
        <w:t xml:space="preserve">, initially propounded in the classic works of John Maynard Keynes </w:t>
      </w:r>
      <w:r w:rsidRPr="005B4355">
        <w:t>(1936)</w:t>
      </w:r>
      <w:r>
        <w:t xml:space="preserve"> and Alvin Hansen </w:t>
      </w:r>
      <w:r w:rsidRPr="005B4355">
        <w:t>(1938, 1939)</w:t>
      </w:r>
      <w:r>
        <w:t xml:space="preserve">, respectively. </w:t>
      </w:r>
    </w:p>
  </w:footnote>
  <w:footnote w:id="27">
    <w:p w14:paraId="1D0A71F9" w14:textId="77777777" w:rsidR="00C70086" w:rsidRDefault="00C70086" w:rsidP="00CA2859">
      <w:pPr>
        <w:pStyle w:val="FootnoteText"/>
      </w:pPr>
      <w:r w:rsidRPr="00E6296D">
        <w:rPr>
          <w:rStyle w:val="FootnoteReference"/>
        </w:rPr>
        <w:footnoteRef/>
      </w:r>
      <w:r>
        <w:tab/>
        <w:t>A hypothetical rate of n</w:t>
      </w:r>
      <w:r w:rsidRPr="00C0531D">
        <w:t xml:space="preserve">ominal wage growth of 3.6 </w:t>
      </w:r>
      <w:r>
        <w:t xml:space="preserve">to </w:t>
      </w:r>
      <w:r w:rsidRPr="00C0531D">
        <w:t>4.6 per cent, with growth in labour productivity at its 30 year average of 1.6 per cent, implies that labour costs would be rising 2</w:t>
      </w:r>
      <w:r>
        <w:t xml:space="preserve"> to </w:t>
      </w:r>
      <w:r w:rsidRPr="00C0531D">
        <w:t>3 per cent</w:t>
      </w:r>
      <w:r>
        <w:t>, and if labour income costs</w:t>
      </w:r>
      <w:r w:rsidRPr="00C0531D">
        <w:t xml:space="preserve"> are stable as a share of overall income, this implies prices overall would be rising at 2</w:t>
      </w:r>
      <w:r>
        <w:t xml:space="preserve"> to </w:t>
      </w:r>
      <w:r w:rsidRPr="00C0531D">
        <w:t>3 per cent, consistent with the RBA’s inflation target.</w:t>
      </w:r>
      <w:r>
        <w:t xml:space="preserve"> However, core inflation and nominal wages growth remain notably below these rates. </w:t>
      </w:r>
    </w:p>
  </w:footnote>
  <w:footnote w:id="28">
    <w:p w14:paraId="1D0A71FA" w14:textId="160000B4" w:rsidR="00C70086" w:rsidRDefault="00C70086">
      <w:pPr>
        <w:pStyle w:val="FootnoteText"/>
      </w:pPr>
      <w:r w:rsidRPr="00E6296D">
        <w:rPr>
          <w:rStyle w:val="FootnoteReference"/>
        </w:rPr>
        <w:footnoteRef/>
      </w:r>
      <w:r>
        <w:t xml:space="preserve"> </w:t>
      </w:r>
      <w:r>
        <w:tab/>
        <w:t xml:space="preserve">The work by Frey and Osbourne </w:t>
      </w:r>
      <w:r w:rsidRPr="00663619">
        <w:t>(2013)</w:t>
      </w:r>
      <w:r>
        <w:t xml:space="preserve"> has met some criticism as it does not account for future jobs and work that may be created </w:t>
      </w:r>
      <w:r w:rsidRPr="009E0674">
        <w:rPr>
          <w:i/>
        </w:rPr>
        <w:t>because of</w:t>
      </w:r>
      <w:r>
        <w:t xml:space="preserve"> technology, which are currently not known (and not necessarily predictable), and thus may overstate the potential risk of unemployment. </w:t>
      </w:r>
    </w:p>
  </w:footnote>
  <w:footnote w:id="29">
    <w:p w14:paraId="1D0A71FC" w14:textId="77777777" w:rsidR="00C70086" w:rsidRDefault="00C70086" w:rsidP="00DA091E">
      <w:pPr>
        <w:pStyle w:val="FootnoteText"/>
        <w:spacing w:before="60"/>
      </w:pPr>
      <w:r w:rsidRPr="00E6296D">
        <w:rPr>
          <w:rStyle w:val="FootnoteReference"/>
        </w:rPr>
        <w:footnoteRef/>
      </w:r>
      <w:r>
        <w:tab/>
        <w:t>In an income accounting framework, labour’s share of income includes income from compensation of employees (or COE; a function of hourly wages and hours worked, plus employers’ social contributions (or superannuation)), and an imputed income for the self</w:t>
      </w:r>
      <w:r>
        <w:noBreakHyphen/>
        <w:t>employed (proprietors) called gross mixed income (</w:t>
      </w:r>
      <w:proofErr w:type="spellStart"/>
      <w:r>
        <w:t>GMI</w:t>
      </w:r>
      <w:proofErr w:type="spellEnd"/>
      <w:r>
        <w:t xml:space="preserve">). The capital share of income represents gross operating surplus (or </w:t>
      </w:r>
      <w:proofErr w:type="spellStart"/>
      <w:r>
        <w:t>GOS</w:t>
      </w:r>
      <w:proofErr w:type="spellEnd"/>
      <w:r>
        <w:t xml:space="preserve">; namely profits). </w:t>
      </w:r>
    </w:p>
  </w:footnote>
  <w:footnote w:id="30">
    <w:p w14:paraId="343A9434" w14:textId="77777777" w:rsidR="00C70086" w:rsidRDefault="00C70086" w:rsidP="00A1528C">
      <w:pPr>
        <w:pStyle w:val="FootnoteText"/>
      </w:pPr>
      <w:r w:rsidRPr="00E6296D">
        <w:rPr>
          <w:rStyle w:val="FootnoteReference"/>
        </w:rPr>
        <w:footnoteRef/>
      </w:r>
      <w:r>
        <w:tab/>
        <w:t>The efficacy of minimum wage setting practices in Australia remains an area of debate. While small minimum wage increases are unlikely to have measurable employment impacts during ‘good economic times’, and are an important component of the incomes of the lowest paid, t</w:t>
      </w:r>
      <w:r w:rsidRPr="00AA14CD">
        <w:t xml:space="preserve">here are </w:t>
      </w:r>
      <w:r>
        <w:t>interactions</w:t>
      </w:r>
      <w:r w:rsidRPr="00AA14CD">
        <w:t xml:space="preserve"> between the minimum wage a</w:t>
      </w:r>
      <w:r>
        <w:t xml:space="preserve">nd other tax/transfer settings which should be considered in wage determinations and more broadly in the consideration of tax/transfer policies </w:t>
      </w:r>
      <w:r w:rsidRPr="00603896">
        <w:rPr>
          <w:szCs w:val="24"/>
        </w:rPr>
        <w:t>(PC </w:t>
      </w:r>
      <w:proofErr w:type="spellStart"/>
      <w:r w:rsidRPr="00603896">
        <w:rPr>
          <w:szCs w:val="24"/>
        </w:rPr>
        <w:t>2015c</w:t>
      </w:r>
      <w:proofErr w:type="spellEnd"/>
      <w:r w:rsidRPr="00603896">
        <w:rPr>
          <w:szCs w:val="24"/>
        </w:rPr>
        <w:t>)</w:t>
      </w:r>
      <w:r>
        <w:t xml:space="preserve">. </w:t>
      </w:r>
    </w:p>
  </w:footnote>
  <w:footnote w:id="31">
    <w:p w14:paraId="009003A5" w14:textId="12661802" w:rsidR="00C70086" w:rsidRDefault="00C70086">
      <w:pPr>
        <w:pStyle w:val="FootnoteText"/>
      </w:pPr>
      <w:r>
        <w:rPr>
          <w:rStyle w:val="FootnoteReference"/>
        </w:rPr>
        <w:footnoteRef/>
      </w:r>
      <w:r>
        <w:t xml:space="preserve"> </w:t>
      </w:r>
      <w:r w:rsidRPr="00EE1D0A">
        <w:t>Total government payments to households and individuals from 1995 to 2014 (the period over which consistent data are available) grew at roughly 1.21 times the rate of income growth (as measured by GDP).</w:t>
      </w:r>
      <w:r>
        <w:t xml:space="preserve"> </w:t>
      </w:r>
      <w:r w:rsidRPr="00EE1D0A">
        <w:t>This excludes transfers relating to active labour market programs and unemployment benefits.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C70086" w14:paraId="1D0A71C6" w14:textId="77777777">
      <w:tc>
        <w:tcPr>
          <w:tcW w:w="6634" w:type="dxa"/>
          <w:tcBorders>
            <w:top w:val="single" w:sz="6" w:space="0" w:color="auto"/>
          </w:tcBorders>
        </w:tcPr>
        <w:p w14:paraId="1D0A71C4" w14:textId="77777777" w:rsidR="00C70086" w:rsidRDefault="00C70086" w:rsidP="00E669E2">
          <w:pPr>
            <w:pStyle w:val="HeaderOdd"/>
          </w:pPr>
        </w:p>
      </w:tc>
      <w:tc>
        <w:tcPr>
          <w:tcW w:w="2155" w:type="dxa"/>
          <w:tcBorders>
            <w:top w:val="single" w:sz="24" w:space="0" w:color="auto"/>
          </w:tcBorders>
        </w:tcPr>
        <w:p w14:paraId="1D0A71C5" w14:textId="77777777" w:rsidR="00C70086" w:rsidRDefault="00C70086" w:rsidP="00E669E2">
          <w:pPr>
            <w:pStyle w:val="HeaderOdd"/>
          </w:pPr>
        </w:p>
      </w:tc>
    </w:tr>
  </w:tbl>
  <w:p w14:paraId="1D0A71C7" w14:textId="77777777" w:rsidR="00C70086" w:rsidRDefault="00C70086" w:rsidP="00E669E2">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C70086" w14:paraId="1D0A71CF" w14:textId="77777777">
      <w:tc>
        <w:tcPr>
          <w:tcW w:w="2155" w:type="dxa"/>
          <w:tcBorders>
            <w:top w:val="single" w:sz="24" w:space="0" w:color="auto"/>
          </w:tcBorders>
        </w:tcPr>
        <w:p w14:paraId="1D0A71CD" w14:textId="77777777" w:rsidR="00C70086" w:rsidRDefault="00C70086" w:rsidP="0019293B">
          <w:pPr>
            <w:pStyle w:val="HeaderEven"/>
          </w:pPr>
        </w:p>
      </w:tc>
      <w:tc>
        <w:tcPr>
          <w:tcW w:w="6634" w:type="dxa"/>
          <w:tcBorders>
            <w:top w:val="single" w:sz="6" w:space="0" w:color="auto"/>
          </w:tcBorders>
        </w:tcPr>
        <w:p w14:paraId="1D0A71CE" w14:textId="77777777" w:rsidR="00C70086" w:rsidRDefault="00C70086" w:rsidP="0019293B">
          <w:pPr>
            <w:pStyle w:val="HeaderEven"/>
          </w:pPr>
        </w:p>
      </w:tc>
    </w:tr>
  </w:tbl>
  <w:p w14:paraId="1D0A71D0" w14:textId="77777777" w:rsidR="00C70086" w:rsidRDefault="00C70086" w:rsidP="0019293B">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C70086" w14:paraId="1D0A71D3" w14:textId="77777777">
      <w:tc>
        <w:tcPr>
          <w:tcW w:w="6634" w:type="dxa"/>
          <w:tcBorders>
            <w:top w:val="single" w:sz="6" w:space="0" w:color="auto"/>
          </w:tcBorders>
        </w:tcPr>
        <w:p w14:paraId="1D0A71D1" w14:textId="77777777" w:rsidR="00C70086" w:rsidRDefault="00C70086" w:rsidP="00E669E2">
          <w:pPr>
            <w:pStyle w:val="HeaderOdd"/>
          </w:pPr>
        </w:p>
      </w:tc>
      <w:tc>
        <w:tcPr>
          <w:tcW w:w="2155" w:type="dxa"/>
          <w:tcBorders>
            <w:top w:val="single" w:sz="24" w:space="0" w:color="auto"/>
          </w:tcBorders>
        </w:tcPr>
        <w:p w14:paraId="1D0A71D2" w14:textId="77777777" w:rsidR="00C70086" w:rsidRDefault="00C70086" w:rsidP="00E669E2">
          <w:pPr>
            <w:pStyle w:val="HeaderOdd"/>
          </w:pPr>
        </w:p>
      </w:tc>
    </w:tr>
  </w:tbl>
  <w:p w14:paraId="1D0A71D4" w14:textId="77777777" w:rsidR="00C70086" w:rsidRDefault="00C70086"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15:restartNumberingAfterBreak="0">
    <w:nsid w:val="452E2A7E"/>
    <w:multiLevelType w:val="hybridMultilevel"/>
    <w:tmpl w:val="5170AFA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5"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6"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7"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5CC52DBC"/>
    <w:multiLevelType w:val="hybridMultilevel"/>
    <w:tmpl w:val="D7AA44D6"/>
    <w:lvl w:ilvl="0" w:tplc="396C731E">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1" w15:restartNumberingAfterBreak="0">
    <w:nsid w:val="67C42495"/>
    <w:multiLevelType w:val="hybridMultilevel"/>
    <w:tmpl w:val="2F9AA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400013"/>
    <w:multiLevelType w:val="hybridMultilevel"/>
    <w:tmpl w:val="4F2A591C"/>
    <w:lvl w:ilvl="0" w:tplc="0250F5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4"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2"/>
  </w:num>
  <w:num w:numId="3">
    <w:abstractNumId w:val="14"/>
  </w:num>
  <w:num w:numId="4">
    <w:abstractNumId w:val="3"/>
  </w:num>
  <w:num w:numId="5">
    <w:abstractNumId w:val="20"/>
  </w:num>
  <w:num w:numId="6">
    <w:abstractNumId w:val="16"/>
  </w:num>
  <w:num w:numId="7">
    <w:abstractNumId w:val="7"/>
  </w:num>
  <w:num w:numId="8">
    <w:abstractNumId w:val="15"/>
  </w:num>
  <w:num w:numId="9">
    <w:abstractNumId w:val="6"/>
  </w:num>
  <w:num w:numId="10">
    <w:abstractNumId w:val="5"/>
  </w:num>
  <w:num w:numId="11">
    <w:abstractNumId w:val="9"/>
  </w:num>
  <w:num w:numId="12">
    <w:abstractNumId w:val="10"/>
  </w:num>
  <w:num w:numId="13">
    <w:abstractNumId w:val="4"/>
  </w:num>
  <w:num w:numId="14">
    <w:abstractNumId w:val="17"/>
  </w:num>
  <w:num w:numId="15">
    <w:abstractNumId w:val="23"/>
  </w:num>
  <w:num w:numId="16">
    <w:abstractNumId w:val="13"/>
  </w:num>
  <w:num w:numId="17">
    <w:abstractNumId w:val="24"/>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9"/>
  </w:num>
  <w:num w:numId="21">
    <w:abstractNumId w:val="8"/>
  </w:num>
  <w:num w:numId="22">
    <w:abstractNumId w:val="21"/>
  </w:num>
  <w:num w:numId="23">
    <w:abstractNumId w:val="18"/>
  </w:num>
  <w:num w:numId="24">
    <w:abstractNumId w:val="12"/>
  </w:num>
  <w:num w:numId="25">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removePersonalInformation/>
  <w:removeDateAndTime/>
  <w:mirrorMargins/>
  <w:activeWritingStyle w:appName="MSWord" w:lang="en-AU" w:vendorID="64" w:dllVersion="131078" w:nlCheck="1" w:checkStyle="0"/>
  <w:activeWritingStyle w:appName="MSWord" w:lang="en-US" w:vendorID="64" w:dllVersion="131078" w:nlCheck="1" w:checkStyle="1"/>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Australian productivity - the historical context"/>
    <w:docVar w:name="ShortReportTitle" w:val="Productivity Review"/>
  </w:docVars>
  <w:rsids>
    <w:rsidRoot w:val="00C14F03"/>
    <w:rsid w:val="00000843"/>
    <w:rsid w:val="00000963"/>
    <w:rsid w:val="00001B0B"/>
    <w:rsid w:val="0000331E"/>
    <w:rsid w:val="000049AF"/>
    <w:rsid w:val="00005BBC"/>
    <w:rsid w:val="00006295"/>
    <w:rsid w:val="000070F8"/>
    <w:rsid w:val="0001250B"/>
    <w:rsid w:val="00012EE3"/>
    <w:rsid w:val="00015E9E"/>
    <w:rsid w:val="0001708A"/>
    <w:rsid w:val="00021E70"/>
    <w:rsid w:val="00022722"/>
    <w:rsid w:val="000227D5"/>
    <w:rsid w:val="000245AA"/>
    <w:rsid w:val="0002527E"/>
    <w:rsid w:val="00025561"/>
    <w:rsid w:val="00025B03"/>
    <w:rsid w:val="000274C1"/>
    <w:rsid w:val="00027F02"/>
    <w:rsid w:val="000300A3"/>
    <w:rsid w:val="00031348"/>
    <w:rsid w:val="000317F5"/>
    <w:rsid w:val="000318E3"/>
    <w:rsid w:val="000321C0"/>
    <w:rsid w:val="0003470B"/>
    <w:rsid w:val="00035A5F"/>
    <w:rsid w:val="0003664B"/>
    <w:rsid w:val="000400B3"/>
    <w:rsid w:val="00040925"/>
    <w:rsid w:val="0004111F"/>
    <w:rsid w:val="00042209"/>
    <w:rsid w:val="00042A40"/>
    <w:rsid w:val="00042FF3"/>
    <w:rsid w:val="00043D46"/>
    <w:rsid w:val="00044D29"/>
    <w:rsid w:val="00047522"/>
    <w:rsid w:val="00050549"/>
    <w:rsid w:val="00051842"/>
    <w:rsid w:val="00052665"/>
    <w:rsid w:val="00052E3C"/>
    <w:rsid w:val="00055077"/>
    <w:rsid w:val="0005520A"/>
    <w:rsid w:val="000552FD"/>
    <w:rsid w:val="000565B3"/>
    <w:rsid w:val="00056617"/>
    <w:rsid w:val="00056BA3"/>
    <w:rsid w:val="00056F82"/>
    <w:rsid w:val="000576FE"/>
    <w:rsid w:val="00057FD1"/>
    <w:rsid w:val="00060881"/>
    <w:rsid w:val="00066014"/>
    <w:rsid w:val="00066F93"/>
    <w:rsid w:val="000678F5"/>
    <w:rsid w:val="00067FB2"/>
    <w:rsid w:val="00070C81"/>
    <w:rsid w:val="0007150B"/>
    <w:rsid w:val="000729E3"/>
    <w:rsid w:val="000732BF"/>
    <w:rsid w:val="000751C5"/>
    <w:rsid w:val="00076ABA"/>
    <w:rsid w:val="000801C4"/>
    <w:rsid w:val="00082443"/>
    <w:rsid w:val="00082AE1"/>
    <w:rsid w:val="00083DBE"/>
    <w:rsid w:val="00083F58"/>
    <w:rsid w:val="00090F39"/>
    <w:rsid w:val="00092F05"/>
    <w:rsid w:val="000938F5"/>
    <w:rsid w:val="00094D89"/>
    <w:rsid w:val="00094FD2"/>
    <w:rsid w:val="00095663"/>
    <w:rsid w:val="00096E55"/>
    <w:rsid w:val="000970DD"/>
    <w:rsid w:val="0009735E"/>
    <w:rsid w:val="0009783E"/>
    <w:rsid w:val="000A1604"/>
    <w:rsid w:val="000A169D"/>
    <w:rsid w:val="000A1EAE"/>
    <w:rsid w:val="000A2F83"/>
    <w:rsid w:val="000A313B"/>
    <w:rsid w:val="000A3DB1"/>
    <w:rsid w:val="000A41BD"/>
    <w:rsid w:val="000A467C"/>
    <w:rsid w:val="000A4A37"/>
    <w:rsid w:val="000A5017"/>
    <w:rsid w:val="000A61D6"/>
    <w:rsid w:val="000B06E9"/>
    <w:rsid w:val="000B0772"/>
    <w:rsid w:val="000B1022"/>
    <w:rsid w:val="000B1861"/>
    <w:rsid w:val="000B1ABD"/>
    <w:rsid w:val="000B4306"/>
    <w:rsid w:val="000B4F5C"/>
    <w:rsid w:val="000B5D19"/>
    <w:rsid w:val="000B5E0B"/>
    <w:rsid w:val="000B601B"/>
    <w:rsid w:val="000B602D"/>
    <w:rsid w:val="000B6F0D"/>
    <w:rsid w:val="000B767B"/>
    <w:rsid w:val="000C132E"/>
    <w:rsid w:val="000C207E"/>
    <w:rsid w:val="000C282D"/>
    <w:rsid w:val="000C4014"/>
    <w:rsid w:val="000C469E"/>
    <w:rsid w:val="000D0F69"/>
    <w:rsid w:val="000D1199"/>
    <w:rsid w:val="000D1CBA"/>
    <w:rsid w:val="000D2A52"/>
    <w:rsid w:val="000D38C5"/>
    <w:rsid w:val="000D41E9"/>
    <w:rsid w:val="000D4DB4"/>
    <w:rsid w:val="000D54EF"/>
    <w:rsid w:val="000D5663"/>
    <w:rsid w:val="000D64A9"/>
    <w:rsid w:val="000E1946"/>
    <w:rsid w:val="000E2420"/>
    <w:rsid w:val="000E4E17"/>
    <w:rsid w:val="000E79CE"/>
    <w:rsid w:val="000E7C28"/>
    <w:rsid w:val="000F0035"/>
    <w:rsid w:val="000F04E7"/>
    <w:rsid w:val="000F060A"/>
    <w:rsid w:val="000F0DDF"/>
    <w:rsid w:val="000F1979"/>
    <w:rsid w:val="000F1E4D"/>
    <w:rsid w:val="000F3785"/>
    <w:rsid w:val="000F420B"/>
    <w:rsid w:val="000F5C09"/>
    <w:rsid w:val="001001AA"/>
    <w:rsid w:val="00100811"/>
    <w:rsid w:val="001011E6"/>
    <w:rsid w:val="001017A5"/>
    <w:rsid w:val="00103CB9"/>
    <w:rsid w:val="00103E31"/>
    <w:rsid w:val="00105F5D"/>
    <w:rsid w:val="00106A9D"/>
    <w:rsid w:val="00107015"/>
    <w:rsid w:val="001070DF"/>
    <w:rsid w:val="00107291"/>
    <w:rsid w:val="00107A35"/>
    <w:rsid w:val="00110116"/>
    <w:rsid w:val="00110603"/>
    <w:rsid w:val="00112792"/>
    <w:rsid w:val="001132C6"/>
    <w:rsid w:val="0011367F"/>
    <w:rsid w:val="001167E6"/>
    <w:rsid w:val="00117411"/>
    <w:rsid w:val="00117971"/>
    <w:rsid w:val="00120072"/>
    <w:rsid w:val="001217A5"/>
    <w:rsid w:val="00122260"/>
    <w:rsid w:val="00122F03"/>
    <w:rsid w:val="001230FB"/>
    <w:rsid w:val="001243B8"/>
    <w:rsid w:val="00125317"/>
    <w:rsid w:val="001259E8"/>
    <w:rsid w:val="00125E7E"/>
    <w:rsid w:val="00126EB8"/>
    <w:rsid w:val="00126F12"/>
    <w:rsid w:val="001274D4"/>
    <w:rsid w:val="001313A9"/>
    <w:rsid w:val="00131EA1"/>
    <w:rsid w:val="001332A8"/>
    <w:rsid w:val="00133648"/>
    <w:rsid w:val="001347D9"/>
    <w:rsid w:val="00134A25"/>
    <w:rsid w:val="00135399"/>
    <w:rsid w:val="001363AA"/>
    <w:rsid w:val="0013739A"/>
    <w:rsid w:val="001374EC"/>
    <w:rsid w:val="00137EA2"/>
    <w:rsid w:val="0014146B"/>
    <w:rsid w:val="00142165"/>
    <w:rsid w:val="0014226F"/>
    <w:rsid w:val="00143212"/>
    <w:rsid w:val="0014352C"/>
    <w:rsid w:val="00144EA7"/>
    <w:rsid w:val="00147E0C"/>
    <w:rsid w:val="00150DAC"/>
    <w:rsid w:val="001515D3"/>
    <w:rsid w:val="00152996"/>
    <w:rsid w:val="00152A43"/>
    <w:rsid w:val="00152EF8"/>
    <w:rsid w:val="00152F55"/>
    <w:rsid w:val="00157BC3"/>
    <w:rsid w:val="00162434"/>
    <w:rsid w:val="00166F83"/>
    <w:rsid w:val="001706A7"/>
    <w:rsid w:val="00170C4B"/>
    <w:rsid w:val="00170E6C"/>
    <w:rsid w:val="001710A1"/>
    <w:rsid w:val="0017137D"/>
    <w:rsid w:val="00172235"/>
    <w:rsid w:val="00173329"/>
    <w:rsid w:val="00173693"/>
    <w:rsid w:val="0017523D"/>
    <w:rsid w:val="00176165"/>
    <w:rsid w:val="0017743E"/>
    <w:rsid w:val="00180435"/>
    <w:rsid w:val="001805A2"/>
    <w:rsid w:val="001817C1"/>
    <w:rsid w:val="00181BF3"/>
    <w:rsid w:val="00181CDE"/>
    <w:rsid w:val="00183397"/>
    <w:rsid w:val="00183E82"/>
    <w:rsid w:val="0018671F"/>
    <w:rsid w:val="001878BB"/>
    <w:rsid w:val="00190A4E"/>
    <w:rsid w:val="00190B4E"/>
    <w:rsid w:val="00191199"/>
    <w:rsid w:val="001918D6"/>
    <w:rsid w:val="00191AE0"/>
    <w:rsid w:val="001922F6"/>
    <w:rsid w:val="0019293B"/>
    <w:rsid w:val="0019328F"/>
    <w:rsid w:val="0019426B"/>
    <w:rsid w:val="00194360"/>
    <w:rsid w:val="0019693B"/>
    <w:rsid w:val="00196AC2"/>
    <w:rsid w:val="001A032D"/>
    <w:rsid w:val="001A21CA"/>
    <w:rsid w:val="001A2807"/>
    <w:rsid w:val="001A4650"/>
    <w:rsid w:val="001A50C4"/>
    <w:rsid w:val="001A53E7"/>
    <w:rsid w:val="001A671F"/>
    <w:rsid w:val="001A6A4B"/>
    <w:rsid w:val="001A772A"/>
    <w:rsid w:val="001B3B0E"/>
    <w:rsid w:val="001B5F72"/>
    <w:rsid w:val="001B75A0"/>
    <w:rsid w:val="001C0865"/>
    <w:rsid w:val="001C0AED"/>
    <w:rsid w:val="001C104E"/>
    <w:rsid w:val="001C1872"/>
    <w:rsid w:val="001C18B5"/>
    <w:rsid w:val="001C1964"/>
    <w:rsid w:val="001C1A91"/>
    <w:rsid w:val="001C1E60"/>
    <w:rsid w:val="001C24AE"/>
    <w:rsid w:val="001C25CE"/>
    <w:rsid w:val="001C272E"/>
    <w:rsid w:val="001C37A8"/>
    <w:rsid w:val="001C3ABA"/>
    <w:rsid w:val="001C3C2A"/>
    <w:rsid w:val="001C3E3E"/>
    <w:rsid w:val="001C4937"/>
    <w:rsid w:val="001C5111"/>
    <w:rsid w:val="001C5E2E"/>
    <w:rsid w:val="001C629D"/>
    <w:rsid w:val="001C6380"/>
    <w:rsid w:val="001C69C3"/>
    <w:rsid w:val="001C7BF6"/>
    <w:rsid w:val="001D04FB"/>
    <w:rsid w:val="001D0822"/>
    <w:rsid w:val="001D0F18"/>
    <w:rsid w:val="001D2725"/>
    <w:rsid w:val="001D394A"/>
    <w:rsid w:val="001D4E86"/>
    <w:rsid w:val="001D50E9"/>
    <w:rsid w:val="001D5231"/>
    <w:rsid w:val="001D56BD"/>
    <w:rsid w:val="001E1D42"/>
    <w:rsid w:val="001E2ED3"/>
    <w:rsid w:val="001E3ACD"/>
    <w:rsid w:val="001E41A2"/>
    <w:rsid w:val="001E5A12"/>
    <w:rsid w:val="001E7856"/>
    <w:rsid w:val="001E7BE8"/>
    <w:rsid w:val="001F0248"/>
    <w:rsid w:val="001F0395"/>
    <w:rsid w:val="001F0CEF"/>
    <w:rsid w:val="001F2EFC"/>
    <w:rsid w:val="001F39EC"/>
    <w:rsid w:val="001F3C9D"/>
    <w:rsid w:val="001F3EB3"/>
    <w:rsid w:val="001F4B4F"/>
    <w:rsid w:val="001F4F86"/>
    <w:rsid w:val="001F53B5"/>
    <w:rsid w:val="001F59B4"/>
    <w:rsid w:val="00200ADC"/>
    <w:rsid w:val="0020173D"/>
    <w:rsid w:val="00202090"/>
    <w:rsid w:val="00202C2C"/>
    <w:rsid w:val="00202D6A"/>
    <w:rsid w:val="00203050"/>
    <w:rsid w:val="00204C18"/>
    <w:rsid w:val="002055CB"/>
    <w:rsid w:val="002061A4"/>
    <w:rsid w:val="002061CA"/>
    <w:rsid w:val="00206C64"/>
    <w:rsid w:val="00207304"/>
    <w:rsid w:val="00210D95"/>
    <w:rsid w:val="002135AB"/>
    <w:rsid w:val="00214165"/>
    <w:rsid w:val="002142BD"/>
    <w:rsid w:val="002144BE"/>
    <w:rsid w:val="002169A2"/>
    <w:rsid w:val="00217D87"/>
    <w:rsid w:val="00220046"/>
    <w:rsid w:val="0022348C"/>
    <w:rsid w:val="002268AC"/>
    <w:rsid w:val="00227F96"/>
    <w:rsid w:val="0023028A"/>
    <w:rsid w:val="002305E9"/>
    <w:rsid w:val="002327F9"/>
    <w:rsid w:val="00240E51"/>
    <w:rsid w:val="0024199A"/>
    <w:rsid w:val="00241F61"/>
    <w:rsid w:val="00242279"/>
    <w:rsid w:val="0024350F"/>
    <w:rsid w:val="00243997"/>
    <w:rsid w:val="0024516C"/>
    <w:rsid w:val="00245C82"/>
    <w:rsid w:val="0025046A"/>
    <w:rsid w:val="00250E34"/>
    <w:rsid w:val="00251ACC"/>
    <w:rsid w:val="00252996"/>
    <w:rsid w:val="00252D78"/>
    <w:rsid w:val="002545C0"/>
    <w:rsid w:val="0025555C"/>
    <w:rsid w:val="0025567C"/>
    <w:rsid w:val="0025600D"/>
    <w:rsid w:val="00256592"/>
    <w:rsid w:val="002572C8"/>
    <w:rsid w:val="00260A67"/>
    <w:rsid w:val="0026140B"/>
    <w:rsid w:val="00261A09"/>
    <w:rsid w:val="002620DE"/>
    <w:rsid w:val="00264A58"/>
    <w:rsid w:val="00265579"/>
    <w:rsid w:val="00265E60"/>
    <w:rsid w:val="00266946"/>
    <w:rsid w:val="002713A3"/>
    <w:rsid w:val="00271D7A"/>
    <w:rsid w:val="002724BA"/>
    <w:rsid w:val="00273C86"/>
    <w:rsid w:val="00275795"/>
    <w:rsid w:val="00280F1C"/>
    <w:rsid w:val="00281DC8"/>
    <w:rsid w:val="00283DCB"/>
    <w:rsid w:val="002849C4"/>
    <w:rsid w:val="00286C57"/>
    <w:rsid w:val="00286E3B"/>
    <w:rsid w:val="00287E3D"/>
    <w:rsid w:val="00290023"/>
    <w:rsid w:val="002905D3"/>
    <w:rsid w:val="00290F55"/>
    <w:rsid w:val="00291B40"/>
    <w:rsid w:val="00292376"/>
    <w:rsid w:val="0029281B"/>
    <w:rsid w:val="00292876"/>
    <w:rsid w:val="002A221E"/>
    <w:rsid w:val="002A3303"/>
    <w:rsid w:val="002A6146"/>
    <w:rsid w:val="002B00D9"/>
    <w:rsid w:val="002B0CBD"/>
    <w:rsid w:val="002B209C"/>
    <w:rsid w:val="002B2E6B"/>
    <w:rsid w:val="002B39F8"/>
    <w:rsid w:val="002B4008"/>
    <w:rsid w:val="002B5138"/>
    <w:rsid w:val="002C0A65"/>
    <w:rsid w:val="002C10E4"/>
    <w:rsid w:val="002C11A4"/>
    <w:rsid w:val="002C12AB"/>
    <w:rsid w:val="002C2B51"/>
    <w:rsid w:val="002C3A48"/>
    <w:rsid w:val="002C41E1"/>
    <w:rsid w:val="002C439F"/>
    <w:rsid w:val="002C6BA5"/>
    <w:rsid w:val="002C72E4"/>
    <w:rsid w:val="002D0532"/>
    <w:rsid w:val="002D0C42"/>
    <w:rsid w:val="002D0E8E"/>
    <w:rsid w:val="002D29C0"/>
    <w:rsid w:val="002D4409"/>
    <w:rsid w:val="002D4694"/>
    <w:rsid w:val="002D4778"/>
    <w:rsid w:val="002D4B64"/>
    <w:rsid w:val="002D6812"/>
    <w:rsid w:val="002D71C0"/>
    <w:rsid w:val="002D76C1"/>
    <w:rsid w:val="002E0AC6"/>
    <w:rsid w:val="002E0B7E"/>
    <w:rsid w:val="002E1153"/>
    <w:rsid w:val="002E34B7"/>
    <w:rsid w:val="002E39E0"/>
    <w:rsid w:val="002F00A3"/>
    <w:rsid w:val="002F0CF5"/>
    <w:rsid w:val="002F1004"/>
    <w:rsid w:val="002F4E48"/>
    <w:rsid w:val="002F6445"/>
    <w:rsid w:val="002F6523"/>
    <w:rsid w:val="002F7668"/>
    <w:rsid w:val="002F7956"/>
    <w:rsid w:val="00300F1E"/>
    <w:rsid w:val="00301189"/>
    <w:rsid w:val="00301518"/>
    <w:rsid w:val="00301E4A"/>
    <w:rsid w:val="00301F32"/>
    <w:rsid w:val="003026F7"/>
    <w:rsid w:val="00302CD0"/>
    <w:rsid w:val="003036B4"/>
    <w:rsid w:val="0030384B"/>
    <w:rsid w:val="00303B0B"/>
    <w:rsid w:val="00305D6D"/>
    <w:rsid w:val="00306065"/>
    <w:rsid w:val="00306E61"/>
    <w:rsid w:val="003070A4"/>
    <w:rsid w:val="003102D3"/>
    <w:rsid w:val="0031157B"/>
    <w:rsid w:val="003117F2"/>
    <w:rsid w:val="0031327A"/>
    <w:rsid w:val="003168B8"/>
    <w:rsid w:val="00317546"/>
    <w:rsid w:val="003206E5"/>
    <w:rsid w:val="00321578"/>
    <w:rsid w:val="00322103"/>
    <w:rsid w:val="003227D4"/>
    <w:rsid w:val="003228AD"/>
    <w:rsid w:val="003229A2"/>
    <w:rsid w:val="00322D64"/>
    <w:rsid w:val="00323668"/>
    <w:rsid w:val="00323D9B"/>
    <w:rsid w:val="00323E09"/>
    <w:rsid w:val="00325024"/>
    <w:rsid w:val="00325D9B"/>
    <w:rsid w:val="00326739"/>
    <w:rsid w:val="00326DE3"/>
    <w:rsid w:val="00330A35"/>
    <w:rsid w:val="00330B8A"/>
    <w:rsid w:val="003312D6"/>
    <w:rsid w:val="0033378A"/>
    <w:rsid w:val="00333932"/>
    <w:rsid w:val="00333C21"/>
    <w:rsid w:val="0033457E"/>
    <w:rsid w:val="00335B09"/>
    <w:rsid w:val="00336A2D"/>
    <w:rsid w:val="003372B2"/>
    <w:rsid w:val="00337C14"/>
    <w:rsid w:val="00340CE9"/>
    <w:rsid w:val="00344257"/>
    <w:rsid w:val="0034480D"/>
    <w:rsid w:val="003449EA"/>
    <w:rsid w:val="00345168"/>
    <w:rsid w:val="00347891"/>
    <w:rsid w:val="003503B7"/>
    <w:rsid w:val="003518AA"/>
    <w:rsid w:val="00351CDE"/>
    <w:rsid w:val="00352165"/>
    <w:rsid w:val="00352D12"/>
    <w:rsid w:val="00353182"/>
    <w:rsid w:val="003534C3"/>
    <w:rsid w:val="003537A3"/>
    <w:rsid w:val="00353C53"/>
    <w:rsid w:val="00354899"/>
    <w:rsid w:val="003565D9"/>
    <w:rsid w:val="003569F4"/>
    <w:rsid w:val="003574D5"/>
    <w:rsid w:val="003602E1"/>
    <w:rsid w:val="0036175F"/>
    <w:rsid w:val="00362FA0"/>
    <w:rsid w:val="0037026F"/>
    <w:rsid w:val="003709F1"/>
    <w:rsid w:val="00371240"/>
    <w:rsid w:val="00371FFB"/>
    <w:rsid w:val="00373271"/>
    <w:rsid w:val="00374607"/>
    <w:rsid w:val="00374731"/>
    <w:rsid w:val="00376E59"/>
    <w:rsid w:val="00377976"/>
    <w:rsid w:val="00377EC1"/>
    <w:rsid w:val="00380340"/>
    <w:rsid w:val="00380D69"/>
    <w:rsid w:val="00381870"/>
    <w:rsid w:val="00382B64"/>
    <w:rsid w:val="003830F0"/>
    <w:rsid w:val="00383BFD"/>
    <w:rsid w:val="00384850"/>
    <w:rsid w:val="00384EFC"/>
    <w:rsid w:val="00387DE2"/>
    <w:rsid w:val="003919F9"/>
    <w:rsid w:val="00391D66"/>
    <w:rsid w:val="003920CF"/>
    <w:rsid w:val="0039231E"/>
    <w:rsid w:val="00392986"/>
    <w:rsid w:val="00394C6E"/>
    <w:rsid w:val="00395F7C"/>
    <w:rsid w:val="00396353"/>
    <w:rsid w:val="003976D2"/>
    <w:rsid w:val="003978B9"/>
    <w:rsid w:val="003A04CE"/>
    <w:rsid w:val="003A1B3E"/>
    <w:rsid w:val="003A1F1F"/>
    <w:rsid w:val="003A2624"/>
    <w:rsid w:val="003A57B6"/>
    <w:rsid w:val="003A5D7C"/>
    <w:rsid w:val="003B1073"/>
    <w:rsid w:val="003B20E4"/>
    <w:rsid w:val="003B23C2"/>
    <w:rsid w:val="003B25EE"/>
    <w:rsid w:val="003B46D4"/>
    <w:rsid w:val="003B546D"/>
    <w:rsid w:val="003B67B6"/>
    <w:rsid w:val="003B76F4"/>
    <w:rsid w:val="003B78FB"/>
    <w:rsid w:val="003C2483"/>
    <w:rsid w:val="003C35EA"/>
    <w:rsid w:val="003C38B5"/>
    <w:rsid w:val="003C4C3E"/>
    <w:rsid w:val="003C538E"/>
    <w:rsid w:val="003C548A"/>
    <w:rsid w:val="003C5C09"/>
    <w:rsid w:val="003C5D99"/>
    <w:rsid w:val="003D097C"/>
    <w:rsid w:val="003D0A2D"/>
    <w:rsid w:val="003D0E9E"/>
    <w:rsid w:val="003D1087"/>
    <w:rsid w:val="003D4855"/>
    <w:rsid w:val="003D5FF1"/>
    <w:rsid w:val="003D6000"/>
    <w:rsid w:val="003D693F"/>
    <w:rsid w:val="003E269F"/>
    <w:rsid w:val="003E2F59"/>
    <w:rsid w:val="003E3018"/>
    <w:rsid w:val="003E3694"/>
    <w:rsid w:val="003E6F4C"/>
    <w:rsid w:val="003E746B"/>
    <w:rsid w:val="003F0789"/>
    <w:rsid w:val="003F0DCD"/>
    <w:rsid w:val="003F20D7"/>
    <w:rsid w:val="003F22E0"/>
    <w:rsid w:val="003F3D35"/>
    <w:rsid w:val="003F653F"/>
    <w:rsid w:val="004003F0"/>
    <w:rsid w:val="00401882"/>
    <w:rsid w:val="00401FA7"/>
    <w:rsid w:val="00401FE7"/>
    <w:rsid w:val="0040245F"/>
    <w:rsid w:val="00404CCC"/>
    <w:rsid w:val="00405112"/>
    <w:rsid w:val="0040609A"/>
    <w:rsid w:val="004066EA"/>
    <w:rsid w:val="00407337"/>
    <w:rsid w:val="004100C8"/>
    <w:rsid w:val="00410846"/>
    <w:rsid w:val="00411DBD"/>
    <w:rsid w:val="004123A0"/>
    <w:rsid w:val="00412794"/>
    <w:rsid w:val="00412ACE"/>
    <w:rsid w:val="0041431F"/>
    <w:rsid w:val="004145D2"/>
    <w:rsid w:val="00414703"/>
    <w:rsid w:val="0041741D"/>
    <w:rsid w:val="00417E5D"/>
    <w:rsid w:val="00417FCC"/>
    <w:rsid w:val="004213CA"/>
    <w:rsid w:val="00422AFF"/>
    <w:rsid w:val="00422B26"/>
    <w:rsid w:val="00423955"/>
    <w:rsid w:val="0042493A"/>
    <w:rsid w:val="00425CD9"/>
    <w:rsid w:val="00425FE8"/>
    <w:rsid w:val="00426CB4"/>
    <w:rsid w:val="00427146"/>
    <w:rsid w:val="00427A8E"/>
    <w:rsid w:val="00431249"/>
    <w:rsid w:val="00434620"/>
    <w:rsid w:val="00434968"/>
    <w:rsid w:val="00434C19"/>
    <w:rsid w:val="00435023"/>
    <w:rsid w:val="0043555C"/>
    <w:rsid w:val="004364FC"/>
    <w:rsid w:val="004403D4"/>
    <w:rsid w:val="00440516"/>
    <w:rsid w:val="004418B5"/>
    <w:rsid w:val="00445343"/>
    <w:rsid w:val="0044668B"/>
    <w:rsid w:val="00447DB9"/>
    <w:rsid w:val="00450810"/>
    <w:rsid w:val="00452DA6"/>
    <w:rsid w:val="004536E0"/>
    <w:rsid w:val="0045546D"/>
    <w:rsid w:val="004566ED"/>
    <w:rsid w:val="00460008"/>
    <w:rsid w:val="004614DF"/>
    <w:rsid w:val="004627A2"/>
    <w:rsid w:val="00462C59"/>
    <w:rsid w:val="00462E0D"/>
    <w:rsid w:val="0046438A"/>
    <w:rsid w:val="00470075"/>
    <w:rsid w:val="00470184"/>
    <w:rsid w:val="00470428"/>
    <w:rsid w:val="00470737"/>
    <w:rsid w:val="00472EFF"/>
    <w:rsid w:val="00473C6C"/>
    <w:rsid w:val="00475734"/>
    <w:rsid w:val="00475D0E"/>
    <w:rsid w:val="00476142"/>
    <w:rsid w:val="0047664E"/>
    <w:rsid w:val="00477144"/>
    <w:rsid w:val="004801DF"/>
    <w:rsid w:val="00481818"/>
    <w:rsid w:val="00481852"/>
    <w:rsid w:val="0048217C"/>
    <w:rsid w:val="004826BD"/>
    <w:rsid w:val="00483410"/>
    <w:rsid w:val="00484D80"/>
    <w:rsid w:val="004858D8"/>
    <w:rsid w:val="0048763C"/>
    <w:rsid w:val="00490528"/>
    <w:rsid w:val="00490AE1"/>
    <w:rsid w:val="00491380"/>
    <w:rsid w:val="00492255"/>
    <w:rsid w:val="0049443A"/>
    <w:rsid w:val="00494529"/>
    <w:rsid w:val="0049459F"/>
    <w:rsid w:val="00497B26"/>
    <w:rsid w:val="004A17FA"/>
    <w:rsid w:val="004A18B0"/>
    <w:rsid w:val="004A1F8D"/>
    <w:rsid w:val="004A20ED"/>
    <w:rsid w:val="004A2DB1"/>
    <w:rsid w:val="004A3333"/>
    <w:rsid w:val="004A37CA"/>
    <w:rsid w:val="004A38DD"/>
    <w:rsid w:val="004A54DB"/>
    <w:rsid w:val="004A5B76"/>
    <w:rsid w:val="004B0B31"/>
    <w:rsid w:val="004B1243"/>
    <w:rsid w:val="004B38BD"/>
    <w:rsid w:val="004B4360"/>
    <w:rsid w:val="004B43AE"/>
    <w:rsid w:val="004B5887"/>
    <w:rsid w:val="004B630D"/>
    <w:rsid w:val="004B661A"/>
    <w:rsid w:val="004B7A5D"/>
    <w:rsid w:val="004C03DF"/>
    <w:rsid w:val="004C1A29"/>
    <w:rsid w:val="004C2146"/>
    <w:rsid w:val="004C30ED"/>
    <w:rsid w:val="004C53C0"/>
    <w:rsid w:val="004C7852"/>
    <w:rsid w:val="004D0570"/>
    <w:rsid w:val="004D0C4F"/>
    <w:rsid w:val="004D0D1E"/>
    <w:rsid w:val="004D293D"/>
    <w:rsid w:val="004D2B43"/>
    <w:rsid w:val="004D3CF6"/>
    <w:rsid w:val="004D4212"/>
    <w:rsid w:val="004D5675"/>
    <w:rsid w:val="004D5E98"/>
    <w:rsid w:val="004D69E0"/>
    <w:rsid w:val="004D7C85"/>
    <w:rsid w:val="004E1BFD"/>
    <w:rsid w:val="004E20D9"/>
    <w:rsid w:val="004E26E8"/>
    <w:rsid w:val="004E55F8"/>
    <w:rsid w:val="004E58D3"/>
    <w:rsid w:val="004F07D9"/>
    <w:rsid w:val="004F2066"/>
    <w:rsid w:val="004F221B"/>
    <w:rsid w:val="004F3BBE"/>
    <w:rsid w:val="004F4F41"/>
    <w:rsid w:val="004F50E1"/>
    <w:rsid w:val="004F5107"/>
    <w:rsid w:val="004F67BE"/>
    <w:rsid w:val="004F7A56"/>
    <w:rsid w:val="004F7D91"/>
    <w:rsid w:val="00500996"/>
    <w:rsid w:val="00501036"/>
    <w:rsid w:val="00501650"/>
    <w:rsid w:val="00502D57"/>
    <w:rsid w:val="00503F98"/>
    <w:rsid w:val="00504E81"/>
    <w:rsid w:val="00507D21"/>
    <w:rsid w:val="005115EA"/>
    <w:rsid w:val="005128CD"/>
    <w:rsid w:val="00512D87"/>
    <w:rsid w:val="00512FC2"/>
    <w:rsid w:val="005132E7"/>
    <w:rsid w:val="00513542"/>
    <w:rsid w:val="00513A0A"/>
    <w:rsid w:val="00513B84"/>
    <w:rsid w:val="005160F1"/>
    <w:rsid w:val="00516F49"/>
    <w:rsid w:val="00517795"/>
    <w:rsid w:val="005204F2"/>
    <w:rsid w:val="005219A1"/>
    <w:rsid w:val="00522328"/>
    <w:rsid w:val="00523639"/>
    <w:rsid w:val="005255A2"/>
    <w:rsid w:val="00526580"/>
    <w:rsid w:val="00527C7F"/>
    <w:rsid w:val="00531417"/>
    <w:rsid w:val="005314D1"/>
    <w:rsid w:val="00531FE5"/>
    <w:rsid w:val="00534586"/>
    <w:rsid w:val="0053562A"/>
    <w:rsid w:val="005369D2"/>
    <w:rsid w:val="005378C1"/>
    <w:rsid w:val="0054026D"/>
    <w:rsid w:val="005402FA"/>
    <w:rsid w:val="005406B0"/>
    <w:rsid w:val="005417D8"/>
    <w:rsid w:val="00542021"/>
    <w:rsid w:val="00542030"/>
    <w:rsid w:val="00542184"/>
    <w:rsid w:val="00542570"/>
    <w:rsid w:val="00542CE1"/>
    <w:rsid w:val="00543CED"/>
    <w:rsid w:val="00544C78"/>
    <w:rsid w:val="005468CA"/>
    <w:rsid w:val="00547F41"/>
    <w:rsid w:val="00550D40"/>
    <w:rsid w:val="00551088"/>
    <w:rsid w:val="00552A66"/>
    <w:rsid w:val="005531A6"/>
    <w:rsid w:val="00553846"/>
    <w:rsid w:val="00553AC4"/>
    <w:rsid w:val="005554F2"/>
    <w:rsid w:val="00556AE2"/>
    <w:rsid w:val="0056044B"/>
    <w:rsid w:val="005608D8"/>
    <w:rsid w:val="00560FFF"/>
    <w:rsid w:val="00561419"/>
    <w:rsid w:val="005615AF"/>
    <w:rsid w:val="00562B99"/>
    <w:rsid w:val="0056384A"/>
    <w:rsid w:val="0056605F"/>
    <w:rsid w:val="00566813"/>
    <w:rsid w:val="005705C9"/>
    <w:rsid w:val="00572268"/>
    <w:rsid w:val="005729BD"/>
    <w:rsid w:val="005734F8"/>
    <w:rsid w:val="005745E3"/>
    <w:rsid w:val="005756B3"/>
    <w:rsid w:val="005779BC"/>
    <w:rsid w:val="00577F73"/>
    <w:rsid w:val="00580154"/>
    <w:rsid w:val="0058036D"/>
    <w:rsid w:val="00580839"/>
    <w:rsid w:val="00580C61"/>
    <w:rsid w:val="005814D9"/>
    <w:rsid w:val="0058299A"/>
    <w:rsid w:val="00582E09"/>
    <w:rsid w:val="00583C39"/>
    <w:rsid w:val="00584A5C"/>
    <w:rsid w:val="00585832"/>
    <w:rsid w:val="00586A90"/>
    <w:rsid w:val="00587178"/>
    <w:rsid w:val="0058761A"/>
    <w:rsid w:val="00587F28"/>
    <w:rsid w:val="00587F37"/>
    <w:rsid w:val="005909CF"/>
    <w:rsid w:val="00591960"/>
    <w:rsid w:val="00591E71"/>
    <w:rsid w:val="0059260B"/>
    <w:rsid w:val="00592805"/>
    <w:rsid w:val="00593A61"/>
    <w:rsid w:val="00593BB2"/>
    <w:rsid w:val="00595FF3"/>
    <w:rsid w:val="0059617C"/>
    <w:rsid w:val="005A0D41"/>
    <w:rsid w:val="005A2744"/>
    <w:rsid w:val="005A3921"/>
    <w:rsid w:val="005A3A8F"/>
    <w:rsid w:val="005A45BA"/>
    <w:rsid w:val="005A6CDC"/>
    <w:rsid w:val="005B4355"/>
    <w:rsid w:val="005B4B72"/>
    <w:rsid w:val="005B704A"/>
    <w:rsid w:val="005C2903"/>
    <w:rsid w:val="005C2A1A"/>
    <w:rsid w:val="005C2C55"/>
    <w:rsid w:val="005C2D5B"/>
    <w:rsid w:val="005C3308"/>
    <w:rsid w:val="005C3C7A"/>
    <w:rsid w:val="005C3CAF"/>
    <w:rsid w:val="005C3F5E"/>
    <w:rsid w:val="005C68E1"/>
    <w:rsid w:val="005C6D45"/>
    <w:rsid w:val="005D0E07"/>
    <w:rsid w:val="005D29A1"/>
    <w:rsid w:val="005D2CCD"/>
    <w:rsid w:val="005D329F"/>
    <w:rsid w:val="005D393C"/>
    <w:rsid w:val="005D50FA"/>
    <w:rsid w:val="005D529A"/>
    <w:rsid w:val="005D6234"/>
    <w:rsid w:val="005D7C3B"/>
    <w:rsid w:val="005D7CAB"/>
    <w:rsid w:val="005E09D9"/>
    <w:rsid w:val="005E1D0D"/>
    <w:rsid w:val="005E41C5"/>
    <w:rsid w:val="005E66F2"/>
    <w:rsid w:val="005E6D16"/>
    <w:rsid w:val="005F0C71"/>
    <w:rsid w:val="005F113D"/>
    <w:rsid w:val="005F37D1"/>
    <w:rsid w:val="005F48ED"/>
    <w:rsid w:val="005F4BF6"/>
    <w:rsid w:val="005F6195"/>
    <w:rsid w:val="0060029A"/>
    <w:rsid w:val="00603896"/>
    <w:rsid w:val="00603B20"/>
    <w:rsid w:val="00603CFE"/>
    <w:rsid w:val="0060531A"/>
    <w:rsid w:val="00606E78"/>
    <w:rsid w:val="0060761E"/>
    <w:rsid w:val="00607953"/>
    <w:rsid w:val="00607BF1"/>
    <w:rsid w:val="00611307"/>
    <w:rsid w:val="00614372"/>
    <w:rsid w:val="006143E4"/>
    <w:rsid w:val="00614C7F"/>
    <w:rsid w:val="00621BB2"/>
    <w:rsid w:val="00622BAF"/>
    <w:rsid w:val="00623856"/>
    <w:rsid w:val="00625071"/>
    <w:rsid w:val="0062595F"/>
    <w:rsid w:val="00627745"/>
    <w:rsid w:val="00627B5B"/>
    <w:rsid w:val="00630B59"/>
    <w:rsid w:val="00630D4D"/>
    <w:rsid w:val="00632A74"/>
    <w:rsid w:val="006330C5"/>
    <w:rsid w:val="00634E59"/>
    <w:rsid w:val="00635828"/>
    <w:rsid w:val="00635D06"/>
    <w:rsid w:val="00637039"/>
    <w:rsid w:val="00637C17"/>
    <w:rsid w:val="00637FE1"/>
    <w:rsid w:val="00640E10"/>
    <w:rsid w:val="00642250"/>
    <w:rsid w:val="006429CC"/>
    <w:rsid w:val="00646DD1"/>
    <w:rsid w:val="00647614"/>
    <w:rsid w:val="00650058"/>
    <w:rsid w:val="006513A2"/>
    <w:rsid w:val="00651B7A"/>
    <w:rsid w:val="006536F6"/>
    <w:rsid w:val="006542BD"/>
    <w:rsid w:val="00654454"/>
    <w:rsid w:val="00654D42"/>
    <w:rsid w:val="006552C6"/>
    <w:rsid w:val="00655CDB"/>
    <w:rsid w:val="006560DB"/>
    <w:rsid w:val="006575BA"/>
    <w:rsid w:val="00663619"/>
    <w:rsid w:val="00664F0F"/>
    <w:rsid w:val="00666E02"/>
    <w:rsid w:val="006678DC"/>
    <w:rsid w:val="00667A8E"/>
    <w:rsid w:val="00667C56"/>
    <w:rsid w:val="00667E39"/>
    <w:rsid w:val="006724F9"/>
    <w:rsid w:val="00672AD6"/>
    <w:rsid w:val="00674196"/>
    <w:rsid w:val="0067486B"/>
    <w:rsid w:val="00675DFF"/>
    <w:rsid w:val="00677E8A"/>
    <w:rsid w:val="0068293B"/>
    <w:rsid w:val="00682C70"/>
    <w:rsid w:val="00682E7C"/>
    <w:rsid w:val="00684457"/>
    <w:rsid w:val="00685CBE"/>
    <w:rsid w:val="00685D44"/>
    <w:rsid w:val="0068654A"/>
    <w:rsid w:val="006874AB"/>
    <w:rsid w:val="00687BC0"/>
    <w:rsid w:val="0069048B"/>
    <w:rsid w:val="00690C1B"/>
    <w:rsid w:val="006913AB"/>
    <w:rsid w:val="0069144F"/>
    <w:rsid w:val="00691837"/>
    <w:rsid w:val="0069264F"/>
    <w:rsid w:val="00696513"/>
    <w:rsid w:val="00696650"/>
    <w:rsid w:val="00696785"/>
    <w:rsid w:val="006A0AE0"/>
    <w:rsid w:val="006A0C1E"/>
    <w:rsid w:val="006A19D2"/>
    <w:rsid w:val="006A3459"/>
    <w:rsid w:val="006A3777"/>
    <w:rsid w:val="006A4269"/>
    <w:rsid w:val="006A4655"/>
    <w:rsid w:val="006B1B75"/>
    <w:rsid w:val="006B1D0D"/>
    <w:rsid w:val="006B2B3C"/>
    <w:rsid w:val="006B348F"/>
    <w:rsid w:val="006B52E3"/>
    <w:rsid w:val="006B7780"/>
    <w:rsid w:val="006B7A96"/>
    <w:rsid w:val="006C1D81"/>
    <w:rsid w:val="006C3BC7"/>
    <w:rsid w:val="006C3D97"/>
    <w:rsid w:val="006C401A"/>
    <w:rsid w:val="006C61F7"/>
    <w:rsid w:val="006C637C"/>
    <w:rsid w:val="006C6679"/>
    <w:rsid w:val="006C7038"/>
    <w:rsid w:val="006C7189"/>
    <w:rsid w:val="006D078E"/>
    <w:rsid w:val="006D113E"/>
    <w:rsid w:val="006E1121"/>
    <w:rsid w:val="006E155B"/>
    <w:rsid w:val="006E3A21"/>
    <w:rsid w:val="006E3B3E"/>
    <w:rsid w:val="006E46E0"/>
    <w:rsid w:val="006E56BC"/>
    <w:rsid w:val="006E6B16"/>
    <w:rsid w:val="006E73EF"/>
    <w:rsid w:val="006E7553"/>
    <w:rsid w:val="006E7D9D"/>
    <w:rsid w:val="006F12E9"/>
    <w:rsid w:val="006F211E"/>
    <w:rsid w:val="006F2255"/>
    <w:rsid w:val="006F373C"/>
    <w:rsid w:val="006F4549"/>
    <w:rsid w:val="006F575C"/>
    <w:rsid w:val="006F644A"/>
    <w:rsid w:val="006F783A"/>
    <w:rsid w:val="0070100A"/>
    <w:rsid w:val="007011C6"/>
    <w:rsid w:val="007017EA"/>
    <w:rsid w:val="007041C8"/>
    <w:rsid w:val="007042B1"/>
    <w:rsid w:val="0070467E"/>
    <w:rsid w:val="00704C2F"/>
    <w:rsid w:val="00705518"/>
    <w:rsid w:val="0070591D"/>
    <w:rsid w:val="007079C9"/>
    <w:rsid w:val="0071094E"/>
    <w:rsid w:val="00711147"/>
    <w:rsid w:val="00711B79"/>
    <w:rsid w:val="007140AF"/>
    <w:rsid w:val="00714D4D"/>
    <w:rsid w:val="007219BD"/>
    <w:rsid w:val="00722C72"/>
    <w:rsid w:val="00724123"/>
    <w:rsid w:val="0072548F"/>
    <w:rsid w:val="007266D3"/>
    <w:rsid w:val="007279B9"/>
    <w:rsid w:val="00731ECE"/>
    <w:rsid w:val="00732029"/>
    <w:rsid w:val="0073225A"/>
    <w:rsid w:val="00736744"/>
    <w:rsid w:val="00742874"/>
    <w:rsid w:val="00744BCC"/>
    <w:rsid w:val="00745BFB"/>
    <w:rsid w:val="00746C66"/>
    <w:rsid w:val="0075096F"/>
    <w:rsid w:val="00750A3F"/>
    <w:rsid w:val="00753A36"/>
    <w:rsid w:val="00754917"/>
    <w:rsid w:val="007556AE"/>
    <w:rsid w:val="007557FF"/>
    <w:rsid w:val="00755879"/>
    <w:rsid w:val="00755AB8"/>
    <w:rsid w:val="007561AA"/>
    <w:rsid w:val="007563B2"/>
    <w:rsid w:val="007604BB"/>
    <w:rsid w:val="00762809"/>
    <w:rsid w:val="00762C40"/>
    <w:rsid w:val="0076431C"/>
    <w:rsid w:val="007646B3"/>
    <w:rsid w:val="00764B61"/>
    <w:rsid w:val="00766538"/>
    <w:rsid w:val="00766728"/>
    <w:rsid w:val="00767EE9"/>
    <w:rsid w:val="007709A9"/>
    <w:rsid w:val="00772387"/>
    <w:rsid w:val="00772909"/>
    <w:rsid w:val="00773856"/>
    <w:rsid w:val="00776139"/>
    <w:rsid w:val="00780B7F"/>
    <w:rsid w:val="00780FA3"/>
    <w:rsid w:val="007811BC"/>
    <w:rsid w:val="00781D56"/>
    <w:rsid w:val="00784D6D"/>
    <w:rsid w:val="00785232"/>
    <w:rsid w:val="00785AF0"/>
    <w:rsid w:val="00785DA9"/>
    <w:rsid w:val="00786BDA"/>
    <w:rsid w:val="00787668"/>
    <w:rsid w:val="00787F27"/>
    <w:rsid w:val="007902D8"/>
    <w:rsid w:val="007914A3"/>
    <w:rsid w:val="00792BD5"/>
    <w:rsid w:val="007954E7"/>
    <w:rsid w:val="0079687A"/>
    <w:rsid w:val="0079701E"/>
    <w:rsid w:val="007A06C1"/>
    <w:rsid w:val="007A21EB"/>
    <w:rsid w:val="007A2CDF"/>
    <w:rsid w:val="007A5A4A"/>
    <w:rsid w:val="007A7379"/>
    <w:rsid w:val="007A769A"/>
    <w:rsid w:val="007B1A93"/>
    <w:rsid w:val="007B2F35"/>
    <w:rsid w:val="007B3E52"/>
    <w:rsid w:val="007B691C"/>
    <w:rsid w:val="007B7205"/>
    <w:rsid w:val="007B7486"/>
    <w:rsid w:val="007C025F"/>
    <w:rsid w:val="007C1467"/>
    <w:rsid w:val="007C22E1"/>
    <w:rsid w:val="007C36C9"/>
    <w:rsid w:val="007C3F69"/>
    <w:rsid w:val="007C406A"/>
    <w:rsid w:val="007C5457"/>
    <w:rsid w:val="007C55F8"/>
    <w:rsid w:val="007C5B1E"/>
    <w:rsid w:val="007C61E1"/>
    <w:rsid w:val="007C7588"/>
    <w:rsid w:val="007D064C"/>
    <w:rsid w:val="007D0FF8"/>
    <w:rsid w:val="007D1974"/>
    <w:rsid w:val="007D30C6"/>
    <w:rsid w:val="007D37FA"/>
    <w:rsid w:val="007D5D03"/>
    <w:rsid w:val="007D6401"/>
    <w:rsid w:val="007E01E4"/>
    <w:rsid w:val="007E0D4B"/>
    <w:rsid w:val="007E292E"/>
    <w:rsid w:val="007E2F0B"/>
    <w:rsid w:val="007E395B"/>
    <w:rsid w:val="007E4F9D"/>
    <w:rsid w:val="007E7A12"/>
    <w:rsid w:val="007F0245"/>
    <w:rsid w:val="007F1208"/>
    <w:rsid w:val="007F2770"/>
    <w:rsid w:val="007F58DE"/>
    <w:rsid w:val="007F65AF"/>
    <w:rsid w:val="007F7107"/>
    <w:rsid w:val="007F7B99"/>
    <w:rsid w:val="007F7D01"/>
    <w:rsid w:val="00800D4C"/>
    <w:rsid w:val="00801CAC"/>
    <w:rsid w:val="00801E36"/>
    <w:rsid w:val="00802ABF"/>
    <w:rsid w:val="00802BF1"/>
    <w:rsid w:val="00803ABE"/>
    <w:rsid w:val="0080438A"/>
    <w:rsid w:val="008054A2"/>
    <w:rsid w:val="00807E4B"/>
    <w:rsid w:val="0081030F"/>
    <w:rsid w:val="00812F4A"/>
    <w:rsid w:val="00813C45"/>
    <w:rsid w:val="008159E0"/>
    <w:rsid w:val="00815EC8"/>
    <w:rsid w:val="008168D9"/>
    <w:rsid w:val="00817E0D"/>
    <w:rsid w:val="0082087D"/>
    <w:rsid w:val="00822339"/>
    <w:rsid w:val="00823727"/>
    <w:rsid w:val="00823DC4"/>
    <w:rsid w:val="00824905"/>
    <w:rsid w:val="008265A6"/>
    <w:rsid w:val="00826B4A"/>
    <w:rsid w:val="008310E1"/>
    <w:rsid w:val="00833923"/>
    <w:rsid w:val="00833B7F"/>
    <w:rsid w:val="008341D7"/>
    <w:rsid w:val="00835701"/>
    <w:rsid w:val="00835771"/>
    <w:rsid w:val="00840F75"/>
    <w:rsid w:val="0084197A"/>
    <w:rsid w:val="00842933"/>
    <w:rsid w:val="00842E3F"/>
    <w:rsid w:val="00843946"/>
    <w:rsid w:val="008445A9"/>
    <w:rsid w:val="00844C85"/>
    <w:rsid w:val="00846B16"/>
    <w:rsid w:val="008526E4"/>
    <w:rsid w:val="00853484"/>
    <w:rsid w:val="00853854"/>
    <w:rsid w:val="0085390F"/>
    <w:rsid w:val="008556F3"/>
    <w:rsid w:val="0085707D"/>
    <w:rsid w:val="00857712"/>
    <w:rsid w:val="00857E80"/>
    <w:rsid w:val="0086013E"/>
    <w:rsid w:val="00860476"/>
    <w:rsid w:val="0086082C"/>
    <w:rsid w:val="00860D53"/>
    <w:rsid w:val="00862118"/>
    <w:rsid w:val="008632EA"/>
    <w:rsid w:val="00864250"/>
    <w:rsid w:val="008644D1"/>
    <w:rsid w:val="00864ADC"/>
    <w:rsid w:val="00864DCF"/>
    <w:rsid w:val="008656CE"/>
    <w:rsid w:val="00865C8B"/>
    <w:rsid w:val="008725CD"/>
    <w:rsid w:val="00872C1C"/>
    <w:rsid w:val="00872C35"/>
    <w:rsid w:val="00873D72"/>
    <w:rsid w:val="00874201"/>
    <w:rsid w:val="008745D7"/>
    <w:rsid w:val="00875E60"/>
    <w:rsid w:val="00876496"/>
    <w:rsid w:val="00877B96"/>
    <w:rsid w:val="00880153"/>
    <w:rsid w:val="00880F97"/>
    <w:rsid w:val="0088133A"/>
    <w:rsid w:val="00882CE2"/>
    <w:rsid w:val="0088662F"/>
    <w:rsid w:val="008868DD"/>
    <w:rsid w:val="00886907"/>
    <w:rsid w:val="0088694C"/>
    <w:rsid w:val="00890CC9"/>
    <w:rsid w:val="008920BE"/>
    <w:rsid w:val="0089285E"/>
    <w:rsid w:val="008929EB"/>
    <w:rsid w:val="0089317E"/>
    <w:rsid w:val="008931A1"/>
    <w:rsid w:val="0089363F"/>
    <w:rsid w:val="0089436C"/>
    <w:rsid w:val="008949C8"/>
    <w:rsid w:val="00895302"/>
    <w:rsid w:val="0089638D"/>
    <w:rsid w:val="00897414"/>
    <w:rsid w:val="0089772F"/>
    <w:rsid w:val="008A107F"/>
    <w:rsid w:val="008A2570"/>
    <w:rsid w:val="008A3DBA"/>
    <w:rsid w:val="008A5910"/>
    <w:rsid w:val="008A6A24"/>
    <w:rsid w:val="008A6A42"/>
    <w:rsid w:val="008B0F8B"/>
    <w:rsid w:val="008B39C8"/>
    <w:rsid w:val="008B3E2F"/>
    <w:rsid w:val="008B43D0"/>
    <w:rsid w:val="008B4B60"/>
    <w:rsid w:val="008B7C4F"/>
    <w:rsid w:val="008C1068"/>
    <w:rsid w:val="008C128C"/>
    <w:rsid w:val="008C2064"/>
    <w:rsid w:val="008C2BC6"/>
    <w:rsid w:val="008C2E93"/>
    <w:rsid w:val="008C3CDC"/>
    <w:rsid w:val="008C3D0A"/>
    <w:rsid w:val="008C6CC8"/>
    <w:rsid w:val="008C7DFA"/>
    <w:rsid w:val="008D03B7"/>
    <w:rsid w:val="008D1B45"/>
    <w:rsid w:val="008D2F4E"/>
    <w:rsid w:val="008D320C"/>
    <w:rsid w:val="008D34EC"/>
    <w:rsid w:val="008D365C"/>
    <w:rsid w:val="008D51F6"/>
    <w:rsid w:val="008D5946"/>
    <w:rsid w:val="008D6850"/>
    <w:rsid w:val="008D7622"/>
    <w:rsid w:val="008D7D32"/>
    <w:rsid w:val="008E12D0"/>
    <w:rsid w:val="008E4C95"/>
    <w:rsid w:val="008E7914"/>
    <w:rsid w:val="008E7F38"/>
    <w:rsid w:val="008F0667"/>
    <w:rsid w:val="008F0991"/>
    <w:rsid w:val="008F340A"/>
    <w:rsid w:val="008F55E9"/>
    <w:rsid w:val="008F5A21"/>
    <w:rsid w:val="008F75AD"/>
    <w:rsid w:val="008F7CF1"/>
    <w:rsid w:val="008F7F82"/>
    <w:rsid w:val="00900637"/>
    <w:rsid w:val="00901697"/>
    <w:rsid w:val="00901C5F"/>
    <w:rsid w:val="009021A6"/>
    <w:rsid w:val="009024F4"/>
    <w:rsid w:val="009024F7"/>
    <w:rsid w:val="009030BF"/>
    <w:rsid w:val="00903B52"/>
    <w:rsid w:val="0090623D"/>
    <w:rsid w:val="009074D2"/>
    <w:rsid w:val="00907EB7"/>
    <w:rsid w:val="0091032F"/>
    <w:rsid w:val="00911F06"/>
    <w:rsid w:val="00912547"/>
    <w:rsid w:val="0091254F"/>
    <w:rsid w:val="009127D1"/>
    <w:rsid w:val="00912E2F"/>
    <w:rsid w:val="009134E8"/>
    <w:rsid w:val="00913717"/>
    <w:rsid w:val="00914368"/>
    <w:rsid w:val="0091651F"/>
    <w:rsid w:val="00920971"/>
    <w:rsid w:val="009235D9"/>
    <w:rsid w:val="00923F79"/>
    <w:rsid w:val="009269FC"/>
    <w:rsid w:val="00930538"/>
    <w:rsid w:val="00930D12"/>
    <w:rsid w:val="00931076"/>
    <w:rsid w:val="00932B64"/>
    <w:rsid w:val="0093456B"/>
    <w:rsid w:val="009345D9"/>
    <w:rsid w:val="00934B15"/>
    <w:rsid w:val="00935D9D"/>
    <w:rsid w:val="009408AC"/>
    <w:rsid w:val="00940C87"/>
    <w:rsid w:val="0094249D"/>
    <w:rsid w:val="00942A4E"/>
    <w:rsid w:val="00942B62"/>
    <w:rsid w:val="00944848"/>
    <w:rsid w:val="00947246"/>
    <w:rsid w:val="0094796E"/>
    <w:rsid w:val="00951FCA"/>
    <w:rsid w:val="0095323B"/>
    <w:rsid w:val="00953D25"/>
    <w:rsid w:val="00954FA2"/>
    <w:rsid w:val="00956275"/>
    <w:rsid w:val="00956A0C"/>
    <w:rsid w:val="00956B58"/>
    <w:rsid w:val="00956BD9"/>
    <w:rsid w:val="00960657"/>
    <w:rsid w:val="00960FE8"/>
    <w:rsid w:val="0096157A"/>
    <w:rsid w:val="009622D0"/>
    <w:rsid w:val="00962489"/>
    <w:rsid w:val="00963F7E"/>
    <w:rsid w:val="00964476"/>
    <w:rsid w:val="00965FC6"/>
    <w:rsid w:val="009663A0"/>
    <w:rsid w:val="00967CD3"/>
    <w:rsid w:val="00971AA7"/>
    <w:rsid w:val="00971B70"/>
    <w:rsid w:val="009729D5"/>
    <w:rsid w:val="00973B9F"/>
    <w:rsid w:val="00974584"/>
    <w:rsid w:val="0097468B"/>
    <w:rsid w:val="0097472F"/>
    <w:rsid w:val="009749C1"/>
    <w:rsid w:val="00981D0B"/>
    <w:rsid w:val="00985A04"/>
    <w:rsid w:val="00985EBF"/>
    <w:rsid w:val="0098658D"/>
    <w:rsid w:val="00990B28"/>
    <w:rsid w:val="00990C2C"/>
    <w:rsid w:val="00991DE9"/>
    <w:rsid w:val="00994BF9"/>
    <w:rsid w:val="009959AB"/>
    <w:rsid w:val="00997E57"/>
    <w:rsid w:val="009A0000"/>
    <w:rsid w:val="009A4B5D"/>
    <w:rsid w:val="009A5171"/>
    <w:rsid w:val="009A5496"/>
    <w:rsid w:val="009A7195"/>
    <w:rsid w:val="009A7417"/>
    <w:rsid w:val="009B28EE"/>
    <w:rsid w:val="009B3422"/>
    <w:rsid w:val="009B3FAD"/>
    <w:rsid w:val="009C00C0"/>
    <w:rsid w:val="009C0531"/>
    <w:rsid w:val="009C0A36"/>
    <w:rsid w:val="009C0C4E"/>
    <w:rsid w:val="009C0C77"/>
    <w:rsid w:val="009C0E53"/>
    <w:rsid w:val="009C1641"/>
    <w:rsid w:val="009C186F"/>
    <w:rsid w:val="009C45EB"/>
    <w:rsid w:val="009C46C2"/>
    <w:rsid w:val="009C4E51"/>
    <w:rsid w:val="009C54B0"/>
    <w:rsid w:val="009C7CD4"/>
    <w:rsid w:val="009C7D9A"/>
    <w:rsid w:val="009D0EC4"/>
    <w:rsid w:val="009D34F2"/>
    <w:rsid w:val="009D4E18"/>
    <w:rsid w:val="009D4E67"/>
    <w:rsid w:val="009D5A63"/>
    <w:rsid w:val="009E0674"/>
    <w:rsid w:val="009E128F"/>
    <w:rsid w:val="009E1844"/>
    <w:rsid w:val="009E2E83"/>
    <w:rsid w:val="009E3CCA"/>
    <w:rsid w:val="009E583A"/>
    <w:rsid w:val="009E64D8"/>
    <w:rsid w:val="009F00BD"/>
    <w:rsid w:val="009F017A"/>
    <w:rsid w:val="009F0642"/>
    <w:rsid w:val="009F0D1B"/>
    <w:rsid w:val="009F18F3"/>
    <w:rsid w:val="009F1E5D"/>
    <w:rsid w:val="009F31EC"/>
    <w:rsid w:val="009F5BBD"/>
    <w:rsid w:val="009F5FB5"/>
    <w:rsid w:val="009F5FF9"/>
    <w:rsid w:val="009F696D"/>
    <w:rsid w:val="009F6BC6"/>
    <w:rsid w:val="009F74EF"/>
    <w:rsid w:val="009F7D1D"/>
    <w:rsid w:val="00A018CB"/>
    <w:rsid w:val="00A02826"/>
    <w:rsid w:val="00A02E1D"/>
    <w:rsid w:val="00A03932"/>
    <w:rsid w:val="00A03C1D"/>
    <w:rsid w:val="00A048C4"/>
    <w:rsid w:val="00A05EBB"/>
    <w:rsid w:val="00A06A48"/>
    <w:rsid w:val="00A074B1"/>
    <w:rsid w:val="00A07E7F"/>
    <w:rsid w:val="00A10388"/>
    <w:rsid w:val="00A10737"/>
    <w:rsid w:val="00A10E8D"/>
    <w:rsid w:val="00A11E44"/>
    <w:rsid w:val="00A14275"/>
    <w:rsid w:val="00A1528C"/>
    <w:rsid w:val="00A153C4"/>
    <w:rsid w:val="00A15A67"/>
    <w:rsid w:val="00A15D5A"/>
    <w:rsid w:val="00A160BE"/>
    <w:rsid w:val="00A16E8A"/>
    <w:rsid w:val="00A17328"/>
    <w:rsid w:val="00A1739D"/>
    <w:rsid w:val="00A219EC"/>
    <w:rsid w:val="00A2294D"/>
    <w:rsid w:val="00A23A20"/>
    <w:rsid w:val="00A24443"/>
    <w:rsid w:val="00A2469B"/>
    <w:rsid w:val="00A24FDE"/>
    <w:rsid w:val="00A25821"/>
    <w:rsid w:val="00A268B9"/>
    <w:rsid w:val="00A2703A"/>
    <w:rsid w:val="00A279ED"/>
    <w:rsid w:val="00A3040D"/>
    <w:rsid w:val="00A33DFF"/>
    <w:rsid w:val="00A35115"/>
    <w:rsid w:val="00A354F6"/>
    <w:rsid w:val="00A36368"/>
    <w:rsid w:val="00A365CF"/>
    <w:rsid w:val="00A36D9A"/>
    <w:rsid w:val="00A4184B"/>
    <w:rsid w:val="00A451DC"/>
    <w:rsid w:val="00A47800"/>
    <w:rsid w:val="00A53180"/>
    <w:rsid w:val="00A54231"/>
    <w:rsid w:val="00A54640"/>
    <w:rsid w:val="00A554AB"/>
    <w:rsid w:val="00A5662D"/>
    <w:rsid w:val="00A56850"/>
    <w:rsid w:val="00A56E17"/>
    <w:rsid w:val="00A57062"/>
    <w:rsid w:val="00A57E80"/>
    <w:rsid w:val="00A636AC"/>
    <w:rsid w:val="00A63A27"/>
    <w:rsid w:val="00A63F73"/>
    <w:rsid w:val="00A641E4"/>
    <w:rsid w:val="00A65674"/>
    <w:rsid w:val="00A66468"/>
    <w:rsid w:val="00A67781"/>
    <w:rsid w:val="00A713DB"/>
    <w:rsid w:val="00A74873"/>
    <w:rsid w:val="00A7487B"/>
    <w:rsid w:val="00A761F9"/>
    <w:rsid w:val="00A76A00"/>
    <w:rsid w:val="00A77917"/>
    <w:rsid w:val="00A811E5"/>
    <w:rsid w:val="00A829EE"/>
    <w:rsid w:val="00A8392D"/>
    <w:rsid w:val="00A83E0A"/>
    <w:rsid w:val="00A84184"/>
    <w:rsid w:val="00A847ED"/>
    <w:rsid w:val="00A86670"/>
    <w:rsid w:val="00A8670F"/>
    <w:rsid w:val="00A92B45"/>
    <w:rsid w:val="00A92B53"/>
    <w:rsid w:val="00A92F68"/>
    <w:rsid w:val="00A94876"/>
    <w:rsid w:val="00A949FC"/>
    <w:rsid w:val="00A94D7A"/>
    <w:rsid w:val="00A94FA6"/>
    <w:rsid w:val="00A95C07"/>
    <w:rsid w:val="00A968E8"/>
    <w:rsid w:val="00AA01A8"/>
    <w:rsid w:val="00AA11E4"/>
    <w:rsid w:val="00AA1487"/>
    <w:rsid w:val="00AA14CD"/>
    <w:rsid w:val="00AA18C7"/>
    <w:rsid w:val="00AA3670"/>
    <w:rsid w:val="00AA49A0"/>
    <w:rsid w:val="00AA6710"/>
    <w:rsid w:val="00AB0681"/>
    <w:rsid w:val="00AB248B"/>
    <w:rsid w:val="00AB3210"/>
    <w:rsid w:val="00AB393B"/>
    <w:rsid w:val="00AB45CF"/>
    <w:rsid w:val="00AC22F3"/>
    <w:rsid w:val="00AC2F3B"/>
    <w:rsid w:val="00AC3A15"/>
    <w:rsid w:val="00AC3E0C"/>
    <w:rsid w:val="00AC58C5"/>
    <w:rsid w:val="00AC5BD8"/>
    <w:rsid w:val="00AC618A"/>
    <w:rsid w:val="00AC74C0"/>
    <w:rsid w:val="00AD03CB"/>
    <w:rsid w:val="00AD03F4"/>
    <w:rsid w:val="00AD09FF"/>
    <w:rsid w:val="00AD0B20"/>
    <w:rsid w:val="00AD0CC1"/>
    <w:rsid w:val="00AD1178"/>
    <w:rsid w:val="00AD125E"/>
    <w:rsid w:val="00AD2B5B"/>
    <w:rsid w:val="00AD3444"/>
    <w:rsid w:val="00AD4190"/>
    <w:rsid w:val="00AD520B"/>
    <w:rsid w:val="00AD53B1"/>
    <w:rsid w:val="00AD60A3"/>
    <w:rsid w:val="00AD6526"/>
    <w:rsid w:val="00AD661E"/>
    <w:rsid w:val="00AE01A9"/>
    <w:rsid w:val="00AE21D9"/>
    <w:rsid w:val="00AE3BCC"/>
    <w:rsid w:val="00AE3F49"/>
    <w:rsid w:val="00AE5C7B"/>
    <w:rsid w:val="00AE79A8"/>
    <w:rsid w:val="00AF0742"/>
    <w:rsid w:val="00AF08D9"/>
    <w:rsid w:val="00AF0D50"/>
    <w:rsid w:val="00AF5676"/>
    <w:rsid w:val="00AF771F"/>
    <w:rsid w:val="00AF7796"/>
    <w:rsid w:val="00B00AC3"/>
    <w:rsid w:val="00B00CD8"/>
    <w:rsid w:val="00B01C49"/>
    <w:rsid w:val="00B0317A"/>
    <w:rsid w:val="00B035CF"/>
    <w:rsid w:val="00B052B0"/>
    <w:rsid w:val="00B05619"/>
    <w:rsid w:val="00B05C9A"/>
    <w:rsid w:val="00B07504"/>
    <w:rsid w:val="00B078A8"/>
    <w:rsid w:val="00B101DA"/>
    <w:rsid w:val="00B104FA"/>
    <w:rsid w:val="00B11772"/>
    <w:rsid w:val="00B1205B"/>
    <w:rsid w:val="00B1280C"/>
    <w:rsid w:val="00B1351D"/>
    <w:rsid w:val="00B15C33"/>
    <w:rsid w:val="00B15C7F"/>
    <w:rsid w:val="00B15DAA"/>
    <w:rsid w:val="00B16350"/>
    <w:rsid w:val="00B23EE5"/>
    <w:rsid w:val="00B243D3"/>
    <w:rsid w:val="00B24F2D"/>
    <w:rsid w:val="00B250AD"/>
    <w:rsid w:val="00B2532F"/>
    <w:rsid w:val="00B3095E"/>
    <w:rsid w:val="00B31242"/>
    <w:rsid w:val="00B31435"/>
    <w:rsid w:val="00B329A5"/>
    <w:rsid w:val="00B34E35"/>
    <w:rsid w:val="00B36F72"/>
    <w:rsid w:val="00B375E8"/>
    <w:rsid w:val="00B401DA"/>
    <w:rsid w:val="00B405DF"/>
    <w:rsid w:val="00B4154B"/>
    <w:rsid w:val="00B423F1"/>
    <w:rsid w:val="00B425C3"/>
    <w:rsid w:val="00B42813"/>
    <w:rsid w:val="00B440AD"/>
    <w:rsid w:val="00B45276"/>
    <w:rsid w:val="00B46135"/>
    <w:rsid w:val="00B4697D"/>
    <w:rsid w:val="00B479BB"/>
    <w:rsid w:val="00B517F6"/>
    <w:rsid w:val="00B5284C"/>
    <w:rsid w:val="00B53E7E"/>
    <w:rsid w:val="00B562DC"/>
    <w:rsid w:val="00B61559"/>
    <w:rsid w:val="00B629F8"/>
    <w:rsid w:val="00B62CB5"/>
    <w:rsid w:val="00B6342E"/>
    <w:rsid w:val="00B634FC"/>
    <w:rsid w:val="00B65E59"/>
    <w:rsid w:val="00B661DA"/>
    <w:rsid w:val="00B6657E"/>
    <w:rsid w:val="00B672F5"/>
    <w:rsid w:val="00B678EB"/>
    <w:rsid w:val="00B67A2C"/>
    <w:rsid w:val="00B67DB6"/>
    <w:rsid w:val="00B7113F"/>
    <w:rsid w:val="00B7123E"/>
    <w:rsid w:val="00B71885"/>
    <w:rsid w:val="00B73BBF"/>
    <w:rsid w:val="00B740CC"/>
    <w:rsid w:val="00B746B2"/>
    <w:rsid w:val="00B74D11"/>
    <w:rsid w:val="00B74DA8"/>
    <w:rsid w:val="00B756A5"/>
    <w:rsid w:val="00B77108"/>
    <w:rsid w:val="00B800B0"/>
    <w:rsid w:val="00B80872"/>
    <w:rsid w:val="00B8241B"/>
    <w:rsid w:val="00B90336"/>
    <w:rsid w:val="00B90F7F"/>
    <w:rsid w:val="00B911C9"/>
    <w:rsid w:val="00B94CE4"/>
    <w:rsid w:val="00B95A25"/>
    <w:rsid w:val="00B95C9A"/>
    <w:rsid w:val="00B964F9"/>
    <w:rsid w:val="00B96895"/>
    <w:rsid w:val="00BA2BCF"/>
    <w:rsid w:val="00BA3077"/>
    <w:rsid w:val="00BA3409"/>
    <w:rsid w:val="00BA497E"/>
    <w:rsid w:val="00BA5B14"/>
    <w:rsid w:val="00BA5C36"/>
    <w:rsid w:val="00BA5D2F"/>
    <w:rsid w:val="00BA73B6"/>
    <w:rsid w:val="00BA7E27"/>
    <w:rsid w:val="00BB03C9"/>
    <w:rsid w:val="00BB0D48"/>
    <w:rsid w:val="00BB0FAE"/>
    <w:rsid w:val="00BB2603"/>
    <w:rsid w:val="00BB4410"/>
    <w:rsid w:val="00BB4FCD"/>
    <w:rsid w:val="00BC0095"/>
    <w:rsid w:val="00BC04E9"/>
    <w:rsid w:val="00BC198C"/>
    <w:rsid w:val="00BC2520"/>
    <w:rsid w:val="00BC36BF"/>
    <w:rsid w:val="00BC3774"/>
    <w:rsid w:val="00BC3925"/>
    <w:rsid w:val="00BC70D5"/>
    <w:rsid w:val="00BD07ED"/>
    <w:rsid w:val="00BD13EA"/>
    <w:rsid w:val="00BD6613"/>
    <w:rsid w:val="00BD7E30"/>
    <w:rsid w:val="00BE0B14"/>
    <w:rsid w:val="00BE2143"/>
    <w:rsid w:val="00BE21F9"/>
    <w:rsid w:val="00BE2209"/>
    <w:rsid w:val="00BE3808"/>
    <w:rsid w:val="00BE4224"/>
    <w:rsid w:val="00BE58A1"/>
    <w:rsid w:val="00BE6923"/>
    <w:rsid w:val="00BE6B75"/>
    <w:rsid w:val="00BF17A2"/>
    <w:rsid w:val="00BF1BB9"/>
    <w:rsid w:val="00BF1EE1"/>
    <w:rsid w:val="00BF5235"/>
    <w:rsid w:val="00BF7BB7"/>
    <w:rsid w:val="00C03268"/>
    <w:rsid w:val="00C03B88"/>
    <w:rsid w:val="00C0531D"/>
    <w:rsid w:val="00C05E37"/>
    <w:rsid w:val="00C062E9"/>
    <w:rsid w:val="00C06932"/>
    <w:rsid w:val="00C06AF3"/>
    <w:rsid w:val="00C07A6D"/>
    <w:rsid w:val="00C07B64"/>
    <w:rsid w:val="00C10832"/>
    <w:rsid w:val="00C10F11"/>
    <w:rsid w:val="00C10F89"/>
    <w:rsid w:val="00C11F13"/>
    <w:rsid w:val="00C12CD4"/>
    <w:rsid w:val="00C13721"/>
    <w:rsid w:val="00C137AC"/>
    <w:rsid w:val="00C13CF5"/>
    <w:rsid w:val="00C14B8D"/>
    <w:rsid w:val="00C14F03"/>
    <w:rsid w:val="00C14FE4"/>
    <w:rsid w:val="00C155E8"/>
    <w:rsid w:val="00C15D08"/>
    <w:rsid w:val="00C15D35"/>
    <w:rsid w:val="00C1613E"/>
    <w:rsid w:val="00C20895"/>
    <w:rsid w:val="00C20E0B"/>
    <w:rsid w:val="00C20E6F"/>
    <w:rsid w:val="00C226CC"/>
    <w:rsid w:val="00C26B34"/>
    <w:rsid w:val="00C301CC"/>
    <w:rsid w:val="00C3066D"/>
    <w:rsid w:val="00C334C4"/>
    <w:rsid w:val="00C336A5"/>
    <w:rsid w:val="00C34C55"/>
    <w:rsid w:val="00C34E15"/>
    <w:rsid w:val="00C36920"/>
    <w:rsid w:val="00C36F71"/>
    <w:rsid w:val="00C37EDA"/>
    <w:rsid w:val="00C40544"/>
    <w:rsid w:val="00C40D34"/>
    <w:rsid w:val="00C415AC"/>
    <w:rsid w:val="00C430BE"/>
    <w:rsid w:val="00C47BC0"/>
    <w:rsid w:val="00C50B38"/>
    <w:rsid w:val="00C50E82"/>
    <w:rsid w:val="00C51155"/>
    <w:rsid w:val="00C52416"/>
    <w:rsid w:val="00C543F4"/>
    <w:rsid w:val="00C55046"/>
    <w:rsid w:val="00C552CF"/>
    <w:rsid w:val="00C56685"/>
    <w:rsid w:val="00C57E05"/>
    <w:rsid w:val="00C60B9B"/>
    <w:rsid w:val="00C6291C"/>
    <w:rsid w:val="00C633CB"/>
    <w:rsid w:val="00C64127"/>
    <w:rsid w:val="00C64E8D"/>
    <w:rsid w:val="00C664CD"/>
    <w:rsid w:val="00C66CB1"/>
    <w:rsid w:val="00C679DD"/>
    <w:rsid w:val="00C70086"/>
    <w:rsid w:val="00C70F0C"/>
    <w:rsid w:val="00C72D25"/>
    <w:rsid w:val="00C736B7"/>
    <w:rsid w:val="00C75F19"/>
    <w:rsid w:val="00C76362"/>
    <w:rsid w:val="00C766DD"/>
    <w:rsid w:val="00C775A4"/>
    <w:rsid w:val="00C81D4A"/>
    <w:rsid w:val="00C82019"/>
    <w:rsid w:val="00C82197"/>
    <w:rsid w:val="00C8273B"/>
    <w:rsid w:val="00C82E28"/>
    <w:rsid w:val="00C84AD4"/>
    <w:rsid w:val="00C85280"/>
    <w:rsid w:val="00C8762C"/>
    <w:rsid w:val="00C87F80"/>
    <w:rsid w:val="00C900CB"/>
    <w:rsid w:val="00C90140"/>
    <w:rsid w:val="00C903F6"/>
    <w:rsid w:val="00C90624"/>
    <w:rsid w:val="00C9206E"/>
    <w:rsid w:val="00C92EE2"/>
    <w:rsid w:val="00C930DC"/>
    <w:rsid w:val="00C943F9"/>
    <w:rsid w:val="00CA00F9"/>
    <w:rsid w:val="00CA1E62"/>
    <w:rsid w:val="00CA1F17"/>
    <w:rsid w:val="00CA2859"/>
    <w:rsid w:val="00CA2961"/>
    <w:rsid w:val="00CA3A02"/>
    <w:rsid w:val="00CA440F"/>
    <w:rsid w:val="00CB057A"/>
    <w:rsid w:val="00CB1CDA"/>
    <w:rsid w:val="00CB1CF7"/>
    <w:rsid w:val="00CB1DC9"/>
    <w:rsid w:val="00CB26E6"/>
    <w:rsid w:val="00CB38A4"/>
    <w:rsid w:val="00CB3995"/>
    <w:rsid w:val="00CB3BF6"/>
    <w:rsid w:val="00CB4085"/>
    <w:rsid w:val="00CB42AD"/>
    <w:rsid w:val="00CB49A8"/>
    <w:rsid w:val="00CB5069"/>
    <w:rsid w:val="00CB50D7"/>
    <w:rsid w:val="00CB679F"/>
    <w:rsid w:val="00CB7177"/>
    <w:rsid w:val="00CB7A2A"/>
    <w:rsid w:val="00CB7CED"/>
    <w:rsid w:val="00CC012C"/>
    <w:rsid w:val="00CC070F"/>
    <w:rsid w:val="00CC124F"/>
    <w:rsid w:val="00CC1998"/>
    <w:rsid w:val="00CC1F23"/>
    <w:rsid w:val="00CC294E"/>
    <w:rsid w:val="00CC3D68"/>
    <w:rsid w:val="00CC4946"/>
    <w:rsid w:val="00CC532F"/>
    <w:rsid w:val="00CC648D"/>
    <w:rsid w:val="00CC64A1"/>
    <w:rsid w:val="00CC6C26"/>
    <w:rsid w:val="00CC7FFE"/>
    <w:rsid w:val="00CD1D03"/>
    <w:rsid w:val="00CD5BC8"/>
    <w:rsid w:val="00CD7E9A"/>
    <w:rsid w:val="00CE0684"/>
    <w:rsid w:val="00CE1502"/>
    <w:rsid w:val="00CE23A6"/>
    <w:rsid w:val="00CE4B06"/>
    <w:rsid w:val="00CE4E85"/>
    <w:rsid w:val="00CE5579"/>
    <w:rsid w:val="00CE6020"/>
    <w:rsid w:val="00CE62F1"/>
    <w:rsid w:val="00CE7163"/>
    <w:rsid w:val="00CF0E9C"/>
    <w:rsid w:val="00CF16E3"/>
    <w:rsid w:val="00CF2342"/>
    <w:rsid w:val="00CF3A2E"/>
    <w:rsid w:val="00CF3B11"/>
    <w:rsid w:val="00CF4534"/>
    <w:rsid w:val="00CF4D31"/>
    <w:rsid w:val="00CF513F"/>
    <w:rsid w:val="00CF54C2"/>
    <w:rsid w:val="00CF58D2"/>
    <w:rsid w:val="00CF5B53"/>
    <w:rsid w:val="00D0035F"/>
    <w:rsid w:val="00D026B2"/>
    <w:rsid w:val="00D05DF5"/>
    <w:rsid w:val="00D06467"/>
    <w:rsid w:val="00D070D8"/>
    <w:rsid w:val="00D0737F"/>
    <w:rsid w:val="00D11A88"/>
    <w:rsid w:val="00D14375"/>
    <w:rsid w:val="00D147EA"/>
    <w:rsid w:val="00D14A51"/>
    <w:rsid w:val="00D1508E"/>
    <w:rsid w:val="00D1555C"/>
    <w:rsid w:val="00D15661"/>
    <w:rsid w:val="00D158C6"/>
    <w:rsid w:val="00D1717F"/>
    <w:rsid w:val="00D2022C"/>
    <w:rsid w:val="00D208F3"/>
    <w:rsid w:val="00D214CF"/>
    <w:rsid w:val="00D220BE"/>
    <w:rsid w:val="00D223DB"/>
    <w:rsid w:val="00D24599"/>
    <w:rsid w:val="00D2465F"/>
    <w:rsid w:val="00D2578C"/>
    <w:rsid w:val="00D2646C"/>
    <w:rsid w:val="00D270A4"/>
    <w:rsid w:val="00D27D3D"/>
    <w:rsid w:val="00D306BA"/>
    <w:rsid w:val="00D30C79"/>
    <w:rsid w:val="00D311E6"/>
    <w:rsid w:val="00D31FE9"/>
    <w:rsid w:val="00D33BA2"/>
    <w:rsid w:val="00D3468E"/>
    <w:rsid w:val="00D34BE6"/>
    <w:rsid w:val="00D34C21"/>
    <w:rsid w:val="00D34E1B"/>
    <w:rsid w:val="00D36558"/>
    <w:rsid w:val="00D376BA"/>
    <w:rsid w:val="00D4032D"/>
    <w:rsid w:val="00D41126"/>
    <w:rsid w:val="00D412E6"/>
    <w:rsid w:val="00D42D2A"/>
    <w:rsid w:val="00D434A0"/>
    <w:rsid w:val="00D43BF1"/>
    <w:rsid w:val="00D43F5E"/>
    <w:rsid w:val="00D44ABB"/>
    <w:rsid w:val="00D44C09"/>
    <w:rsid w:val="00D45634"/>
    <w:rsid w:val="00D46125"/>
    <w:rsid w:val="00D468E0"/>
    <w:rsid w:val="00D47863"/>
    <w:rsid w:val="00D51F54"/>
    <w:rsid w:val="00D51FAF"/>
    <w:rsid w:val="00D54003"/>
    <w:rsid w:val="00D5568A"/>
    <w:rsid w:val="00D5642C"/>
    <w:rsid w:val="00D56729"/>
    <w:rsid w:val="00D57073"/>
    <w:rsid w:val="00D574DE"/>
    <w:rsid w:val="00D62347"/>
    <w:rsid w:val="00D63847"/>
    <w:rsid w:val="00D63B12"/>
    <w:rsid w:val="00D63D73"/>
    <w:rsid w:val="00D64452"/>
    <w:rsid w:val="00D66E1E"/>
    <w:rsid w:val="00D67C3E"/>
    <w:rsid w:val="00D70696"/>
    <w:rsid w:val="00D715A9"/>
    <w:rsid w:val="00D72551"/>
    <w:rsid w:val="00D72C45"/>
    <w:rsid w:val="00D73102"/>
    <w:rsid w:val="00D737CC"/>
    <w:rsid w:val="00D73991"/>
    <w:rsid w:val="00D756B0"/>
    <w:rsid w:val="00D75722"/>
    <w:rsid w:val="00D80CF5"/>
    <w:rsid w:val="00D8219E"/>
    <w:rsid w:val="00D824F3"/>
    <w:rsid w:val="00D83C87"/>
    <w:rsid w:val="00D85219"/>
    <w:rsid w:val="00D85C09"/>
    <w:rsid w:val="00D90257"/>
    <w:rsid w:val="00D91172"/>
    <w:rsid w:val="00D914A8"/>
    <w:rsid w:val="00D948E6"/>
    <w:rsid w:val="00DA091E"/>
    <w:rsid w:val="00DA0FB8"/>
    <w:rsid w:val="00DA1CB6"/>
    <w:rsid w:val="00DA1ECB"/>
    <w:rsid w:val="00DA24E3"/>
    <w:rsid w:val="00DA25D8"/>
    <w:rsid w:val="00DA286C"/>
    <w:rsid w:val="00DA2DF2"/>
    <w:rsid w:val="00DA3EFD"/>
    <w:rsid w:val="00DA4DE8"/>
    <w:rsid w:val="00DA4F25"/>
    <w:rsid w:val="00DA55CE"/>
    <w:rsid w:val="00DA58A4"/>
    <w:rsid w:val="00DA5BBA"/>
    <w:rsid w:val="00DB181C"/>
    <w:rsid w:val="00DB26D2"/>
    <w:rsid w:val="00DB2F34"/>
    <w:rsid w:val="00DB64F0"/>
    <w:rsid w:val="00DB6699"/>
    <w:rsid w:val="00DB67C9"/>
    <w:rsid w:val="00DB69BA"/>
    <w:rsid w:val="00DC029C"/>
    <w:rsid w:val="00DC079F"/>
    <w:rsid w:val="00DC0C95"/>
    <w:rsid w:val="00DC0E88"/>
    <w:rsid w:val="00DC1878"/>
    <w:rsid w:val="00DC1E40"/>
    <w:rsid w:val="00DC1EA6"/>
    <w:rsid w:val="00DC2D16"/>
    <w:rsid w:val="00DC4F0B"/>
    <w:rsid w:val="00DC4F67"/>
    <w:rsid w:val="00DC7405"/>
    <w:rsid w:val="00DD0735"/>
    <w:rsid w:val="00DD271A"/>
    <w:rsid w:val="00DD3616"/>
    <w:rsid w:val="00DD3EDC"/>
    <w:rsid w:val="00DD4193"/>
    <w:rsid w:val="00DD5103"/>
    <w:rsid w:val="00DD60E1"/>
    <w:rsid w:val="00DD6580"/>
    <w:rsid w:val="00DD6F23"/>
    <w:rsid w:val="00DE00C4"/>
    <w:rsid w:val="00DE272E"/>
    <w:rsid w:val="00DE32A7"/>
    <w:rsid w:val="00DE44A6"/>
    <w:rsid w:val="00DE49DE"/>
    <w:rsid w:val="00DE6525"/>
    <w:rsid w:val="00DE7F1C"/>
    <w:rsid w:val="00DF1232"/>
    <w:rsid w:val="00DF14CA"/>
    <w:rsid w:val="00DF2314"/>
    <w:rsid w:val="00DF2E3B"/>
    <w:rsid w:val="00DF5337"/>
    <w:rsid w:val="00DF5691"/>
    <w:rsid w:val="00DF7446"/>
    <w:rsid w:val="00E01D7F"/>
    <w:rsid w:val="00E01EC3"/>
    <w:rsid w:val="00E024D2"/>
    <w:rsid w:val="00E03180"/>
    <w:rsid w:val="00E031A2"/>
    <w:rsid w:val="00E0324B"/>
    <w:rsid w:val="00E03B1F"/>
    <w:rsid w:val="00E05C03"/>
    <w:rsid w:val="00E068FD"/>
    <w:rsid w:val="00E06CE2"/>
    <w:rsid w:val="00E1024B"/>
    <w:rsid w:val="00E10632"/>
    <w:rsid w:val="00E147D4"/>
    <w:rsid w:val="00E14D16"/>
    <w:rsid w:val="00E16AE5"/>
    <w:rsid w:val="00E17C72"/>
    <w:rsid w:val="00E20E97"/>
    <w:rsid w:val="00E21FC6"/>
    <w:rsid w:val="00E226FB"/>
    <w:rsid w:val="00E2481F"/>
    <w:rsid w:val="00E249F6"/>
    <w:rsid w:val="00E26B38"/>
    <w:rsid w:val="00E26E98"/>
    <w:rsid w:val="00E27540"/>
    <w:rsid w:val="00E306F9"/>
    <w:rsid w:val="00E31312"/>
    <w:rsid w:val="00E31405"/>
    <w:rsid w:val="00E3217A"/>
    <w:rsid w:val="00E339A2"/>
    <w:rsid w:val="00E354E8"/>
    <w:rsid w:val="00E37172"/>
    <w:rsid w:val="00E408B3"/>
    <w:rsid w:val="00E41ED4"/>
    <w:rsid w:val="00E42943"/>
    <w:rsid w:val="00E42DD1"/>
    <w:rsid w:val="00E431A9"/>
    <w:rsid w:val="00E43518"/>
    <w:rsid w:val="00E46C50"/>
    <w:rsid w:val="00E5025D"/>
    <w:rsid w:val="00E566F7"/>
    <w:rsid w:val="00E569CA"/>
    <w:rsid w:val="00E573C0"/>
    <w:rsid w:val="00E57B48"/>
    <w:rsid w:val="00E6296D"/>
    <w:rsid w:val="00E633E9"/>
    <w:rsid w:val="00E634C5"/>
    <w:rsid w:val="00E6403E"/>
    <w:rsid w:val="00E64101"/>
    <w:rsid w:val="00E644CD"/>
    <w:rsid w:val="00E656F5"/>
    <w:rsid w:val="00E668A9"/>
    <w:rsid w:val="00E66947"/>
    <w:rsid w:val="00E669E2"/>
    <w:rsid w:val="00E669E5"/>
    <w:rsid w:val="00E670C2"/>
    <w:rsid w:val="00E72F11"/>
    <w:rsid w:val="00E736DF"/>
    <w:rsid w:val="00E73F9C"/>
    <w:rsid w:val="00E748BD"/>
    <w:rsid w:val="00E76135"/>
    <w:rsid w:val="00E76E51"/>
    <w:rsid w:val="00E77DD6"/>
    <w:rsid w:val="00E80867"/>
    <w:rsid w:val="00E8193A"/>
    <w:rsid w:val="00E82F4F"/>
    <w:rsid w:val="00E8348D"/>
    <w:rsid w:val="00E83D0C"/>
    <w:rsid w:val="00E848FF"/>
    <w:rsid w:val="00E84B08"/>
    <w:rsid w:val="00E864C2"/>
    <w:rsid w:val="00E864DF"/>
    <w:rsid w:val="00E86A66"/>
    <w:rsid w:val="00E870E4"/>
    <w:rsid w:val="00E87DC0"/>
    <w:rsid w:val="00E921E6"/>
    <w:rsid w:val="00E92C35"/>
    <w:rsid w:val="00E938B4"/>
    <w:rsid w:val="00E96EB8"/>
    <w:rsid w:val="00E97841"/>
    <w:rsid w:val="00E97DC2"/>
    <w:rsid w:val="00E97E5D"/>
    <w:rsid w:val="00EA0EFD"/>
    <w:rsid w:val="00EA29BE"/>
    <w:rsid w:val="00EA2EAD"/>
    <w:rsid w:val="00EA2FEE"/>
    <w:rsid w:val="00EA3441"/>
    <w:rsid w:val="00EA38D8"/>
    <w:rsid w:val="00EA4401"/>
    <w:rsid w:val="00EA4AD8"/>
    <w:rsid w:val="00EA4B6B"/>
    <w:rsid w:val="00EA4DB4"/>
    <w:rsid w:val="00EA7F2F"/>
    <w:rsid w:val="00EB18A3"/>
    <w:rsid w:val="00EB2557"/>
    <w:rsid w:val="00EB2C9E"/>
    <w:rsid w:val="00EB2CC3"/>
    <w:rsid w:val="00EB4CDE"/>
    <w:rsid w:val="00EB4F7F"/>
    <w:rsid w:val="00EB7B5B"/>
    <w:rsid w:val="00EC0A6E"/>
    <w:rsid w:val="00EC20A4"/>
    <w:rsid w:val="00EC282D"/>
    <w:rsid w:val="00EC2844"/>
    <w:rsid w:val="00EC3985"/>
    <w:rsid w:val="00EC3BCE"/>
    <w:rsid w:val="00EC5500"/>
    <w:rsid w:val="00EC6135"/>
    <w:rsid w:val="00EC70C7"/>
    <w:rsid w:val="00EC74A2"/>
    <w:rsid w:val="00ED00A8"/>
    <w:rsid w:val="00ED076C"/>
    <w:rsid w:val="00ED18F8"/>
    <w:rsid w:val="00ED2520"/>
    <w:rsid w:val="00ED32B9"/>
    <w:rsid w:val="00ED5C96"/>
    <w:rsid w:val="00ED6064"/>
    <w:rsid w:val="00EE1C85"/>
    <w:rsid w:val="00EE1D0A"/>
    <w:rsid w:val="00EE434A"/>
    <w:rsid w:val="00EE64F1"/>
    <w:rsid w:val="00EE6EDA"/>
    <w:rsid w:val="00EE6FD9"/>
    <w:rsid w:val="00EE71CD"/>
    <w:rsid w:val="00EE72B2"/>
    <w:rsid w:val="00EE778E"/>
    <w:rsid w:val="00EF084A"/>
    <w:rsid w:val="00EF229A"/>
    <w:rsid w:val="00EF2C62"/>
    <w:rsid w:val="00EF43FD"/>
    <w:rsid w:val="00EF448C"/>
    <w:rsid w:val="00EF6719"/>
    <w:rsid w:val="00EF679D"/>
    <w:rsid w:val="00EF6C6C"/>
    <w:rsid w:val="00EF6CE9"/>
    <w:rsid w:val="00EF6E69"/>
    <w:rsid w:val="00F0219D"/>
    <w:rsid w:val="00F0274F"/>
    <w:rsid w:val="00F0486C"/>
    <w:rsid w:val="00F056FC"/>
    <w:rsid w:val="00F0632F"/>
    <w:rsid w:val="00F069AE"/>
    <w:rsid w:val="00F06EB4"/>
    <w:rsid w:val="00F075FB"/>
    <w:rsid w:val="00F10476"/>
    <w:rsid w:val="00F10869"/>
    <w:rsid w:val="00F10F9D"/>
    <w:rsid w:val="00F11677"/>
    <w:rsid w:val="00F11C8D"/>
    <w:rsid w:val="00F122CC"/>
    <w:rsid w:val="00F1337C"/>
    <w:rsid w:val="00F135D8"/>
    <w:rsid w:val="00F138A3"/>
    <w:rsid w:val="00F143D8"/>
    <w:rsid w:val="00F14889"/>
    <w:rsid w:val="00F20503"/>
    <w:rsid w:val="00F22F6A"/>
    <w:rsid w:val="00F23833"/>
    <w:rsid w:val="00F24213"/>
    <w:rsid w:val="00F24CBB"/>
    <w:rsid w:val="00F25751"/>
    <w:rsid w:val="00F257A1"/>
    <w:rsid w:val="00F26CF0"/>
    <w:rsid w:val="00F26E7E"/>
    <w:rsid w:val="00F31299"/>
    <w:rsid w:val="00F3146C"/>
    <w:rsid w:val="00F31F99"/>
    <w:rsid w:val="00F322C6"/>
    <w:rsid w:val="00F324A1"/>
    <w:rsid w:val="00F32B61"/>
    <w:rsid w:val="00F343B1"/>
    <w:rsid w:val="00F344FB"/>
    <w:rsid w:val="00F34C35"/>
    <w:rsid w:val="00F3534A"/>
    <w:rsid w:val="00F35BFB"/>
    <w:rsid w:val="00F35EA7"/>
    <w:rsid w:val="00F36ACC"/>
    <w:rsid w:val="00F3712E"/>
    <w:rsid w:val="00F37A8D"/>
    <w:rsid w:val="00F4017C"/>
    <w:rsid w:val="00F4089E"/>
    <w:rsid w:val="00F40EBA"/>
    <w:rsid w:val="00F429E7"/>
    <w:rsid w:val="00F42BA5"/>
    <w:rsid w:val="00F465BF"/>
    <w:rsid w:val="00F46BCF"/>
    <w:rsid w:val="00F47011"/>
    <w:rsid w:val="00F507CA"/>
    <w:rsid w:val="00F51609"/>
    <w:rsid w:val="00F54673"/>
    <w:rsid w:val="00F54674"/>
    <w:rsid w:val="00F55C25"/>
    <w:rsid w:val="00F55E79"/>
    <w:rsid w:val="00F5643C"/>
    <w:rsid w:val="00F6030D"/>
    <w:rsid w:val="00F6140B"/>
    <w:rsid w:val="00F620FB"/>
    <w:rsid w:val="00F62A71"/>
    <w:rsid w:val="00F65A17"/>
    <w:rsid w:val="00F65C26"/>
    <w:rsid w:val="00F6609B"/>
    <w:rsid w:val="00F662B1"/>
    <w:rsid w:val="00F668FC"/>
    <w:rsid w:val="00F67712"/>
    <w:rsid w:val="00F678A1"/>
    <w:rsid w:val="00F72272"/>
    <w:rsid w:val="00F72B36"/>
    <w:rsid w:val="00F72CB6"/>
    <w:rsid w:val="00F73727"/>
    <w:rsid w:val="00F746C6"/>
    <w:rsid w:val="00F75466"/>
    <w:rsid w:val="00F75C4B"/>
    <w:rsid w:val="00F76253"/>
    <w:rsid w:val="00F76295"/>
    <w:rsid w:val="00F766A7"/>
    <w:rsid w:val="00F77930"/>
    <w:rsid w:val="00F77CA4"/>
    <w:rsid w:val="00F801E3"/>
    <w:rsid w:val="00F81006"/>
    <w:rsid w:val="00F81E25"/>
    <w:rsid w:val="00F83499"/>
    <w:rsid w:val="00F83D61"/>
    <w:rsid w:val="00F85325"/>
    <w:rsid w:val="00F873C1"/>
    <w:rsid w:val="00F90894"/>
    <w:rsid w:val="00F90F91"/>
    <w:rsid w:val="00F91862"/>
    <w:rsid w:val="00F9249B"/>
    <w:rsid w:val="00F9340F"/>
    <w:rsid w:val="00F934DA"/>
    <w:rsid w:val="00F9471D"/>
    <w:rsid w:val="00F951E4"/>
    <w:rsid w:val="00F97C10"/>
    <w:rsid w:val="00FA14DD"/>
    <w:rsid w:val="00FA1609"/>
    <w:rsid w:val="00FA251D"/>
    <w:rsid w:val="00FA2DED"/>
    <w:rsid w:val="00FA737D"/>
    <w:rsid w:val="00FA7AF6"/>
    <w:rsid w:val="00FB0E6D"/>
    <w:rsid w:val="00FB21E4"/>
    <w:rsid w:val="00FB4CB2"/>
    <w:rsid w:val="00FB5328"/>
    <w:rsid w:val="00FB570F"/>
    <w:rsid w:val="00FB5B57"/>
    <w:rsid w:val="00FC0E96"/>
    <w:rsid w:val="00FC109A"/>
    <w:rsid w:val="00FC4650"/>
    <w:rsid w:val="00FC49FB"/>
    <w:rsid w:val="00FD0BD2"/>
    <w:rsid w:val="00FD0D85"/>
    <w:rsid w:val="00FD1445"/>
    <w:rsid w:val="00FD14DF"/>
    <w:rsid w:val="00FD1729"/>
    <w:rsid w:val="00FD1E85"/>
    <w:rsid w:val="00FD22B1"/>
    <w:rsid w:val="00FD33F1"/>
    <w:rsid w:val="00FD3566"/>
    <w:rsid w:val="00FD4C0D"/>
    <w:rsid w:val="00FD4C74"/>
    <w:rsid w:val="00FD6728"/>
    <w:rsid w:val="00FE0806"/>
    <w:rsid w:val="00FE0978"/>
    <w:rsid w:val="00FE3964"/>
    <w:rsid w:val="00FE46A8"/>
    <w:rsid w:val="00FE5397"/>
    <w:rsid w:val="00FE5BF4"/>
    <w:rsid w:val="00FE6C88"/>
    <w:rsid w:val="00FE6E28"/>
    <w:rsid w:val="00FE7668"/>
    <w:rsid w:val="00FF0D2F"/>
    <w:rsid w:val="00FF646F"/>
    <w:rsid w:val="00FF6843"/>
    <w:rsid w:val="00FF75FE"/>
    <w:rsid w:val="00FF7D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D0A6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02826"/>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semiHidden/>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uiPriority w:val="39"/>
    <w:rsid w:val="00F73727"/>
    <w:rPr>
      <w:rFonts w:ascii="Arial" w:hAnsi="Arial"/>
      <w:b/>
      <w:sz w:val="26"/>
      <w:szCs w:val="26"/>
      <w:lang w:eastAsia="en-US"/>
    </w:rPr>
  </w:style>
  <w:style w:type="paragraph" w:styleId="CommentSubject">
    <w:name w:val="annotation subject"/>
    <w:basedOn w:val="CommentText"/>
    <w:next w:val="CommentText"/>
    <w:link w:val="CommentSubjectChar"/>
    <w:rsid w:val="00901697"/>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901697"/>
    <w:rPr>
      <w:szCs w:val="24"/>
    </w:rPr>
  </w:style>
  <w:style w:type="character" w:customStyle="1" w:styleId="CommentSubjectChar">
    <w:name w:val="Comment Subject Char"/>
    <w:basedOn w:val="CommentTextChar"/>
    <w:link w:val="CommentSubject"/>
    <w:rsid w:val="00901697"/>
    <w:rPr>
      <w:b/>
      <w:bCs/>
      <w:szCs w:val="24"/>
    </w:rPr>
  </w:style>
  <w:style w:type="paragraph" w:styleId="NormalWeb">
    <w:name w:val="Normal (Web)"/>
    <w:basedOn w:val="Normal"/>
    <w:uiPriority w:val="99"/>
    <w:unhideWhenUsed/>
    <w:rsid w:val="00A25821"/>
    <w:pPr>
      <w:spacing w:before="180" w:after="180" w:line="255" w:lineRule="atLeast"/>
    </w:pPr>
  </w:style>
  <w:style w:type="paragraph" w:customStyle="1" w:styleId="Default">
    <w:name w:val="Default"/>
    <w:rsid w:val="00D91172"/>
    <w:pPr>
      <w:autoSpaceDE w:val="0"/>
      <w:autoSpaceDN w:val="0"/>
      <w:adjustRightInd w:val="0"/>
    </w:pPr>
    <w:rPr>
      <w:rFonts w:ascii="Calibri" w:eastAsiaTheme="minorHAnsi" w:hAnsi="Calibri" w:cs="Calibri"/>
      <w:color w:val="000000"/>
      <w:sz w:val="24"/>
      <w:szCs w:val="24"/>
      <w:lang w:eastAsia="en-US"/>
    </w:rPr>
  </w:style>
  <w:style w:type="character" w:styleId="PlaceholderText">
    <w:name w:val="Placeholder Text"/>
    <w:basedOn w:val="DefaultParagraphFont"/>
    <w:uiPriority w:val="99"/>
    <w:semiHidden/>
    <w:rsid w:val="004A5B76"/>
    <w:rPr>
      <w:color w:val="808080"/>
    </w:rPr>
  </w:style>
  <w:style w:type="paragraph" w:customStyle="1" w:styleId="BoxSpaceAboveElement">
    <w:name w:val="Box Space Above Element"/>
    <w:basedOn w:val="Normal"/>
    <w:link w:val="BoxSpaceAboveElementChar"/>
    <w:qFormat/>
    <w:rsid w:val="007042B1"/>
    <w:pPr>
      <w:keepNext/>
      <w:spacing w:before="240" w:line="80" w:lineRule="exact"/>
    </w:pPr>
    <w:rPr>
      <w:b/>
      <w:vanish/>
      <w:color w:val="FF00FF"/>
      <w:sz w:val="14"/>
      <w:szCs w:val="20"/>
    </w:rPr>
  </w:style>
  <w:style w:type="character" w:customStyle="1" w:styleId="BoxSpaceAboveElementChar">
    <w:name w:val="Box Space Above Element Char"/>
    <w:basedOn w:val="DefaultParagraphFont"/>
    <w:link w:val="BoxSpaceAboveElement"/>
    <w:rsid w:val="007042B1"/>
    <w:rPr>
      <w:b/>
      <w:vanish/>
      <w:color w:val="FF00FF"/>
      <w:sz w:val="14"/>
    </w:rPr>
  </w:style>
  <w:style w:type="character" w:styleId="EndnoteReference">
    <w:name w:val="endnote reference"/>
    <w:basedOn w:val="DefaultParagraphFont"/>
    <w:semiHidden/>
    <w:unhideWhenUsed/>
    <w:rsid w:val="00C87F80"/>
    <w:rPr>
      <w:vertAlign w:val="superscript"/>
    </w:rPr>
  </w:style>
  <w:style w:type="character" w:customStyle="1" w:styleId="FootnoteTextChar">
    <w:name w:val="Footnote Text Char"/>
    <w:basedOn w:val="DefaultParagraphFont"/>
    <w:link w:val="FootnoteText"/>
    <w:rsid w:val="0000331E"/>
  </w:style>
  <w:style w:type="paragraph" w:styleId="Bibliography">
    <w:name w:val="Bibliography"/>
    <w:basedOn w:val="Normal"/>
    <w:next w:val="Normal"/>
    <w:uiPriority w:val="37"/>
    <w:unhideWhenUsed/>
    <w:rsid w:val="00B95A25"/>
    <w:pPr>
      <w:spacing w:after="240"/>
      <w:ind w:left="720" w:hanging="720"/>
    </w:pPr>
  </w:style>
  <w:style w:type="paragraph" w:customStyle="1" w:styleId="Copyrightsubtitle">
    <w:name w:val="Copyright subtitle"/>
    <w:basedOn w:val="BodyText"/>
    <w:rsid w:val="00B634FC"/>
    <w:rPr>
      <w:rFonts w:ascii="Arial" w:hAnsi="Arial"/>
      <w:b/>
      <w:sz w:val="22"/>
      <w:szCs w:val="25"/>
    </w:rPr>
  </w:style>
  <w:style w:type="paragraph" w:customStyle="1" w:styleId="Copyrightbodytext">
    <w:name w:val="Copyright bodytext"/>
    <w:basedOn w:val="BodyText"/>
    <w:link w:val="CopyrightbodytextChar"/>
    <w:qFormat/>
    <w:rsid w:val="00B634FC"/>
    <w:pPr>
      <w:spacing w:before="60"/>
    </w:pPr>
  </w:style>
  <w:style w:type="character" w:customStyle="1" w:styleId="CopyrightbodytextChar">
    <w:name w:val="Copyright bodytext Char"/>
    <w:basedOn w:val="BodyTextChar"/>
    <w:link w:val="Copyrightbodytext"/>
    <w:rsid w:val="00B634FC"/>
    <w:rPr>
      <w:sz w:val="24"/>
    </w:rPr>
  </w:style>
  <w:style w:type="paragraph" w:customStyle="1" w:styleId="Heading1NotTOC">
    <w:name w:val="Heading 1 Not TOC"/>
    <w:basedOn w:val="Heading1"/>
    <w:next w:val="BodyText"/>
    <w:rsid w:val="00AD661E"/>
    <w:rPr>
      <w:kern w:val="28"/>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41854">
      <w:bodyDiv w:val="1"/>
      <w:marLeft w:val="0"/>
      <w:marRight w:val="0"/>
      <w:marTop w:val="0"/>
      <w:marBottom w:val="0"/>
      <w:divBdr>
        <w:top w:val="none" w:sz="0" w:space="0" w:color="auto"/>
        <w:left w:val="none" w:sz="0" w:space="0" w:color="auto"/>
        <w:bottom w:val="none" w:sz="0" w:space="0" w:color="auto"/>
        <w:right w:val="none" w:sz="0" w:space="0" w:color="auto"/>
      </w:divBdr>
    </w:div>
    <w:div w:id="854809256">
      <w:bodyDiv w:val="1"/>
      <w:marLeft w:val="0"/>
      <w:marRight w:val="0"/>
      <w:marTop w:val="0"/>
      <w:marBottom w:val="0"/>
      <w:divBdr>
        <w:top w:val="none" w:sz="0" w:space="0" w:color="auto"/>
        <w:left w:val="none" w:sz="0" w:space="0" w:color="auto"/>
        <w:bottom w:val="none" w:sz="0" w:space="0" w:color="auto"/>
        <w:right w:val="none" w:sz="0" w:space="0" w:color="auto"/>
      </w:divBdr>
    </w:div>
    <w:div w:id="955406028">
      <w:bodyDiv w:val="1"/>
      <w:marLeft w:val="0"/>
      <w:marRight w:val="0"/>
      <w:marTop w:val="0"/>
      <w:marBottom w:val="0"/>
      <w:divBdr>
        <w:top w:val="none" w:sz="0" w:space="0" w:color="auto"/>
        <w:left w:val="none" w:sz="0" w:space="0" w:color="auto"/>
        <w:bottom w:val="none" w:sz="0" w:space="0" w:color="auto"/>
        <w:right w:val="none" w:sz="0" w:space="0" w:color="auto"/>
      </w:divBdr>
    </w:div>
    <w:div w:id="1657685617">
      <w:bodyDiv w:val="1"/>
      <w:marLeft w:val="0"/>
      <w:marRight w:val="0"/>
      <w:marTop w:val="0"/>
      <w:marBottom w:val="0"/>
      <w:divBdr>
        <w:top w:val="none" w:sz="0" w:space="0" w:color="auto"/>
        <w:left w:val="none" w:sz="0" w:space="0" w:color="auto"/>
        <w:bottom w:val="none" w:sz="0" w:space="0" w:color="auto"/>
        <w:right w:val="none" w:sz="0" w:space="0" w:color="auto"/>
      </w:divBdr>
    </w:div>
    <w:div w:id="1874224393">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emf"/><Relationship Id="rId26" Type="http://schemas.openxmlformats.org/officeDocument/2006/relationships/image" Target="media/image11.emf"/><Relationship Id="rId39" Type="http://schemas.openxmlformats.org/officeDocument/2006/relationships/image" Target="media/image24.emf"/><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image" Target="media/image19.emf"/><Relationship Id="rId42" Type="http://schemas.openxmlformats.org/officeDocument/2006/relationships/image" Target="media/image27.emf"/><Relationship Id="rId47" Type="http://schemas.openxmlformats.org/officeDocument/2006/relationships/header" Target="header3.xml"/><Relationship Id="rId50"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image" Target="media/image10.emf"/><Relationship Id="rId33" Type="http://schemas.openxmlformats.org/officeDocument/2006/relationships/image" Target="media/image18.emf"/><Relationship Id="rId38" Type="http://schemas.openxmlformats.org/officeDocument/2006/relationships/image" Target="media/image23.emf"/><Relationship Id="rId46"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5.emf"/><Relationship Id="rId29" Type="http://schemas.openxmlformats.org/officeDocument/2006/relationships/image" Target="media/image14.emf"/><Relationship Id="rId41" Type="http://schemas.openxmlformats.org/officeDocument/2006/relationships/image" Target="media/image26.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9.emf"/><Relationship Id="rId32" Type="http://schemas.openxmlformats.org/officeDocument/2006/relationships/image" Target="media/image17.emf"/><Relationship Id="rId37" Type="http://schemas.openxmlformats.org/officeDocument/2006/relationships/image" Target="media/image22.emf"/><Relationship Id="rId40" Type="http://schemas.openxmlformats.org/officeDocument/2006/relationships/image" Target="media/image25.emf"/><Relationship Id="rId45" Type="http://schemas.openxmlformats.org/officeDocument/2006/relationships/image" Target="media/image30.emf"/><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8.emf"/><Relationship Id="rId28" Type="http://schemas.openxmlformats.org/officeDocument/2006/relationships/image" Target="media/image13.emf"/><Relationship Id="rId36" Type="http://schemas.openxmlformats.org/officeDocument/2006/relationships/image" Target="media/image21.emf"/><Relationship Id="rId49"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image" Target="media/image16.emf"/><Relationship Id="rId44" Type="http://schemas.openxmlformats.org/officeDocument/2006/relationships/image" Target="media/image29.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7.emf"/><Relationship Id="rId27" Type="http://schemas.openxmlformats.org/officeDocument/2006/relationships/image" Target="media/image12.emf"/><Relationship Id="rId30" Type="http://schemas.openxmlformats.org/officeDocument/2006/relationships/image" Target="media/image15.emf"/><Relationship Id="rId35" Type="http://schemas.openxmlformats.org/officeDocument/2006/relationships/image" Target="media/image20.emf"/><Relationship Id="rId43" Type="http://schemas.openxmlformats.org/officeDocument/2006/relationships/image" Target="media/image28.emf"/><Relationship Id="rId48" Type="http://schemas.openxmlformats.org/officeDocument/2006/relationships/footer" Target="footer2.xml"/><Relationship Id="rId8" Type="http://schemas.openxmlformats.org/officeDocument/2006/relationships/numbering" Target="numbering.xml"/><Relationship Id="rId51" Type="http://schemas.openxmlformats.org/officeDocument/2006/relationships/theme" Target="theme/theme1.xm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Reports" ma:contentTypeID="0x0101007916246811615643A710C6FEAFF56A871104006E3BDAB9F67AF64BB2EC3946D13B8675" ma:contentTypeVersion="15" ma:contentTypeDescription="" ma:contentTypeScope="" ma:versionID="db48918a113756321c78c81870ea9f1f">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b18e4d98b20a7a670c4a06565f8bc843"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2:Draft_x0020_Report_x0020_Status"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8"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609e2780-d171-4fcc-ba6e-ba515af27ffb"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Draft_x0020_Report_x0020_Status" ma:index="17" nillable="true" ma:displayName="Draft Report Status" ma:default="In initial draft state" ma:internalName="Draft_x0020_Report_x0020_Status" ma:requiredMultiChoice="true">
      <xsd:complexType>
        <xsd:complexContent>
          <xsd:extension base="dms:MultiChoice">
            <xsd:sequence>
              <xsd:element name="Value" maxOccurs="unbounded" minOccurs="0" nillable="true">
                <xsd:simpleType>
                  <xsd:restriction base="dms:Choice">
                    <xsd:enumeration value="In initial draft state"/>
                    <xsd:enumeration value="1st Circ to A/Comm"/>
                    <xsd:enumeration value="1st Circ to Comms"/>
                    <xsd:enumeration value="1st Circ comments back"/>
                    <xsd:enumeration value="2nd Circ to A/Comm"/>
                    <xsd:enumeration value="2nd Circ to Comms"/>
                    <xsd:enumeration value="2nd Circ comments back"/>
                    <xsd:enumeration value="3rd Circ to A/Comm"/>
                    <xsd:enumeration value="3rd Circ to Comms"/>
                    <xsd:enumeration value="3rd Circ comments back"/>
                    <xsd:enumeration value="Ready for final proof"/>
                    <xsd:enumeration value="Out to proof"/>
                    <xsd:enumeration value="1st proof complete"/>
                    <xsd:enumeration value="2nd proof complete"/>
                    <xsd:enumeration value="3rd proof complete"/>
                    <xsd:enumeration value="Style checker run"/>
                    <xsd:enumeration value="Global style OK"/>
                    <xsd:enumeration value="Cross refs OK"/>
                    <xsd:enumeration value="Recs etc OK"/>
                    <xsd:enumeration value="Chart format OK"/>
                    <xsd:enumeration value="Charts tagged"/>
                    <xsd:enumeration value="Direct quotes OK"/>
                    <xsd:enumeration value="Sub nums OK"/>
                    <xsd:enumeration value="Alt text done"/>
                    <xsd:enumeration value="Ready to compile"/>
                    <xsd:enumeration value="Compiled"/>
                    <xsd:enumeration value="Post compile edits in"/>
                    <xsd:enumeration value="As published"/>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raft_x0020_Report_x0020_Status xmlns="3f4bcce7-ac1a-4c9d-aa3e-7e77695652db">
      <Value>In initial draft state</Value>
    </Draft_x0020_Report_x0020_Status>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Final Report</TermName>
          <TermId xmlns="http://schemas.microsoft.com/office/infopath/2007/PartnerControls">2ba7de50-4c1d-4453-9bfb-2c08018fad73</TermId>
        </TermInfo>
      </Terms>
    </p7a0baa8c88445a78b6f55906390ba17>
    <TaxCatchAll xmlns="3f4bcce7-ac1a-4c9d-aa3e-7e77695652db">
      <Value>270</Value>
    </TaxCatchAll>
  </documentManagement>
</p:properti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SharedContentType xmlns="Microsoft.SharePoint.Taxonomy.ContentTypeSync" SourceId="70da5c63-8548-4ac8-9616-83b0f373280e" ContentTypeId="0x0101007916246811615643A710C6FEAFF56A87110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FAE1F-E8D4-46DF-BC75-C5F9C10F08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A4F633-EB0D-47AD-A25E-0AD59FBF1D49}">
  <ds:schemaRefs>
    <ds:schemaRef ds:uri="http://schemas.microsoft.com/office/infopath/2007/PartnerControls"/>
    <ds:schemaRef ds:uri="http://schemas.microsoft.com/sharepoint/v3"/>
    <ds:schemaRef ds:uri="http://purl.org/dc/terms/"/>
    <ds:schemaRef ds:uri="3f4bcce7-ac1a-4c9d-aa3e-7e77695652db"/>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36279D8-88BF-4D81-8BA3-18E04EF50FEF}">
  <ds:schemaRefs>
    <ds:schemaRef ds:uri="http://schemas.microsoft.com/office/2006/metadata/customXsn"/>
  </ds:schemaRefs>
</ds:datastoreItem>
</file>

<file path=customXml/itemProps4.xml><?xml version="1.0" encoding="utf-8"?>
<ds:datastoreItem xmlns:ds="http://schemas.openxmlformats.org/officeDocument/2006/customXml" ds:itemID="{945E35E2-724E-401D-9137-099AA0223C66}">
  <ds:schemaRefs>
    <ds:schemaRef ds:uri="Microsoft.SharePoint.Taxonomy.ContentTypeSync"/>
  </ds:schemaRefs>
</ds:datastoreItem>
</file>

<file path=customXml/itemProps5.xml><?xml version="1.0" encoding="utf-8"?>
<ds:datastoreItem xmlns:ds="http://schemas.openxmlformats.org/officeDocument/2006/customXml" ds:itemID="{2CD2C77F-3175-4B37-9C9E-04FF4AEB8D4A}">
  <ds:schemaRefs>
    <ds:schemaRef ds:uri="http://schemas.microsoft.com/sharepoint/events"/>
  </ds:schemaRefs>
</ds:datastoreItem>
</file>

<file path=customXml/itemProps6.xml><?xml version="1.0" encoding="utf-8"?>
<ds:datastoreItem xmlns:ds="http://schemas.openxmlformats.org/officeDocument/2006/customXml" ds:itemID="{4BE53312-07E1-4A5C-8497-782B7F7AEEE7}">
  <ds:schemaRefs>
    <ds:schemaRef ds:uri="http://schemas.microsoft.com/sharepoint/v3/contenttype/forms"/>
  </ds:schemaRefs>
</ds:datastoreItem>
</file>

<file path=customXml/itemProps7.xml><?xml version="1.0" encoding="utf-8"?>
<ds:datastoreItem xmlns:ds="http://schemas.openxmlformats.org/officeDocument/2006/customXml" ds:itemID="{78D5D4F5-4E50-4128-A8AC-A65C5DC69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22248</Words>
  <Characters>126816</Characters>
  <Application>Microsoft Office Word</Application>
  <DocSecurity>0</DocSecurity>
  <Lines>1056</Lines>
  <Paragraphs>297</Paragraphs>
  <ScaleCrop>false</ScaleCrop>
  <HeadingPairs>
    <vt:vector size="2" baseType="variant">
      <vt:variant>
        <vt:lpstr>Title</vt:lpstr>
      </vt:variant>
      <vt:variant>
        <vt:i4>1</vt:i4>
      </vt:variant>
    </vt:vector>
  </HeadingPairs>
  <TitlesOfParts>
    <vt:vector size="1" baseType="lpstr">
      <vt:lpstr>Supporting paper 1: Productivity and income — The Australian story - Productivity Review</vt:lpstr>
    </vt:vector>
  </TitlesOfParts>
  <Manager/>
  <Company/>
  <LinksUpToDate>false</LinksUpToDate>
  <CharactersWithSpaces>148767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paper 1: Productivity and income — The Australian story - Productivity Review</dc:title>
  <dc:subject/>
  <dc:creator/>
  <cp:keywords/>
  <dc:description/>
  <cp:lastModifiedBy/>
  <cp:revision>1</cp:revision>
  <dcterms:created xsi:type="dcterms:W3CDTF">2017-08-01T07:36:00Z</dcterms:created>
  <dcterms:modified xsi:type="dcterms:W3CDTF">2020-02-26T05:05:00Z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0x0101007916246811615643A710C6FEAFF56A871104006E3BDAB9F67AF64BB2EC3946D13B8675</vt:lpwstr>
  </property>
  <property fmtid="{D5CDD505-2E9C-101B-9397-08002B2CF9AE}" pid="3" name="Record Tag">
    <vt:lpwstr>270;#Final Report|2ba7de50-4c1d-4453-9bfb-2c08018fad73</vt:lpwstr>
  </property>
  <property fmtid="{D5CDD505-2E9C-101B-9397-08002B2CF9AE}" pid="4" name="TaxKeyword">
    <vt:lpwstr/>
  </property>
  <property fmtid="{D5CDD505-2E9C-101B-9397-08002B2CF9AE}" pid="5" name="ZOTERO_PREF_1">
    <vt:lpwstr>&lt;data data-version="3" zotero-version="4.0.29.10"&gt;&lt;session id="6bwnaeWd"/&gt;&lt;style id="http://www.zotero.org/styles/unisa-harvard" hasBibliography="1" bibliographyStyleHasBeenSet="0"/&gt;&lt;prefs&gt;&lt;pref name="fieldType" value="Field"/&gt;&lt;pref name="storeReferences"</vt:lpwstr>
  </property>
  <property fmtid="{D5CDD505-2E9C-101B-9397-08002B2CF9AE}" pid="6" name="ZOTERO_PREF_2">
    <vt:lpwstr> value="true"/&gt;&lt;pref name="automaticJournalAbbreviations" value="true"/&gt;&lt;pref name="noteType" value=""/&gt;&lt;/prefs&gt;&lt;/data&gt;</vt:lpwstr>
  </property>
</Properties>
</file>