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18903" w14:textId="05F41F94" w:rsidR="00B63AD9" w:rsidRPr="00AE19B6" w:rsidRDefault="0085299E" w:rsidP="00B63AD9">
      <w:pPr>
        <w:pStyle w:val="Heading1"/>
        <w:rPr>
          <w:color w:val="FFFFFF" w:themeColor="background1"/>
        </w:rPr>
      </w:pPr>
      <w:r w:rsidRPr="000A5DAB">
        <w:rPr>
          <w:noProof/>
          <w:color w:val="FFFFFF" w:themeColor="background1"/>
        </w:rPr>
        <w:drawing>
          <wp:anchor distT="0" distB="0" distL="114300" distR="114300" simplePos="0" relativeHeight="251658240" behindDoc="0" locked="0" layoutInCell="1" allowOverlap="1" wp14:anchorId="6E218B7D" wp14:editId="1C4B1716">
            <wp:simplePos x="0" y="0"/>
            <wp:positionH relativeFrom="page">
              <wp:align>right</wp:align>
            </wp:positionH>
            <wp:positionV relativeFrom="page">
              <wp:align>center</wp:align>
            </wp:positionV>
            <wp:extent cx="7556399" cy="10688650"/>
            <wp:effectExtent l="0" t="0" r="6985" b="0"/>
            <wp:wrapNone/>
            <wp:docPr id="6" name="Picture 6" descr="Cover of Supporting paper 10: Realising the productive potential of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empdir\Productivity Review - Supporting papers prelims\cover-prod-review-supporting-papers13.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56399" cy="1068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AD9" w:rsidRPr="00AE19B6">
        <w:rPr>
          <w:color w:val="FFFFFF" w:themeColor="background1"/>
        </w:rPr>
        <w:t>Land u</w:t>
      </w:r>
      <w:r w:rsidR="00805639">
        <w:rPr>
          <w:color w:val="FFFFFF" w:themeColor="background1"/>
        </w:rPr>
        <w:t>s</w:t>
      </w:r>
      <w:r w:rsidR="00B63AD9" w:rsidRPr="00AE19B6">
        <w:rPr>
          <w:color w:val="FFFFFF" w:themeColor="background1"/>
        </w:rPr>
        <w:t>e efficiency</w:t>
      </w:r>
    </w:p>
    <w:p w14:paraId="6E218904" w14:textId="560A5BBE" w:rsidR="00B63AD9" w:rsidRDefault="00B63AD9" w:rsidP="00B63AD9">
      <w:pPr>
        <w:pStyle w:val="BodyText"/>
        <w:rPr>
          <w:rFonts w:ascii="Arial" w:hAnsi="Arial"/>
          <w:sz w:val="22"/>
          <w:szCs w:val="26"/>
        </w:rPr>
      </w:pPr>
      <w:r w:rsidRPr="00AE19B6">
        <w:rPr>
          <w:color w:val="FFFFFF" w:themeColor="background1"/>
        </w:rPr>
        <w:t>Shifting the Dial: 5 year Productivity Review —Canberra, August 2017</w:t>
      </w:r>
      <w:r>
        <w:br w:type="page"/>
      </w:r>
      <w:bookmarkStart w:id="0" w:name="_GoBack"/>
      <w:bookmarkEnd w:id="0"/>
    </w:p>
    <w:p w14:paraId="6E218905" w14:textId="77777777" w:rsidR="00B63AD9" w:rsidRDefault="00B63AD9" w:rsidP="00B63AD9">
      <w:pPr>
        <w:pStyle w:val="Copyrightsubtitle"/>
        <w:spacing w:before="0"/>
      </w:pPr>
      <w:r>
        <w:lastRenderedPageBreak/>
        <w:fldChar w:fldCharType="begin"/>
      </w:r>
      <w:r>
        <w:instrText>SYMBOL 227 \f "Symbol"</w:instrText>
      </w:r>
      <w:r>
        <w:fldChar w:fldCharType="end"/>
      </w:r>
      <w:r>
        <w:t xml:space="preserve"> Commonwealth of Australia 2017</w:t>
      </w:r>
    </w:p>
    <w:p w14:paraId="6E218906" w14:textId="77777777" w:rsidR="00B63AD9" w:rsidRDefault="00B63AD9" w:rsidP="00B63AD9">
      <w:pPr>
        <w:pStyle w:val="BodyText"/>
        <w:tabs>
          <w:tab w:val="left" w:pos="851"/>
        </w:tabs>
        <w:spacing w:before="80" w:after="80"/>
        <w:jc w:val="left"/>
        <w:rPr>
          <w:b/>
        </w:rPr>
      </w:pPr>
      <w:r>
        <w:rPr>
          <w:b/>
        </w:rPr>
        <w:t>ISBN</w:t>
      </w:r>
      <w:r>
        <w:rPr>
          <w:b/>
        </w:rPr>
        <w:tab/>
      </w:r>
      <w:r w:rsidRPr="0085189D">
        <w:rPr>
          <w:b/>
        </w:rPr>
        <w:t>978-1-74037-638-9</w:t>
      </w:r>
      <w:r>
        <w:rPr>
          <w:b/>
        </w:rPr>
        <w:t xml:space="preserve"> (PDF)</w:t>
      </w:r>
    </w:p>
    <w:p w14:paraId="6E218907" w14:textId="77777777" w:rsidR="00B63AD9" w:rsidRDefault="00B63AD9" w:rsidP="00B63AD9">
      <w:pPr>
        <w:pStyle w:val="BodyText"/>
        <w:spacing w:before="120" w:after="120"/>
      </w:pPr>
      <w:r>
        <w:rPr>
          <w:noProof/>
          <w:sz w:val="22"/>
          <w:szCs w:val="22"/>
        </w:rPr>
        <w:drawing>
          <wp:inline distT="0" distB="0" distL="0" distR="0" wp14:anchorId="6E218B7F" wp14:editId="6E218B80">
            <wp:extent cx="843915" cy="293370"/>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 BY licen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3915" cy="293370"/>
                    </a:xfrm>
                    <a:prstGeom prst="rect">
                      <a:avLst/>
                    </a:prstGeom>
                    <a:noFill/>
                    <a:ln>
                      <a:noFill/>
                    </a:ln>
                  </pic:spPr>
                </pic:pic>
              </a:graphicData>
            </a:graphic>
          </wp:inline>
        </w:drawing>
      </w:r>
    </w:p>
    <w:p w14:paraId="6E218908" w14:textId="77777777" w:rsidR="00B63AD9" w:rsidRDefault="00B63AD9" w:rsidP="00B63AD9">
      <w:pPr>
        <w:pStyle w:val="Copyrightbodytext"/>
      </w:pPr>
      <w:r>
        <w:t xml:space="preserve">Except for the Commonwealth Coat of Arms and content supplied by third parties, this copyright work is licensed under a Creative Commons Attribution 3.0 Australia licence. To view a copy of this licence, visit </w:t>
      </w:r>
      <w:r w:rsidRPr="00DF1505">
        <w:t>http://creativecommons.org/licenses/by/3.0/au</w:t>
      </w:r>
      <w:r>
        <w:rPr>
          <w:szCs w:val="24"/>
        </w:rPr>
        <w:t>.</w:t>
      </w:r>
      <w:r>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E218909" w14:textId="77777777" w:rsidR="00B63AD9" w:rsidRDefault="00B63AD9" w:rsidP="00B63AD9">
      <w:pPr>
        <w:pStyle w:val="Copyrightsubtitle"/>
        <w:spacing w:before="160"/>
      </w:pPr>
      <w:r>
        <w:t>Use of the Commonwealth Coat of Arms</w:t>
      </w:r>
    </w:p>
    <w:p w14:paraId="6E21890A" w14:textId="77777777" w:rsidR="00B63AD9" w:rsidRDefault="00B63AD9" w:rsidP="00B63AD9">
      <w:pPr>
        <w:pStyle w:val="Copyrightbodytext"/>
      </w:pPr>
      <w:r>
        <w:t>For terms of use of the Coat of Arms visit the ‘</w:t>
      </w:r>
      <w:r w:rsidRPr="00DF1505">
        <w:t>It’s an Honour</w:t>
      </w:r>
      <w:r>
        <w:t xml:space="preserve">’ website: </w:t>
      </w:r>
      <w:r w:rsidRPr="00DF1505">
        <w:t>http://www.itsanhonour.gov.au</w:t>
      </w:r>
    </w:p>
    <w:p w14:paraId="6E21890B" w14:textId="77777777" w:rsidR="00B63AD9" w:rsidRDefault="00B63AD9" w:rsidP="00B63AD9">
      <w:pPr>
        <w:pStyle w:val="Copyrightsubtitle"/>
        <w:spacing w:before="160"/>
      </w:pPr>
      <w:r>
        <w:t>Third party copyright</w:t>
      </w:r>
    </w:p>
    <w:p w14:paraId="6E21890C" w14:textId="77777777" w:rsidR="00B63AD9" w:rsidRDefault="00B63AD9" w:rsidP="00B63AD9">
      <w:pPr>
        <w:pStyle w:val="Copyrightbodytext"/>
      </w:pPr>
      <w:r>
        <w:t>Wherever a third party holds copyright in this material, the copyright remains with that party. Their permission may be required to use the material, please contact them directly.</w:t>
      </w:r>
    </w:p>
    <w:p w14:paraId="6E21890D" w14:textId="77777777" w:rsidR="00B63AD9" w:rsidRDefault="00B63AD9" w:rsidP="00B63AD9">
      <w:pPr>
        <w:pStyle w:val="Copyrightsubtitle"/>
        <w:spacing w:before="200"/>
      </w:pPr>
      <w:r>
        <w:t>Attribution</w:t>
      </w:r>
    </w:p>
    <w:p w14:paraId="6E21890E" w14:textId="52D16589" w:rsidR="00B63AD9" w:rsidRPr="008A3857" w:rsidRDefault="00B63AD9" w:rsidP="00B63AD9">
      <w:pPr>
        <w:pStyle w:val="Copyrightbodytext"/>
      </w:pPr>
      <w:r w:rsidRPr="008A3857">
        <w:t xml:space="preserve">This work should be attributed as follows, </w:t>
      </w:r>
      <w:r>
        <w:rPr>
          <w:i/>
        </w:rPr>
        <w:t xml:space="preserve">Source: Productivity Commission, </w:t>
      </w:r>
      <w:r w:rsidR="00BA25C2">
        <w:rPr>
          <w:i/>
        </w:rPr>
        <w:t xml:space="preserve">Realising the Productive Potential of </w:t>
      </w:r>
      <w:r w:rsidRPr="00A15093">
        <w:rPr>
          <w:i/>
        </w:rPr>
        <w:t>Land</w:t>
      </w:r>
      <w:r>
        <w:rPr>
          <w:i/>
        </w:rPr>
        <w:t>, Shifting the Dial: 5 year Productivity Review</w:t>
      </w:r>
      <w:r w:rsidR="002346E7">
        <w:rPr>
          <w:i/>
        </w:rPr>
        <w:t xml:space="preserve">, </w:t>
      </w:r>
      <w:r>
        <w:rPr>
          <w:i/>
        </w:rPr>
        <w:t xml:space="preserve">Supporting Paper No. </w:t>
      </w:r>
      <w:r w:rsidR="00484725">
        <w:rPr>
          <w:i/>
        </w:rPr>
        <w:t>10</w:t>
      </w:r>
      <w:r>
        <w:rPr>
          <w:i/>
        </w:rPr>
        <w:t>.</w:t>
      </w:r>
    </w:p>
    <w:p w14:paraId="6E21890F" w14:textId="26CA6535" w:rsidR="00B63AD9" w:rsidRPr="008A3857" w:rsidRDefault="00B63AD9" w:rsidP="00B63AD9">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BA25C2">
        <w:rPr>
          <w:i/>
        </w:rPr>
        <w:t xml:space="preserve">Realising the Productive Potential of </w:t>
      </w:r>
      <w:r w:rsidR="00BA25C2" w:rsidRPr="00A15093">
        <w:rPr>
          <w:i/>
        </w:rPr>
        <w:t>Land</w:t>
      </w:r>
      <w:r w:rsidR="002346E7">
        <w:rPr>
          <w:i/>
        </w:rPr>
        <w:t xml:space="preserve">, </w:t>
      </w:r>
      <w:r w:rsidR="006B2665">
        <w:rPr>
          <w:i/>
        </w:rPr>
        <w:t>Shifting</w:t>
      </w:r>
      <w:r w:rsidR="002346E7">
        <w:rPr>
          <w:i/>
        </w:rPr>
        <w:t xml:space="preserve"> the Dial: 5 </w:t>
      </w:r>
      <w:r>
        <w:rPr>
          <w:i/>
        </w:rPr>
        <w:t>year Productivity Review</w:t>
      </w:r>
      <w:r w:rsidR="00FA0E34">
        <w:t xml:space="preserve">, </w:t>
      </w:r>
      <w:r>
        <w:rPr>
          <w:i/>
        </w:rPr>
        <w:t xml:space="preserve">Supporting Paper No. </w:t>
      </w:r>
      <w:r w:rsidR="00484725">
        <w:rPr>
          <w:i/>
        </w:rPr>
        <w:t>10</w:t>
      </w:r>
      <w:r>
        <w:rPr>
          <w:i/>
        </w:rPr>
        <w:t>.</w:t>
      </w:r>
    </w:p>
    <w:p w14:paraId="6E218910" w14:textId="77777777" w:rsidR="00B63AD9" w:rsidRDefault="00B63AD9" w:rsidP="00B63AD9">
      <w:pPr>
        <w:pStyle w:val="Copyrightsubtitle"/>
        <w:spacing w:before="160"/>
      </w:pPr>
      <w:r>
        <w:t>An appropriate reference for this publication is:</w:t>
      </w:r>
    </w:p>
    <w:p w14:paraId="6E218911" w14:textId="59FD6994" w:rsidR="00B63AD9" w:rsidRDefault="00B63AD9" w:rsidP="00B63AD9">
      <w:pPr>
        <w:pStyle w:val="Copyrightbodytext"/>
        <w:rPr>
          <w:b/>
        </w:rPr>
      </w:pPr>
      <w:r>
        <w:t xml:space="preserve">Productivity Commission 2017, </w:t>
      </w:r>
      <w:r w:rsidR="00BA25C2">
        <w:rPr>
          <w:i/>
        </w:rPr>
        <w:t xml:space="preserve">Realising the Productive Potential of </w:t>
      </w:r>
      <w:r w:rsidR="00BA25C2" w:rsidRPr="00A15093">
        <w:rPr>
          <w:i/>
        </w:rPr>
        <w:t>Land</w:t>
      </w:r>
      <w:r>
        <w:rPr>
          <w:i/>
        </w:rPr>
        <w:t xml:space="preserve">, </w:t>
      </w:r>
      <w:r>
        <w:t xml:space="preserve">Shifting the Dial: 5 year </w:t>
      </w:r>
      <w:r w:rsidRPr="00713D24">
        <w:t>Productivity Review</w:t>
      </w:r>
      <w:r w:rsidR="002346E7">
        <w:t xml:space="preserve">, </w:t>
      </w:r>
      <w:r w:rsidRPr="00713D24">
        <w:t xml:space="preserve">Supporting Paper No. </w:t>
      </w:r>
      <w:r w:rsidR="00484725">
        <w:t>10</w:t>
      </w:r>
      <w:r w:rsidRPr="00713D24">
        <w:t>, Canberra.</w:t>
      </w:r>
    </w:p>
    <w:p w14:paraId="6E218912" w14:textId="77777777" w:rsidR="00B63AD9" w:rsidRDefault="00B63AD9" w:rsidP="00B63AD9">
      <w:pPr>
        <w:pStyle w:val="Copyrightsubtitle"/>
        <w:spacing w:before="160"/>
      </w:pPr>
      <w:r>
        <w:t>Publications enquiries</w:t>
      </w:r>
    </w:p>
    <w:p w14:paraId="6E218913" w14:textId="77777777" w:rsidR="00B63AD9" w:rsidRDefault="00B63AD9" w:rsidP="00B63AD9">
      <w:pPr>
        <w:pStyle w:val="Copyrightbodytext"/>
        <w:rPr>
          <w:szCs w:val="24"/>
        </w:rPr>
      </w:pPr>
      <w:r>
        <w:t xml:space="preserve">Media and Publications, </w:t>
      </w:r>
      <w:r>
        <w:rPr>
          <w:szCs w:val="24"/>
        </w:rPr>
        <w:t xml:space="preserve">phone: (03) 9653 2244 or email: </w:t>
      </w:r>
      <w:r w:rsidRPr="00DF1505">
        <w:rPr>
          <w:szCs w:val="24"/>
        </w:rPr>
        <w:t>maps@pc.gov.au</w:t>
      </w:r>
    </w:p>
    <w:p w14:paraId="6E218914" w14:textId="77777777" w:rsidR="00B63AD9" w:rsidRDefault="00B63AD9" w:rsidP="00B63AD9">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B63AD9" w14:paraId="6E218916" w14:textId="77777777" w:rsidTr="00F203B1">
        <w:tc>
          <w:tcPr>
            <w:tcW w:w="8771" w:type="dxa"/>
            <w:tcBorders>
              <w:top w:val="single" w:sz="6" w:space="0" w:color="78A22F"/>
              <w:left w:val="nil"/>
              <w:bottom w:val="nil"/>
              <w:right w:val="nil"/>
            </w:tcBorders>
            <w:shd w:val="clear" w:color="auto" w:fill="F2F2F2" w:themeFill="background1" w:themeFillShade="F2"/>
            <w:hideMark/>
          </w:tcPr>
          <w:p w14:paraId="6E218915" w14:textId="77777777" w:rsidR="00B63AD9" w:rsidRDefault="00B63AD9" w:rsidP="00B63AD9">
            <w:pPr>
              <w:pStyle w:val="BoxTitle"/>
            </w:pPr>
            <w:r>
              <w:t>The Productivity Commission</w:t>
            </w:r>
          </w:p>
        </w:tc>
      </w:tr>
      <w:tr w:rsidR="00B63AD9" w14:paraId="6E21891A" w14:textId="77777777" w:rsidTr="00F203B1">
        <w:tc>
          <w:tcPr>
            <w:tcW w:w="8771" w:type="dxa"/>
            <w:tcBorders>
              <w:top w:val="nil"/>
              <w:left w:val="nil"/>
              <w:bottom w:val="nil"/>
              <w:right w:val="nil"/>
            </w:tcBorders>
            <w:shd w:val="clear" w:color="auto" w:fill="F2F2F2" w:themeFill="background1" w:themeFillShade="F2"/>
            <w:hideMark/>
          </w:tcPr>
          <w:p w14:paraId="6E218917" w14:textId="77777777" w:rsidR="00B63AD9" w:rsidRDefault="00B63AD9" w:rsidP="00B63AD9">
            <w:pPr>
              <w:pStyle w:val="Box"/>
              <w:spacing w:before="60"/>
              <w:rPr>
                <w:lang w:eastAsia="en-US"/>
              </w:rPr>
            </w:pPr>
            <w:r>
              <w:rPr>
                <w:lang w:eastAsia="en-US"/>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E218918" w14:textId="77777777" w:rsidR="00B63AD9" w:rsidRDefault="00B63AD9" w:rsidP="00B63AD9">
            <w:pPr>
              <w:pStyle w:val="Box"/>
              <w:spacing w:before="60"/>
              <w:rPr>
                <w:lang w:eastAsia="en-US"/>
              </w:rPr>
            </w:pPr>
            <w:r>
              <w:rPr>
                <w:lang w:eastAsia="en-US"/>
              </w:rPr>
              <w:t>The Commission’s independence is underpinned by an Act of Parliament. Its processes and outputs are open to public scrutiny and are driven by concern for the wellbeing of the community as a whole.</w:t>
            </w:r>
          </w:p>
          <w:p w14:paraId="6E218919" w14:textId="77777777" w:rsidR="00B63AD9" w:rsidRDefault="00B63AD9" w:rsidP="00B63AD9">
            <w:pPr>
              <w:pStyle w:val="Box"/>
              <w:spacing w:before="60"/>
              <w:rPr>
                <w:lang w:eastAsia="en-US"/>
              </w:rPr>
            </w:pPr>
            <w:r>
              <w:rPr>
                <w:szCs w:val="24"/>
                <w:lang w:eastAsia="en-US"/>
              </w:rPr>
              <w:t>Further information on the Productivity Commission can be obtained from the Commission’s website (</w:t>
            </w:r>
            <w:r w:rsidRPr="00DF1505">
              <w:rPr>
                <w:lang w:eastAsia="en-US"/>
              </w:rPr>
              <w:t>www.pc.gov.au</w:t>
            </w:r>
            <w:r>
              <w:rPr>
                <w:szCs w:val="24"/>
                <w:lang w:eastAsia="en-US"/>
              </w:rPr>
              <w:t>).</w:t>
            </w:r>
          </w:p>
        </w:tc>
      </w:tr>
      <w:tr w:rsidR="00B63AD9" w14:paraId="6E21891C" w14:textId="77777777" w:rsidTr="00F203B1">
        <w:tc>
          <w:tcPr>
            <w:tcW w:w="8771" w:type="dxa"/>
            <w:tcBorders>
              <w:top w:val="nil"/>
              <w:left w:val="nil"/>
              <w:bottom w:val="single" w:sz="6" w:space="0" w:color="78A22F"/>
              <w:right w:val="nil"/>
            </w:tcBorders>
            <w:shd w:val="clear" w:color="auto" w:fill="F2F2F2" w:themeFill="background1" w:themeFillShade="F2"/>
          </w:tcPr>
          <w:p w14:paraId="6E21891B" w14:textId="77777777" w:rsidR="00B63AD9" w:rsidRDefault="00B63AD9" w:rsidP="00B63AD9">
            <w:pPr>
              <w:pStyle w:val="Box"/>
              <w:spacing w:before="0" w:line="120" w:lineRule="exact"/>
              <w:rPr>
                <w:lang w:eastAsia="en-US"/>
              </w:rPr>
            </w:pPr>
          </w:p>
        </w:tc>
      </w:tr>
    </w:tbl>
    <w:p w14:paraId="6E21891D" w14:textId="77777777" w:rsidR="00DA2F60" w:rsidRDefault="00DA2F60" w:rsidP="00B63AD9">
      <w:pPr>
        <w:pStyle w:val="Copyrightbodytext"/>
        <w:spacing w:before="0"/>
        <w:sectPr w:rsidR="00DA2F60" w:rsidSect="00394685">
          <w:pgSz w:w="11907" w:h="16840" w:code="9"/>
          <w:pgMar w:top="1984" w:right="1304" w:bottom="1247" w:left="1814" w:header="1701" w:footer="397" w:gutter="0"/>
          <w:pgNumType w:start="1" w:chapSep="period"/>
          <w:cols w:space="720"/>
          <w:docGrid w:linePitch="326"/>
        </w:sectPr>
      </w:pPr>
    </w:p>
    <w:p w14:paraId="6E21891E" w14:textId="77777777" w:rsidR="00C86A32" w:rsidRPr="005204FF" w:rsidRDefault="00C86A32" w:rsidP="00DA23E4">
      <w:pPr>
        <w:pStyle w:val="Heading1NotTOC"/>
      </w:pPr>
      <w:r>
        <w:lastRenderedPageBreak/>
        <w:t>Contents</w:t>
      </w:r>
    </w:p>
    <w:p w14:paraId="6E21891F" w14:textId="77777777" w:rsidR="00DA2F60" w:rsidRDefault="00DA2F60" w:rsidP="00B228D2">
      <w:pPr>
        <w:pStyle w:val="BoxSpaceAbove"/>
      </w:pPr>
      <w:bookmarkStart w:id="1" w:name="begin"/>
      <w:bookmarkEnd w:id="1"/>
    </w:p>
    <w:p w14:paraId="6E218920" w14:textId="77777777" w:rsidR="00805639" w:rsidRDefault="00805639" w:rsidP="00805639">
      <w:pPr>
        <w:pStyle w:val="TOC1"/>
        <w:rPr>
          <w:lang w:eastAsia="en-AU"/>
        </w:rPr>
      </w:pPr>
      <w:r>
        <w:rPr>
          <w:lang w:eastAsia="en-AU"/>
        </w:rPr>
        <w:t>Key points</w:t>
      </w:r>
      <w:r>
        <w:rPr>
          <w:lang w:eastAsia="en-AU"/>
        </w:rPr>
        <w:tab/>
        <w:t>2</w:t>
      </w:r>
    </w:p>
    <w:p w14:paraId="6E218921" w14:textId="77777777" w:rsidR="00805639" w:rsidRDefault="00805639" w:rsidP="0061187E">
      <w:pPr>
        <w:pStyle w:val="TOC1"/>
        <w:spacing w:before="360"/>
        <w:rPr>
          <w:rFonts w:asciiTheme="minorHAnsi" w:eastAsiaTheme="minorEastAsia" w:hAnsiTheme="minorHAnsi"/>
          <w:noProof/>
          <w:sz w:val="22"/>
          <w:szCs w:val="22"/>
          <w:lang w:eastAsia="en-AU"/>
        </w:rPr>
      </w:pPr>
      <w:r>
        <w:rPr>
          <w:noProof/>
        </w:rPr>
        <w:t>1</w:t>
      </w:r>
      <w:r>
        <w:rPr>
          <w:rFonts w:asciiTheme="minorHAnsi" w:eastAsiaTheme="minorEastAsia" w:hAnsiTheme="minorHAnsi"/>
          <w:noProof/>
          <w:sz w:val="22"/>
          <w:szCs w:val="22"/>
          <w:lang w:eastAsia="en-AU"/>
        </w:rPr>
        <w:tab/>
      </w:r>
      <w:r>
        <w:rPr>
          <w:noProof/>
        </w:rPr>
        <w:t>How land use policies affect city productivity</w:t>
      </w:r>
      <w:r>
        <w:rPr>
          <w:noProof/>
        </w:rPr>
        <w:tab/>
        <w:t>3</w:t>
      </w:r>
    </w:p>
    <w:p w14:paraId="6E218922" w14:textId="77777777" w:rsidR="00805639" w:rsidRDefault="00805639" w:rsidP="0061187E">
      <w:pPr>
        <w:pStyle w:val="TOC1"/>
        <w:rPr>
          <w:rFonts w:asciiTheme="minorHAnsi" w:eastAsiaTheme="minorEastAsia" w:hAnsiTheme="minorHAnsi"/>
          <w:noProof/>
          <w:sz w:val="22"/>
          <w:szCs w:val="22"/>
          <w:lang w:eastAsia="en-AU"/>
        </w:rPr>
      </w:pPr>
      <w:r>
        <w:rPr>
          <w:noProof/>
        </w:rPr>
        <w:t>2</w:t>
      </w:r>
      <w:r>
        <w:rPr>
          <w:rFonts w:asciiTheme="minorHAnsi" w:eastAsiaTheme="minorEastAsia" w:hAnsiTheme="minorHAnsi"/>
          <w:noProof/>
          <w:sz w:val="22"/>
          <w:szCs w:val="22"/>
          <w:lang w:eastAsia="en-AU"/>
        </w:rPr>
        <w:tab/>
      </w:r>
      <w:r>
        <w:rPr>
          <w:noProof/>
        </w:rPr>
        <w:t>Reducing land use restrictions</w:t>
      </w:r>
      <w:r>
        <w:rPr>
          <w:noProof/>
        </w:rPr>
        <w:tab/>
        <w:t>1</w:t>
      </w:r>
      <w:r w:rsidR="00243396">
        <w:rPr>
          <w:noProof/>
        </w:rPr>
        <w:t>2</w:t>
      </w:r>
    </w:p>
    <w:p w14:paraId="6E218923" w14:textId="38A62C6F" w:rsidR="00805639" w:rsidRDefault="00805639" w:rsidP="0061187E">
      <w:pPr>
        <w:pStyle w:val="TOC1"/>
        <w:rPr>
          <w:rFonts w:asciiTheme="minorHAnsi" w:eastAsiaTheme="minorEastAsia" w:hAnsiTheme="minorHAnsi"/>
          <w:noProof/>
          <w:sz w:val="22"/>
          <w:szCs w:val="22"/>
          <w:lang w:eastAsia="en-AU"/>
        </w:rPr>
      </w:pPr>
      <w:r>
        <w:rPr>
          <w:noProof/>
        </w:rPr>
        <w:t>3</w:t>
      </w:r>
      <w:r>
        <w:rPr>
          <w:rFonts w:asciiTheme="minorHAnsi" w:eastAsiaTheme="minorEastAsia" w:hAnsiTheme="minorHAnsi"/>
          <w:noProof/>
          <w:sz w:val="22"/>
          <w:szCs w:val="22"/>
          <w:lang w:eastAsia="en-AU"/>
        </w:rPr>
        <w:tab/>
      </w:r>
      <w:r>
        <w:rPr>
          <w:noProof/>
        </w:rPr>
        <w:t>Plan</w:t>
      </w:r>
      <w:r w:rsidR="00243396">
        <w:rPr>
          <w:noProof/>
        </w:rPr>
        <w:t>ning and provision for growth</w:t>
      </w:r>
      <w:r w:rsidR="00243396">
        <w:rPr>
          <w:noProof/>
        </w:rPr>
        <w:tab/>
        <w:t>1</w:t>
      </w:r>
      <w:r w:rsidR="00835CB0">
        <w:rPr>
          <w:noProof/>
        </w:rPr>
        <w:t>6</w:t>
      </w:r>
    </w:p>
    <w:p w14:paraId="6E218924" w14:textId="5CD96E14" w:rsidR="00805639" w:rsidRDefault="00805639" w:rsidP="0061187E">
      <w:pPr>
        <w:pStyle w:val="TOC1"/>
        <w:rPr>
          <w:rFonts w:asciiTheme="minorHAnsi" w:eastAsiaTheme="minorEastAsia" w:hAnsiTheme="minorHAnsi"/>
          <w:noProof/>
          <w:sz w:val="22"/>
          <w:szCs w:val="22"/>
          <w:lang w:eastAsia="en-AU"/>
        </w:rPr>
      </w:pPr>
      <w:r>
        <w:rPr>
          <w:noProof/>
        </w:rPr>
        <w:t>4</w:t>
      </w:r>
      <w:r>
        <w:rPr>
          <w:rFonts w:asciiTheme="minorHAnsi" w:eastAsiaTheme="minorEastAsia" w:hAnsiTheme="minorHAnsi"/>
          <w:noProof/>
          <w:sz w:val="22"/>
          <w:szCs w:val="22"/>
          <w:lang w:eastAsia="en-AU"/>
        </w:rPr>
        <w:tab/>
      </w:r>
      <w:r>
        <w:rPr>
          <w:noProof/>
        </w:rPr>
        <w:t>Streamlining d</w:t>
      </w:r>
      <w:r w:rsidR="00243396">
        <w:rPr>
          <w:noProof/>
        </w:rPr>
        <w:t>evelopment assessment systems</w:t>
      </w:r>
      <w:r w:rsidR="00243396">
        <w:rPr>
          <w:noProof/>
        </w:rPr>
        <w:tab/>
        <w:t>2</w:t>
      </w:r>
      <w:r w:rsidR="00835CB0">
        <w:rPr>
          <w:noProof/>
        </w:rPr>
        <w:t>4</w:t>
      </w:r>
    </w:p>
    <w:p w14:paraId="6E218925" w14:textId="70803248" w:rsidR="00805639" w:rsidRDefault="00805639" w:rsidP="0061187E">
      <w:pPr>
        <w:pStyle w:val="TOC1"/>
        <w:rPr>
          <w:rFonts w:asciiTheme="minorHAnsi" w:eastAsiaTheme="minorEastAsia" w:hAnsiTheme="minorHAnsi"/>
          <w:noProof/>
          <w:sz w:val="22"/>
          <w:szCs w:val="22"/>
          <w:lang w:eastAsia="en-AU"/>
        </w:rPr>
      </w:pPr>
      <w:r>
        <w:rPr>
          <w:noProof/>
        </w:rPr>
        <w:t>5</w:t>
      </w:r>
      <w:r>
        <w:rPr>
          <w:rFonts w:asciiTheme="minorHAnsi" w:eastAsiaTheme="minorEastAsia" w:hAnsiTheme="minorHAnsi"/>
          <w:noProof/>
          <w:sz w:val="22"/>
          <w:szCs w:val="22"/>
          <w:lang w:eastAsia="en-AU"/>
        </w:rPr>
        <w:tab/>
      </w:r>
      <w:r w:rsidR="00243396">
        <w:rPr>
          <w:noProof/>
        </w:rPr>
        <w:t>Stamp duties</w:t>
      </w:r>
      <w:r w:rsidR="00243396">
        <w:rPr>
          <w:noProof/>
        </w:rPr>
        <w:tab/>
        <w:t>29</w:t>
      </w:r>
    </w:p>
    <w:p w14:paraId="6E218926" w14:textId="5BBE6204" w:rsidR="00805639" w:rsidRDefault="00805639" w:rsidP="0061187E">
      <w:pPr>
        <w:pStyle w:val="TOC1"/>
        <w:rPr>
          <w:noProof/>
        </w:rPr>
      </w:pPr>
      <w:r w:rsidRPr="009A044B">
        <w:rPr>
          <w:noProof/>
          <w:shd w:val="clear" w:color="auto" w:fill="FFFFFF"/>
        </w:rPr>
        <w:t>6</w:t>
      </w:r>
      <w:r>
        <w:rPr>
          <w:rFonts w:asciiTheme="minorHAnsi" w:eastAsiaTheme="minorEastAsia" w:hAnsiTheme="minorHAnsi"/>
          <w:noProof/>
          <w:sz w:val="22"/>
          <w:szCs w:val="22"/>
          <w:lang w:eastAsia="en-AU"/>
        </w:rPr>
        <w:tab/>
      </w:r>
      <w:r w:rsidRPr="009A044B">
        <w:rPr>
          <w:noProof/>
          <w:shd w:val="clear" w:color="auto" w:fill="FFFFFF"/>
        </w:rPr>
        <w:t>The impacts of land reforms</w:t>
      </w:r>
      <w:r w:rsidR="00243396">
        <w:rPr>
          <w:noProof/>
        </w:rPr>
        <w:tab/>
        <w:t>3</w:t>
      </w:r>
      <w:r w:rsidR="00E672D0">
        <w:rPr>
          <w:noProof/>
        </w:rPr>
        <w:t>6</w:t>
      </w:r>
    </w:p>
    <w:p w14:paraId="6E218927" w14:textId="4FB27153" w:rsidR="00805639" w:rsidRDefault="00805639" w:rsidP="0061187E">
      <w:pPr>
        <w:pStyle w:val="TOC1"/>
        <w:spacing w:before="360"/>
        <w:rPr>
          <w:noProof/>
        </w:rPr>
      </w:pPr>
      <w:r>
        <w:rPr>
          <w:noProof/>
        </w:rPr>
        <w:t>References</w:t>
      </w:r>
      <w:r w:rsidR="0061187E">
        <w:rPr>
          <w:noProof/>
        </w:rPr>
        <w:tab/>
        <w:t>3</w:t>
      </w:r>
      <w:r w:rsidR="00243396">
        <w:rPr>
          <w:noProof/>
        </w:rPr>
        <w:t>8</w:t>
      </w:r>
    </w:p>
    <w:p w14:paraId="6E218928" w14:textId="77777777" w:rsidR="00805639" w:rsidRDefault="00805639" w:rsidP="00805639">
      <w:pPr>
        <w:pStyle w:val="BoxSpaceAbove"/>
        <w:rPr>
          <w:noProof/>
        </w:rPr>
      </w:pPr>
    </w:p>
    <w:p w14:paraId="6E218929" w14:textId="77777777" w:rsidR="00805639" w:rsidRDefault="00805639" w:rsidP="00805639">
      <w:pPr>
        <w:pStyle w:val="BoxSpaceAbove"/>
        <w:sectPr w:rsidR="00805639" w:rsidSect="00394685">
          <w:headerReference w:type="default" r:id="rId16"/>
          <w:footerReference w:type="default" r:id="rId17"/>
          <w:pgSz w:w="11907" w:h="16840" w:code="9"/>
          <w:pgMar w:top="1984" w:right="1304" w:bottom="1247" w:left="1814" w:header="1701" w:footer="397" w:gutter="0"/>
          <w:pgNumType w:start="1" w:chapSep="period"/>
          <w:cols w:space="720"/>
          <w:docGrid w:linePitch="326"/>
        </w:sectPr>
      </w:pPr>
    </w:p>
    <w:p w14:paraId="6E21892A" w14:textId="77777777" w:rsidR="00B228D2" w:rsidRDefault="00B228D2" w:rsidP="0061187E">
      <w:pPr>
        <w:pStyle w:val="BoxSpaceAbove"/>
        <w:spacing w:before="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228D2" w14:paraId="6E21892C" w14:textId="77777777" w:rsidTr="0061187E">
        <w:tc>
          <w:tcPr>
            <w:tcW w:w="8771" w:type="dxa"/>
            <w:tcBorders>
              <w:top w:val="single" w:sz="6" w:space="0" w:color="78A22F"/>
              <w:left w:val="nil"/>
              <w:bottom w:val="nil"/>
              <w:right w:val="nil"/>
            </w:tcBorders>
            <w:shd w:val="clear" w:color="auto" w:fill="F2F2F2"/>
          </w:tcPr>
          <w:p w14:paraId="6E21892B" w14:textId="77777777" w:rsidR="00B228D2" w:rsidRDefault="00B228D2" w:rsidP="00B52E43">
            <w:pPr>
              <w:pStyle w:val="BoxTitle"/>
            </w:pPr>
            <w:r>
              <w:t>Key points</w:t>
            </w:r>
          </w:p>
        </w:tc>
      </w:tr>
      <w:tr w:rsidR="00B228D2" w14:paraId="6E218932" w14:textId="77777777" w:rsidTr="0061187E">
        <w:tc>
          <w:tcPr>
            <w:tcW w:w="8771" w:type="dxa"/>
            <w:tcBorders>
              <w:top w:val="nil"/>
              <w:left w:val="nil"/>
              <w:bottom w:val="nil"/>
              <w:right w:val="nil"/>
            </w:tcBorders>
            <w:shd w:val="clear" w:color="auto" w:fill="F2F2F2"/>
          </w:tcPr>
          <w:p w14:paraId="6E21892D" w14:textId="77777777" w:rsidR="00FE4942" w:rsidRDefault="00386FCC" w:rsidP="00B228D2">
            <w:pPr>
              <w:pStyle w:val="KeyPointsListBullet"/>
              <w:numPr>
                <w:ilvl w:val="0"/>
                <w:numId w:val="1"/>
              </w:numPr>
              <w:spacing w:line="270" w:lineRule="atLeast"/>
            </w:pPr>
            <w:r>
              <w:t>State and Territory Governments have made good progress in planning reform</w:t>
            </w:r>
            <w:r w:rsidR="0003547D">
              <w:t xml:space="preserve"> over the past five years, </w:t>
            </w:r>
            <w:r>
              <w:t>and are continuing to pursue changes.</w:t>
            </w:r>
            <w:r w:rsidR="000105F7">
              <w:t xml:space="preserve"> </w:t>
            </w:r>
            <w:r w:rsidR="004B3920">
              <w:t>Despite this progress, there remain</w:t>
            </w:r>
            <w:r w:rsidR="0003547D">
              <w:t xml:space="preserve"> some key areas that have not yet been addressed or remain </w:t>
            </w:r>
            <w:r w:rsidR="002B66C1">
              <w:t xml:space="preserve">high </w:t>
            </w:r>
            <w:r w:rsidR="0003547D">
              <w:t>priorities for continued effort</w:t>
            </w:r>
            <w:r w:rsidR="004B3920">
              <w:t>:</w:t>
            </w:r>
          </w:p>
          <w:p w14:paraId="6E21892E" w14:textId="6C6A687B" w:rsidR="0003547D" w:rsidRDefault="004B3920" w:rsidP="00F203B1">
            <w:pPr>
              <w:pStyle w:val="BoxListBullet2"/>
            </w:pPr>
            <w:r>
              <w:t xml:space="preserve">reducing the </w:t>
            </w:r>
            <w:r w:rsidDel="00547274">
              <w:t xml:space="preserve">number and </w:t>
            </w:r>
            <w:r>
              <w:t>complexity of restrictions on land use created by overly prescriptive zoning syst</w:t>
            </w:r>
            <w:r w:rsidR="00E74D5F">
              <w:t>em</w:t>
            </w:r>
            <w:r>
              <w:t>s</w:t>
            </w:r>
            <w:r w:rsidR="00E74D5F">
              <w:t xml:space="preserve">, </w:t>
            </w:r>
            <w:r w:rsidR="00722545">
              <w:t>which</w:t>
            </w:r>
            <w:r w:rsidR="00722545" w:rsidDel="004D1C9B">
              <w:t xml:space="preserve"> </w:t>
            </w:r>
            <w:r w:rsidR="0003547D">
              <w:t>discourage investment</w:t>
            </w:r>
            <w:r w:rsidR="004D1C9B">
              <w:t xml:space="preserve"> and</w:t>
            </w:r>
            <w:r w:rsidR="0003547D">
              <w:t xml:space="preserve"> create</w:t>
            </w:r>
            <w:r w:rsidR="004D1C9B">
              <w:t xml:space="preserve"> unnecessary</w:t>
            </w:r>
            <w:r w:rsidR="00AB6E14">
              <w:t xml:space="preserve"> </w:t>
            </w:r>
            <w:r w:rsidR="0003547D">
              <w:t>barriers to business entry and diversification</w:t>
            </w:r>
          </w:p>
          <w:p w14:paraId="6E21892F" w14:textId="6E054C40" w:rsidR="004B3920" w:rsidRDefault="004D1C9B" w:rsidP="00F203B1">
            <w:pPr>
              <w:pStyle w:val="BoxListBullet2"/>
            </w:pPr>
            <w:r>
              <w:t>ensuri</w:t>
            </w:r>
            <w:r w:rsidR="00092583">
              <w:t>ng the coherence of State and L</w:t>
            </w:r>
            <w:r>
              <w:t>ocal</w:t>
            </w:r>
            <w:r>
              <w:noBreakHyphen/>
              <w:t xml:space="preserve">level planning strategies and </w:t>
            </w:r>
            <w:r w:rsidR="00E74D5F">
              <w:t xml:space="preserve">the </w:t>
            </w:r>
            <w:r w:rsidR="003A72A8">
              <w:t>efficient provision of infrastructure to greenfield or new release areas</w:t>
            </w:r>
            <w:r>
              <w:t xml:space="preserve"> </w:t>
            </w:r>
          </w:p>
          <w:p w14:paraId="6E218930" w14:textId="1593BAD0" w:rsidR="00317959" w:rsidRDefault="004D1C9B" w:rsidP="00F203B1">
            <w:pPr>
              <w:pStyle w:val="BoxListBullet2"/>
            </w:pPr>
            <w:r>
              <w:t xml:space="preserve">adoption of </w:t>
            </w:r>
            <w:r w:rsidR="0007351F">
              <w:t>the known best practice model for development assessments</w:t>
            </w:r>
            <w:r w:rsidR="00EE770D">
              <w:t xml:space="preserve"> to</w:t>
            </w:r>
            <w:r w:rsidR="0007351F">
              <w:t xml:space="preserve"> </w:t>
            </w:r>
            <w:r w:rsidR="00317959">
              <w:t>reduce</w:t>
            </w:r>
            <w:r>
              <w:t xml:space="preserve"> unnecessary cost</w:t>
            </w:r>
            <w:r w:rsidR="00890FC6">
              <w:t>s</w:t>
            </w:r>
            <w:r>
              <w:t xml:space="preserve"> and</w:t>
            </w:r>
            <w:r w:rsidR="00317959">
              <w:t xml:space="preserve"> complexi</w:t>
            </w:r>
            <w:r>
              <w:t>ty.</w:t>
            </w:r>
            <w:r w:rsidR="00E22CE6">
              <w:t xml:space="preserve"> </w:t>
            </w:r>
          </w:p>
          <w:p w14:paraId="6E218931" w14:textId="77777777" w:rsidR="00B228D2" w:rsidRDefault="004D1C9B" w:rsidP="007C2B92">
            <w:pPr>
              <w:pStyle w:val="KeyPointsListBullet"/>
              <w:numPr>
                <w:ilvl w:val="0"/>
                <w:numId w:val="1"/>
              </w:numPr>
              <w:spacing w:line="270" w:lineRule="atLeast"/>
            </w:pPr>
            <w:r>
              <w:t xml:space="preserve">Stamp duties on property transfers raise the cost of housing, </w:t>
            </w:r>
            <w:r w:rsidR="00E42B0E">
              <w:t>discourage people from moving to more desired locations</w:t>
            </w:r>
            <w:r>
              <w:t>,</w:t>
            </w:r>
            <w:r w:rsidR="00E42B0E">
              <w:t xml:space="preserve"> and </w:t>
            </w:r>
            <w:r>
              <w:t xml:space="preserve">prevent the </w:t>
            </w:r>
            <w:r w:rsidR="00E42B0E">
              <w:t>freeing up properties for more valued uses</w:t>
            </w:r>
            <w:r>
              <w:t xml:space="preserve">. They are </w:t>
            </w:r>
            <w:r w:rsidR="00890FC6">
              <w:t xml:space="preserve">also </w:t>
            </w:r>
            <w:r>
              <w:t xml:space="preserve">one of the most inefficient taxes in Australia. </w:t>
            </w:r>
            <w:r w:rsidR="004D1082">
              <w:t xml:space="preserve">There is a strong case to transition from stamp duties to taxes based on unimproved land value. </w:t>
            </w:r>
          </w:p>
        </w:tc>
      </w:tr>
      <w:tr w:rsidR="00B228D2" w14:paraId="6E218934" w14:textId="77777777" w:rsidTr="0061187E">
        <w:tc>
          <w:tcPr>
            <w:tcW w:w="8771" w:type="dxa"/>
            <w:tcBorders>
              <w:top w:val="nil"/>
              <w:left w:val="nil"/>
              <w:bottom w:val="single" w:sz="6" w:space="0" w:color="78A22F"/>
              <w:right w:val="nil"/>
            </w:tcBorders>
            <w:shd w:val="clear" w:color="auto" w:fill="F2F2F2"/>
          </w:tcPr>
          <w:p w14:paraId="6E218933" w14:textId="77777777" w:rsidR="00B228D2" w:rsidRDefault="00B228D2" w:rsidP="00B228D2">
            <w:pPr>
              <w:pStyle w:val="Box"/>
              <w:spacing w:before="0" w:line="120" w:lineRule="exact"/>
            </w:pPr>
          </w:p>
        </w:tc>
      </w:tr>
      <w:tr w:rsidR="00B228D2" w:rsidRPr="000863A5" w14:paraId="6E218936" w14:textId="77777777" w:rsidTr="0061187E">
        <w:tc>
          <w:tcPr>
            <w:tcW w:w="8771" w:type="dxa"/>
            <w:tcBorders>
              <w:top w:val="single" w:sz="6" w:space="0" w:color="78A22F"/>
              <w:left w:val="nil"/>
              <w:bottom w:val="nil"/>
              <w:right w:val="nil"/>
            </w:tcBorders>
          </w:tcPr>
          <w:p w14:paraId="6E218935" w14:textId="77777777" w:rsidR="00B228D2" w:rsidRPr="00626D32" w:rsidRDefault="00B228D2" w:rsidP="00B228D2">
            <w:pPr>
              <w:pStyle w:val="BoxSpaceBelow"/>
            </w:pPr>
          </w:p>
        </w:tc>
      </w:tr>
    </w:tbl>
    <w:p w14:paraId="6E218937" w14:textId="77777777" w:rsidR="00DA2F60" w:rsidRDefault="00DA2F60" w:rsidP="00B228D2">
      <w:pPr>
        <w:pStyle w:val="BodyText"/>
        <w:sectPr w:rsidR="00DA2F60" w:rsidSect="00394685">
          <w:headerReference w:type="even" r:id="rId18"/>
          <w:headerReference w:type="default" r:id="rId19"/>
          <w:footerReference w:type="even" r:id="rId20"/>
          <w:footerReference w:type="default" r:id="rId21"/>
          <w:pgSz w:w="11907" w:h="16840" w:code="9"/>
          <w:pgMar w:top="1984" w:right="1304" w:bottom="1247" w:left="1814" w:header="1701" w:footer="397" w:gutter="0"/>
          <w:pgNumType w:chapSep="period"/>
          <w:cols w:space="720"/>
          <w:docGrid w:linePitch="326"/>
        </w:sectPr>
      </w:pPr>
    </w:p>
    <w:p w14:paraId="6E218938" w14:textId="77777777" w:rsidR="000E4FF4" w:rsidRPr="007F28BA" w:rsidRDefault="000E7D79" w:rsidP="000A5DAB">
      <w:pPr>
        <w:pStyle w:val="Heading2"/>
        <w:spacing w:before="240"/>
        <w:rPr>
          <w:rStyle w:val="Heading2Char"/>
          <w:b/>
        </w:rPr>
      </w:pPr>
      <w:bookmarkStart w:id="3" w:name="_Toc488940553"/>
      <w:bookmarkStart w:id="4" w:name="_Toc489025321"/>
      <w:bookmarkStart w:id="5" w:name="_Toc489343253"/>
      <w:r>
        <w:lastRenderedPageBreak/>
        <w:t>1</w:t>
      </w:r>
      <w:r>
        <w:tab/>
      </w:r>
      <w:r w:rsidR="00BD7C01" w:rsidRPr="007F28BA">
        <w:rPr>
          <w:rStyle w:val="Heading2Char"/>
          <w:b/>
        </w:rPr>
        <w:t xml:space="preserve">How land use policies affect </w:t>
      </w:r>
      <w:r w:rsidR="00B055AB" w:rsidRPr="007F28BA">
        <w:rPr>
          <w:rStyle w:val="Heading2Char"/>
          <w:b/>
        </w:rPr>
        <w:t xml:space="preserve">city </w:t>
      </w:r>
      <w:r w:rsidR="00BD7C01" w:rsidRPr="007F28BA">
        <w:rPr>
          <w:rStyle w:val="Heading2Char"/>
          <w:b/>
        </w:rPr>
        <w:t>productivity</w:t>
      </w:r>
      <w:bookmarkEnd w:id="3"/>
      <w:bookmarkEnd w:id="4"/>
      <w:bookmarkEnd w:id="5"/>
      <w:r w:rsidR="00BD7C01" w:rsidRPr="007F28BA">
        <w:rPr>
          <w:rStyle w:val="Heading2Char"/>
          <w:b/>
        </w:rPr>
        <w:t xml:space="preserve"> </w:t>
      </w:r>
    </w:p>
    <w:p w14:paraId="6E218939" w14:textId="19F7EDD6" w:rsidR="00412842" w:rsidRDefault="00D20862" w:rsidP="00F0615F">
      <w:pPr>
        <w:pStyle w:val="BodyText"/>
      </w:pPr>
      <w:r>
        <w:t xml:space="preserve">Planning and </w:t>
      </w:r>
      <w:r w:rsidR="009208B7" w:rsidRPr="003531FF">
        <w:t>land</w:t>
      </w:r>
      <w:r w:rsidR="00181B62">
        <w:noBreakHyphen/>
      </w:r>
      <w:r w:rsidR="009208B7" w:rsidRPr="003531FF">
        <w:t>use</w:t>
      </w:r>
      <w:r>
        <w:t xml:space="preserve"> policies</w:t>
      </w:r>
      <w:r w:rsidR="009208B7" w:rsidRPr="003531FF">
        <w:t xml:space="preserve"> affect how cities</w:t>
      </w:r>
      <w:r w:rsidR="00162DB8">
        <w:t xml:space="preserve"> physically</w:t>
      </w:r>
      <w:r w:rsidR="009208B7" w:rsidRPr="003531FF">
        <w:t xml:space="preserve"> develop</w:t>
      </w:r>
      <w:r w:rsidR="009208B7">
        <w:t xml:space="preserve"> and</w:t>
      </w:r>
      <w:r w:rsidR="00183782">
        <w:t xml:space="preserve"> </w:t>
      </w:r>
      <w:r w:rsidR="00162DB8">
        <w:t>function, and therefore many aspects of the perceived ‘liveability’ of cities and their attractiveness as places to conduct business</w:t>
      </w:r>
      <w:r w:rsidR="00070A90">
        <w:t xml:space="preserve">. </w:t>
      </w:r>
    </w:p>
    <w:p w14:paraId="6E21893A" w14:textId="77777777" w:rsidR="007E760B" w:rsidRDefault="00070A90" w:rsidP="00F0615F">
      <w:pPr>
        <w:pStyle w:val="BodyText"/>
      </w:pPr>
      <w:r>
        <w:t>These include</w:t>
      </w:r>
      <w:r w:rsidR="00F0615F">
        <w:t xml:space="preserve"> </w:t>
      </w:r>
      <w:r w:rsidR="00162DB8">
        <w:t xml:space="preserve">the availability of </w:t>
      </w:r>
      <w:r w:rsidR="009208B7" w:rsidRPr="003531FF">
        <w:t xml:space="preserve">suitable </w:t>
      </w:r>
      <w:r w:rsidR="00162DB8">
        <w:t>dwelling types</w:t>
      </w:r>
      <w:r w:rsidR="00E138C0">
        <w:t>,</w:t>
      </w:r>
      <w:r w:rsidR="00F0615F">
        <w:t xml:space="preserve"> </w:t>
      </w:r>
      <w:r w:rsidR="009208B7" w:rsidRPr="003531FF">
        <w:t>the types, locations and m</w:t>
      </w:r>
      <w:r w:rsidR="00F216D3">
        <w:t>odes of operation of businesses</w:t>
      </w:r>
      <w:r w:rsidR="00E138C0">
        <w:t xml:space="preserve"> and</w:t>
      </w:r>
      <w:r w:rsidR="00C13F7E">
        <w:t xml:space="preserve">, </w:t>
      </w:r>
      <w:r w:rsidR="00F216D3">
        <w:t xml:space="preserve">through </w:t>
      </w:r>
      <w:r w:rsidR="00050B28">
        <w:t xml:space="preserve">their </w:t>
      </w:r>
      <w:r w:rsidR="00F216D3">
        <w:t>determination</w:t>
      </w:r>
      <w:r w:rsidR="00050B28">
        <w:t xml:space="preserve">s of </w:t>
      </w:r>
      <w:r w:rsidR="00F216D3">
        <w:t xml:space="preserve">the location of activity and </w:t>
      </w:r>
      <w:r w:rsidR="00050B28">
        <w:t xml:space="preserve">facilitative </w:t>
      </w:r>
      <w:r w:rsidR="00F216D3">
        <w:t xml:space="preserve">infrastructure, </w:t>
      </w:r>
      <w:r w:rsidR="009208B7" w:rsidRPr="003531FF">
        <w:t>ease of access to</w:t>
      </w:r>
      <w:r w:rsidR="00F216D3">
        <w:t xml:space="preserve"> jobs, services and attractions</w:t>
      </w:r>
      <w:r w:rsidR="00E138C0">
        <w:t xml:space="preserve">. </w:t>
      </w:r>
      <w:r w:rsidR="002F28B5">
        <w:t>Planning</w:t>
      </w:r>
      <w:r w:rsidR="00E138C0">
        <w:t xml:space="preserve"> policies also help determine </w:t>
      </w:r>
      <w:r w:rsidR="00F216D3">
        <w:t>the quality of</w:t>
      </w:r>
      <w:r w:rsidR="009208B7" w:rsidRPr="003531FF">
        <w:t xml:space="preserve"> environmental amenit</w:t>
      </w:r>
      <w:r w:rsidR="00DF4CED">
        <w:t>ies</w:t>
      </w:r>
      <w:r w:rsidR="009208B7" w:rsidRPr="003531FF">
        <w:t xml:space="preserve"> and other aspects of urban design </w:t>
      </w:r>
      <w:r w:rsidR="009208B7">
        <w:t>that a</w:t>
      </w:r>
      <w:r w:rsidR="009208B7" w:rsidRPr="003531FF">
        <w:t xml:space="preserve">ffect </w:t>
      </w:r>
      <w:r w:rsidR="00162DB8">
        <w:t xml:space="preserve">the </w:t>
      </w:r>
      <w:r w:rsidR="009208B7" w:rsidRPr="003531FF">
        <w:t>use and enjoyment of space</w:t>
      </w:r>
      <w:r w:rsidR="0067436B">
        <w:t xml:space="preserve">, such as </w:t>
      </w:r>
      <w:r w:rsidR="00DF4CED">
        <w:t>the designation of</w:t>
      </w:r>
      <w:r w:rsidR="009208B7" w:rsidRPr="003531FF">
        <w:t xml:space="preserve"> </w:t>
      </w:r>
      <w:r w:rsidR="009208B7">
        <w:t>public areas</w:t>
      </w:r>
      <w:r w:rsidR="009208B7" w:rsidRPr="003531FF">
        <w:t xml:space="preserve"> and</w:t>
      </w:r>
      <w:r w:rsidR="00E138C0">
        <w:t xml:space="preserve"> </w:t>
      </w:r>
      <w:r w:rsidR="00DF4CED">
        <w:t>dimensions of</w:t>
      </w:r>
      <w:r w:rsidR="009208B7" w:rsidRPr="003531FF">
        <w:t xml:space="preserve"> building</w:t>
      </w:r>
      <w:r w:rsidR="00EB1656">
        <w:t>s</w:t>
      </w:r>
      <w:r w:rsidR="009208B7" w:rsidRPr="003531FF">
        <w:t xml:space="preserve">. </w:t>
      </w:r>
    </w:p>
    <w:p w14:paraId="6E21893B" w14:textId="77777777" w:rsidR="00F471AE" w:rsidRDefault="007E760B" w:rsidP="009208B7">
      <w:pPr>
        <w:pStyle w:val="BodyText"/>
      </w:pPr>
      <w:r>
        <w:t xml:space="preserve">Planning policies particularly </w:t>
      </w:r>
      <w:r w:rsidR="00B76A6A">
        <w:t xml:space="preserve">affect </w:t>
      </w:r>
      <w:r w:rsidR="000C2E84">
        <w:t xml:space="preserve">the </w:t>
      </w:r>
      <w:r w:rsidR="00781200">
        <w:t>productivity</w:t>
      </w:r>
      <w:r w:rsidR="000C2E84">
        <w:t xml:space="preserve"> and growth of cities</w:t>
      </w:r>
      <w:r w:rsidR="00B76A6A">
        <w:t xml:space="preserve"> through their</w:t>
      </w:r>
      <w:r w:rsidR="00C70D16">
        <w:t xml:space="preserve"> </w:t>
      </w:r>
      <w:r w:rsidR="000C2E84">
        <w:t xml:space="preserve">determination of possibilities for the use of land, </w:t>
      </w:r>
      <w:r w:rsidR="00275973">
        <w:t xml:space="preserve">coordination </w:t>
      </w:r>
      <w:r w:rsidR="00C3246F">
        <w:t xml:space="preserve">of </w:t>
      </w:r>
      <w:r w:rsidR="002765F9">
        <w:t>different activities</w:t>
      </w:r>
      <w:r w:rsidR="00B801C6">
        <w:t>,</w:t>
      </w:r>
      <w:r w:rsidR="00CA5281">
        <w:t xml:space="preserve"> and </w:t>
      </w:r>
      <w:r w:rsidR="00C3246F">
        <w:t xml:space="preserve">the management of </w:t>
      </w:r>
      <w:r w:rsidR="00DF6C2C">
        <w:t xml:space="preserve">positive and negative </w:t>
      </w:r>
      <w:r w:rsidR="00CA5281">
        <w:t>spillover effects</w:t>
      </w:r>
      <w:r w:rsidR="006350D0">
        <w:t xml:space="preserve"> from concentrations of </w:t>
      </w:r>
      <w:r w:rsidR="000C2E84">
        <w:t xml:space="preserve">people and </w:t>
      </w:r>
      <w:r w:rsidR="006350D0">
        <w:t>activity</w:t>
      </w:r>
      <w:r w:rsidR="002F4399">
        <w:t xml:space="preserve">. </w:t>
      </w:r>
      <w:r w:rsidR="00C70D16">
        <w:t>For example</w:t>
      </w:r>
      <w:r>
        <w:t xml:space="preserve">, </w:t>
      </w:r>
      <w:r w:rsidR="00C70D16">
        <w:t>planning rules determine</w:t>
      </w:r>
      <w:r w:rsidR="00C70D16" w:rsidRPr="003531FF">
        <w:t xml:space="preserve"> </w:t>
      </w:r>
      <w:r w:rsidR="005E5376">
        <w:t xml:space="preserve">the allocable locations, types and densities of </w:t>
      </w:r>
      <w:r w:rsidR="00C70D16">
        <w:t>housing</w:t>
      </w:r>
      <w:r w:rsidR="005E5376">
        <w:t xml:space="preserve"> and businesses,</w:t>
      </w:r>
      <w:r w:rsidR="00C70D16">
        <w:t xml:space="preserve"> </w:t>
      </w:r>
      <w:r w:rsidR="005E5376">
        <w:t xml:space="preserve">and </w:t>
      </w:r>
      <w:r w:rsidR="00345789">
        <w:t>hence</w:t>
      </w:r>
      <w:r w:rsidR="00C70D16">
        <w:t xml:space="preserve"> the</w:t>
      </w:r>
      <w:r w:rsidR="00272BB1">
        <w:t xml:space="preserve"> potential benefits</w:t>
      </w:r>
      <w:r w:rsidR="00C70D16">
        <w:t xml:space="preserve"> </w:t>
      </w:r>
      <w:r w:rsidR="00345789">
        <w:t xml:space="preserve">to be </w:t>
      </w:r>
      <w:r w:rsidR="00C70D16">
        <w:t xml:space="preserve">gained from </w:t>
      </w:r>
      <w:r w:rsidR="00685773">
        <w:t xml:space="preserve">using </w:t>
      </w:r>
      <w:r w:rsidR="00C70D16">
        <w:t>land</w:t>
      </w:r>
      <w:r w:rsidR="009673C9">
        <w:t xml:space="preserve">. </w:t>
      </w:r>
      <w:r w:rsidR="002F28B5">
        <w:t>The l</w:t>
      </w:r>
      <w:r w:rsidR="00C70D16">
        <w:t>ocation</w:t>
      </w:r>
      <w:r w:rsidR="002F28B5">
        <w:t xml:space="preserve"> of homes and businesses and their </w:t>
      </w:r>
      <w:r w:rsidR="00C70D16">
        <w:t xml:space="preserve">impact on </w:t>
      </w:r>
      <w:r w:rsidR="002F28B5">
        <w:t xml:space="preserve">the </w:t>
      </w:r>
      <w:r w:rsidR="00C70D16">
        <w:t>costs</w:t>
      </w:r>
      <w:r w:rsidR="002F28B5">
        <w:t xml:space="preserve"> of travel</w:t>
      </w:r>
      <w:r w:rsidR="00C70D16">
        <w:t xml:space="preserve">, in turn, </w:t>
      </w:r>
      <w:r w:rsidR="002F28B5">
        <w:t xml:space="preserve">are </w:t>
      </w:r>
      <w:r w:rsidR="00C70D16">
        <w:t>key determinant</w:t>
      </w:r>
      <w:r w:rsidR="002F28B5">
        <w:t>s</w:t>
      </w:r>
      <w:r w:rsidR="00C70D16">
        <w:t xml:space="preserve"> of </w:t>
      </w:r>
      <w:r w:rsidR="004C095E">
        <w:t xml:space="preserve">other land uses and </w:t>
      </w:r>
      <w:r w:rsidR="000437D4">
        <w:t xml:space="preserve">development. </w:t>
      </w:r>
      <w:r w:rsidR="00C70D16">
        <w:t xml:space="preserve">And the ease of commuting and the availability of housing, in addition to earnings, are key </w:t>
      </w:r>
      <w:r w:rsidR="002F28B5">
        <w:t>influences on</w:t>
      </w:r>
      <w:r w:rsidR="00C70D16">
        <w:t xml:space="preserve"> city population sizes </w:t>
      </w:r>
      <w:r w:rsidR="009208B7" w:rsidRPr="0021659C">
        <w:rPr>
          <w:szCs w:val="24"/>
        </w:rPr>
        <w:t>(Duranton and Puga 2013)</w:t>
      </w:r>
      <w:r>
        <w:t xml:space="preserve">. </w:t>
      </w:r>
    </w:p>
    <w:p w14:paraId="6E21893C" w14:textId="3F346CA6" w:rsidR="005A36CF" w:rsidRDefault="00C70D16" w:rsidP="009208B7">
      <w:pPr>
        <w:pStyle w:val="BodyText"/>
      </w:pPr>
      <w:r w:rsidDel="009673C9">
        <w:t>P</w:t>
      </w:r>
      <w:r>
        <w:t xml:space="preserve">lanning systems </w:t>
      </w:r>
      <w:r w:rsidR="007E760B">
        <w:t xml:space="preserve">also </w:t>
      </w:r>
      <w:r>
        <w:t>set out</w:t>
      </w:r>
      <w:r w:rsidRPr="003531FF">
        <w:t xml:space="preserve"> how </w:t>
      </w:r>
      <w:r w:rsidR="0067436B">
        <w:t>potentially</w:t>
      </w:r>
      <w:r w:rsidRPr="003531FF">
        <w:t xml:space="preserve"> </w:t>
      </w:r>
      <w:r w:rsidR="004C095E">
        <w:t>competing</w:t>
      </w:r>
      <w:r w:rsidRPr="003531FF">
        <w:t xml:space="preserve"> objectives </w:t>
      </w:r>
      <w:r>
        <w:t>for land</w:t>
      </w:r>
      <w:r w:rsidR="00B74709">
        <w:t>–</w:t>
      </w:r>
      <w:r>
        <w:t xml:space="preserve">use </w:t>
      </w:r>
      <w:r w:rsidR="00345789">
        <w:t>should be</w:t>
      </w:r>
      <w:r w:rsidR="00345789" w:rsidRPr="003531FF">
        <w:t xml:space="preserve"> </w:t>
      </w:r>
      <w:r>
        <w:t>met</w:t>
      </w:r>
      <w:r w:rsidR="00E57624">
        <w:t xml:space="preserve"> (f</w:t>
      </w:r>
      <w:r w:rsidR="00B74709">
        <w:t xml:space="preserve">or </w:t>
      </w:r>
      <w:r>
        <w:t>example,</w:t>
      </w:r>
      <w:r w:rsidRPr="003531FF">
        <w:t xml:space="preserve"> economic </w:t>
      </w:r>
      <w:r>
        <w:t>development and</w:t>
      </w:r>
      <w:r w:rsidR="00141597">
        <w:t xml:space="preserve"> </w:t>
      </w:r>
      <w:r w:rsidR="00345789">
        <w:t xml:space="preserve">the maintenance of </w:t>
      </w:r>
      <w:r>
        <w:t>social and environmental amenit</w:t>
      </w:r>
      <w:r w:rsidR="00345789">
        <w:t>y</w:t>
      </w:r>
      <w:r>
        <w:t xml:space="preserve"> in an area</w:t>
      </w:r>
      <w:r w:rsidR="000B63F0">
        <w:t>)</w:t>
      </w:r>
      <w:r w:rsidR="009673C9">
        <w:t>,</w:t>
      </w:r>
      <w:r w:rsidR="000B63F0">
        <w:t xml:space="preserve"> and </w:t>
      </w:r>
      <w:r w:rsidR="002F0F5E">
        <w:t xml:space="preserve">seek to </w:t>
      </w:r>
      <w:r w:rsidR="005C0F0D">
        <w:t>ensure the optimum use of land by helping to manage</w:t>
      </w:r>
      <w:r w:rsidR="002F0F5E" w:rsidRPr="008B16A7">
        <w:t xml:space="preserve"> </w:t>
      </w:r>
      <w:r w:rsidR="002F0F5E">
        <w:t>trade</w:t>
      </w:r>
      <w:r w:rsidR="00181B62">
        <w:noBreakHyphen/>
      </w:r>
      <w:r w:rsidR="002F0F5E">
        <w:t>offs between urban costs</w:t>
      </w:r>
      <w:r w:rsidR="00D36FC9">
        <w:t>, such as</w:t>
      </w:r>
      <w:r w:rsidR="005A36CF">
        <w:t xml:space="preserve"> crowding and </w:t>
      </w:r>
      <w:r w:rsidR="00D36FC9">
        <w:t xml:space="preserve">congestion, </w:t>
      </w:r>
      <w:r w:rsidR="002F0F5E">
        <w:t>and agglomeration efficiencies</w:t>
      </w:r>
      <w:r w:rsidR="00D36FC9">
        <w:t xml:space="preserve"> (</w:t>
      </w:r>
      <w:r w:rsidR="00173D70">
        <w:t xml:space="preserve">the </w:t>
      </w:r>
      <w:r w:rsidR="00A04A4B">
        <w:t>flow</w:t>
      </w:r>
      <w:r w:rsidR="000934EE">
        <w:noBreakHyphen/>
        <w:t>on benefits from firms and people being located close together</w:t>
      </w:r>
      <w:r w:rsidR="00D36FC9">
        <w:t>)</w:t>
      </w:r>
      <w:r w:rsidR="004A7A27" w:rsidRPr="00576857" w:rsidDel="004A7A27">
        <w:t xml:space="preserve"> </w:t>
      </w:r>
      <w:r w:rsidR="0045301B" w:rsidRPr="0045301B">
        <w:rPr>
          <w:szCs w:val="24"/>
        </w:rPr>
        <w:t>(Glaeser 2010)</w:t>
      </w:r>
      <w:r w:rsidR="00576857" w:rsidRPr="00576857">
        <w:t>.</w:t>
      </w:r>
      <w:r w:rsidR="002F0F5E" w:rsidRPr="000934EE">
        <w:t xml:space="preserve"> </w:t>
      </w:r>
      <w:r w:rsidR="002765F9">
        <w:t>More flexible z</w:t>
      </w:r>
      <w:r w:rsidR="00DF6C2C">
        <w:t>oning designations</w:t>
      </w:r>
      <w:r w:rsidR="00576857" w:rsidRPr="00576857" w:rsidDel="002765F9">
        <w:t xml:space="preserve"> </w:t>
      </w:r>
      <w:r w:rsidR="002765F9">
        <w:t xml:space="preserve">supporting </w:t>
      </w:r>
      <w:r w:rsidR="00DF6C2C">
        <w:t>complementary</w:t>
      </w:r>
      <w:r w:rsidR="00576857" w:rsidRPr="00576857">
        <w:t xml:space="preserve"> land uses</w:t>
      </w:r>
      <w:r w:rsidR="009208B7" w:rsidRPr="000934EE">
        <w:t xml:space="preserve">, for example, </w:t>
      </w:r>
      <w:r w:rsidR="00576857" w:rsidRPr="00576857">
        <w:t>can</w:t>
      </w:r>
      <w:r w:rsidR="005C0F0D">
        <w:t xml:space="preserve"> </w:t>
      </w:r>
      <w:r w:rsidR="00576857" w:rsidRPr="00576857">
        <w:t>enable</w:t>
      </w:r>
      <w:r w:rsidR="009208B7" w:rsidRPr="000934EE">
        <w:t xml:space="preserve"> the </w:t>
      </w:r>
      <w:r w:rsidR="00576857" w:rsidRPr="00576857">
        <w:t xml:space="preserve">better </w:t>
      </w:r>
      <w:r w:rsidR="009208B7" w:rsidRPr="000934EE">
        <w:t>sharing of facilities, suppliers and customers, matching of labour to firms, and opportunities for the diffusion of knowledge</w:t>
      </w:r>
      <w:r w:rsidR="00576857" w:rsidRPr="00576857">
        <w:t xml:space="preserve">. How well </w:t>
      </w:r>
      <w:r w:rsidR="00D36FC9">
        <w:t xml:space="preserve">urban </w:t>
      </w:r>
      <w:r w:rsidR="00576857" w:rsidRPr="00576857">
        <w:t>trade</w:t>
      </w:r>
      <w:r w:rsidR="00576857" w:rsidRPr="00576857">
        <w:noBreakHyphen/>
        <w:t xml:space="preserve">offs are managed are systematically related to productivity and earnings </w:t>
      </w:r>
      <w:r w:rsidR="00576857" w:rsidRPr="00576857">
        <w:rPr>
          <w:szCs w:val="24"/>
        </w:rPr>
        <w:t>(Duranton and Puga 2013)</w:t>
      </w:r>
      <w:r w:rsidR="00576857" w:rsidRPr="00576857">
        <w:t xml:space="preserve">. </w:t>
      </w:r>
    </w:p>
    <w:p w14:paraId="6E21893D" w14:textId="77777777" w:rsidR="00452787" w:rsidRDefault="007E760B" w:rsidP="009208B7">
      <w:pPr>
        <w:pStyle w:val="BodyText"/>
      </w:pPr>
      <w:r>
        <w:t>T</w:t>
      </w:r>
      <w:r w:rsidR="009673C9">
        <w:t>he locations of homes and businesses, and proximity to infrastructure</w:t>
      </w:r>
      <w:r w:rsidR="00F021D2">
        <w:t>,</w:t>
      </w:r>
      <w:r w:rsidR="009673C9">
        <w:t xml:space="preserve"> such as transport and communications</w:t>
      </w:r>
      <w:r w:rsidR="00F021D2">
        <w:t>,</w:t>
      </w:r>
      <w:r w:rsidR="009673C9">
        <w:t xml:space="preserve"> </w:t>
      </w:r>
      <w:r>
        <w:t xml:space="preserve">further </w:t>
      </w:r>
      <w:r w:rsidR="009673C9">
        <w:t xml:space="preserve">affect ease of access to employment opportunities and services, which can affect socioeconomic outcomes </w:t>
      </w:r>
      <w:r w:rsidR="009673C9" w:rsidRPr="00A8077B">
        <w:rPr>
          <w:szCs w:val="24"/>
        </w:rPr>
        <w:t>(Kelly and Donegan </w:t>
      </w:r>
      <w:r w:rsidR="009673C9" w:rsidRPr="00926F0E">
        <w:rPr>
          <w:szCs w:val="24"/>
        </w:rPr>
        <w:t>2015)</w:t>
      </w:r>
      <w:r w:rsidR="005A36CF">
        <w:t>,</w:t>
      </w:r>
      <w:r w:rsidR="009673C9">
        <w:t xml:space="preserve"> and the costs and efficiency of businesses. </w:t>
      </w:r>
    </w:p>
    <w:p w14:paraId="6E21893E" w14:textId="6369983A" w:rsidR="00C930EB" w:rsidRDefault="007E760B" w:rsidP="009208B7">
      <w:pPr>
        <w:pStyle w:val="BodyText"/>
      </w:pPr>
      <w:r>
        <w:t>In addition, t</w:t>
      </w:r>
      <w:r w:rsidR="009208B7">
        <w:t>he availability of amenities and quality of the built and natural environments play an important role in creating a sense of belonging and local identity for residents,</w:t>
      </w:r>
      <w:r w:rsidR="00CB54E0">
        <w:t xml:space="preserve"> </w:t>
      </w:r>
      <w:r w:rsidR="004F3BCD">
        <w:t xml:space="preserve">supporting </w:t>
      </w:r>
      <w:r w:rsidR="00914B10">
        <w:t>healthy lifestyles</w:t>
      </w:r>
      <w:r w:rsidR="00CB54E0">
        <w:t>,</w:t>
      </w:r>
      <w:r w:rsidR="009208B7">
        <w:t xml:space="preserve"> as well as attracting skilled people to cities.</w:t>
      </w:r>
      <w:r w:rsidR="009208B7" w:rsidRPr="00640BCB">
        <w:t xml:space="preserve"> </w:t>
      </w:r>
      <w:r w:rsidR="00D20862">
        <w:t>I</w:t>
      </w:r>
      <w:r w:rsidR="009208B7">
        <w:t xml:space="preserve">mprovements in Melbourne’s city design </w:t>
      </w:r>
      <w:r w:rsidR="000B63F0">
        <w:t>during</w:t>
      </w:r>
      <w:r w:rsidR="00876A97" w:rsidRPr="00A00C5D">
        <w:t xml:space="preserve"> </w:t>
      </w:r>
      <w:r w:rsidR="00876A97" w:rsidRPr="00876A97">
        <w:t>the 1990s</w:t>
      </w:r>
      <w:r w:rsidR="000B63F0">
        <w:t xml:space="preserve"> </w:t>
      </w:r>
      <w:r w:rsidR="009208B7">
        <w:t>to make more people</w:t>
      </w:r>
      <w:r w:rsidR="009208B7">
        <w:noBreakHyphen/>
        <w:t xml:space="preserve">friendly streets, public places and </w:t>
      </w:r>
      <w:r w:rsidR="00D20862">
        <w:t>the</w:t>
      </w:r>
      <w:r w:rsidR="000E201D">
        <w:t xml:space="preserve"> </w:t>
      </w:r>
      <w:r w:rsidR="009208B7">
        <w:t>city</w:t>
      </w:r>
      <w:r w:rsidR="00D20862">
        <w:t xml:space="preserve"> more ‘</w:t>
      </w:r>
      <w:r w:rsidR="009208B7">
        <w:t>green</w:t>
      </w:r>
      <w:r w:rsidR="00D20862">
        <w:t>’</w:t>
      </w:r>
      <w:r w:rsidR="009208B7">
        <w:t xml:space="preserve"> ha</w:t>
      </w:r>
      <w:r w:rsidR="00D20862">
        <w:t>ve</w:t>
      </w:r>
      <w:r w:rsidR="009208B7">
        <w:t xml:space="preserve"> led to a substantial increase in pedestrian traffic throughout the day, and subsequent growth in businesses, and its </w:t>
      </w:r>
      <w:r w:rsidR="00A05728">
        <w:t xml:space="preserve">cafe </w:t>
      </w:r>
      <w:r w:rsidR="009208B7">
        <w:t xml:space="preserve">culture, in the city. </w:t>
      </w:r>
      <w:r w:rsidR="000B63F0">
        <w:lastRenderedPageBreak/>
        <w:t>With a</w:t>
      </w:r>
      <w:r w:rsidR="009208B7">
        <w:t xml:space="preserve"> shift towards smaller and</w:t>
      </w:r>
      <w:r w:rsidR="000B63F0">
        <w:t xml:space="preserve"> more</w:t>
      </w:r>
      <w:r w:rsidR="009208B7">
        <w:t xml:space="preserve"> dense</w:t>
      </w:r>
      <w:r w:rsidR="000B63F0">
        <w:t xml:space="preserve">ly situated </w:t>
      </w:r>
      <w:r w:rsidR="009208B7">
        <w:t xml:space="preserve">housing </w:t>
      </w:r>
      <w:r w:rsidR="000E201D">
        <w:t>around</w:t>
      </w:r>
      <w:r w:rsidR="000B63F0">
        <w:t xml:space="preserve"> established transport facilities and centres </w:t>
      </w:r>
      <w:r w:rsidR="009208B7">
        <w:t>of economic activity, there is a growing emphasis</w:t>
      </w:r>
      <w:r w:rsidR="000B63F0">
        <w:t xml:space="preserve"> on</w:t>
      </w:r>
      <w:r w:rsidR="009208B7">
        <w:t xml:space="preserve"> </w:t>
      </w:r>
      <w:r w:rsidR="000479BE">
        <w:t xml:space="preserve">urban design </w:t>
      </w:r>
      <w:r w:rsidR="009208B7">
        <w:t xml:space="preserve">and planning that meets the privacy, amenity, </w:t>
      </w:r>
      <w:r w:rsidR="00C3246F">
        <w:t xml:space="preserve">and </w:t>
      </w:r>
      <w:r w:rsidR="009208B7">
        <w:t xml:space="preserve">aesthetic </w:t>
      </w:r>
      <w:r w:rsidR="00C3246F">
        <w:t xml:space="preserve">preferences </w:t>
      </w:r>
      <w:r w:rsidR="00E22CE6">
        <w:t xml:space="preserve">of residents and communities. </w:t>
      </w:r>
    </w:p>
    <w:p w14:paraId="6E21893F" w14:textId="77777777" w:rsidR="00A67762" w:rsidRDefault="00932D1E" w:rsidP="00932D1E">
      <w:pPr>
        <w:pStyle w:val="BodyText"/>
      </w:pPr>
      <w:r>
        <w:t xml:space="preserve">The broader effects of planning systems are observed in indicators such as whether people consider there is reasonable access to housing in the forms and locations desired, good mobility and access to desired services, thriving businesses, and an environment that reflects appreciation for the social, environmental and aesthetic importance of urban design. </w:t>
      </w:r>
    </w:p>
    <w:p w14:paraId="6E218940" w14:textId="0C521A95" w:rsidR="00932D1E" w:rsidRPr="00932D1E" w:rsidRDefault="00932D1E" w:rsidP="00932D1E">
      <w:pPr>
        <w:pStyle w:val="BodyText"/>
      </w:pPr>
      <w:r>
        <w:t xml:space="preserve">As noted in </w:t>
      </w:r>
      <w:r w:rsidR="00014715">
        <w:t>c</w:t>
      </w:r>
      <w:r>
        <w:t>hapter</w:t>
      </w:r>
      <w:r w:rsidR="00AB6E14">
        <w:t> </w:t>
      </w:r>
      <w:r w:rsidR="00484725">
        <w:t>4</w:t>
      </w:r>
      <w:r w:rsidR="00014715">
        <w:t xml:space="preserve"> in the main report</w:t>
      </w:r>
      <w:r>
        <w:t xml:space="preserve">, </w:t>
      </w:r>
      <w:r w:rsidR="00D75BDF">
        <w:t>many of these</w:t>
      </w:r>
      <w:r>
        <w:t xml:space="preserve"> judgements are necessarily subjective, but indicators of good functioning are likely to show a general perception that cities have retained or improved these features while their populations and economies have continued to grow. </w:t>
      </w:r>
      <w:r w:rsidR="00D75BDF">
        <w:t>In particular, l</w:t>
      </w:r>
      <w:r w:rsidR="00D75BDF" w:rsidRPr="00932D1E">
        <w:t>iveable cities attract skilled labour, which is likely to grow</w:t>
      </w:r>
      <w:r w:rsidR="00D75BDF">
        <w:t xml:space="preserve"> </w:t>
      </w:r>
      <w:r w:rsidR="00D75BDF" w:rsidRPr="00932D1E">
        <w:t>in importance as skill</w:t>
      </w:r>
      <w:r w:rsidR="00D75BDF" w:rsidRPr="00932D1E">
        <w:noBreakHyphen/>
        <w:t xml:space="preserve">intensive </w:t>
      </w:r>
      <w:r w:rsidR="00D75BDF">
        <w:t xml:space="preserve">service </w:t>
      </w:r>
      <w:r w:rsidR="00D75BDF" w:rsidRPr="00932D1E">
        <w:t xml:space="preserve">industries dominate contributions to economic growth </w:t>
      </w:r>
      <w:r w:rsidR="00D75BDF">
        <w:t>in</w:t>
      </w:r>
      <w:r w:rsidR="00D75BDF" w:rsidRPr="00932D1E">
        <w:t xml:space="preserve"> developed countries </w:t>
      </w:r>
      <w:r w:rsidR="00D75BDF" w:rsidRPr="00932D1E">
        <w:rPr>
          <w:szCs w:val="24"/>
        </w:rPr>
        <w:t>(Baldwin 2016)</w:t>
      </w:r>
      <w:r w:rsidR="00D75BDF" w:rsidRPr="00932D1E">
        <w:t>.</w:t>
      </w:r>
    </w:p>
    <w:p w14:paraId="6E218941" w14:textId="77777777" w:rsidR="00C930EB" w:rsidRDefault="00C930EB" w:rsidP="00C930EB">
      <w:pPr>
        <w:pStyle w:val="Heading3"/>
      </w:pPr>
      <w:r>
        <w:t>Urban planning responsibilities</w:t>
      </w:r>
    </w:p>
    <w:p w14:paraId="6E218942" w14:textId="77777777" w:rsidR="003E374E" w:rsidRDefault="00C930EB" w:rsidP="00C930EB">
      <w:pPr>
        <w:pStyle w:val="BodyText"/>
      </w:pPr>
      <w:r>
        <w:t>Responsibility for urban planning rests with the States and Territories</w:t>
      </w:r>
      <w:r w:rsidR="005A36CF">
        <w:t>,</w:t>
      </w:r>
      <w:r w:rsidR="00915747">
        <w:t xml:space="preserve"> and Local G</w:t>
      </w:r>
      <w:r>
        <w:t xml:space="preserve">overnments. States are generally </w:t>
      </w:r>
      <w:r w:rsidRPr="00997175">
        <w:t>responsible for</w:t>
      </w:r>
      <w:r w:rsidR="003E374E">
        <w:t>:</w:t>
      </w:r>
    </w:p>
    <w:p w14:paraId="6E218943" w14:textId="77777777" w:rsidR="003E374E" w:rsidRDefault="00C930EB" w:rsidP="009E5A71">
      <w:pPr>
        <w:pStyle w:val="ListBullet"/>
      </w:pPr>
      <w:r>
        <w:t>releasing land for new developments</w:t>
      </w:r>
    </w:p>
    <w:p w14:paraId="6E218944" w14:textId="77777777" w:rsidR="003E374E" w:rsidRDefault="00C930EB">
      <w:pPr>
        <w:pStyle w:val="ListBullet"/>
      </w:pPr>
      <w:r w:rsidRPr="00997175">
        <w:t xml:space="preserve">strategic plans for </w:t>
      </w:r>
      <w:r>
        <w:t>metropolitan areas</w:t>
      </w:r>
      <w:r w:rsidR="009F6992">
        <w:t xml:space="preserve"> or regional areas</w:t>
      </w:r>
    </w:p>
    <w:p w14:paraId="6E218945" w14:textId="4D066C32" w:rsidR="003E374E" w:rsidRDefault="00C930EB">
      <w:pPr>
        <w:pStyle w:val="ListBullet"/>
      </w:pPr>
      <w:r>
        <w:t>making provision for major infrastructure</w:t>
      </w:r>
    </w:p>
    <w:p w14:paraId="6E218946" w14:textId="77777777" w:rsidR="003E374E" w:rsidRDefault="00C930EB">
      <w:pPr>
        <w:pStyle w:val="ListBullet"/>
      </w:pPr>
      <w:r w:rsidRPr="00997175">
        <w:t>overarching plannin</w:t>
      </w:r>
      <w:r>
        <w:t>g</w:t>
      </w:r>
      <w:r w:rsidR="00776528">
        <w:t xml:space="preserve"> and development </w:t>
      </w:r>
      <w:r>
        <w:t>policies, such as the broad objectives of and purposes for land use (whether residential, business, recreational or other)</w:t>
      </w:r>
      <w:r w:rsidRPr="00997175">
        <w:t>, with which State or</w:t>
      </w:r>
      <w:r w:rsidR="00092583">
        <w:t xml:space="preserve"> L</w:t>
      </w:r>
      <w:r w:rsidRPr="00997175">
        <w:t xml:space="preserve">ocal approval </w:t>
      </w:r>
      <w:r>
        <w:t>authorities must comply</w:t>
      </w:r>
      <w:r w:rsidRPr="00997175">
        <w:t xml:space="preserve">. </w:t>
      </w:r>
    </w:p>
    <w:p w14:paraId="6E218947" w14:textId="77777777" w:rsidR="00C930EB" w:rsidRDefault="00174533" w:rsidP="00353BC8">
      <w:pPr>
        <w:pStyle w:val="BodyText"/>
      </w:pPr>
      <w:r>
        <w:t>Local G</w:t>
      </w:r>
      <w:r w:rsidR="00C930EB" w:rsidRPr="00997175">
        <w:t xml:space="preserve">overnments </w:t>
      </w:r>
      <w:r w:rsidR="004F3BCD">
        <w:t xml:space="preserve">generally </w:t>
      </w:r>
      <w:r w:rsidR="00C930EB" w:rsidRPr="00997175">
        <w:t xml:space="preserve">have </w:t>
      </w:r>
      <w:r w:rsidR="00C930EB" w:rsidRPr="000E4FF4">
        <w:t xml:space="preserve">responsibility for </w:t>
      </w:r>
      <w:r w:rsidR="00C930EB" w:rsidRPr="00231738">
        <w:t>developing</w:t>
      </w:r>
      <w:r w:rsidR="00C930EB">
        <w:t xml:space="preserve"> and implementing land use plans at the local level, </w:t>
      </w:r>
      <w:r w:rsidR="00C930EB" w:rsidRPr="00DB6629">
        <w:t xml:space="preserve">with local plans </w:t>
      </w:r>
      <w:r w:rsidR="00C930EB">
        <w:t xml:space="preserve">expected </w:t>
      </w:r>
      <w:r w:rsidR="00C930EB" w:rsidRPr="00DB6629" w:rsidDel="00050B28">
        <w:t xml:space="preserve">to be </w:t>
      </w:r>
      <w:r w:rsidR="00C930EB" w:rsidRPr="00DB6629">
        <w:t>consistent with metropolitan strategic plans</w:t>
      </w:r>
      <w:r w:rsidR="009F6992">
        <w:t xml:space="preserve"> or regional plans</w:t>
      </w:r>
      <w:r w:rsidR="00776528">
        <w:t xml:space="preserve"> and applicable State planning policies </w:t>
      </w:r>
      <w:r w:rsidR="00AB10ED">
        <w:t>(</w:t>
      </w:r>
      <w:r w:rsidR="00092583">
        <w:t>figure 1</w:t>
      </w:r>
      <w:r w:rsidR="00AB10ED">
        <w:t>)</w:t>
      </w:r>
      <w:r>
        <w:t>. Local G</w:t>
      </w:r>
      <w:r w:rsidR="00C930EB">
        <w:t xml:space="preserve">overnments process the vast majority of development proposals. </w:t>
      </w:r>
    </w:p>
    <w:p w14:paraId="6E218948" w14:textId="77777777" w:rsidR="00932D1E" w:rsidRDefault="00932D1E" w:rsidP="000E7D79">
      <w:pPr>
        <w:pStyle w:val="Heading3"/>
      </w:pPr>
      <w:bookmarkStart w:id="6" w:name="_Toc488940554"/>
      <w:bookmarkStart w:id="7" w:name="_Toc489025322"/>
      <w:r>
        <w:t>Urban planning challenges</w:t>
      </w:r>
      <w:bookmarkEnd w:id="6"/>
      <w:bookmarkEnd w:id="7"/>
    </w:p>
    <w:p w14:paraId="6E218949" w14:textId="77777777" w:rsidR="00932D1E" w:rsidRDefault="00932D1E" w:rsidP="00932D1E">
      <w:pPr>
        <w:pStyle w:val="BodyText"/>
      </w:pPr>
      <w:r>
        <w:t xml:space="preserve">Policy objectives with respect to planning systems vary, </w:t>
      </w:r>
      <w:r w:rsidRPr="003B30DD">
        <w:t xml:space="preserve">but </w:t>
      </w:r>
      <w:r>
        <w:t xml:space="preserve">common aims of all governments are to accommodate population growth, promote economic development, and preserve and/or enhance social </w:t>
      </w:r>
      <w:r w:rsidR="00006AC5">
        <w:t>wellbeing</w:t>
      </w:r>
      <w:r>
        <w:t xml:space="preserve">. Others include </w:t>
      </w:r>
      <w:r w:rsidRPr="003B30DD">
        <w:t>adaptation to</w:t>
      </w:r>
      <w:r>
        <w:t xml:space="preserve"> </w:t>
      </w:r>
      <w:r w:rsidR="00006AC5">
        <w:t xml:space="preserve">environmental and other </w:t>
      </w:r>
      <w:r>
        <w:t>risks</w:t>
      </w:r>
      <w:r w:rsidR="004F3BCD">
        <w:t>,</w:t>
      </w:r>
      <w:r>
        <w:t xml:space="preserve"> </w:t>
      </w:r>
      <w:r w:rsidR="000479BE">
        <w:t xml:space="preserve">including those </w:t>
      </w:r>
      <w:r>
        <w:t xml:space="preserve">posed by </w:t>
      </w:r>
      <w:r w:rsidR="00B84347">
        <w:t>natural haz</w:t>
      </w:r>
      <w:r w:rsidR="00F9370E">
        <w:t xml:space="preserve">ards </w:t>
      </w:r>
      <w:r w:rsidR="004F3BCD">
        <w:t>and</w:t>
      </w:r>
      <w:r w:rsidR="00B84347">
        <w:t xml:space="preserve"> </w:t>
      </w:r>
      <w:r w:rsidRPr="003B30DD">
        <w:t xml:space="preserve">climate change, </w:t>
      </w:r>
      <w:r>
        <w:t>the preservation of biodiversity and historical heritage, or more specific aims, such as maintaining buffer zones</w:t>
      </w:r>
      <w:r w:rsidRPr="003B30DD">
        <w:t xml:space="preserve"> </w:t>
      </w:r>
      <w:r>
        <w:t>around</w:t>
      </w:r>
      <w:r w:rsidRPr="003B30DD">
        <w:t xml:space="preserve"> </w:t>
      </w:r>
      <w:r>
        <w:t>sea</w:t>
      </w:r>
      <w:r w:rsidRPr="003B30DD">
        <w:t>ports</w:t>
      </w:r>
      <w:r>
        <w:t xml:space="preserve">. </w:t>
      </w:r>
    </w:p>
    <w:p w14:paraId="6E21894A" w14:textId="77777777" w:rsidR="00932D1E" w:rsidRDefault="00932D1E" w:rsidP="00C930EB">
      <w:pPr>
        <w:pStyle w:val="BodyText"/>
      </w:pPr>
      <w:r>
        <w:t>Challenges in achieving these aims include, among other things, the long</w:t>
      </w:r>
      <w:r>
        <w:noBreakHyphen/>
        <w:t xml:space="preserve">lived </w:t>
      </w:r>
      <w:r w:rsidR="007C6BA6">
        <w:t xml:space="preserve">consequences </w:t>
      </w:r>
      <w:r>
        <w:t>of many planning decisions in cities, with pre</w:t>
      </w:r>
      <w:r>
        <w:noBreakHyphen/>
        <w:t xml:space="preserve">existing uses of land and the path dependence they can cause for adjacent or related activity </w:t>
      </w:r>
      <w:r w:rsidR="009F70F9">
        <w:t>usually</w:t>
      </w:r>
      <w:r>
        <w:t xml:space="preserve"> constraining changes in land use, especially in the short term.</w:t>
      </w:r>
      <w:r w:rsidR="009F70F9">
        <w:t xml:space="preserve"> </w:t>
      </w:r>
    </w:p>
    <w:p w14:paraId="6E21894B" w14:textId="77777777" w:rsidR="00861538" w:rsidRDefault="00861538" w:rsidP="004B02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861538" w14:paraId="6E21894E" w14:textId="77777777" w:rsidTr="004B026A">
        <w:trPr>
          <w:tblHeader/>
        </w:trPr>
        <w:tc>
          <w:tcPr>
            <w:tcW w:w="5000" w:type="pct"/>
            <w:tcBorders>
              <w:top w:val="single" w:sz="6" w:space="0" w:color="78A22F"/>
              <w:left w:val="nil"/>
              <w:bottom w:val="nil"/>
              <w:right w:val="nil"/>
            </w:tcBorders>
            <w:shd w:val="clear" w:color="auto" w:fill="auto"/>
          </w:tcPr>
          <w:p w14:paraId="6E21894C" w14:textId="77777777" w:rsidR="00861538" w:rsidRDefault="00861538" w:rsidP="004B026A">
            <w:pPr>
              <w:pStyle w:val="FigureTitle"/>
            </w:pPr>
            <w:bookmarkStart w:id="8" w:name="_Ref487976433"/>
            <w:r w:rsidRPr="00784A05">
              <w:rPr>
                <w:b w:val="0"/>
              </w:rPr>
              <w:t xml:space="preserve">Figure </w:t>
            </w:r>
            <w:bookmarkEnd w:id="8"/>
            <w:r w:rsidR="00471D1A">
              <w:rPr>
                <w:b w:val="0"/>
              </w:rPr>
              <w:t>1</w:t>
            </w:r>
            <w:r>
              <w:tab/>
              <w:t>A simplified picture of planning functions and responsibilities</w:t>
            </w:r>
          </w:p>
          <w:p w14:paraId="6E21894D" w14:textId="77777777" w:rsidR="00861538" w:rsidRPr="00176D3F" w:rsidRDefault="00861538" w:rsidP="004B026A">
            <w:pPr>
              <w:pStyle w:val="Subtitle"/>
            </w:pPr>
          </w:p>
        </w:tc>
      </w:tr>
      <w:tr w:rsidR="00861538" w14:paraId="6E218952" w14:textId="77777777" w:rsidTr="004B026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772"/>
            </w:tblGrid>
            <w:tr w:rsidR="00861538" w:rsidRPr="00B1465D" w14:paraId="6E218950" w14:textId="77777777" w:rsidTr="004B026A">
              <w:trPr>
                <w:tblHeader/>
                <w:jc w:val="center"/>
              </w:trPr>
              <w:tc>
                <w:tcPr>
                  <w:tcW w:w="5000" w:type="pct"/>
                  <w:tcBorders>
                    <w:top w:val="nil"/>
                    <w:bottom w:val="nil"/>
                  </w:tcBorders>
                </w:tcPr>
                <w:p w14:paraId="6E21894F" w14:textId="77777777" w:rsidR="00861538" w:rsidRPr="00B1465D" w:rsidRDefault="00861538" w:rsidP="004B026A">
                  <w:pPr>
                    <w:pStyle w:val="Figure"/>
                    <w:spacing w:before="60" w:after="60"/>
                    <w:rPr>
                      <w:rFonts w:ascii="Arial" w:hAnsi="Arial" w:cs="Arial"/>
                      <w:sz w:val="18"/>
                      <w:szCs w:val="18"/>
                    </w:rPr>
                  </w:pPr>
                  <w:r w:rsidRPr="00861538">
                    <w:rPr>
                      <w:rFonts w:ascii="Arial" w:hAnsi="Arial" w:cs="Arial"/>
                      <w:noProof/>
                      <w:sz w:val="18"/>
                      <w:szCs w:val="18"/>
                    </w:rPr>
                    <w:drawing>
                      <wp:inline distT="0" distB="0" distL="0" distR="0" wp14:anchorId="6E218B81" wp14:editId="69C4815D">
                        <wp:extent cx="5570220" cy="4137660"/>
                        <wp:effectExtent l="0" t="0" r="0" b="0"/>
                        <wp:docPr id="3" name="Picture 3" descr="This figure depicts the major planning functions and who undertakes them. It shows that States and Territories are generally responsible for developing strategic plans and planning policies, as well as approving major developments. Local governments are generally responsible for developing and implementing land use plans at the local level, with these required to be consistent with the State Government’s planning policies. Local Governments undertake the vast majority of development assess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70220" cy="4137660"/>
                                </a:xfrm>
                                <a:prstGeom prst="rect">
                                  <a:avLst/>
                                </a:prstGeom>
                                <a:noFill/>
                                <a:ln>
                                  <a:noFill/>
                                </a:ln>
                              </pic:spPr>
                            </pic:pic>
                          </a:graphicData>
                        </a:graphic>
                      </wp:inline>
                    </w:drawing>
                  </w:r>
                </w:p>
              </w:tc>
            </w:tr>
          </w:tbl>
          <w:p w14:paraId="6E218951" w14:textId="77777777" w:rsidR="00861538" w:rsidRDefault="00861538" w:rsidP="004B026A">
            <w:pPr>
              <w:pStyle w:val="Figure"/>
            </w:pPr>
          </w:p>
        </w:tc>
      </w:tr>
      <w:tr w:rsidR="00861538" w:rsidRPr="00176D3F" w14:paraId="6E218954" w14:textId="77777777" w:rsidTr="004B026A">
        <w:tc>
          <w:tcPr>
            <w:tcW w:w="5000" w:type="pct"/>
            <w:tcBorders>
              <w:top w:val="nil"/>
              <w:left w:val="nil"/>
              <w:bottom w:val="nil"/>
              <w:right w:val="nil"/>
            </w:tcBorders>
            <w:shd w:val="clear" w:color="auto" w:fill="auto"/>
          </w:tcPr>
          <w:p w14:paraId="6E218953" w14:textId="74662BF3" w:rsidR="00861538" w:rsidRPr="00176D3F" w:rsidRDefault="00861538" w:rsidP="004B026A">
            <w:pPr>
              <w:pStyle w:val="Source"/>
            </w:pPr>
            <w:r>
              <w:rPr>
                <w:i/>
              </w:rPr>
              <w:t>S</w:t>
            </w:r>
            <w:r w:rsidRPr="00784A05">
              <w:rPr>
                <w:i/>
              </w:rPr>
              <w:t>ource</w:t>
            </w:r>
            <w:r w:rsidRPr="00176D3F">
              <w:t xml:space="preserve">: </w:t>
            </w:r>
            <w:r>
              <w:t xml:space="preserve">PC </w:t>
            </w:r>
            <w:r w:rsidRPr="00861538">
              <w:rPr>
                <w:rFonts w:cs="Arial"/>
              </w:rPr>
              <w:t>(2012)</w:t>
            </w:r>
            <w:r w:rsidR="00680635">
              <w:rPr>
                <w:rFonts w:cs="Arial"/>
              </w:rPr>
              <w:t>.</w:t>
            </w:r>
          </w:p>
        </w:tc>
      </w:tr>
      <w:tr w:rsidR="00861538" w14:paraId="6E218956" w14:textId="77777777" w:rsidTr="004B026A">
        <w:tc>
          <w:tcPr>
            <w:tcW w:w="5000" w:type="pct"/>
            <w:tcBorders>
              <w:top w:val="nil"/>
              <w:left w:val="nil"/>
              <w:bottom w:val="single" w:sz="6" w:space="0" w:color="78A22F"/>
              <w:right w:val="nil"/>
            </w:tcBorders>
            <w:shd w:val="clear" w:color="auto" w:fill="auto"/>
          </w:tcPr>
          <w:p w14:paraId="6E218955" w14:textId="77777777" w:rsidR="00861538" w:rsidRDefault="00861538" w:rsidP="004B026A">
            <w:pPr>
              <w:pStyle w:val="Figurespace"/>
            </w:pPr>
          </w:p>
        </w:tc>
      </w:tr>
      <w:tr w:rsidR="00861538" w:rsidRPr="000863A5" w14:paraId="6E218958" w14:textId="77777777" w:rsidTr="004B026A">
        <w:tc>
          <w:tcPr>
            <w:tcW w:w="5000" w:type="pct"/>
            <w:tcBorders>
              <w:top w:val="single" w:sz="6" w:space="0" w:color="78A22F"/>
              <w:left w:val="nil"/>
              <w:bottom w:val="nil"/>
              <w:right w:val="nil"/>
            </w:tcBorders>
          </w:tcPr>
          <w:p w14:paraId="6E218957" w14:textId="77777777" w:rsidR="00861538" w:rsidRPr="00626D32" w:rsidRDefault="00861538" w:rsidP="004B026A">
            <w:pPr>
              <w:pStyle w:val="BoxSpaceBelow"/>
            </w:pPr>
          </w:p>
        </w:tc>
      </w:tr>
    </w:tbl>
    <w:p w14:paraId="6E218959" w14:textId="77777777" w:rsidR="000746B8" w:rsidRDefault="00CF5C91" w:rsidP="00021F02">
      <w:pPr>
        <w:pStyle w:val="BodyText"/>
      </w:pPr>
      <w:r>
        <w:t xml:space="preserve">Another is </w:t>
      </w:r>
      <w:r w:rsidR="00021F02">
        <w:t>d</w:t>
      </w:r>
      <w:r w:rsidR="00C930EB">
        <w:t xml:space="preserve">eciding whether </w:t>
      </w:r>
      <w:r w:rsidR="00A61190">
        <w:t xml:space="preserve">and </w:t>
      </w:r>
      <w:r w:rsidR="00C930EB">
        <w:t>how much to ‘build up’ in established areas versus ‘build out’ and extend ci</w:t>
      </w:r>
      <w:r w:rsidR="006D1F7F">
        <w:t xml:space="preserve">ty boundaries. </w:t>
      </w:r>
      <w:r w:rsidR="00694BD4">
        <w:t>Increasing</w:t>
      </w:r>
      <w:r w:rsidR="00694BD4" w:rsidRPr="00177F0C">
        <w:t xml:space="preserve"> </w:t>
      </w:r>
      <w:r w:rsidR="00694BD4">
        <w:t>the supply of well</w:t>
      </w:r>
      <w:r w:rsidR="00694BD4">
        <w:noBreakHyphen/>
        <w:t>located land</w:t>
      </w:r>
      <w:r w:rsidR="00694BD4" w:rsidRPr="00177F0C">
        <w:t xml:space="preserve"> and </w:t>
      </w:r>
      <w:r w:rsidR="000746B8">
        <w:t xml:space="preserve">providing </w:t>
      </w:r>
      <w:r w:rsidR="00694BD4" w:rsidRPr="00177F0C">
        <w:t>accomp</w:t>
      </w:r>
      <w:r w:rsidR="00694BD4">
        <w:t>anying transport infrastructure</w:t>
      </w:r>
      <w:r w:rsidR="00694BD4" w:rsidRPr="00177F0C">
        <w:t xml:space="preserve"> </w:t>
      </w:r>
      <w:r w:rsidR="00694BD4">
        <w:t xml:space="preserve">can </w:t>
      </w:r>
      <w:r w:rsidR="00694BD4" w:rsidRPr="00177F0C">
        <w:t>help</w:t>
      </w:r>
      <w:r w:rsidR="00694BD4">
        <w:t xml:space="preserve"> to</w:t>
      </w:r>
      <w:r w:rsidR="00694BD4" w:rsidRPr="00177F0C">
        <w:t xml:space="preserve"> reduce</w:t>
      </w:r>
      <w:r w:rsidR="00694BD4">
        <w:t xml:space="preserve"> pressure on</w:t>
      </w:r>
      <w:r w:rsidR="00694BD4" w:rsidRPr="00177F0C">
        <w:t xml:space="preserve"> land</w:t>
      </w:r>
      <w:r w:rsidR="00694BD4">
        <w:t xml:space="preserve"> and house</w:t>
      </w:r>
      <w:r w:rsidR="00694BD4" w:rsidRPr="00177F0C">
        <w:t xml:space="preserve"> prices</w:t>
      </w:r>
      <w:r w:rsidR="00694BD4">
        <w:t xml:space="preserve"> </w:t>
      </w:r>
      <w:r w:rsidR="00861538" w:rsidRPr="00861538">
        <w:rPr>
          <w:szCs w:val="24"/>
        </w:rPr>
        <w:t>(for example, Lowe 2017a)</w:t>
      </w:r>
      <w:r w:rsidR="00694BD4" w:rsidRPr="00177F0C">
        <w:t>.</w:t>
      </w:r>
      <w:r w:rsidR="00694BD4">
        <w:t xml:space="preserve"> </w:t>
      </w:r>
      <w:r w:rsidR="000746B8">
        <w:t>On the other hand, t</w:t>
      </w:r>
      <w:r w:rsidR="00A61190">
        <w:t>he better utilisation of land in established areas</w:t>
      </w:r>
      <w:r w:rsidR="00664798">
        <w:t xml:space="preserve"> </w:t>
      </w:r>
      <w:r>
        <w:t>can</w:t>
      </w:r>
      <w:r w:rsidR="000746B8">
        <w:t xml:space="preserve"> </w:t>
      </w:r>
      <w:r w:rsidR="00664798">
        <w:t xml:space="preserve">realise </w:t>
      </w:r>
      <w:r w:rsidR="00021F02">
        <w:t>additional agglomeration benefits, reduce the costs of public</w:t>
      </w:r>
      <w:r w:rsidR="00021F02" w:rsidRPr="00021655">
        <w:t xml:space="preserve"> infrastructure</w:t>
      </w:r>
      <w:r w:rsidR="00021F02">
        <w:t>,</w:t>
      </w:r>
      <w:r w:rsidR="00021F02" w:rsidRPr="00021655">
        <w:t xml:space="preserve"> which </w:t>
      </w:r>
      <w:r w:rsidR="00021F02">
        <w:t>is</w:t>
      </w:r>
      <w:r w:rsidR="00021F02" w:rsidRPr="00021655">
        <w:t xml:space="preserve"> more costly to deliver the further </w:t>
      </w:r>
      <w:r w:rsidR="000746B8">
        <w:t xml:space="preserve">they are </w:t>
      </w:r>
      <w:r w:rsidR="00021F02" w:rsidRPr="00021655">
        <w:t>from urban centres</w:t>
      </w:r>
      <w:r w:rsidR="00021F02">
        <w:t xml:space="preserve">, and </w:t>
      </w:r>
      <w:r w:rsidR="00021F02" w:rsidRPr="00021655">
        <w:t xml:space="preserve">prevent </w:t>
      </w:r>
      <w:r w:rsidR="00021F02">
        <w:t xml:space="preserve">the creation of </w:t>
      </w:r>
      <w:r w:rsidR="00021F02" w:rsidRPr="00021655">
        <w:t>distant</w:t>
      </w:r>
      <w:r w:rsidR="00021F02">
        <w:t>, socially isolated</w:t>
      </w:r>
      <w:r w:rsidR="00021F02" w:rsidRPr="00021655">
        <w:t xml:space="preserve"> communities</w:t>
      </w:r>
      <w:r w:rsidR="006D1F7F" w:rsidRPr="00021655">
        <w:t>.</w:t>
      </w:r>
      <w:r w:rsidR="006D1F7F">
        <w:t xml:space="preserve"> </w:t>
      </w:r>
    </w:p>
    <w:p w14:paraId="6E21895A" w14:textId="77777777" w:rsidR="00694BD4" w:rsidRDefault="00EF293E" w:rsidP="00021F02">
      <w:pPr>
        <w:pStyle w:val="BodyText"/>
      </w:pPr>
      <w:r w:rsidRPr="00893E09">
        <w:t>A</w:t>
      </w:r>
      <w:r w:rsidRPr="00EF293E">
        <w:t>s city centres</w:t>
      </w:r>
      <w:r w:rsidR="00694BD4">
        <w:t xml:space="preserve"> </w:t>
      </w:r>
      <w:r w:rsidR="004F3BCD">
        <w:t xml:space="preserve">are the places where most jobs are created </w:t>
      </w:r>
      <w:r w:rsidR="00694BD4">
        <w:t xml:space="preserve">and offer greater </w:t>
      </w:r>
      <w:r w:rsidR="00DA629A">
        <w:t>choice and competition in</w:t>
      </w:r>
      <w:r w:rsidR="00694BD4">
        <w:t xml:space="preserve"> services</w:t>
      </w:r>
      <w:r w:rsidRPr="00EF293E">
        <w:t xml:space="preserve">, </w:t>
      </w:r>
      <w:r w:rsidR="00893E09">
        <w:t>the availability of</w:t>
      </w:r>
      <w:r w:rsidRPr="00EF293E">
        <w:t xml:space="preserve"> housing close to centres </w:t>
      </w:r>
      <w:r w:rsidR="00893E09">
        <w:t>has impl</w:t>
      </w:r>
      <w:r w:rsidRPr="00EF293E">
        <w:t>ications for</w:t>
      </w:r>
      <w:r w:rsidR="00DA629A">
        <w:t xml:space="preserve"> </w:t>
      </w:r>
      <w:r w:rsidR="004F3BCD">
        <w:t>households’ living standards</w:t>
      </w:r>
      <w:r w:rsidRPr="00EF293E">
        <w:t xml:space="preserve">. </w:t>
      </w:r>
      <w:r w:rsidR="005A0204" w:rsidRPr="00EF293E">
        <w:t>Th</w:t>
      </w:r>
      <w:r w:rsidR="005A0204">
        <w:t>e</w:t>
      </w:r>
      <w:r w:rsidR="005A0204" w:rsidRPr="00EF293E">
        <w:t xml:space="preserve"> </w:t>
      </w:r>
      <w:r>
        <w:t>reality of this</w:t>
      </w:r>
      <w:r w:rsidRPr="00EF293E">
        <w:t xml:space="preserve"> is being seen in </w:t>
      </w:r>
      <w:r w:rsidR="000746B8">
        <w:t xml:space="preserve">some capital cities with </w:t>
      </w:r>
      <w:r w:rsidRPr="00EF293E">
        <w:t>the segregation of high education c</w:t>
      </w:r>
      <w:r>
        <w:t>ohorts, who have higher incomes and live</w:t>
      </w:r>
      <w:r w:rsidRPr="00EF293E">
        <w:t xml:space="preserve"> near Melbourne’s centre</w:t>
      </w:r>
      <w:r>
        <w:t>,</w:t>
      </w:r>
      <w:r w:rsidRPr="00EF293E">
        <w:t xml:space="preserve"> and low education cohorts</w:t>
      </w:r>
      <w:r>
        <w:t>, who live</w:t>
      </w:r>
      <w:r w:rsidRPr="00EF293E">
        <w:t xml:space="preserve"> at the fringes </w:t>
      </w:r>
      <w:r w:rsidR="00A45920" w:rsidRPr="00A45920">
        <w:rPr>
          <w:szCs w:val="24"/>
        </w:rPr>
        <w:t>(Daley 2016)</w:t>
      </w:r>
      <w:r w:rsidRPr="00EF293E">
        <w:t>.</w:t>
      </w:r>
      <w:r>
        <w:t xml:space="preserve"> </w:t>
      </w:r>
      <w:r w:rsidR="00A61190">
        <w:t>Accommodating population growth in established areas</w:t>
      </w:r>
      <w:r w:rsidR="00D475F6">
        <w:t xml:space="preserve"> usually</w:t>
      </w:r>
      <w:r w:rsidR="00A61190">
        <w:t xml:space="preserve"> re</w:t>
      </w:r>
      <w:r w:rsidR="006D1F7F">
        <w:t>quires</w:t>
      </w:r>
      <w:r w:rsidR="00A61190" w:rsidDel="00D475F6">
        <w:t xml:space="preserve">, however, </w:t>
      </w:r>
      <w:r w:rsidR="00694BD4">
        <w:t>management of the</w:t>
      </w:r>
      <w:r w:rsidR="006D1F7F">
        <w:t xml:space="preserve"> subsequent </w:t>
      </w:r>
      <w:r w:rsidR="00CF5C91">
        <w:t xml:space="preserve">new </w:t>
      </w:r>
      <w:r w:rsidR="006D1F7F">
        <w:t>set of</w:t>
      </w:r>
      <w:r w:rsidR="00A61190">
        <w:t xml:space="preserve"> urban </w:t>
      </w:r>
      <w:r w:rsidR="00021F02">
        <w:t>costs</w:t>
      </w:r>
      <w:r w:rsidR="00893E09">
        <w:t xml:space="preserve"> and benefits</w:t>
      </w:r>
      <w:r w:rsidR="00DA629A">
        <w:t xml:space="preserve">, which may </w:t>
      </w:r>
      <w:r w:rsidR="00D475F6">
        <w:t>include</w:t>
      </w:r>
      <w:r w:rsidR="00DA629A">
        <w:t xml:space="preserve"> wider changes </w:t>
      </w:r>
      <w:r w:rsidR="00DA629A" w:rsidRPr="00DA629A">
        <w:t xml:space="preserve">to </w:t>
      </w:r>
      <w:r w:rsidR="00DA629A">
        <w:t>maintain or enhance</w:t>
      </w:r>
      <w:r w:rsidR="00DA629A" w:rsidRPr="00DA629A">
        <w:t xml:space="preserve"> residents’ lifestyles and amenity</w:t>
      </w:r>
      <w:r w:rsidR="00DA629A">
        <w:t xml:space="preserve">. </w:t>
      </w:r>
    </w:p>
    <w:p w14:paraId="6E21895B" w14:textId="77777777" w:rsidR="00C930EB" w:rsidRDefault="00094C49" w:rsidP="00C930EB">
      <w:pPr>
        <w:pStyle w:val="BodyText"/>
      </w:pPr>
      <w:r>
        <w:t>A</w:t>
      </w:r>
      <w:r w:rsidR="00B2752C">
        <w:t xml:space="preserve"> major factor influencing </w:t>
      </w:r>
      <w:r w:rsidR="0074212B">
        <w:t xml:space="preserve">planning decisions </w:t>
      </w:r>
      <w:r w:rsidR="00B2752C">
        <w:t>is the</w:t>
      </w:r>
      <w:r w:rsidR="00EB7D0C">
        <w:t xml:space="preserve"> preferences of local residents and businesses. </w:t>
      </w:r>
      <w:r w:rsidR="0029776F" w:rsidRPr="0029776F">
        <w:t>A standing challenge</w:t>
      </w:r>
      <w:r w:rsidR="0029776F">
        <w:t xml:space="preserve"> </w:t>
      </w:r>
      <w:r w:rsidR="00B2752C">
        <w:t xml:space="preserve">for strategic planning </w:t>
      </w:r>
      <w:r w:rsidR="0029776F" w:rsidRPr="0029776F">
        <w:t>is the</w:t>
      </w:r>
      <w:r w:rsidR="0029776F">
        <w:t xml:space="preserve"> often</w:t>
      </w:r>
      <w:r w:rsidR="0029776F" w:rsidRPr="0029776F">
        <w:t xml:space="preserve"> unequal distribution of benefits and</w:t>
      </w:r>
      <w:r w:rsidR="0029776F">
        <w:t xml:space="preserve"> costs</w:t>
      </w:r>
      <w:r w:rsidR="00B2752C">
        <w:t xml:space="preserve"> associated with accommodating growth</w:t>
      </w:r>
      <w:r w:rsidR="0029776F">
        <w:t>, where</w:t>
      </w:r>
      <w:r w:rsidR="0029776F" w:rsidRPr="0029776F">
        <w:t xml:space="preserve"> the cost of some land uses </w:t>
      </w:r>
      <w:r w:rsidR="0029776F">
        <w:t>can</w:t>
      </w:r>
      <w:r w:rsidR="0029776F" w:rsidRPr="0029776F">
        <w:t xml:space="preserve"> </w:t>
      </w:r>
      <w:r w:rsidR="0029776F">
        <w:t xml:space="preserve">be </w:t>
      </w:r>
      <w:r w:rsidR="0029776F" w:rsidRPr="0029776F">
        <w:t xml:space="preserve">imposed on a few communities while the benefits </w:t>
      </w:r>
      <w:r w:rsidR="0029776F">
        <w:t>are</w:t>
      </w:r>
      <w:r w:rsidR="0029776F" w:rsidRPr="0029776F">
        <w:t xml:space="preserve"> more dispersed</w:t>
      </w:r>
      <w:r w:rsidR="0029776F">
        <w:t xml:space="preserve"> (increased densification </w:t>
      </w:r>
      <w:r w:rsidR="00B2752C">
        <w:t xml:space="preserve">in established areas </w:t>
      </w:r>
      <w:r w:rsidR="0029776F">
        <w:t>being a typical example)</w:t>
      </w:r>
      <w:r w:rsidR="0029776F" w:rsidRPr="0029776F">
        <w:t>.</w:t>
      </w:r>
      <w:r w:rsidR="00F4791B" w:rsidRPr="0029776F" w:rsidDel="00F4791B">
        <w:t xml:space="preserve"> </w:t>
      </w:r>
    </w:p>
    <w:p w14:paraId="6E21895C" w14:textId="0A71A77D" w:rsidR="00075B3A" w:rsidRDefault="00DA629A" w:rsidP="00AA369B">
      <w:pPr>
        <w:pStyle w:val="BodyText"/>
      </w:pPr>
      <w:r w:rsidRPr="00576857">
        <w:t xml:space="preserve">As for other areas, technological advance can change how objectives can be met, which requires regulators to consider whether policy settings remain apt over time. The task of managing </w:t>
      </w:r>
      <w:r w:rsidR="00765E76">
        <w:t>vehicle traffic and parking</w:t>
      </w:r>
      <w:r w:rsidRPr="00576857">
        <w:t>, for example,</w:t>
      </w:r>
      <w:r>
        <w:t xml:space="preserve"> will change with the likely introduction of autonomous vehicles</w:t>
      </w:r>
      <w:r w:rsidR="00765E76">
        <w:t xml:space="preserve"> (SP </w:t>
      </w:r>
      <w:r w:rsidR="00484725">
        <w:t>9</w:t>
      </w:r>
      <w:r w:rsidR="00765E76">
        <w:t>)</w:t>
      </w:r>
      <w:r>
        <w:t xml:space="preserve">, and so development regulations </w:t>
      </w:r>
      <w:r w:rsidRPr="00576857">
        <w:t>designat</w:t>
      </w:r>
      <w:r w:rsidR="001510E1">
        <w:t>ing</w:t>
      </w:r>
      <w:r w:rsidRPr="00576857">
        <w:t xml:space="preserve"> land uses</w:t>
      </w:r>
      <w:r w:rsidRPr="00576857" w:rsidDel="001510E1">
        <w:t xml:space="preserve">, </w:t>
      </w:r>
      <w:r w:rsidR="001510E1">
        <w:t xml:space="preserve">the </w:t>
      </w:r>
      <w:r>
        <w:t xml:space="preserve">density </w:t>
      </w:r>
      <w:r w:rsidR="001510E1">
        <w:t xml:space="preserve">of development </w:t>
      </w:r>
      <w:r>
        <w:t xml:space="preserve">and activity. An important </w:t>
      </w:r>
      <w:r w:rsidR="00F06252">
        <w:t xml:space="preserve">productivity </w:t>
      </w:r>
      <w:r>
        <w:t xml:space="preserve">consideration as </w:t>
      </w:r>
      <w:r w:rsidR="00F06252">
        <w:t>cities</w:t>
      </w:r>
      <w:r>
        <w:t xml:space="preserve"> grow is the impact of</w:t>
      </w:r>
      <w:r w:rsidR="00F06252">
        <w:t xml:space="preserve"> land uses and</w:t>
      </w:r>
      <w:r>
        <w:t xml:space="preserve"> built structures on the ease of movement within, and into and out of, city centres.</w:t>
      </w:r>
      <w:r w:rsidR="00DA4A5E">
        <w:t xml:space="preserve"> </w:t>
      </w:r>
    </w:p>
    <w:p w14:paraId="6E21895D" w14:textId="77777777" w:rsidR="00AA369B" w:rsidRDefault="00AE4440" w:rsidP="00AA369B">
      <w:pPr>
        <w:pStyle w:val="BodyText"/>
      </w:pPr>
      <w:r>
        <w:t>Past studies (for example,</w:t>
      </w:r>
      <w:r w:rsidR="00C81B56">
        <w:t xml:space="preserve"> by</w:t>
      </w:r>
      <w:r>
        <w:t xml:space="preserve"> </w:t>
      </w:r>
      <w:r w:rsidR="00FC7E0F">
        <w:t>T</w:t>
      </w:r>
      <w:r w:rsidR="006B2AA3">
        <w:t xml:space="preserve">he CIE </w:t>
      </w:r>
      <w:r w:rsidR="006B2AA3" w:rsidRPr="006B2AA3">
        <w:t>(2013)</w:t>
      </w:r>
      <w:r w:rsidR="00FC7E0F">
        <w:t>,</w:t>
      </w:r>
      <w:r w:rsidR="00825D75">
        <w:t xml:space="preserve"> Deloitte </w:t>
      </w:r>
      <w:r w:rsidR="00825D75" w:rsidRPr="00825D75">
        <w:t>(2012)</w:t>
      </w:r>
      <w:r w:rsidR="00FC7E0F">
        <w:t xml:space="preserve"> and DAE </w:t>
      </w:r>
      <w:r w:rsidR="00FC7E0F" w:rsidRPr="006B2AA3">
        <w:t>(2016)</w:t>
      </w:r>
      <w:r>
        <w:t xml:space="preserve">) have </w:t>
      </w:r>
      <w:r w:rsidR="00AA369B">
        <w:t>noted</w:t>
      </w:r>
      <w:r>
        <w:t xml:space="preserve"> avoidable costs arising from </w:t>
      </w:r>
      <w:r w:rsidR="0029776F">
        <w:t xml:space="preserve">unclear plans or objectives with respect to city or local area growth, </w:t>
      </w:r>
      <w:r w:rsidR="00135A07" w:rsidRPr="00231738">
        <w:t xml:space="preserve">undue restrictions </w:t>
      </w:r>
      <w:r w:rsidR="00135A07">
        <w:t>on</w:t>
      </w:r>
      <w:r w:rsidR="002D700C">
        <w:t xml:space="preserve"> the</w:t>
      </w:r>
      <w:r w:rsidR="00135A07" w:rsidRPr="00231738">
        <w:t xml:space="preserve"> development of land</w:t>
      </w:r>
      <w:r>
        <w:t>, and complex processes for gaining approval to new or changed land uses</w:t>
      </w:r>
      <w:r w:rsidR="00135A07">
        <w:t>.</w:t>
      </w:r>
      <w:r w:rsidR="00AA369B">
        <w:t xml:space="preserve"> </w:t>
      </w:r>
      <w:r w:rsidR="00442721" w:rsidRPr="00706B0B">
        <w:t>Studies show</w:t>
      </w:r>
      <w:r w:rsidR="00442721">
        <w:t xml:space="preserve"> that cities with stringent land</w:t>
      </w:r>
      <w:r w:rsidR="00442721">
        <w:noBreakHyphen/>
      </w:r>
      <w:r w:rsidR="00442721" w:rsidRPr="00706B0B">
        <w:t>use regulations</w:t>
      </w:r>
      <w:r w:rsidR="00442721">
        <w:t xml:space="preserve"> generally experience higher growth in housing prices and have </w:t>
      </w:r>
      <w:r w:rsidR="00442721" w:rsidRPr="00706B0B">
        <w:t xml:space="preserve">lower population growth rates </w:t>
      </w:r>
      <w:r w:rsidR="00FC7E0F" w:rsidRPr="00FC7E0F">
        <w:rPr>
          <w:szCs w:val="24"/>
        </w:rPr>
        <w:t>(Duranton and Puga 2013; Hilber and Vermeulen 2016)</w:t>
      </w:r>
      <w:r w:rsidR="00442721" w:rsidRPr="00706B0B">
        <w:t>.</w:t>
      </w:r>
      <w:r w:rsidR="00442721">
        <w:t xml:space="preserve"> Restrictions on land use or development in desirable locations can also create or increase pressure to develop land in other locations that have high social and environmental value </w:t>
      </w:r>
      <w:r w:rsidR="00442721" w:rsidRPr="00452594">
        <w:rPr>
          <w:szCs w:val="24"/>
        </w:rPr>
        <w:t>(Nathan and Overman 2011)</w:t>
      </w:r>
      <w:r w:rsidR="00442721">
        <w:t xml:space="preserve">. </w:t>
      </w:r>
      <w:r w:rsidR="002D700C">
        <w:t>The need for restrictions, and the benefit</w:t>
      </w:r>
      <w:r w:rsidR="006279A3">
        <w:t>s and costs they create, should,</w:t>
      </w:r>
      <w:r w:rsidR="002D700C">
        <w:t xml:space="preserve"> as for other policy areas, be </w:t>
      </w:r>
      <w:r w:rsidR="002D700C" w:rsidRPr="007E0BE6">
        <w:t xml:space="preserve">evaluated taking into account the interests of the community as a whole. </w:t>
      </w:r>
      <w:bookmarkStart w:id="9" w:name="_Toc483758220"/>
      <w:bookmarkStart w:id="10" w:name="_Toc488940555"/>
      <w:bookmarkEnd w:id="9"/>
    </w:p>
    <w:p w14:paraId="6E21895E" w14:textId="77777777" w:rsidR="00C70D16" w:rsidRDefault="00637D5D" w:rsidP="000E7D79">
      <w:pPr>
        <w:pStyle w:val="Heading3"/>
      </w:pPr>
      <w:bookmarkStart w:id="11" w:name="_Toc489025323"/>
      <w:r>
        <w:t>Areas of policy focus</w:t>
      </w:r>
      <w:bookmarkEnd w:id="10"/>
      <w:bookmarkEnd w:id="11"/>
    </w:p>
    <w:p w14:paraId="6E21895F" w14:textId="77777777" w:rsidR="00587F78" w:rsidRDefault="001979CA" w:rsidP="00C70D16">
      <w:pPr>
        <w:pStyle w:val="BodyText"/>
      </w:pPr>
      <w:r>
        <w:t xml:space="preserve">Major </w:t>
      </w:r>
      <w:r w:rsidR="004D70BC">
        <w:t xml:space="preserve">Australian cities </w:t>
      </w:r>
      <w:r w:rsidR="00637D5D">
        <w:t xml:space="preserve">have </w:t>
      </w:r>
      <w:r w:rsidR="00B23BC0">
        <w:t xml:space="preserve">generally </w:t>
      </w:r>
      <w:r w:rsidR="00637D5D">
        <w:t xml:space="preserve">been regarded well in recent </w:t>
      </w:r>
      <w:r w:rsidR="001C6C1E">
        <w:t>global</w:t>
      </w:r>
      <w:r w:rsidR="004D70BC">
        <w:t xml:space="preserve"> liveability </w:t>
      </w:r>
      <w:r w:rsidR="00637D5D">
        <w:t>surveys</w:t>
      </w:r>
      <w:r w:rsidR="00B23BC0">
        <w:t>, which assess the attractiveness of cities from the perspective of globally mobile professionals</w:t>
      </w:r>
      <w:r w:rsidR="004D70BC">
        <w:t>.</w:t>
      </w:r>
      <w:r w:rsidR="00B23BC0">
        <w:t xml:space="preserve"> For example, </w:t>
      </w:r>
      <w:r w:rsidR="008F33A7">
        <w:t>Melbourne has been ranked the most liveable city</w:t>
      </w:r>
      <w:r w:rsidR="004D70BC">
        <w:t xml:space="preserve"> of 140 cities surveyed</w:t>
      </w:r>
      <w:r w:rsidR="008F33A7">
        <w:t xml:space="preserve"> since 2011 by </w:t>
      </w:r>
      <w:r w:rsidR="008F33A7" w:rsidRPr="00A030F3">
        <w:rPr>
          <w:i/>
        </w:rPr>
        <w:t>The Economist</w:t>
      </w:r>
      <w:r w:rsidR="009341F7">
        <w:t>,</w:t>
      </w:r>
      <w:r w:rsidR="004D70BC">
        <w:t xml:space="preserve"> while </w:t>
      </w:r>
      <w:r w:rsidR="00B73360">
        <w:t>Adela</w:t>
      </w:r>
      <w:r w:rsidR="00342724">
        <w:t xml:space="preserve">ide, Sydney and Perth have </w:t>
      </w:r>
      <w:r w:rsidR="00B73360">
        <w:t xml:space="preserve">ranked in the top 20 cities over the same period </w:t>
      </w:r>
      <w:r w:rsidR="00B73360" w:rsidRPr="00B73360">
        <w:t>(EIU 2016)</w:t>
      </w:r>
      <w:r w:rsidR="00890A3F">
        <w:t xml:space="preserve">. </w:t>
      </w:r>
    </w:p>
    <w:p w14:paraId="6E218960" w14:textId="77777777" w:rsidR="00075B3A" w:rsidRDefault="009325F7" w:rsidP="00075B3A">
      <w:pPr>
        <w:pStyle w:val="BodyText"/>
      </w:pPr>
      <w:r>
        <w:t>Self</w:t>
      </w:r>
      <w:r>
        <w:noBreakHyphen/>
        <w:t>evidently, b</w:t>
      </w:r>
      <w:r w:rsidR="00A0205F">
        <w:t>eing amongst the best in the past provides limited guid</w:t>
      </w:r>
      <w:r w:rsidR="00106D2B">
        <w:t>ance</w:t>
      </w:r>
      <w:r w:rsidR="00A0205F">
        <w:t xml:space="preserve"> on </w:t>
      </w:r>
      <w:r w:rsidR="001A668E">
        <w:t>cities’</w:t>
      </w:r>
      <w:r w:rsidR="00A0205F">
        <w:t xml:space="preserve"> capacity </w:t>
      </w:r>
      <w:r w:rsidR="006D7084">
        <w:t xml:space="preserve">to </w:t>
      </w:r>
      <w:r w:rsidR="00A0205F">
        <w:t xml:space="preserve">handle future challenges. </w:t>
      </w:r>
      <w:r w:rsidR="00075B3A">
        <w:t xml:space="preserve">There will be challenges in maintaining cities’ current desirable attributes as populations grow, with projections </w:t>
      </w:r>
      <w:r w:rsidR="00075B3A" w:rsidRPr="006A3CCF">
        <w:t>suggest</w:t>
      </w:r>
      <w:r w:rsidR="00075B3A">
        <w:t>ing</w:t>
      </w:r>
      <w:r w:rsidR="00075B3A" w:rsidRPr="006A3CCF">
        <w:t xml:space="preserve"> that the majority </w:t>
      </w:r>
      <w:r w:rsidR="00075B3A">
        <w:t xml:space="preserve">of this growth will be in Australia’s capital cities </w:t>
      </w:r>
      <w:r w:rsidR="00075B3A" w:rsidRPr="006A3CCF">
        <w:t>(some 10.8 million more people</w:t>
      </w:r>
      <w:r w:rsidR="00075B3A">
        <w:t xml:space="preserve"> by 2050 </w:t>
      </w:r>
      <w:r w:rsidR="00E27563" w:rsidRPr="00E27563">
        <w:rPr>
          <w:szCs w:val="24"/>
        </w:rPr>
        <w:t>(ABS 2013)</w:t>
      </w:r>
      <w:r w:rsidR="00E27563">
        <w:t>).</w:t>
      </w:r>
      <w:r w:rsidR="00E27563" w:rsidRPr="00181B62" w:rsidDel="00E27563">
        <w:t xml:space="preserve"> </w:t>
      </w:r>
    </w:p>
    <w:p w14:paraId="6E218961" w14:textId="77777777" w:rsidR="00637D5D" w:rsidRDefault="00637D5D" w:rsidP="00C70D16">
      <w:pPr>
        <w:pStyle w:val="BodyText"/>
      </w:pPr>
      <w:r>
        <w:t>There are clearly</w:t>
      </w:r>
      <w:r w:rsidR="009325F7">
        <w:t xml:space="preserve"> </w:t>
      </w:r>
      <w:r w:rsidR="00766028">
        <w:t xml:space="preserve">present </w:t>
      </w:r>
      <w:r>
        <w:t>areas of stress</w:t>
      </w:r>
      <w:r w:rsidR="0018027E">
        <w:t xml:space="preserve"> and suboptimal outcomes</w:t>
      </w:r>
      <w:r>
        <w:t>, most prominently in relation to housing access</w:t>
      </w:r>
      <w:r w:rsidDel="00A0205F">
        <w:t xml:space="preserve"> </w:t>
      </w:r>
      <w:r w:rsidR="007D21B5">
        <w:t>(box</w:t>
      </w:r>
      <w:r w:rsidR="00D913B5">
        <w:t> 1</w:t>
      </w:r>
      <w:r w:rsidR="007D21B5">
        <w:t>)</w:t>
      </w:r>
      <w:r w:rsidDel="00A0205F">
        <w:t xml:space="preserve"> </w:t>
      </w:r>
      <w:r>
        <w:t xml:space="preserve">and </w:t>
      </w:r>
      <w:r w:rsidR="00AB752C">
        <w:t>the ability of the planning system to accommodate changes in business</w:t>
      </w:r>
      <w:r w:rsidR="0034475D">
        <w:t xml:space="preserve"> types and</w:t>
      </w:r>
      <w:r w:rsidR="00AB752C">
        <w:t xml:space="preserve"> format</w:t>
      </w:r>
      <w:r w:rsidR="007E080F">
        <w:t>s</w:t>
      </w:r>
      <w:r w:rsidR="00362A7D">
        <w:t>.</w:t>
      </w:r>
      <w:r w:rsidR="00556EC0">
        <w:t xml:space="preserve"> </w:t>
      </w:r>
    </w:p>
    <w:p w14:paraId="6E218962" w14:textId="77777777" w:rsidR="00117A8B" w:rsidRDefault="00F82D19" w:rsidP="00694BD4">
      <w:pPr>
        <w:pStyle w:val="BodyText"/>
      </w:pPr>
      <w:r>
        <w:t xml:space="preserve">In Sydney </w:t>
      </w:r>
      <w:r w:rsidR="006C2AF3">
        <w:t xml:space="preserve">and </w:t>
      </w:r>
      <w:r>
        <w:t>Melbourne, the</w:t>
      </w:r>
      <w:r w:rsidR="00FD49E5">
        <w:t xml:space="preserve"> supply of </w:t>
      </w:r>
      <w:r>
        <w:t xml:space="preserve">new </w:t>
      </w:r>
      <w:r w:rsidR="00FD49E5">
        <w:t>housing has not kept up with demand</w:t>
      </w:r>
      <w:r>
        <w:t xml:space="preserve">, which </w:t>
      </w:r>
      <w:r w:rsidR="00F90840">
        <w:t xml:space="preserve">has contributed </w:t>
      </w:r>
      <w:r w:rsidR="00FD49E5">
        <w:t xml:space="preserve">to upward </w:t>
      </w:r>
      <w:r w:rsidR="005C7DCE">
        <w:t>pressure on dwelling prices rel</w:t>
      </w:r>
      <w:r w:rsidR="00FD49E5">
        <w:t>ative to income</w:t>
      </w:r>
      <w:r>
        <w:t xml:space="preserve"> – </w:t>
      </w:r>
      <w:r w:rsidR="006C2AF3">
        <w:t xml:space="preserve">at the time of writing, </w:t>
      </w:r>
      <w:r w:rsidR="00FD49E5">
        <w:t>at record highs</w:t>
      </w:r>
      <w:r w:rsidR="0037456E">
        <w:t xml:space="preserve"> </w:t>
      </w:r>
      <w:r w:rsidR="00861538" w:rsidRPr="00861538">
        <w:rPr>
          <w:szCs w:val="24"/>
        </w:rPr>
        <w:t>(Lowe 2017b)</w:t>
      </w:r>
      <w:r w:rsidR="00FD49E5">
        <w:t xml:space="preserve">. </w:t>
      </w:r>
      <w:r w:rsidR="00117A8B" w:rsidRPr="00893E09">
        <w:t xml:space="preserve">High house prices can </w:t>
      </w:r>
      <w:r w:rsidR="00117A8B">
        <w:t>exacerbate</w:t>
      </w:r>
      <w:r w:rsidR="00117A8B" w:rsidRPr="00893E09">
        <w:t xml:space="preserve"> social inequality as</w:t>
      </w:r>
      <w:r w:rsidR="00117A8B">
        <w:t xml:space="preserve"> housing costs </w:t>
      </w:r>
      <w:r w:rsidR="00117A8B" w:rsidRPr="00893E09">
        <w:t xml:space="preserve">in metropolitan cities become unaffordable for low income households </w:t>
      </w:r>
      <w:r w:rsidR="00FC7E0F" w:rsidRPr="00FC7E0F">
        <w:rPr>
          <w:szCs w:val="24"/>
        </w:rPr>
        <w:t>(Henry et al. 2009; SGS Economics &amp; Planning 2015)</w:t>
      </w:r>
      <w:r w:rsidR="00FC7E0F">
        <w:rPr>
          <w:szCs w:val="24"/>
        </w:rPr>
        <w:t>.</w:t>
      </w:r>
      <w:r w:rsidR="00117A8B">
        <w:t xml:space="preserve"> </w:t>
      </w:r>
    </w:p>
    <w:p w14:paraId="6E218963" w14:textId="625347F3" w:rsidR="00075B3A" w:rsidRDefault="00075B3A" w:rsidP="00075B3A">
      <w:pPr>
        <w:pStyle w:val="BodyText"/>
      </w:pPr>
      <w:r>
        <w:t xml:space="preserve">Access to suitable housing and increases in distances travelled to jobs is a problem in several capital cities. </w:t>
      </w:r>
      <w:r w:rsidR="002E5DAD">
        <w:t>About</w:t>
      </w:r>
      <w:r w:rsidRPr="00CB0395">
        <w:t xml:space="preserve"> 60 per cent of net employment growth between 2006 and 2011</w:t>
      </w:r>
      <w:r>
        <w:t xml:space="preserve"> </w:t>
      </w:r>
      <w:r w:rsidRPr="00CB0395">
        <w:t>was within 10</w:t>
      </w:r>
      <w:r>
        <w:t xml:space="preserve"> kilometres</w:t>
      </w:r>
      <w:r w:rsidRPr="00CB0395">
        <w:t xml:space="preserve"> </w:t>
      </w:r>
      <w:r>
        <w:t>of</w:t>
      </w:r>
      <w:r w:rsidRPr="00CB0395">
        <w:t xml:space="preserve"> the CBDs of the largest </w:t>
      </w:r>
      <w:r>
        <w:t>five</w:t>
      </w:r>
      <w:r w:rsidRPr="00CB0395">
        <w:t xml:space="preserve"> capital cities, but net population growth located in the same area was </w:t>
      </w:r>
      <w:r w:rsidR="002E5DAD">
        <w:t>approximately</w:t>
      </w:r>
      <w:r w:rsidRPr="00CB0395">
        <w:t xml:space="preserve"> half this amount. </w:t>
      </w:r>
    </w:p>
    <w:p w14:paraId="6E218964" w14:textId="6B33263B" w:rsidR="00075B3A" w:rsidRDefault="00075B3A" w:rsidP="00075B3A">
      <w:pPr>
        <w:pStyle w:val="BodyText"/>
      </w:pPr>
      <w:r w:rsidRPr="00CB0395">
        <w:t>In Sydney, the majority of jobs that can be reached in 45</w:t>
      </w:r>
      <w:r>
        <w:t> </w:t>
      </w:r>
      <w:r w:rsidRPr="00CB0395">
        <w:t xml:space="preserve">minutes by car are located in the inner city whereas on the city fringes this is the case for </w:t>
      </w:r>
      <w:r>
        <w:t>fewer</w:t>
      </w:r>
      <w:r w:rsidRPr="00CB0395">
        <w:t xml:space="preserve"> than 20 per cent of jobs. Similarly for Melbourne, residents living in the inner city can reach more than half the jobs within a 60 minute public transport trip but residents living </w:t>
      </w:r>
      <w:r>
        <w:t xml:space="preserve">in </w:t>
      </w:r>
      <w:r w:rsidRPr="00CB0395">
        <w:t>outer urban areas</w:t>
      </w:r>
      <w:r>
        <w:t>,</w:t>
      </w:r>
      <w:r w:rsidRPr="00CB0395">
        <w:t xml:space="preserve"> such as those in the western</w:t>
      </w:r>
      <w:r w:rsidR="00181B62">
        <w:noBreakHyphen/>
      </w:r>
      <w:r w:rsidRPr="00CB0395">
        <w:t>suburbs and around Dandenong</w:t>
      </w:r>
      <w:r>
        <w:t>,</w:t>
      </w:r>
      <w:r w:rsidRPr="00CB0395">
        <w:t xml:space="preserve"> can access fewer than one in ten of those jobs </w:t>
      </w:r>
      <w:r w:rsidRPr="007C72A9">
        <w:rPr>
          <w:szCs w:val="24"/>
        </w:rPr>
        <w:t>(Kelly and Donegan 2014)</w:t>
      </w:r>
      <w:r w:rsidRPr="00CB0395">
        <w:t xml:space="preserve">. </w:t>
      </w:r>
    </w:p>
    <w:p w14:paraId="6E218965" w14:textId="77777777" w:rsidR="00694BD4" w:rsidRDefault="00117A8B" w:rsidP="00694BD4">
      <w:pPr>
        <w:pStyle w:val="BodyText"/>
      </w:pPr>
      <w:r>
        <w:t>There are also concerns in several jurisdictions about the</w:t>
      </w:r>
      <w:r w:rsidRPr="007504F8">
        <w:t xml:space="preserve"> extent to which State</w:t>
      </w:r>
      <w:r>
        <w:t>s</w:t>
      </w:r>
      <w:r w:rsidR="0080140C">
        <w:t>’</w:t>
      </w:r>
      <w:r>
        <w:t xml:space="preserve"> intentions with respect to metropolitan development are being informed by, and reflected in, </w:t>
      </w:r>
      <w:r w:rsidRPr="007504F8">
        <w:t xml:space="preserve">local </w:t>
      </w:r>
      <w:r>
        <w:t>decisions — a</w:t>
      </w:r>
      <w:r w:rsidRPr="007504F8">
        <w:t xml:space="preserve">nd hence whether </w:t>
      </w:r>
      <w:r>
        <w:t>broader</w:t>
      </w:r>
      <w:r w:rsidRPr="007504F8">
        <w:t xml:space="preserve"> strategies for </w:t>
      </w:r>
      <w:r>
        <w:t xml:space="preserve">managing the growth and development of </w:t>
      </w:r>
      <w:r w:rsidRPr="007504F8">
        <w:t xml:space="preserve">cities are </w:t>
      </w:r>
      <w:r>
        <w:t>b</w:t>
      </w:r>
      <w:r w:rsidRPr="007504F8">
        <w:t>eing realised.</w:t>
      </w:r>
    </w:p>
    <w:p w14:paraId="6E218966" w14:textId="77777777" w:rsidR="009C5D58" w:rsidRDefault="00117A8B" w:rsidP="00932EB4">
      <w:pPr>
        <w:pStyle w:val="BodyText"/>
      </w:pPr>
      <w:r>
        <w:t>C</w:t>
      </w:r>
      <w:r w:rsidR="00EC1348">
        <w:t>oncerns about</w:t>
      </w:r>
      <w:r w:rsidR="007F3D96" w:rsidDel="00117A8B">
        <w:t xml:space="preserve"> </w:t>
      </w:r>
      <w:r>
        <w:t xml:space="preserve">restrictions on </w:t>
      </w:r>
      <w:r w:rsidR="007F3D96">
        <w:t>housing supply,</w:t>
      </w:r>
      <w:r>
        <w:t xml:space="preserve"> the complexity and prescriptiveness of zoning systems</w:t>
      </w:r>
      <w:r w:rsidR="00DA3BE6">
        <w:t>, particularly the</w:t>
      </w:r>
      <w:r>
        <w:t xml:space="preserve">ir impact on business entry and </w:t>
      </w:r>
      <w:r w:rsidR="00B2752C">
        <w:t>diversification</w:t>
      </w:r>
      <w:r w:rsidR="00EC1348" w:rsidDel="00117A8B">
        <w:t>,</w:t>
      </w:r>
      <w:r w:rsidR="00B2752C" w:rsidDel="00117A8B">
        <w:t xml:space="preserve"> </w:t>
      </w:r>
      <w:r w:rsidR="00B2752C">
        <w:t>and</w:t>
      </w:r>
      <w:r w:rsidR="00EC1348">
        <w:t xml:space="preserve"> the costs and complexity of development assessment processes</w:t>
      </w:r>
      <w:r w:rsidR="00ED4418">
        <w:t>,</w:t>
      </w:r>
      <w:r w:rsidR="007D2495">
        <w:t xml:space="preserve"> </w:t>
      </w:r>
      <w:r w:rsidR="00AD5F0B">
        <w:t>have given rise to several reviews of p</w:t>
      </w:r>
      <w:r w:rsidR="00AD5F0B" w:rsidRPr="007504F8">
        <w:t>lanning systems</w:t>
      </w:r>
      <w:r w:rsidR="00AD5F0B">
        <w:t xml:space="preserve"> in recent years</w:t>
      </w:r>
      <w:r w:rsidR="0084637B">
        <w:t xml:space="preserve"> </w:t>
      </w:r>
      <w:r w:rsidR="007B0AF6" w:rsidRPr="007B0AF6">
        <w:rPr>
          <w:szCs w:val="24"/>
        </w:rPr>
        <w:t>(including several Commission studies; PC 2011b, 2012, 2013, 2014d, 2016)</w:t>
      </w:r>
      <w:r w:rsidR="00EC1348">
        <w:t xml:space="preserve">. </w:t>
      </w:r>
      <w:r w:rsidR="00ED4418">
        <w:t xml:space="preserve">Jurisdictions’ efforts to address these </w:t>
      </w:r>
      <w:r w:rsidR="00843542">
        <w:t>concerns are considered below.</w:t>
      </w:r>
    </w:p>
    <w:p w14:paraId="6E218967" w14:textId="77777777" w:rsidR="007D21B5" w:rsidRDefault="007D21B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7D21B5" w14:paraId="6E21896F" w14:textId="77777777" w:rsidTr="0061187E">
        <w:tc>
          <w:tcPr>
            <w:tcW w:w="5000" w:type="pct"/>
            <w:tcBorders>
              <w:top w:val="single" w:sz="6" w:space="0" w:color="78A22F"/>
              <w:left w:val="nil"/>
              <w:bottom w:val="nil"/>
              <w:right w:val="nil"/>
            </w:tcBorders>
            <w:shd w:val="clear" w:color="auto" w:fill="F2F2F2"/>
          </w:tcPr>
          <w:p w14:paraId="6E218968" w14:textId="77777777" w:rsidR="007D21B5" w:rsidRDefault="007D21B5">
            <w:pPr>
              <w:pStyle w:val="BoxTitle"/>
            </w:pPr>
            <w:r>
              <w:rPr>
                <w:b w:val="0"/>
              </w:rPr>
              <w:t xml:space="preserve">Box </w:t>
            </w:r>
            <w:r w:rsidR="002E1C5D">
              <w:rPr>
                <w:b w:val="0"/>
              </w:rPr>
              <w:t>1</w:t>
            </w:r>
            <w:r>
              <w:tab/>
              <w:t xml:space="preserve">Housing access </w:t>
            </w:r>
          </w:p>
          <w:p w14:paraId="6E218969" w14:textId="77777777" w:rsidR="007D21B5" w:rsidRDefault="007D21B5" w:rsidP="007D21B5">
            <w:pPr>
              <w:pStyle w:val="Box"/>
            </w:pPr>
            <w:r>
              <w:t xml:space="preserve">Access to housing is a significant indicator of city liveability. The growing importance of inner city areas as centres of employment and services means that those who live (or can afford to move) closer to the city centre are likely to be at an advantage. </w:t>
            </w:r>
          </w:p>
          <w:p w14:paraId="6E21896A" w14:textId="77777777" w:rsidR="007D21B5" w:rsidRDefault="007D21B5" w:rsidP="007D21B5">
            <w:pPr>
              <w:pStyle w:val="Box"/>
            </w:pPr>
            <w:r>
              <w:t xml:space="preserve">The </w:t>
            </w:r>
            <w:r w:rsidR="00F06B36" w:rsidRPr="00F06B36">
              <w:rPr>
                <w:b/>
              </w:rPr>
              <w:t>price</w:t>
            </w:r>
            <w:r w:rsidRPr="00F06B36">
              <w:rPr>
                <w:b/>
              </w:rPr>
              <w:t xml:space="preserve"> of housing </w:t>
            </w:r>
            <w:r>
              <w:t xml:space="preserve">varies across </w:t>
            </w:r>
            <w:r w:rsidR="00B73C07">
              <w:t>S</w:t>
            </w:r>
            <w:r>
              <w:t xml:space="preserve">tates and </w:t>
            </w:r>
            <w:r w:rsidR="00B73C07">
              <w:t>T</w:t>
            </w:r>
            <w:r>
              <w:t xml:space="preserve">erritories. </w:t>
            </w:r>
            <w:r w:rsidR="00B87ED6">
              <w:t>T</w:t>
            </w:r>
            <w:r>
              <w:t>he ratio of nationwide house prices to household income is now at record highs</w:t>
            </w:r>
            <w:r w:rsidR="00B73C07">
              <w:t xml:space="preserve">. </w:t>
            </w:r>
            <w:r>
              <w:t xml:space="preserve">New South Wales and Victoria account for the majority of </w:t>
            </w:r>
            <w:r w:rsidR="00B87ED6">
              <w:t>this result</w:t>
            </w:r>
            <w:r w:rsidR="00B73C07">
              <w:t xml:space="preserve">, however, a </w:t>
            </w:r>
            <w:r>
              <w:t xml:space="preserve">key contributor </w:t>
            </w:r>
            <w:r w:rsidR="00B73C07">
              <w:t xml:space="preserve">being </w:t>
            </w:r>
            <w:r>
              <w:t xml:space="preserve">strong population growth in Sydney and Melbourne. </w:t>
            </w:r>
            <w:r w:rsidR="00B73C07">
              <w:t xml:space="preserve">House prices in inner urban areas have increased at a greater rate than outer urban fringes, making it difficult for lower income households to relocate to these areas. </w:t>
            </w:r>
            <w:r>
              <w:t xml:space="preserve">In the other </w:t>
            </w:r>
            <w:r w:rsidR="00B73C07">
              <w:t>S</w:t>
            </w:r>
            <w:r>
              <w:t>tates, the ratio of housing prices to income has been below previous peaks and remained relatively subdued. Th</w:t>
            </w:r>
            <w:r w:rsidR="006D45BB">
              <w:t>e differences between jurisdictions indicate</w:t>
            </w:r>
            <w:r w:rsidDel="006D45BB">
              <w:t xml:space="preserve"> </w:t>
            </w:r>
            <w:r>
              <w:t xml:space="preserve">that economic conditions other than the interest rate level are at play. Noticeably, prices for </w:t>
            </w:r>
            <w:r w:rsidR="00B87ED6">
              <w:t>dwelling</w:t>
            </w:r>
            <w:r>
              <w:t xml:space="preserve"> in Perth have declined, largely attributed to weak economic conditions and slowing population growth following the end of the mining investment boom.</w:t>
            </w:r>
          </w:p>
          <w:p w14:paraId="6E21896B" w14:textId="77777777" w:rsidR="007D21B5" w:rsidRDefault="007D21B5" w:rsidP="007D21B5">
            <w:pPr>
              <w:pStyle w:val="Box"/>
            </w:pPr>
            <w:r>
              <w:t xml:space="preserve">The </w:t>
            </w:r>
            <w:r w:rsidRPr="00F06B36">
              <w:rPr>
                <w:b/>
              </w:rPr>
              <w:t xml:space="preserve">cost of dwelling type </w:t>
            </w:r>
            <w:r>
              <w:t xml:space="preserve">also varies across </w:t>
            </w:r>
            <w:r w:rsidR="005D6D07">
              <w:t xml:space="preserve">States </w:t>
            </w:r>
            <w:r>
              <w:t xml:space="preserve">and </w:t>
            </w:r>
            <w:r w:rsidR="005D6D07">
              <w:t>Territories</w:t>
            </w:r>
            <w:r>
              <w:t>. Price growth for detached houses has been stronger than apartments, particularly in capital cities where there has been an increase in the supply of apartments relative to detached houses. For example, apartment prices in Brisbane declined in the second half of 2016 while the growth in prices for detached houses increased.</w:t>
            </w:r>
          </w:p>
          <w:p w14:paraId="6E21896C" w14:textId="5A0C83AE" w:rsidR="007D21B5" w:rsidRDefault="007D21B5" w:rsidP="007D21B5">
            <w:pPr>
              <w:pStyle w:val="Box"/>
            </w:pPr>
            <w:r w:rsidRPr="00F06B36">
              <w:rPr>
                <w:b/>
              </w:rPr>
              <w:t xml:space="preserve">Housing price pressure </w:t>
            </w:r>
            <w:r>
              <w:t>has been attributed to a range of factors, including low interest rates and a sluggish economic environment, which have encouraged increases in investor activity in some cities. Growth in the value of investor finance for dwellings has outpaced growth in owner</w:t>
            </w:r>
            <w:r w:rsidR="00034822">
              <w:noBreakHyphen/>
            </w:r>
            <w:r>
              <w:t xml:space="preserve">occupier finance over the past decade (investor finance for dwellings grew </w:t>
            </w:r>
            <w:r w:rsidR="00DA5E0D">
              <w:t>4.8 </w:t>
            </w:r>
            <w:r>
              <w:t>per</w:t>
            </w:r>
            <w:r w:rsidR="00DA5E0D">
              <w:t> </w:t>
            </w:r>
            <w:r>
              <w:t>cent</w:t>
            </w:r>
            <w:r w:rsidR="00DA5E0D">
              <w:t> </w:t>
            </w:r>
            <w:r>
              <w:t xml:space="preserve">p.a. on average over the past decade compared </w:t>
            </w:r>
            <w:r w:rsidR="00835CB0">
              <w:t>with</w:t>
            </w:r>
            <w:r>
              <w:t xml:space="preserve"> </w:t>
            </w:r>
            <w:r w:rsidR="00DA5E0D">
              <w:t>2.8 </w:t>
            </w:r>
            <w:r>
              <w:t>per</w:t>
            </w:r>
            <w:r w:rsidR="00DA5E0D">
              <w:t> </w:t>
            </w:r>
            <w:r>
              <w:t xml:space="preserve">cent for owner occupier finance). Over the twelve month period to </w:t>
            </w:r>
            <w:r w:rsidR="00DA5E0D">
              <w:t xml:space="preserve">May </w:t>
            </w:r>
            <w:r>
              <w:t xml:space="preserve">2017, the value of investor finance grew by </w:t>
            </w:r>
            <w:r w:rsidR="00DA5E0D">
              <w:t>7.8 </w:t>
            </w:r>
            <w:r>
              <w:t>per</w:t>
            </w:r>
            <w:r w:rsidR="00DA5E0D">
              <w:t> </w:t>
            </w:r>
            <w:r>
              <w:t xml:space="preserve">cent compared </w:t>
            </w:r>
            <w:r w:rsidR="00835CB0">
              <w:t>with</w:t>
            </w:r>
            <w:r>
              <w:t xml:space="preserve"> </w:t>
            </w:r>
            <w:r w:rsidR="00DA5E0D">
              <w:t>3.1 </w:t>
            </w:r>
            <w:r>
              <w:t>per</w:t>
            </w:r>
            <w:r w:rsidR="00DA5E0D">
              <w:t> </w:t>
            </w:r>
            <w:r>
              <w:t>cent for owner occupier finance. Investor loans now account for 30 to 40 per cent of new loans.</w:t>
            </w:r>
          </w:p>
          <w:p w14:paraId="6E21896D" w14:textId="1F98D385" w:rsidR="007D21B5" w:rsidRDefault="007D21B5" w:rsidP="007D21B5">
            <w:pPr>
              <w:pStyle w:val="Box"/>
            </w:pPr>
            <w:r w:rsidRPr="00F06B36">
              <w:rPr>
                <w:b/>
              </w:rPr>
              <w:t>Supply</w:t>
            </w:r>
            <w:r w:rsidR="00181B62">
              <w:rPr>
                <w:b/>
              </w:rPr>
              <w:noBreakHyphen/>
            </w:r>
            <w:r w:rsidRPr="00F06B36">
              <w:rPr>
                <w:b/>
              </w:rPr>
              <w:t xml:space="preserve">demand dynamics </w:t>
            </w:r>
            <w:r>
              <w:t xml:space="preserve">have been placing upward pressure on dwelling prices in Sydney and Melbourne relative to incomes for some time. Housing demand has increased by about 40 per cent per year over the past decade, driven by population growth, but supply has not kept up with demand and it is only </w:t>
            </w:r>
            <w:r w:rsidR="00034822">
              <w:t xml:space="preserve">in recent years </w:t>
            </w:r>
            <w:r>
              <w:t xml:space="preserve">that residential construction has responded. For example, </w:t>
            </w:r>
            <w:r w:rsidR="00034822">
              <w:t xml:space="preserve">the </w:t>
            </w:r>
            <w:r w:rsidR="007E0E82">
              <w:t>NSW</w:t>
            </w:r>
            <w:r w:rsidR="00034822">
              <w:t xml:space="preserve"> Government has noted that </w:t>
            </w:r>
            <w:r>
              <w:t xml:space="preserve">housing construction </w:t>
            </w:r>
            <w:r w:rsidR="00034822">
              <w:t>is</w:t>
            </w:r>
            <w:r>
              <w:t xml:space="preserve"> recovering from several years of low activity, but the years of low supply production, strong population growth and pent up demand for housing means there remains significant unmet demand. </w:t>
            </w:r>
          </w:p>
          <w:p w14:paraId="6E21896E" w14:textId="77777777" w:rsidR="007D21B5" w:rsidRPr="00F53957" w:rsidRDefault="007D21B5" w:rsidP="0050538B">
            <w:pPr>
              <w:pStyle w:val="Box"/>
            </w:pPr>
            <w:r>
              <w:t>A Grattan Institute survey of homebuyers also suggests that there are large gaps between</w:t>
            </w:r>
            <w:r w:rsidRPr="00F06B36">
              <w:rPr>
                <w:b/>
              </w:rPr>
              <w:t xml:space="preserve"> desired and available types of housing</w:t>
            </w:r>
            <w:r>
              <w:t xml:space="preserve"> in established areas of Sydney and Melbourne. This survey found</w:t>
            </w:r>
            <w:r w:rsidR="00034822">
              <w:t xml:space="preserve"> that</w:t>
            </w:r>
            <w:r>
              <w:t xml:space="preserve"> more than 150</w:t>
            </w:r>
            <w:r w:rsidR="00A05728">
              <w:t> </w:t>
            </w:r>
            <w:r>
              <w:t>000 Sydney households’ preferred dwelling types (for example, apartments four storeys or higher) cannot be accommodated by the city’s existing housing stock. This reflects both the difficulty in replacing the stock given the disruption it would cause, and the long</w:t>
            </w:r>
            <w:r w:rsidR="00034822">
              <w:noBreakHyphen/>
            </w:r>
            <w:r>
              <w:t>lived nature of most detached houses, which has comprised the majority of stock over recent decades (in 1976, detached houses comprised 78 per cent of Australia’s dwelling stock; in 2011 the proportion was 74</w:t>
            </w:r>
            <w:r w:rsidR="0050538B">
              <w:t> per cent).</w:t>
            </w:r>
          </w:p>
        </w:tc>
      </w:tr>
      <w:tr w:rsidR="007D21B5" w14:paraId="6E218971" w14:textId="77777777" w:rsidTr="0061187E">
        <w:tc>
          <w:tcPr>
            <w:tcW w:w="5000" w:type="pct"/>
            <w:tcBorders>
              <w:top w:val="nil"/>
              <w:left w:val="nil"/>
              <w:bottom w:val="nil"/>
              <w:right w:val="nil"/>
            </w:tcBorders>
            <w:shd w:val="clear" w:color="auto" w:fill="F2F2F2"/>
          </w:tcPr>
          <w:p w14:paraId="6E218970" w14:textId="77777777" w:rsidR="007D21B5" w:rsidRDefault="007D21B5" w:rsidP="00382C2E">
            <w:pPr>
              <w:pStyle w:val="BoxSource"/>
            </w:pPr>
            <w:r w:rsidRPr="00C81B56">
              <w:rPr>
                <w:i/>
              </w:rPr>
              <w:t>Sources</w:t>
            </w:r>
            <w:r w:rsidRPr="00C81B56">
              <w:t xml:space="preserve">: </w:t>
            </w:r>
            <w:r w:rsidR="00D73A32">
              <w:t xml:space="preserve">ABS </w:t>
            </w:r>
            <w:r w:rsidR="000E1E25" w:rsidRPr="000E1E25">
              <w:rPr>
                <w:rFonts w:cs="Arial"/>
              </w:rPr>
              <w:t>(2017)</w:t>
            </w:r>
            <w:r w:rsidR="000E1E25">
              <w:t>;</w:t>
            </w:r>
            <w:r w:rsidR="003A04CF">
              <w:t xml:space="preserve"> </w:t>
            </w:r>
            <w:r w:rsidR="00942C5A">
              <w:t xml:space="preserve">Kelly et al. </w:t>
            </w:r>
            <w:r w:rsidR="00942C5A" w:rsidRPr="00210CCD">
              <w:rPr>
                <w:rFonts w:cs="Arial"/>
              </w:rPr>
              <w:t>(2011)</w:t>
            </w:r>
            <w:r w:rsidR="00942C5A">
              <w:t xml:space="preserve">; Kohler and van der Merwe </w:t>
            </w:r>
            <w:r w:rsidR="00942C5A" w:rsidRPr="0014440D">
              <w:rPr>
                <w:rFonts w:cs="Arial"/>
              </w:rPr>
              <w:t>(2015)</w:t>
            </w:r>
            <w:r w:rsidR="00942C5A">
              <w:t xml:space="preserve">; KPMG </w:t>
            </w:r>
            <w:r w:rsidR="00942C5A" w:rsidRPr="0013632E">
              <w:rPr>
                <w:rFonts w:cs="Arial"/>
              </w:rPr>
              <w:t>(2016)</w:t>
            </w:r>
            <w:r w:rsidR="00942C5A">
              <w:t xml:space="preserve">; </w:t>
            </w:r>
            <w:r w:rsidR="00FC50C5">
              <w:t xml:space="preserve">Lowe </w:t>
            </w:r>
            <w:r w:rsidR="00FC50C5" w:rsidRPr="00FC50C5">
              <w:rPr>
                <w:rFonts w:cs="Arial"/>
              </w:rPr>
              <w:t>(2017b, 2017c)</w:t>
            </w:r>
            <w:r w:rsidR="0050538B">
              <w:t>;</w:t>
            </w:r>
            <w:r w:rsidR="00942C5A">
              <w:t xml:space="preserve"> NSW Government </w:t>
            </w:r>
            <w:r w:rsidR="00942C5A" w:rsidRPr="0014440D">
              <w:rPr>
                <w:rFonts w:cs="Arial"/>
              </w:rPr>
              <w:t>(2016)</w:t>
            </w:r>
            <w:r w:rsidR="00942C5A">
              <w:t>;</w:t>
            </w:r>
            <w:r w:rsidR="0050538B">
              <w:t xml:space="preserve"> </w:t>
            </w:r>
            <w:r w:rsidR="00942C5A">
              <w:t xml:space="preserve">PC </w:t>
            </w:r>
            <w:r w:rsidR="00942C5A" w:rsidRPr="00E21FBA">
              <w:rPr>
                <w:rFonts w:cs="Arial"/>
              </w:rPr>
              <w:t>(2011b)</w:t>
            </w:r>
            <w:r w:rsidR="00942C5A">
              <w:t xml:space="preserve">; </w:t>
            </w:r>
            <w:r w:rsidR="0050538B">
              <w:t xml:space="preserve">RBA </w:t>
            </w:r>
            <w:r w:rsidR="00DA50E5" w:rsidRPr="00DA50E5">
              <w:rPr>
                <w:rFonts w:cs="Arial"/>
              </w:rPr>
              <w:t>(2016, 2017)</w:t>
            </w:r>
            <w:r w:rsidR="00002ED5">
              <w:t>.</w:t>
            </w:r>
          </w:p>
        </w:tc>
      </w:tr>
      <w:tr w:rsidR="007D21B5" w14:paraId="6E218973" w14:textId="77777777" w:rsidTr="0061187E">
        <w:tc>
          <w:tcPr>
            <w:tcW w:w="5000" w:type="pct"/>
            <w:tcBorders>
              <w:top w:val="nil"/>
              <w:left w:val="nil"/>
              <w:bottom w:val="single" w:sz="6" w:space="0" w:color="78A22F"/>
              <w:right w:val="nil"/>
            </w:tcBorders>
            <w:shd w:val="clear" w:color="auto" w:fill="F2F2F2"/>
          </w:tcPr>
          <w:p w14:paraId="6E218972" w14:textId="77777777" w:rsidR="007D21B5" w:rsidRDefault="007D21B5">
            <w:pPr>
              <w:pStyle w:val="Box"/>
              <w:spacing w:before="0" w:line="120" w:lineRule="exact"/>
            </w:pPr>
          </w:p>
        </w:tc>
      </w:tr>
      <w:tr w:rsidR="007D21B5" w:rsidRPr="000863A5" w14:paraId="6E218975" w14:textId="77777777" w:rsidTr="0061187E">
        <w:tc>
          <w:tcPr>
            <w:tcW w:w="5000" w:type="pct"/>
            <w:tcBorders>
              <w:top w:val="single" w:sz="6" w:space="0" w:color="78A22F"/>
              <w:left w:val="nil"/>
              <w:bottom w:val="nil"/>
              <w:right w:val="nil"/>
            </w:tcBorders>
          </w:tcPr>
          <w:p w14:paraId="6E218974" w14:textId="77777777" w:rsidR="007D21B5" w:rsidRPr="00626D32" w:rsidRDefault="007D21B5" w:rsidP="007D21B5">
            <w:pPr>
              <w:pStyle w:val="BoxSpaceBelow"/>
            </w:pPr>
          </w:p>
        </w:tc>
      </w:tr>
    </w:tbl>
    <w:p w14:paraId="6E218976" w14:textId="77777777" w:rsidR="007A5221" w:rsidRDefault="00ED4418">
      <w:pPr>
        <w:pStyle w:val="Heading3"/>
      </w:pPr>
      <w:r>
        <w:t>Progress on planning reform</w:t>
      </w:r>
      <w:r w:rsidR="00995C58">
        <w:t xml:space="preserve"> since 2011</w:t>
      </w:r>
    </w:p>
    <w:p w14:paraId="6E218977" w14:textId="77777777" w:rsidR="00571F23" w:rsidRDefault="001B7FA0" w:rsidP="0090496A">
      <w:pPr>
        <w:pStyle w:val="BodyText"/>
      </w:pPr>
      <w:r>
        <w:t>Many State and Territory Governments have made</w:t>
      </w:r>
      <w:r w:rsidR="00EC1348">
        <w:t xml:space="preserve"> </w:t>
      </w:r>
      <w:r>
        <w:t xml:space="preserve">good </w:t>
      </w:r>
      <w:r w:rsidR="00EC1348">
        <w:t xml:space="preserve">progress </w:t>
      </w:r>
      <w:r w:rsidR="00ED4418">
        <w:t>in planning reform</w:t>
      </w:r>
      <w:r w:rsidR="00EC1348">
        <w:t xml:space="preserve"> </w:t>
      </w:r>
      <w:r>
        <w:t>over the past five years</w:t>
      </w:r>
      <w:r w:rsidR="00EC1348">
        <w:t xml:space="preserve"> </w:t>
      </w:r>
      <w:r w:rsidR="00940C5C" w:rsidRPr="001B7FA0">
        <w:t>(box</w:t>
      </w:r>
      <w:r w:rsidR="0090496A">
        <w:t> </w:t>
      </w:r>
      <w:r w:rsidR="007A14F4">
        <w:t>2</w:t>
      </w:r>
      <w:r w:rsidR="00940C5C" w:rsidRPr="001B7FA0">
        <w:t>)</w:t>
      </w:r>
      <w:r w:rsidR="00ED4418">
        <w:t xml:space="preserve">. </w:t>
      </w:r>
    </w:p>
    <w:p w14:paraId="6E218978" w14:textId="77777777" w:rsidR="00900039" w:rsidRDefault="00E1352C" w:rsidP="0090496A">
      <w:pPr>
        <w:pStyle w:val="BodyText"/>
      </w:pPr>
      <w:r>
        <w:t xml:space="preserve">The following notable changes have been made </w:t>
      </w:r>
      <w:r w:rsidR="00571F23">
        <w:t>or are being pursued</w:t>
      </w:r>
      <w:r>
        <w:t xml:space="preserve"> at the State</w:t>
      </w:r>
      <w:r>
        <w:noBreakHyphen/>
        <w:t>specific level</w:t>
      </w:r>
      <w:r w:rsidR="007A14F4">
        <w:t xml:space="preserve">. </w:t>
      </w:r>
    </w:p>
    <w:p w14:paraId="6E218979" w14:textId="77777777" w:rsidR="00900039" w:rsidRDefault="009F04A5" w:rsidP="0090496A">
      <w:pPr>
        <w:pStyle w:val="BodyText"/>
      </w:pPr>
      <w:r>
        <w:t xml:space="preserve">The </w:t>
      </w:r>
      <w:r w:rsidRPr="00900039">
        <w:rPr>
          <w:b/>
        </w:rPr>
        <w:t>Victorian Government</w:t>
      </w:r>
      <w:r>
        <w:t xml:space="preserve"> reformed its residential, industrial and commercial zoning regulations in </w:t>
      </w:r>
      <w:r w:rsidR="002145C2">
        <w:t>2013</w:t>
      </w:r>
      <w:r>
        <w:t xml:space="preserve"> to reduce the number of restrictions and the degree of prescription on the intensity of land uses allowed in each zone type. The Victorian Government further amended its residential zone regulation in March 2017</w:t>
      </w:r>
      <w:r w:rsidRPr="00887CAF">
        <w:t xml:space="preserve"> to </w:t>
      </w:r>
      <w:r>
        <w:t>reduce restrictions on the height and density of developments</w:t>
      </w:r>
      <w:r w:rsidR="00F11521">
        <w:t xml:space="preserve"> </w:t>
      </w:r>
      <w:r w:rsidR="00990BF6" w:rsidRPr="00990BF6">
        <w:rPr>
          <w:szCs w:val="24"/>
        </w:rPr>
        <w:t>(VDELWP 2017b)</w:t>
      </w:r>
      <w:r>
        <w:t>.</w:t>
      </w:r>
      <w:r w:rsidR="00E62603">
        <w:t xml:space="preserve"> </w:t>
      </w:r>
    </w:p>
    <w:p w14:paraId="6E21897A" w14:textId="77777777" w:rsidR="00EB2A59" w:rsidRDefault="0080591C" w:rsidP="0010577F">
      <w:pPr>
        <w:pStyle w:val="BodyText"/>
      </w:pPr>
      <w:r>
        <w:t>In 2017, t</w:t>
      </w:r>
      <w:r w:rsidR="0010577F">
        <w:t xml:space="preserve">he </w:t>
      </w:r>
      <w:r w:rsidR="0010577F" w:rsidRPr="00571F23">
        <w:rPr>
          <w:b/>
        </w:rPr>
        <w:t>Queensland Government</w:t>
      </w:r>
      <w:r w:rsidR="00B663C4">
        <w:t xml:space="preserve"> introduced new planning legislation</w:t>
      </w:r>
      <w:r w:rsidR="00161C1A">
        <w:t xml:space="preserve"> </w:t>
      </w:r>
      <w:r w:rsidR="00596E33">
        <w:t>that includes statuto</w:t>
      </w:r>
      <w:r w:rsidR="006655A3">
        <w:t>ry instruments to better align S</w:t>
      </w:r>
      <w:r w:rsidR="00596E33">
        <w:t xml:space="preserve">tate </w:t>
      </w:r>
      <w:r w:rsidR="007521B6">
        <w:t xml:space="preserve">objectives and regional plans administered by local </w:t>
      </w:r>
      <w:r w:rsidR="00161C1A">
        <w:t>councils</w:t>
      </w:r>
      <w:r w:rsidR="007114BA">
        <w:t xml:space="preserve">. </w:t>
      </w:r>
      <w:r w:rsidR="00F61A09">
        <w:t>The G</w:t>
      </w:r>
      <w:r w:rsidR="00EB2A59">
        <w:t xml:space="preserve">overnment </w:t>
      </w:r>
      <w:r w:rsidR="006F1CC3">
        <w:t>has also</w:t>
      </w:r>
      <w:r w:rsidR="00EB2A59">
        <w:t xml:space="preserve"> replaced Queensland Planning Provisions with identified mandatory elements for </w:t>
      </w:r>
      <w:r w:rsidR="006F1CC3" w:rsidRPr="00B83786">
        <w:t>local</w:t>
      </w:r>
      <w:r w:rsidR="006F1CC3">
        <w:t xml:space="preserve"> </w:t>
      </w:r>
      <w:r w:rsidR="00872DCC">
        <w:t xml:space="preserve">planning </w:t>
      </w:r>
      <w:r w:rsidR="00EB2A59">
        <w:t>schemes</w:t>
      </w:r>
      <w:r w:rsidR="007D2ED9">
        <w:t>,</w:t>
      </w:r>
      <w:r w:rsidR="00EB2A59">
        <w:t xml:space="preserve"> which focus on providing consistency of definitions, and zones with purpose statements</w:t>
      </w:r>
      <w:r w:rsidR="00571F23">
        <w:t xml:space="preserve"> </w:t>
      </w:r>
      <w:r w:rsidR="009127B4" w:rsidRPr="009127B4">
        <w:rPr>
          <w:szCs w:val="24"/>
        </w:rPr>
        <w:t>(QDILGP 2017a)</w:t>
      </w:r>
      <w:r w:rsidR="00EB2A59">
        <w:t xml:space="preserve">. </w:t>
      </w:r>
    </w:p>
    <w:p w14:paraId="6E21897B" w14:textId="24FC04C3" w:rsidR="0090496A" w:rsidRDefault="0020409D" w:rsidP="0090496A">
      <w:pPr>
        <w:pStyle w:val="BodyText"/>
      </w:pPr>
      <w:r>
        <w:t>T</w:t>
      </w:r>
      <w:r w:rsidR="0090496A">
        <w:t xml:space="preserve">he </w:t>
      </w:r>
      <w:r w:rsidR="00634F93">
        <w:rPr>
          <w:b/>
        </w:rPr>
        <w:t>NSW</w:t>
      </w:r>
      <w:r w:rsidR="0090496A" w:rsidRPr="00571F23">
        <w:rPr>
          <w:b/>
        </w:rPr>
        <w:t xml:space="preserve"> Government</w:t>
      </w:r>
      <w:r w:rsidR="0090496A">
        <w:t xml:space="preserve"> </w:t>
      </w:r>
      <w:r w:rsidR="007D2ED9">
        <w:t>has</w:t>
      </w:r>
      <w:r w:rsidR="0090496A">
        <w:t xml:space="preserve"> established a clearer an</w:t>
      </w:r>
      <w:r w:rsidR="002A7CFF">
        <w:t>d more integrated hierarchy of S</w:t>
      </w:r>
      <w:r w:rsidR="0090496A">
        <w:t>tate, regional and district plans for the Greater Sydney region, with clearer links to local planning controls. In addition, the Government has simplified the planning system by reducing the number of State planning instruments</w:t>
      </w:r>
      <w:r w:rsidR="002D092D">
        <w:t xml:space="preserve"> </w:t>
      </w:r>
      <w:r w:rsidR="0090496A">
        <w:t>and</w:t>
      </w:r>
      <w:r w:rsidR="00BD2034">
        <w:t xml:space="preserve"> the development approval pathway for low</w:t>
      </w:r>
      <w:r w:rsidR="00C40D5C">
        <w:noBreakHyphen/>
      </w:r>
      <w:r w:rsidR="00BD2034">
        <w:t xml:space="preserve">impact residential buildings. </w:t>
      </w:r>
      <w:r w:rsidR="009E6E71">
        <w:t xml:space="preserve">The Government has </w:t>
      </w:r>
      <w:r w:rsidR="001675D4">
        <w:t>further</w:t>
      </w:r>
      <w:r>
        <w:t xml:space="preserve"> </w:t>
      </w:r>
      <w:r w:rsidR="009E6E71">
        <w:t xml:space="preserve">established </w:t>
      </w:r>
      <w:r w:rsidR="00B610DB">
        <w:t>a</w:t>
      </w:r>
      <w:r w:rsidR="009E6E71">
        <w:t xml:space="preserve"> planning database as an electronic repository for planning information and </w:t>
      </w:r>
      <w:r w:rsidR="00B610DB">
        <w:t>a</w:t>
      </w:r>
      <w:r w:rsidR="009E6E71">
        <w:t xml:space="preserve"> portal that provides online access to information.</w:t>
      </w:r>
    </w:p>
    <w:p w14:paraId="6E21897C" w14:textId="77777777" w:rsidR="0020409D" w:rsidRDefault="0020409D" w:rsidP="0020409D">
      <w:pPr>
        <w:pStyle w:val="BodyText"/>
      </w:pPr>
      <w:r>
        <w:t xml:space="preserve">The above and other measures were instituted following failure </w:t>
      </w:r>
      <w:r w:rsidR="00C40D5C">
        <w:t xml:space="preserve">to achieve Parliamentary approval to </w:t>
      </w:r>
      <w:r>
        <w:t xml:space="preserve">a package of major changes to planning legislation in 2013. The </w:t>
      </w:r>
      <w:r w:rsidR="009216A7">
        <w:t>G</w:t>
      </w:r>
      <w:r>
        <w:t>overnment has since proposed further legislative reforms, includ</w:t>
      </w:r>
      <w:r w:rsidR="00384CC4">
        <w:t>ing</w:t>
      </w:r>
      <w:r>
        <w:t xml:space="preserve"> to require decision</w:t>
      </w:r>
      <w:r>
        <w:noBreakHyphen/>
        <w:t>makers to give reasons for their decisions,</w:t>
      </w:r>
      <w:r w:rsidR="00384CC4">
        <w:t xml:space="preserve"> consolidating community consultation provisions,</w:t>
      </w:r>
      <w:r w:rsidR="001A2B0D">
        <w:t xml:space="preserve"> </w:t>
      </w:r>
      <w:r w:rsidR="00C40D5C">
        <w:t xml:space="preserve">and </w:t>
      </w:r>
      <w:r w:rsidR="001A2B0D">
        <w:t>further improv</w:t>
      </w:r>
      <w:r w:rsidR="00C40D5C">
        <w:t>ing</w:t>
      </w:r>
      <w:r w:rsidR="001A2B0D">
        <w:t xml:space="preserve"> the </w:t>
      </w:r>
      <w:r w:rsidR="00C40D5C">
        <w:t xml:space="preserve">assessment </w:t>
      </w:r>
      <w:r w:rsidR="00E2589F">
        <w:t>pathway</w:t>
      </w:r>
      <w:r w:rsidR="00C40D5C">
        <w:t xml:space="preserve"> for</w:t>
      </w:r>
      <w:r w:rsidR="001A2B0D">
        <w:t xml:space="preserve"> low impact proposals</w:t>
      </w:r>
      <w:r>
        <w:t xml:space="preserve"> and the</w:t>
      </w:r>
      <w:r w:rsidR="00831858">
        <w:t xml:space="preserve"> coherence and transparency of S</w:t>
      </w:r>
      <w:r>
        <w:t>tate and local</w:t>
      </w:r>
      <w:r>
        <w:noBreakHyphen/>
        <w:t xml:space="preserve">level planning. But this package does not include </w:t>
      </w:r>
      <w:r w:rsidR="00E2589F">
        <w:t xml:space="preserve">some </w:t>
      </w:r>
      <w:r>
        <w:t xml:space="preserve">key 2013 reforms, including </w:t>
      </w:r>
      <w:r w:rsidR="001B2D49">
        <w:t xml:space="preserve">on </w:t>
      </w:r>
      <w:r>
        <w:t>overly restrictive zoning regulations</w:t>
      </w:r>
      <w:r w:rsidR="00571F23">
        <w:t xml:space="preserve"> </w:t>
      </w:r>
      <w:r w:rsidR="009127B4" w:rsidRPr="009127B4">
        <w:rPr>
          <w:szCs w:val="24"/>
        </w:rPr>
        <w:t>(Allens 2017)</w:t>
      </w:r>
      <w:r>
        <w:t xml:space="preserve">. </w:t>
      </w:r>
    </w:p>
    <w:p w14:paraId="6E21897D" w14:textId="77777777" w:rsidR="001E23E1" w:rsidRDefault="001E23E1" w:rsidP="00B129D4">
      <w:pPr>
        <w:pStyle w:val="BodyText"/>
      </w:pPr>
      <w:r>
        <w:t xml:space="preserve">Both the </w:t>
      </w:r>
      <w:r w:rsidR="00A643F9">
        <w:t>Tasmanian and South Australian G</w:t>
      </w:r>
      <w:r>
        <w:t>overnments are embarking on broader reforms of their planning systems.</w:t>
      </w:r>
    </w:p>
    <w:p w14:paraId="6E21897E" w14:textId="45331A69" w:rsidR="001E23E1" w:rsidRDefault="001E23E1" w:rsidP="00B129D4">
      <w:pPr>
        <w:pStyle w:val="BodyText"/>
      </w:pPr>
      <w:r>
        <w:t xml:space="preserve">The </w:t>
      </w:r>
      <w:r w:rsidRPr="00571F23">
        <w:rPr>
          <w:b/>
        </w:rPr>
        <w:t xml:space="preserve">South Australian Government </w:t>
      </w:r>
      <w:r>
        <w:t>is seeking to overhaul its planning system over the next five years. A key aim is to replace the 1500</w:t>
      </w:r>
      <w:r>
        <w:noBreakHyphen/>
        <w:t xml:space="preserve">plus zones and council plans with a more consistent and succinct set of development rules that, among other things, </w:t>
      </w:r>
      <w:r w:rsidR="00A060B7">
        <w:t xml:space="preserve">recognises different levels of </w:t>
      </w:r>
      <w:r w:rsidR="0057368E">
        <w:t>regulatory</w:t>
      </w:r>
      <w:r>
        <w:t xml:space="preserve"> risk. The </w:t>
      </w:r>
      <w:r w:rsidR="000123A3">
        <w:t>G</w:t>
      </w:r>
      <w:r>
        <w:t>overnment established an independent State Planning Co</w:t>
      </w:r>
      <w:r w:rsidR="00562880">
        <w:t>mmission in 2017 to act as the S</w:t>
      </w:r>
      <w:r>
        <w:t xml:space="preserve">tate’s primary planning advisory and development assessment body. </w:t>
      </w:r>
      <w:r w:rsidR="00DC6BD1">
        <w:t>It</w:t>
      </w:r>
      <w:r>
        <w:t xml:space="preserve"> is planning to streamline its development assessment pathways in 2018</w:t>
      </w:r>
      <w:r w:rsidR="00AB6E14">
        <w:noBreakHyphen/>
      </w:r>
      <w:r>
        <w:t xml:space="preserve">19. </w:t>
      </w:r>
    </w:p>
    <w:p w14:paraId="6E21897F" w14:textId="77777777" w:rsidR="001637F2" w:rsidRDefault="001637F2" w:rsidP="00B90E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1637F2" w14:paraId="6E218981" w14:textId="77777777" w:rsidTr="0061187E">
        <w:tc>
          <w:tcPr>
            <w:tcW w:w="5000" w:type="pct"/>
            <w:tcBorders>
              <w:top w:val="single" w:sz="6" w:space="0" w:color="78A22F"/>
              <w:left w:val="nil"/>
              <w:bottom w:val="nil"/>
              <w:right w:val="nil"/>
            </w:tcBorders>
            <w:shd w:val="clear" w:color="auto" w:fill="F2F2F2"/>
          </w:tcPr>
          <w:p w14:paraId="6E218980" w14:textId="77777777" w:rsidR="001637F2" w:rsidRDefault="001637F2" w:rsidP="002E1C5D">
            <w:pPr>
              <w:pStyle w:val="BoxTitle"/>
            </w:pPr>
            <w:r>
              <w:rPr>
                <w:b w:val="0"/>
              </w:rPr>
              <w:t>Box</w:t>
            </w:r>
            <w:r w:rsidR="002E1C5D">
              <w:rPr>
                <w:b w:val="0"/>
              </w:rPr>
              <w:t xml:space="preserve"> 2</w:t>
            </w:r>
            <w:r>
              <w:tab/>
              <w:t>Recent improvements in planning systems</w:t>
            </w:r>
          </w:p>
        </w:tc>
      </w:tr>
      <w:tr w:rsidR="001637F2" w14:paraId="6E21898A" w14:textId="77777777" w:rsidTr="0061187E">
        <w:tc>
          <w:tcPr>
            <w:tcW w:w="5000" w:type="pct"/>
            <w:tcBorders>
              <w:top w:val="nil"/>
              <w:left w:val="nil"/>
              <w:bottom w:val="nil"/>
              <w:right w:val="nil"/>
            </w:tcBorders>
            <w:shd w:val="clear" w:color="auto" w:fill="F2F2F2"/>
          </w:tcPr>
          <w:p w14:paraId="6E218982" w14:textId="77777777" w:rsidR="00D645EB" w:rsidRPr="001C3EF9" w:rsidRDefault="007F3D96" w:rsidP="00B05B63">
            <w:pPr>
              <w:pStyle w:val="Box"/>
            </w:pPr>
            <w:r>
              <w:t>Sydney and Melbourne have provided for more efficient land release and new housing in recent years. The years of slow supply are likely to be contributing to present high housing prices, however (</w:t>
            </w:r>
            <w:r w:rsidR="00281CA4">
              <w:t>box</w:t>
            </w:r>
            <w:r w:rsidR="000E1E25">
              <w:t> </w:t>
            </w:r>
            <w:r w:rsidR="00281CA4">
              <w:t>1</w:t>
            </w:r>
            <w:r w:rsidR="00C30371">
              <w:t>).</w:t>
            </w:r>
            <w:r>
              <w:t xml:space="preserve"> In addition, t</w:t>
            </w:r>
            <w:r w:rsidR="0018027E">
              <w:t xml:space="preserve">here has been effort by all jurisdictions </w:t>
            </w:r>
            <w:r w:rsidR="00D645EB">
              <w:t>to reduce the complexity of</w:t>
            </w:r>
            <w:r w:rsidR="00D645EB" w:rsidRPr="001C3EF9">
              <w:t xml:space="preserve"> development assessment processes</w:t>
            </w:r>
            <w:r w:rsidR="007D2495">
              <w:t xml:space="preserve"> </w:t>
            </w:r>
            <w:r w:rsidR="00D645EB" w:rsidRPr="001C3EF9">
              <w:t>and improv</w:t>
            </w:r>
            <w:r w:rsidR="00D645EB">
              <w:t>e</w:t>
            </w:r>
            <w:r w:rsidR="00D645EB" w:rsidRPr="001C3EF9">
              <w:t xml:space="preserve"> transparency </w:t>
            </w:r>
            <w:r w:rsidR="0018027E">
              <w:t>in decision making</w:t>
            </w:r>
            <w:r w:rsidR="00D645EB">
              <w:t xml:space="preserve">. </w:t>
            </w:r>
            <w:r w:rsidR="00281CA4">
              <w:t>F</w:t>
            </w:r>
            <w:r w:rsidR="007D2495">
              <w:t>or example</w:t>
            </w:r>
            <w:r w:rsidR="00281CA4">
              <w:t>, since 2011</w:t>
            </w:r>
            <w:r w:rsidR="00D645EB" w:rsidRPr="001C3EF9">
              <w:t>:</w:t>
            </w:r>
          </w:p>
          <w:p w14:paraId="6E218983" w14:textId="285A5C57" w:rsidR="00D645EB" w:rsidRPr="001C3EF9" w:rsidRDefault="005D6434" w:rsidP="00D645EB">
            <w:pPr>
              <w:pStyle w:val="BoxListBullet"/>
            </w:pPr>
            <w:r>
              <w:t>s</w:t>
            </w:r>
            <w:r w:rsidR="00D645EB" w:rsidRPr="001C3EF9">
              <w:t xml:space="preserve">tandard (statutory) planning templates for local planning schemes have been introduced in all but </w:t>
            </w:r>
            <w:r w:rsidR="005B489B">
              <w:t>one</w:t>
            </w:r>
            <w:r w:rsidR="005B489B" w:rsidRPr="001C3EF9">
              <w:t xml:space="preserve"> </w:t>
            </w:r>
            <w:r w:rsidR="00281CA4">
              <w:t>S</w:t>
            </w:r>
            <w:r w:rsidR="005B489B">
              <w:t>tate</w:t>
            </w:r>
            <w:r w:rsidR="00D645EB">
              <w:t xml:space="preserve">, </w:t>
            </w:r>
            <w:r w:rsidR="00D645EB" w:rsidRPr="001C3EF9">
              <w:t>South Australia</w:t>
            </w:r>
            <w:r w:rsidR="005B489B">
              <w:t>, which is</w:t>
            </w:r>
            <w:r w:rsidR="00D645EB" w:rsidRPr="001C3EF9">
              <w:t xml:space="preserve"> in the process of transitioning </w:t>
            </w:r>
            <w:r w:rsidR="00281CA4">
              <w:t>L</w:t>
            </w:r>
            <w:r w:rsidR="00D645EB" w:rsidRPr="001C3EF9">
              <w:t xml:space="preserve">ocal </w:t>
            </w:r>
            <w:r w:rsidR="00281CA4">
              <w:t>G</w:t>
            </w:r>
            <w:r w:rsidR="00D645EB" w:rsidRPr="001C3EF9">
              <w:t xml:space="preserve">overnment plans to a standardised format. This </w:t>
            </w:r>
            <w:r w:rsidR="00D645EB">
              <w:t>move has provided for</w:t>
            </w:r>
            <w:r w:rsidR="00D645EB" w:rsidRPr="001C3EF9">
              <w:t xml:space="preserve"> greater </w:t>
            </w:r>
            <w:r w:rsidR="006B3BB8">
              <w:t xml:space="preserve">level of </w:t>
            </w:r>
            <w:r w:rsidR="00D645EB" w:rsidRPr="001C3EF9">
              <w:t xml:space="preserve">consistency between </w:t>
            </w:r>
            <w:r w:rsidR="00281CA4">
              <w:t>S</w:t>
            </w:r>
            <w:r w:rsidR="00D645EB" w:rsidRPr="001C3EF9">
              <w:t xml:space="preserve">tate and </w:t>
            </w:r>
            <w:r w:rsidR="0058057C">
              <w:t>l</w:t>
            </w:r>
            <w:r w:rsidR="00D645EB" w:rsidRPr="001C3EF9">
              <w:t>ocal plans</w:t>
            </w:r>
          </w:p>
          <w:p w14:paraId="6E218984" w14:textId="52BCA99B" w:rsidR="00F33E33" w:rsidRPr="001C3EF9" w:rsidRDefault="005D6434">
            <w:pPr>
              <w:pStyle w:val="BoxListBullet"/>
            </w:pPr>
            <w:r>
              <w:t>c</w:t>
            </w:r>
            <w:r w:rsidR="00DA58CA" w:rsidRPr="001C3EF9">
              <w:t>onsistent</w:t>
            </w:r>
            <w:r w:rsidR="00F33E33" w:rsidRPr="001C3EF9">
              <w:t xml:space="preserve"> zoning conventions </w:t>
            </w:r>
            <w:r w:rsidR="006E10DC">
              <w:t xml:space="preserve">have been </w:t>
            </w:r>
            <w:r w:rsidR="00AD761A">
              <w:t>created for Local G</w:t>
            </w:r>
            <w:r w:rsidR="003E62F2">
              <w:t>overnments</w:t>
            </w:r>
            <w:r w:rsidR="00F33E33" w:rsidRPr="001C3EF9">
              <w:t xml:space="preserve"> within </w:t>
            </w:r>
            <w:r w:rsidR="003E62F2">
              <w:t>the States</w:t>
            </w:r>
            <w:r w:rsidR="00F33E33" w:rsidRPr="001C3EF9">
              <w:t xml:space="preserve">, with most jurisdictions prescribing a set of permitted zone </w:t>
            </w:r>
            <w:r w:rsidR="00254E54">
              <w:t>types and</w:t>
            </w:r>
            <w:r w:rsidR="00F33E33" w:rsidRPr="00254E54">
              <w:t xml:space="preserve"> </w:t>
            </w:r>
            <w:r w:rsidR="00F33E33" w:rsidRPr="001C3EF9">
              <w:t>land uses</w:t>
            </w:r>
          </w:p>
          <w:p w14:paraId="6E218985" w14:textId="2759407F" w:rsidR="00D645EB" w:rsidRPr="00C11B68" w:rsidRDefault="005D6434" w:rsidP="00D645EB">
            <w:pPr>
              <w:pStyle w:val="BoxListBullet"/>
            </w:pPr>
            <w:r>
              <w:t>f</w:t>
            </w:r>
            <w:r w:rsidR="00814184">
              <w:t>ast</w:t>
            </w:r>
            <w:r w:rsidR="00814184">
              <w:noBreakHyphen/>
              <w:t>track</w:t>
            </w:r>
            <w:r w:rsidR="00E1352C">
              <w:t>ed development assessment paths</w:t>
            </w:r>
            <w:r w:rsidR="00D645EB" w:rsidRPr="001C3EF9">
              <w:t xml:space="preserve">, </w:t>
            </w:r>
            <w:r w:rsidR="00D645EB">
              <w:t>including</w:t>
            </w:r>
            <w:r w:rsidR="00D645EB" w:rsidRPr="001C3EF9">
              <w:t xml:space="preserve"> a </w:t>
            </w:r>
            <w:r w:rsidR="00D645EB">
              <w:t>‘code</w:t>
            </w:r>
            <w:r w:rsidR="00D645EB" w:rsidRPr="001C3EF9">
              <w:noBreakHyphen/>
              <w:t>assess</w:t>
            </w:r>
            <w:r w:rsidR="00D645EB">
              <w:t>’</w:t>
            </w:r>
            <w:r w:rsidR="00D645EB" w:rsidRPr="001C3EF9">
              <w:t xml:space="preserve"> category</w:t>
            </w:r>
            <w:r w:rsidR="00D645EB">
              <w:t xml:space="preserve">, are </w:t>
            </w:r>
            <w:r w:rsidR="00D645EB" w:rsidRPr="001C3EF9">
              <w:t>being used in all jurisdictions. Th</w:t>
            </w:r>
            <w:r w:rsidR="00D645EB">
              <w:t>e</w:t>
            </w:r>
            <w:r w:rsidR="00D645EB" w:rsidRPr="001C3EF9">
              <w:t xml:space="preserve"> </w:t>
            </w:r>
            <w:r w:rsidR="00D645EB">
              <w:t>code</w:t>
            </w:r>
            <w:r w:rsidR="00470382">
              <w:noBreakHyphen/>
            </w:r>
            <w:r w:rsidR="00D645EB" w:rsidRPr="001C3EF9">
              <w:t>assess category fast</w:t>
            </w:r>
            <w:r w:rsidR="00D645EB" w:rsidRPr="001C3EF9">
              <w:noBreakHyphen/>
              <w:t>tracks development applications by providing preset</w:t>
            </w:r>
            <w:r w:rsidR="00D645EB" w:rsidRPr="00C11B68">
              <w:t xml:space="preserve"> criteria </w:t>
            </w:r>
            <w:r w:rsidR="00D645EB">
              <w:t xml:space="preserve">against which </w:t>
            </w:r>
            <w:r w:rsidR="00D645EB" w:rsidRPr="00C11B68">
              <w:t>to assess developments, and assurance that consent will always be given if all criteria are met</w:t>
            </w:r>
          </w:p>
          <w:p w14:paraId="6E218986" w14:textId="387ADCC6" w:rsidR="00D645EB" w:rsidRPr="00045267" w:rsidRDefault="005D6434" w:rsidP="00D645EB">
            <w:pPr>
              <w:pStyle w:val="BoxListBullet"/>
            </w:pPr>
            <w:r>
              <w:t>c</w:t>
            </w:r>
            <w:r w:rsidR="00D645EB" w:rsidRPr="00C70536">
              <w:t>apital city strategies have been developed for all jurisdictions</w:t>
            </w:r>
            <w:r w:rsidR="00D645EB">
              <w:t xml:space="preserve">, providing </w:t>
            </w:r>
            <w:r w:rsidR="006B3BB8">
              <w:t xml:space="preserve">greater </w:t>
            </w:r>
            <w:r w:rsidR="00D645EB" w:rsidRPr="00C70536">
              <w:t xml:space="preserve">direction for land planning and a </w:t>
            </w:r>
            <w:r w:rsidR="006B3BB8">
              <w:t xml:space="preserve">more </w:t>
            </w:r>
            <w:r w:rsidR="00D645EB" w:rsidRPr="00C70536">
              <w:t>conducive env</w:t>
            </w:r>
            <w:r w:rsidR="00D645EB" w:rsidRPr="00EE1061">
              <w:t>ironment for investment</w:t>
            </w:r>
          </w:p>
          <w:p w14:paraId="6E218987" w14:textId="765AD0FB" w:rsidR="00D645EB" w:rsidRPr="00702B22" w:rsidRDefault="005D6434" w:rsidP="00D645EB">
            <w:pPr>
              <w:pStyle w:val="BoxListBullet"/>
            </w:pPr>
            <w:r>
              <w:t>a</w:t>
            </w:r>
            <w:r w:rsidR="006B3BB8">
              <w:t>ll S</w:t>
            </w:r>
            <w:r w:rsidR="00D645EB">
              <w:t xml:space="preserve">tates have sought the </w:t>
            </w:r>
            <w:r w:rsidR="00D645EB" w:rsidRPr="00702B22">
              <w:t xml:space="preserve">greater involvement of </w:t>
            </w:r>
            <w:r w:rsidR="00D645EB">
              <w:t xml:space="preserve">independent </w:t>
            </w:r>
            <w:r w:rsidR="00D645EB" w:rsidRPr="00702B22">
              <w:t xml:space="preserve">experts </w:t>
            </w:r>
            <w:r w:rsidR="00D645EB">
              <w:t>(in architecture, urban design</w:t>
            </w:r>
            <w:r w:rsidR="00470382">
              <w:t>, heritage protection</w:t>
            </w:r>
            <w:r w:rsidR="00D645EB">
              <w:t xml:space="preserve"> or social planning) </w:t>
            </w:r>
            <w:r w:rsidR="00D645EB" w:rsidRPr="00702B22">
              <w:t>and communities in planning decisions</w:t>
            </w:r>
          </w:p>
          <w:p w14:paraId="6E218988" w14:textId="298FF65E" w:rsidR="005D6084" w:rsidRPr="00702B22" w:rsidRDefault="005D6434" w:rsidP="005D6084">
            <w:pPr>
              <w:pStyle w:val="BoxListBullet"/>
            </w:pPr>
            <w:r>
              <w:t>a</w:t>
            </w:r>
            <w:r w:rsidR="005D6084" w:rsidRPr="005D6084">
              <w:t xml:space="preserve">ll </w:t>
            </w:r>
            <w:r w:rsidR="00281CA4">
              <w:t>S</w:t>
            </w:r>
            <w:r w:rsidR="005D6084" w:rsidRPr="005D6084">
              <w:t>tates</w:t>
            </w:r>
            <w:r w:rsidR="005D6084" w:rsidRPr="005D6084" w:rsidDel="00281CA4">
              <w:t xml:space="preserve"> </w:t>
            </w:r>
            <w:r w:rsidR="00281CA4">
              <w:t>with the exception of</w:t>
            </w:r>
            <w:r w:rsidR="00281CA4" w:rsidRPr="005D6084">
              <w:t xml:space="preserve"> </w:t>
            </w:r>
            <w:r w:rsidR="005D6084" w:rsidRPr="005D6084">
              <w:t xml:space="preserve">Queensland </w:t>
            </w:r>
            <w:r w:rsidR="005D6084">
              <w:t xml:space="preserve">now have supra council planning panels </w:t>
            </w:r>
            <w:r w:rsidR="005D6084" w:rsidRPr="005D6084">
              <w:t>to make determinations on developments that have significant impacts beyond a</w:t>
            </w:r>
            <w:r w:rsidR="005D6084">
              <w:t>n individual</w:t>
            </w:r>
            <w:r w:rsidR="005D6084" w:rsidRPr="005D6084">
              <w:t xml:space="preserve"> council’s boundaries </w:t>
            </w:r>
          </w:p>
          <w:p w14:paraId="6E218989" w14:textId="65ABF0A5" w:rsidR="002D3981" w:rsidRDefault="005D6434" w:rsidP="00151770">
            <w:pPr>
              <w:pStyle w:val="BoxListBullet"/>
            </w:pPr>
            <w:r>
              <w:t>a</w:t>
            </w:r>
            <w:r w:rsidR="00D645EB" w:rsidRPr="001C3EF9">
              <w:t xml:space="preserve">ll </w:t>
            </w:r>
            <w:r w:rsidR="00281CA4">
              <w:t>States</w:t>
            </w:r>
            <w:r w:rsidR="00281CA4" w:rsidRPr="001C3EF9">
              <w:t xml:space="preserve"> </w:t>
            </w:r>
            <w:r w:rsidR="00921CDA">
              <w:t>have introduced</w:t>
            </w:r>
            <w:r w:rsidR="00D645EB" w:rsidRPr="001C3EF9">
              <w:t xml:space="preserve"> online services for submitting and tracking development applications</w:t>
            </w:r>
            <w:r w:rsidR="00D645EB">
              <w:t>, and local planning schemes are easily accessible online</w:t>
            </w:r>
            <w:r w:rsidR="00D645EB" w:rsidRPr="001C3EF9">
              <w:t xml:space="preserve"> (</w:t>
            </w:r>
            <w:r w:rsidR="00D645EB">
              <w:t>online services</w:t>
            </w:r>
            <w:r w:rsidR="00D645EB" w:rsidRPr="001C3EF9">
              <w:t xml:space="preserve"> are currently being rolled out in Tasmania</w:t>
            </w:r>
            <w:r w:rsidR="00D645EB" w:rsidRPr="00ED5B63">
              <w:t xml:space="preserve">. </w:t>
            </w:r>
          </w:p>
        </w:tc>
      </w:tr>
      <w:tr w:rsidR="001637F2" w14:paraId="6E21898C" w14:textId="77777777" w:rsidTr="0061187E">
        <w:tc>
          <w:tcPr>
            <w:tcW w:w="5000" w:type="pct"/>
            <w:tcBorders>
              <w:top w:val="nil"/>
              <w:left w:val="nil"/>
              <w:bottom w:val="nil"/>
              <w:right w:val="nil"/>
            </w:tcBorders>
            <w:shd w:val="clear" w:color="auto" w:fill="F2F2F2"/>
          </w:tcPr>
          <w:p w14:paraId="6E21898B" w14:textId="77777777" w:rsidR="001637F2" w:rsidRDefault="001637F2" w:rsidP="00311457">
            <w:pPr>
              <w:pStyle w:val="BoxSource"/>
            </w:pPr>
            <w:r>
              <w:rPr>
                <w:i/>
              </w:rPr>
              <w:t>Sources</w:t>
            </w:r>
            <w:r w:rsidRPr="00167F06">
              <w:t xml:space="preserve">: </w:t>
            </w:r>
            <w:r w:rsidR="00311457">
              <w:t xml:space="preserve">QDILGP </w:t>
            </w:r>
            <w:r w:rsidR="009127B4" w:rsidRPr="009127B4">
              <w:rPr>
                <w:rFonts w:cs="Arial"/>
              </w:rPr>
              <w:t>(2017c)</w:t>
            </w:r>
            <w:r w:rsidR="00311457">
              <w:t xml:space="preserve">; SADPTI </w:t>
            </w:r>
            <w:r w:rsidR="00CB04E7" w:rsidRPr="00CB04E7">
              <w:rPr>
                <w:rFonts w:cs="Arial"/>
              </w:rPr>
              <w:t>(2017b, 2016c)</w:t>
            </w:r>
            <w:r w:rsidR="00311457">
              <w:t xml:space="preserve">; TPC </w:t>
            </w:r>
            <w:r w:rsidR="00311457" w:rsidRPr="00311457">
              <w:rPr>
                <w:rFonts w:cs="Arial"/>
              </w:rPr>
              <w:t>(2017)</w:t>
            </w:r>
            <w:r>
              <w:t>.</w:t>
            </w:r>
          </w:p>
        </w:tc>
      </w:tr>
      <w:tr w:rsidR="001637F2" w14:paraId="6E21898E" w14:textId="77777777" w:rsidTr="0061187E">
        <w:tc>
          <w:tcPr>
            <w:tcW w:w="5000" w:type="pct"/>
            <w:tcBorders>
              <w:top w:val="nil"/>
              <w:left w:val="nil"/>
              <w:bottom w:val="single" w:sz="6" w:space="0" w:color="78A22F"/>
              <w:right w:val="nil"/>
            </w:tcBorders>
            <w:shd w:val="clear" w:color="auto" w:fill="F2F2F2"/>
          </w:tcPr>
          <w:p w14:paraId="6E21898D" w14:textId="77777777" w:rsidR="001637F2" w:rsidRDefault="001637F2">
            <w:pPr>
              <w:pStyle w:val="Box"/>
              <w:spacing w:before="0" w:line="120" w:lineRule="exact"/>
            </w:pPr>
          </w:p>
        </w:tc>
      </w:tr>
      <w:tr w:rsidR="001637F2" w:rsidRPr="000863A5" w14:paraId="6E218990" w14:textId="77777777" w:rsidTr="0061187E">
        <w:tc>
          <w:tcPr>
            <w:tcW w:w="5000" w:type="pct"/>
            <w:tcBorders>
              <w:top w:val="single" w:sz="6" w:space="0" w:color="78A22F"/>
              <w:left w:val="nil"/>
              <w:bottom w:val="nil"/>
              <w:right w:val="nil"/>
            </w:tcBorders>
          </w:tcPr>
          <w:p w14:paraId="6E21898F" w14:textId="77777777" w:rsidR="001637F2" w:rsidRPr="00626D32" w:rsidRDefault="001637F2" w:rsidP="001637F2">
            <w:pPr>
              <w:pStyle w:val="BoxSpaceBelow"/>
            </w:pPr>
          </w:p>
        </w:tc>
      </w:tr>
    </w:tbl>
    <w:p w14:paraId="6E218991" w14:textId="77777777" w:rsidR="002574FE" w:rsidRDefault="002574FE" w:rsidP="002574FE">
      <w:pPr>
        <w:pStyle w:val="BodyText"/>
      </w:pPr>
      <w:r>
        <w:t xml:space="preserve">The </w:t>
      </w:r>
      <w:r w:rsidRPr="00F21E9D">
        <w:rPr>
          <w:b/>
        </w:rPr>
        <w:t>Tasmanian Government</w:t>
      </w:r>
      <w:r>
        <w:t xml:space="preserve"> is </w:t>
      </w:r>
      <w:r w:rsidR="00A82C9A">
        <w:t xml:space="preserve">intending to replace </w:t>
      </w:r>
      <w:r>
        <w:t>its 29 interim planning schemes with a single statewide planning scheme that include</w:t>
      </w:r>
      <w:r w:rsidR="00A82C9A">
        <w:t>s</w:t>
      </w:r>
      <w:r>
        <w:t xml:space="preserve"> a set of planning rules (including zoning and land use codes) from which councils must choose to reflect the objectives of their community. The intention is that local variations will only be allowed to reflect unique local circumstances, but these will </w:t>
      </w:r>
      <w:r w:rsidR="00FB18BC">
        <w:t xml:space="preserve">be </w:t>
      </w:r>
      <w:r>
        <w:t xml:space="preserve">treated as derogations from rather than changes to the State’s rules. </w:t>
      </w:r>
    </w:p>
    <w:p w14:paraId="6E218992" w14:textId="77777777" w:rsidR="002574FE" w:rsidRDefault="002574FE" w:rsidP="002574FE">
      <w:pPr>
        <w:pStyle w:val="BodyText"/>
      </w:pPr>
      <w:r>
        <w:t xml:space="preserve">The </w:t>
      </w:r>
      <w:r w:rsidRPr="00F21E9D">
        <w:rPr>
          <w:b/>
        </w:rPr>
        <w:t>Western Australian Government</w:t>
      </w:r>
      <w:r>
        <w:t xml:space="preserve"> introduced standard ‘deemed provisions’ in 2015, which set uniform processes for structure plans (plans to coordinate future subdivision and zoning of land) and local development plans, as well as DAs undertaken at the local level. Prior to this, each local planning scheme included its own procedures and processes, resulting in up to 150 different variations. </w:t>
      </w:r>
    </w:p>
    <w:p w14:paraId="6E218993" w14:textId="77777777" w:rsidR="002574FE" w:rsidRDefault="002574FE" w:rsidP="002574FE">
      <w:pPr>
        <w:pStyle w:val="BodyText"/>
      </w:pPr>
      <w:r>
        <w:t xml:space="preserve">The </w:t>
      </w:r>
      <w:r w:rsidRPr="00F21E9D">
        <w:rPr>
          <w:b/>
        </w:rPr>
        <w:t>Northern Territory</w:t>
      </w:r>
      <w:r>
        <w:t xml:space="preserve"> </w:t>
      </w:r>
      <w:r w:rsidRPr="00BA1577">
        <w:rPr>
          <w:b/>
        </w:rPr>
        <w:t>Government</w:t>
      </w:r>
      <w:r>
        <w:t xml:space="preserve"> further streamlined its development approval process in 2016.</w:t>
      </w:r>
    </w:p>
    <w:p w14:paraId="6E218994" w14:textId="77777777" w:rsidR="00DC0961" w:rsidRDefault="00DC0961">
      <w:pPr>
        <w:pStyle w:val="Heading3"/>
        <w:rPr>
          <w:shd w:val="clear" w:color="auto" w:fill="FFFFFF"/>
        </w:rPr>
      </w:pPr>
      <w:r>
        <w:rPr>
          <w:shd w:val="clear" w:color="auto" w:fill="FFFFFF"/>
        </w:rPr>
        <w:t xml:space="preserve">Progressing reform </w:t>
      </w:r>
    </w:p>
    <w:p w14:paraId="6E218995" w14:textId="362FBEA4" w:rsidR="00911B0D" w:rsidRDefault="00B423B9" w:rsidP="007D2495">
      <w:pPr>
        <w:pStyle w:val="BodyText"/>
      </w:pPr>
      <w:r>
        <w:rPr>
          <w:shd w:val="clear" w:color="auto" w:fill="FFFFFF"/>
        </w:rPr>
        <w:t xml:space="preserve">The experience of New South Wales highlights the </w:t>
      </w:r>
      <w:r w:rsidRPr="00CC106C">
        <w:rPr>
          <w:shd w:val="clear" w:color="auto" w:fill="FFFFFF"/>
        </w:rPr>
        <w:t xml:space="preserve">importance of </w:t>
      </w:r>
      <w:r>
        <w:rPr>
          <w:shd w:val="clear" w:color="auto" w:fill="FFFFFF"/>
        </w:rPr>
        <w:t>perceived and actual integrity in decision</w:t>
      </w:r>
      <w:r>
        <w:rPr>
          <w:shd w:val="clear" w:color="auto" w:fill="FFFFFF"/>
        </w:rPr>
        <w:noBreakHyphen/>
        <w:t>making processes</w:t>
      </w:r>
      <w:r w:rsidRPr="00CC106C">
        <w:rPr>
          <w:shd w:val="clear" w:color="auto" w:fill="FFFFFF"/>
        </w:rPr>
        <w:t xml:space="preserve"> as </w:t>
      </w:r>
      <w:r>
        <w:rPr>
          <w:shd w:val="clear" w:color="auto" w:fill="FFFFFF"/>
        </w:rPr>
        <w:t xml:space="preserve">a factor in public support for reforms. </w:t>
      </w:r>
      <w:r w:rsidR="00911B0D" w:rsidRPr="00CC106C">
        <w:rPr>
          <w:shd w:val="clear" w:color="auto" w:fill="FFFFFF"/>
        </w:rPr>
        <w:t xml:space="preserve">The </w:t>
      </w:r>
      <w:r w:rsidR="007E0E82">
        <w:rPr>
          <w:shd w:val="clear" w:color="auto" w:fill="FFFFFF"/>
        </w:rPr>
        <w:t xml:space="preserve">NSW </w:t>
      </w:r>
      <w:r w:rsidR="00911B0D" w:rsidRPr="00CC106C">
        <w:rPr>
          <w:shd w:val="clear" w:color="auto" w:fill="FFFFFF"/>
        </w:rPr>
        <w:t>Independent Commission Against Corruption</w:t>
      </w:r>
      <w:r w:rsidR="00D4536C">
        <w:rPr>
          <w:shd w:val="clear" w:color="auto" w:fill="FFFFFF"/>
        </w:rPr>
        <w:t>, for example,</w:t>
      </w:r>
      <w:r w:rsidR="00911B0D" w:rsidRPr="00CC106C">
        <w:rPr>
          <w:shd w:val="clear" w:color="auto" w:fill="FFFFFF"/>
        </w:rPr>
        <w:t xml:space="preserve"> noted </w:t>
      </w:r>
      <w:r w:rsidR="00AD3812">
        <w:rPr>
          <w:shd w:val="clear" w:color="auto" w:fill="FFFFFF"/>
        </w:rPr>
        <w:t>that</w:t>
      </w:r>
      <w:r w:rsidR="00911B0D" w:rsidRPr="00CC106C">
        <w:rPr>
          <w:shd w:val="clear" w:color="auto" w:fill="FFFFFF"/>
        </w:rPr>
        <w:t xml:space="preserve"> any laxity in process </w:t>
      </w:r>
      <w:r w:rsidR="00AB6E14">
        <w:rPr>
          <w:shd w:val="clear" w:color="auto" w:fill="FFFFFF"/>
        </w:rPr>
        <w:t xml:space="preserve">‘ </w:t>
      </w:r>
      <w:r w:rsidR="00911B0D" w:rsidRPr="00CC106C">
        <w:rPr>
          <w:shd w:val="clear" w:color="auto" w:fill="FFFFFF"/>
        </w:rPr>
        <w:t xml:space="preserve">… </w:t>
      </w:r>
      <w:r w:rsidR="00911B0D" w:rsidRPr="00C32EAB">
        <w:t>combined with the motivation of</w:t>
      </w:r>
      <w:r w:rsidR="00911B0D">
        <w:t xml:space="preserve"> developers to maximise profits</w:t>
      </w:r>
      <w:r w:rsidR="00AB6E14">
        <w:t xml:space="preserve"> </w:t>
      </w:r>
      <w:r w:rsidR="00911B0D">
        <w:t xml:space="preserve">… (would) </w:t>
      </w:r>
      <w:r w:rsidR="00911B0D" w:rsidRPr="00C32EAB">
        <w:t>make the proposed system an easy target for those prepared to use corrupt means to achieve a favourable result</w:t>
      </w:r>
      <w:r w:rsidR="00AB6E14">
        <w:t>’</w:t>
      </w:r>
      <w:r w:rsidR="00911B0D" w:rsidRPr="00C32EAB">
        <w:t xml:space="preserve"> </w:t>
      </w:r>
      <w:r w:rsidR="00911B0D" w:rsidRPr="00CC106C">
        <w:rPr>
          <w:szCs w:val="24"/>
        </w:rPr>
        <w:t>(NSW</w:t>
      </w:r>
      <w:r w:rsidR="00B94A29">
        <w:rPr>
          <w:szCs w:val="24"/>
        </w:rPr>
        <w:t xml:space="preserve"> </w:t>
      </w:r>
      <w:r w:rsidR="00911B0D" w:rsidRPr="00CC106C">
        <w:rPr>
          <w:szCs w:val="24"/>
        </w:rPr>
        <w:t>ICAC 2013, pp. 1</w:t>
      </w:r>
      <w:r w:rsidR="00181B62">
        <w:rPr>
          <w:szCs w:val="24"/>
        </w:rPr>
        <w:t>–</w:t>
      </w:r>
      <w:r w:rsidR="00911B0D" w:rsidRPr="00CC106C">
        <w:rPr>
          <w:szCs w:val="24"/>
        </w:rPr>
        <w:t>2)</w:t>
      </w:r>
      <w:r w:rsidR="00911B0D">
        <w:t>.</w:t>
      </w:r>
      <w:r w:rsidR="00470918" w:rsidRPr="0061724D">
        <w:rPr>
          <w:rStyle w:val="FootnoteReference"/>
        </w:rPr>
        <w:footnoteReference w:id="2"/>
      </w:r>
    </w:p>
    <w:p w14:paraId="6E218996" w14:textId="770A7E68" w:rsidR="00372E43" w:rsidRDefault="00A00752" w:rsidP="007D2495">
      <w:pPr>
        <w:pStyle w:val="BodyText"/>
        <w:rPr>
          <w:shd w:val="clear" w:color="auto" w:fill="FFFFFF"/>
        </w:rPr>
      </w:pPr>
      <w:r>
        <w:t xml:space="preserve">Along a similar line, studies have </w:t>
      </w:r>
      <w:r w:rsidR="00B94A29">
        <w:t>noted that</w:t>
      </w:r>
      <w:r w:rsidR="00CB07AF">
        <w:t xml:space="preserve"> </w:t>
      </w:r>
      <w:r w:rsidR="007D2495" w:rsidRPr="00D85AC9">
        <w:rPr>
          <w:shd w:val="clear" w:color="auto" w:fill="FFFFFF"/>
        </w:rPr>
        <w:t xml:space="preserve">consultation on development strategies </w:t>
      </w:r>
      <w:r w:rsidR="00CB07AF">
        <w:rPr>
          <w:shd w:val="clear" w:color="auto" w:fill="FFFFFF"/>
        </w:rPr>
        <w:t>is viewed</w:t>
      </w:r>
      <w:r w:rsidR="009D01B6">
        <w:rPr>
          <w:shd w:val="clear" w:color="auto" w:fill="FFFFFF"/>
        </w:rPr>
        <w:t xml:space="preserve"> by communities</w:t>
      </w:r>
      <w:r w:rsidR="00CB07AF">
        <w:rPr>
          <w:shd w:val="clear" w:color="auto" w:fill="FFFFFF"/>
        </w:rPr>
        <w:t xml:space="preserve"> in </w:t>
      </w:r>
      <w:r w:rsidR="003C2D36">
        <w:rPr>
          <w:shd w:val="clear" w:color="auto" w:fill="FFFFFF"/>
        </w:rPr>
        <w:t>several</w:t>
      </w:r>
      <w:r w:rsidR="00CB07AF">
        <w:rPr>
          <w:shd w:val="clear" w:color="auto" w:fill="FFFFFF"/>
        </w:rPr>
        <w:t xml:space="preserve"> jurisdictions </w:t>
      </w:r>
      <w:r w:rsidR="007D2495" w:rsidRPr="00D85AC9">
        <w:rPr>
          <w:shd w:val="clear" w:color="auto" w:fill="FFFFFF"/>
        </w:rPr>
        <w:t>as ‘superficial window dressing’</w:t>
      </w:r>
      <w:r w:rsidR="007D2495">
        <w:rPr>
          <w:shd w:val="clear" w:color="auto" w:fill="FFFFFF"/>
        </w:rPr>
        <w:t xml:space="preserve"> </w:t>
      </w:r>
      <w:r>
        <w:rPr>
          <w:shd w:val="clear" w:color="auto" w:fill="FFFFFF"/>
        </w:rPr>
        <w:t>(for example</w:t>
      </w:r>
      <w:r w:rsidR="00AB6E14">
        <w:rPr>
          <w:shd w:val="clear" w:color="auto" w:fill="FFFFFF"/>
        </w:rPr>
        <w:t>,</w:t>
      </w:r>
      <w:r>
        <w:rPr>
          <w:shd w:val="clear" w:color="auto" w:fill="FFFFFF"/>
        </w:rPr>
        <w:t xml:space="preserve"> </w:t>
      </w:r>
      <w:r w:rsidR="00DD3147" w:rsidRPr="00DD3147">
        <w:rPr>
          <w:szCs w:val="24"/>
        </w:rPr>
        <w:t>Kelly and Donegan 2015, p. 139</w:t>
      </w:r>
      <w:r w:rsidR="00372E43">
        <w:rPr>
          <w:shd w:val="clear" w:color="auto" w:fill="FFFFFF"/>
        </w:rPr>
        <w:t>)</w:t>
      </w:r>
      <w:r>
        <w:rPr>
          <w:shd w:val="clear" w:color="auto" w:fill="FFFFFF"/>
        </w:rPr>
        <w:t xml:space="preserve">, contributing to </w:t>
      </w:r>
      <w:r w:rsidR="00CB07AF">
        <w:rPr>
          <w:shd w:val="clear" w:color="auto" w:fill="FFFFFF"/>
        </w:rPr>
        <w:t>resistance to their implementation.</w:t>
      </w:r>
      <w:r w:rsidR="00E00DA3">
        <w:rPr>
          <w:shd w:val="clear" w:color="auto" w:fill="FFFFFF"/>
        </w:rPr>
        <w:t xml:space="preserve"> </w:t>
      </w:r>
    </w:p>
    <w:p w14:paraId="6E218997" w14:textId="77777777" w:rsidR="00D47027" w:rsidRDefault="008C5D35" w:rsidP="007D2495">
      <w:pPr>
        <w:pStyle w:val="BodyText"/>
        <w:rPr>
          <w:shd w:val="clear" w:color="auto" w:fill="FFFFFF"/>
        </w:rPr>
      </w:pPr>
      <w:r>
        <w:rPr>
          <w:shd w:val="clear" w:color="auto" w:fill="FFFFFF"/>
        </w:rPr>
        <w:t>As with many policy areas, transparency in decision</w:t>
      </w:r>
      <w:r>
        <w:rPr>
          <w:shd w:val="clear" w:color="auto" w:fill="FFFFFF"/>
        </w:rPr>
        <w:noBreakHyphen/>
        <w:t>making, with process</w:t>
      </w:r>
      <w:r w:rsidR="008C4A09">
        <w:rPr>
          <w:shd w:val="clear" w:color="auto" w:fill="FFFFFF"/>
        </w:rPr>
        <w:t>es</w:t>
      </w:r>
      <w:r>
        <w:rPr>
          <w:shd w:val="clear" w:color="auto" w:fill="FFFFFF"/>
        </w:rPr>
        <w:t xml:space="preserve"> incorporating genuine opportunities for concerns to be voiced and considered, are important to ensure the soundness of decisions and </w:t>
      </w:r>
      <w:r w:rsidR="00FF2FA0">
        <w:rPr>
          <w:shd w:val="clear" w:color="auto" w:fill="FFFFFF"/>
        </w:rPr>
        <w:t xml:space="preserve">help stakeholder </w:t>
      </w:r>
      <w:r>
        <w:rPr>
          <w:shd w:val="clear" w:color="auto" w:fill="FFFFFF"/>
        </w:rPr>
        <w:t xml:space="preserve">understanding of their rationale. </w:t>
      </w:r>
      <w:r w:rsidR="00D47027">
        <w:rPr>
          <w:shd w:val="clear" w:color="auto" w:fill="FFFFFF"/>
        </w:rPr>
        <w:t xml:space="preserve">Further, </w:t>
      </w:r>
      <w:r w:rsidR="00FF2FA0">
        <w:rPr>
          <w:shd w:val="clear" w:color="auto" w:fill="FFFFFF"/>
        </w:rPr>
        <w:t xml:space="preserve">simply put, </w:t>
      </w:r>
      <w:r>
        <w:rPr>
          <w:shd w:val="clear" w:color="auto" w:fill="FFFFFF"/>
        </w:rPr>
        <w:t>exposing processes to sunlight has a clean</w:t>
      </w:r>
      <w:r w:rsidR="00FF2FA0">
        <w:rPr>
          <w:shd w:val="clear" w:color="auto" w:fill="FFFFFF"/>
        </w:rPr>
        <w:t>s</w:t>
      </w:r>
      <w:r>
        <w:rPr>
          <w:shd w:val="clear" w:color="auto" w:fill="FFFFFF"/>
        </w:rPr>
        <w:t xml:space="preserve">ing effect. </w:t>
      </w:r>
    </w:p>
    <w:p w14:paraId="6E218998" w14:textId="69D47DB5" w:rsidR="007D2495" w:rsidRDefault="00843C55" w:rsidP="007D2495">
      <w:pPr>
        <w:pStyle w:val="BodyText"/>
      </w:pPr>
      <w:r>
        <w:rPr>
          <w:shd w:val="clear" w:color="auto" w:fill="FFFFFF"/>
        </w:rPr>
        <w:t>For the purpose of this paper, t</w:t>
      </w:r>
      <w:r w:rsidR="00D47027">
        <w:rPr>
          <w:shd w:val="clear" w:color="auto" w:fill="FFFFFF"/>
        </w:rPr>
        <w:t xml:space="preserve">he </w:t>
      </w:r>
      <w:r>
        <w:rPr>
          <w:shd w:val="clear" w:color="auto" w:fill="FFFFFF"/>
        </w:rPr>
        <w:t>Commission has</w:t>
      </w:r>
      <w:r w:rsidR="00633CC5">
        <w:rPr>
          <w:shd w:val="clear" w:color="auto" w:fill="FFFFFF"/>
        </w:rPr>
        <w:t xml:space="preserve"> take</w:t>
      </w:r>
      <w:r>
        <w:rPr>
          <w:shd w:val="clear" w:color="auto" w:fill="FFFFFF"/>
        </w:rPr>
        <w:t>n</w:t>
      </w:r>
      <w:r w:rsidR="00633CC5">
        <w:rPr>
          <w:shd w:val="clear" w:color="auto" w:fill="FFFFFF"/>
        </w:rPr>
        <w:t xml:space="preserve"> as given the need for </w:t>
      </w:r>
      <w:r>
        <w:rPr>
          <w:shd w:val="clear" w:color="auto" w:fill="FFFFFF"/>
        </w:rPr>
        <w:t xml:space="preserve">requisite skills on the part of planning system officials, and </w:t>
      </w:r>
      <w:r w:rsidR="00633CC5">
        <w:rPr>
          <w:shd w:val="clear" w:color="auto" w:fill="FFFFFF"/>
        </w:rPr>
        <w:t>well</w:t>
      </w:r>
      <w:r w:rsidR="00633CC5">
        <w:rPr>
          <w:shd w:val="clear" w:color="auto" w:fill="FFFFFF"/>
        </w:rPr>
        <w:noBreakHyphen/>
        <w:t xml:space="preserve">targeted </w:t>
      </w:r>
      <w:r>
        <w:rPr>
          <w:shd w:val="clear" w:color="auto" w:fill="FFFFFF"/>
        </w:rPr>
        <w:t>checks and balances</w:t>
      </w:r>
      <w:r w:rsidR="00633CC5">
        <w:rPr>
          <w:shd w:val="clear" w:color="auto" w:fill="FFFFFF"/>
        </w:rPr>
        <w:t xml:space="preserve">. </w:t>
      </w:r>
      <w:r w:rsidR="00C85EA1">
        <w:rPr>
          <w:shd w:val="clear" w:color="auto" w:fill="FFFFFF"/>
        </w:rPr>
        <w:t>These</w:t>
      </w:r>
      <w:r w:rsidR="00633CC5">
        <w:rPr>
          <w:shd w:val="clear" w:color="auto" w:fill="FFFFFF"/>
        </w:rPr>
        <w:t xml:space="preserve"> </w:t>
      </w:r>
      <w:r>
        <w:rPr>
          <w:shd w:val="clear" w:color="auto" w:fill="FFFFFF"/>
        </w:rPr>
        <w:t xml:space="preserve">are needed </w:t>
      </w:r>
      <w:r w:rsidR="002F4619">
        <w:rPr>
          <w:shd w:val="clear" w:color="auto" w:fill="FFFFFF"/>
        </w:rPr>
        <w:t>for trust in reform proposals as well as</w:t>
      </w:r>
      <w:r w:rsidR="008405AA">
        <w:rPr>
          <w:shd w:val="clear" w:color="auto" w:fill="FFFFFF"/>
        </w:rPr>
        <w:t xml:space="preserve"> to</w:t>
      </w:r>
      <w:r w:rsidR="002F4619">
        <w:rPr>
          <w:shd w:val="clear" w:color="auto" w:fill="FFFFFF"/>
        </w:rPr>
        <w:t xml:space="preserve"> ensure that the reforms produce the benefits intended. </w:t>
      </w:r>
    </w:p>
    <w:p w14:paraId="6E218999" w14:textId="77777777" w:rsidR="00B33918" w:rsidRDefault="00B33918" w:rsidP="00B33918">
      <w:pPr>
        <w:pStyle w:val="BodyText"/>
      </w:pPr>
      <w:r>
        <w:t xml:space="preserve">The Commission’s stocktake of progress on reform indicates that the following areas remain priorities across jurisdictions: </w:t>
      </w:r>
    </w:p>
    <w:p w14:paraId="6E21899A" w14:textId="68A05BE8" w:rsidR="00B33918" w:rsidRDefault="00B33918" w:rsidP="0061187E">
      <w:pPr>
        <w:pStyle w:val="ListBullet"/>
        <w:numPr>
          <w:ilvl w:val="0"/>
          <w:numId w:val="21"/>
        </w:numPr>
      </w:pPr>
      <w:r>
        <w:t>reducing the number and complexity of restrictions on land use created by prescriptive zoning systems (section</w:t>
      </w:r>
      <w:r w:rsidR="00AB6E14">
        <w:t> </w:t>
      </w:r>
      <w:r w:rsidR="00D923BB">
        <w:t>2</w:t>
      </w:r>
      <w:r>
        <w:t>)</w:t>
      </w:r>
    </w:p>
    <w:p w14:paraId="6E21899B" w14:textId="7E692795" w:rsidR="00B33918" w:rsidRDefault="00B33918" w:rsidP="0061187E">
      <w:pPr>
        <w:pStyle w:val="ListBullet"/>
        <w:numPr>
          <w:ilvl w:val="0"/>
          <w:numId w:val="21"/>
        </w:numPr>
      </w:pPr>
      <w:r>
        <w:t>better planning and provision for growth (</w:t>
      </w:r>
      <w:r w:rsidR="00D923BB">
        <w:t>section</w:t>
      </w:r>
      <w:r w:rsidR="00AB6E14">
        <w:t> </w:t>
      </w:r>
      <w:r w:rsidR="00D923BB">
        <w:t>3</w:t>
      </w:r>
      <w:r w:rsidR="007B310D">
        <w:t>)</w:t>
      </w:r>
      <w:r>
        <w:t xml:space="preserve"> </w:t>
      </w:r>
    </w:p>
    <w:p w14:paraId="6E21899C" w14:textId="23206B41" w:rsidR="00B33918" w:rsidRDefault="00B33918" w:rsidP="0061187E">
      <w:pPr>
        <w:pStyle w:val="ListBullet"/>
        <w:numPr>
          <w:ilvl w:val="0"/>
          <w:numId w:val="21"/>
        </w:numPr>
      </w:pPr>
      <w:r>
        <w:t>the need to continue moves towards a risk</w:t>
      </w:r>
      <w:r>
        <w:noBreakHyphen/>
        <w:t>based approach to assessment of development proposals (</w:t>
      </w:r>
      <w:r w:rsidR="00762095">
        <w:t>section</w:t>
      </w:r>
      <w:r w:rsidR="00AB6E14">
        <w:t> </w:t>
      </w:r>
      <w:r w:rsidR="00D923BB">
        <w:t>4</w:t>
      </w:r>
      <w:r>
        <w:t xml:space="preserve">). </w:t>
      </w:r>
    </w:p>
    <w:p w14:paraId="6E21899D" w14:textId="4D563855" w:rsidR="00174C48" w:rsidRPr="00181B62" w:rsidRDefault="00483795" w:rsidP="00181B62">
      <w:pPr>
        <w:pStyle w:val="BodyText"/>
      </w:pPr>
      <w:r w:rsidRPr="00181B62">
        <w:t xml:space="preserve">The paper </w:t>
      </w:r>
      <w:r w:rsidR="002B6087" w:rsidRPr="00181B62">
        <w:t xml:space="preserve">also considers </w:t>
      </w:r>
      <w:r w:rsidR="00A00752" w:rsidRPr="00181B62">
        <w:t xml:space="preserve">the impact of stamp duty on property transfers, which </w:t>
      </w:r>
      <w:r w:rsidR="00A50A49" w:rsidRPr="00181B62">
        <w:t xml:space="preserve">affect </w:t>
      </w:r>
      <w:r w:rsidR="002B6087" w:rsidRPr="00181B62">
        <w:t>the efficient use and development of land and housing stock</w:t>
      </w:r>
      <w:r w:rsidR="00510866" w:rsidRPr="00181B62">
        <w:t>,</w:t>
      </w:r>
      <w:r w:rsidR="00A50A49" w:rsidRPr="00181B62">
        <w:t xml:space="preserve"> and</w:t>
      </w:r>
      <w:r w:rsidR="002B6087" w:rsidRPr="00181B62">
        <w:t xml:space="preserve"> imposes constraints on mobility</w:t>
      </w:r>
      <w:r w:rsidR="00B33918" w:rsidRPr="00181B62">
        <w:t xml:space="preserve"> (section</w:t>
      </w:r>
      <w:r w:rsidR="00AB6E14" w:rsidRPr="00181B62">
        <w:t> </w:t>
      </w:r>
      <w:r w:rsidR="00D923BB" w:rsidRPr="00181B62">
        <w:t>5</w:t>
      </w:r>
      <w:r w:rsidR="00B33918" w:rsidRPr="00181B62">
        <w:t>).</w:t>
      </w:r>
      <w:r w:rsidR="00B33918" w:rsidRPr="00181B62" w:rsidDel="00B33918">
        <w:t xml:space="preserve"> </w:t>
      </w:r>
      <w:r w:rsidR="00DA1B22" w:rsidRPr="00181B62">
        <w:t>From an economy</w:t>
      </w:r>
      <w:r w:rsidR="00DA1B22" w:rsidRPr="00181B62">
        <w:noBreakHyphen/>
        <w:t xml:space="preserve">wide perspective, stamp duties are one of the most inefficient taxes nationally, estimated to cost over 70 cents for each additional dollar collected in the long run. </w:t>
      </w:r>
      <w:r w:rsidR="002B2715" w:rsidRPr="00181B62">
        <w:t>Estimates of the net benefits of reforms discussed in this paper are set out in section</w:t>
      </w:r>
      <w:r w:rsidR="00AB6E14" w:rsidRPr="00181B62">
        <w:t> </w:t>
      </w:r>
      <w:r w:rsidR="00D923BB" w:rsidRPr="00181B62">
        <w:t>6</w:t>
      </w:r>
      <w:r w:rsidR="00E22CE6" w:rsidRPr="00181B62">
        <w:t>.</w:t>
      </w:r>
      <w:r w:rsidR="00B33918" w:rsidRPr="00181B62" w:rsidDel="00B33918">
        <w:t xml:space="preserve"> </w:t>
      </w:r>
    </w:p>
    <w:p w14:paraId="6E21899E" w14:textId="77777777" w:rsidR="00C46023" w:rsidRDefault="000E7D79" w:rsidP="000373C4">
      <w:pPr>
        <w:pStyle w:val="Heading2"/>
      </w:pPr>
      <w:bookmarkStart w:id="12" w:name="_Toc489343254"/>
      <w:bookmarkStart w:id="13" w:name="_Toc488940556"/>
      <w:bookmarkStart w:id="14" w:name="_Toc489025324"/>
      <w:r>
        <w:t>2</w:t>
      </w:r>
      <w:r>
        <w:tab/>
      </w:r>
      <w:r w:rsidR="00D923BB" w:rsidRPr="00D923BB">
        <w:t>Reducing land use restrictions</w:t>
      </w:r>
      <w:bookmarkEnd w:id="12"/>
      <w:r w:rsidR="00D923BB" w:rsidRPr="00D923BB">
        <w:t xml:space="preserve"> </w:t>
      </w:r>
      <w:bookmarkEnd w:id="13"/>
      <w:bookmarkEnd w:id="14"/>
    </w:p>
    <w:p w14:paraId="6E21899F" w14:textId="612F0130" w:rsidR="00891096" w:rsidRDefault="0049181A" w:rsidP="00172347">
      <w:pPr>
        <w:pStyle w:val="BodyText"/>
      </w:pPr>
      <w:r>
        <w:t>The majority of development and land use activities (that is, not State</w:t>
      </w:r>
      <w:r w:rsidR="00181B62">
        <w:noBreakHyphen/>
      </w:r>
      <w:r>
        <w:t xml:space="preserve">significant developments) is carried out </w:t>
      </w:r>
      <w:r w:rsidR="00172347">
        <w:t xml:space="preserve">under authority of </w:t>
      </w:r>
      <w:r w:rsidR="00481695">
        <w:t xml:space="preserve">local </w:t>
      </w:r>
      <w:r w:rsidR="004F3A83">
        <w:t>planning instruments</w:t>
      </w:r>
      <w:r w:rsidR="00481695">
        <w:t xml:space="preserve"> that list the types of development that</w:t>
      </w:r>
      <w:r w:rsidR="005B63D1">
        <w:t xml:space="preserve"> are allowed in each zone of a Local G</w:t>
      </w:r>
      <w:r w:rsidR="00481695">
        <w:t>overnment area. State legislation sets out the types of allowable zones (whether residential,</w:t>
      </w:r>
      <w:r w:rsidR="00172347">
        <w:t xml:space="preserve"> business, rural, environmental protection or other), allowable categories </w:t>
      </w:r>
      <w:r w:rsidR="001942FE">
        <w:t xml:space="preserve">(or purposes) </w:t>
      </w:r>
      <w:r w:rsidR="00172347">
        <w:t>of activity within</w:t>
      </w:r>
      <w:r w:rsidR="00EC7775">
        <w:t xml:space="preserve"> </w:t>
      </w:r>
      <w:r w:rsidR="00172347">
        <w:t>those zones, and</w:t>
      </w:r>
      <w:r w:rsidR="00CC12BF">
        <w:t xml:space="preserve"> the</w:t>
      </w:r>
      <w:r w:rsidR="00CA0085">
        <w:t xml:space="preserve"> specific</w:t>
      </w:r>
      <w:r w:rsidR="00CC12BF">
        <w:t xml:space="preserve"> types of</w:t>
      </w:r>
      <w:r w:rsidR="00172347">
        <w:t xml:space="preserve"> developments that may be carried</w:t>
      </w:r>
      <w:r w:rsidR="00CC12BF">
        <w:t xml:space="preserve"> out</w:t>
      </w:r>
      <w:r w:rsidR="004F3A83">
        <w:t xml:space="preserve"> in accordance with the purpose of those categories of activity.</w:t>
      </w:r>
    </w:p>
    <w:p w14:paraId="6E2189A0" w14:textId="77777777" w:rsidR="0052591D" w:rsidRDefault="00172347" w:rsidP="00D713F3">
      <w:pPr>
        <w:pStyle w:val="BodyText"/>
      </w:pPr>
      <w:r>
        <w:t>A longstanding concern is the</w:t>
      </w:r>
      <w:r w:rsidR="00B63E8D" w:rsidRPr="00BF6E0F" w:rsidDel="00481695">
        <w:t xml:space="preserve"> </w:t>
      </w:r>
      <w:r>
        <w:t>m</w:t>
      </w:r>
      <w:r w:rsidR="004802B3">
        <w:t>ultiplicity</w:t>
      </w:r>
      <w:r>
        <w:t xml:space="preserve"> </w:t>
      </w:r>
      <w:r w:rsidR="004802B3">
        <w:t xml:space="preserve">of </w:t>
      </w:r>
      <w:r>
        <w:t xml:space="preserve">zone categories and </w:t>
      </w:r>
      <w:r w:rsidR="006A0D01">
        <w:t xml:space="preserve">specificity of </w:t>
      </w:r>
      <w:r w:rsidR="00DB58A9">
        <w:t>allowable</w:t>
      </w:r>
      <w:r>
        <w:t xml:space="preserve"> activities within those categories. For example, New South Wales has eight types of business zone categories, each</w:t>
      </w:r>
      <w:r w:rsidR="004F3A83">
        <w:t xml:space="preserve"> </w:t>
      </w:r>
      <w:r>
        <w:t xml:space="preserve">specifying </w:t>
      </w:r>
      <w:r w:rsidR="004F3A83">
        <w:t xml:space="preserve">the types of </w:t>
      </w:r>
      <w:r w:rsidR="00CC12BF">
        <w:t>developments t</w:t>
      </w:r>
      <w:r w:rsidR="004F3A83">
        <w:t>hat may be undertaken wi</w:t>
      </w:r>
      <w:r w:rsidR="00024766">
        <w:t>th the consent of the relevant Local G</w:t>
      </w:r>
      <w:r w:rsidR="004F3A83">
        <w:t xml:space="preserve">overnment. </w:t>
      </w:r>
      <w:r w:rsidR="00CA0085">
        <w:t>Lo</w:t>
      </w:r>
      <w:r w:rsidR="00874E7C">
        <w:t>cal G</w:t>
      </w:r>
      <w:r w:rsidR="004F3A83">
        <w:t xml:space="preserve">overnments </w:t>
      </w:r>
      <w:r w:rsidR="00CA0085">
        <w:t xml:space="preserve">use these zoning categories to develop specific plans for their areas, which usually </w:t>
      </w:r>
      <w:r w:rsidR="00C1695D">
        <w:t>include</w:t>
      </w:r>
      <w:r w:rsidR="00CA0085">
        <w:t xml:space="preserve"> </w:t>
      </w:r>
      <w:r w:rsidR="00D713F3">
        <w:t>additional</w:t>
      </w:r>
      <w:r w:rsidR="00CA0085">
        <w:t xml:space="preserve"> </w:t>
      </w:r>
      <w:r w:rsidR="00CF7198">
        <w:t xml:space="preserve">specific </w:t>
      </w:r>
      <w:r w:rsidR="006A0D01">
        <w:t xml:space="preserve">types of </w:t>
      </w:r>
      <w:r w:rsidR="00CA0085">
        <w:t>development</w:t>
      </w:r>
      <w:r w:rsidR="00CF7198">
        <w:t>s</w:t>
      </w:r>
      <w:r w:rsidR="00C1695D">
        <w:t xml:space="preserve"> that require consent in accordance with their particular objectives</w:t>
      </w:r>
      <w:r w:rsidR="00874E7C">
        <w:t>. Local G</w:t>
      </w:r>
      <w:r w:rsidR="001942FE">
        <w:t xml:space="preserve">overnments may </w:t>
      </w:r>
      <w:r w:rsidR="00097AFD">
        <w:t xml:space="preserve">further </w:t>
      </w:r>
      <w:r w:rsidR="001942FE">
        <w:t>specify development parameters, such as building height restrictions and floor to space ratios that apply to specific la</w:t>
      </w:r>
      <w:r w:rsidR="0052710E">
        <w:t>nd uses or zoning subcategories, guided by high</w:t>
      </w:r>
      <w:r w:rsidR="0052710E">
        <w:noBreakHyphen/>
        <w:t xml:space="preserve">level standards set by the </w:t>
      </w:r>
      <w:r w:rsidR="005D6D07">
        <w:t>S</w:t>
      </w:r>
      <w:r w:rsidR="0052710E">
        <w:t>tate</w:t>
      </w:r>
      <w:r w:rsidR="0052710E" w:rsidDel="005D6D07">
        <w:t xml:space="preserve"> </w:t>
      </w:r>
      <w:r w:rsidR="005D6D07">
        <w:t xml:space="preserve">Government </w:t>
      </w:r>
      <w:r w:rsidR="0052710E">
        <w:t>(</w:t>
      </w:r>
      <w:r w:rsidR="0052710E" w:rsidRPr="003F6D0E">
        <w:t>box</w:t>
      </w:r>
      <w:r w:rsidR="007E3C40">
        <w:t> </w:t>
      </w:r>
      <w:r w:rsidR="00C31065" w:rsidRPr="003F6D0E">
        <w:t>3</w:t>
      </w:r>
      <w:r w:rsidR="0052710E" w:rsidRPr="003F6D0E">
        <w:t>).</w:t>
      </w:r>
      <w:r w:rsidR="0052710E">
        <w:t xml:space="preserve"> </w:t>
      </w:r>
    </w:p>
    <w:p w14:paraId="6E2189A1" w14:textId="77777777" w:rsidR="00F778B1" w:rsidRDefault="0009509B" w:rsidP="0009509B">
      <w:pPr>
        <w:pStyle w:val="BodyText"/>
      </w:pPr>
      <w:r>
        <w:t xml:space="preserve">Even the smallest jurisdictions, Tasmania and the ACT, have </w:t>
      </w:r>
      <w:r w:rsidR="00A05728">
        <w:t xml:space="preserve">five </w:t>
      </w:r>
      <w:r>
        <w:t xml:space="preserve">to </w:t>
      </w:r>
      <w:r w:rsidR="00A05728">
        <w:t xml:space="preserve">six </w:t>
      </w:r>
      <w:r>
        <w:t xml:space="preserve">types of commercial zones, with each having 23 zone types in total. </w:t>
      </w:r>
      <w:r w:rsidR="00F778B1" w:rsidRPr="00A74C66">
        <w:t xml:space="preserve">In South Australia, planning schemes are highly variable between councils because the State </w:t>
      </w:r>
      <w:r w:rsidR="009145BF">
        <w:t xml:space="preserve">does not have a </w:t>
      </w:r>
      <w:r w:rsidR="00F778B1" w:rsidRPr="00A74C66">
        <w:t xml:space="preserve">standard planning instrument for local plans. Developers must navigate over 500 residential zone types and </w:t>
      </w:r>
      <w:r w:rsidR="009A6E4B">
        <w:t xml:space="preserve">a combination of </w:t>
      </w:r>
      <w:r w:rsidR="00F778B1" w:rsidRPr="00A74C66">
        <w:t xml:space="preserve">some 2500 zones, overlays and spatial layers, which contribute to lengthy approval timeframes and excessive compliance costs </w:t>
      </w:r>
      <w:r w:rsidR="007E3C40" w:rsidRPr="007E3C40">
        <w:rPr>
          <w:szCs w:val="24"/>
        </w:rPr>
        <w:t>(South Australian Government 2015)</w:t>
      </w:r>
      <w:r w:rsidR="00F778B1" w:rsidRPr="00A74C66">
        <w:t xml:space="preserve">. South Australia is </w:t>
      </w:r>
      <w:r w:rsidR="009145BF">
        <w:t>currently</w:t>
      </w:r>
      <w:r w:rsidR="009145BF" w:rsidRPr="00A74C66">
        <w:t xml:space="preserve"> </w:t>
      </w:r>
      <w:r w:rsidR="00F778B1" w:rsidRPr="00A74C66">
        <w:t>moving to a new set of zoning rules</w:t>
      </w:r>
      <w:r w:rsidR="00B8512A">
        <w:t xml:space="preserve"> </w:t>
      </w:r>
      <w:r w:rsidR="00CB04E7" w:rsidRPr="00CB04E7">
        <w:rPr>
          <w:szCs w:val="24"/>
        </w:rPr>
        <w:t>(SADPTI</w:t>
      </w:r>
      <w:r w:rsidR="00CB04E7" w:rsidRPr="00B820E6">
        <w:rPr>
          <w:szCs w:val="24"/>
        </w:rPr>
        <w:t> </w:t>
      </w:r>
      <w:r w:rsidR="00CB04E7" w:rsidRPr="006C0EF1">
        <w:rPr>
          <w:szCs w:val="24"/>
        </w:rPr>
        <w:t>2017b)</w:t>
      </w:r>
      <w:r w:rsidR="0023530C">
        <w:t>.</w:t>
      </w:r>
      <w:r w:rsidR="00F778B1" w:rsidRPr="00A74C66">
        <w:t xml:space="preserve"> </w:t>
      </w:r>
    </w:p>
    <w:p w14:paraId="6E2189A2" w14:textId="77777777" w:rsidR="0009509B" w:rsidRPr="00B71E1D" w:rsidRDefault="0009509B" w:rsidP="0009509B">
      <w:pPr>
        <w:pStyle w:val="BodyText"/>
      </w:pPr>
      <w:r>
        <w:t>Victoria stands apart from other jurisdictions in having fewer business zones (just two), with more broadly</w:t>
      </w:r>
      <w:r>
        <w:noBreakHyphen/>
        <w:t xml:space="preserve">stated allowable uses, as a result of reforms to its zoning system in </w:t>
      </w:r>
      <w:r w:rsidRPr="00B83786">
        <w:t>2013</w:t>
      </w:r>
      <w:r>
        <w:t>. As part of its reforms, Victoria also reduced the degree of prescription and restrictions on the intensity of land uses allowed in residential and industrial zones. Within metropolitan Melbourne, authorities may no longer impose floor space limits in commercial zones</w:t>
      </w:r>
      <w:r w:rsidR="008730E6">
        <w:t xml:space="preserve"> </w:t>
      </w:r>
      <w:r w:rsidR="008730E6" w:rsidRPr="008730E6">
        <w:rPr>
          <w:szCs w:val="24"/>
        </w:rPr>
        <w:t>(VDELWP 2017a; VDTPLI 2013b, 2013a)</w:t>
      </w:r>
      <w:r>
        <w:t xml:space="preserve">. </w:t>
      </w:r>
    </w:p>
    <w:p w14:paraId="6E2189A3" w14:textId="3FFE8040" w:rsidR="0009509B" w:rsidRDefault="0009509B" w:rsidP="0009509B">
      <w:pPr>
        <w:pStyle w:val="BodyText"/>
      </w:pPr>
      <w:r w:rsidRPr="00361648">
        <w:t>The Commission has previously noted that there are limited and identifiable impacts associated with the location decisions of most businesses (commercial, service providers and some light industrial), and few planning reasons why they could not be co</w:t>
      </w:r>
      <w:r w:rsidR="00181B62">
        <w:noBreakHyphen/>
      </w:r>
      <w:r w:rsidRPr="00361648">
        <w:t xml:space="preserve">located in a business zone </w:t>
      </w:r>
      <w:r w:rsidR="00DA50E5" w:rsidRPr="00DA50E5">
        <w:rPr>
          <w:szCs w:val="24"/>
        </w:rPr>
        <w:t>(PC 2011b, 2014d)</w:t>
      </w:r>
      <w:r w:rsidRPr="00361648">
        <w:t xml:space="preserve">. </w:t>
      </w:r>
      <w:r w:rsidRPr="003C2698">
        <w:t>It is hard</w:t>
      </w:r>
      <w:r>
        <w:t xml:space="preserve"> to see why </w:t>
      </w:r>
      <w:r w:rsidRPr="00C2636F">
        <w:t xml:space="preserve">‘bulky goods premises’ and ‘hardware and building supplies’ </w:t>
      </w:r>
      <w:r>
        <w:t>should be treated separately for planning regulation purposes, for example</w:t>
      </w:r>
      <w:r w:rsidRPr="00C2636F">
        <w:t>.</w:t>
      </w:r>
      <w:r>
        <w:t xml:space="preserve"> </w:t>
      </w:r>
    </w:p>
    <w:p w14:paraId="6E2189A4" w14:textId="77777777" w:rsidR="00DB58A9" w:rsidRDefault="00DB58A9" w:rsidP="00D31AC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DB58A9" w14:paraId="6E2189B2" w14:textId="77777777" w:rsidTr="0061187E">
        <w:tc>
          <w:tcPr>
            <w:tcW w:w="5000" w:type="pct"/>
            <w:tcBorders>
              <w:top w:val="single" w:sz="6" w:space="0" w:color="78A22F"/>
              <w:left w:val="nil"/>
              <w:bottom w:val="nil"/>
              <w:right w:val="nil"/>
            </w:tcBorders>
            <w:shd w:val="clear" w:color="auto" w:fill="F2F2F2"/>
          </w:tcPr>
          <w:p w14:paraId="6E2189A5" w14:textId="77777777" w:rsidR="00DB58A9" w:rsidRDefault="00DB58A9">
            <w:pPr>
              <w:pStyle w:val="BoxTitle"/>
            </w:pPr>
            <w:r>
              <w:rPr>
                <w:b w:val="0"/>
              </w:rPr>
              <w:t xml:space="preserve">Box </w:t>
            </w:r>
            <w:r w:rsidR="002E1C5D">
              <w:rPr>
                <w:b w:val="0"/>
              </w:rPr>
              <w:t>3</w:t>
            </w:r>
            <w:r>
              <w:tab/>
              <w:t xml:space="preserve">New South Wales’ zoning system </w:t>
            </w:r>
          </w:p>
          <w:p w14:paraId="6E2189A6" w14:textId="77777777" w:rsidR="00EC3675" w:rsidRDefault="00DB58A9" w:rsidP="00D31AC3">
            <w:pPr>
              <w:pStyle w:val="Box"/>
              <w:spacing w:before="80"/>
            </w:pPr>
            <w:r>
              <w:t>New South Wales has eight overarching zoning categories to which land must be allocated for development purposes</w:t>
            </w:r>
            <w:r w:rsidR="006E6F3D">
              <w:t xml:space="preserve"> </w:t>
            </w:r>
            <w:r>
              <w:t xml:space="preserve">— rural, residential, business, industrial, special purpose, recreation, environment protection and waterways. Each of these categories contain subcategories that specify particular land use purposes, or types of </w:t>
            </w:r>
            <w:r w:rsidR="00EC3675">
              <w:t>allowed</w:t>
            </w:r>
            <w:r>
              <w:t xml:space="preserve"> activity. There are 35 subcategories in all. </w:t>
            </w:r>
          </w:p>
          <w:p w14:paraId="6E2189A7" w14:textId="77777777" w:rsidR="00B04071" w:rsidRDefault="006E6F3D" w:rsidP="00D31AC3">
            <w:pPr>
              <w:pStyle w:val="Box"/>
              <w:spacing w:before="80"/>
            </w:pPr>
            <w:r>
              <w:t>State legislation sets out for each zon</w:t>
            </w:r>
            <w:r w:rsidR="00EC3675">
              <w:t>ing</w:t>
            </w:r>
            <w:r>
              <w:t xml:space="preserve"> subcategory the objectives for development, </w:t>
            </w:r>
            <w:r w:rsidR="00072B41">
              <w:t xml:space="preserve">the </w:t>
            </w:r>
            <w:r>
              <w:t>developments that may be carried out without development consent, development that may be carried out only with development consent, and develop</w:t>
            </w:r>
            <w:r w:rsidR="00874E7C">
              <w:t>ment that is prohibited. Local G</w:t>
            </w:r>
            <w:r>
              <w:t xml:space="preserve">overnments apply these in developing </w:t>
            </w:r>
            <w:r w:rsidR="00135A07">
              <w:t>local plans (‘</w:t>
            </w:r>
            <w:r>
              <w:t>Local Environment Plans</w:t>
            </w:r>
            <w:r w:rsidR="00135A07">
              <w:t>’)</w:t>
            </w:r>
            <w:r>
              <w:t xml:space="preserve"> for their areas, and may add to </w:t>
            </w:r>
            <w:r w:rsidRPr="006E6F3D">
              <w:t>the list of development that is permitted or prohibited in a zone</w:t>
            </w:r>
            <w:r w:rsidR="00EE5B53">
              <w:t>, subject to approval by the Minister</w:t>
            </w:r>
            <w:r w:rsidR="00B04071">
              <w:t xml:space="preserve">. </w:t>
            </w:r>
          </w:p>
          <w:p w14:paraId="6E2189A8" w14:textId="3AF03C2C" w:rsidR="007E0C7D" w:rsidRDefault="00B04071" w:rsidP="00D31AC3">
            <w:pPr>
              <w:pStyle w:val="Box"/>
              <w:spacing w:before="80"/>
            </w:pPr>
            <w:r>
              <w:t xml:space="preserve">For example, </w:t>
            </w:r>
            <w:r w:rsidR="003E4849">
              <w:t>the NSW</w:t>
            </w:r>
            <w:r w:rsidR="007E0C7D">
              <w:t xml:space="preserve"> </w:t>
            </w:r>
            <w:r w:rsidR="007E0C7D" w:rsidRPr="001A0045">
              <w:rPr>
                <w:i/>
              </w:rPr>
              <w:t>Standard Instrument</w:t>
            </w:r>
            <w:r w:rsidR="00AB6E14">
              <w:rPr>
                <w:i/>
              </w:rPr>
              <w:t xml:space="preserve"> </w:t>
            </w:r>
            <w:r w:rsidR="007E0C7D" w:rsidRPr="001A0045">
              <w:rPr>
                <w:i/>
              </w:rPr>
              <w:t>—</w:t>
            </w:r>
            <w:r w:rsidR="00AB6E14">
              <w:rPr>
                <w:i/>
              </w:rPr>
              <w:t xml:space="preserve"> </w:t>
            </w:r>
            <w:r w:rsidR="007E0C7D" w:rsidRPr="001A0045">
              <w:rPr>
                <w:i/>
              </w:rPr>
              <w:t>Principal Local Environmental Plan</w:t>
            </w:r>
            <w:r w:rsidR="003E4849">
              <w:t xml:space="preserve"> provides in respect of </w:t>
            </w:r>
            <w:r w:rsidR="00D6781E">
              <w:t>‘</w:t>
            </w:r>
            <w:r w:rsidR="003E4849">
              <w:t>Commercial Core</w:t>
            </w:r>
            <w:r w:rsidR="00D6781E">
              <w:t>’</w:t>
            </w:r>
            <w:r w:rsidR="003E4849">
              <w:t xml:space="preserve"> zones</w:t>
            </w:r>
            <w:r w:rsidR="00D6781E">
              <w:t>, one of eight business zone subcategories</w:t>
            </w:r>
            <w:r w:rsidR="003E4849">
              <w:t xml:space="preserve">: </w:t>
            </w:r>
          </w:p>
          <w:p w14:paraId="6E2189A9" w14:textId="52BB93CF" w:rsidR="006E6F3D" w:rsidRDefault="003E4849" w:rsidP="00D31AC3">
            <w:pPr>
              <w:pStyle w:val="BoxListBullet"/>
              <w:spacing w:before="80"/>
            </w:pPr>
            <w:r>
              <w:t>that their objectives are to</w:t>
            </w:r>
            <w:r w:rsidR="00B04071">
              <w:t>: provide a wide range of retail, business, office, entertainment, community and other suitable land uses that serve the needs of the local and wider community; encourage appropriate employment opportunities in accessible locations; and maximise public transport patronage an</w:t>
            </w:r>
            <w:r>
              <w:t>d encourage walking and cycling</w:t>
            </w:r>
          </w:p>
          <w:p w14:paraId="6E2189AA" w14:textId="77777777" w:rsidR="00B04071" w:rsidRDefault="00B04071" w:rsidP="00D31AC3">
            <w:pPr>
              <w:pStyle w:val="BoxListBullet"/>
              <w:spacing w:before="80"/>
            </w:pPr>
            <w:r>
              <w:t>the following</w:t>
            </w:r>
            <w:r w:rsidR="003E4849">
              <w:t xml:space="preserve"> permissible</w:t>
            </w:r>
            <w:r>
              <w:t xml:space="preserve"> </w:t>
            </w:r>
            <w:r w:rsidR="00072B41">
              <w:t>developments</w:t>
            </w:r>
            <w:r w:rsidR="004D49C5">
              <w:t xml:space="preserve"> with the consent of Local G</w:t>
            </w:r>
            <w:r>
              <w:t xml:space="preserve">overnments: </w:t>
            </w:r>
            <w:r w:rsidR="003E4849">
              <w:t>child care centres; commercial premises; c</w:t>
            </w:r>
            <w:r>
              <w:t xml:space="preserve">ommunity facilities; </w:t>
            </w:r>
            <w:r w:rsidR="003E4849">
              <w:t>e</w:t>
            </w:r>
            <w:r>
              <w:t xml:space="preserve">ducational establishments; </w:t>
            </w:r>
            <w:r w:rsidR="003E4849">
              <w:t>entertainment facilities; f</w:t>
            </w:r>
            <w:r>
              <w:t>uncti</w:t>
            </w:r>
            <w:r w:rsidR="003E4849">
              <w:t>on centres; hotel or motel accommodation; i</w:t>
            </w:r>
            <w:r>
              <w:t xml:space="preserve">nformation and education facilities; </w:t>
            </w:r>
            <w:r w:rsidR="003E4849">
              <w:t>medical centres; p</w:t>
            </w:r>
            <w:r>
              <w:t xml:space="preserve">assenger transport facilities; </w:t>
            </w:r>
            <w:r w:rsidR="003E4849">
              <w:t>r</w:t>
            </w:r>
            <w:r>
              <w:t xml:space="preserve">ecreation facilities (indoor); </w:t>
            </w:r>
            <w:r w:rsidR="003E4849">
              <w:t>r</w:t>
            </w:r>
            <w:r>
              <w:t xml:space="preserve">egistered clubs; </w:t>
            </w:r>
            <w:r w:rsidR="003E4849">
              <w:t>respite day care centres and r</w:t>
            </w:r>
            <w:r>
              <w:t>estricted premises</w:t>
            </w:r>
            <w:r w:rsidR="003E4849">
              <w:t xml:space="preserve">. </w:t>
            </w:r>
          </w:p>
          <w:p w14:paraId="6E2189AB" w14:textId="77777777" w:rsidR="00A85928" w:rsidRDefault="00135A07" w:rsidP="00D31AC3">
            <w:pPr>
              <w:pStyle w:val="Box"/>
              <w:spacing w:before="80"/>
            </w:pPr>
            <w:r>
              <w:t>For Commercial Core zones, t</w:t>
            </w:r>
            <w:r w:rsidR="00B04071">
              <w:t xml:space="preserve">he </w:t>
            </w:r>
            <w:r w:rsidR="00B04071" w:rsidRPr="00BD0213">
              <w:rPr>
                <w:i/>
              </w:rPr>
              <w:t>Sydney Local Environment Plan 2012</w:t>
            </w:r>
            <w:r w:rsidR="00EC3675">
              <w:t xml:space="preserve"> (for the city of Sydney)</w:t>
            </w:r>
            <w:r w:rsidR="00A85928">
              <w:t>:</w:t>
            </w:r>
          </w:p>
          <w:p w14:paraId="6E2189AC" w14:textId="77777777" w:rsidR="00A85928" w:rsidRPr="00A85928" w:rsidRDefault="00B04071" w:rsidP="00D31AC3">
            <w:pPr>
              <w:pStyle w:val="BoxListBullet"/>
              <w:spacing w:before="80"/>
            </w:pPr>
            <w:r>
              <w:t xml:space="preserve">includes </w:t>
            </w:r>
            <w:r w:rsidRPr="00A85928">
              <w:t xml:space="preserve">as a further objective the promotion of land uses with active </w:t>
            </w:r>
            <w:r w:rsidR="00A85928" w:rsidRPr="00A85928">
              <w:t>street frontages</w:t>
            </w:r>
          </w:p>
          <w:p w14:paraId="6E2189AD" w14:textId="01224F69" w:rsidR="00A85928" w:rsidRPr="00A85928" w:rsidRDefault="00A85928" w:rsidP="00D31AC3">
            <w:pPr>
              <w:pStyle w:val="BoxListBullet"/>
              <w:spacing w:before="80"/>
            </w:pPr>
            <w:r w:rsidRPr="00A85928">
              <w:t>specifies th</w:t>
            </w:r>
            <w:r w:rsidR="00B04071" w:rsidRPr="00A85928">
              <w:t>e following</w:t>
            </w:r>
            <w:r w:rsidR="003E4849">
              <w:t xml:space="preserve"> additional </w:t>
            </w:r>
            <w:r w:rsidR="00B04071" w:rsidRPr="00A85928">
              <w:t xml:space="preserve">land uses </w:t>
            </w:r>
            <w:r w:rsidRPr="00A85928">
              <w:t>that may be permitted with its consent</w:t>
            </w:r>
            <w:r w:rsidR="00B04071" w:rsidRPr="00A85928">
              <w:t xml:space="preserve">: Backpackers’ accommodation; Horticulture; Light industries; Sewage reticulation systems; Waste or resource transfer stations; </w:t>
            </w:r>
            <w:r w:rsidRPr="00A85928">
              <w:t xml:space="preserve">and other development </w:t>
            </w:r>
          </w:p>
          <w:p w14:paraId="6E2189AE" w14:textId="77777777" w:rsidR="00BC2D50" w:rsidRDefault="00A85928" w:rsidP="00D31AC3">
            <w:pPr>
              <w:pStyle w:val="BoxListBullet"/>
              <w:spacing w:before="80"/>
            </w:pPr>
            <w:r w:rsidRPr="00A85928">
              <w:t>includes a lengthy</w:t>
            </w:r>
            <w:r>
              <w:t xml:space="preserve"> list of prohibited land uses.</w:t>
            </w:r>
          </w:p>
          <w:p w14:paraId="6E2189AF" w14:textId="77777777" w:rsidR="00B04071" w:rsidRDefault="0038761B" w:rsidP="00D31AC3">
            <w:pPr>
              <w:pStyle w:val="BoxListBullet"/>
              <w:numPr>
                <w:ilvl w:val="0"/>
                <w:numId w:val="0"/>
              </w:numPr>
              <w:spacing w:before="80"/>
            </w:pPr>
            <w:r>
              <w:t>T</w:t>
            </w:r>
            <w:r w:rsidR="00BC2D50">
              <w:t xml:space="preserve">he Commercial Core zone does not apply to the Sydney CBD </w:t>
            </w:r>
            <w:r>
              <w:t>but</w:t>
            </w:r>
            <w:r w:rsidR="002D27F4">
              <w:t xml:space="preserve"> </w:t>
            </w:r>
            <w:r w:rsidR="00BC2D50">
              <w:t xml:space="preserve">applies in other centres within the City of Sydney </w:t>
            </w:r>
            <w:r w:rsidR="00034F49">
              <w:t>L</w:t>
            </w:r>
            <w:r w:rsidR="000E788D">
              <w:t>o</w:t>
            </w:r>
            <w:r w:rsidR="00034F49">
              <w:t>cal G</w:t>
            </w:r>
            <w:r w:rsidR="000E788D">
              <w:t>overnment area</w:t>
            </w:r>
            <w:r w:rsidR="00BC2D50">
              <w:t>.</w:t>
            </w:r>
          </w:p>
          <w:p w14:paraId="6E2189B0" w14:textId="3FC8CFED" w:rsidR="00AB667A" w:rsidRDefault="00C3332D" w:rsidP="00D31AC3">
            <w:pPr>
              <w:pStyle w:val="Box"/>
              <w:spacing w:before="80"/>
            </w:pPr>
            <w:r>
              <w:t>Local environment plans also specify parameters for development in accordance with high</w:t>
            </w:r>
            <w:r>
              <w:noBreakHyphen/>
              <w:t xml:space="preserve">level standards set by the State Government, </w:t>
            </w:r>
            <w:r w:rsidR="009E6C3B">
              <w:t>including</w:t>
            </w:r>
            <w:r>
              <w:t xml:space="preserve"> </w:t>
            </w:r>
            <w:r w:rsidR="00AE7E16">
              <w:t>with respect to</w:t>
            </w:r>
            <w:r>
              <w:t xml:space="preserve"> the height of </w:t>
            </w:r>
            <w:r w:rsidR="009E6C3B">
              <w:t>building</w:t>
            </w:r>
            <w:r w:rsidR="00AE7E16">
              <w:t>s</w:t>
            </w:r>
            <w:r>
              <w:t xml:space="preserve"> </w:t>
            </w:r>
            <w:r w:rsidR="00DD18A0">
              <w:t>(for example, to ensure they are appropriate to the condition of the site, promote ame</w:t>
            </w:r>
            <w:r w:rsidR="009E6C3B">
              <w:t>nity and the sharing of views) and</w:t>
            </w:r>
            <w:r w:rsidR="00DD18A0">
              <w:t xml:space="preserve"> the floor</w:t>
            </w:r>
            <w:r w:rsidR="00181B62">
              <w:noBreakHyphen/>
            </w:r>
            <w:r w:rsidR="00DD18A0">
              <w:t xml:space="preserve">space ratio of buildings </w:t>
            </w:r>
            <w:r w:rsidR="009E6C3B">
              <w:t>(</w:t>
            </w:r>
            <w:r w:rsidR="00AE7E16">
              <w:t>aimed at</w:t>
            </w:r>
            <w:r w:rsidR="00DD18A0">
              <w:t xml:space="preserve"> provid</w:t>
            </w:r>
            <w:r w:rsidR="00AE7E16">
              <w:t>ing</w:t>
            </w:r>
            <w:r w:rsidR="00DD18A0">
              <w:t xml:space="preserve"> sufficient floor space to meet</w:t>
            </w:r>
            <w:r w:rsidR="00AE7E16">
              <w:t xml:space="preserve"> development</w:t>
            </w:r>
            <w:r w:rsidR="00DD18A0">
              <w:t xml:space="preserve"> needs for the foreseeable future, regulat</w:t>
            </w:r>
            <w:r w:rsidR="00AE7E16">
              <w:t>ing</w:t>
            </w:r>
            <w:r w:rsidR="00DD18A0">
              <w:t xml:space="preserve"> the density of development and land use intensity, control</w:t>
            </w:r>
            <w:r w:rsidR="00AE7E16">
              <w:t>ling</w:t>
            </w:r>
            <w:r w:rsidR="00DD18A0">
              <w:t xml:space="preserve"> traffic, and ensur</w:t>
            </w:r>
            <w:r w:rsidR="00AE7E16">
              <w:t>ing</w:t>
            </w:r>
            <w:r w:rsidR="00DD18A0">
              <w:t xml:space="preserve"> that new development reflects the desired character of the locality in which it is located).</w:t>
            </w:r>
            <w:r w:rsidR="009E6C3B">
              <w:t xml:space="preserve"> </w:t>
            </w:r>
          </w:p>
          <w:p w14:paraId="6E2189B1" w14:textId="77777777" w:rsidR="009E6C3B" w:rsidRDefault="009E6C3B" w:rsidP="00D31AC3">
            <w:pPr>
              <w:pStyle w:val="Box"/>
              <w:spacing w:before="80"/>
            </w:pPr>
            <w:r>
              <w:t>L</w:t>
            </w:r>
            <w:r w:rsidR="000E788D">
              <w:t>ocal Environment Plans</w:t>
            </w:r>
            <w:r>
              <w:t xml:space="preserve"> may also include specif</w:t>
            </w:r>
            <w:r w:rsidR="00034F49">
              <w:t>ic requirements desired by the Local G</w:t>
            </w:r>
            <w:r>
              <w:t xml:space="preserve">overnment. The Sydney Local Environment Plan, for example, provides that development consent must not be granted to the erection of a new building or external alterations to an existing building unless the consent authority is satisfied that the proposed development shows a high </w:t>
            </w:r>
            <w:r w:rsidRPr="009E6C3B">
              <w:t>standard of architectural, urban and landscape design</w:t>
            </w:r>
            <w:r>
              <w:t xml:space="preserve">. </w:t>
            </w:r>
          </w:p>
        </w:tc>
      </w:tr>
      <w:tr w:rsidR="00DB58A9" w14:paraId="6E2189B4" w14:textId="77777777" w:rsidTr="0061187E">
        <w:tc>
          <w:tcPr>
            <w:tcW w:w="5000" w:type="pct"/>
            <w:tcBorders>
              <w:top w:val="nil"/>
              <w:left w:val="nil"/>
              <w:bottom w:val="nil"/>
              <w:right w:val="nil"/>
            </w:tcBorders>
            <w:shd w:val="clear" w:color="auto" w:fill="F2F2F2"/>
          </w:tcPr>
          <w:p w14:paraId="6E2189B3" w14:textId="2243B7F4" w:rsidR="00DB58A9" w:rsidRDefault="00DB58A9" w:rsidP="00D31AC3">
            <w:pPr>
              <w:pStyle w:val="BoxSource"/>
            </w:pPr>
            <w:r>
              <w:rPr>
                <w:i/>
              </w:rPr>
              <w:t>Sources</w:t>
            </w:r>
            <w:r w:rsidRPr="00167F06">
              <w:t>:</w:t>
            </w:r>
            <w:r w:rsidR="009E6C3B">
              <w:t xml:space="preserve"> </w:t>
            </w:r>
            <w:r w:rsidR="009E6C3B" w:rsidRPr="00816F2C">
              <w:rPr>
                <w:i/>
              </w:rPr>
              <w:t>Standard Instrument</w:t>
            </w:r>
            <w:r w:rsidR="00AB6E14">
              <w:rPr>
                <w:i/>
              </w:rPr>
              <w:t xml:space="preserve"> </w:t>
            </w:r>
            <w:r w:rsidR="009E6C3B" w:rsidRPr="00816F2C">
              <w:rPr>
                <w:i/>
              </w:rPr>
              <w:t>—</w:t>
            </w:r>
            <w:r w:rsidR="00AB6E14">
              <w:rPr>
                <w:i/>
              </w:rPr>
              <w:t xml:space="preserve"> </w:t>
            </w:r>
            <w:r w:rsidR="009E6C3B" w:rsidRPr="00816F2C">
              <w:rPr>
                <w:i/>
              </w:rPr>
              <w:t>Principal Local Environmental Plan</w:t>
            </w:r>
            <w:r w:rsidR="009E6C3B" w:rsidRPr="00816F2C">
              <w:t xml:space="preserve"> (NSW); </w:t>
            </w:r>
            <w:r w:rsidR="009E6C3B" w:rsidRPr="00816F2C">
              <w:rPr>
                <w:i/>
              </w:rPr>
              <w:t>Sydney Local Environmental Plan 2012</w:t>
            </w:r>
            <w:r w:rsidR="009E6C3B" w:rsidRPr="00816F2C">
              <w:t>.</w:t>
            </w:r>
            <w:r w:rsidR="009E6C3B">
              <w:t xml:space="preserve"> </w:t>
            </w:r>
          </w:p>
        </w:tc>
      </w:tr>
      <w:tr w:rsidR="00DB58A9" w14:paraId="6E2189B6" w14:textId="77777777" w:rsidTr="0061187E">
        <w:trPr>
          <w:trHeight w:val="76"/>
        </w:trPr>
        <w:tc>
          <w:tcPr>
            <w:tcW w:w="5000" w:type="pct"/>
            <w:tcBorders>
              <w:top w:val="nil"/>
              <w:left w:val="nil"/>
              <w:bottom w:val="single" w:sz="6" w:space="0" w:color="78A22F"/>
              <w:right w:val="nil"/>
            </w:tcBorders>
            <w:shd w:val="clear" w:color="auto" w:fill="F2F2F2"/>
          </w:tcPr>
          <w:p w14:paraId="6E2189B5" w14:textId="77777777" w:rsidR="00DB58A9" w:rsidRDefault="00DB58A9">
            <w:pPr>
              <w:pStyle w:val="Box"/>
              <w:spacing w:before="0" w:line="120" w:lineRule="exact"/>
            </w:pPr>
          </w:p>
        </w:tc>
      </w:tr>
      <w:tr w:rsidR="00DB58A9" w:rsidRPr="000863A5" w14:paraId="6E2189B8" w14:textId="77777777" w:rsidTr="0061187E">
        <w:tc>
          <w:tcPr>
            <w:tcW w:w="5000" w:type="pct"/>
            <w:tcBorders>
              <w:top w:val="single" w:sz="6" w:space="0" w:color="78A22F"/>
              <w:left w:val="nil"/>
              <w:bottom w:val="nil"/>
              <w:right w:val="nil"/>
            </w:tcBorders>
          </w:tcPr>
          <w:p w14:paraId="6E2189B7" w14:textId="77777777" w:rsidR="00DB58A9" w:rsidRPr="00626D32" w:rsidRDefault="00DB58A9" w:rsidP="00C03425">
            <w:pPr>
              <w:pStyle w:val="BoxSpaceBelow"/>
            </w:pPr>
          </w:p>
        </w:tc>
      </w:tr>
    </w:tbl>
    <w:p w14:paraId="6E2189B9" w14:textId="77777777" w:rsidR="00F61197" w:rsidRDefault="00F61197" w:rsidP="00F61197">
      <w:pPr>
        <w:pStyle w:val="BodyText"/>
      </w:pPr>
      <w:r>
        <w:t xml:space="preserve">For development proponents, the prescriptiveness and differences in treatment of land uses at the local level can lead to different treatment of the same types of land use across council areas. </w:t>
      </w:r>
    </w:p>
    <w:p w14:paraId="6E2189BA" w14:textId="54C8F47D" w:rsidR="00F61197" w:rsidRDefault="00F61197" w:rsidP="00F61197">
      <w:pPr>
        <w:pStyle w:val="BodyText"/>
      </w:pPr>
      <w:r>
        <w:t xml:space="preserve">For example, </w:t>
      </w:r>
      <w:r w:rsidR="00073B22">
        <w:t>i</w:t>
      </w:r>
      <w:r>
        <w:t xml:space="preserve">n South Australia, the ‘light industry zone’ in the Mount Barker council areas allows ‘light industry, service industry, store and warehouse land uses with ancillary commercial land uses’ </w:t>
      </w:r>
      <w:r w:rsidRPr="00EE5FDB">
        <w:rPr>
          <w:szCs w:val="24"/>
        </w:rPr>
        <w:t>(SADPTI 2016b, p. 171)</w:t>
      </w:r>
      <w:r w:rsidR="00014715">
        <w:rPr>
          <w:szCs w:val="24"/>
        </w:rPr>
        <w:t>,</w:t>
      </w:r>
      <w:r>
        <w:t xml:space="preserve"> whereas in Mitcham council, the light industry zone allows ‘industries </w:t>
      </w:r>
      <w:r w:rsidR="00014715">
        <w:t>that</w:t>
      </w:r>
      <w:r>
        <w:t xml:space="preserve"> manufacture on a small</w:t>
      </w:r>
      <w:r w:rsidR="00181B62">
        <w:noBreakHyphen/>
      </w:r>
      <w:r>
        <w:t xml:space="preserve">scale and </w:t>
      </w:r>
      <w:r w:rsidR="00014715">
        <w:t>that</w:t>
      </w:r>
      <w:r>
        <w:t xml:space="preserve"> do not create any appreciable nuisance or generate heavy traffic’ </w:t>
      </w:r>
      <w:r w:rsidRPr="001310EB">
        <w:rPr>
          <w:szCs w:val="24"/>
        </w:rPr>
        <w:t>(SADPTI 2016a, p. </w:t>
      </w:r>
      <w:r w:rsidRPr="005950F2">
        <w:rPr>
          <w:szCs w:val="24"/>
        </w:rPr>
        <w:t>198)</w:t>
      </w:r>
      <w:r>
        <w:t xml:space="preserve">. For the ‘residential’ zone type in Western Australia, the city of Fremantle permits ‘aged or dependent persons dwellings’ but ‘nursing homes’ (the most similar use) in nearby Rockingham are prohibited </w:t>
      </w:r>
      <w:r w:rsidRPr="009B27EA">
        <w:rPr>
          <w:szCs w:val="24"/>
        </w:rPr>
        <w:t>(WADP </w:t>
      </w:r>
      <w:r w:rsidRPr="00BB6952">
        <w:rPr>
          <w:szCs w:val="24"/>
        </w:rPr>
        <w:t>2016, 2017a)</w:t>
      </w:r>
      <w:r>
        <w:t xml:space="preserve">. </w:t>
      </w:r>
    </w:p>
    <w:p w14:paraId="6E2189BB" w14:textId="77777777" w:rsidR="00F06252" w:rsidRDefault="00F06252" w:rsidP="00F06252">
      <w:pPr>
        <w:pStyle w:val="BodyText"/>
      </w:pPr>
      <w:r>
        <w:t xml:space="preserve">The large format retail industry, which sells bulky goods, noted the </w:t>
      </w:r>
      <w:r w:rsidRPr="00072BDA">
        <w:t xml:space="preserve">varying treatment of </w:t>
      </w:r>
      <w:r>
        <w:t>its type of business</w:t>
      </w:r>
      <w:r w:rsidRPr="00072BDA">
        <w:t xml:space="preserve"> in local planning policies</w:t>
      </w:r>
      <w:r w:rsidR="00EE66EA">
        <w:t xml:space="preserve"> in New </w:t>
      </w:r>
      <w:r>
        <w:t>S</w:t>
      </w:r>
      <w:r w:rsidR="00EE66EA">
        <w:t xml:space="preserve">outh </w:t>
      </w:r>
      <w:r>
        <w:t>W</w:t>
      </w:r>
      <w:r w:rsidR="00EE66EA">
        <w:t>ales</w:t>
      </w:r>
      <w:r>
        <w:t>, and the lack of flexibility created by the prescriptiveness of allowed activity:</w:t>
      </w:r>
    </w:p>
    <w:p w14:paraId="6E2189BC" w14:textId="77777777" w:rsidR="00F06252" w:rsidRPr="00D33D3F" w:rsidRDefault="00EC3675" w:rsidP="00F06252">
      <w:pPr>
        <w:pStyle w:val="Quote"/>
      </w:pPr>
      <w:r>
        <w:t xml:space="preserve">LFR </w:t>
      </w:r>
      <w:r w:rsidR="00F06252" w:rsidRPr="00C06442">
        <w:t xml:space="preserve">uses generally fall under the land use definitions for ‘Bulky Goods Premises’, ‘Hardware and Building Supplies’ and ‘Garden Centres’. There is often subjective and varying treatment of these land use definitions in Local Environmental Plans, creating uncertainty as to whether particular developments would qualify as a LFR use. The existing definitions also lack sufficient flexibility to encourage innovation in the retail sector. The lack of flexibility is emphasised by the fact that the definition for ‘Bulky Goods Premises’ requires LFR operations to involve the sale of bulky goods that require large area for handling, display or storage and direct vehicle access for customer loading purposes. All other Australian jurisdictions only require either ‘arm’ of the definition to be satisfied … </w:t>
      </w:r>
      <w:r w:rsidR="00CC5D10" w:rsidRPr="00C81B56">
        <w:rPr>
          <w:szCs w:val="24"/>
        </w:rPr>
        <w:t>(LFRA 2015, pp. 11–12)</w:t>
      </w:r>
      <w:r w:rsidR="00CC5D10" w:rsidRPr="003D5F19" w:rsidDel="00CC5D10">
        <w:rPr>
          <w:szCs w:val="24"/>
        </w:rPr>
        <w:t xml:space="preserve"> </w:t>
      </w:r>
    </w:p>
    <w:p w14:paraId="6E2189BD" w14:textId="637BA304" w:rsidR="00F06252" w:rsidRPr="00EA79EB" w:rsidRDefault="00F06252" w:rsidP="00F06252">
      <w:pPr>
        <w:pStyle w:val="BodyText"/>
      </w:pPr>
      <w:r>
        <w:t>This contrasts with</w:t>
      </w:r>
      <w:r w:rsidRPr="00D6781E">
        <w:t xml:space="preserve"> the</w:t>
      </w:r>
      <w:r w:rsidRPr="00EA79EB">
        <w:t xml:space="preserve"> </w:t>
      </w:r>
      <w:r w:rsidRPr="00D6781E">
        <w:t>experience</w:t>
      </w:r>
      <w:r w:rsidRPr="00EA79EB">
        <w:t xml:space="preserve"> </w:t>
      </w:r>
      <w:r>
        <w:t>of the industry in Victoria</w:t>
      </w:r>
      <w:r w:rsidR="00E22CE6">
        <w:t>:</w:t>
      </w:r>
      <w:r>
        <w:t xml:space="preserve"> </w:t>
      </w:r>
    </w:p>
    <w:p w14:paraId="6E2189BE" w14:textId="4425F40A" w:rsidR="00F06252" w:rsidRDefault="00F06252" w:rsidP="00F06252">
      <w:pPr>
        <w:pStyle w:val="Quote"/>
      </w:pPr>
      <w:r w:rsidRPr="00EA79EB">
        <w:t>In Victoria, LFR is included within the land use definition ‘Restricted Retail Premises’ which incorporates both product</w:t>
      </w:r>
      <w:r w:rsidR="00181B62">
        <w:noBreakHyphen/>
      </w:r>
      <w:r w:rsidRPr="00EA79EB">
        <w:t>based characteristics of the merchandise sold, as well as their physical characteristics. The Victorian system also permits ‘Restricted Retail Premises’ as an ‘as</w:t>
      </w:r>
      <w:r w:rsidR="00181B62">
        <w:noBreakHyphen/>
      </w:r>
      <w:r w:rsidRPr="00EA79EB">
        <w:t>of</w:t>
      </w:r>
      <w:r w:rsidR="00181B62">
        <w:noBreakHyphen/>
      </w:r>
      <w:r w:rsidRPr="00EA79EB">
        <w:t>right’ use in its commercial zones</w:t>
      </w:r>
      <w:r>
        <w:t>,</w:t>
      </w:r>
      <w:r w:rsidRPr="00EA79EB">
        <w:t xml:space="preserve"> which provides certainty and encourages investment.</w:t>
      </w:r>
      <w:r>
        <w:t xml:space="preserve"> </w:t>
      </w:r>
      <w:r w:rsidR="00CC5D10" w:rsidRPr="00C81B56">
        <w:rPr>
          <w:szCs w:val="24"/>
        </w:rPr>
        <w:t>(LFRA 2015, p. 12)</w:t>
      </w:r>
      <w:r w:rsidR="00CC5D10" w:rsidRPr="003D5F19" w:rsidDel="00CC5D10">
        <w:rPr>
          <w:szCs w:val="24"/>
        </w:rPr>
        <w:t xml:space="preserve"> </w:t>
      </w:r>
    </w:p>
    <w:p w14:paraId="6E2189BF" w14:textId="77777777" w:rsidR="00073B22" w:rsidRDefault="00073B22" w:rsidP="00073B22">
      <w:pPr>
        <w:pStyle w:val="BodyText"/>
        <w:rPr>
          <w:rStyle w:val="A4"/>
          <w:rFonts w:cs="Times New Roman"/>
          <w:color w:val="auto"/>
          <w:sz w:val="24"/>
        </w:rPr>
      </w:pPr>
      <w:r>
        <w:rPr>
          <w:rStyle w:val="A4"/>
          <w:rFonts w:cs="Times New Roman"/>
          <w:color w:val="auto"/>
          <w:sz w:val="24"/>
        </w:rPr>
        <w:t xml:space="preserve">The current orientation of planning systems towards controlling specific types of development means that greater regulatory prescription is required to recognise new </w:t>
      </w:r>
      <w:r w:rsidR="00A9652B">
        <w:rPr>
          <w:rStyle w:val="A4"/>
          <w:rFonts w:cs="Times New Roman"/>
          <w:color w:val="auto"/>
          <w:sz w:val="24"/>
        </w:rPr>
        <w:t xml:space="preserve">types of </w:t>
      </w:r>
      <w:r>
        <w:rPr>
          <w:rStyle w:val="A4"/>
          <w:rFonts w:cs="Times New Roman"/>
          <w:color w:val="auto"/>
          <w:sz w:val="24"/>
        </w:rPr>
        <w:t xml:space="preserve">business or community activities, </w:t>
      </w:r>
      <w:r w:rsidR="004D49C5">
        <w:rPr>
          <w:rStyle w:val="A4"/>
          <w:rFonts w:cs="Times New Roman"/>
          <w:color w:val="auto"/>
          <w:sz w:val="24"/>
        </w:rPr>
        <w:t>and is the only means by which Local G</w:t>
      </w:r>
      <w:r>
        <w:rPr>
          <w:rStyle w:val="A4"/>
          <w:rFonts w:cs="Times New Roman"/>
          <w:color w:val="auto"/>
          <w:sz w:val="24"/>
        </w:rPr>
        <w:t xml:space="preserve">overnments can give effect to specific objectives for their areas. </w:t>
      </w:r>
    </w:p>
    <w:p w14:paraId="6E2189C0" w14:textId="64806A52" w:rsidR="00073B22" w:rsidRDefault="00073B22" w:rsidP="00073B22">
      <w:pPr>
        <w:pStyle w:val="BodyText"/>
      </w:pPr>
      <w:r>
        <w:rPr>
          <w:rStyle w:val="A4"/>
          <w:rFonts w:cs="Times New Roman"/>
          <w:color w:val="auto"/>
          <w:sz w:val="24"/>
        </w:rPr>
        <w:t>The logic of current systems is thus one of increasing regulation over time, with the potential for inconsistent or perverse outcomes inherent given the scope for fine distinctions to be made between types of developments based on particular councils’ preferences. In its</w:t>
      </w:r>
      <w:r w:rsidDel="00F30996">
        <w:rPr>
          <w:rStyle w:val="A4"/>
          <w:rFonts w:cs="Times New Roman"/>
          <w:color w:val="auto"/>
          <w:sz w:val="24"/>
        </w:rPr>
        <w:t xml:space="preserve"> </w:t>
      </w:r>
      <w:r>
        <w:rPr>
          <w:rStyle w:val="A4"/>
          <w:rFonts w:cs="Times New Roman"/>
          <w:color w:val="auto"/>
          <w:sz w:val="24"/>
        </w:rPr>
        <w:t xml:space="preserve">2013 attempt to reduce the number and restrictiveness of zoning categories, the </w:t>
      </w:r>
      <w:r w:rsidR="007E0E82">
        <w:rPr>
          <w:rStyle w:val="A4"/>
          <w:rFonts w:cs="Times New Roman"/>
          <w:color w:val="auto"/>
          <w:sz w:val="24"/>
        </w:rPr>
        <w:t>NSW</w:t>
      </w:r>
      <w:r>
        <w:rPr>
          <w:rStyle w:val="A4"/>
          <w:rFonts w:cs="Times New Roman"/>
          <w:color w:val="auto"/>
          <w:sz w:val="24"/>
        </w:rPr>
        <w:t xml:space="preserve"> Government noted: </w:t>
      </w:r>
      <w:r w:rsidR="00AB6E14">
        <w:rPr>
          <w:rStyle w:val="A4"/>
          <w:rFonts w:cs="Times New Roman"/>
          <w:color w:val="auto"/>
          <w:sz w:val="24"/>
        </w:rPr>
        <w:t>‘</w:t>
      </w:r>
      <w:r>
        <w:rPr>
          <w:rStyle w:val="A4"/>
          <w:rFonts w:cs="Times New Roman"/>
          <w:color w:val="auto"/>
          <w:sz w:val="24"/>
        </w:rPr>
        <w:t>t</w:t>
      </w:r>
      <w:r w:rsidRPr="00C769D2">
        <w:t>here is diminishing justification for retaining an extensive list of zones that separate and restrict complementary</w:t>
      </w:r>
      <w:r>
        <w:t xml:space="preserve"> (land)</w:t>
      </w:r>
      <w:r w:rsidRPr="00C769D2">
        <w:t xml:space="preserve"> uses that fall within the same broad category</w:t>
      </w:r>
      <w:r w:rsidR="00AB6E14">
        <w:t>’</w:t>
      </w:r>
      <w:r w:rsidRPr="00C769D2">
        <w:t xml:space="preserve"> </w:t>
      </w:r>
      <w:r w:rsidR="00BB0F09" w:rsidRPr="00BB0F09">
        <w:rPr>
          <w:szCs w:val="24"/>
        </w:rPr>
        <w:t>(NSW Government 2013, p. 94)</w:t>
      </w:r>
      <w:r>
        <w:t>.</w:t>
      </w:r>
      <w:r w:rsidRPr="00C769D2">
        <w:t xml:space="preserve"> </w:t>
      </w:r>
    </w:p>
    <w:p w14:paraId="6E2189C1" w14:textId="77777777" w:rsidR="00933BF5" w:rsidRPr="002046F6" w:rsidRDefault="00933BF5" w:rsidP="00933BF5">
      <w:pPr>
        <w:pStyle w:val="BodyText"/>
      </w:pPr>
      <w:r>
        <w:t>Tasmania’s and South Australia’s reforms are seeking to reduce the degree of local variations. At the time of writing, the new regimes had not yet been tested on this element.</w:t>
      </w:r>
    </w:p>
    <w:p w14:paraId="6E2189C2" w14:textId="77777777" w:rsidR="007F2918" w:rsidDel="009E772B" w:rsidRDefault="00F06252" w:rsidP="007F2918">
      <w:pPr>
        <w:pStyle w:val="BodyText"/>
      </w:pPr>
      <w:r w:rsidDel="009E772B">
        <w:rPr>
          <w:rStyle w:val="A4"/>
          <w:rFonts w:cs="Times New Roman"/>
          <w:color w:val="auto"/>
          <w:sz w:val="24"/>
        </w:rPr>
        <w:t xml:space="preserve">By creating barriers to entry and diversification, </w:t>
      </w:r>
      <w:r w:rsidR="00324656" w:rsidDel="009E772B">
        <w:rPr>
          <w:rStyle w:val="A4"/>
          <w:rFonts w:cs="Times New Roman"/>
          <w:color w:val="auto"/>
          <w:sz w:val="24"/>
        </w:rPr>
        <w:t>z</w:t>
      </w:r>
      <w:r w:rsidR="00AB667A" w:rsidDel="009E772B">
        <w:rPr>
          <w:rStyle w:val="A4"/>
          <w:rFonts w:cs="Times New Roman"/>
          <w:color w:val="auto"/>
          <w:sz w:val="24"/>
        </w:rPr>
        <w:t>oning cl</w:t>
      </w:r>
      <w:r w:rsidR="008907C2" w:rsidDel="009E772B">
        <w:rPr>
          <w:rStyle w:val="A4"/>
          <w:rFonts w:cs="Times New Roman"/>
          <w:color w:val="auto"/>
          <w:sz w:val="24"/>
        </w:rPr>
        <w:t xml:space="preserve">asses and </w:t>
      </w:r>
      <w:r w:rsidDel="009E772B">
        <w:rPr>
          <w:rStyle w:val="A4"/>
          <w:rFonts w:cs="Times New Roman"/>
          <w:color w:val="auto"/>
          <w:sz w:val="24"/>
        </w:rPr>
        <w:t xml:space="preserve">the </w:t>
      </w:r>
      <w:r w:rsidR="008907C2" w:rsidDel="009E772B">
        <w:rPr>
          <w:rStyle w:val="A4"/>
          <w:rFonts w:cs="Times New Roman"/>
          <w:color w:val="auto"/>
          <w:sz w:val="24"/>
        </w:rPr>
        <w:t>prescriptiveness of permitted land uses</w:t>
      </w:r>
      <w:r w:rsidR="00AB667A" w:rsidDel="009E772B">
        <w:rPr>
          <w:rStyle w:val="A4"/>
          <w:rFonts w:cs="Times New Roman"/>
          <w:color w:val="auto"/>
          <w:sz w:val="24"/>
        </w:rPr>
        <w:t xml:space="preserve"> can</w:t>
      </w:r>
      <w:r w:rsidR="00324656" w:rsidDel="009E772B">
        <w:rPr>
          <w:rStyle w:val="A4"/>
          <w:rFonts w:cs="Times New Roman"/>
          <w:color w:val="auto"/>
          <w:sz w:val="24"/>
        </w:rPr>
        <w:t xml:space="preserve"> </w:t>
      </w:r>
      <w:r w:rsidR="00F63738" w:rsidDel="009E772B">
        <w:rPr>
          <w:rStyle w:val="A4"/>
          <w:rFonts w:cs="Times New Roman"/>
          <w:color w:val="auto"/>
          <w:sz w:val="24"/>
        </w:rPr>
        <w:t xml:space="preserve">also </w:t>
      </w:r>
      <w:r w:rsidR="00AB667A" w:rsidDel="009E772B">
        <w:rPr>
          <w:rStyle w:val="A4"/>
          <w:rFonts w:cs="Times New Roman"/>
          <w:color w:val="auto"/>
          <w:sz w:val="24"/>
        </w:rPr>
        <w:t xml:space="preserve">limit </w:t>
      </w:r>
      <w:r w:rsidR="008907C2" w:rsidDel="009E772B">
        <w:rPr>
          <w:rStyle w:val="A4"/>
          <w:rFonts w:cs="Times New Roman"/>
          <w:color w:val="auto"/>
          <w:sz w:val="24"/>
        </w:rPr>
        <w:t xml:space="preserve">productivity improvements in, and </w:t>
      </w:r>
      <w:r w:rsidR="00AB667A" w:rsidDel="009E772B">
        <w:rPr>
          <w:rStyle w:val="A4"/>
          <w:rFonts w:cs="Times New Roman"/>
          <w:color w:val="auto"/>
          <w:sz w:val="24"/>
        </w:rPr>
        <w:t>competition</w:t>
      </w:r>
      <w:r w:rsidR="00324656" w:rsidDel="009E772B">
        <w:rPr>
          <w:rStyle w:val="A4"/>
          <w:rFonts w:cs="Times New Roman"/>
          <w:color w:val="auto"/>
          <w:sz w:val="24"/>
        </w:rPr>
        <w:t xml:space="preserve"> between</w:t>
      </w:r>
      <w:r w:rsidR="008907C2" w:rsidDel="009E772B">
        <w:rPr>
          <w:rStyle w:val="A4"/>
          <w:rFonts w:cs="Times New Roman"/>
          <w:color w:val="auto"/>
          <w:sz w:val="24"/>
        </w:rPr>
        <w:t>,</w:t>
      </w:r>
      <w:r w:rsidR="00324656" w:rsidDel="009E772B">
        <w:rPr>
          <w:rStyle w:val="A4"/>
          <w:rFonts w:cs="Times New Roman"/>
          <w:color w:val="auto"/>
          <w:sz w:val="24"/>
        </w:rPr>
        <w:t xml:space="preserve"> business</w:t>
      </w:r>
      <w:r w:rsidR="008907C2" w:rsidDel="009E772B">
        <w:rPr>
          <w:rStyle w:val="A4"/>
          <w:rFonts w:cs="Times New Roman"/>
          <w:color w:val="auto"/>
          <w:sz w:val="24"/>
        </w:rPr>
        <w:t>es</w:t>
      </w:r>
      <w:r w:rsidDel="009E772B">
        <w:rPr>
          <w:rStyle w:val="A4"/>
          <w:rFonts w:cs="Times New Roman"/>
          <w:color w:val="auto"/>
          <w:sz w:val="24"/>
        </w:rPr>
        <w:t xml:space="preserve">. This </w:t>
      </w:r>
      <w:r w:rsidR="008907C2" w:rsidDel="009E772B">
        <w:rPr>
          <w:rStyle w:val="A4"/>
          <w:rFonts w:cs="Times New Roman"/>
          <w:color w:val="auto"/>
          <w:sz w:val="24"/>
        </w:rPr>
        <w:t>ultimately results</w:t>
      </w:r>
      <w:r w:rsidR="00AB667A" w:rsidDel="009E772B">
        <w:rPr>
          <w:rStyle w:val="A4"/>
          <w:rFonts w:cs="Times New Roman"/>
          <w:color w:val="auto"/>
          <w:sz w:val="24"/>
        </w:rPr>
        <w:t xml:space="preserve"> in higher prices and/or poorer quality and range</w:t>
      </w:r>
      <w:r w:rsidR="00073B22">
        <w:rPr>
          <w:rStyle w:val="A4"/>
          <w:rFonts w:cs="Times New Roman"/>
          <w:color w:val="auto"/>
          <w:sz w:val="24"/>
        </w:rPr>
        <w:t>s</w:t>
      </w:r>
      <w:r w:rsidR="00AB667A" w:rsidDel="009E772B">
        <w:rPr>
          <w:rStyle w:val="A4"/>
          <w:rFonts w:cs="Times New Roman"/>
          <w:color w:val="auto"/>
          <w:sz w:val="24"/>
        </w:rPr>
        <w:t xml:space="preserve"> of goods and services for the community</w:t>
      </w:r>
      <w:r w:rsidR="008904F0" w:rsidDel="009E772B">
        <w:rPr>
          <w:rStyle w:val="A4"/>
          <w:rFonts w:cs="Times New Roman"/>
          <w:color w:val="auto"/>
          <w:sz w:val="24"/>
        </w:rPr>
        <w:t xml:space="preserve"> </w:t>
      </w:r>
      <w:r w:rsidR="00DA50E5" w:rsidRPr="00DA50E5">
        <w:rPr>
          <w:szCs w:val="24"/>
        </w:rPr>
        <w:t>(ACCC 2014; Harper et al. 2015; Henry et al. 2009; PC 2011b, 2011a, 2014d)</w:t>
      </w:r>
      <w:r w:rsidR="00AB667A" w:rsidDel="009E772B">
        <w:rPr>
          <w:rStyle w:val="A4"/>
          <w:rFonts w:cs="Times New Roman"/>
          <w:color w:val="auto"/>
          <w:sz w:val="24"/>
        </w:rPr>
        <w:t xml:space="preserve">. </w:t>
      </w:r>
      <w:r w:rsidR="00EC3675" w:rsidDel="009E772B">
        <w:rPr>
          <w:rStyle w:val="A4"/>
          <w:rFonts w:cs="Times New Roman"/>
          <w:color w:val="auto"/>
          <w:sz w:val="24"/>
        </w:rPr>
        <w:t>R</w:t>
      </w:r>
      <w:r w:rsidR="007F2918" w:rsidRPr="003D3130" w:rsidDel="009E772B">
        <w:t xml:space="preserve">estrictions </w:t>
      </w:r>
      <w:r w:rsidR="007F2918" w:rsidDel="009E772B">
        <w:t>on competition</w:t>
      </w:r>
      <w:r w:rsidR="007F2918" w:rsidRPr="003D3130" w:rsidDel="009E772B">
        <w:t xml:space="preserve"> </w:t>
      </w:r>
      <w:r w:rsidR="007F2918" w:rsidRPr="00C06442" w:rsidDel="009E772B">
        <w:t xml:space="preserve">can particularly </w:t>
      </w:r>
      <w:r w:rsidR="00073B22">
        <w:t>affect</w:t>
      </w:r>
      <w:r w:rsidR="007F2918" w:rsidRPr="00C06442" w:rsidDel="009E772B">
        <w:t xml:space="preserve"> outer suburbs, where reduced accessibility to goods and services can reinforce social disadvantage (Leigh and Triggs 2016).</w:t>
      </w:r>
    </w:p>
    <w:p w14:paraId="6E2189C3" w14:textId="77777777" w:rsidR="00AB667A" w:rsidRDefault="008907C2" w:rsidP="00F06252">
      <w:pPr>
        <w:pStyle w:val="BodyText"/>
      </w:pPr>
      <w:r>
        <w:t>Po</w:t>
      </w:r>
      <w:r w:rsidR="00F63738">
        <w:t>licy s</w:t>
      </w:r>
      <w:r w:rsidR="008904F0">
        <w:t>ettings</w:t>
      </w:r>
      <w:r w:rsidR="00324656">
        <w:t xml:space="preserve"> </w:t>
      </w:r>
      <w:r w:rsidR="00997705">
        <w:t>that have</w:t>
      </w:r>
      <w:r w:rsidR="00AB667A" w:rsidRPr="00E43211" w:rsidDel="00997705">
        <w:t xml:space="preserve"> </w:t>
      </w:r>
      <w:r w:rsidR="00336D9E">
        <w:t>especially</w:t>
      </w:r>
      <w:r w:rsidR="00AB667A" w:rsidRPr="00E43211">
        <w:t xml:space="preserve"> </w:t>
      </w:r>
      <w:r w:rsidR="00324656">
        <w:t>egregious</w:t>
      </w:r>
      <w:r w:rsidR="00F06252">
        <w:t xml:space="preserve"> impacts on competition include </w:t>
      </w:r>
      <w:r w:rsidR="00F63738">
        <w:t>t</w:t>
      </w:r>
      <w:r w:rsidR="00AB667A" w:rsidRPr="00E43211">
        <w:t>he creation and enforcement of activity centres</w:t>
      </w:r>
      <w:r w:rsidR="00AB667A">
        <w:t xml:space="preserve"> </w:t>
      </w:r>
      <w:r w:rsidR="00DA50E5" w:rsidRPr="00DA50E5">
        <w:rPr>
          <w:szCs w:val="24"/>
        </w:rPr>
        <w:t>(PC 2011b, 2014d)</w:t>
      </w:r>
      <w:r w:rsidR="00F06252">
        <w:rPr>
          <w:rFonts w:cs="Arial"/>
        </w:rPr>
        <w:t xml:space="preserve">, and </w:t>
      </w:r>
      <w:r w:rsidR="00F06252">
        <w:t xml:space="preserve">regulations that require consent authorities to consider </w:t>
      </w:r>
      <w:r w:rsidR="00F06252" w:rsidRPr="003945EC">
        <w:t>the effects</w:t>
      </w:r>
      <w:r w:rsidR="00F06252">
        <w:t xml:space="preserve"> of development proposals</w:t>
      </w:r>
      <w:r w:rsidR="00F06252" w:rsidRPr="003945EC">
        <w:t xml:space="preserve"> on </w:t>
      </w:r>
      <w:r w:rsidR="00F06252">
        <w:t>established</w:t>
      </w:r>
      <w:r w:rsidR="00F06252" w:rsidRPr="003945EC">
        <w:t xml:space="preserve"> businesses</w:t>
      </w:r>
      <w:r w:rsidR="00F06252">
        <w:rPr>
          <w:rFonts w:cs="Arial"/>
        </w:rPr>
        <w:t xml:space="preserve">. </w:t>
      </w:r>
      <w:r w:rsidR="00AB667A">
        <w:t>Ac</w:t>
      </w:r>
      <w:r w:rsidR="00AB667A" w:rsidRPr="00E43211">
        <w:t xml:space="preserve">tivity centre policies </w:t>
      </w:r>
      <w:r w:rsidR="00AB667A">
        <w:t>set out</w:t>
      </w:r>
      <w:r w:rsidR="00AB667A" w:rsidRPr="00E43211">
        <w:t xml:space="preserve"> </w:t>
      </w:r>
      <w:r w:rsidR="00AB667A">
        <w:t>the types of activities</w:t>
      </w:r>
      <w:r w:rsidR="00AB667A" w:rsidRPr="00E43211">
        <w:t xml:space="preserve"> (such as residential, retail, commercial and industrial activities) </w:t>
      </w:r>
      <w:r w:rsidR="00AB667A">
        <w:t>that are</w:t>
      </w:r>
      <w:r w:rsidR="00AB667A" w:rsidRPr="00E43211">
        <w:t xml:space="preserve"> permitted in the core of </w:t>
      </w:r>
      <w:r w:rsidR="00AB667A">
        <w:t xml:space="preserve">the </w:t>
      </w:r>
      <w:r w:rsidR="00AB667A" w:rsidRPr="00E43211">
        <w:t>centres</w:t>
      </w:r>
      <w:r w:rsidR="00AB667A">
        <w:t>,</w:t>
      </w:r>
      <w:r w:rsidR="00AB667A" w:rsidRPr="00E43211">
        <w:t xml:space="preserve"> as </w:t>
      </w:r>
      <w:r w:rsidR="003D467A">
        <w:t xml:space="preserve">opposed to </w:t>
      </w:r>
      <w:r w:rsidR="00AB667A" w:rsidRPr="00E43211">
        <w:t>the periphery or outside</w:t>
      </w:r>
      <w:r w:rsidR="00AB667A">
        <w:t xml:space="preserve">. </w:t>
      </w:r>
      <w:r w:rsidR="00336D9E">
        <w:t>Both types of</w:t>
      </w:r>
      <w:r w:rsidR="00AB667A">
        <w:t xml:space="preserve"> policies </w:t>
      </w:r>
      <w:r w:rsidR="008904F0">
        <w:t>are used to protect</w:t>
      </w:r>
      <w:r w:rsidR="00AB667A" w:rsidRPr="00E43211">
        <w:t xml:space="preserve"> shops and shopping centres </w:t>
      </w:r>
      <w:r w:rsidR="00AB667A">
        <w:t>in designated areas from competition</w:t>
      </w:r>
      <w:r w:rsidR="00F06252">
        <w:t xml:space="preserve">. </w:t>
      </w:r>
      <w:r w:rsidR="003D3130">
        <w:t>A typical complaint from a development proponent:</w:t>
      </w:r>
    </w:p>
    <w:p w14:paraId="6E2189C4" w14:textId="77777777" w:rsidR="00B77A6A" w:rsidRDefault="00B77A6A" w:rsidP="006A0D01">
      <w:pPr>
        <w:pStyle w:val="Quote"/>
      </w:pPr>
      <w:r>
        <w:t xml:space="preserve">ALDI met with Blacktown City Council’s Strategic Planning Unit in February 2012 to discuss the potential for a spot rezoning of the Glendenning site … Council considers that the site is not appropriate for an ALDI store on the basis that there is potential for adverse impacts to the nearby North West Growth Centre land release precincts of Schofields and Colebee and existing nearby village centres of Woodcroft Plaza and Plumpton. </w:t>
      </w:r>
      <w:r w:rsidRPr="00837C93">
        <w:rPr>
          <w:szCs w:val="24"/>
        </w:rPr>
        <w:t>(ALDI Stores 2014, p. 12)</w:t>
      </w:r>
    </w:p>
    <w:p w14:paraId="6E2189C5" w14:textId="77777777" w:rsidR="00AF447C" w:rsidRDefault="00A77B23" w:rsidP="00AF447C">
      <w:pPr>
        <w:pStyle w:val="Heading3"/>
      </w:pPr>
      <w:r>
        <w:t xml:space="preserve">A need </w:t>
      </w:r>
      <w:r w:rsidR="001E49A6">
        <w:t>to reorient</w:t>
      </w:r>
      <w:r w:rsidR="00A10FED">
        <w:t xml:space="preserve"> zoning systems</w:t>
      </w:r>
      <w:r w:rsidR="001E49A6">
        <w:t xml:space="preserve"> towards promoting overall community interests</w:t>
      </w:r>
    </w:p>
    <w:p w14:paraId="6E2189C6" w14:textId="77777777" w:rsidR="00B20AD9" w:rsidRDefault="00A9652B" w:rsidP="00AF447C">
      <w:pPr>
        <w:pStyle w:val="BodyText"/>
      </w:pPr>
      <w:r>
        <w:t>T</w:t>
      </w:r>
      <w:r w:rsidR="00835AD4">
        <w:t>he need for restrictions</w:t>
      </w:r>
      <w:r w:rsidR="00B20AD9">
        <w:t xml:space="preserve"> </w:t>
      </w:r>
      <w:r w:rsidR="00835AD4">
        <w:t>should</w:t>
      </w:r>
      <w:r w:rsidR="00AF447C">
        <w:t xml:space="preserve"> be evaluated taking into account the interests of the community as a whole. </w:t>
      </w:r>
      <w:r w:rsidR="00A77B23">
        <w:t xml:space="preserve">This will require a reorientation of the regulatory approach in most </w:t>
      </w:r>
      <w:r w:rsidR="00A77B23" w:rsidDel="006013AC">
        <w:t>States</w:t>
      </w:r>
      <w:r w:rsidR="00B20AD9">
        <w:t xml:space="preserve">. </w:t>
      </w:r>
    </w:p>
    <w:p w14:paraId="6E2189C7" w14:textId="77777777" w:rsidR="00BD5169" w:rsidRDefault="006013AC" w:rsidP="00BD5169">
      <w:pPr>
        <w:pStyle w:val="BodyText"/>
      </w:pPr>
      <w:r>
        <w:t xml:space="preserve">Sound </w:t>
      </w:r>
      <w:r w:rsidR="00A77B23">
        <w:t xml:space="preserve">regulatory design </w:t>
      </w:r>
      <w:r w:rsidR="00A9652B">
        <w:t xml:space="preserve">also </w:t>
      </w:r>
      <w:r w:rsidR="00255149">
        <w:t>suggest</w:t>
      </w:r>
      <w:r w:rsidR="00A9652B">
        <w:t>s</w:t>
      </w:r>
      <w:r w:rsidR="001F4940">
        <w:t xml:space="preserve"> that </w:t>
      </w:r>
      <w:r w:rsidR="00255149">
        <w:t>zoning</w:t>
      </w:r>
      <w:r w:rsidR="00A10FED">
        <w:t xml:space="preserve"> framework</w:t>
      </w:r>
      <w:r w:rsidR="00255149">
        <w:t>s</w:t>
      </w:r>
      <w:r>
        <w:t xml:space="preserve"> should</w:t>
      </w:r>
      <w:r w:rsidR="00255149">
        <w:t xml:space="preserve"> provide</w:t>
      </w:r>
      <w:r w:rsidR="00A10FED">
        <w:t xml:space="preserve"> </w:t>
      </w:r>
      <w:r w:rsidR="00255149">
        <w:t xml:space="preserve">as much </w:t>
      </w:r>
      <w:r w:rsidR="00A10FED">
        <w:t xml:space="preserve">flexibility </w:t>
      </w:r>
      <w:r w:rsidR="00255149">
        <w:t>as</w:t>
      </w:r>
      <w:r w:rsidR="00A10FED">
        <w:t xml:space="preserve"> possible in how land is used</w:t>
      </w:r>
      <w:r w:rsidR="00255149">
        <w:t xml:space="preserve">. </w:t>
      </w:r>
      <w:r w:rsidR="00B46464">
        <w:t>Fewer land use zones with broadly stated allowable uses would</w:t>
      </w:r>
      <w:r w:rsidR="00BD5169">
        <w:t>:</w:t>
      </w:r>
    </w:p>
    <w:p w14:paraId="6E2189C8" w14:textId="71119EA4" w:rsidR="00BD5169" w:rsidRDefault="00B46464">
      <w:pPr>
        <w:pStyle w:val="ListBullet"/>
      </w:pPr>
      <w:r>
        <w:t>allow new and innovative firms to enter local markets and existing firms to expand, as well as providing greater flexibility to adjust to changing business activities and community preferences</w:t>
      </w:r>
    </w:p>
    <w:p w14:paraId="6E2189C9" w14:textId="337ABDB9" w:rsidR="00BD5169" w:rsidRDefault="00AF447C">
      <w:pPr>
        <w:pStyle w:val="ListBullet"/>
      </w:pPr>
      <w:r w:rsidRPr="001D5471">
        <w:t>enable genuinely incompatible</w:t>
      </w:r>
      <w:r>
        <w:t xml:space="preserve"> land</w:t>
      </w:r>
      <w:r w:rsidRPr="001D5471">
        <w:t xml:space="preserve"> uses to remain separated</w:t>
      </w:r>
      <w:r>
        <w:t>,</w:t>
      </w:r>
      <w:r w:rsidRPr="001D5471">
        <w:t xml:space="preserve"> but provide scope for complementary uses to develop and compete. </w:t>
      </w:r>
      <w:r w:rsidR="00B20AD9">
        <w:t>Such a move would likely increase options available on where to live and work</w:t>
      </w:r>
    </w:p>
    <w:p w14:paraId="6E2189CA" w14:textId="06CD1E9A" w:rsidR="00BD5169" w:rsidRDefault="00BD5169">
      <w:pPr>
        <w:pStyle w:val="ListBullet"/>
      </w:pPr>
      <w:r>
        <w:t>reduce the scope for arbitrary distinctions</w:t>
      </w:r>
      <w:r w:rsidR="009B2298">
        <w:t xml:space="preserve"> between activity types at the Local G</w:t>
      </w:r>
      <w:r>
        <w:t>overnment level</w:t>
      </w:r>
    </w:p>
    <w:p w14:paraId="6E2189CB" w14:textId="7254C627" w:rsidR="00B20AD9" w:rsidRDefault="00BD5169">
      <w:pPr>
        <w:pStyle w:val="ListBullet"/>
      </w:pPr>
      <w:r>
        <w:t>a</w:t>
      </w:r>
      <w:r w:rsidR="00AF447C">
        <w:t xml:space="preserve">s the </w:t>
      </w:r>
      <w:r w:rsidR="007E0E82">
        <w:t>NSW</w:t>
      </w:r>
      <w:r w:rsidR="00AF447C">
        <w:t xml:space="preserve"> Government has noted,</w:t>
      </w:r>
      <w:r w:rsidR="00AF447C" w:rsidRPr="001D5471" w:rsidDel="00BD5169">
        <w:t xml:space="preserve"> </w:t>
      </w:r>
      <w:r w:rsidR="00AF447C" w:rsidRPr="001D5471">
        <w:t xml:space="preserve">minimise the need for spot rezoning, which </w:t>
      </w:r>
      <w:r w:rsidR="00255149">
        <w:t xml:space="preserve">would </w:t>
      </w:r>
      <w:r w:rsidR="00AF447C" w:rsidRPr="001D5471">
        <w:t xml:space="preserve">in turn reduce costs, delays and investment uncertainty </w:t>
      </w:r>
      <w:r w:rsidR="006013AC" w:rsidRPr="00BB768C">
        <w:rPr>
          <w:szCs w:val="24"/>
        </w:rPr>
        <w:t>(NSW Government 2013)</w:t>
      </w:r>
      <w:r w:rsidR="00AF447C" w:rsidRPr="001D5471">
        <w:t>.</w:t>
      </w:r>
    </w:p>
    <w:p w14:paraId="6E2189CC" w14:textId="77777777" w:rsidR="00BD5169" w:rsidRDefault="00BD5169" w:rsidP="00AF447C">
      <w:pPr>
        <w:pStyle w:val="BodyText"/>
      </w:pPr>
      <w:r>
        <w:t>The scope for inconsistent decisions would also be reduced by a requirement that all governments transparently take into account the costs as well as benefits of proposed development restrictions from the perspective of their communities as a whole</w:t>
      </w:r>
      <w:r w:rsidR="00A15CDC">
        <w:t>.</w:t>
      </w:r>
      <w:r>
        <w:t xml:space="preserve"> </w:t>
      </w:r>
    </w:p>
    <w:p w14:paraId="6E2189CD" w14:textId="77777777" w:rsidR="00511785" w:rsidRDefault="00AF447C" w:rsidP="00EA4431">
      <w:pPr>
        <w:pStyle w:val="BodyText"/>
      </w:pPr>
      <w:r>
        <w:t xml:space="preserve">The Harper Review recommended governments take into account several </w:t>
      </w:r>
      <w:r w:rsidR="00FE4909">
        <w:t>matters</w:t>
      </w:r>
      <w:r>
        <w:t xml:space="preserve"> to help ensure that zoning rules </w:t>
      </w:r>
      <w:r w:rsidR="00FE4909">
        <w:t xml:space="preserve">and development decisions </w:t>
      </w:r>
      <w:r>
        <w:t>reflect the interests of</w:t>
      </w:r>
      <w:r w:rsidR="00FE4909">
        <w:t xml:space="preserve"> consumers and the broader community</w:t>
      </w:r>
      <w:r w:rsidR="00511785">
        <w:t>, including that:</w:t>
      </w:r>
    </w:p>
    <w:p w14:paraId="6E2189CE" w14:textId="061BBCDC" w:rsidR="00511785" w:rsidRDefault="00511785" w:rsidP="00511785">
      <w:pPr>
        <w:pStyle w:val="ListBullet"/>
      </w:pPr>
      <w:r>
        <w:t>arrangements that explicitly or implicitly favour particular operators are anticompetitive</w:t>
      </w:r>
      <w:r w:rsidR="00FE4909">
        <w:t xml:space="preserve"> </w:t>
      </w:r>
    </w:p>
    <w:p w14:paraId="6E2189CF" w14:textId="77777777" w:rsidR="00213239" w:rsidRDefault="00FE4909" w:rsidP="00FE4909">
      <w:pPr>
        <w:pStyle w:val="ListBullet"/>
      </w:pPr>
      <w:r>
        <w:t xml:space="preserve">the following are not relevant planning considerations: the impact on </w:t>
      </w:r>
      <w:r w:rsidR="00511785">
        <w:t>competition between individual businesses</w:t>
      </w:r>
      <w:r>
        <w:t xml:space="preserve">, the impact of proposed developments on the viability of existing businesses, </w:t>
      </w:r>
      <w:r w:rsidR="00511785">
        <w:t>proximity restrictions on particular types of retail stores, restrictions on the number of a particular type of retail store contained in any local area,</w:t>
      </w:r>
      <w:r>
        <w:t xml:space="preserve"> and</w:t>
      </w:r>
      <w:r w:rsidR="00511785">
        <w:t xml:space="preserve"> proximity restrictions on particular types of retail stores</w:t>
      </w:r>
      <w:r w:rsidR="00AF447C">
        <w:t xml:space="preserve"> </w:t>
      </w:r>
      <w:r w:rsidR="00511785" w:rsidRPr="00FE4909">
        <w:rPr>
          <w:rFonts w:cs="Arial"/>
          <w:szCs w:val="24"/>
        </w:rPr>
        <w:t>(Harper et al. 2015, p. 45)</w:t>
      </w:r>
      <w:r w:rsidR="00AF447C">
        <w:t xml:space="preserve">. </w:t>
      </w:r>
    </w:p>
    <w:p w14:paraId="6E2189D0" w14:textId="60BAD6A5" w:rsidR="008A4198" w:rsidRDefault="008A4198" w:rsidP="00A20F07">
      <w:pPr>
        <w:pStyle w:val="BodyText"/>
      </w:pPr>
      <w:r w:rsidRPr="00BD5169">
        <w:t xml:space="preserve">Estimates indicate that the potential benefits of rationalising zoning systems are significant. </w:t>
      </w:r>
      <w:r w:rsidRPr="0024732F">
        <w:t xml:space="preserve">In a 2013 report commissioned by the </w:t>
      </w:r>
      <w:r w:rsidR="007E0E82">
        <w:t>NSW</w:t>
      </w:r>
      <w:r w:rsidRPr="0024732F">
        <w:t xml:space="preserve"> Government, </w:t>
      </w:r>
      <w:r w:rsidR="00014674">
        <w:t>T</w:t>
      </w:r>
      <w:r w:rsidR="00014674" w:rsidRPr="0024732F">
        <w:t xml:space="preserve">he </w:t>
      </w:r>
      <w:r w:rsidRPr="0024732F">
        <w:t>CIE</w:t>
      </w:r>
      <w:r w:rsidR="00B33946">
        <w:t xml:space="preserve"> </w:t>
      </w:r>
      <w:r w:rsidR="00B33946" w:rsidRPr="0074363F">
        <w:t>(2013)</w:t>
      </w:r>
      <w:r w:rsidRPr="0024732F">
        <w:t xml:space="preserve"> estimated the potential economic benefits from reduction in land use restrictions for Sydney alone could be in the order of $8 billion to $16 billion, which in annualised terms is equivalent to $665 million to $1.3 billion per year.</w:t>
      </w:r>
      <w:r w:rsidRPr="0061724D">
        <w:rPr>
          <w:rStyle w:val="FootnoteReference"/>
        </w:rPr>
        <w:footnoteReference w:id="3"/>
      </w:r>
      <w:r>
        <w:t xml:space="preserve"> </w:t>
      </w:r>
    </w:p>
    <w:p w14:paraId="6E2189D1" w14:textId="77777777" w:rsidR="00AF447C" w:rsidRDefault="00AF447C" w:rsidP="000A5D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D31AC3" w:rsidRPr="00D31AC3" w14:paraId="6E2189D6" w14:textId="77777777" w:rsidTr="00D31AC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E2189D2" w14:textId="22D4ADD6" w:rsidR="00AF447C" w:rsidRPr="00D31AC3" w:rsidRDefault="00AF447C" w:rsidP="00B6214A">
            <w:pPr>
              <w:pStyle w:val="FindingTitle"/>
              <w:spacing w:before="120" w:line="280" w:lineRule="exact"/>
              <w:rPr>
                <w:noProof/>
              </w:rPr>
            </w:pPr>
            <w:r w:rsidRPr="00D31AC3">
              <w:t>conclusion</w:t>
            </w:r>
            <w:r w:rsidR="0085299E">
              <w:t> </w:t>
            </w:r>
            <w:r w:rsidR="00771915">
              <w:t>10.</w:t>
            </w:r>
            <w:r w:rsidRPr="00D31AC3">
              <w:t>1</w:t>
            </w:r>
          </w:p>
          <w:p w14:paraId="6E2189D3" w14:textId="77777777" w:rsidR="00AF447C" w:rsidRPr="00D31AC3" w:rsidRDefault="005720A8" w:rsidP="00B6214A">
            <w:pPr>
              <w:pStyle w:val="BodyText"/>
              <w:spacing w:before="120" w:line="280" w:lineRule="exact"/>
              <w:rPr>
                <w:rFonts w:ascii="Arial" w:hAnsi="Arial" w:cs="Arial"/>
                <w:sz w:val="20"/>
              </w:rPr>
            </w:pPr>
            <w:r w:rsidRPr="00D31AC3">
              <w:rPr>
                <w:rFonts w:ascii="Arial" w:hAnsi="Arial" w:cs="Arial"/>
                <w:sz w:val="20"/>
              </w:rPr>
              <w:t xml:space="preserve">State, Territory and Local </w:t>
            </w:r>
            <w:r w:rsidR="00AF447C" w:rsidRPr="00D31AC3">
              <w:rPr>
                <w:rFonts w:ascii="Arial" w:hAnsi="Arial" w:cs="Arial"/>
                <w:sz w:val="20"/>
              </w:rPr>
              <w:t>Governments should move to fewer</w:t>
            </w:r>
            <w:r w:rsidR="00B75003" w:rsidRPr="00D31AC3">
              <w:rPr>
                <w:rFonts w:ascii="Arial" w:hAnsi="Arial" w:cs="Arial"/>
                <w:sz w:val="20"/>
              </w:rPr>
              <w:t xml:space="preserve"> and</w:t>
            </w:r>
            <w:r w:rsidR="00AF447C" w:rsidRPr="00D31AC3">
              <w:rPr>
                <w:rFonts w:ascii="Arial" w:hAnsi="Arial" w:cs="Arial"/>
                <w:sz w:val="20"/>
              </w:rPr>
              <w:t xml:space="preserve"> more broadly</w:t>
            </w:r>
            <w:r w:rsidR="00AF447C" w:rsidRPr="00D31AC3">
              <w:rPr>
                <w:rFonts w:ascii="Arial" w:hAnsi="Arial" w:cs="Arial"/>
                <w:sz w:val="20"/>
              </w:rPr>
              <w:noBreakHyphen/>
            </w:r>
            <w:r w:rsidR="00A6593C" w:rsidRPr="00D31AC3">
              <w:rPr>
                <w:rFonts w:ascii="Arial" w:hAnsi="Arial" w:cs="Arial"/>
                <w:sz w:val="20"/>
              </w:rPr>
              <w:t>stated</w:t>
            </w:r>
            <w:r w:rsidR="00AF447C" w:rsidRPr="00D31AC3">
              <w:rPr>
                <w:rFonts w:ascii="Arial" w:hAnsi="Arial" w:cs="Arial"/>
                <w:sz w:val="20"/>
              </w:rPr>
              <w:t xml:space="preserve"> land use zones to allow</w:t>
            </w:r>
            <w:r w:rsidR="00251FCE" w:rsidRPr="00D31AC3">
              <w:rPr>
                <w:rFonts w:ascii="Arial" w:hAnsi="Arial" w:cs="Arial"/>
                <w:sz w:val="20"/>
              </w:rPr>
              <w:t xml:space="preserve"> greater </w:t>
            </w:r>
            <w:r w:rsidR="00AF447C" w:rsidRPr="00D31AC3">
              <w:rPr>
                <w:rFonts w:ascii="Arial" w:hAnsi="Arial" w:cs="Arial"/>
                <w:sz w:val="20"/>
              </w:rPr>
              <w:t>diversity of land uses. Such a move</w:t>
            </w:r>
            <w:r w:rsidR="00A6593C" w:rsidRPr="00D31AC3" w:rsidDel="00B75003">
              <w:rPr>
                <w:rFonts w:ascii="Arial" w:hAnsi="Arial" w:cs="Arial"/>
                <w:sz w:val="20"/>
              </w:rPr>
              <w:t xml:space="preserve"> </w:t>
            </w:r>
            <w:r w:rsidR="00B75003" w:rsidRPr="00D31AC3">
              <w:rPr>
                <w:rFonts w:ascii="Arial" w:hAnsi="Arial" w:cs="Arial"/>
                <w:sz w:val="20"/>
              </w:rPr>
              <w:t xml:space="preserve">is likely to </w:t>
            </w:r>
            <w:r w:rsidR="00A6593C" w:rsidRPr="00D31AC3">
              <w:rPr>
                <w:rFonts w:ascii="Arial" w:hAnsi="Arial" w:cs="Arial"/>
                <w:sz w:val="20"/>
              </w:rPr>
              <w:t xml:space="preserve">make it easier for new firms to enter local markets and </w:t>
            </w:r>
            <w:r w:rsidR="00B75003" w:rsidRPr="00D31AC3">
              <w:rPr>
                <w:rFonts w:ascii="Arial" w:hAnsi="Arial" w:cs="Arial"/>
                <w:sz w:val="20"/>
              </w:rPr>
              <w:t xml:space="preserve">for </w:t>
            </w:r>
            <w:r w:rsidR="00A6593C" w:rsidRPr="00D31AC3">
              <w:rPr>
                <w:rFonts w:ascii="Arial" w:hAnsi="Arial" w:cs="Arial"/>
                <w:sz w:val="20"/>
              </w:rPr>
              <w:t xml:space="preserve">existing firms to expand, reduce administrative and compliance costs, and </w:t>
            </w:r>
            <w:r w:rsidR="00AF447C" w:rsidRPr="00D31AC3">
              <w:rPr>
                <w:rFonts w:ascii="Arial" w:hAnsi="Arial" w:cs="Arial"/>
                <w:sz w:val="20"/>
              </w:rPr>
              <w:t>enabl</w:t>
            </w:r>
            <w:r w:rsidR="00D97E41" w:rsidRPr="00D31AC3">
              <w:rPr>
                <w:rFonts w:ascii="Arial" w:hAnsi="Arial" w:cs="Arial"/>
                <w:sz w:val="20"/>
              </w:rPr>
              <w:t>e planning systems</w:t>
            </w:r>
            <w:r w:rsidR="00AF447C" w:rsidRPr="00D31AC3">
              <w:rPr>
                <w:rFonts w:ascii="Arial" w:hAnsi="Arial" w:cs="Arial"/>
                <w:sz w:val="20"/>
              </w:rPr>
              <w:t xml:space="preserve"> to more flexib</w:t>
            </w:r>
            <w:r w:rsidR="003A0371" w:rsidRPr="00D31AC3">
              <w:rPr>
                <w:rFonts w:ascii="Arial" w:hAnsi="Arial" w:cs="Arial"/>
                <w:sz w:val="20"/>
              </w:rPr>
              <w:t>l</w:t>
            </w:r>
            <w:r w:rsidR="00AF447C" w:rsidRPr="00D31AC3">
              <w:rPr>
                <w:rFonts w:ascii="Arial" w:hAnsi="Arial" w:cs="Arial"/>
                <w:sz w:val="20"/>
              </w:rPr>
              <w:t xml:space="preserve">y respond to changing </w:t>
            </w:r>
            <w:r w:rsidR="00A6593C" w:rsidRPr="00D31AC3">
              <w:rPr>
                <w:rFonts w:ascii="Arial" w:hAnsi="Arial" w:cs="Arial"/>
                <w:sz w:val="20"/>
              </w:rPr>
              <w:t xml:space="preserve">land use activities. </w:t>
            </w:r>
          </w:p>
          <w:p w14:paraId="6E2189D4" w14:textId="77777777" w:rsidR="00FD5A5C" w:rsidRPr="00D31AC3" w:rsidRDefault="00FD5A5C">
            <w:pPr>
              <w:pStyle w:val="BodyText"/>
              <w:spacing w:before="60" w:line="260" w:lineRule="atLeast"/>
              <w:rPr>
                <w:rFonts w:ascii="Arial" w:hAnsi="Arial" w:cs="Arial"/>
                <w:sz w:val="20"/>
              </w:rPr>
            </w:pPr>
            <w:r w:rsidRPr="00D31AC3">
              <w:rPr>
                <w:rFonts w:ascii="Arial" w:hAnsi="Arial" w:cs="Arial"/>
                <w:sz w:val="20"/>
              </w:rPr>
              <w:t xml:space="preserve">Governments should apply competition policy principles to land use regulation and policies, which oblige consideration of the impacts of policies from the perspective of communities as a whole. </w:t>
            </w:r>
          </w:p>
          <w:p w14:paraId="6E2189D5" w14:textId="77777777" w:rsidR="00AF447C" w:rsidRPr="00D31AC3" w:rsidRDefault="00FD5A5C" w:rsidP="00C32725">
            <w:pPr>
              <w:pStyle w:val="BodyText"/>
              <w:spacing w:before="60" w:line="260" w:lineRule="atLeast"/>
            </w:pPr>
            <w:r w:rsidRPr="00D31AC3">
              <w:rPr>
                <w:rFonts w:ascii="Arial" w:hAnsi="Arial" w:cs="Arial"/>
                <w:sz w:val="20"/>
              </w:rPr>
              <w:t xml:space="preserve">Regulation that explicitly or implicitly favours particular operators and sets proximity restrictions is unjustifiable. </w:t>
            </w:r>
          </w:p>
        </w:tc>
      </w:tr>
      <w:tr w:rsidR="00D31AC3" w:rsidRPr="00D31AC3" w14:paraId="6E2189D8" w14:textId="77777777" w:rsidTr="00D31AC3">
        <w:trPr>
          <w:cantSplit/>
          <w:trHeight w:val="180"/>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E2189D7" w14:textId="77777777" w:rsidR="00AF447C" w:rsidRPr="00D31AC3" w:rsidRDefault="00AF447C" w:rsidP="00D31AC3">
            <w:pPr>
              <w:pStyle w:val="Space"/>
              <w:keepLines/>
            </w:pPr>
          </w:p>
        </w:tc>
      </w:tr>
      <w:tr w:rsidR="00AF447C" w:rsidRPr="000863A5" w14:paraId="6E2189DA" w14:textId="77777777" w:rsidTr="00D31AC3">
        <w:trPr>
          <w:cantSplit/>
          <w:tblHeader/>
        </w:trPr>
        <w:tc>
          <w:tcPr>
            <w:tcW w:w="5000" w:type="pct"/>
            <w:tcBorders>
              <w:top w:val="single" w:sz="4" w:space="0" w:color="265A9A" w:themeColor="accent2"/>
              <w:left w:val="nil"/>
              <w:bottom w:val="nil"/>
              <w:right w:val="nil"/>
            </w:tcBorders>
            <w:tcMar>
              <w:left w:w="170" w:type="dxa"/>
              <w:right w:w="170" w:type="dxa"/>
            </w:tcMar>
          </w:tcPr>
          <w:p w14:paraId="6E2189D9" w14:textId="77777777" w:rsidR="00AF447C" w:rsidRPr="00626D32" w:rsidRDefault="00AF447C" w:rsidP="00251FCE">
            <w:pPr>
              <w:pStyle w:val="BoxSpaceBelow"/>
              <w:keepLines/>
            </w:pPr>
          </w:p>
        </w:tc>
      </w:tr>
    </w:tbl>
    <w:p w14:paraId="6E2189DB" w14:textId="77777777" w:rsidR="00C70D16" w:rsidRDefault="000E7D79" w:rsidP="00AA6CAD">
      <w:pPr>
        <w:pStyle w:val="Heading2"/>
      </w:pPr>
      <w:bookmarkStart w:id="15" w:name="_Toc488940558"/>
      <w:bookmarkStart w:id="16" w:name="_Toc489025325"/>
      <w:bookmarkStart w:id="17" w:name="_Toc489343255"/>
      <w:r>
        <w:t>3</w:t>
      </w:r>
      <w:r>
        <w:tab/>
      </w:r>
      <w:r w:rsidR="00C70D16">
        <w:t>Planning and provision for growth</w:t>
      </w:r>
      <w:bookmarkEnd w:id="15"/>
      <w:bookmarkEnd w:id="16"/>
      <w:bookmarkEnd w:id="17"/>
      <w:r w:rsidR="00C70D16">
        <w:t xml:space="preserve"> </w:t>
      </w:r>
    </w:p>
    <w:p w14:paraId="6E2189DC" w14:textId="77777777" w:rsidR="00DD64D1" w:rsidRDefault="00DD64D1" w:rsidP="009208B7">
      <w:pPr>
        <w:pStyle w:val="BodyText"/>
      </w:pPr>
      <w:r>
        <w:t xml:space="preserve">Urban growth strategies </w:t>
      </w:r>
      <w:r w:rsidR="005D41B1">
        <w:t xml:space="preserve">set out how projected population growth will be </w:t>
      </w:r>
      <w:r w:rsidR="001E49A6">
        <w:t>accommodated</w:t>
      </w:r>
      <w:r w:rsidR="005D41B1">
        <w:t xml:space="preserve">, </w:t>
      </w:r>
      <w:r w:rsidR="001E49A6">
        <w:t xml:space="preserve">including </w:t>
      </w:r>
      <w:r w:rsidR="005E1A78">
        <w:t xml:space="preserve">where new developments or land uses are likely to be required, </w:t>
      </w:r>
      <w:r w:rsidR="005D41B1">
        <w:t>and</w:t>
      </w:r>
      <w:r>
        <w:t xml:space="preserve"> policies to achieve community</w:t>
      </w:r>
      <w:r w:rsidR="001E49A6">
        <w:noBreakHyphen/>
        <w:t xml:space="preserve">level </w:t>
      </w:r>
      <w:r>
        <w:t>objectives. In many jurisdictions, independent bodies have been established to implement urban growth strategies</w:t>
      </w:r>
      <w:r w:rsidR="005D41B1">
        <w:t>,</w:t>
      </w:r>
      <w:r>
        <w:t xml:space="preserve"> such as the Greater Sydney Commission and the Victorian Planning Authority. </w:t>
      </w:r>
    </w:p>
    <w:p w14:paraId="6E2189DD" w14:textId="77777777" w:rsidR="002065D1" w:rsidRDefault="00024875" w:rsidP="009208B7">
      <w:pPr>
        <w:pStyle w:val="BodyText"/>
      </w:pPr>
      <w:r>
        <w:t xml:space="preserve">The viability of new growth areas depends on, among other things, the efficient provision of </w:t>
      </w:r>
      <w:r w:rsidR="00C73AFF">
        <w:t xml:space="preserve">public </w:t>
      </w:r>
      <w:r>
        <w:t>infrastructure</w:t>
      </w:r>
      <w:r w:rsidR="00C73AFF">
        <w:t xml:space="preserve"> services</w:t>
      </w:r>
      <w:r w:rsidR="00E74ED3">
        <w:t>,</w:t>
      </w:r>
      <w:r w:rsidR="006E29FE">
        <w:t xml:space="preserve"> </w:t>
      </w:r>
      <w:r w:rsidR="00A363A1">
        <w:t xml:space="preserve">especially </w:t>
      </w:r>
      <w:r w:rsidR="00C73AFF">
        <w:t xml:space="preserve">transport, </w:t>
      </w:r>
      <w:r w:rsidR="006E29FE">
        <w:t xml:space="preserve">which provides connections to </w:t>
      </w:r>
      <w:r w:rsidR="00183B7A">
        <w:t>established employment, education and health services and retail opportunities</w:t>
      </w:r>
      <w:r w:rsidR="00C73AFF">
        <w:t xml:space="preserve"> </w:t>
      </w:r>
      <w:r w:rsidR="00C73AFF" w:rsidRPr="002E0292">
        <w:rPr>
          <w:szCs w:val="24"/>
        </w:rPr>
        <w:t>(SGS Economics &amp; Planning 2013)</w:t>
      </w:r>
      <w:r w:rsidR="006E29FE">
        <w:t>,</w:t>
      </w:r>
      <w:r w:rsidR="00E74ED3">
        <w:t xml:space="preserve"> </w:t>
      </w:r>
      <w:r w:rsidR="00C046A1">
        <w:t xml:space="preserve">and </w:t>
      </w:r>
      <w:r w:rsidR="00AB2CDD">
        <w:t xml:space="preserve">adequate </w:t>
      </w:r>
      <w:r w:rsidR="00E74ED3">
        <w:t>provisioning for</w:t>
      </w:r>
      <w:r w:rsidR="005F0B01">
        <w:t xml:space="preserve"> diverse</w:t>
      </w:r>
      <w:r w:rsidR="00E74ED3">
        <w:t xml:space="preserve"> land uses and </w:t>
      </w:r>
      <w:r w:rsidR="00270F92">
        <w:t xml:space="preserve">the </w:t>
      </w:r>
      <w:r w:rsidR="005F0B01">
        <w:t xml:space="preserve">public </w:t>
      </w:r>
      <w:r w:rsidR="00E74ED3">
        <w:t>amenities</w:t>
      </w:r>
      <w:r w:rsidR="003072F4">
        <w:t xml:space="preserve"> that help </w:t>
      </w:r>
      <w:r w:rsidR="00E74ED3">
        <w:t>make those areas desirable places to live</w:t>
      </w:r>
      <w:r w:rsidR="009F70F9">
        <w:t>. Provisioning is also important</w:t>
      </w:r>
      <w:r w:rsidR="005F0B01">
        <w:t xml:space="preserve"> given </w:t>
      </w:r>
      <w:r w:rsidR="009F70F9">
        <w:t xml:space="preserve">that these features </w:t>
      </w:r>
      <w:r w:rsidR="005F0B01">
        <w:t>are</w:t>
      </w:r>
      <w:r w:rsidR="009F70F9">
        <w:t xml:space="preserve"> often</w:t>
      </w:r>
      <w:r w:rsidR="005F0B01">
        <w:t xml:space="preserve"> hard</w:t>
      </w:r>
      <w:r w:rsidR="009F70F9">
        <w:t xml:space="preserve"> </w:t>
      </w:r>
      <w:r w:rsidR="005F0B01">
        <w:t>to retrofit</w:t>
      </w:r>
      <w:r w:rsidR="009F70F9">
        <w:t xml:space="preserve"> due to </w:t>
      </w:r>
      <w:r w:rsidR="009F70F9" w:rsidRPr="009F70F9">
        <w:t>costs associated with demolition</w:t>
      </w:r>
      <w:r w:rsidR="00FE69A2">
        <w:t xml:space="preserve"> and</w:t>
      </w:r>
      <w:r w:rsidR="009F70F9" w:rsidRPr="009F70F9">
        <w:t xml:space="preserve"> interruption</w:t>
      </w:r>
      <w:r w:rsidR="009F70F9">
        <w:t>s</w:t>
      </w:r>
      <w:r w:rsidR="009F70F9" w:rsidRPr="009F70F9">
        <w:t xml:space="preserve"> to </w:t>
      </w:r>
      <w:r w:rsidR="009F70F9">
        <w:t>activity.</w:t>
      </w:r>
      <w:r w:rsidR="00462822">
        <w:t xml:space="preserve"> </w:t>
      </w:r>
    </w:p>
    <w:p w14:paraId="6E2189DE" w14:textId="77777777" w:rsidR="009814F1" w:rsidRDefault="0031301D" w:rsidP="00637D5D">
      <w:pPr>
        <w:pStyle w:val="BodyText"/>
      </w:pPr>
      <w:r>
        <w:t xml:space="preserve">Similarly, growth within established city footprints </w:t>
      </w:r>
      <w:r w:rsidR="006E29FE">
        <w:t>is</w:t>
      </w:r>
      <w:r>
        <w:t xml:space="preserve"> affected by the extent of provisioning for population growth, such as through the preservation of land for future transport </w:t>
      </w:r>
      <w:r w:rsidR="00C73AFF">
        <w:t>services</w:t>
      </w:r>
      <w:r w:rsidR="00AB2CDD">
        <w:t>,</w:t>
      </w:r>
      <w:r w:rsidR="00E74ED3">
        <w:t xml:space="preserve"> </w:t>
      </w:r>
      <w:r w:rsidR="003072F4">
        <w:t>and the</w:t>
      </w:r>
      <w:r w:rsidR="00E74ED3">
        <w:t xml:space="preserve"> extent to which </w:t>
      </w:r>
      <w:r w:rsidR="00AB2CDD">
        <w:t xml:space="preserve">plans for </w:t>
      </w:r>
      <w:r w:rsidR="00E74ED3">
        <w:t xml:space="preserve">greater density </w:t>
      </w:r>
      <w:r w:rsidR="006E29FE">
        <w:t>include</w:t>
      </w:r>
      <w:r w:rsidR="00E74ED3">
        <w:t xml:space="preserve"> </w:t>
      </w:r>
      <w:r w:rsidR="005931DD">
        <w:t xml:space="preserve">other </w:t>
      </w:r>
      <w:r w:rsidR="00E74ED3">
        <w:t xml:space="preserve">changes to reduce </w:t>
      </w:r>
      <w:r w:rsidR="003072F4">
        <w:t xml:space="preserve">any negative impacts on </w:t>
      </w:r>
      <w:r w:rsidR="006E29FE">
        <w:t xml:space="preserve">residents’ </w:t>
      </w:r>
      <w:r w:rsidR="003072F4">
        <w:t xml:space="preserve">lifestyles and </w:t>
      </w:r>
      <w:r w:rsidR="00E74ED3">
        <w:t>amenit</w:t>
      </w:r>
      <w:r w:rsidR="00442B70">
        <w:t>ies</w:t>
      </w:r>
      <w:r w:rsidR="00270F92">
        <w:t xml:space="preserve"> (box</w:t>
      </w:r>
      <w:r w:rsidR="0074363F">
        <w:t> </w:t>
      </w:r>
      <w:r w:rsidR="00270F92">
        <w:t>4)</w:t>
      </w:r>
      <w:r>
        <w:t>.</w:t>
      </w:r>
      <w:r w:rsidR="00C73AFF">
        <w:t xml:space="preserve"> </w:t>
      </w:r>
    </w:p>
    <w:p w14:paraId="6E2189DF" w14:textId="77777777" w:rsidR="008C4439" w:rsidRDefault="008C443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8C4439" w14:paraId="6E2189E1" w14:textId="77777777" w:rsidTr="008C4439">
        <w:tc>
          <w:tcPr>
            <w:tcW w:w="5000" w:type="pct"/>
            <w:tcBorders>
              <w:top w:val="single" w:sz="6" w:space="0" w:color="78A22F"/>
              <w:left w:val="nil"/>
              <w:bottom w:val="nil"/>
              <w:right w:val="nil"/>
            </w:tcBorders>
            <w:shd w:val="clear" w:color="auto" w:fill="F2F2F2"/>
          </w:tcPr>
          <w:p w14:paraId="6E2189E0" w14:textId="77777777" w:rsidR="008C4439" w:rsidRDefault="008C4439" w:rsidP="002E1C5D">
            <w:pPr>
              <w:pStyle w:val="BoxTitle"/>
            </w:pPr>
            <w:r>
              <w:rPr>
                <w:b w:val="0"/>
              </w:rPr>
              <w:t>Box 4</w:t>
            </w:r>
            <w:r>
              <w:tab/>
              <w:t xml:space="preserve">Provisioning for growth </w:t>
            </w:r>
          </w:p>
        </w:tc>
      </w:tr>
      <w:tr w:rsidR="008C4439" w14:paraId="6E2189E5" w14:textId="77777777" w:rsidTr="008C4439">
        <w:tc>
          <w:tcPr>
            <w:tcW w:w="5000" w:type="pct"/>
            <w:tcBorders>
              <w:top w:val="nil"/>
              <w:left w:val="nil"/>
              <w:bottom w:val="nil"/>
              <w:right w:val="nil"/>
            </w:tcBorders>
            <w:shd w:val="clear" w:color="auto" w:fill="F2F2F2"/>
          </w:tcPr>
          <w:p w14:paraId="6E2189E2" w14:textId="77777777" w:rsidR="008C4439" w:rsidRDefault="008C4439" w:rsidP="003F6D0E">
            <w:pPr>
              <w:pStyle w:val="Box"/>
            </w:pPr>
            <w:r>
              <w:t>A recent study by Infrastructure Australia (IA) suggested that the protection and early acquisition of seven transport corridors identified in IA’s 2016 Infrastructure Priority List could save Australian taxpayers $10.8 billion (real discounted 2016 dollars) in land purchase and construction costs, and costs associated with disruption when infrastructure is built within developed areas.</w:t>
            </w:r>
          </w:p>
          <w:p w14:paraId="6E2189E3" w14:textId="77777777" w:rsidR="008C4439" w:rsidRDefault="008C4439" w:rsidP="008C4439">
            <w:pPr>
              <w:pStyle w:val="Box"/>
            </w:pPr>
            <w:r>
              <w:t xml:space="preserve">On </w:t>
            </w:r>
            <w:r w:rsidR="00BB342A">
              <w:t>amenity</w:t>
            </w:r>
            <w:r>
              <w:t>, the Sydney Green Grid strategy provid</w:t>
            </w:r>
            <w:r w:rsidR="000123A3">
              <w:t>es for joint council and State G</w:t>
            </w:r>
            <w:r>
              <w:t xml:space="preserve">overnment funding of projects that will help to create a network of public green spaces across greater Sydney as the city grows. An example is the Metropolitan Greenspace Program, overseen by the Greater Sydney Commission, which matches funding contributions from local councils to improve open spaces for recreational purposes and to create links between bushland, parks, waterways and centres. </w:t>
            </w:r>
          </w:p>
          <w:p w14:paraId="6E2189E4" w14:textId="400E0038" w:rsidR="008C4439" w:rsidRDefault="008C4439" w:rsidP="008C4439">
            <w:pPr>
              <w:pStyle w:val="Box"/>
            </w:pPr>
            <w:r>
              <w:t xml:space="preserve">The </w:t>
            </w:r>
            <w:r w:rsidRPr="007C233D">
              <w:t>Victorian Government provides guidance to local councils on preparing an ‘open space strategy’ but does not provide an overarching green growth strategy for the broader metropolitan area, as each local council is responsible for preparing, implementing and funding its own open space strategy</w:t>
            </w:r>
            <w:r>
              <w:t>.</w:t>
            </w:r>
            <w:r w:rsidR="00E22CE6">
              <w:t xml:space="preserve"> </w:t>
            </w:r>
            <w:r w:rsidRPr="007C233D">
              <w:t>Some inquiry participants raised concerns</w:t>
            </w:r>
            <w:r>
              <w:t xml:space="preserve"> that a lack of a strategy for the broader metropolitan area would reduce the likelihood of such amenities</w:t>
            </w:r>
            <w:r w:rsidR="00455BB9">
              <w:t xml:space="preserve"> being provided.</w:t>
            </w:r>
          </w:p>
        </w:tc>
      </w:tr>
      <w:tr w:rsidR="008C4439" w14:paraId="6E2189E7" w14:textId="77777777" w:rsidTr="008C4439">
        <w:tc>
          <w:tcPr>
            <w:tcW w:w="5000" w:type="pct"/>
            <w:tcBorders>
              <w:top w:val="nil"/>
              <w:left w:val="nil"/>
              <w:bottom w:val="nil"/>
              <w:right w:val="nil"/>
            </w:tcBorders>
            <w:shd w:val="clear" w:color="auto" w:fill="F2F2F2"/>
          </w:tcPr>
          <w:p w14:paraId="6E2189E6" w14:textId="77777777" w:rsidR="008C4439" w:rsidRDefault="008C4439" w:rsidP="002B7E9E">
            <w:pPr>
              <w:pStyle w:val="BoxSource"/>
            </w:pPr>
            <w:r>
              <w:rPr>
                <w:i/>
              </w:rPr>
              <w:t>Sources</w:t>
            </w:r>
            <w:r w:rsidRPr="00167F06">
              <w:t xml:space="preserve">: </w:t>
            </w:r>
            <w:r w:rsidR="002B7E9E">
              <w:t xml:space="preserve">Australian Government </w:t>
            </w:r>
            <w:r w:rsidR="002B7E9E" w:rsidRPr="00032100">
              <w:rPr>
                <w:rFonts w:cs="Arial"/>
              </w:rPr>
              <w:t>(2016)</w:t>
            </w:r>
            <w:r w:rsidR="002B7E9E">
              <w:t>;</w:t>
            </w:r>
            <w:r w:rsidR="00A05728">
              <w:t xml:space="preserve"> </w:t>
            </w:r>
            <w:r w:rsidR="00B8512A">
              <w:t xml:space="preserve">IA </w:t>
            </w:r>
            <w:r w:rsidR="00B8512A" w:rsidRPr="00B8512A">
              <w:rPr>
                <w:rFonts w:cs="Arial"/>
              </w:rPr>
              <w:t>(2017)</w:t>
            </w:r>
            <w:r>
              <w:t xml:space="preserve">; </w:t>
            </w:r>
            <w:r w:rsidR="00032100">
              <w:t>Stokes </w:t>
            </w:r>
            <w:r w:rsidR="00032100" w:rsidRPr="00032100">
              <w:rPr>
                <w:rFonts w:cs="Arial"/>
              </w:rPr>
              <w:t>(2016)</w:t>
            </w:r>
            <w:r w:rsidR="00A05728">
              <w:rPr>
                <w:rFonts w:cs="Arial"/>
              </w:rPr>
              <w:t>;</w:t>
            </w:r>
            <w:r>
              <w:t xml:space="preserve"> </w:t>
            </w:r>
            <w:r w:rsidR="00032100">
              <w:t xml:space="preserve">VDELWP </w:t>
            </w:r>
            <w:r w:rsidR="00032100" w:rsidRPr="00032100">
              <w:rPr>
                <w:rFonts w:cs="Arial"/>
              </w:rPr>
              <w:t>(2015)</w:t>
            </w:r>
            <w:r>
              <w:t>.</w:t>
            </w:r>
          </w:p>
        </w:tc>
      </w:tr>
      <w:tr w:rsidR="008C4439" w14:paraId="6E2189E9" w14:textId="77777777" w:rsidTr="008C4439">
        <w:tc>
          <w:tcPr>
            <w:tcW w:w="5000" w:type="pct"/>
            <w:tcBorders>
              <w:top w:val="nil"/>
              <w:left w:val="nil"/>
              <w:bottom w:val="single" w:sz="6" w:space="0" w:color="78A22F"/>
              <w:right w:val="nil"/>
            </w:tcBorders>
            <w:shd w:val="clear" w:color="auto" w:fill="F2F2F2"/>
          </w:tcPr>
          <w:p w14:paraId="6E2189E8" w14:textId="77777777" w:rsidR="008C4439" w:rsidRDefault="008C4439">
            <w:pPr>
              <w:pStyle w:val="Box"/>
              <w:spacing w:before="0" w:line="120" w:lineRule="exact"/>
            </w:pPr>
          </w:p>
        </w:tc>
      </w:tr>
      <w:tr w:rsidR="008C4439" w:rsidRPr="000863A5" w14:paraId="6E2189EB" w14:textId="77777777" w:rsidTr="008C4439">
        <w:tc>
          <w:tcPr>
            <w:tcW w:w="5000" w:type="pct"/>
            <w:tcBorders>
              <w:top w:val="single" w:sz="6" w:space="0" w:color="78A22F"/>
              <w:left w:val="nil"/>
              <w:bottom w:val="nil"/>
              <w:right w:val="nil"/>
            </w:tcBorders>
          </w:tcPr>
          <w:p w14:paraId="6E2189EA" w14:textId="77777777" w:rsidR="008C4439" w:rsidRPr="00626D32" w:rsidRDefault="008C4439" w:rsidP="008C4439">
            <w:pPr>
              <w:pStyle w:val="BoxSpaceBelow"/>
            </w:pPr>
          </w:p>
        </w:tc>
      </w:tr>
    </w:tbl>
    <w:p w14:paraId="6E2189EC" w14:textId="77777777" w:rsidR="006E29FE" w:rsidRDefault="0031301D" w:rsidP="009208B7">
      <w:pPr>
        <w:pStyle w:val="BodyText"/>
      </w:pPr>
      <w:r>
        <w:t xml:space="preserve">The effective implementation of growth strategies at the </w:t>
      </w:r>
      <w:r w:rsidR="00E74ED3">
        <w:t xml:space="preserve">overarching </w:t>
      </w:r>
      <w:r>
        <w:t xml:space="preserve">city and metropolitan levels </w:t>
      </w:r>
      <w:r w:rsidR="007F2918">
        <w:t xml:space="preserve">also relies on </w:t>
      </w:r>
      <w:r w:rsidR="002859C4">
        <w:t>the coherence of planning str</w:t>
      </w:r>
      <w:r w:rsidR="004D49C5">
        <w:t>ategies across State and Local G</w:t>
      </w:r>
      <w:r w:rsidR="002859C4">
        <w:t xml:space="preserve">overnments and </w:t>
      </w:r>
      <w:r w:rsidR="007F2918">
        <w:t>efficient processes for approving developments</w:t>
      </w:r>
      <w:r>
        <w:t xml:space="preserve">. </w:t>
      </w:r>
      <w:r w:rsidR="006E29FE">
        <w:t>This section considers issues raised particularly in relation to new growth districts</w:t>
      </w:r>
      <w:r w:rsidR="000B62BE">
        <w:t xml:space="preserve">, and the coherence of </w:t>
      </w:r>
      <w:r w:rsidR="005D6D07">
        <w:t xml:space="preserve">State </w:t>
      </w:r>
      <w:r w:rsidR="000B62BE">
        <w:t xml:space="preserve">and local planning strategies. </w:t>
      </w:r>
    </w:p>
    <w:p w14:paraId="6E2189ED" w14:textId="77777777" w:rsidR="000B62BE" w:rsidRDefault="00861AE3" w:rsidP="00F52C66">
      <w:pPr>
        <w:pStyle w:val="Heading3"/>
      </w:pPr>
      <w:r>
        <w:t>Infrastructure for n</w:t>
      </w:r>
      <w:r w:rsidR="000B62BE">
        <w:t xml:space="preserve">ew growth areas </w:t>
      </w:r>
    </w:p>
    <w:p w14:paraId="6E2189EE" w14:textId="77777777" w:rsidR="00813624" w:rsidRDefault="00C514E0" w:rsidP="009208B7">
      <w:pPr>
        <w:pStyle w:val="BodyText"/>
      </w:pPr>
      <w:r>
        <w:t>Infrastructure Australia has noted that</w:t>
      </w:r>
      <w:r w:rsidR="00357B01">
        <w:t xml:space="preserve"> State and Territory Governments </w:t>
      </w:r>
      <w:r>
        <w:t>have</w:t>
      </w:r>
      <w:r w:rsidR="00BA161D" w:rsidDel="00C514E0">
        <w:t xml:space="preserve"> </w:t>
      </w:r>
      <w:r>
        <w:t>made progress in</w:t>
      </w:r>
      <w:r w:rsidR="00BA161D">
        <w:t xml:space="preserve"> integrating transport ser</w:t>
      </w:r>
      <w:r w:rsidR="003C45A5">
        <w:t>vices and corridors into long</w:t>
      </w:r>
      <w:r w:rsidR="003C45A5">
        <w:noBreakHyphen/>
        <w:t xml:space="preserve">term strategic plans, </w:t>
      </w:r>
      <w:r w:rsidR="00472A8D">
        <w:t>but</w:t>
      </w:r>
      <w:r w:rsidR="003C45A5">
        <w:t xml:space="preserve"> </w:t>
      </w:r>
      <w:r w:rsidR="00A27D0D">
        <w:t xml:space="preserve">that </w:t>
      </w:r>
      <w:r w:rsidR="00F254CD">
        <w:t xml:space="preserve">further action is required to </w:t>
      </w:r>
      <w:r w:rsidR="00D66A5F">
        <w:t xml:space="preserve">translate these strategic plans into productive infrastructure </w:t>
      </w:r>
      <w:r w:rsidR="00D66A5F" w:rsidRPr="00D66A5F">
        <w:rPr>
          <w:szCs w:val="24"/>
        </w:rPr>
        <w:t>(IA 2017)</w:t>
      </w:r>
      <w:r w:rsidR="00DD64D1">
        <w:t xml:space="preserve">. </w:t>
      </w:r>
      <w:r w:rsidR="002065D1">
        <w:t xml:space="preserve">A common challenge has been securing required </w:t>
      </w:r>
      <w:r w:rsidR="002065D1" w:rsidRPr="002065D1">
        <w:t>funding</w:t>
      </w:r>
      <w:r w:rsidR="002065D1">
        <w:t xml:space="preserve">. </w:t>
      </w:r>
      <w:r w:rsidR="00D97582">
        <w:t>T</w:t>
      </w:r>
      <w:r w:rsidR="00813624">
        <w:t>here</w:t>
      </w:r>
      <w:r w:rsidR="0011118D">
        <w:t xml:space="preserve"> seems to be some room for improvement in </w:t>
      </w:r>
      <w:r w:rsidR="00DA42D4">
        <w:t xml:space="preserve">one </w:t>
      </w:r>
      <w:r w:rsidR="00243500">
        <w:t xml:space="preserve">of </w:t>
      </w:r>
      <w:r w:rsidR="00DA42D4">
        <w:t xml:space="preserve">the </w:t>
      </w:r>
      <w:r w:rsidR="0011118D">
        <w:t>means by which infrastructure is funded,</w:t>
      </w:r>
      <w:r w:rsidR="000B62BE">
        <w:t xml:space="preserve"> </w:t>
      </w:r>
      <w:r w:rsidR="00DA42D4">
        <w:t>namely</w:t>
      </w:r>
      <w:r w:rsidR="0011118D">
        <w:t xml:space="preserve"> development contributions</w:t>
      </w:r>
      <w:r w:rsidR="00DA42D4">
        <w:t xml:space="preserve">. </w:t>
      </w:r>
    </w:p>
    <w:p w14:paraId="6E2189EF" w14:textId="77777777" w:rsidR="00B1123A" w:rsidRDefault="009208B7" w:rsidP="009208B7">
      <w:pPr>
        <w:pStyle w:val="BodyText"/>
      </w:pPr>
      <w:r w:rsidRPr="004554A5">
        <w:t>Development contributions are upfront contributions that property developers make</w:t>
      </w:r>
      <w:r w:rsidR="00B1123A">
        <w:t xml:space="preserve"> to</w:t>
      </w:r>
      <w:r w:rsidRPr="004554A5">
        <w:t xml:space="preserve"> </w:t>
      </w:r>
      <w:r w:rsidR="008240EB">
        <w:t xml:space="preserve">State or </w:t>
      </w:r>
      <w:r w:rsidR="00D2099A">
        <w:t xml:space="preserve">Local Governments </w:t>
      </w:r>
      <w:r w:rsidR="00825017">
        <w:t>or authorities</w:t>
      </w:r>
      <w:r w:rsidRPr="004554A5" w:rsidDel="008240EB">
        <w:t xml:space="preserve"> </w:t>
      </w:r>
      <w:r w:rsidR="008240EB">
        <w:t>for</w:t>
      </w:r>
      <w:r w:rsidR="008240EB" w:rsidRPr="004554A5">
        <w:t xml:space="preserve"> </w:t>
      </w:r>
      <w:r w:rsidRPr="004554A5">
        <w:t xml:space="preserve">community facilities and infrastructure </w:t>
      </w:r>
      <w:r w:rsidR="008240EB">
        <w:t>on</w:t>
      </w:r>
      <w:r w:rsidR="008240EB" w:rsidRPr="004554A5">
        <w:t xml:space="preserve"> </w:t>
      </w:r>
      <w:r w:rsidRPr="004554A5">
        <w:t>land they develop. This can be in the form of land transfer (‘gifted’ to the government), work</w:t>
      </w:r>
      <w:r w:rsidRPr="004554A5">
        <w:noBreakHyphen/>
        <w:t>in</w:t>
      </w:r>
      <w:r w:rsidRPr="004554A5">
        <w:noBreakHyphen/>
        <w:t xml:space="preserve">kind (works constructed and transferred to public authorities), or financial payments (developer charges covering the cost of infrastructure or land provision) </w:t>
      </w:r>
      <w:r w:rsidR="00DA50E5" w:rsidRPr="00DA50E5">
        <w:rPr>
          <w:szCs w:val="24"/>
        </w:rPr>
        <w:t>(PC 2014c)</w:t>
      </w:r>
      <w:r w:rsidRPr="004554A5">
        <w:t xml:space="preserve">. </w:t>
      </w:r>
    </w:p>
    <w:p w14:paraId="6E2189F0" w14:textId="77777777" w:rsidR="00A77917" w:rsidRDefault="00B1123A" w:rsidP="009208B7">
      <w:pPr>
        <w:pStyle w:val="BodyText"/>
      </w:pPr>
      <w:r>
        <w:t xml:space="preserve">There are established principles for the </w:t>
      </w:r>
      <w:r w:rsidR="00A77917">
        <w:t>levying</w:t>
      </w:r>
      <w:r>
        <w:t xml:space="preserve"> of development contributions, including that</w:t>
      </w:r>
      <w:r w:rsidR="002E1B4A">
        <w:t xml:space="preserve"> </w:t>
      </w:r>
      <w:r>
        <w:t>developers should only contribute to costs and structures that are clearly attributable to the properties being developed</w:t>
      </w:r>
      <w:r w:rsidR="00243500">
        <w:t xml:space="preserve">, that </w:t>
      </w:r>
      <w:r>
        <w:t xml:space="preserve">new residents </w:t>
      </w:r>
      <w:r w:rsidR="000768C6">
        <w:t>should</w:t>
      </w:r>
      <w:r>
        <w:t xml:space="preserve"> not </w:t>
      </w:r>
      <w:r w:rsidR="000768C6">
        <w:t xml:space="preserve">be </w:t>
      </w:r>
      <w:r>
        <w:t>levied for the capital costs of the facility through council rates and utility charges</w:t>
      </w:r>
      <w:r w:rsidR="002E1B4A">
        <w:t>,</w:t>
      </w:r>
      <w:r>
        <w:t xml:space="preserve"> since the cost is passed through to them through the purchase price</w:t>
      </w:r>
      <w:r w:rsidR="00243500">
        <w:t xml:space="preserve">, and that charges should reflect only efficiently incurred costs (see, for example, </w:t>
      </w:r>
      <w:r w:rsidR="00A626A1">
        <w:t xml:space="preserve">PC </w:t>
      </w:r>
      <w:r w:rsidR="00DA50E5" w:rsidRPr="00DA50E5">
        <w:t>(2004, 2014c)</w:t>
      </w:r>
      <w:r w:rsidR="009B044B">
        <w:t>)</w:t>
      </w:r>
      <w:r w:rsidR="00243500">
        <w:t xml:space="preserve">. </w:t>
      </w:r>
    </w:p>
    <w:p w14:paraId="6E2189F1" w14:textId="77777777" w:rsidR="00647D92" w:rsidRDefault="00A77917" w:rsidP="009208B7">
      <w:pPr>
        <w:pStyle w:val="BodyText"/>
      </w:pPr>
      <w:r>
        <w:t>There is scope for greater use of market testing of infrastructure costs to help ensure that charges are efficient</w:t>
      </w:r>
      <w:r w:rsidR="009208B7">
        <w:t>.</w:t>
      </w:r>
      <w:r>
        <w:t xml:space="preserve"> </w:t>
      </w:r>
    </w:p>
    <w:p w14:paraId="6E2189F2" w14:textId="20E99A3F" w:rsidR="00243500" w:rsidRDefault="00BD16DB" w:rsidP="009208B7">
      <w:pPr>
        <w:pStyle w:val="BodyText"/>
      </w:pPr>
      <w:r>
        <w:t>M</w:t>
      </w:r>
      <w:r w:rsidR="00813624">
        <w:t>ost jurisdictions</w:t>
      </w:r>
      <w:r>
        <w:t xml:space="preserve"> have developer contribution systems</w:t>
      </w:r>
      <w:r w:rsidR="009208B7">
        <w:t>,</w:t>
      </w:r>
      <w:r>
        <w:t xml:space="preserve"> where</w:t>
      </w:r>
      <w:r w:rsidR="009208B7">
        <w:t xml:space="preserve"> infrastructure is provided by the property develo</w:t>
      </w:r>
      <w:r w:rsidR="00800246">
        <w:t>per within a budget set by the Local G</w:t>
      </w:r>
      <w:r w:rsidR="009208B7">
        <w:t xml:space="preserve">overnment. </w:t>
      </w:r>
      <w:r w:rsidR="002E1B4A">
        <w:t>In New South Wales, for example, t</w:t>
      </w:r>
      <w:r w:rsidR="002E1B4A" w:rsidRPr="002E1B4A">
        <w:t xml:space="preserve">he local contributions system allows </w:t>
      </w:r>
      <w:r w:rsidR="00CA4AF7">
        <w:t xml:space="preserve">local </w:t>
      </w:r>
      <w:r w:rsidR="002E1B4A" w:rsidRPr="002E1B4A">
        <w:t xml:space="preserve">councils to set the scope and price for </w:t>
      </w:r>
      <w:r w:rsidR="002E1B4A" w:rsidRPr="002E1B4A" w:rsidDel="002E1B4A">
        <w:t xml:space="preserve">local infrastructure </w:t>
      </w:r>
      <w:r w:rsidR="0005111F">
        <w:t xml:space="preserve">such as roads and </w:t>
      </w:r>
      <w:r w:rsidR="0005111F" w:rsidRPr="002E1B4A">
        <w:t>open space embellishment</w:t>
      </w:r>
      <w:r w:rsidR="0005111F">
        <w:t xml:space="preserve"> </w:t>
      </w:r>
      <w:r w:rsidR="002E1B4A" w:rsidRPr="002E1B4A">
        <w:t>without cost rates being specifically market</w:t>
      </w:r>
      <w:r w:rsidR="00181B62">
        <w:noBreakHyphen/>
      </w:r>
      <w:r w:rsidR="002E1B4A" w:rsidRPr="002E1B4A">
        <w:t>tested</w:t>
      </w:r>
      <w:r w:rsidR="002E1B4A">
        <w:t>. Th</w:t>
      </w:r>
      <w:r w:rsidR="002E1B4A" w:rsidRPr="002E1B4A">
        <w:t xml:space="preserve">e developer must agree to provide the infrastructure at </w:t>
      </w:r>
      <w:r w:rsidR="00B32524">
        <w:t xml:space="preserve">the specified </w:t>
      </w:r>
      <w:r w:rsidR="002E1B4A" w:rsidRPr="002E1B4A">
        <w:t>price</w:t>
      </w:r>
      <w:r w:rsidR="00B32524">
        <w:t>, which provides that a</w:t>
      </w:r>
      <w:r w:rsidR="002E1B4A" w:rsidRPr="002E1B4A">
        <w:t>ny savings in the work can</w:t>
      </w:r>
      <w:r w:rsidR="002E1B4A" w:rsidRPr="002E1B4A" w:rsidDel="00B32524">
        <w:t xml:space="preserve"> </w:t>
      </w:r>
      <w:r w:rsidR="002E1B4A" w:rsidRPr="002E1B4A">
        <w:t>be captured by the developer at the expense of other developers</w:t>
      </w:r>
      <w:r w:rsidR="002E1B4A">
        <w:t xml:space="preserve"> </w:t>
      </w:r>
      <w:r w:rsidR="00990BF6" w:rsidRPr="00014674">
        <w:rPr>
          <w:sz w:val="22"/>
          <w:szCs w:val="24"/>
        </w:rPr>
        <w:t>(IPART 2017)</w:t>
      </w:r>
      <w:r w:rsidR="002E1B4A">
        <w:t xml:space="preserve">. </w:t>
      </w:r>
      <w:r w:rsidR="00B32524">
        <w:t xml:space="preserve">Some councils in New South Wales do test the market to inform the costing of local infrastructure requirements, for example, Blacktown Council, but this is not the norm. </w:t>
      </w:r>
    </w:p>
    <w:p w14:paraId="6E2189F3" w14:textId="77777777" w:rsidR="00A77917" w:rsidRDefault="00A77917" w:rsidP="009208B7">
      <w:pPr>
        <w:pStyle w:val="BodyText"/>
      </w:pPr>
      <w:r>
        <w:t xml:space="preserve">Queensland imposes a cap on developer charges, and permits developers to receive a refund for the cost of trunk infrastructure when its costs exceed the council’s infrastructure charge </w:t>
      </w:r>
      <w:r w:rsidR="009127B4" w:rsidRPr="009127B4">
        <w:rPr>
          <w:szCs w:val="24"/>
        </w:rPr>
        <w:t>(QDILGP </w:t>
      </w:r>
      <w:r w:rsidR="009127B4" w:rsidRPr="008761FE">
        <w:rPr>
          <w:szCs w:val="24"/>
        </w:rPr>
        <w:t>2014, 2017b; QDSDIP</w:t>
      </w:r>
      <w:r w:rsidR="009127B4" w:rsidRPr="003545FB">
        <w:rPr>
          <w:szCs w:val="24"/>
        </w:rPr>
        <w:t> 2012)</w:t>
      </w:r>
      <w:r>
        <w:t xml:space="preserve">. </w:t>
      </w:r>
      <w:r w:rsidR="00CD1A7D">
        <w:t>T</w:t>
      </w:r>
      <w:r>
        <w:t>he Local Government Association</w:t>
      </w:r>
      <w:r w:rsidR="001F172A">
        <w:t xml:space="preserve"> of</w:t>
      </w:r>
      <w:r>
        <w:t xml:space="preserve"> Queensland </w:t>
      </w:r>
      <w:r w:rsidRPr="00C573B8">
        <w:t>(2014)</w:t>
      </w:r>
      <w:r w:rsidR="00CD1A7D">
        <w:t xml:space="preserve"> has raised concerns that this can lead to </w:t>
      </w:r>
      <w:r w:rsidR="00687EF5">
        <w:t xml:space="preserve">significant </w:t>
      </w:r>
      <w:r w:rsidR="00605750">
        <w:t>under</w:t>
      </w:r>
      <w:r w:rsidR="00605750">
        <w:noBreakHyphen/>
      </w:r>
      <w:r w:rsidR="00CD1A7D">
        <w:t>recovery of costs. It asserted that</w:t>
      </w:r>
      <w:r>
        <w:t xml:space="preserve"> Queensland’s cap led to a shortfall between developer contributions and the cost of providing essential infrastructure of about $480 million</w:t>
      </w:r>
      <w:r w:rsidR="00717668">
        <w:t xml:space="preserve"> annually</w:t>
      </w:r>
      <w:r>
        <w:t>.</w:t>
      </w:r>
    </w:p>
    <w:p w14:paraId="6E2189F4" w14:textId="77777777" w:rsidR="00B32524" w:rsidRDefault="0005111F" w:rsidP="009208B7">
      <w:pPr>
        <w:pStyle w:val="BodyText"/>
      </w:pPr>
      <w:r>
        <w:t>Requiring</w:t>
      </w:r>
      <w:r w:rsidR="009208B7">
        <w:t xml:space="preserve"> </w:t>
      </w:r>
      <w:r>
        <w:t xml:space="preserve">the adoption of a general practice of </w:t>
      </w:r>
      <w:r w:rsidR="009208B7">
        <w:t xml:space="preserve">market testing </w:t>
      </w:r>
      <w:r w:rsidR="002E1B4A">
        <w:t>of</w:t>
      </w:r>
      <w:r>
        <w:t xml:space="preserve"> services and</w:t>
      </w:r>
      <w:r w:rsidR="002E1B4A">
        <w:t xml:space="preserve"> costs</w:t>
      </w:r>
      <w:r w:rsidR="00813624">
        <w:t>, where cost effective,</w:t>
      </w:r>
      <w:r>
        <w:t xml:space="preserve"> </w:t>
      </w:r>
      <w:r w:rsidR="00B32524">
        <w:t>could</w:t>
      </w:r>
      <w:r w:rsidR="009208B7">
        <w:t xml:space="preserve"> improve the infrastructure </w:t>
      </w:r>
      <w:r w:rsidR="00B32524">
        <w:t>provision</w:t>
      </w:r>
      <w:r>
        <w:t>, including by increasing the potential for discovering innovative solutions</w:t>
      </w:r>
      <w:r w:rsidR="00B32524">
        <w:t xml:space="preserve"> </w:t>
      </w:r>
      <w:r w:rsidR="0041126B">
        <w:t>and</w:t>
      </w:r>
      <w:r w:rsidR="00B32524">
        <w:t xml:space="preserve"> provid</w:t>
      </w:r>
      <w:r w:rsidR="0041126B">
        <w:t>ing</w:t>
      </w:r>
      <w:r w:rsidR="00B32524">
        <w:t xml:space="preserve"> better assurance that value for money is being received</w:t>
      </w:r>
      <w:r w:rsidR="009208B7">
        <w:t xml:space="preserve">. </w:t>
      </w:r>
    </w:p>
    <w:p w14:paraId="6E2189F5" w14:textId="77777777" w:rsidR="00B02DCE" w:rsidRDefault="00760250" w:rsidP="000368C8">
      <w:pPr>
        <w:pStyle w:val="BodyText"/>
      </w:pPr>
      <w:r>
        <w:t>In addition to developer contributions, value capture mechanisms have also been suggested as a way of helping to fund new infrastructure</w:t>
      </w:r>
      <w:r w:rsidR="006B50EF">
        <w:t xml:space="preserve"> (</w:t>
      </w:r>
      <w:r w:rsidR="00BD2A97">
        <w:t xml:space="preserve">for a critique of these mechanisms, </w:t>
      </w:r>
      <w:r w:rsidR="006B50EF">
        <w:t>see</w:t>
      </w:r>
      <w:r w:rsidR="00BD2A97">
        <w:t xml:space="preserve"> </w:t>
      </w:r>
      <w:r w:rsidR="006B50EF">
        <w:t xml:space="preserve">the discussion in </w:t>
      </w:r>
      <w:r w:rsidR="00156BBB" w:rsidRPr="00156BBB">
        <w:rPr>
          <w:szCs w:val="24"/>
        </w:rPr>
        <w:t>(Terrill and Emslie 2017)</w:t>
      </w:r>
      <w:r w:rsidR="006B50EF">
        <w:t>)</w:t>
      </w:r>
      <w:r>
        <w:t xml:space="preserve">. </w:t>
      </w:r>
      <w:r w:rsidR="00017A1F">
        <w:t xml:space="preserve">The complexity of administering </w:t>
      </w:r>
      <w:r w:rsidR="006B50EF">
        <w:t xml:space="preserve">value capture </w:t>
      </w:r>
      <w:r w:rsidR="00017A1F">
        <w:t xml:space="preserve">in practise has meant that it has </w:t>
      </w:r>
      <w:r w:rsidR="006B50EF">
        <w:t>not been used in Australia</w:t>
      </w:r>
      <w:r w:rsidR="00017A1F">
        <w:t xml:space="preserve"> in recent decades</w:t>
      </w:r>
      <w:r w:rsidR="006B50EF">
        <w:t>.</w:t>
      </w:r>
      <w:r w:rsidR="00AA12E9">
        <w:t xml:space="preserve"> </w:t>
      </w:r>
      <w:r w:rsidR="002E2024" w:rsidRPr="002E2024">
        <w:t xml:space="preserve">Value capture mechanisms </w:t>
      </w:r>
      <w:r w:rsidR="00F97638">
        <w:t xml:space="preserve">also </w:t>
      </w:r>
      <w:r w:rsidR="002E2024" w:rsidRPr="002E2024">
        <w:t xml:space="preserve">tend to raise </w:t>
      </w:r>
      <w:r w:rsidR="00F97638">
        <w:t>only a small</w:t>
      </w:r>
      <w:r w:rsidR="002E2024" w:rsidRPr="002E2024">
        <w:t xml:space="preserve"> p</w:t>
      </w:r>
      <w:r w:rsidR="00F97638">
        <w:t>ortion of project funding costs</w:t>
      </w:r>
      <w:r w:rsidR="00B81299">
        <w:t>.</w:t>
      </w:r>
    </w:p>
    <w:p w14:paraId="6E2189F6" w14:textId="77777777" w:rsidR="00C70D16" w:rsidRDefault="00ED58D9" w:rsidP="006462A4">
      <w:pPr>
        <w:pStyle w:val="Heading3"/>
      </w:pPr>
      <w:r>
        <w:t xml:space="preserve">Alignment of </w:t>
      </w:r>
      <w:r w:rsidR="00800246">
        <w:t>L</w:t>
      </w:r>
      <w:r w:rsidR="0025550E">
        <w:t>ocal and State G</w:t>
      </w:r>
      <w:r w:rsidR="00C70D16">
        <w:t xml:space="preserve">overnment </w:t>
      </w:r>
      <w:r w:rsidR="00643DB8">
        <w:t xml:space="preserve">development </w:t>
      </w:r>
      <w:r w:rsidR="00517F44">
        <w:t xml:space="preserve">strategies </w:t>
      </w:r>
    </w:p>
    <w:p w14:paraId="6E2189F7" w14:textId="64D7E91A" w:rsidR="00813624" w:rsidRDefault="00DF34C7" w:rsidP="00813624">
      <w:pPr>
        <w:pStyle w:val="BodyText"/>
      </w:pPr>
      <w:r>
        <w:t>As noted, t</w:t>
      </w:r>
      <w:r w:rsidR="00813624">
        <w:t xml:space="preserve">here are concerns in several jurisdictions </w:t>
      </w:r>
      <w:r w:rsidR="00E4327A">
        <w:t xml:space="preserve">about </w:t>
      </w:r>
      <w:r w:rsidR="00813624">
        <w:t>the</w:t>
      </w:r>
      <w:r w:rsidR="00813624" w:rsidRPr="007504F8">
        <w:t xml:space="preserve"> </w:t>
      </w:r>
      <w:r>
        <w:t>consistency of S</w:t>
      </w:r>
      <w:r w:rsidR="00813624" w:rsidRPr="007504F8">
        <w:t>tate</w:t>
      </w:r>
      <w:r>
        <w:t xml:space="preserve"> and </w:t>
      </w:r>
      <w:r w:rsidR="00E4327A">
        <w:t>L</w:t>
      </w:r>
      <w:r>
        <w:t>ocal planning strategies</w:t>
      </w:r>
      <w:r w:rsidR="008D61A7">
        <w:t xml:space="preserve"> and </w:t>
      </w:r>
      <w:r w:rsidR="00F845F4">
        <w:t>decisions</w:t>
      </w:r>
      <w:r>
        <w:t>.</w:t>
      </w:r>
      <w:r w:rsidR="00F845F4">
        <w:t xml:space="preserve"> </w:t>
      </w:r>
    </w:p>
    <w:p w14:paraId="6E2189F8" w14:textId="77777777" w:rsidR="00550715" w:rsidRDefault="00363E26" w:rsidP="0029776F">
      <w:pPr>
        <w:pStyle w:val="BodyText"/>
      </w:pPr>
      <w:r>
        <w:t xml:space="preserve">The scope for </w:t>
      </w:r>
      <w:r w:rsidR="00861607">
        <w:t>mis</w:t>
      </w:r>
      <w:r>
        <w:t xml:space="preserve">alignment arises from </w:t>
      </w:r>
      <w:r w:rsidR="00550715">
        <w:t>several sources, includ</w:t>
      </w:r>
      <w:r w:rsidR="0029776F">
        <w:t xml:space="preserve">ing </w:t>
      </w:r>
      <w:r w:rsidR="00AE7A28">
        <w:t xml:space="preserve">different visions </w:t>
      </w:r>
      <w:r w:rsidR="00550715">
        <w:t>for urban areas, particularly how they might accommodate population growth</w:t>
      </w:r>
      <w:r w:rsidR="00DB6629">
        <w:t xml:space="preserve">; </w:t>
      </w:r>
      <w:r w:rsidR="00550715">
        <w:t xml:space="preserve">the scope and sometimes the necessity for interpreting </w:t>
      </w:r>
      <w:r w:rsidR="00DB6629">
        <w:t>how</w:t>
      </w:r>
      <w:r w:rsidR="00550715">
        <w:t xml:space="preserve"> State</w:t>
      </w:r>
      <w:r w:rsidR="00F40A47">
        <w:t xml:space="preserve"> strategic plans and</w:t>
      </w:r>
      <w:r w:rsidR="00550715">
        <w:t xml:space="preserve"> statutory planning requirements </w:t>
      </w:r>
      <w:r w:rsidR="00DB6629">
        <w:t xml:space="preserve">are </w:t>
      </w:r>
      <w:r w:rsidR="00F40A47">
        <w:t xml:space="preserve">to be applied at the local level; and the </w:t>
      </w:r>
      <w:r w:rsidR="00DB6629">
        <w:t xml:space="preserve">discretion </w:t>
      </w:r>
      <w:r w:rsidR="007F2918">
        <w:t xml:space="preserve">and authority </w:t>
      </w:r>
      <w:r w:rsidR="00F40A47">
        <w:t>of</w:t>
      </w:r>
      <w:r w:rsidR="004D49C5">
        <w:t xml:space="preserve"> Local G</w:t>
      </w:r>
      <w:r w:rsidR="00753F00">
        <w:t xml:space="preserve">overnments </w:t>
      </w:r>
      <w:r w:rsidR="00A77917">
        <w:t xml:space="preserve">to determine </w:t>
      </w:r>
      <w:r w:rsidR="00753F00">
        <w:t>local land uses</w:t>
      </w:r>
      <w:r w:rsidR="007F2918">
        <w:t xml:space="preserve"> in accordance with </w:t>
      </w:r>
      <w:r w:rsidR="00753F00">
        <w:t>t</w:t>
      </w:r>
      <w:r w:rsidR="00AB3140">
        <w:t xml:space="preserve">heir </w:t>
      </w:r>
      <w:r w:rsidR="00753F00">
        <w:t xml:space="preserve">particular </w:t>
      </w:r>
      <w:r w:rsidR="00AB3140">
        <w:t xml:space="preserve">preferences. </w:t>
      </w:r>
    </w:p>
    <w:p w14:paraId="6E2189F9" w14:textId="43DFCEF1" w:rsidR="00753F00" w:rsidRDefault="00753F00" w:rsidP="00753F00">
      <w:pPr>
        <w:pStyle w:val="BodyText"/>
      </w:pPr>
      <w:r>
        <w:t>A review of practise suggests</w:t>
      </w:r>
      <w:r w:rsidR="006F5BFC">
        <w:t xml:space="preserve"> that: i) </w:t>
      </w:r>
      <w:r>
        <w:t xml:space="preserve">genuine consultation, </w:t>
      </w:r>
      <w:r w:rsidR="006F5BFC">
        <w:t xml:space="preserve">ii) </w:t>
      </w:r>
      <w:r>
        <w:t xml:space="preserve">better guidance from States on their strategic objectives for cities and assumptions for growth, and </w:t>
      </w:r>
      <w:r w:rsidR="006F5BFC">
        <w:t xml:space="preserve">iii) </w:t>
      </w:r>
      <w:r w:rsidR="00AE7A28">
        <w:t xml:space="preserve">more </w:t>
      </w:r>
      <w:r>
        <w:t>mechanical linking of local and State plans would help mutual unders</w:t>
      </w:r>
      <w:r w:rsidR="00E22CE6">
        <w:t>tanding and alignment of goals.</w:t>
      </w:r>
      <w:r>
        <w:t xml:space="preserve"> </w:t>
      </w:r>
    </w:p>
    <w:p w14:paraId="6E2189FA" w14:textId="00AF1EF7" w:rsidR="00DA00C5" w:rsidRPr="007C72B9" w:rsidRDefault="00E22CE6" w:rsidP="003F6D0E">
      <w:pPr>
        <w:pStyle w:val="Heading4"/>
      </w:pPr>
      <w:r>
        <w:t xml:space="preserve">Consultation and engagement </w:t>
      </w:r>
    </w:p>
    <w:p w14:paraId="6E2189FB" w14:textId="77777777" w:rsidR="005C4990" w:rsidRDefault="00583989" w:rsidP="00B476AE">
      <w:pPr>
        <w:pStyle w:val="BodyText"/>
      </w:pPr>
      <w:r>
        <w:t xml:space="preserve">Better practise on the development of </w:t>
      </w:r>
      <w:r w:rsidR="006F5BFC">
        <w:t>planning</w:t>
      </w:r>
      <w:r>
        <w:t xml:space="preserve"> strategies includes metropolitan strategic plans being developed with the input of local councils and communities, with State Governments mak</w:t>
      </w:r>
      <w:r w:rsidR="003E71C6">
        <w:t>ing genuine efforts to involve residents at both the metropolitan and local levels</w:t>
      </w:r>
      <w:r w:rsidRPr="00E6155D">
        <w:t xml:space="preserve">. </w:t>
      </w:r>
      <w:r w:rsidR="00B476AE">
        <w:t xml:space="preserve">Equally, there is reliance on councils to actively engaging the community and higher levels of government in </w:t>
      </w:r>
      <w:r w:rsidR="005E766E">
        <w:t>their own planning processes</w:t>
      </w:r>
      <w:r w:rsidR="00B476AE">
        <w:t xml:space="preserve">. </w:t>
      </w:r>
      <w:r w:rsidR="00AD7288">
        <w:t>A further</w:t>
      </w:r>
      <w:r w:rsidR="00DC4207">
        <w:t xml:space="preserve"> good practise</w:t>
      </w:r>
      <w:r w:rsidR="00AD7288">
        <w:t xml:space="preserve"> feature is the n</w:t>
      </w:r>
      <w:r w:rsidR="003E71C6">
        <w:t xml:space="preserve">ature and degree of consultation </w:t>
      </w:r>
      <w:r>
        <w:t>being</w:t>
      </w:r>
      <w:r w:rsidRPr="002377BA">
        <w:t xml:space="preserve"> held in proportion to the scale and scope of likely impacts</w:t>
      </w:r>
      <w:r w:rsidR="00F32C09">
        <w:t xml:space="preserve"> </w:t>
      </w:r>
      <w:r w:rsidR="00720598" w:rsidRPr="00720598">
        <w:rPr>
          <w:szCs w:val="24"/>
        </w:rPr>
        <w:t>(CIE 2013)</w:t>
      </w:r>
      <w:r>
        <w:t>.</w:t>
      </w:r>
      <w:r w:rsidR="005C4990">
        <w:t xml:space="preserve"> </w:t>
      </w:r>
    </w:p>
    <w:p w14:paraId="6E2189FC" w14:textId="181B3978" w:rsidR="00F9137B" w:rsidRDefault="00583989" w:rsidP="00EC3675">
      <w:pPr>
        <w:pStyle w:val="BodyText"/>
        <w:rPr>
          <w:shd w:val="clear" w:color="auto" w:fill="FFFFFF"/>
        </w:rPr>
      </w:pPr>
      <w:r>
        <w:t xml:space="preserve">As noted earlier in this paper, </w:t>
      </w:r>
      <w:r w:rsidRPr="00A25686">
        <w:t xml:space="preserve">community consultation </w:t>
      </w:r>
      <w:r w:rsidR="00F32C09">
        <w:t xml:space="preserve">on planning strategies </w:t>
      </w:r>
      <w:r>
        <w:t>is</w:t>
      </w:r>
      <w:r w:rsidRPr="00A25686">
        <w:t xml:space="preserve"> perceived as </w:t>
      </w:r>
      <w:r>
        <w:t xml:space="preserve">cursory in </w:t>
      </w:r>
      <w:r w:rsidR="00317E85">
        <w:t>several</w:t>
      </w:r>
      <w:r>
        <w:t xml:space="preserve"> jurisdictions</w:t>
      </w:r>
      <w:r w:rsidRPr="00A25686">
        <w:t xml:space="preserve">. </w:t>
      </w:r>
      <w:r w:rsidR="003E71C6">
        <w:t>As example</w:t>
      </w:r>
      <w:r w:rsidR="00F9137B">
        <w:t>s</w:t>
      </w:r>
      <w:r w:rsidR="00D100BE">
        <w:t>, L</w:t>
      </w:r>
      <w:r w:rsidR="0025550E">
        <w:t>ocal G</w:t>
      </w:r>
      <w:r w:rsidR="005C4990" w:rsidRPr="00A25686">
        <w:t>overnment representatives in South Australia</w:t>
      </w:r>
      <w:r w:rsidR="005C4990" w:rsidRPr="00A25686" w:rsidDel="004D5DB8">
        <w:t xml:space="preserve"> </w:t>
      </w:r>
      <w:r w:rsidR="005C4990">
        <w:t>considered</w:t>
      </w:r>
      <w:r w:rsidR="005C4990" w:rsidRPr="00A25686">
        <w:t xml:space="preserve"> that the 30 Year Plan for Greater Adelaide ‘was launched on a public that had missed the start of the conversation and was expected to take a leap of faith to board the urban renewal train.’ </w:t>
      </w:r>
      <w:r w:rsidR="005C4990" w:rsidRPr="00A25686">
        <w:rPr>
          <w:szCs w:val="24"/>
        </w:rPr>
        <w:t>(Kelly and Donegan 2015, p. 139)</w:t>
      </w:r>
      <w:r w:rsidR="005C4990" w:rsidRPr="00A25686">
        <w:t xml:space="preserve">. </w:t>
      </w:r>
      <w:r w:rsidR="00DC4207">
        <w:rPr>
          <w:shd w:val="clear" w:color="auto" w:fill="FFFFFF"/>
        </w:rPr>
        <w:t>Several parties noted</w:t>
      </w:r>
      <w:r w:rsidR="00F9137B">
        <w:t xml:space="preserve"> considerable community concern about the discretion of Queensland councils to make amendments to local planning schemes that are considered by them to be of a minor nature withou</w:t>
      </w:r>
      <w:r w:rsidR="0025550E">
        <w:t>t public consultation or State G</w:t>
      </w:r>
      <w:r w:rsidR="00F9137B">
        <w:t xml:space="preserve">overnment review </w:t>
      </w:r>
      <w:r w:rsidR="005C38C2" w:rsidRPr="005C38C2">
        <w:rPr>
          <w:szCs w:val="24"/>
        </w:rPr>
        <w:t>(QEDO </w:t>
      </w:r>
      <w:r w:rsidR="005C38C2" w:rsidRPr="00CB04E7">
        <w:rPr>
          <w:szCs w:val="24"/>
        </w:rPr>
        <w:t>2017; QDILGP 2016b, p. 7; Toowoomba Regional Council </w:t>
      </w:r>
      <w:r w:rsidR="005C38C2" w:rsidRPr="00B820E6">
        <w:rPr>
          <w:szCs w:val="24"/>
        </w:rPr>
        <w:t>2016)</w:t>
      </w:r>
      <w:r w:rsidR="00E261B4">
        <w:t>.</w:t>
      </w:r>
      <w:r w:rsidR="00F9137B">
        <w:rPr>
          <w:shd w:val="clear" w:color="auto" w:fill="FFFFFF"/>
        </w:rPr>
        <w:t xml:space="preserve"> </w:t>
      </w:r>
    </w:p>
    <w:p w14:paraId="6E2189FD" w14:textId="77777777" w:rsidR="003E71C6" w:rsidRDefault="003E71C6" w:rsidP="00EC3675">
      <w:pPr>
        <w:pStyle w:val="BodyText"/>
      </w:pPr>
      <w:r>
        <w:t xml:space="preserve">An example of good practice </w:t>
      </w:r>
      <w:r w:rsidR="00EC3675">
        <w:t>in consultation at the local level is Western Australia’s approach of engaging the community on the nature of specific developments. For example, the State</w:t>
      </w:r>
      <w:r w:rsidR="00F32C09">
        <w:t xml:space="preserve"> has established an </w:t>
      </w:r>
      <w:r w:rsidR="00F32C09" w:rsidRPr="00A25686">
        <w:t xml:space="preserve">advisory group representing residents, business owners and environmental groups to provide input </w:t>
      </w:r>
      <w:r w:rsidR="00EC3675">
        <w:t>on</w:t>
      </w:r>
      <w:r w:rsidR="00F32C09" w:rsidRPr="00A25686">
        <w:t xml:space="preserve"> road extensions proposed in the State’s Scarborough Master Plan </w:t>
      </w:r>
      <w:r w:rsidR="00F32C09" w:rsidRPr="00A25686">
        <w:rPr>
          <w:szCs w:val="24"/>
        </w:rPr>
        <w:t>(WAMRA 2016)</w:t>
      </w:r>
      <w:r w:rsidR="00F32C09" w:rsidRPr="00A25686">
        <w:t xml:space="preserve">. </w:t>
      </w:r>
    </w:p>
    <w:p w14:paraId="6E2189FE" w14:textId="67787740" w:rsidR="00E15A70" w:rsidRDefault="00E15A70" w:rsidP="00B476AE">
      <w:pPr>
        <w:pStyle w:val="BodyText"/>
      </w:pPr>
      <w:r>
        <w:t xml:space="preserve">On local leadership, recent work by the Commission </w:t>
      </w:r>
      <w:r w:rsidRPr="006D5CDC">
        <w:t xml:space="preserve">into </w:t>
      </w:r>
      <w:r w:rsidRPr="00630420">
        <w:t>transitio</w:t>
      </w:r>
      <w:r>
        <w:t>ning</w:t>
      </w:r>
      <w:r w:rsidRPr="00934B4A">
        <w:t xml:space="preserve"> </w:t>
      </w:r>
      <w:r>
        <w:t xml:space="preserve">regional </w:t>
      </w:r>
      <w:r w:rsidRPr="00934B4A">
        <w:t xml:space="preserve">economies </w:t>
      </w:r>
      <w:r w:rsidR="00D80579" w:rsidRPr="00D80579">
        <w:t>(2017)</w:t>
      </w:r>
      <w:r>
        <w:t xml:space="preserve"> suggests that</w:t>
      </w:r>
      <w:r w:rsidR="00B476AE">
        <w:t xml:space="preserve"> more successful communities are led by individuals who take</w:t>
      </w:r>
      <w:r>
        <w:t xml:space="preserve"> an active role in identifying strategies for how to best facilitate development</w:t>
      </w:r>
      <w:r w:rsidR="00B476AE">
        <w:t xml:space="preserve">. </w:t>
      </w:r>
      <w:r w:rsidRPr="00F77AFB">
        <w:t xml:space="preserve">Local leadership </w:t>
      </w:r>
      <w:r>
        <w:t>was</w:t>
      </w:r>
      <w:r w:rsidRPr="00F77AFB">
        <w:t xml:space="preserve"> exemplified in the case of</w:t>
      </w:r>
      <w:r w:rsidR="00D100BE">
        <w:t xml:space="preserve"> Stawell (Victoria), where the Local G</w:t>
      </w:r>
      <w:r w:rsidRPr="00F77AFB">
        <w:t>overnment took a lead role in seeking ways to redevelop and repurpose a gold mine for use as an underground physics laboratory</w:t>
      </w:r>
      <w:r>
        <w:t xml:space="preserve">. </w:t>
      </w:r>
      <w:r w:rsidRPr="00F77AFB">
        <w:t xml:space="preserve">By engaging </w:t>
      </w:r>
      <w:r w:rsidR="00036E87">
        <w:t>the</w:t>
      </w:r>
      <w:r w:rsidR="00036E87" w:rsidRPr="00F77AFB">
        <w:t xml:space="preserve"> </w:t>
      </w:r>
      <w:r w:rsidRPr="00F77AFB">
        <w:t>community and working in partnership with the Victorian and Australian Governments, Stawell was able to find a new source of economic growth that built on its existing strengths and resources</w:t>
      </w:r>
      <w:r>
        <w:t xml:space="preserve"> </w:t>
      </w:r>
      <w:r w:rsidR="00D80579" w:rsidRPr="00D80579">
        <w:rPr>
          <w:szCs w:val="24"/>
        </w:rPr>
        <w:t>(PC 2017, p. 135)</w:t>
      </w:r>
      <w:r w:rsidR="0024077A">
        <w:t>.</w:t>
      </w:r>
    </w:p>
    <w:p w14:paraId="6E2189FF" w14:textId="77777777" w:rsidR="00DA00C5" w:rsidRPr="007C72B9" w:rsidRDefault="00DA00C5" w:rsidP="003F6D0E">
      <w:pPr>
        <w:pStyle w:val="Heading4"/>
      </w:pPr>
      <w:r>
        <w:t xml:space="preserve">Guidance from States </w:t>
      </w:r>
    </w:p>
    <w:p w14:paraId="6E218A00" w14:textId="4A7D8C3A" w:rsidR="00EA5590" w:rsidRDefault="00F32C09" w:rsidP="00EA5590">
      <w:pPr>
        <w:pStyle w:val="BodyText"/>
      </w:pPr>
      <w:r>
        <w:t xml:space="preserve">In some cases, councils are </w:t>
      </w:r>
      <w:r w:rsidR="009F70F9">
        <w:t>seeking</w:t>
      </w:r>
      <w:r>
        <w:t xml:space="preserve">, or may benefit from, </w:t>
      </w:r>
      <w:r w:rsidR="005C4990">
        <w:t>clearer</w:t>
      </w:r>
      <w:r>
        <w:t xml:space="preserve"> guidance from States</w:t>
      </w:r>
      <w:r w:rsidR="009F70F9">
        <w:t xml:space="preserve"> on their planning goals and desired outcomes</w:t>
      </w:r>
      <w:r>
        <w:t xml:space="preserve"> </w:t>
      </w:r>
      <w:r w:rsidR="009F70F9">
        <w:t>so as to</w:t>
      </w:r>
      <w:r>
        <w:t xml:space="preserve"> allow </w:t>
      </w:r>
      <w:r w:rsidR="009F70F9">
        <w:t xml:space="preserve">these </w:t>
      </w:r>
      <w:r w:rsidR="005C4990">
        <w:t>to be more closely reflected</w:t>
      </w:r>
      <w:r>
        <w:t xml:space="preserve"> in local development plans</w:t>
      </w:r>
      <w:r w:rsidR="005C4990">
        <w:t>,</w:t>
      </w:r>
      <w:r>
        <w:t xml:space="preserve"> and </w:t>
      </w:r>
      <w:r w:rsidR="009F70F9">
        <w:t xml:space="preserve">to </w:t>
      </w:r>
      <w:r w:rsidR="005C4990">
        <w:t xml:space="preserve">support </w:t>
      </w:r>
      <w:r>
        <w:t xml:space="preserve">more </w:t>
      </w:r>
      <w:r w:rsidR="005C4990">
        <w:t>effective community</w:t>
      </w:r>
      <w:r>
        <w:t xml:space="preserve"> engagement in planning processes</w:t>
      </w:r>
      <w:r w:rsidR="00BF604A">
        <w:t xml:space="preserve"> (box</w:t>
      </w:r>
      <w:r w:rsidR="00AB6E14">
        <w:t> </w:t>
      </w:r>
      <w:r w:rsidR="0024077A">
        <w:t>5</w:t>
      </w:r>
      <w:r w:rsidR="00BF604A">
        <w:t>)</w:t>
      </w:r>
      <w:r w:rsidR="00EA5590">
        <w:t xml:space="preserve">. As a </w:t>
      </w:r>
      <w:r w:rsidR="00EA5590" w:rsidRPr="00EA5590">
        <w:t>practical matter, this may be necessary to achieve objectives where there ar</w:t>
      </w:r>
      <w:r w:rsidR="009C5BA0">
        <w:t>e doubts as to the capacity of Local G</w:t>
      </w:r>
      <w:r w:rsidR="00EA5590" w:rsidRPr="00EA5590">
        <w:t>overnments to fulfil thei</w:t>
      </w:r>
      <w:r w:rsidR="00835CB0">
        <w:t>r legislative responsibilities.</w:t>
      </w:r>
    </w:p>
    <w:p w14:paraId="0DC0CD67" w14:textId="77777777" w:rsidR="00835CB0" w:rsidRDefault="00835CB0" w:rsidP="00835CB0">
      <w:pPr>
        <w:pStyle w:val="BodyText"/>
      </w:pPr>
      <w:r>
        <w:t>A common cause of tensions is proposals to increase the density of</w:t>
      </w:r>
      <w:r w:rsidRPr="00684643" w:rsidDel="00B02DCE">
        <w:t xml:space="preserve"> </w:t>
      </w:r>
      <w:r w:rsidRPr="00684643">
        <w:t xml:space="preserve">housing </w:t>
      </w:r>
      <w:r>
        <w:t xml:space="preserve">in </w:t>
      </w:r>
      <w:r w:rsidRPr="00D16882">
        <w:t>existing urban areas close to services, transport and workplaces</w:t>
      </w:r>
      <w:r>
        <w:t xml:space="preserve"> (notably, a</w:t>
      </w:r>
      <w:r w:rsidRPr="00D16882">
        <w:t xml:space="preserve"> survey conducted by Kelly</w:t>
      </w:r>
      <w:r>
        <w:t xml:space="preserve"> et al.</w:t>
      </w:r>
      <w:r w:rsidRPr="00D16882">
        <w:t xml:space="preserve"> (2011) found a majority of people in capital cities would not like their neighbourhood population to increase</w:t>
      </w:r>
      <w:r>
        <w:t>)</w:t>
      </w:r>
      <w:r w:rsidRPr="00D16882">
        <w:t xml:space="preserve">. </w:t>
      </w:r>
    </w:p>
    <w:p w14:paraId="70F6E35E" w14:textId="77777777" w:rsidR="00835CB0" w:rsidRDefault="00835CB0" w:rsidP="00EA5590">
      <w:pPr>
        <w:pStyle w:val="BodyText"/>
      </w:pPr>
    </w:p>
    <w:p w14:paraId="6E218A01" w14:textId="77777777" w:rsidR="001675D4" w:rsidRDefault="001675D4" w:rsidP="001675D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1675D4" w14:paraId="6E218A03" w14:textId="77777777" w:rsidTr="005C03EA">
        <w:tc>
          <w:tcPr>
            <w:tcW w:w="5000" w:type="pct"/>
            <w:tcBorders>
              <w:top w:val="single" w:sz="6" w:space="0" w:color="78A22F"/>
              <w:left w:val="nil"/>
              <w:bottom w:val="nil"/>
              <w:right w:val="nil"/>
            </w:tcBorders>
            <w:shd w:val="clear" w:color="auto" w:fill="F2F2F2"/>
          </w:tcPr>
          <w:p w14:paraId="6E218A02" w14:textId="77777777" w:rsidR="001675D4" w:rsidRDefault="001675D4" w:rsidP="002E1C5D">
            <w:pPr>
              <w:pStyle w:val="BoxTitle"/>
            </w:pPr>
            <w:r>
              <w:rPr>
                <w:b w:val="0"/>
              </w:rPr>
              <w:t xml:space="preserve">Box </w:t>
            </w:r>
            <w:r w:rsidR="003F6D0E">
              <w:rPr>
                <w:b w:val="0"/>
              </w:rPr>
              <w:t>5</w:t>
            </w:r>
            <w:r w:rsidR="003054FD">
              <w:tab/>
              <w:t>Ease of integrating State and L</w:t>
            </w:r>
            <w:r>
              <w:t>ocal plans</w:t>
            </w:r>
          </w:p>
        </w:tc>
      </w:tr>
      <w:tr w:rsidR="001675D4" w14:paraId="6E218A0A" w14:textId="77777777" w:rsidTr="005C03EA">
        <w:tc>
          <w:tcPr>
            <w:tcW w:w="5000" w:type="pct"/>
            <w:tcBorders>
              <w:top w:val="nil"/>
              <w:left w:val="nil"/>
              <w:bottom w:val="nil"/>
              <w:right w:val="nil"/>
            </w:tcBorders>
            <w:shd w:val="clear" w:color="auto" w:fill="F2F2F2"/>
          </w:tcPr>
          <w:p w14:paraId="6E218A04" w14:textId="77777777" w:rsidR="001675D4" w:rsidRDefault="001675D4" w:rsidP="005C03EA">
            <w:pPr>
              <w:pStyle w:val="BoxListBullet"/>
            </w:pPr>
            <w:r>
              <w:t xml:space="preserve">Pugalis and Tan </w:t>
            </w:r>
            <w:r w:rsidRPr="00F32C09">
              <w:t>reported that councils believe the Tasmanian and Western Australian planning systems lack clear State level policy frameworks</w:t>
            </w:r>
            <w:r w:rsidR="00352FAE">
              <w:t>, which limits the ability for L</w:t>
            </w:r>
            <w:r w:rsidRPr="00F32C09">
              <w:t xml:space="preserve">ocal </w:t>
            </w:r>
            <w:r w:rsidR="00352FAE">
              <w:t>G</w:t>
            </w:r>
            <w:r w:rsidRPr="00F32C09">
              <w:t xml:space="preserve">overnments to plan strategically. Councils in those </w:t>
            </w:r>
            <w:r w:rsidR="00E332CF">
              <w:t>S</w:t>
            </w:r>
            <w:r w:rsidRPr="00F32C09">
              <w:t>tates reported they felt like they are ‘working in a vacuum’ due to the lack of an economic development strategy or guidance on population growth patterns.</w:t>
            </w:r>
            <w:r>
              <w:t xml:space="preserve"> </w:t>
            </w:r>
          </w:p>
          <w:p w14:paraId="6E218A05" w14:textId="121F6067" w:rsidR="001675D4" w:rsidRDefault="001675D4" w:rsidP="005C03EA">
            <w:pPr>
              <w:pStyle w:val="BoxListBullet"/>
            </w:pPr>
            <w:r>
              <w:t>In a report for the Property Council of Australia following a workshop involving leaders in planning and housing at all levels of government, academia, and private sectors, Deloitte Access Economics</w:t>
            </w:r>
            <w:r w:rsidR="00D80579">
              <w:t xml:space="preserve"> </w:t>
            </w:r>
            <w:r>
              <w:t>noted that:</w:t>
            </w:r>
          </w:p>
          <w:p w14:paraId="6E218A06" w14:textId="55334061" w:rsidR="001675D4" w:rsidRDefault="001675D4" w:rsidP="005C03EA">
            <w:pPr>
              <w:pStyle w:val="BoxQuote"/>
            </w:pPr>
            <w:r w:rsidRPr="00EA49C4">
              <w:t xml:space="preserve">A number of participants indicated a belief that a lack of clarity and direction in </w:t>
            </w:r>
            <w:r w:rsidR="00A20497">
              <w:t>S</w:t>
            </w:r>
            <w:r w:rsidRPr="00EA49C4">
              <w:t xml:space="preserve">tate strategic plans </w:t>
            </w:r>
            <w:r w:rsidRPr="000059B7">
              <w:t>were causing excessive assessment effort at the Local Government level as councils sought to meet their, sometimes unclear, requirements</w:t>
            </w:r>
            <w:r w:rsidR="00AB6E14">
              <w:t xml:space="preserve"> </w:t>
            </w:r>
            <w:r>
              <w:t>…</w:t>
            </w:r>
            <w:r w:rsidRPr="000059B7">
              <w:t xml:space="preserve"> </w:t>
            </w:r>
          </w:p>
          <w:p w14:paraId="6E218A07" w14:textId="77777777" w:rsidR="001675D4" w:rsidRDefault="001675D4" w:rsidP="005C03EA">
            <w:pPr>
              <w:pStyle w:val="BoxQuote"/>
            </w:pPr>
            <w:r w:rsidRPr="006D5CDC">
              <w:t>Participants opined that strategic plans were typically light on specific details that woul</w:t>
            </w:r>
            <w:r w:rsidRPr="00A844AB">
              <w:t>d assist councils in understanding how particular land was to be developed. This was seen to place</w:t>
            </w:r>
            <w:r w:rsidRPr="00FC3839">
              <w:t xml:space="preserve"> the risk of assessment back onto councils who were left to interpret how a development was to be assessed, for example, when subject to multiple overlays. </w:t>
            </w:r>
          </w:p>
          <w:p w14:paraId="6E218A08" w14:textId="5FD44B17" w:rsidR="001675D4" w:rsidRDefault="001675D4" w:rsidP="005C03EA">
            <w:pPr>
              <w:pStyle w:val="BoxListBullet"/>
            </w:pPr>
            <w:r>
              <w:t>The Victorian Auditor General</w:t>
            </w:r>
            <w:r w:rsidR="00D80579">
              <w:t xml:space="preserve"> </w:t>
            </w:r>
            <w:r>
              <w:t xml:space="preserve">has noted that, while </w:t>
            </w:r>
            <w:r w:rsidR="00AB6E14">
              <w:t>‘</w:t>
            </w:r>
            <w:r w:rsidRPr="006E303A">
              <w:t>local planning schemes allow a clearly expressed strategic vision through their municipal strategic statements</w:t>
            </w:r>
            <w:r>
              <w:t>,</w:t>
            </w:r>
            <w:r w:rsidR="00AB6E14">
              <w:t xml:space="preserve"> </w:t>
            </w:r>
            <w:r>
              <w:t>…</w:t>
            </w:r>
            <w:r w:rsidRPr="006E303A">
              <w:t xml:space="preserve"> the state’s planning framework</w:t>
            </w:r>
            <w:r>
              <w:t xml:space="preserve"> </w:t>
            </w:r>
            <w:r w:rsidRPr="006E303A">
              <w:t>—</w:t>
            </w:r>
            <w:r>
              <w:t xml:space="preserve"> </w:t>
            </w:r>
            <w:r w:rsidRPr="006E303A">
              <w:t>the VPP</w:t>
            </w:r>
            <w:r>
              <w:t xml:space="preserve"> [Victoria Planning Provisions] </w:t>
            </w:r>
            <w:r w:rsidRPr="006E303A">
              <w:t>—</w:t>
            </w:r>
            <w:r>
              <w:t xml:space="preserve"> </w:t>
            </w:r>
            <w:r w:rsidRPr="006E303A">
              <w:t xml:space="preserve">has no strategic vision to help integrate and prioritise its nine policy themes and over 87 policy objectives or connect it to the strategic state and regional priorities, such as those identified in </w:t>
            </w:r>
            <w:r w:rsidRPr="006E303A">
              <w:rPr>
                <w:i/>
              </w:rPr>
              <w:t>Plan Melbourne</w:t>
            </w:r>
            <w:r>
              <w:t xml:space="preserve"> (2014)</w:t>
            </w:r>
            <w:r w:rsidR="00AB6E14">
              <w:t>’</w:t>
            </w:r>
            <w:r>
              <w:t xml:space="preserve">. </w:t>
            </w:r>
          </w:p>
          <w:p w14:paraId="6E218A09" w14:textId="77777777" w:rsidR="001675D4" w:rsidRDefault="001675D4" w:rsidP="00D80579">
            <w:pPr>
              <w:pStyle w:val="BoxListBullet"/>
            </w:pPr>
            <w:r>
              <w:t xml:space="preserve">The Commission’s study on transitioning regional economies noted concerns by the Upper Spencer Gulf Common Purpose Group and Northern Tasmania Development Corporation about lack of coordination in strategic planning across levels of government. This was considered to lead to fragmented planning efforts and a lack of community faith in planning processes. </w:t>
            </w:r>
          </w:p>
        </w:tc>
      </w:tr>
      <w:tr w:rsidR="001675D4" w14:paraId="6E218A0C" w14:textId="77777777" w:rsidTr="005C03EA">
        <w:tc>
          <w:tcPr>
            <w:tcW w:w="5000" w:type="pct"/>
            <w:tcBorders>
              <w:top w:val="nil"/>
              <w:left w:val="nil"/>
              <w:bottom w:val="nil"/>
              <w:right w:val="nil"/>
            </w:tcBorders>
            <w:shd w:val="clear" w:color="auto" w:fill="F2F2F2"/>
          </w:tcPr>
          <w:p w14:paraId="6E218A0B" w14:textId="00E6F5B2" w:rsidR="001675D4" w:rsidRDefault="001675D4" w:rsidP="00D80579">
            <w:pPr>
              <w:pStyle w:val="BoxSource"/>
            </w:pPr>
            <w:r w:rsidRPr="00D80579">
              <w:rPr>
                <w:i/>
              </w:rPr>
              <w:t>Sources</w:t>
            </w:r>
            <w:r w:rsidRPr="00D80579">
              <w:t xml:space="preserve">: </w:t>
            </w:r>
            <w:r w:rsidR="00D80579" w:rsidRPr="00D80579">
              <w:t xml:space="preserve">NTDC </w:t>
            </w:r>
            <w:r w:rsidR="00D80579" w:rsidRPr="00D80579">
              <w:rPr>
                <w:rFonts w:cs="Arial"/>
              </w:rPr>
              <w:t>(2017)</w:t>
            </w:r>
            <w:r w:rsidR="00D80579" w:rsidRPr="00D80579">
              <w:t xml:space="preserve">; </w:t>
            </w:r>
            <w:r w:rsidR="004F24AA" w:rsidRPr="00D80579">
              <w:t xml:space="preserve">PC </w:t>
            </w:r>
            <w:r w:rsidR="00D80579" w:rsidRPr="00D80579">
              <w:rPr>
                <w:rFonts w:cs="Arial"/>
              </w:rPr>
              <w:t>(2017)</w:t>
            </w:r>
            <w:r w:rsidR="004F24AA" w:rsidRPr="00D80579">
              <w:t xml:space="preserve">; </w:t>
            </w:r>
            <w:r w:rsidR="00D80579" w:rsidRPr="00D80579">
              <w:t xml:space="preserve">USGCPG </w:t>
            </w:r>
            <w:r w:rsidR="00D80579" w:rsidRPr="00D80579">
              <w:rPr>
                <w:rFonts w:cs="Arial"/>
              </w:rPr>
              <w:t>(2017)</w:t>
            </w:r>
            <w:r w:rsidR="00D80579" w:rsidRPr="00D80579">
              <w:t>; VAG</w:t>
            </w:r>
            <w:r w:rsidR="00D80579">
              <w:t xml:space="preserve"> </w:t>
            </w:r>
            <w:r w:rsidR="00D80579" w:rsidRPr="00902E6A">
              <w:rPr>
                <w:szCs w:val="24"/>
              </w:rPr>
              <w:t>(2017, p. vii)</w:t>
            </w:r>
            <w:r w:rsidR="00D80579">
              <w:t xml:space="preserve">; DAE </w:t>
            </w:r>
            <w:r w:rsidR="00D80579" w:rsidRPr="00D80579">
              <w:rPr>
                <w:rFonts w:cs="Arial"/>
                <w:szCs w:val="24"/>
              </w:rPr>
              <w:t>(2016, p. 21)</w:t>
            </w:r>
            <w:r w:rsidR="00D80579">
              <w:t xml:space="preserve">; Pugalis and Tan </w:t>
            </w:r>
            <w:r w:rsidR="00D80579" w:rsidRPr="00D80579">
              <w:rPr>
                <w:rFonts w:cs="Arial"/>
              </w:rPr>
              <w:t>(2016)</w:t>
            </w:r>
            <w:r w:rsidR="00680635">
              <w:t>.</w:t>
            </w:r>
          </w:p>
        </w:tc>
      </w:tr>
      <w:tr w:rsidR="001675D4" w14:paraId="6E218A0E" w14:textId="77777777" w:rsidTr="005C03EA">
        <w:tc>
          <w:tcPr>
            <w:tcW w:w="5000" w:type="pct"/>
            <w:tcBorders>
              <w:top w:val="nil"/>
              <w:left w:val="nil"/>
              <w:bottom w:val="single" w:sz="6" w:space="0" w:color="78A22F"/>
              <w:right w:val="nil"/>
            </w:tcBorders>
            <w:shd w:val="clear" w:color="auto" w:fill="F2F2F2"/>
          </w:tcPr>
          <w:p w14:paraId="6E218A0D" w14:textId="77777777" w:rsidR="001675D4" w:rsidRDefault="001675D4" w:rsidP="005C03EA">
            <w:pPr>
              <w:pStyle w:val="Box"/>
              <w:spacing w:before="0" w:line="120" w:lineRule="exact"/>
            </w:pPr>
          </w:p>
        </w:tc>
      </w:tr>
      <w:tr w:rsidR="001675D4" w:rsidRPr="000863A5" w14:paraId="6E218A10" w14:textId="77777777" w:rsidTr="005C03EA">
        <w:tc>
          <w:tcPr>
            <w:tcW w:w="5000" w:type="pct"/>
            <w:tcBorders>
              <w:top w:val="single" w:sz="6" w:space="0" w:color="78A22F"/>
              <w:left w:val="nil"/>
              <w:bottom w:val="nil"/>
              <w:right w:val="nil"/>
            </w:tcBorders>
          </w:tcPr>
          <w:p w14:paraId="6E218A0F" w14:textId="77777777" w:rsidR="001675D4" w:rsidRPr="00626D32" w:rsidRDefault="001675D4" w:rsidP="005C03EA">
            <w:pPr>
              <w:pStyle w:val="BoxSpaceBelow"/>
            </w:pPr>
          </w:p>
        </w:tc>
      </w:tr>
    </w:tbl>
    <w:p w14:paraId="6E218A12" w14:textId="67CAEEF6" w:rsidR="00B476AE" w:rsidRDefault="00B476AE" w:rsidP="00B476AE">
      <w:pPr>
        <w:pStyle w:val="BodyText"/>
      </w:pPr>
      <w:r>
        <w:t>The experience of successful urban renewal programs (see for example</w:t>
      </w:r>
      <w:r w:rsidR="006B57CB">
        <w:t xml:space="preserve">, </w:t>
      </w:r>
      <w:r w:rsidR="003E2179" w:rsidRPr="003E2179">
        <w:rPr>
          <w:szCs w:val="24"/>
        </w:rPr>
        <w:t>Kelly and Donegan 2015; SGS Economics &amp; Planning 2014</w:t>
      </w:r>
      <w:r w:rsidR="00863911">
        <w:t>)</w:t>
      </w:r>
      <w:r>
        <w:t xml:space="preserve"> suggests </w:t>
      </w:r>
      <w:r w:rsidRPr="00D16882">
        <w:t xml:space="preserve">potential gaps in strategy development </w:t>
      </w:r>
      <w:r>
        <w:t>and/or communication with respect to policy goals, which may be more usefully debated as being the management of population growth, rather than population levels per se. This approach</w:t>
      </w:r>
      <w:r w:rsidDel="00E332CF">
        <w:t xml:space="preserve"> </w:t>
      </w:r>
      <w:r w:rsidR="00E332CF">
        <w:t>encourages</w:t>
      </w:r>
      <w:r>
        <w:t xml:space="preserve"> consideration of costs, benefits, and different ways that tradeoffs can be managed. A feature of urban renewal plans in areas of Canada, for example (viewed as exemplary by some), was accompaniment of increases in density with the provision of high quality amenity and public spaces (</w:t>
      </w:r>
      <w:r w:rsidR="0057150B">
        <w:t>box </w:t>
      </w:r>
      <w:r w:rsidR="00E332CF">
        <w:t>6</w:t>
      </w:r>
      <w:r w:rsidR="004009ED" w:rsidRPr="00DC4207">
        <w:t xml:space="preserve"> </w:t>
      </w:r>
      <w:r>
        <w:t>describes</w:t>
      </w:r>
      <w:r w:rsidRPr="00DA00C5">
        <w:t xml:space="preserve"> Vancouver</w:t>
      </w:r>
      <w:r>
        <w:t xml:space="preserve">’s experience). </w:t>
      </w:r>
    </w:p>
    <w:p w14:paraId="6E218A13" w14:textId="77777777" w:rsidR="000F56E7" w:rsidRPr="00626D32" w:rsidRDefault="000F56E7" w:rsidP="00D31A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F56E7" w14:paraId="6E218A15" w14:textId="77777777" w:rsidTr="001D6854">
        <w:tc>
          <w:tcPr>
            <w:tcW w:w="8789" w:type="dxa"/>
            <w:tcBorders>
              <w:top w:val="single" w:sz="6" w:space="0" w:color="78A22F"/>
              <w:left w:val="nil"/>
              <w:bottom w:val="nil"/>
              <w:right w:val="nil"/>
            </w:tcBorders>
            <w:shd w:val="clear" w:color="auto" w:fill="F2F2F2"/>
          </w:tcPr>
          <w:p w14:paraId="6E218A14" w14:textId="77777777" w:rsidR="000F56E7" w:rsidRPr="00627D04" w:rsidRDefault="000F56E7" w:rsidP="002E1C5D">
            <w:pPr>
              <w:pStyle w:val="BoxTitle"/>
            </w:pPr>
            <w:r>
              <w:rPr>
                <w:b w:val="0"/>
              </w:rPr>
              <w:t xml:space="preserve">Box </w:t>
            </w:r>
            <w:r w:rsidR="002E1C5D">
              <w:rPr>
                <w:b w:val="0"/>
              </w:rPr>
              <w:t>6</w:t>
            </w:r>
            <w:r>
              <w:tab/>
              <w:t>Urban renewal programs in Vancouver</w:t>
            </w:r>
          </w:p>
        </w:tc>
      </w:tr>
      <w:tr w:rsidR="000F56E7" w14:paraId="6E218A1A" w14:textId="77777777" w:rsidTr="001D6854">
        <w:tc>
          <w:tcPr>
            <w:tcW w:w="8789" w:type="dxa"/>
            <w:tcBorders>
              <w:top w:val="nil"/>
              <w:left w:val="nil"/>
              <w:bottom w:val="nil"/>
              <w:right w:val="nil"/>
            </w:tcBorders>
            <w:shd w:val="clear" w:color="auto" w:fill="F2F2F2"/>
          </w:tcPr>
          <w:p w14:paraId="6E218A16" w14:textId="77777777" w:rsidR="000F56E7" w:rsidRDefault="000F56E7" w:rsidP="000F56E7">
            <w:pPr>
              <w:pStyle w:val="Box"/>
            </w:pPr>
            <w:r w:rsidRPr="00F97638">
              <w:t>Vancouver</w:t>
            </w:r>
            <w:r>
              <w:t xml:space="preserve"> took a highly inclusive approach to strategic planning, which </w:t>
            </w:r>
            <w:r w:rsidRPr="008A5E43">
              <w:t xml:space="preserve">has been </w:t>
            </w:r>
            <w:r>
              <w:t>noted</w:t>
            </w:r>
            <w:r w:rsidRPr="008A5E43">
              <w:t xml:space="preserve"> around the world for its involvement of citizens in building a</w:t>
            </w:r>
            <w:r>
              <w:t xml:space="preserve"> shared vision for the city. </w:t>
            </w:r>
          </w:p>
          <w:p w14:paraId="6E218A17" w14:textId="7E5EF0B9" w:rsidR="000F56E7" w:rsidRDefault="000F56E7" w:rsidP="000F56E7">
            <w:pPr>
              <w:pStyle w:val="Box"/>
            </w:pPr>
            <w:r>
              <w:t xml:space="preserve">In the 1990s, Vancouver directly engaged more than </w:t>
            </w:r>
            <w:r w:rsidR="00AB6E14">
              <w:t>20 </w:t>
            </w:r>
            <w:r>
              <w:t xml:space="preserve">000 of its residents in the development of its </w:t>
            </w:r>
            <w:r w:rsidRPr="008A5E43">
              <w:t xml:space="preserve">CityPlan. </w:t>
            </w:r>
            <w:r w:rsidRPr="00684643">
              <w:t xml:space="preserve">Residents were initially </w:t>
            </w:r>
            <w:r>
              <w:t>consulted on</w:t>
            </w:r>
            <w:r w:rsidRPr="00684643">
              <w:t xml:space="preserve"> the</w:t>
            </w:r>
            <w:r>
              <w:t xml:space="preserve"> </w:t>
            </w:r>
            <w:r w:rsidRPr="00684643">
              <w:t>direction</w:t>
            </w:r>
            <w:r>
              <w:t xml:space="preserve"> and objectives</w:t>
            </w:r>
            <w:r w:rsidRPr="00684643">
              <w:t xml:space="preserve"> of the city, and were provided a number of growth strategies to deliberate, with trade</w:t>
            </w:r>
            <w:r w:rsidR="00181B62">
              <w:noBreakHyphen/>
            </w:r>
            <w:r w:rsidRPr="00684643">
              <w:t>offs involved in choosing the different paths made clear</w:t>
            </w:r>
            <w:r>
              <w:t>.</w:t>
            </w:r>
            <w:r w:rsidRPr="00684643">
              <w:t xml:space="preserve"> </w:t>
            </w:r>
            <w:r>
              <w:t>Following this process</w:t>
            </w:r>
            <w:r w:rsidRPr="00684643">
              <w:t xml:space="preserve">, </w:t>
            </w:r>
            <w:r>
              <w:t xml:space="preserve">residents were engaged at the local </w:t>
            </w:r>
            <w:r w:rsidRPr="00684643" w:rsidDel="00C12C2C">
              <w:t>level</w:t>
            </w:r>
            <w:r w:rsidRPr="00684643">
              <w:t xml:space="preserve">, and the plan progressively developed over </w:t>
            </w:r>
            <w:r>
              <w:t>four</w:t>
            </w:r>
            <w:r w:rsidRPr="00684643">
              <w:t xml:space="preserve"> years</w:t>
            </w:r>
            <w:r>
              <w:t>.</w:t>
            </w:r>
            <w:r w:rsidRPr="00684643">
              <w:t xml:space="preserve"> </w:t>
            </w:r>
            <w:r>
              <w:t>A key element of the consultation process was that city officials and planners did not provide a preferred option and consensus was not sought.</w:t>
            </w:r>
          </w:p>
          <w:p w14:paraId="6E218A18" w14:textId="77777777" w:rsidR="000F56E7" w:rsidRDefault="000F56E7" w:rsidP="000F56E7">
            <w:pPr>
              <w:pStyle w:val="Box"/>
            </w:pPr>
            <w:r>
              <w:t>The pros and cons of different growth strategies were presented to residents. For example, e</w:t>
            </w:r>
            <w:r w:rsidRPr="00684643">
              <w:t xml:space="preserve">ach neighbourhood was told that </w:t>
            </w:r>
            <w:r w:rsidRPr="00684643" w:rsidDel="00180E8C">
              <w:t xml:space="preserve">the </w:t>
            </w:r>
            <w:r>
              <w:t>larger the population supported by more dwellings</w:t>
            </w:r>
            <w:r w:rsidRPr="00684643">
              <w:t>, the bigger the</w:t>
            </w:r>
            <w:r>
              <w:t xml:space="preserve"> neighbourhood’s</w:t>
            </w:r>
            <w:r w:rsidRPr="00684643">
              <w:t xml:space="preserve"> contribution to government tax revenue and the </w:t>
            </w:r>
            <w:r>
              <w:t>larger the distribution it</w:t>
            </w:r>
            <w:r w:rsidRPr="00684643">
              <w:t xml:space="preserve"> would receive to improve the area</w:t>
            </w:r>
            <w:r>
              <w:t xml:space="preserve"> with community amenities such as libraries</w:t>
            </w:r>
            <w:r w:rsidRPr="00684643">
              <w:t xml:space="preserve">. Working with developers and builders, residents frequently opted to get more of the amenities they valued by allowing some buildings to be even higher than required for the area’s housing targets. </w:t>
            </w:r>
          </w:p>
          <w:p w14:paraId="6E218A19" w14:textId="77777777" w:rsidR="000F56E7" w:rsidRDefault="000F56E7" w:rsidP="006D7E2B">
            <w:pPr>
              <w:pStyle w:val="Box"/>
            </w:pPr>
            <w:r w:rsidRPr="00684643">
              <w:t>The planners recognised</w:t>
            </w:r>
            <w:r>
              <w:t xml:space="preserve"> the need for people to understand that</w:t>
            </w:r>
            <w:r w:rsidRPr="008A5E43">
              <w:t xml:space="preserve"> growth</w:t>
            </w:r>
            <w:r>
              <w:t xml:space="preserve"> could provide benefits. The city is now experiencing r</w:t>
            </w:r>
            <w:r w:rsidRPr="008A5E43">
              <w:t xml:space="preserve">educed commute times </w:t>
            </w:r>
            <w:r>
              <w:t>in spite of an increase in the city’s population.</w:t>
            </w:r>
          </w:p>
        </w:tc>
      </w:tr>
      <w:tr w:rsidR="000F56E7" w14:paraId="6E218A1C" w14:textId="77777777" w:rsidTr="001D6854">
        <w:tc>
          <w:tcPr>
            <w:tcW w:w="8789" w:type="dxa"/>
            <w:tcBorders>
              <w:top w:val="nil"/>
              <w:left w:val="nil"/>
              <w:bottom w:val="nil"/>
              <w:right w:val="nil"/>
            </w:tcBorders>
            <w:shd w:val="clear" w:color="auto" w:fill="F2F2F2"/>
          </w:tcPr>
          <w:p w14:paraId="6E218A1B" w14:textId="1EB6E35C" w:rsidR="000F56E7" w:rsidRDefault="000F56E7" w:rsidP="000F56E7">
            <w:pPr>
              <w:pStyle w:val="BoxSource"/>
            </w:pPr>
            <w:r>
              <w:rPr>
                <w:i/>
              </w:rPr>
              <w:t>Source</w:t>
            </w:r>
            <w:r w:rsidRPr="00167F06">
              <w:t xml:space="preserve">: </w:t>
            </w:r>
            <w:r>
              <w:t xml:space="preserve">Kelly and Donegan </w:t>
            </w:r>
            <w:r w:rsidRPr="00DC4207">
              <w:rPr>
                <w:rFonts w:cs="Arial"/>
                <w:szCs w:val="24"/>
              </w:rPr>
              <w:t>(2015, pp. 157–158)</w:t>
            </w:r>
            <w:r w:rsidR="00680635">
              <w:rPr>
                <w:rFonts w:cs="Arial"/>
                <w:szCs w:val="24"/>
              </w:rPr>
              <w:t>.</w:t>
            </w:r>
          </w:p>
        </w:tc>
      </w:tr>
      <w:tr w:rsidR="000F56E7" w14:paraId="6E218A1E" w14:textId="77777777" w:rsidTr="001D6854">
        <w:tc>
          <w:tcPr>
            <w:tcW w:w="8789" w:type="dxa"/>
            <w:tcBorders>
              <w:top w:val="nil"/>
              <w:left w:val="nil"/>
              <w:bottom w:val="single" w:sz="6" w:space="0" w:color="78A22F"/>
              <w:right w:val="nil"/>
            </w:tcBorders>
            <w:shd w:val="clear" w:color="auto" w:fill="F2F2F2"/>
          </w:tcPr>
          <w:p w14:paraId="6E218A1D" w14:textId="77777777" w:rsidR="000F56E7" w:rsidRDefault="000F56E7" w:rsidP="000F56E7">
            <w:pPr>
              <w:pStyle w:val="Box"/>
              <w:spacing w:before="0" w:line="120" w:lineRule="exact"/>
            </w:pPr>
          </w:p>
        </w:tc>
      </w:tr>
      <w:tr w:rsidR="000F56E7" w:rsidRPr="000863A5" w14:paraId="6E218A20" w14:textId="77777777" w:rsidTr="001D6854">
        <w:tc>
          <w:tcPr>
            <w:tcW w:w="8789" w:type="dxa"/>
            <w:tcBorders>
              <w:top w:val="single" w:sz="6" w:space="0" w:color="78A22F"/>
              <w:left w:val="nil"/>
              <w:bottom w:val="nil"/>
              <w:right w:val="nil"/>
            </w:tcBorders>
          </w:tcPr>
          <w:p w14:paraId="6E218A1F" w14:textId="77777777" w:rsidR="000F56E7" w:rsidRPr="00626D32" w:rsidRDefault="000F56E7" w:rsidP="000F56E7">
            <w:pPr>
              <w:pStyle w:val="BoxSpaceBelow"/>
            </w:pPr>
          </w:p>
        </w:tc>
      </w:tr>
    </w:tbl>
    <w:p w14:paraId="6E218A21" w14:textId="77777777" w:rsidR="001C06D7" w:rsidRDefault="00F03916" w:rsidP="00F03916">
      <w:pPr>
        <w:pStyle w:val="BodyText"/>
      </w:pPr>
      <w:r w:rsidRPr="001A70A7">
        <w:t>Industry g</w:t>
      </w:r>
      <w:r>
        <w:t xml:space="preserve">roups and other observers have also raised the need for </w:t>
      </w:r>
      <w:r w:rsidRPr="00B17DE2">
        <w:t>clear</w:t>
      </w:r>
      <w:r>
        <w:t>er</w:t>
      </w:r>
      <w:r w:rsidRPr="00B17DE2">
        <w:t xml:space="preserve"> direction </w:t>
      </w:r>
      <w:r>
        <w:t xml:space="preserve">on the application of </w:t>
      </w:r>
      <w:r w:rsidRPr="00B17DE2">
        <w:t>planning instruments</w:t>
      </w:r>
      <w:r>
        <w:t xml:space="preserve"> by most States and Territories, noting that the necessity for </w:t>
      </w:r>
      <w:r w:rsidRPr="000059B7">
        <w:t xml:space="preserve">interpretation </w:t>
      </w:r>
      <w:r>
        <w:t>is a source of avoidable</w:t>
      </w:r>
      <w:r w:rsidRPr="000059B7">
        <w:t xml:space="preserve"> variation in local planning rules </w:t>
      </w:r>
      <w:r w:rsidRPr="004E2673">
        <w:rPr>
          <w:szCs w:val="24"/>
        </w:rPr>
        <w:t>(PCA 2015)</w:t>
      </w:r>
      <w:r>
        <w:t>. For example</w:t>
      </w:r>
      <w:r w:rsidR="001C06D7">
        <w:t>:</w:t>
      </w:r>
    </w:p>
    <w:p w14:paraId="6E218A22" w14:textId="18A385C2" w:rsidR="001C06D7" w:rsidRDefault="00F03916" w:rsidP="00F06B36">
      <w:pPr>
        <w:pStyle w:val="ListBullet"/>
      </w:pPr>
      <w:r>
        <w:t>f</w:t>
      </w:r>
      <w:r w:rsidRPr="00913D3F">
        <w:t>or</w:t>
      </w:r>
      <w:r>
        <w:t xml:space="preserve"> development application assessments in Western Australia</w:t>
      </w:r>
      <w:r w:rsidRPr="00913D3F">
        <w:t xml:space="preserve">, </w:t>
      </w:r>
      <w:r>
        <w:t>councils</w:t>
      </w:r>
      <w:r w:rsidRPr="00913D3F">
        <w:t xml:space="preserve"> only need ‘have due regard to’ approved State planning policies ‘to the exte</w:t>
      </w:r>
      <w:r w:rsidR="003054FD">
        <w:t>nt that, in the opinion of the Local G</w:t>
      </w:r>
      <w:r w:rsidRPr="00913D3F">
        <w:t>overnment, those matters are relevant to the development</w:t>
      </w:r>
      <w:r>
        <w:t xml:space="preserve">’ </w:t>
      </w:r>
      <w:r w:rsidRPr="009B27EA">
        <w:rPr>
          <w:szCs w:val="24"/>
        </w:rPr>
        <w:t>(WADP 2017b)</w:t>
      </w:r>
      <w:r>
        <w:t xml:space="preserve">. Some councils in Western Australia consider this does not provide sufficient guidance for them to plan strategically </w:t>
      </w:r>
      <w:r w:rsidRPr="00F77AFB">
        <w:rPr>
          <w:rFonts w:cs="Arial"/>
          <w:szCs w:val="24"/>
        </w:rPr>
        <w:t>(Pugalis and Tan 2016)</w:t>
      </w:r>
    </w:p>
    <w:p w14:paraId="6E218A23" w14:textId="544F129B" w:rsidR="00F03916" w:rsidRDefault="001C06D7" w:rsidP="003775AD">
      <w:pPr>
        <w:pStyle w:val="ListBullet"/>
      </w:pPr>
      <w:r>
        <w:t>d</w:t>
      </w:r>
      <w:r w:rsidR="00F03916" w:rsidRPr="00B476AE">
        <w:t>evelopers in Tasmania have found the State’s dwelling code to contain numerous exclusions, which makes it difficult to determine its application, and is subject to different interpretations by local councils (PCA 2015)</w:t>
      </w:r>
    </w:p>
    <w:p w14:paraId="6E218A24" w14:textId="53F7B8CB" w:rsidR="001675D4" w:rsidRDefault="001C00A6" w:rsidP="003775AD">
      <w:pPr>
        <w:pStyle w:val="ListBullet"/>
      </w:pPr>
      <w:r w:rsidRPr="00CE50BB">
        <w:t xml:space="preserve">New South Wales </w:t>
      </w:r>
      <w:r>
        <w:t xml:space="preserve">currently </w:t>
      </w:r>
      <w:r w:rsidRPr="00CE50BB">
        <w:t xml:space="preserve">has </w:t>
      </w:r>
      <w:r>
        <w:t>50</w:t>
      </w:r>
      <w:r w:rsidRPr="00CE50BB">
        <w:t xml:space="preserve"> State </w:t>
      </w:r>
      <w:r>
        <w:t>Environmental Planning Policies (SEPPs) (including deemed SEPPs) that specify planning controls for certain areas and types of developments. It is sometimes unclear why and how SEPPs apply. For example</w:t>
      </w:r>
      <w:r w:rsidRPr="00F06B36">
        <w:t>, State Environmental Planning Policy (Mining, Petroleum Pr</w:t>
      </w:r>
      <w:r w:rsidRPr="003775AD">
        <w:t>oduction and Extractive Industries) 2007</w:t>
      </w:r>
      <w:r>
        <w:t>, which has the aim of establishing an assessment process for certain mining and petroleum developments is applicable to the Ryde council area, but its relevance is unclear, with Ryde being a highly urbanised residential and commercial Sydney district. The Government is currently reviewing all SEPPs with a view to streamlining them and ensuring their relevance</w:t>
      </w:r>
      <w:r w:rsidR="004C5093">
        <w:t xml:space="preserve"> </w:t>
      </w:r>
      <w:r w:rsidR="00084F6E" w:rsidRPr="00084F6E">
        <w:rPr>
          <w:szCs w:val="24"/>
        </w:rPr>
        <w:t>(NSWPE 2016)</w:t>
      </w:r>
    </w:p>
    <w:p w14:paraId="6E218A25" w14:textId="77777777" w:rsidR="00EF67A7" w:rsidRDefault="006442E3" w:rsidP="00B80C28">
      <w:pPr>
        <w:pStyle w:val="ListBullet"/>
      </w:pPr>
      <w:r>
        <w:t>t</w:t>
      </w:r>
      <w:r w:rsidR="00EF67A7">
        <w:t>he Victorian Auditor General r</w:t>
      </w:r>
      <w:r w:rsidR="00116A09">
        <w:t>ecently found that a number of Local G</w:t>
      </w:r>
      <w:r w:rsidR="00EF67A7">
        <w:t>overnments had prohibited medium</w:t>
      </w:r>
      <w:r w:rsidR="00EF67A7">
        <w:noBreakHyphen/>
        <w:t>density housing development in areas that the 2013 State Planning Policy Framework had d</w:t>
      </w:r>
      <w:r w:rsidR="00116A09">
        <w:t>esignated as permitting. Local G</w:t>
      </w:r>
      <w:r w:rsidR="00EF67A7">
        <w:t>overnments have also created 153 local variations to the new residential zones introduced in 2013, resulting in local schemes being inconsist</w:t>
      </w:r>
      <w:r w:rsidR="00B610F5">
        <w:t>ent with the objectives of the S</w:t>
      </w:r>
      <w:r w:rsidR="00EF67A7">
        <w:t>tate planning policies and adding unnecessary complexity in planning schemes. The Auditor General has suggested that the State Government needs to provide</w:t>
      </w:r>
      <w:r w:rsidR="00116A09">
        <w:t xml:space="preserve"> more guidance and training to Local G</w:t>
      </w:r>
      <w:r w:rsidR="00EF67A7">
        <w:t>overnments to support its reforms</w:t>
      </w:r>
      <w:r w:rsidR="00891943">
        <w:t xml:space="preserve"> </w:t>
      </w:r>
      <w:r w:rsidR="00BF1FDD" w:rsidRPr="00BF1FDD">
        <w:rPr>
          <w:szCs w:val="24"/>
        </w:rPr>
        <w:t>(VAG 2017)</w:t>
      </w:r>
      <w:r w:rsidR="00BF1FDD">
        <w:t>.</w:t>
      </w:r>
      <w:r w:rsidR="00BF1FDD" w:rsidDel="00BF1FDD">
        <w:t xml:space="preserve"> </w:t>
      </w:r>
    </w:p>
    <w:p w14:paraId="6E218A26" w14:textId="77777777" w:rsidR="001136B6" w:rsidRDefault="001136B6" w:rsidP="001136B6">
      <w:pPr>
        <w:pStyle w:val="BodyText"/>
      </w:pPr>
      <w:r>
        <w:t>Notwithstanding that development strategies and proposals are often contentious, there app</w:t>
      </w:r>
      <w:r w:rsidR="000936BA">
        <w:t>ear to be few consequences for Local G</w:t>
      </w:r>
      <w:r>
        <w:t>overnments that do not ultimately seek to implement State</w:t>
      </w:r>
      <w:r>
        <w:noBreakHyphen/>
        <w:t>level policies.</w:t>
      </w:r>
    </w:p>
    <w:p w14:paraId="6E218A27" w14:textId="77777777" w:rsidR="001136B6" w:rsidRDefault="001136B6" w:rsidP="001136B6">
      <w:pPr>
        <w:pStyle w:val="BodyText"/>
      </w:pPr>
      <w:r>
        <w:t>For example, several councils in Victoria have not met local planning statutory review obligations, with some lagging for as long as seven years</w:t>
      </w:r>
      <w:r w:rsidR="00392384">
        <w:t xml:space="preserve"> </w:t>
      </w:r>
      <w:r w:rsidRPr="004E68B3">
        <w:rPr>
          <w:szCs w:val="24"/>
        </w:rPr>
        <w:t>(VAG</w:t>
      </w:r>
      <w:r w:rsidRPr="00EC2B10">
        <w:rPr>
          <w:szCs w:val="24"/>
        </w:rPr>
        <w:t> 2017)</w:t>
      </w:r>
      <w:r>
        <w:t xml:space="preserve">. While </w:t>
      </w:r>
      <w:r w:rsidRPr="00C67897">
        <w:t>State minister</w:t>
      </w:r>
      <w:r>
        <w:t>s</w:t>
      </w:r>
      <w:r w:rsidRPr="00C67897">
        <w:t xml:space="preserve"> </w:t>
      </w:r>
      <w:r>
        <w:t xml:space="preserve">generally </w:t>
      </w:r>
      <w:r w:rsidRPr="00C67897">
        <w:t xml:space="preserve">can influence local planning schemes by imposing conditions when councils submit </w:t>
      </w:r>
      <w:r>
        <w:t>their plans</w:t>
      </w:r>
      <w:r w:rsidRPr="00C67897">
        <w:t xml:space="preserve"> </w:t>
      </w:r>
      <w:r>
        <w:t xml:space="preserve">or </w:t>
      </w:r>
      <w:r w:rsidRPr="00C67897">
        <w:t>amendments</w:t>
      </w:r>
      <w:r>
        <w:t xml:space="preserve"> to plans for approval</w:t>
      </w:r>
      <w:r w:rsidRPr="00C67897">
        <w:t>, such as changes in height controls or rezoning</w:t>
      </w:r>
      <w:r>
        <w:t>, the effectiveness of this process relies on enforcement</w:t>
      </w:r>
      <w:r w:rsidRPr="00C67897">
        <w:t xml:space="preserve">. </w:t>
      </w:r>
      <w:r>
        <w:t>One legal firm with expertise in urban planning processes reported that local councils in New South Wales do not always apply State conditions, and lack of enforcement is leading to complacency:</w:t>
      </w:r>
    </w:p>
    <w:p w14:paraId="6E218A28" w14:textId="7B2FB75D" w:rsidR="001136B6" w:rsidRPr="00AB6E14" w:rsidRDefault="001136B6" w:rsidP="00F573E5">
      <w:pPr>
        <w:pStyle w:val="Quote"/>
      </w:pPr>
      <w:r w:rsidRPr="00F573E5">
        <w:t>Sometimes local councils respond to ‘soft power’ by pretending to agree, but ensuring efforts are frustrated in the fine detail of plans, policies and approvals. Other times, local councils engage in overt acts of defiance that, in the past, have often gone unanswere</w:t>
      </w:r>
      <w:r w:rsidR="00E22CE6">
        <w:t xml:space="preserve">d by state authorities … </w:t>
      </w:r>
      <w:r w:rsidRPr="00680635">
        <w:t xml:space="preserve">Regretfully, in our experience, gateway determination obligations </w:t>
      </w:r>
      <w:r w:rsidRPr="00373DAE">
        <w:t xml:space="preserve">[State conditions or variations to council proposals to change local planning controls] </w:t>
      </w:r>
      <w:r w:rsidRPr="00AB6E14">
        <w:t>are routinely breached by local councils. A local council is breaking the law if it breaches its obligations under a gateway determination, however it is difficult (if not impossible) to enforce these obligations in the courts. The (past) lack of enforcement means that gateway determination obligations are frequently not taken seriously by local councils. (Gadiel 2016)</w:t>
      </w:r>
    </w:p>
    <w:p w14:paraId="6E218A29" w14:textId="30D40BCA" w:rsidR="001136B6" w:rsidRDefault="001136B6" w:rsidP="001136B6">
      <w:pPr>
        <w:pStyle w:val="BodyText"/>
      </w:pPr>
      <w:r>
        <w:t>M</w:t>
      </w:r>
      <w:r w:rsidRPr="00C67897">
        <w:t xml:space="preserve">ore significant </w:t>
      </w:r>
      <w:r>
        <w:t>interventions by</w:t>
      </w:r>
      <w:r w:rsidRPr="00C67897">
        <w:t xml:space="preserve"> </w:t>
      </w:r>
      <w:r>
        <w:t>S</w:t>
      </w:r>
      <w:r w:rsidRPr="00C67897">
        <w:t>tates</w:t>
      </w:r>
      <w:r w:rsidR="00AB6E14">
        <w:t xml:space="preserve"> </w:t>
      </w:r>
      <w:r w:rsidRPr="00C67897">
        <w:t>— such as calling</w:t>
      </w:r>
      <w:r w:rsidR="000F56E7">
        <w:t xml:space="preserve"> </w:t>
      </w:r>
      <w:r w:rsidRPr="00C67897">
        <w:t>in developments</w:t>
      </w:r>
      <w:r>
        <w:t>,</w:t>
      </w:r>
      <w:r w:rsidRPr="00C67897">
        <w:t xml:space="preserve"> or </w:t>
      </w:r>
      <w:r>
        <w:t xml:space="preserve">substituting a State body </w:t>
      </w:r>
      <w:r w:rsidRPr="00C67897">
        <w:t xml:space="preserve">as the planning authority — </w:t>
      </w:r>
      <w:r>
        <w:t xml:space="preserve">are, understandably, </w:t>
      </w:r>
      <w:r w:rsidRPr="00C67897">
        <w:t xml:space="preserve">not often used </w:t>
      </w:r>
      <w:r w:rsidR="00392384" w:rsidRPr="00392384">
        <w:rPr>
          <w:szCs w:val="24"/>
        </w:rPr>
        <w:t>(Gadiel 2016; PC 2011b)</w:t>
      </w:r>
      <w:r>
        <w:t>. In the first instance, it</w:t>
      </w:r>
      <w:r w:rsidR="00F47494">
        <w:t xml:space="preserve"> would seem sensible for State G</w:t>
      </w:r>
      <w:r>
        <w:t xml:space="preserve">overnments to better engage with local councils, clarify requirements under existing regulations, where needed, and enforce compliance. </w:t>
      </w:r>
    </w:p>
    <w:p w14:paraId="6E218A2A" w14:textId="77777777" w:rsidR="008E6F12" w:rsidRDefault="009D1F74" w:rsidP="008E6F12">
      <w:pPr>
        <w:pStyle w:val="BodyText"/>
      </w:pPr>
      <w:r>
        <w:t xml:space="preserve">Overall, the Commission considers that </w:t>
      </w:r>
      <w:r w:rsidRPr="00302060">
        <w:t xml:space="preserve">State planning policies </w:t>
      </w:r>
      <w:r>
        <w:t xml:space="preserve">should </w:t>
      </w:r>
      <w:r w:rsidRPr="00302060">
        <w:t>provid</w:t>
      </w:r>
      <w:r>
        <w:t>e</w:t>
      </w:r>
      <w:r w:rsidR="00F47494">
        <w:t xml:space="preserve"> clear guidance on how Local G</w:t>
      </w:r>
      <w:r w:rsidRPr="00302060">
        <w:t xml:space="preserve">overnment strategies should be developed, including specification of policy priorities, preferred methods for achieving them, and </w:t>
      </w:r>
      <w:r>
        <w:t xml:space="preserve">that </w:t>
      </w:r>
      <w:r w:rsidRPr="00302060">
        <w:t xml:space="preserve">make clear the relevance of State planning policies to which local council must have regard. </w:t>
      </w:r>
      <w:r w:rsidR="008E6F12">
        <w:t>Guidance should</w:t>
      </w:r>
      <w:r w:rsidR="00F676C9">
        <w:t xml:space="preserve"> include a</w:t>
      </w:r>
      <w:r w:rsidR="003054FD">
        <w:t xml:space="preserve"> clear hierarchy for State and l</w:t>
      </w:r>
      <w:r w:rsidR="008E6F12">
        <w:t xml:space="preserve">ocal plans. </w:t>
      </w:r>
    </w:p>
    <w:p w14:paraId="6E218A2B" w14:textId="77777777" w:rsidR="009D1F74" w:rsidRDefault="009D1F74" w:rsidP="009D1F74">
      <w:pPr>
        <w:pStyle w:val="BodyText"/>
      </w:pPr>
      <w:r>
        <w:t xml:space="preserve">This would help to </w:t>
      </w:r>
      <w:r w:rsidRPr="00302060">
        <w:t>ensure that State policy goals and standards</w:t>
      </w:r>
      <w:r>
        <w:t xml:space="preserve"> are delivered</w:t>
      </w:r>
      <w:r w:rsidRPr="00302060">
        <w:t xml:space="preserve">, reduce the time and the degree of contention involved in setting local plans, and provide greater </w:t>
      </w:r>
      <w:r>
        <w:t>regulatory</w:t>
      </w:r>
      <w:r w:rsidRPr="00302060">
        <w:t xml:space="preserve"> certainty to development proponents. </w:t>
      </w:r>
      <w:r w:rsidR="00F47494">
        <w:t>Clearer guidance to Local G</w:t>
      </w:r>
      <w:r>
        <w:t xml:space="preserve">overnments on States’ strategic plans and the application of planning policies will also help to ensure better accountability for decisions at each level of government. In turn, this will facilitate the more efficient resolution of legitimate community concerns and transparent decision making. </w:t>
      </w:r>
    </w:p>
    <w:p w14:paraId="6E218A2C" w14:textId="77777777" w:rsidR="00647D92" w:rsidRPr="007C72B9" w:rsidRDefault="00647D92" w:rsidP="003F6D0E">
      <w:pPr>
        <w:pStyle w:val="Heading4"/>
      </w:pPr>
      <w:r>
        <w:t xml:space="preserve">Linking of local plans to changes in State policies </w:t>
      </w:r>
    </w:p>
    <w:p w14:paraId="6E218A2D" w14:textId="77777777" w:rsidR="00647D92" w:rsidRDefault="00647D92" w:rsidP="00647D92">
      <w:pPr>
        <w:pStyle w:val="BodyText"/>
      </w:pPr>
      <w:r>
        <w:t xml:space="preserve">In </w:t>
      </w:r>
      <w:r w:rsidR="004C4BB4">
        <w:t xml:space="preserve">New South Wales, </w:t>
      </w:r>
      <w:r w:rsidR="00FD043F">
        <w:t xml:space="preserve">Victoria, </w:t>
      </w:r>
      <w:r w:rsidR="00822E5B">
        <w:t>Queensland</w:t>
      </w:r>
      <w:r w:rsidR="00F845F4">
        <w:t xml:space="preserve"> and</w:t>
      </w:r>
      <w:r w:rsidR="00FA67E3">
        <w:t xml:space="preserve"> </w:t>
      </w:r>
      <w:r w:rsidR="004C4BB4">
        <w:t>Western Australia</w:t>
      </w:r>
      <w:r w:rsidRPr="00C67897">
        <w:t>, statutory review periods for local plans are not linked to major State policy changes. At best, local</w:t>
      </w:r>
      <w:r>
        <w:t xml:space="preserve"> planning schemes are required to be reviewed every four to five years. As part of its ongoing reforms, N</w:t>
      </w:r>
      <w:r w:rsidR="00EE3583">
        <w:t xml:space="preserve">ew </w:t>
      </w:r>
      <w:r>
        <w:t>S</w:t>
      </w:r>
      <w:r w:rsidR="00EE3583">
        <w:t xml:space="preserve">outh </w:t>
      </w:r>
      <w:r>
        <w:t>W</w:t>
      </w:r>
      <w:r w:rsidR="00EE3583">
        <w:t>ales</w:t>
      </w:r>
      <w:r>
        <w:t xml:space="preserve"> has proposed a legislative requirement that local councils check their local plans every five years to determine if they are still appropriate and fit for purpose </w:t>
      </w:r>
      <w:r w:rsidR="006F3389" w:rsidRPr="006F3389">
        <w:rPr>
          <w:szCs w:val="24"/>
        </w:rPr>
        <w:t>(NSWDPE </w:t>
      </w:r>
      <w:r w:rsidR="006F3389" w:rsidRPr="00A82BAB">
        <w:rPr>
          <w:szCs w:val="24"/>
        </w:rPr>
        <w:t>2017a)</w:t>
      </w:r>
      <w:r w:rsidR="005C3D31">
        <w:t>.</w:t>
      </w:r>
    </w:p>
    <w:p w14:paraId="6E218A2E" w14:textId="77777777" w:rsidR="000D0EB5" w:rsidRPr="00EF3699" w:rsidRDefault="000D0EB5" w:rsidP="00D31AC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0D0EB5" w:rsidRPr="00EB48FD" w14:paraId="6E218A33" w14:textId="77777777" w:rsidTr="00D31AC3">
        <w:trPr>
          <w:cantSplit/>
          <w:tblHeader/>
        </w:trPr>
        <w:tc>
          <w:tcPr>
            <w:tcW w:w="5000" w:type="pct"/>
            <w:tcBorders>
              <w:top w:val="single" w:sz="4" w:space="0" w:color="265A9A" w:themeColor="accent2"/>
              <w:left w:val="nil"/>
              <w:bottom w:val="single" w:sz="4" w:space="0" w:color="265A9A" w:themeColor="accent2"/>
              <w:right w:val="nil"/>
            </w:tcBorders>
            <w:shd w:val="clear" w:color="auto" w:fill="E1EBF5"/>
            <w:tcMar>
              <w:left w:w="170" w:type="dxa"/>
              <w:right w:w="170" w:type="dxa"/>
            </w:tcMar>
          </w:tcPr>
          <w:p w14:paraId="6E218A2F" w14:textId="5D4F31F4" w:rsidR="000D0EB5" w:rsidRPr="00D31AC3" w:rsidRDefault="0085299E" w:rsidP="00BE601E">
            <w:pPr>
              <w:pStyle w:val="FindingTitle"/>
              <w:spacing w:before="120" w:line="280" w:lineRule="exact"/>
            </w:pPr>
            <w:r>
              <w:t>conclusion </w:t>
            </w:r>
            <w:r w:rsidR="00771915">
              <w:t>10.</w:t>
            </w:r>
            <w:r w:rsidR="00A74C66" w:rsidRPr="00D31AC3">
              <w:t>2</w:t>
            </w:r>
          </w:p>
          <w:p w14:paraId="6E218A30" w14:textId="77777777" w:rsidR="00AA2F8D" w:rsidRPr="00D31AC3" w:rsidRDefault="0082472B" w:rsidP="00AD1B16">
            <w:pPr>
              <w:pStyle w:val="BodyText"/>
              <w:spacing w:before="60" w:line="260" w:lineRule="atLeast"/>
              <w:rPr>
                <w:rFonts w:ascii="Arial" w:hAnsi="Arial" w:cs="Arial"/>
                <w:sz w:val="20"/>
              </w:rPr>
            </w:pPr>
            <w:r w:rsidRPr="00D31AC3">
              <w:rPr>
                <w:rFonts w:ascii="Arial" w:hAnsi="Arial" w:cs="Arial"/>
                <w:sz w:val="20"/>
              </w:rPr>
              <w:t xml:space="preserve">The viability of new growth areas depends on, among other things, </w:t>
            </w:r>
            <w:r w:rsidR="004A025D" w:rsidRPr="00D31AC3">
              <w:rPr>
                <w:rFonts w:ascii="Arial" w:hAnsi="Arial" w:cs="Arial"/>
                <w:sz w:val="20"/>
              </w:rPr>
              <w:t>provision in growth strategies for the development and delivery of infrastructure and public amenities</w:t>
            </w:r>
            <w:r w:rsidR="00AA2F8D" w:rsidRPr="00D31AC3">
              <w:rPr>
                <w:rFonts w:ascii="Arial" w:hAnsi="Arial" w:cs="Arial"/>
                <w:sz w:val="20"/>
              </w:rPr>
              <w:t xml:space="preserve">. </w:t>
            </w:r>
          </w:p>
          <w:p w14:paraId="6E218A31" w14:textId="77777777" w:rsidR="000F56E7" w:rsidRPr="00D31AC3" w:rsidRDefault="009C7FE6" w:rsidP="00AD1B16">
            <w:pPr>
              <w:pStyle w:val="BodyText"/>
              <w:spacing w:before="60" w:line="260" w:lineRule="atLeast"/>
              <w:rPr>
                <w:rFonts w:ascii="Arial" w:hAnsi="Arial" w:cs="Arial"/>
                <w:sz w:val="20"/>
              </w:rPr>
            </w:pPr>
            <w:r w:rsidRPr="00D31AC3">
              <w:rPr>
                <w:rFonts w:ascii="Arial" w:hAnsi="Arial" w:cs="Arial"/>
                <w:sz w:val="20"/>
              </w:rPr>
              <w:t>The effective implementation of growth strategies</w:t>
            </w:r>
            <w:r w:rsidR="0082472B" w:rsidRPr="00D31AC3">
              <w:rPr>
                <w:rFonts w:ascii="Arial" w:hAnsi="Arial" w:cs="Arial"/>
                <w:sz w:val="20"/>
              </w:rPr>
              <w:t>, especially in established urban areas,</w:t>
            </w:r>
            <w:r w:rsidRPr="00D31AC3">
              <w:rPr>
                <w:rFonts w:ascii="Arial" w:hAnsi="Arial" w:cs="Arial"/>
                <w:sz w:val="20"/>
              </w:rPr>
              <w:t xml:space="preserve"> relies on the coherence of planning st</w:t>
            </w:r>
            <w:r w:rsidR="003054FD" w:rsidRPr="00D31AC3">
              <w:rPr>
                <w:rFonts w:ascii="Arial" w:hAnsi="Arial" w:cs="Arial"/>
                <w:sz w:val="20"/>
              </w:rPr>
              <w:t>rategies employed at State and Local G</w:t>
            </w:r>
            <w:r w:rsidRPr="00D31AC3">
              <w:rPr>
                <w:rFonts w:ascii="Arial" w:hAnsi="Arial" w:cs="Arial"/>
                <w:sz w:val="20"/>
              </w:rPr>
              <w:t xml:space="preserve">overnment levels. </w:t>
            </w:r>
          </w:p>
          <w:p w14:paraId="6E218A32" w14:textId="77777777" w:rsidR="00CC6948" w:rsidRPr="00D31AC3" w:rsidRDefault="009C7FE6" w:rsidP="00BE601E">
            <w:pPr>
              <w:pStyle w:val="BodyText"/>
              <w:spacing w:before="120" w:line="280" w:lineRule="exact"/>
              <w:rPr>
                <w:rFonts w:ascii="Arial" w:hAnsi="Arial" w:cs="Arial"/>
                <w:sz w:val="20"/>
              </w:rPr>
            </w:pPr>
            <w:r w:rsidRPr="00D31AC3">
              <w:rPr>
                <w:rFonts w:ascii="Arial" w:hAnsi="Arial" w:cs="Arial"/>
                <w:sz w:val="20"/>
              </w:rPr>
              <w:t xml:space="preserve">Particular causes for concern </w:t>
            </w:r>
            <w:r w:rsidR="00782588" w:rsidRPr="00D31AC3">
              <w:rPr>
                <w:rFonts w:ascii="Arial" w:hAnsi="Arial" w:cs="Arial"/>
                <w:sz w:val="20"/>
              </w:rPr>
              <w:t>are</w:t>
            </w:r>
            <w:r w:rsidRPr="00D31AC3">
              <w:rPr>
                <w:rFonts w:ascii="Arial" w:hAnsi="Arial" w:cs="Arial"/>
                <w:sz w:val="20"/>
              </w:rPr>
              <w:t xml:space="preserve"> </w:t>
            </w:r>
            <w:r w:rsidR="00CC6948" w:rsidRPr="00D31AC3">
              <w:rPr>
                <w:rFonts w:ascii="Arial" w:hAnsi="Arial" w:cs="Arial"/>
                <w:sz w:val="20"/>
              </w:rPr>
              <w:t>avoidable conflicts</w:t>
            </w:r>
            <w:r w:rsidRPr="00D31AC3">
              <w:rPr>
                <w:rFonts w:ascii="Arial" w:hAnsi="Arial" w:cs="Arial"/>
                <w:sz w:val="20"/>
              </w:rPr>
              <w:t xml:space="preserve"> between governments on their development objectives,</w:t>
            </w:r>
            <w:r w:rsidR="00CC6948" w:rsidRPr="00D31AC3">
              <w:rPr>
                <w:rFonts w:ascii="Arial" w:hAnsi="Arial" w:cs="Arial"/>
                <w:sz w:val="20"/>
              </w:rPr>
              <w:t xml:space="preserve"> which arise</w:t>
            </w:r>
            <w:r w:rsidR="00782588" w:rsidRPr="00D31AC3">
              <w:rPr>
                <w:rFonts w:ascii="Arial" w:hAnsi="Arial" w:cs="Arial"/>
                <w:sz w:val="20"/>
              </w:rPr>
              <w:t xml:space="preserve"> partly due to lack of mutual consultation</w:t>
            </w:r>
            <w:r w:rsidR="00F179C9" w:rsidRPr="00D31AC3">
              <w:rPr>
                <w:rFonts w:ascii="Arial" w:hAnsi="Arial" w:cs="Arial"/>
                <w:sz w:val="20"/>
              </w:rPr>
              <w:t xml:space="preserve"> and</w:t>
            </w:r>
            <w:r w:rsidR="00782588" w:rsidRPr="00D31AC3">
              <w:rPr>
                <w:rFonts w:ascii="Arial" w:hAnsi="Arial" w:cs="Arial"/>
                <w:sz w:val="20"/>
              </w:rPr>
              <w:t xml:space="preserve"> </w:t>
            </w:r>
            <w:r w:rsidRPr="00D31AC3">
              <w:rPr>
                <w:rFonts w:ascii="Arial" w:hAnsi="Arial" w:cs="Arial"/>
                <w:sz w:val="20"/>
              </w:rPr>
              <w:t xml:space="preserve">the </w:t>
            </w:r>
            <w:r w:rsidR="0082472B" w:rsidRPr="00D31AC3">
              <w:rPr>
                <w:rFonts w:ascii="Arial" w:hAnsi="Arial" w:cs="Arial"/>
                <w:sz w:val="20"/>
              </w:rPr>
              <w:t>lack of</w:t>
            </w:r>
            <w:r w:rsidRPr="00D31AC3">
              <w:rPr>
                <w:rFonts w:ascii="Arial" w:hAnsi="Arial" w:cs="Arial"/>
                <w:sz w:val="20"/>
              </w:rPr>
              <w:t xml:space="preserve"> guidance from States on the application of </w:t>
            </w:r>
            <w:r w:rsidR="002A0A4E" w:rsidRPr="00D31AC3">
              <w:rPr>
                <w:rFonts w:ascii="Arial" w:hAnsi="Arial" w:cs="Arial"/>
                <w:sz w:val="20"/>
              </w:rPr>
              <w:t>their</w:t>
            </w:r>
            <w:r w:rsidRPr="00D31AC3">
              <w:rPr>
                <w:rFonts w:ascii="Arial" w:hAnsi="Arial" w:cs="Arial"/>
                <w:sz w:val="20"/>
              </w:rPr>
              <w:t xml:space="preserve"> </w:t>
            </w:r>
            <w:r w:rsidR="00782588" w:rsidRPr="00D31AC3">
              <w:rPr>
                <w:rFonts w:ascii="Arial" w:hAnsi="Arial" w:cs="Arial"/>
                <w:sz w:val="20"/>
              </w:rPr>
              <w:t xml:space="preserve">specific </w:t>
            </w:r>
            <w:r w:rsidRPr="00D31AC3">
              <w:rPr>
                <w:rFonts w:ascii="Arial" w:hAnsi="Arial" w:cs="Arial"/>
                <w:sz w:val="20"/>
              </w:rPr>
              <w:t>policies</w:t>
            </w:r>
            <w:r w:rsidR="00782588" w:rsidRPr="00D31AC3">
              <w:rPr>
                <w:rFonts w:ascii="Arial" w:hAnsi="Arial" w:cs="Arial"/>
                <w:sz w:val="20"/>
              </w:rPr>
              <w:t xml:space="preserve">. These create risks that </w:t>
            </w:r>
            <w:r w:rsidR="00890ECD" w:rsidRPr="00D31AC3">
              <w:rPr>
                <w:rFonts w:ascii="Arial" w:hAnsi="Arial" w:cs="Arial"/>
                <w:sz w:val="20"/>
              </w:rPr>
              <w:t>development</w:t>
            </w:r>
            <w:r w:rsidR="00782588" w:rsidRPr="00D31AC3">
              <w:rPr>
                <w:rFonts w:ascii="Arial" w:hAnsi="Arial" w:cs="Arial"/>
                <w:sz w:val="20"/>
              </w:rPr>
              <w:t xml:space="preserve"> strategies will not be realised, or </w:t>
            </w:r>
            <w:r w:rsidR="0082472B" w:rsidRPr="00D31AC3">
              <w:rPr>
                <w:rFonts w:ascii="Arial" w:hAnsi="Arial" w:cs="Arial"/>
                <w:sz w:val="20"/>
              </w:rPr>
              <w:t xml:space="preserve">come at a </w:t>
            </w:r>
            <w:r w:rsidR="00AD1B16" w:rsidRPr="00D31AC3">
              <w:rPr>
                <w:rFonts w:ascii="Arial" w:hAnsi="Arial" w:cs="Arial"/>
                <w:sz w:val="20"/>
              </w:rPr>
              <w:t xml:space="preserve">significantly </w:t>
            </w:r>
            <w:r w:rsidR="00782588" w:rsidRPr="00D31AC3">
              <w:rPr>
                <w:rFonts w:ascii="Arial" w:hAnsi="Arial" w:cs="Arial"/>
                <w:sz w:val="20"/>
              </w:rPr>
              <w:t>higher cost</w:t>
            </w:r>
            <w:r w:rsidR="003C2D3D" w:rsidRPr="00D31AC3">
              <w:rPr>
                <w:rFonts w:ascii="Arial" w:hAnsi="Arial" w:cs="Arial"/>
                <w:sz w:val="20"/>
              </w:rPr>
              <w:t xml:space="preserve">. </w:t>
            </w:r>
          </w:p>
        </w:tc>
      </w:tr>
      <w:tr w:rsidR="000D0EB5" w14:paraId="6E218A39" w14:textId="77777777" w:rsidTr="00D31AC3">
        <w:trPr>
          <w:cantSplit/>
          <w:tblHeader/>
        </w:trPr>
        <w:tc>
          <w:tcPr>
            <w:tcW w:w="5000" w:type="pct"/>
            <w:tcBorders>
              <w:top w:val="single" w:sz="4" w:space="0" w:color="265A9A" w:themeColor="accent2"/>
              <w:left w:val="nil"/>
              <w:bottom w:val="nil"/>
              <w:right w:val="nil"/>
            </w:tcBorders>
            <w:shd w:val="clear" w:color="auto" w:fill="F6F9FC"/>
            <w:tcMar>
              <w:left w:w="170" w:type="dxa"/>
              <w:right w:w="170" w:type="dxa"/>
            </w:tcMar>
          </w:tcPr>
          <w:p w14:paraId="6E218A34" w14:textId="77777777" w:rsidR="004A025D" w:rsidRPr="00D31AC3" w:rsidRDefault="00782588" w:rsidP="00BE601E">
            <w:pPr>
              <w:pStyle w:val="BodyText"/>
              <w:spacing w:before="120" w:line="280" w:lineRule="exact"/>
              <w:rPr>
                <w:rFonts w:asciiTheme="minorHAnsi" w:hAnsiTheme="minorHAnsi" w:cstheme="minorHAnsi"/>
                <w:caps/>
                <w:sz w:val="20"/>
              </w:rPr>
            </w:pPr>
            <w:r w:rsidRPr="00D31AC3">
              <w:rPr>
                <w:rFonts w:asciiTheme="minorHAnsi" w:hAnsiTheme="minorHAnsi" w:cstheme="minorHAnsi"/>
                <w:caps/>
                <w:sz w:val="20"/>
              </w:rPr>
              <w:t xml:space="preserve">IMPROVEMENTS </w:t>
            </w:r>
            <w:r w:rsidR="000D0EB5" w:rsidRPr="00D31AC3">
              <w:rPr>
                <w:rFonts w:asciiTheme="minorHAnsi" w:hAnsiTheme="minorHAnsi" w:cstheme="minorHAnsi"/>
                <w:caps/>
                <w:sz w:val="20"/>
              </w:rPr>
              <w:t>would involve:</w:t>
            </w:r>
          </w:p>
          <w:p w14:paraId="6E218A35" w14:textId="7F344C5E" w:rsidR="008F5998" w:rsidRPr="00D31AC3" w:rsidRDefault="00675138" w:rsidP="00BE601E">
            <w:pPr>
              <w:pStyle w:val="FindingBullet"/>
              <w:spacing w:before="120" w:line="280" w:lineRule="exact"/>
              <w:rPr>
                <w:rFonts w:asciiTheme="minorHAnsi" w:hAnsiTheme="minorHAnsi" w:cstheme="minorHAnsi"/>
                <w:sz w:val="20"/>
              </w:rPr>
            </w:pPr>
            <w:r>
              <w:rPr>
                <w:rFonts w:asciiTheme="minorHAnsi" w:hAnsiTheme="minorHAnsi" w:cstheme="minorHAnsi"/>
                <w:sz w:val="20"/>
              </w:rPr>
              <w:t>b</w:t>
            </w:r>
            <w:r w:rsidR="0046789E" w:rsidRPr="00D31AC3">
              <w:rPr>
                <w:rFonts w:asciiTheme="minorHAnsi" w:hAnsiTheme="minorHAnsi" w:cstheme="minorHAnsi"/>
                <w:sz w:val="20"/>
              </w:rPr>
              <w:t xml:space="preserve">oth </w:t>
            </w:r>
            <w:r w:rsidR="008F5998" w:rsidRPr="00D31AC3">
              <w:rPr>
                <w:rFonts w:asciiTheme="minorHAnsi" w:hAnsiTheme="minorHAnsi" w:cstheme="minorHAnsi"/>
                <w:sz w:val="20"/>
              </w:rPr>
              <w:t xml:space="preserve">State </w:t>
            </w:r>
            <w:r w:rsidR="0046789E" w:rsidRPr="00D31AC3">
              <w:rPr>
                <w:rFonts w:asciiTheme="minorHAnsi" w:hAnsiTheme="minorHAnsi" w:cstheme="minorHAnsi"/>
                <w:sz w:val="20"/>
              </w:rPr>
              <w:t xml:space="preserve">and Local </w:t>
            </w:r>
            <w:r w:rsidR="008F5998" w:rsidRPr="00D31AC3">
              <w:rPr>
                <w:rFonts w:asciiTheme="minorHAnsi" w:hAnsiTheme="minorHAnsi" w:cstheme="minorHAnsi"/>
                <w:sz w:val="20"/>
              </w:rPr>
              <w:t xml:space="preserve">Governments </w:t>
            </w:r>
            <w:r w:rsidR="0046789E" w:rsidRPr="00D31AC3">
              <w:rPr>
                <w:rFonts w:asciiTheme="minorHAnsi" w:hAnsiTheme="minorHAnsi" w:cstheme="minorHAnsi"/>
                <w:sz w:val="20"/>
              </w:rPr>
              <w:t xml:space="preserve">genuinely </w:t>
            </w:r>
            <w:r w:rsidR="008F5998" w:rsidRPr="00D31AC3">
              <w:rPr>
                <w:rFonts w:asciiTheme="minorHAnsi" w:hAnsiTheme="minorHAnsi" w:cstheme="minorHAnsi"/>
                <w:sz w:val="20"/>
              </w:rPr>
              <w:t xml:space="preserve">engaging with </w:t>
            </w:r>
            <w:r w:rsidR="0046789E" w:rsidRPr="00D31AC3">
              <w:rPr>
                <w:rFonts w:asciiTheme="minorHAnsi" w:hAnsiTheme="minorHAnsi" w:cstheme="minorHAnsi"/>
                <w:sz w:val="20"/>
              </w:rPr>
              <w:t>each other</w:t>
            </w:r>
            <w:r w:rsidR="008F5998" w:rsidRPr="00D31AC3">
              <w:rPr>
                <w:rFonts w:asciiTheme="minorHAnsi" w:hAnsiTheme="minorHAnsi" w:cstheme="minorHAnsi"/>
                <w:sz w:val="20"/>
              </w:rPr>
              <w:t xml:space="preserve"> and </w:t>
            </w:r>
            <w:r w:rsidR="008E348F" w:rsidRPr="00D31AC3">
              <w:rPr>
                <w:rFonts w:asciiTheme="minorHAnsi" w:hAnsiTheme="minorHAnsi" w:cstheme="minorHAnsi"/>
                <w:sz w:val="20"/>
              </w:rPr>
              <w:t xml:space="preserve">local </w:t>
            </w:r>
            <w:r w:rsidR="008F5998" w:rsidRPr="00D31AC3">
              <w:rPr>
                <w:rFonts w:asciiTheme="minorHAnsi" w:hAnsiTheme="minorHAnsi" w:cstheme="minorHAnsi"/>
                <w:sz w:val="20"/>
              </w:rPr>
              <w:t xml:space="preserve">communities on the alternatives and implications for meeting development goals, and the different means by which impacts can be managed </w:t>
            </w:r>
          </w:p>
          <w:p w14:paraId="6E218A36" w14:textId="1462A637" w:rsidR="008F5998" w:rsidRPr="00D31AC3" w:rsidRDefault="008F5998" w:rsidP="008F5998">
            <w:pPr>
              <w:pStyle w:val="FindingBullet"/>
              <w:rPr>
                <w:rFonts w:asciiTheme="minorHAnsi" w:hAnsiTheme="minorHAnsi" w:cstheme="minorHAnsi"/>
                <w:sz w:val="20"/>
              </w:rPr>
            </w:pPr>
            <w:r w:rsidRPr="00D31AC3">
              <w:rPr>
                <w:rFonts w:asciiTheme="minorHAnsi" w:hAnsiTheme="minorHAnsi" w:cstheme="minorHAnsi"/>
                <w:sz w:val="20"/>
              </w:rPr>
              <w:t>State planning bodies p</w:t>
            </w:r>
            <w:r w:rsidR="00F47494" w:rsidRPr="00D31AC3">
              <w:rPr>
                <w:rFonts w:asciiTheme="minorHAnsi" w:hAnsiTheme="minorHAnsi" w:cstheme="minorHAnsi"/>
                <w:sz w:val="20"/>
              </w:rPr>
              <w:t>roviding clear guidance on how Local G</w:t>
            </w:r>
            <w:r w:rsidRPr="00D31AC3">
              <w:rPr>
                <w:rFonts w:asciiTheme="minorHAnsi" w:hAnsiTheme="minorHAnsi" w:cstheme="minorHAnsi"/>
                <w:sz w:val="20"/>
              </w:rPr>
              <w:t xml:space="preserve">overnment strategies should be developed, such as through specification of policy priorities, preferred methods for achieving them, clarity on the relevance of State planning policies to which local council must have regard, and the accountability mechanisms applicable in instances of noncompliance </w:t>
            </w:r>
          </w:p>
          <w:p w14:paraId="6E218A37" w14:textId="7248AB5D" w:rsidR="008E348F" w:rsidRPr="00D31AC3" w:rsidRDefault="00675138" w:rsidP="008E348F">
            <w:pPr>
              <w:pStyle w:val="FindingBullet"/>
              <w:rPr>
                <w:rFonts w:asciiTheme="minorHAnsi" w:hAnsiTheme="minorHAnsi" w:cstheme="minorHAnsi"/>
                <w:sz w:val="20"/>
              </w:rPr>
            </w:pPr>
            <w:r>
              <w:rPr>
                <w:rFonts w:asciiTheme="minorHAnsi" w:hAnsiTheme="minorHAnsi" w:cstheme="minorHAnsi"/>
                <w:sz w:val="20"/>
              </w:rPr>
              <w:t>t</w:t>
            </w:r>
            <w:r w:rsidR="008E348F" w:rsidRPr="00D31AC3">
              <w:rPr>
                <w:rFonts w:asciiTheme="minorHAnsi" w:hAnsiTheme="minorHAnsi" w:cstheme="minorHAnsi"/>
                <w:sz w:val="20"/>
              </w:rPr>
              <w:t>he establis</w:t>
            </w:r>
            <w:r w:rsidR="004403D7" w:rsidRPr="00D31AC3">
              <w:rPr>
                <w:rFonts w:asciiTheme="minorHAnsi" w:hAnsiTheme="minorHAnsi" w:cstheme="minorHAnsi"/>
                <w:sz w:val="20"/>
              </w:rPr>
              <w:t>hment of a clear hierarchy for State and L</w:t>
            </w:r>
            <w:r w:rsidR="00E22CE6">
              <w:rPr>
                <w:rFonts w:asciiTheme="minorHAnsi" w:hAnsiTheme="minorHAnsi" w:cstheme="minorHAnsi"/>
                <w:sz w:val="20"/>
              </w:rPr>
              <w:t xml:space="preserve">ocal plans </w:t>
            </w:r>
          </w:p>
          <w:p w14:paraId="6E218A38" w14:textId="679AB066" w:rsidR="008F5998" w:rsidRPr="00D31AC3" w:rsidRDefault="00675138" w:rsidP="008F5998">
            <w:pPr>
              <w:pStyle w:val="FindingBullet"/>
              <w:rPr>
                <w:rFonts w:asciiTheme="minorHAnsi" w:hAnsiTheme="minorHAnsi" w:cstheme="minorHAnsi"/>
                <w:sz w:val="20"/>
              </w:rPr>
            </w:pPr>
            <w:r>
              <w:rPr>
                <w:rFonts w:asciiTheme="minorHAnsi" w:hAnsiTheme="minorHAnsi" w:cstheme="minorHAnsi"/>
                <w:sz w:val="20"/>
              </w:rPr>
              <w:t>g</w:t>
            </w:r>
            <w:r w:rsidR="008F5998" w:rsidRPr="00D31AC3">
              <w:rPr>
                <w:rFonts w:asciiTheme="minorHAnsi" w:hAnsiTheme="minorHAnsi" w:cstheme="minorHAnsi"/>
                <w:sz w:val="20"/>
              </w:rPr>
              <w:t>overnments ensuring adequate provisioning in growth strategies for infrastructure and public amenities, such as public recreational and ‘green’ space, given that these features are often hard to retrofit.</w:t>
            </w:r>
          </w:p>
        </w:tc>
      </w:tr>
      <w:tr w:rsidR="000D0EB5" w14:paraId="6E218A3B" w14:textId="77777777" w:rsidTr="00D31AC3">
        <w:trPr>
          <w:cantSplit/>
          <w:tblHeader/>
        </w:trPr>
        <w:tc>
          <w:tcPr>
            <w:tcW w:w="5000" w:type="pct"/>
            <w:tcBorders>
              <w:top w:val="nil"/>
              <w:left w:val="nil"/>
              <w:bottom w:val="single" w:sz="4" w:space="0" w:color="265A9A" w:themeColor="accent2"/>
              <w:right w:val="nil"/>
            </w:tcBorders>
            <w:shd w:val="clear" w:color="auto" w:fill="F6F9FC"/>
            <w:tcMar>
              <w:left w:w="170" w:type="dxa"/>
              <w:right w:w="170" w:type="dxa"/>
            </w:tcMar>
          </w:tcPr>
          <w:p w14:paraId="6E218A3A" w14:textId="77777777" w:rsidR="000D0EB5" w:rsidRPr="00D31AC3" w:rsidRDefault="000D0EB5" w:rsidP="00D31AC3">
            <w:pPr>
              <w:pStyle w:val="Space"/>
              <w:keepLines/>
            </w:pPr>
          </w:p>
        </w:tc>
      </w:tr>
      <w:tr w:rsidR="000D0EB5" w:rsidRPr="000863A5" w14:paraId="6E218A3D" w14:textId="77777777" w:rsidTr="00D31AC3">
        <w:trPr>
          <w:cantSplit/>
          <w:tblHeader/>
        </w:trPr>
        <w:tc>
          <w:tcPr>
            <w:tcW w:w="5000" w:type="pct"/>
            <w:tcBorders>
              <w:top w:val="single" w:sz="4" w:space="0" w:color="265A9A" w:themeColor="accent2"/>
              <w:left w:val="nil"/>
              <w:bottom w:val="nil"/>
              <w:right w:val="nil"/>
            </w:tcBorders>
            <w:tcMar>
              <w:left w:w="170" w:type="dxa"/>
              <w:right w:w="170" w:type="dxa"/>
            </w:tcMar>
          </w:tcPr>
          <w:p w14:paraId="6E218A3C" w14:textId="77777777" w:rsidR="000D0EB5" w:rsidRPr="00626D32" w:rsidRDefault="000D0EB5" w:rsidP="0095054B">
            <w:pPr>
              <w:pStyle w:val="BoxSpaceBelow"/>
              <w:keepLines/>
            </w:pPr>
          </w:p>
        </w:tc>
      </w:tr>
    </w:tbl>
    <w:p w14:paraId="6E218A3E" w14:textId="77777777" w:rsidR="00C70D16" w:rsidRDefault="000E7D79" w:rsidP="00424FBA">
      <w:pPr>
        <w:pStyle w:val="Heading2"/>
      </w:pPr>
      <w:bookmarkStart w:id="18" w:name="_Toc488940559"/>
      <w:bookmarkStart w:id="19" w:name="_Toc489025326"/>
      <w:bookmarkStart w:id="20" w:name="_Toc489343256"/>
      <w:r>
        <w:t>4</w:t>
      </w:r>
      <w:r>
        <w:tab/>
      </w:r>
      <w:r w:rsidR="00C70D16">
        <w:t>Streamlining development assessment systems</w:t>
      </w:r>
      <w:bookmarkEnd w:id="18"/>
      <w:bookmarkEnd w:id="19"/>
      <w:bookmarkEnd w:id="20"/>
    </w:p>
    <w:p w14:paraId="6E218A3F" w14:textId="0A46A991" w:rsidR="0080140C" w:rsidRDefault="00EF3699" w:rsidP="00C70D16">
      <w:pPr>
        <w:pStyle w:val="BodyText"/>
      </w:pPr>
      <w:r>
        <w:t>The leading practice model for development assessments</w:t>
      </w:r>
      <w:r w:rsidR="00523625">
        <w:t xml:space="preserve"> (DAs)</w:t>
      </w:r>
      <w:r>
        <w:t xml:space="preserve">, developed by a </w:t>
      </w:r>
      <w:r w:rsidR="009C544E">
        <w:t xml:space="preserve">group </w:t>
      </w:r>
      <w:r>
        <w:t>comprising</w:t>
      </w:r>
      <w:r w:rsidR="009C544E">
        <w:t xml:space="preserve"> </w:t>
      </w:r>
      <w:r w:rsidR="009C544E" w:rsidRPr="009C544E">
        <w:t>representatives from all levels of government and industry</w:t>
      </w:r>
      <w:r>
        <w:t xml:space="preserve"> (the Development Assessment Forum) </w:t>
      </w:r>
      <w:r w:rsidR="00C70D16">
        <w:t>in 2005</w:t>
      </w:r>
      <w:r w:rsidR="00761A61">
        <w:t>,</w:t>
      </w:r>
      <w:r w:rsidR="00927681">
        <w:t xml:space="preserve"> is</w:t>
      </w:r>
      <w:r w:rsidR="00C70D16">
        <w:t xml:space="preserve"> </w:t>
      </w:r>
      <w:r w:rsidR="0082472B">
        <w:t xml:space="preserve">based on the notion </w:t>
      </w:r>
      <w:r w:rsidR="00761A61">
        <w:t>that the degree of scrutiny</w:t>
      </w:r>
      <w:r w:rsidR="00927681">
        <w:t xml:space="preserve"> of applications</w:t>
      </w:r>
      <w:r w:rsidR="00761A61">
        <w:t xml:space="preserve"> should reflect the level of risk </w:t>
      </w:r>
      <w:r w:rsidR="00927681">
        <w:t>the development poses</w:t>
      </w:r>
      <w:r w:rsidR="00761A61">
        <w:t>.</w:t>
      </w:r>
      <w:r w:rsidR="003D0A92" w:rsidRPr="0061724D">
        <w:rPr>
          <w:rStyle w:val="FootnoteReference"/>
        </w:rPr>
        <w:footnoteReference w:id="4"/>
      </w:r>
      <w:r w:rsidR="00761A61">
        <w:t xml:space="preserve"> </w:t>
      </w:r>
    </w:p>
    <w:p w14:paraId="6E218A40" w14:textId="13F92166" w:rsidR="00C70D16" w:rsidRDefault="00761A61" w:rsidP="00C70D16">
      <w:pPr>
        <w:pStyle w:val="BodyText"/>
      </w:pPr>
      <w:r>
        <w:t>The model provides for categorisation of d</w:t>
      </w:r>
      <w:r w:rsidR="00BB2CC9">
        <w:t xml:space="preserve">evelopment applications into assessment ‘tracks’ that correspond to the level of </w:t>
      </w:r>
      <w:r w:rsidR="008166C2">
        <w:t xml:space="preserve">impact, hence </w:t>
      </w:r>
      <w:r w:rsidR="00BB2CC9">
        <w:t>assessment required</w:t>
      </w:r>
      <w:r w:rsidR="008166C2">
        <w:t>,</w:t>
      </w:r>
      <w:r w:rsidR="00BB2CC9">
        <w:t xml:space="preserve"> to make an informed decision</w:t>
      </w:r>
      <w:r w:rsidR="00C91A06">
        <w:t xml:space="preserve">. </w:t>
      </w:r>
      <w:r w:rsidR="008166C2">
        <w:t>The</w:t>
      </w:r>
      <w:r w:rsidR="00E05B5B">
        <w:t xml:space="preserve"> assessment</w:t>
      </w:r>
      <w:r w:rsidR="008166C2">
        <w:t xml:space="preserve"> tracks include (in order from least to highest impact): exempt, prohibited, self</w:t>
      </w:r>
      <w:r w:rsidR="008166C2">
        <w:noBreakHyphen/>
        <w:t>assess (</w:t>
      </w:r>
      <w:r>
        <w:t>self</w:t>
      </w:r>
      <w:r w:rsidR="00181B62">
        <w:noBreakHyphen/>
      </w:r>
      <w:r>
        <w:t>assessment</w:t>
      </w:r>
      <w:r w:rsidR="008166C2">
        <w:t xml:space="preserve"> by the applicant against clear quantitative criteria), code assess (</w:t>
      </w:r>
      <w:r>
        <w:t xml:space="preserve">where the </w:t>
      </w:r>
      <w:r w:rsidR="008166C2">
        <w:t>assessor considers</w:t>
      </w:r>
      <w:r>
        <w:t xml:space="preserve"> the</w:t>
      </w:r>
      <w:r w:rsidR="008166C2">
        <w:t xml:space="preserve"> proposal against objective criteria and performance standards), merit assess (expert assessment against complex criteria) and impact assess</w:t>
      </w:r>
      <w:r w:rsidR="00835CB0">
        <w:t>ment</w:t>
      </w:r>
      <w:r w:rsidR="008166C2">
        <w:t xml:space="preserve"> (for proposals that may have significant impacts on surroundings) </w:t>
      </w:r>
      <w:r w:rsidR="00E21FBA" w:rsidRPr="00E21FBA">
        <w:rPr>
          <w:szCs w:val="24"/>
        </w:rPr>
        <w:t>(DAF</w:t>
      </w:r>
      <w:r w:rsidR="00E21FBA" w:rsidRPr="00F46E34">
        <w:rPr>
          <w:szCs w:val="24"/>
        </w:rPr>
        <w:t> 2005; PC </w:t>
      </w:r>
      <w:r w:rsidR="00E21FBA" w:rsidRPr="0075119A">
        <w:rPr>
          <w:szCs w:val="24"/>
        </w:rPr>
        <w:t>2011b)</w:t>
      </w:r>
      <w:r w:rsidR="008166C2">
        <w:t>.</w:t>
      </w:r>
    </w:p>
    <w:p w14:paraId="6E218A41" w14:textId="77777777" w:rsidR="0080140C" w:rsidRDefault="00073B42" w:rsidP="00C70D16">
      <w:pPr>
        <w:pStyle w:val="BodyText"/>
      </w:pPr>
      <w:r w:rsidRPr="00EF06C7">
        <w:t xml:space="preserve">The </w:t>
      </w:r>
      <w:r>
        <w:t>types</w:t>
      </w:r>
      <w:r w:rsidRPr="00EF06C7">
        <w:t xml:space="preserve"> of developments that can be fast</w:t>
      </w:r>
      <w:r w:rsidRPr="00EF06C7">
        <w:noBreakHyphen/>
        <w:t>tracked vary between jurisdictions.</w:t>
      </w:r>
      <w:r>
        <w:t xml:space="preserve"> </w:t>
      </w:r>
      <w:r w:rsidR="0080140C">
        <w:t>For example:</w:t>
      </w:r>
    </w:p>
    <w:p w14:paraId="6E218A42" w14:textId="33F179E5" w:rsidR="0080140C" w:rsidRDefault="00073B42" w:rsidP="00F06B36">
      <w:pPr>
        <w:pStyle w:val="ListBullet"/>
      </w:pPr>
      <w:r>
        <w:t>N</w:t>
      </w:r>
      <w:r w:rsidR="00EE3583">
        <w:t xml:space="preserve">ew </w:t>
      </w:r>
      <w:r>
        <w:t>S</w:t>
      </w:r>
      <w:r w:rsidR="00EE3583">
        <w:t xml:space="preserve">outh </w:t>
      </w:r>
      <w:r>
        <w:t>W</w:t>
      </w:r>
      <w:r w:rsidR="00EE3583">
        <w:t>ales</w:t>
      </w:r>
      <w:r>
        <w:t xml:space="preserve"> has a ‘complying development’ track</w:t>
      </w:r>
      <w:r w:rsidR="00014715">
        <w:t>,</w:t>
      </w:r>
      <w:r>
        <w:t xml:space="preserve"> which is a fast track assessment process involving combined planning and building approval for proposals deemed low impact (such as property extensions up to two storeys)</w:t>
      </w:r>
    </w:p>
    <w:p w14:paraId="6E218A43" w14:textId="20663CEC" w:rsidR="0080140C" w:rsidRDefault="00073B42" w:rsidP="003775AD">
      <w:pPr>
        <w:pStyle w:val="ListBullet"/>
      </w:pPr>
      <w:r>
        <w:t>Victoria has a ‘VicSmart’ 10</w:t>
      </w:r>
      <w:r>
        <w:noBreakHyphen/>
        <w:t xml:space="preserve">day assessment track </w:t>
      </w:r>
      <w:r w:rsidR="00C15A99">
        <w:t>for low</w:t>
      </w:r>
      <w:r w:rsidR="00C15A99">
        <w:noBreakHyphen/>
        <w:t>risk local developments,</w:t>
      </w:r>
      <w:r>
        <w:t xml:space="preserve"> which has recently been expanded, but no self</w:t>
      </w:r>
      <w:r>
        <w:noBreakHyphen/>
        <w:t xml:space="preserve">assessment track </w:t>
      </w:r>
      <w:r w:rsidRPr="00206C4D">
        <w:rPr>
          <w:szCs w:val="24"/>
        </w:rPr>
        <w:t>(PC 2012)</w:t>
      </w:r>
      <w:r>
        <w:t xml:space="preserve"> </w:t>
      </w:r>
    </w:p>
    <w:p w14:paraId="6E218A44" w14:textId="4E292C34" w:rsidR="0080140C" w:rsidRDefault="007B310D" w:rsidP="003775AD">
      <w:pPr>
        <w:pStyle w:val="ListBullet"/>
      </w:pPr>
      <w:r>
        <w:t>i</w:t>
      </w:r>
      <w:r w:rsidR="00073B42">
        <w:t>n Western Australia, fast</w:t>
      </w:r>
      <w:r w:rsidR="0080140C">
        <w:noBreakHyphen/>
      </w:r>
      <w:r w:rsidR="00073B42">
        <w:t>tracking is only possible for residential dwellings</w:t>
      </w:r>
      <w:r w:rsidR="0080140C">
        <w:t>. R</w:t>
      </w:r>
      <w:r w:rsidR="00073B42">
        <w:t>ecent reforms have introduced development approval exemptions for compliant residential dwellings</w:t>
      </w:r>
      <w:r w:rsidR="0080140C">
        <w:t xml:space="preserve"> </w:t>
      </w:r>
    </w:p>
    <w:p w14:paraId="6E218A45" w14:textId="186FD77D" w:rsidR="0080140C" w:rsidRDefault="007B310D" w:rsidP="00B80C28">
      <w:pPr>
        <w:pStyle w:val="ListBullet"/>
      </w:pPr>
      <w:r>
        <w:t>i</w:t>
      </w:r>
      <w:r w:rsidR="00073B42">
        <w:t xml:space="preserve">n South Australia, </w:t>
      </w:r>
      <w:r w:rsidR="0082664D">
        <w:t>‘</w:t>
      </w:r>
      <w:r w:rsidR="00073B42">
        <w:t>complying developments</w:t>
      </w:r>
      <w:r w:rsidR="0082664D">
        <w:t>’</w:t>
      </w:r>
      <w:r w:rsidR="00073B42">
        <w:t xml:space="preserve"> are</w:t>
      </w:r>
      <w:r w:rsidR="0082664D">
        <w:t xml:space="preserve"> those</w:t>
      </w:r>
      <w:r w:rsidR="00073B42">
        <w:t xml:space="preserve"> considered to have a low impact on the local area and an assessment authority cannot withhold approval if all criteria necessary for the development to comply are met</w:t>
      </w:r>
      <w:r w:rsidR="00144226">
        <w:t xml:space="preserve"> </w:t>
      </w:r>
    </w:p>
    <w:p w14:paraId="6E218A46" w14:textId="15AA9308" w:rsidR="0080140C" w:rsidRDefault="00144226">
      <w:pPr>
        <w:pStyle w:val="ListBullet"/>
      </w:pPr>
      <w:r>
        <w:t xml:space="preserve">Tasmania provides for a </w:t>
      </w:r>
      <w:r w:rsidR="0080140C">
        <w:t>‘</w:t>
      </w:r>
      <w:r>
        <w:t>no permit required</w:t>
      </w:r>
      <w:r w:rsidR="0080140C">
        <w:t>’</w:t>
      </w:r>
      <w:r>
        <w:t xml:space="preserve"> status for single dwelling</w:t>
      </w:r>
      <w:r w:rsidR="0082664D">
        <w:t>s</w:t>
      </w:r>
      <w:r>
        <w:t xml:space="preserve"> that compl</w:t>
      </w:r>
      <w:r w:rsidR="0082664D">
        <w:t>y</w:t>
      </w:r>
      <w:r>
        <w:t xml:space="preserve"> with development standards in the General Residential Zone</w:t>
      </w:r>
      <w:r w:rsidR="00073B42">
        <w:t xml:space="preserve"> </w:t>
      </w:r>
    </w:p>
    <w:p w14:paraId="6E218A47" w14:textId="49085C31" w:rsidR="0080140C" w:rsidRDefault="008B0C63">
      <w:pPr>
        <w:pStyle w:val="ListBullet"/>
      </w:pPr>
      <w:r>
        <w:t>Tasmania, t</w:t>
      </w:r>
      <w:r w:rsidR="0080140C">
        <w:t>he Northern Territory and the ACT</w:t>
      </w:r>
      <w:r w:rsidR="00AB24E8">
        <w:t xml:space="preserve"> </w:t>
      </w:r>
      <w:r w:rsidR="00AB24E8" w:rsidRPr="00181B62">
        <w:t xml:space="preserve">provide zone use tables, which specify the assessment tracks for different developments within any given zone. </w:t>
      </w:r>
    </w:p>
    <w:p w14:paraId="6E218A48" w14:textId="77777777" w:rsidR="0099168A" w:rsidRPr="00181B62" w:rsidRDefault="00073B42" w:rsidP="0099168A">
      <w:pPr>
        <w:pStyle w:val="BodyText"/>
      </w:pPr>
      <w:r>
        <w:t>Some jurisdictions provide flexibility for assessment authorities to require less information (for example, Victoria) and Queensland encourages pre</w:t>
      </w:r>
      <w:r>
        <w:noBreakHyphen/>
        <w:t>lodgement discussions.</w:t>
      </w:r>
      <w:r w:rsidR="00AB24E8">
        <w:t xml:space="preserve"> </w:t>
      </w:r>
      <w:r w:rsidR="00523625">
        <w:t xml:space="preserve">A 2015 report by the Property Council of Australia (PCA) </w:t>
      </w:r>
      <w:r w:rsidR="00523625" w:rsidRPr="00523625">
        <w:t>(2015)</w:t>
      </w:r>
      <w:r w:rsidR="00523625">
        <w:t xml:space="preserve"> ranked the Northern Territory and the ACT as particularly well</w:t>
      </w:r>
      <w:r w:rsidR="00523625">
        <w:noBreakHyphen/>
        <w:t xml:space="preserve">performing jurisdictions in terms of their </w:t>
      </w:r>
      <w:r w:rsidR="00554FF2">
        <w:t xml:space="preserve">more specific </w:t>
      </w:r>
      <w:r w:rsidR="00523625">
        <w:t>track assessment framework</w:t>
      </w:r>
      <w:r w:rsidR="0080140C">
        <w:t>s</w:t>
      </w:r>
      <w:r w:rsidR="00523625">
        <w:t xml:space="preserve">. </w:t>
      </w:r>
    </w:p>
    <w:p w14:paraId="6E218A49" w14:textId="53CB1798" w:rsidR="007A2EED" w:rsidRDefault="00554FF2" w:rsidP="00073B42">
      <w:pPr>
        <w:pStyle w:val="BodyText"/>
      </w:pPr>
      <w:r>
        <w:t>M</w:t>
      </w:r>
      <w:r w:rsidR="00561F6C">
        <w:t xml:space="preserve">ost </w:t>
      </w:r>
      <w:r w:rsidR="007A2EED">
        <w:t>jurisdictions have made progress in further adopting fast</w:t>
      </w:r>
      <w:r w:rsidR="007A2EED">
        <w:noBreakHyphen/>
        <w:t>track assessment systems</w:t>
      </w:r>
      <w:r w:rsidR="00561F6C">
        <w:t xml:space="preserve"> over the past five years</w:t>
      </w:r>
      <w:r w:rsidR="007A2EED">
        <w:t xml:space="preserve"> (box</w:t>
      </w:r>
      <w:r w:rsidR="00AB6E14">
        <w:t> </w:t>
      </w:r>
      <w:r>
        <w:t>7</w:t>
      </w:r>
      <w:r w:rsidR="007A2EED">
        <w:t xml:space="preserve">). </w:t>
      </w:r>
    </w:p>
    <w:p w14:paraId="0097490D" w14:textId="04FF86B1" w:rsidR="002E6C90" w:rsidRPr="00510539" w:rsidRDefault="002E6C90" w:rsidP="002E6C90">
      <w:pPr>
        <w:pStyle w:val="BodyText"/>
      </w:pPr>
      <w:r w:rsidRPr="00181B62">
        <w:t xml:space="preserve">These reforms have led to efficiency improvements in DA processing across jurisdictions. The mean time taken to process the majority of DAs has reduced from an average of 282 days </w:t>
      </w:r>
      <w:r w:rsidRPr="00510539">
        <w:t>(fo</w:t>
      </w:r>
      <w:r>
        <w:t>r about 60 per cent of all DAs)</w:t>
      </w:r>
      <w:r w:rsidRPr="00181B62">
        <w:t xml:space="preserve"> for the period 2009</w:t>
      </w:r>
      <w:r w:rsidR="00AB6E14" w:rsidRPr="00181B62">
        <w:t>–</w:t>
      </w:r>
      <w:r w:rsidRPr="00181B62">
        <w:t xml:space="preserve">2012 </w:t>
      </w:r>
      <w:r w:rsidRPr="00311457">
        <w:rPr>
          <w:szCs w:val="24"/>
        </w:rPr>
        <w:t>(Cordell Information in PC 2014a)</w:t>
      </w:r>
      <w:r w:rsidRPr="00CC392F">
        <w:t xml:space="preserve"> to between 48</w:t>
      </w:r>
      <w:r w:rsidRPr="00CC392F">
        <w:noBreakHyphen/>
        <w:t>76 days between in 2012</w:t>
      </w:r>
      <w:r w:rsidR="00AB6E14" w:rsidRPr="00CC392F">
        <w:t>–</w:t>
      </w:r>
      <w:r w:rsidRPr="00CC392F">
        <w:t xml:space="preserve">2015 </w:t>
      </w:r>
      <w:r w:rsidRPr="00F06B36">
        <w:t>(table</w:t>
      </w:r>
      <w:r>
        <w:t> 1</w:t>
      </w:r>
      <w:r w:rsidRPr="00F06B36">
        <w:t>).</w:t>
      </w:r>
      <w:r w:rsidRPr="00CC392F">
        <w:t xml:space="preserve"> </w:t>
      </w:r>
      <w:r>
        <w:t>A</w:t>
      </w:r>
      <w:r w:rsidRPr="00510539">
        <w:t xml:space="preserve"> World Bank report</w:t>
      </w:r>
      <w:r>
        <w:t xml:space="preserve"> </w:t>
      </w:r>
      <w:r w:rsidRPr="00510539">
        <w:t xml:space="preserve">(2017) </w:t>
      </w:r>
      <w:r>
        <w:t xml:space="preserve">noted that </w:t>
      </w:r>
      <w:r w:rsidRPr="00510539">
        <w:t>Australia</w:t>
      </w:r>
      <w:r>
        <w:t xml:space="preserve">, </w:t>
      </w:r>
      <w:r w:rsidRPr="00510539">
        <w:t>proxied by Sydney</w:t>
      </w:r>
      <w:r>
        <w:t xml:space="preserve">, </w:t>
      </w:r>
      <w:r w:rsidRPr="00510539">
        <w:t xml:space="preserve">had made </w:t>
      </w:r>
      <w:r>
        <w:t>notable</w:t>
      </w:r>
      <w:r w:rsidRPr="00510539">
        <w:t xml:space="preserve"> improvements in </w:t>
      </w:r>
      <w:r>
        <w:t>the time taken to process construction permits</w:t>
      </w:r>
      <w:r w:rsidR="003D0A92">
        <w:t>.</w:t>
      </w:r>
      <w:r w:rsidRPr="0061724D">
        <w:rPr>
          <w:rStyle w:val="FootnoteReference"/>
        </w:rPr>
        <w:footnoteReference w:id="5"/>
      </w:r>
      <w:r>
        <w:t xml:space="preserve"> </w:t>
      </w:r>
      <w:r w:rsidRPr="00510539">
        <w:t xml:space="preserve">Australia ranked 2nd </w:t>
      </w:r>
      <w:r>
        <w:t xml:space="preserve">in the world on this measure </w:t>
      </w:r>
      <w:r w:rsidRPr="00510539">
        <w:t xml:space="preserve">in 2017, compared </w:t>
      </w:r>
      <w:r w:rsidR="00835CB0">
        <w:t>with</w:t>
      </w:r>
      <w:r w:rsidRPr="00510539">
        <w:t xml:space="preserve"> 63rd (out of 183 countries) in 2011 (World Bank 2011). </w:t>
      </w:r>
    </w:p>
    <w:p w14:paraId="46DA183E" w14:textId="77777777" w:rsidR="002E6C90" w:rsidRDefault="002E6C90" w:rsidP="002E6C9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2E6C90" w14:paraId="68857482" w14:textId="77777777" w:rsidTr="00E41E53">
        <w:tc>
          <w:tcPr>
            <w:tcW w:w="5000" w:type="pct"/>
            <w:tcBorders>
              <w:top w:val="single" w:sz="6" w:space="0" w:color="78A22F"/>
              <w:left w:val="nil"/>
              <w:bottom w:val="nil"/>
              <w:right w:val="nil"/>
            </w:tcBorders>
            <w:shd w:val="clear" w:color="auto" w:fill="auto"/>
          </w:tcPr>
          <w:p w14:paraId="37E0D5EC" w14:textId="77777777" w:rsidR="002E6C90" w:rsidRDefault="002E6C90" w:rsidP="00E41E53">
            <w:pPr>
              <w:pStyle w:val="TableTitle"/>
            </w:pPr>
            <w:r>
              <w:rPr>
                <w:b w:val="0"/>
              </w:rPr>
              <w:t>Table 1</w:t>
            </w:r>
            <w:r>
              <w:tab/>
              <w:t xml:space="preserve">Time taken to process development applications </w:t>
            </w:r>
          </w:p>
          <w:p w14:paraId="477B840B" w14:textId="77777777" w:rsidR="002E6C90" w:rsidRPr="00784A05" w:rsidRDefault="002E6C90" w:rsidP="00E41E53">
            <w:pPr>
              <w:pStyle w:val="Subtitle"/>
            </w:pPr>
            <w:r>
              <w:t>Select States and Territories</w:t>
            </w:r>
          </w:p>
        </w:tc>
      </w:tr>
      <w:tr w:rsidR="002E6C90" w14:paraId="5A4172D3" w14:textId="77777777" w:rsidTr="00E41E53">
        <w:tc>
          <w:tcPr>
            <w:tcW w:w="5000" w:type="pct"/>
            <w:tcBorders>
              <w:top w:val="nil"/>
              <w:left w:val="nil"/>
              <w:bottom w:val="nil"/>
              <w:right w:val="nil"/>
            </w:tcBorders>
            <w:shd w:val="clear" w:color="auto" w:fill="auto"/>
          </w:tcPr>
          <w:tbl>
            <w:tblPr>
              <w:tblW w:w="8647" w:type="dxa"/>
              <w:tblCellMar>
                <w:top w:w="28" w:type="dxa"/>
                <w:left w:w="0" w:type="dxa"/>
                <w:right w:w="0" w:type="dxa"/>
              </w:tblCellMar>
              <w:tblLook w:val="0000" w:firstRow="0" w:lastRow="0" w:firstColumn="0" w:lastColumn="0" w:noHBand="0" w:noVBand="0"/>
            </w:tblPr>
            <w:tblGrid>
              <w:gridCol w:w="2198"/>
              <w:gridCol w:w="2338"/>
              <w:gridCol w:w="4111"/>
            </w:tblGrid>
            <w:tr w:rsidR="002E6C90" w14:paraId="584A8CBB" w14:textId="77777777" w:rsidTr="00C259B4">
              <w:trPr>
                <w:tblHeader/>
              </w:trPr>
              <w:tc>
                <w:tcPr>
                  <w:tcW w:w="1271" w:type="pct"/>
                  <w:tcBorders>
                    <w:top w:val="single" w:sz="6" w:space="0" w:color="BFBFBF"/>
                    <w:bottom w:val="single" w:sz="6" w:space="0" w:color="BFBFBF"/>
                  </w:tcBorders>
                  <w:shd w:val="clear" w:color="auto" w:fill="auto"/>
                  <w:tcMar>
                    <w:top w:w="28" w:type="dxa"/>
                  </w:tcMar>
                </w:tcPr>
                <w:p w14:paraId="62D38940" w14:textId="77777777" w:rsidR="002E6C90" w:rsidRDefault="002E6C90" w:rsidP="00E41E53">
                  <w:pPr>
                    <w:pStyle w:val="TableColumnHeading"/>
                    <w:jc w:val="left"/>
                  </w:pPr>
                  <w:r>
                    <w:t>Jurisdiction</w:t>
                  </w:r>
                </w:p>
              </w:tc>
              <w:tc>
                <w:tcPr>
                  <w:tcW w:w="1352" w:type="pct"/>
                  <w:tcBorders>
                    <w:top w:val="single" w:sz="6" w:space="0" w:color="BFBFBF"/>
                    <w:bottom w:val="single" w:sz="6" w:space="0" w:color="BFBFBF"/>
                  </w:tcBorders>
                </w:tcPr>
                <w:p w14:paraId="684536E9" w14:textId="77777777" w:rsidR="002E6C90" w:rsidRDefault="002E6C90" w:rsidP="00E41E53">
                  <w:pPr>
                    <w:pStyle w:val="TableColumnHeading"/>
                  </w:pPr>
                  <w:r>
                    <w:t>Average gross days taken</w:t>
                  </w:r>
                </w:p>
              </w:tc>
              <w:tc>
                <w:tcPr>
                  <w:tcW w:w="2377" w:type="pct"/>
                  <w:tcBorders>
                    <w:top w:val="single" w:sz="6" w:space="0" w:color="BFBFBF"/>
                    <w:bottom w:val="single" w:sz="6" w:space="0" w:color="BFBFBF"/>
                  </w:tcBorders>
                  <w:shd w:val="clear" w:color="auto" w:fill="auto"/>
                  <w:tcMar>
                    <w:top w:w="28" w:type="dxa"/>
                  </w:tcMar>
                </w:tcPr>
                <w:p w14:paraId="4258809B" w14:textId="77777777" w:rsidR="002E6C90" w:rsidRDefault="002E6C90" w:rsidP="00E41E53">
                  <w:pPr>
                    <w:pStyle w:val="TableColumnHeading"/>
                  </w:pPr>
                  <w:r>
                    <w:t>Year</w:t>
                  </w:r>
                </w:p>
              </w:tc>
            </w:tr>
            <w:tr w:rsidR="002E6C90" w14:paraId="4E5F4231" w14:textId="77777777" w:rsidTr="00C259B4">
              <w:tc>
                <w:tcPr>
                  <w:tcW w:w="1271" w:type="pct"/>
                  <w:tcBorders>
                    <w:top w:val="single" w:sz="6" w:space="0" w:color="BFBFBF"/>
                  </w:tcBorders>
                </w:tcPr>
                <w:p w14:paraId="3F05B448" w14:textId="77777777" w:rsidR="002E6C90" w:rsidRDefault="002E6C90" w:rsidP="00E41E53">
                  <w:pPr>
                    <w:pStyle w:val="TableUnitsRow"/>
                    <w:jc w:val="left"/>
                  </w:pPr>
                  <w:r>
                    <w:t>New South Wales</w:t>
                  </w:r>
                  <w:r>
                    <w:rPr>
                      <w:b/>
                      <w:vertAlign w:val="superscript"/>
                    </w:rPr>
                    <w:t>a</w:t>
                  </w:r>
                </w:p>
              </w:tc>
              <w:tc>
                <w:tcPr>
                  <w:tcW w:w="1352" w:type="pct"/>
                  <w:tcBorders>
                    <w:top w:val="single" w:sz="6" w:space="0" w:color="BFBFBF"/>
                  </w:tcBorders>
                </w:tcPr>
                <w:p w14:paraId="58E1F988" w14:textId="77777777" w:rsidR="002E6C90" w:rsidRDefault="002E6C90" w:rsidP="00E41E53">
                  <w:pPr>
                    <w:pStyle w:val="TableUnitsRow"/>
                  </w:pPr>
                  <w:r>
                    <w:t>71</w:t>
                  </w:r>
                </w:p>
              </w:tc>
              <w:tc>
                <w:tcPr>
                  <w:tcW w:w="2377" w:type="pct"/>
                  <w:tcBorders>
                    <w:top w:val="single" w:sz="6" w:space="0" w:color="BFBFBF"/>
                  </w:tcBorders>
                </w:tcPr>
                <w:p w14:paraId="702ECC44" w14:textId="77777777" w:rsidR="002E6C90" w:rsidRDefault="002E6C90" w:rsidP="00E41E53">
                  <w:pPr>
                    <w:pStyle w:val="TableUnitsRow"/>
                  </w:pPr>
                  <w:r>
                    <w:t>2014</w:t>
                  </w:r>
                  <w:r>
                    <w:noBreakHyphen/>
                    <w:t>15</w:t>
                  </w:r>
                </w:p>
              </w:tc>
            </w:tr>
            <w:tr w:rsidR="002E6C90" w14:paraId="113B2257" w14:textId="77777777" w:rsidTr="00C259B4">
              <w:tc>
                <w:tcPr>
                  <w:tcW w:w="1271" w:type="pct"/>
                </w:tcPr>
                <w:p w14:paraId="377B2473" w14:textId="77777777" w:rsidR="002E6C90" w:rsidRDefault="002E6C90" w:rsidP="00E41E53">
                  <w:pPr>
                    <w:pStyle w:val="TableBodyText"/>
                    <w:jc w:val="left"/>
                  </w:pPr>
                  <w:r>
                    <w:t>Victoria</w:t>
                  </w:r>
                  <w:r>
                    <w:rPr>
                      <w:b/>
                      <w:vertAlign w:val="superscript"/>
                    </w:rPr>
                    <w:t>b</w:t>
                  </w:r>
                </w:p>
              </w:tc>
              <w:tc>
                <w:tcPr>
                  <w:tcW w:w="1352" w:type="pct"/>
                </w:tcPr>
                <w:p w14:paraId="0A3210AB" w14:textId="77777777" w:rsidR="002E6C90" w:rsidRDefault="002E6C90" w:rsidP="00E41E53">
                  <w:pPr>
                    <w:pStyle w:val="TableBodyText"/>
                    <w:ind w:left="212" w:hanging="206"/>
                  </w:pPr>
                  <w:r>
                    <w:t>115</w:t>
                  </w:r>
                </w:p>
              </w:tc>
              <w:tc>
                <w:tcPr>
                  <w:tcW w:w="2377" w:type="pct"/>
                </w:tcPr>
                <w:p w14:paraId="3DB62F23" w14:textId="1399EF1C" w:rsidR="002E6C90" w:rsidRDefault="00C259B4" w:rsidP="00E41E53">
                  <w:pPr>
                    <w:pStyle w:val="TableBodyText"/>
                  </w:pPr>
                  <w:r>
                    <w:t>2014</w:t>
                  </w:r>
                  <w:r w:rsidR="002E6C90">
                    <w:noBreakHyphen/>
                    <w:t>15</w:t>
                  </w:r>
                </w:p>
              </w:tc>
            </w:tr>
            <w:tr w:rsidR="002E6C90" w14:paraId="59A1853D" w14:textId="77777777" w:rsidTr="00C259B4">
              <w:tc>
                <w:tcPr>
                  <w:tcW w:w="1271" w:type="pct"/>
                  <w:shd w:val="clear" w:color="auto" w:fill="auto"/>
                </w:tcPr>
                <w:p w14:paraId="24A1282B" w14:textId="77777777" w:rsidR="002E6C90" w:rsidRDefault="002E6C90" w:rsidP="00E41E53">
                  <w:pPr>
                    <w:pStyle w:val="TableBodyText"/>
                    <w:jc w:val="left"/>
                  </w:pPr>
                  <w:r>
                    <w:t>Queensland</w:t>
                  </w:r>
                  <w:r>
                    <w:rPr>
                      <w:b/>
                      <w:vertAlign w:val="superscript"/>
                    </w:rPr>
                    <w:t>c</w:t>
                  </w:r>
                </w:p>
              </w:tc>
              <w:tc>
                <w:tcPr>
                  <w:tcW w:w="1352" w:type="pct"/>
                </w:tcPr>
                <w:p w14:paraId="558EB4D0" w14:textId="77777777" w:rsidR="002E6C90" w:rsidRDefault="002E6C90" w:rsidP="00E41E53">
                  <w:pPr>
                    <w:pStyle w:val="TableBodyText"/>
                  </w:pPr>
                  <w:r>
                    <w:t>72</w:t>
                  </w:r>
                </w:p>
              </w:tc>
              <w:tc>
                <w:tcPr>
                  <w:tcW w:w="2377" w:type="pct"/>
                  <w:shd w:val="clear" w:color="auto" w:fill="auto"/>
                </w:tcPr>
                <w:p w14:paraId="5EBB7C6F" w14:textId="77777777" w:rsidR="002E6C90" w:rsidRDefault="002E6C90" w:rsidP="00E41E53">
                  <w:pPr>
                    <w:pStyle w:val="TableBodyText"/>
                  </w:pPr>
                  <w:r>
                    <w:t>2011–2012</w:t>
                  </w:r>
                </w:p>
              </w:tc>
            </w:tr>
            <w:tr w:rsidR="002E6C90" w14:paraId="52BC8F98" w14:textId="77777777" w:rsidTr="00C259B4">
              <w:tc>
                <w:tcPr>
                  <w:tcW w:w="1271" w:type="pct"/>
                  <w:shd w:val="clear" w:color="auto" w:fill="auto"/>
                </w:tcPr>
                <w:p w14:paraId="248169FA" w14:textId="77777777" w:rsidR="002E6C90" w:rsidRPr="00ED5754" w:rsidRDefault="002E6C90" w:rsidP="00E41E53">
                  <w:pPr>
                    <w:pStyle w:val="TableBodyText"/>
                    <w:jc w:val="left"/>
                    <w:rPr>
                      <w:vertAlign w:val="superscript"/>
                    </w:rPr>
                  </w:pPr>
                  <w:r>
                    <w:t>South Australia</w:t>
                  </w:r>
                  <w:r>
                    <w:rPr>
                      <w:b/>
                      <w:vertAlign w:val="superscript"/>
                    </w:rPr>
                    <w:t>d</w:t>
                  </w:r>
                </w:p>
              </w:tc>
              <w:tc>
                <w:tcPr>
                  <w:tcW w:w="1352" w:type="pct"/>
                </w:tcPr>
                <w:p w14:paraId="13CB561E" w14:textId="77777777" w:rsidR="002E6C90" w:rsidRDefault="002E6C90" w:rsidP="00E41E53">
                  <w:pPr>
                    <w:pStyle w:val="TableBodyText"/>
                  </w:pPr>
                  <w:r>
                    <w:t>52–66</w:t>
                  </w:r>
                </w:p>
              </w:tc>
              <w:tc>
                <w:tcPr>
                  <w:tcW w:w="2377" w:type="pct"/>
                  <w:shd w:val="clear" w:color="auto" w:fill="auto"/>
                </w:tcPr>
                <w:p w14:paraId="7AB37C82" w14:textId="77777777" w:rsidR="002E6C90" w:rsidRDefault="002E6C90" w:rsidP="00E41E53">
                  <w:pPr>
                    <w:pStyle w:val="TableBodyText"/>
                  </w:pPr>
                  <w:r>
                    <w:t>2014</w:t>
                  </w:r>
                  <w:r>
                    <w:noBreakHyphen/>
                    <w:t>15</w:t>
                  </w:r>
                </w:p>
              </w:tc>
            </w:tr>
            <w:tr w:rsidR="002E6C90" w14:paraId="4DF7D4B9" w14:textId="77777777" w:rsidTr="00C259B4">
              <w:tc>
                <w:tcPr>
                  <w:tcW w:w="1271" w:type="pct"/>
                  <w:tcBorders>
                    <w:bottom w:val="single" w:sz="6" w:space="0" w:color="BFBFBF"/>
                  </w:tcBorders>
                  <w:shd w:val="clear" w:color="auto" w:fill="auto"/>
                </w:tcPr>
                <w:p w14:paraId="26DDAA8A" w14:textId="77777777" w:rsidR="002E6C90" w:rsidRDefault="002E6C90" w:rsidP="00E41E53">
                  <w:pPr>
                    <w:pStyle w:val="TableBodyText"/>
                    <w:jc w:val="left"/>
                  </w:pPr>
                  <w:r>
                    <w:t>ACT</w:t>
                  </w:r>
                </w:p>
              </w:tc>
              <w:tc>
                <w:tcPr>
                  <w:tcW w:w="1352" w:type="pct"/>
                  <w:tcBorders>
                    <w:bottom w:val="single" w:sz="6" w:space="0" w:color="BFBFBF"/>
                  </w:tcBorders>
                </w:tcPr>
                <w:p w14:paraId="20E42E53" w14:textId="77777777" w:rsidR="002E6C90" w:rsidRDefault="002E6C90" w:rsidP="00E41E53">
                  <w:pPr>
                    <w:pStyle w:val="TableBodyText"/>
                  </w:pPr>
                  <w:r>
                    <w:t>41</w:t>
                  </w:r>
                  <w:r>
                    <w:noBreakHyphen/>
                    <w:t>57</w:t>
                  </w:r>
                </w:p>
              </w:tc>
              <w:tc>
                <w:tcPr>
                  <w:tcW w:w="2377" w:type="pct"/>
                  <w:tcBorders>
                    <w:bottom w:val="single" w:sz="6" w:space="0" w:color="BFBFBF"/>
                  </w:tcBorders>
                  <w:shd w:val="clear" w:color="auto" w:fill="auto"/>
                </w:tcPr>
                <w:p w14:paraId="6CD1F6D9" w14:textId="058632BF" w:rsidR="002E6C90" w:rsidRDefault="002E6C90" w:rsidP="00E41E53">
                  <w:pPr>
                    <w:pStyle w:val="TableBodyText"/>
                  </w:pPr>
                  <w:r>
                    <w:t>2014</w:t>
                  </w:r>
                  <w:r w:rsidR="00AB6E14">
                    <w:noBreakHyphen/>
                  </w:r>
                  <w:r>
                    <w:t>15</w:t>
                  </w:r>
                </w:p>
              </w:tc>
            </w:tr>
          </w:tbl>
          <w:p w14:paraId="37A89AA5" w14:textId="77777777" w:rsidR="002E6C90" w:rsidRDefault="002E6C90" w:rsidP="00E41E53">
            <w:pPr>
              <w:pStyle w:val="Box"/>
            </w:pPr>
          </w:p>
        </w:tc>
      </w:tr>
      <w:tr w:rsidR="002E6C90" w14:paraId="4FAC9891" w14:textId="77777777" w:rsidTr="00E41E53">
        <w:tc>
          <w:tcPr>
            <w:tcW w:w="5000" w:type="pct"/>
            <w:tcBorders>
              <w:top w:val="nil"/>
              <w:left w:val="nil"/>
              <w:bottom w:val="nil"/>
              <w:right w:val="nil"/>
            </w:tcBorders>
            <w:shd w:val="clear" w:color="auto" w:fill="auto"/>
          </w:tcPr>
          <w:p w14:paraId="1BDEDC0D" w14:textId="63389E93" w:rsidR="002E6C90" w:rsidRDefault="002E6C90" w:rsidP="00E41E53">
            <w:pPr>
              <w:pStyle w:val="Note"/>
              <w:rPr>
                <w:i/>
              </w:rPr>
            </w:pPr>
            <w:r w:rsidRPr="008E77FE">
              <w:rPr>
                <w:rStyle w:val="NoteLabel"/>
              </w:rPr>
              <w:t>a</w:t>
            </w:r>
            <w:r>
              <w:t xml:space="preserve"> Excludes complying development certificates. </w:t>
            </w:r>
            <w:r>
              <w:rPr>
                <w:rStyle w:val="NoteLabel"/>
              </w:rPr>
              <w:t>b</w:t>
            </w:r>
            <w:r>
              <w:t xml:space="preserve"> Inclusive of weekends and public holidays. </w:t>
            </w:r>
            <w:r>
              <w:rPr>
                <w:rStyle w:val="NoteLabel"/>
              </w:rPr>
              <w:t>c</w:t>
            </w:r>
            <w:r>
              <w:t xml:space="preserve"> This average refers to business days and pre-dates the reforms referred to in this report. </w:t>
            </w:r>
            <w:r>
              <w:rPr>
                <w:rStyle w:val="NoteLabel"/>
              </w:rPr>
              <w:t>d</w:t>
            </w:r>
            <w:r>
              <w:t xml:space="preserve"> Median number of calendar days for category 3 merit assessments, which require publication of a general public notice</w:t>
            </w:r>
            <w:r w:rsidR="00E22CE6">
              <w:t xml:space="preserve">. </w:t>
            </w:r>
          </w:p>
        </w:tc>
      </w:tr>
      <w:tr w:rsidR="002E6C90" w14:paraId="7CB1269F" w14:textId="77777777" w:rsidTr="00E41E53">
        <w:tc>
          <w:tcPr>
            <w:tcW w:w="5000" w:type="pct"/>
            <w:tcBorders>
              <w:top w:val="nil"/>
              <w:left w:val="nil"/>
              <w:bottom w:val="nil"/>
              <w:right w:val="nil"/>
            </w:tcBorders>
            <w:shd w:val="clear" w:color="auto" w:fill="auto"/>
          </w:tcPr>
          <w:p w14:paraId="2B65D535" w14:textId="77777777" w:rsidR="002E6C90" w:rsidRPr="00CC392F" w:rsidRDefault="002E6C90" w:rsidP="00CC392F">
            <w:pPr>
              <w:pStyle w:val="Source"/>
            </w:pPr>
            <w:r w:rsidRPr="00CC392F">
              <w:rPr>
                <w:i/>
              </w:rPr>
              <w:t>Sources</w:t>
            </w:r>
            <w:r w:rsidRPr="00CC392F">
              <w:t xml:space="preserve">: ACT (2017); NSWDPE (2016); QDSDIP (2013); SADPTI (2015); VDTPLI (2017). </w:t>
            </w:r>
          </w:p>
        </w:tc>
      </w:tr>
      <w:tr w:rsidR="002E6C90" w14:paraId="7651B1C5" w14:textId="77777777" w:rsidTr="00E41E53">
        <w:tc>
          <w:tcPr>
            <w:tcW w:w="5000" w:type="pct"/>
            <w:tcBorders>
              <w:top w:val="nil"/>
              <w:left w:val="nil"/>
              <w:bottom w:val="single" w:sz="6" w:space="0" w:color="78A22F"/>
              <w:right w:val="nil"/>
            </w:tcBorders>
            <w:shd w:val="clear" w:color="auto" w:fill="auto"/>
          </w:tcPr>
          <w:p w14:paraId="33238FD5" w14:textId="77777777" w:rsidR="002E6C90" w:rsidRDefault="002E6C90" w:rsidP="00E41E53">
            <w:pPr>
              <w:pStyle w:val="Box"/>
              <w:spacing w:before="0" w:line="120" w:lineRule="exact"/>
            </w:pPr>
          </w:p>
        </w:tc>
      </w:tr>
      <w:tr w:rsidR="002E6C90" w:rsidRPr="000863A5" w14:paraId="0F1FF640" w14:textId="77777777" w:rsidTr="00E41E53">
        <w:tc>
          <w:tcPr>
            <w:tcW w:w="5000" w:type="pct"/>
            <w:tcBorders>
              <w:top w:val="single" w:sz="6" w:space="0" w:color="78A22F"/>
              <w:left w:val="nil"/>
              <w:bottom w:val="nil"/>
              <w:right w:val="nil"/>
            </w:tcBorders>
          </w:tcPr>
          <w:p w14:paraId="371DD923" w14:textId="77777777" w:rsidR="002E6C90" w:rsidRPr="00626D32" w:rsidRDefault="002E6C90" w:rsidP="00E41E53">
            <w:pPr>
              <w:pStyle w:val="BoxSpaceBelow"/>
            </w:pPr>
          </w:p>
        </w:tc>
      </w:tr>
    </w:tbl>
    <w:p w14:paraId="5836A341" w14:textId="77777777" w:rsidR="002E6C90" w:rsidRDefault="002E6C90" w:rsidP="002E6C90">
      <w:pPr>
        <w:pStyle w:val="BodyText"/>
      </w:pPr>
      <w:r>
        <w:t>There is nevertheless room for further progress in most jurisdictions. A common theme across jurisdictions is that, where streamlined track</w:t>
      </w:r>
      <w:r>
        <w:noBreakHyphen/>
        <w:t xml:space="preserve">assessments exist, approval times vary between local councils. </w:t>
      </w:r>
      <w:r w:rsidRPr="00CC392F">
        <w:t xml:space="preserve">For example, in Victoria, Melbourne City Council took 74 days to process DAs, whereas Frankston City took 96 days </w:t>
      </w:r>
      <w:r w:rsidRPr="002C7A36">
        <w:rPr>
          <w:szCs w:val="24"/>
        </w:rPr>
        <w:t>(Victorian Government</w:t>
      </w:r>
      <w:r w:rsidRPr="00BB64EB">
        <w:rPr>
          <w:szCs w:val="24"/>
        </w:rPr>
        <w:t> </w:t>
      </w:r>
      <w:r w:rsidRPr="009715C3">
        <w:rPr>
          <w:szCs w:val="24"/>
        </w:rPr>
        <w:t>2017)</w:t>
      </w:r>
      <w:r w:rsidRPr="00CC392F">
        <w:t xml:space="preserve">. These differences may reflect in part differences in the capacities of Local Governments </w:t>
      </w:r>
      <w:r w:rsidRPr="00FA4E23">
        <w:rPr>
          <w:szCs w:val="24"/>
        </w:rPr>
        <w:t>(PC 2011b)</w:t>
      </w:r>
      <w:r>
        <w:t>, as well as the relative complexity of different development types.</w:t>
      </w:r>
    </w:p>
    <w:p w14:paraId="60EC97E1" w14:textId="77777777" w:rsidR="002E6C90" w:rsidRDefault="002E6C90" w:rsidP="00073B42">
      <w:pPr>
        <w:pStyle w:val="BodyText"/>
      </w:pPr>
    </w:p>
    <w:p w14:paraId="6E218A4A" w14:textId="77777777" w:rsidR="007A2EED" w:rsidRDefault="007A2E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7A2EED" w14:paraId="6E218A52" w14:textId="77777777" w:rsidTr="00C93098">
        <w:tc>
          <w:tcPr>
            <w:tcW w:w="5000" w:type="pct"/>
            <w:tcBorders>
              <w:top w:val="single" w:sz="6" w:space="0" w:color="78A22F"/>
              <w:left w:val="nil"/>
              <w:bottom w:val="nil"/>
              <w:right w:val="nil"/>
            </w:tcBorders>
            <w:shd w:val="clear" w:color="auto" w:fill="F2F2F2"/>
          </w:tcPr>
          <w:p w14:paraId="6E218A4B" w14:textId="77777777" w:rsidR="007A2EED" w:rsidRDefault="007A2EED">
            <w:pPr>
              <w:pStyle w:val="BoxTitle"/>
            </w:pPr>
            <w:r>
              <w:rPr>
                <w:b w:val="0"/>
              </w:rPr>
              <w:t xml:space="preserve">Box </w:t>
            </w:r>
            <w:r w:rsidR="002D6B03">
              <w:rPr>
                <w:b w:val="0"/>
              </w:rPr>
              <w:t>7</w:t>
            </w:r>
            <w:r>
              <w:tab/>
              <w:t xml:space="preserve">Development assessment processes – recent reforms </w:t>
            </w:r>
          </w:p>
          <w:p w14:paraId="6E218A4C" w14:textId="1174D2F3" w:rsidR="007A2EED" w:rsidRDefault="007A2EED" w:rsidP="007A2EED">
            <w:pPr>
              <w:pStyle w:val="Box"/>
            </w:pPr>
            <w:r>
              <w:t xml:space="preserve">The </w:t>
            </w:r>
            <w:r w:rsidR="00634F93">
              <w:rPr>
                <w:b/>
              </w:rPr>
              <w:t>NSW</w:t>
            </w:r>
            <w:r w:rsidRPr="00F06B36">
              <w:rPr>
                <w:b/>
              </w:rPr>
              <w:t xml:space="preserve"> Government</w:t>
            </w:r>
            <w:r>
              <w:t xml:space="preserve"> has made ongoing refinements to the NSW Housing Code exempt and complying development assessment pathway</w:t>
            </w:r>
            <w:r w:rsidR="00C42DC9">
              <w:t>s</w:t>
            </w:r>
            <w:r>
              <w:t xml:space="preserve"> for local developments. These </w:t>
            </w:r>
            <w:r w:rsidR="00561F6C">
              <w:t xml:space="preserve">changes </w:t>
            </w:r>
            <w:r>
              <w:t>have increased the number of fast</w:t>
            </w:r>
            <w:r w:rsidR="00561F6C">
              <w:noBreakHyphen/>
            </w:r>
            <w:r>
              <w:t>tracked development applications or complying development certificates (CDC) from 23</w:t>
            </w:r>
            <w:r w:rsidR="00A82BAB">
              <w:t> </w:t>
            </w:r>
            <w:r>
              <w:t>per</w:t>
            </w:r>
            <w:r w:rsidR="00A82BAB">
              <w:t> </w:t>
            </w:r>
            <w:r>
              <w:t>cent in 2011</w:t>
            </w:r>
            <w:r w:rsidR="00AB6E14">
              <w:noBreakHyphen/>
            </w:r>
            <w:r>
              <w:t>12 to 32</w:t>
            </w:r>
            <w:r w:rsidR="00A82BAB">
              <w:t> </w:t>
            </w:r>
            <w:r>
              <w:t>per</w:t>
            </w:r>
            <w:r w:rsidR="00A82BAB">
              <w:t> </w:t>
            </w:r>
            <w:r>
              <w:t>cent in 2014</w:t>
            </w:r>
            <w:r w:rsidR="00AB6E14">
              <w:noBreakHyphen/>
            </w:r>
            <w:r>
              <w:t>15 of all development applications and CDC determinations. A new Housing Code effective from July 2017 further simplifies planning rules for complying developments</w:t>
            </w:r>
            <w:r w:rsidR="00561F6C">
              <w:t>,</w:t>
            </w:r>
            <w:r>
              <w:t xml:space="preserve"> including one and two storey homes and renovations. </w:t>
            </w:r>
          </w:p>
          <w:p w14:paraId="6E218A4D" w14:textId="6D40D995" w:rsidR="007A2EED" w:rsidRDefault="00561F6C" w:rsidP="007A2EED">
            <w:pPr>
              <w:pStyle w:val="Box"/>
            </w:pPr>
            <w:r w:rsidRPr="00561F6C">
              <w:t>T</w:t>
            </w:r>
            <w:r w:rsidR="007A2EED" w:rsidRPr="00561F6C">
              <w:t>he</w:t>
            </w:r>
            <w:r w:rsidR="007A2EED" w:rsidRPr="00F06B36">
              <w:rPr>
                <w:b/>
              </w:rPr>
              <w:t xml:space="preserve"> Victorian Government</w:t>
            </w:r>
            <w:r w:rsidR="007A2EED">
              <w:t xml:space="preserve"> introduc</w:t>
            </w:r>
            <w:r>
              <w:t xml:space="preserve">ed </w:t>
            </w:r>
            <w:r w:rsidR="007A2EED">
              <w:t>a streamlined process for low</w:t>
            </w:r>
            <w:r>
              <w:noBreakHyphen/>
            </w:r>
            <w:r w:rsidR="007A2EED">
              <w:t>risk local developments</w:t>
            </w:r>
            <w:r>
              <w:t>,</w:t>
            </w:r>
            <w:r w:rsidR="007A2EED">
              <w:t xml:space="preserve"> such as simple sub divisions, extensions and building works called ‘VicSmart’ in September 2014. The key features of ‘VicSmart’ </w:t>
            </w:r>
            <w:r>
              <w:t xml:space="preserve">include </w:t>
            </w:r>
            <w:r w:rsidR="007A2EED">
              <w:t xml:space="preserve">a 10 day permit process, </w:t>
            </w:r>
            <w:r>
              <w:t>non</w:t>
            </w:r>
            <w:r w:rsidR="00181B62">
              <w:noBreakHyphen/>
            </w:r>
            <w:r>
              <w:t xml:space="preserve">advertising of </w:t>
            </w:r>
            <w:r w:rsidR="007A2EED">
              <w:t xml:space="preserve">applications, </w:t>
            </w:r>
            <w:r>
              <w:t xml:space="preserve">a requirement that </w:t>
            </w:r>
            <w:r w:rsidR="007A2EED">
              <w:t xml:space="preserve">developments must be located in </w:t>
            </w:r>
            <w:r>
              <w:t xml:space="preserve">a </w:t>
            </w:r>
            <w:r w:rsidR="007A2EED">
              <w:t>specified zone or overlay</w:t>
            </w:r>
            <w:r>
              <w:t>,</w:t>
            </w:r>
            <w:r w:rsidR="0025550E">
              <w:t xml:space="preserve"> and the CEO of the Local G</w:t>
            </w:r>
            <w:r w:rsidR="007A2EED">
              <w:t xml:space="preserve">overnment or delegate </w:t>
            </w:r>
            <w:r>
              <w:t xml:space="preserve">deciding </w:t>
            </w:r>
            <w:r w:rsidR="007A2EED">
              <w:t>application</w:t>
            </w:r>
            <w:r>
              <w:t>s</w:t>
            </w:r>
            <w:r w:rsidR="007A2EED">
              <w:t>. The streamlined assessment process was extended in March 2017 for building and works up to $1</w:t>
            </w:r>
            <w:r w:rsidR="00F067DD">
              <w:t> </w:t>
            </w:r>
            <w:r w:rsidR="007A2EED">
              <w:t>million in industrial areas, building and works up to $500</w:t>
            </w:r>
            <w:r w:rsidR="00F067DD">
              <w:t> </w:t>
            </w:r>
            <w:r w:rsidR="007A2EED">
              <w:t xml:space="preserve">000 in commercial areas and a range of low impact developments in rural areas. </w:t>
            </w:r>
          </w:p>
          <w:p w14:paraId="6E218A4E" w14:textId="77777777" w:rsidR="007A2EED" w:rsidRDefault="007A2EED" w:rsidP="007A2EED">
            <w:pPr>
              <w:pStyle w:val="Box"/>
            </w:pPr>
            <w:r>
              <w:t xml:space="preserve">The Victorian Government introduced </w:t>
            </w:r>
            <w:r w:rsidR="00561F6C">
              <w:t xml:space="preserve">a </w:t>
            </w:r>
            <w:r>
              <w:t xml:space="preserve">Smart Planning program in July 2016 </w:t>
            </w:r>
            <w:r w:rsidR="00A87932">
              <w:t>aimed at making</w:t>
            </w:r>
            <w:r>
              <w:t xml:space="preserve"> the planning system easier to understand and more efficient through simpler rules and modern digital tools. </w:t>
            </w:r>
          </w:p>
          <w:p w14:paraId="6E218A4F" w14:textId="72F07951" w:rsidR="007A2EED" w:rsidRDefault="00561F6C" w:rsidP="007A2EED">
            <w:pPr>
              <w:pStyle w:val="Box"/>
            </w:pPr>
            <w:r>
              <w:t>T</w:t>
            </w:r>
            <w:r w:rsidR="007A2EED">
              <w:t xml:space="preserve">he </w:t>
            </w:r>
            <w:r w:rsidR="007A2EED" w:rsidRPr="00F06B36">
              <w:rPr>
                <w:b/>
              </w:rPr>
              <w:t>Queensland Government</w:t>
            </w:r>
            <w:r w:rsidR="007A2EED">
              <w:t xml:space="preserve"> </w:t>
            </w:r>
            <w:r>
              <w:t xml:space="preserve">created </w:t>
            </w:r>
            <w:r w:rsidR="007A2EED">
              <w:t>the State Assessment and Referral Agency (SARA)</w:t>
            </w:r>
            <w:r>
              <w:t xml:space="preserve"> in 2013</w:t>
            </w:r>
            <w:r w:rsidR="007A2EED">
              <w:t>. SARA is a single lodg</w:t>
            </w:r>
            <w:r w:rsidR="00975AC9">
              <w:t>ement and assessment point for S</w:t>
            </w:r>
            <w:r w:rsidR="007A2EED">
              <w:t>tate de</w:t>
            </w:r>
            <w:r w:rsidR="00975AC9">
              <w:t>velopment proponents where the S</w:t>
            </w:r>
            <w:r w:rsidR="007A2EED">
              <w:t xml:space="preserve">tate has jurisdiction as assessment manager or referral agency. The Queensland Government’s new </w:t>
            </w:r>
            <w:r w:rsidR="003A7787">
              <w:t>planning</w:t>
            </w:r>
            <w:r w:rsidR="007A2EED">
              <w:t xml:space="preserve"> </w:t>
            </w:r>
            <w:r w:rsidR="003A7787">
              <w:t>legislation</w:t>
            </w:r>
            <w:r w:rsidR="007A2EED">
              <w:t xml:space="preserve"> </w:t>
            </w:r>
            <w:r w:rsidR="002551EA">
              <w:t>(</w:t>
            </w:r>
            <w:r w:rsidR="007A2EED">
              <w:t>2016</w:t>
            </w:r>
            <w:r w:rsidR="002551EA">
              <w:t>)</w:t>
            </w:r>
            <w:r w:rsidR="007A2EED">
              <w:t xml:space="preserve"> </w:t>
            </w:r>
            <w:r w:rsidR="002551EA">
              <w:t>further</w:t>
            </w:r>
            <w:r w:rsidR="007A2EED">
              <w:t xml:space="preserve"> </w:t>
            </w:r>
            <w:r w:rsidR="00F55F1C">
              <w:t>changed</w:t>
            </w:r>
            <w:r w:rsidR="007A2EED">
              <w:t xml:space="preserve"> the </w:t>
            </w:r>
            <w:r w:rsidR="00F55F1C">
              <w:t xml:space="preserve">legislative instrument governing </w:t>
            </w:r>
            <w:r w:rsidR="007A2EED">
              <w:t>DA process</w:t>
            </w:r>
            <w:r w:rsidR="00F55F1C">
              <w:t>es</w:t>
            </w:r>
            <w:r w:rsidR="007A2EED">
              <w:t xml:space="preserve"> from primary </w:t>
            </w:r>
            <w:r w:rsidR="00F55F1C">
              <w:t>to subordinate</w:t>
            </w:r>
            <w:r w:rsidR="007A2EED">
              <w:t xml:space="preserve"> legislation to allow the system to be more responsive to changes. </w:t>
            </w:r>
            <w:r w:rsidR="0032175E">
              <w:t>R</w:t>
            </w:r>
            <w:r w:rsidR="007A2EED">
              <w:t>eforms</w:t>
            </w:r>
            <w:r w:rsidR="0032175E">
              <w:t xml:space="preserve"> reduced the</w:t>
            </w:r>
            <w:r w:rsidR="007A2EED">
              <w:t xml:space="preserve"> categories of development from five </w:t>
            </w:r>
            <w:r w:rsidR="0032175E">
              <w:t>to three</w:t>
            </w:r>
            <w:r w:rsidR="007A2EED">
              <w:t xml:space="preserve">, </w:t>
            </w:r>
            <w:r w:rsidR="0032175E">
              <w:t>instituted</w:t>
            </w:r>
            <w:r w:rsidR="007A2EED">
              <w:t xml:space="preserve"> new decision rules for both code and impact assessable applications, and new tools for applicants. </w:t>
            </w:r>
          </w:p>
          <w:p w14:paraId="6E218A50" w14:textId="7BD38785" w:rsidR="007A2EED" w:rsidRDefault="007A2EED" w:rsidP="007A2EED">
            <w:pPr>
              <w:pStyle w:val="Box"/>
            </w:pPr>
            <w:r w:rsidRPr="00B80C28">
              <w:rPr>
                <w:b/>
              </w:rPr>
              <w:t>Western Australia</w:t>
            </w:r>
            <w:r>
              <w:t xml:space="preserve"> and </w:t>
            </w:r>
            <w:r w:rsidRPr="00F06B36">
              <w:rPr>
                <w:b/>
              </w:rPr>
              <w:t>South Australia</w:t>
            </w:r>
            <w:r>
              <w:t xml:space="preserve"> have </w:t>
            </w:r>
            <w:r w:rsidR="00561F6C">
              <w:t xml:space="preserve">committed </w:t>
            </w:r>
            <w:r>
              <w:t>to establish further track</w:t>
            </w:r>
            <w:r w:rsidR="00561F6C">
              <w:noBreakHyphen/>
            </w:r>
            <w:r>
              <w:t xml:space="preserve">based development assessment paths, </w:t>
            </w:r>
            <w:r w:rsidR="009E7B47">
              <w:t>but</w:t>
            </w:r>
            <w:r>
              <w:t xml:space="preserve"> </w:t>
            </w:r>
            <w:r w:rsidR="00561F6C">
              <w:t xml:space="preserve">they </w:t>
            </w:r>
            <w:r>
              <w:t>are as yet to be implemented. Reforms to date have</w:t>
            </w:r>
            <w:r w:rsidR="009E7B47">
              <w:t>,</w:t>
            </w:r>
            <w:r>
              <w:t xml:space="preserve"> amongst other things, focused on the role of expert panels. The Western Australian Government has established and refined the role of Development Assessment Panels to include professionals in the determination of applications for substantial projects at the local level</w:t>
            </w:r>
            <w:r w:rsidR="005C38C2">
              <w:t>.</w:t>
            </w:r>
            <w:r>
              <w:t xml:space="preserve"> The South Australian Government established an independent State Pla</w:t>
            </w:r>
            <w:r w:rsidR="00AB6F91">
              <w:t>nning Commission to act as the S</w:t>
            </w:r>
            <w:r>
              <w:t>tate’s planning advisory and development assessment body. Part of the Commission’s role is to oversee the new Council and Regional Assessment Panels. Similar to Western Australia, these panel</w:t>
            </w:r>
            <w:r w:rsidR="00427D8B">
              <w:t>s</w:t>
            </w:r>
            <w:r>
              <w:t xml:space="preserve"> most</w:t>
            </w:r>
            <w:r w:rsidR="00561F6C">
              <w:t>ly</w:t>
            </w:r>
            <w:r>
              <w:t xml:space="preserve"> comprise accredited professionals</w:t>
            </w:r>
            <w:r w:rsidR="00CB04E7">
              <w:t>.</w:t>
            </w:r>
            <w:r>
              <w:t xml:space="preserve"> </w:t>
            </w:r>
          </w:p>
          <w:p w14:paraId="6E218A51" w14:textId="77777777" w:rsidR="007A2EED" w:rsidRPr="00694932" w:rsidRDefault="007A2EED" w:rsidP="003775AD">
            <w:pPr>
              <w:pStyle w:val="Box"/>
            </w:pPr>
            <w:r>
              <w:t xml:space="preserve">The </w:t>
            </w:r>
            <w:r w:rsidRPr="00F06B36">
              <w:rPr>
                <w:b/>
              </w:rPr>
              <w:t>Northern Territory</w:t>
            </w:r>
            <w:r>
              <w:t xml:space="preserve"> </w:t>
            </w:r>
            <w:r w:rsidRPr="00CB116D">
              <w:rPr>
                <w:b/>
              </w:rPr>
              <w:t>Government</w:t>
            </w:r>
            <w:r>
              <w:t xml:space="preserve"> further streamlined </w:t>
            </w:r>
            <w:r w:rsidR="009E7B47">
              <w:t>its</w:t>
            </w:r>
            <w:r>
              <w:t xml:space="preserve"> development approval process in 2016 for ‘low risk, low impact’ development</w:t>
            </w:r>
            <w:r w:rsidR="009E7B47">
              <w:t>,</w:t>
            </w:r>
            <w:r>
              <w:t xml:space="preserve"> such as minor commercial additions. This amendment reduced regulatory burden and unnecessary delays as previously minor development proposals required consent through a full planning approval process</w:t>
            </w:r>
            <w:r w:rsidR="009E7B47">
              <w:t xml:space="preserve">. </w:t>
            </w:r>
          </w:p>
        </w:tc>
      </w:tr>
      <w:tr w:rsidR="007A2EED" w14:paraId="6E218A54" w14:textId="77777777" w:rsidTr="00C93098">
        <w:tc>
          <w:tcPr>
            <w:tcW w:w="5000" w:type="pct"/>
            <w:tcBorders>
              <w:top w:val="nil"/>
              <w:left w:val="nil"/>
              <w:bottom w:val="nil"/>
              <w:right w:val="nil"/>
            </w:tcBorders>
            <w:shd w:val="clear" w:color="auto" w:fill="F2F2F2"/>
          </w:tcPr>
          <w:p w14:paraId="6E218A53" w14:textId="77777777" w:rsidR="007A2EED" w:rsidRDefault="007A2EED" w:rsidP="00CB04E7">
            <w:pPr>
              <w:pStyle w:val="BoxSource"/>
            </w:pPr>
            <w:r w:rsidRPr="00B83786">
              <w:rPr>
                <w:i/>
              </w:rPr>
              <w:t>Sources</w:t>
            </w:r>
            <w:r w:rsidRPr="00B83786">
              <w:t xml:space="preserve">: </w:t>
            </w:r>
            <w:r w:rsidR="006F3389" w:rsidRPr="00B83786">
              <w:t xml:space="preserve">NSWDPE </w:t>
            </w:r>
            <w:r w:rsidR="006F3389" w:rsidRPr="00B83786">
              <w:rPr>
                <w:rFonts w:cs="Arial"/>
              </w:rPr>
              <w:t>(2016, 2017b)</w:t>
            </w:r>
            <w:r w:rsidR="006F3389" w:rsidRPr="00B83786">
              <w:t>;</w:t>
            </w:r>
            <w:r w:rsidR="00DD053F" w:rsidRPr="00B83786">
              <w:t xml:space="preserve"> Northern Territory Government </w:t>
            </w:r>
            <w:r w:rsidR="00DD053F" w:rsidRPr="00B83786">
              <w:rPr>
                <w:rFonts w:cs="Arial"/>
              </w:rPr>
              <w:t>(2016)</w:t>
            </w:r>
            <w:r w:rsidR="00DD053F" w:rsidRPr="00B83786">
              <w:t>;</w:t>
            </w:r>
            <w:r w:rsidR="006F3389" w:rsidRPr="00B83786">
              <w:t xml:space="preserve"> </w:t>
            </w:r>
            <w:r w:rsidR="005C38C2" w:rsidRPr="00B83786">
              <w:t xml:space="preserve">QDILGP </w:t>
            </w:r>
            <w:r w:rsidR="005C38C2" w:rsidRPr="00B83786">
              <w:rPr>
                <w:rFonts w:cs="Arial"/>
              </w:rPr>
              <w:t>(2016a)</w:t>
            </w:r>
            <w:r w:rsidR="005C38C2" w:rsidRPr="00B83786">
              <w:t xml:space="preserve">; </w:t>
            </w:r>
            <w:r w:rsidR="006F3389" w:rsidRPr="00B83786">
              <w:t xml:space="preserve">WAPC </w:t>
            </w:r>
            <w:r w:rsidR="005C38C2" w:rsidRPr="00B83786">
              <w:rPr>
                <w:rFonts w:cs="Arial"/>
              </w:rPr>
              <w:t>(2014)</w:t>
            </w:r>
            <w:r w:rsidR="005C38C2" w:rsidRPr="00B83786">
              <w:t xml:space="preserve">; </w:t>
            </w:r>
            <w:r w:rsidR="00CB04E7" w:rsidRPr="00B83786">
              <w:t xml:space="preserve">SADPTI </w:t>
            </w:r>
            <w:r w:rsidR="00CB04E7" w:rsidRPr="00B83786">
              <w:rPr>
                <w:rFonts w:cs="Arial"/>
              </w:rPr>
              <w:t>(2017a)</w:t>
            </w:r>
            <w:r w:rsidR="006C0EF1" w:rsidRPr="00B83786">
              <w:t xml:space="preserve">; VDELWP </w:t>
            </w:r>
            <w:r w:rsidR="006C0EF1" w:rsidRPr="00B83786">
              <w:rPr>
                <w:rFonts w:cs="Arial"/>
              </w:rPr>
              <w:t>(2016, 2017c)</w:t>
            </w:r>
            <w:r w:rsidR="00CB04E7" w:rsidRPr="00B83786">
              <w:t>.</w:t>
            </w:r>
            <w:r w:rsidR="00CB04E7" w:rsidRPr="00B83786" w:rsidDel="00CB04E7">
              <w:t xml:space="preserve"> </w:t>
            </w:r>
          </w:p>
        </w:tc>
      </w:tr>
      <w:tr w:rsidR="007A2EED" w14:paraId="6E218A56" w14:textId="77777777" w:rsidTr="00C93098">
        <w:tc>
          <w:tcPr>
            <w:tcW w:w="5000" w:type="pct"/>
            <w:tcBorders>
              <w:top w:val="nil"/>
              <w:left w:val="nil"/>
              <w:bottom w:val="single" w:sz="6" w:space="0" w:color="78A22F"/>
              <w:right w:val="nil"/>
            </w:tcBorders>
            <w:shd w:val="clear" w:color="auto" w:fill="F2F2F2"/>
          </w:tcPr>
          <w:p w14:paraId="6E218A55" w14:textId="77777777" w:rsidR="007A2EED" w:rsidRDefault="007A2EED">
            <w:pPr>
              <w:pStyle w:val="Box"/>
              <w:spacing w:before="0" w:line="120" w:lineRule="exact"/>
            </w:pPr>
          </w:p>
        </w:tc>
      </w:tr>
      <w:tr w:rsidR="007A2EED" w:rsidRPr="000863A5" w14:paraId="6E218A58" w14:textId="77777777" w:rsidTr="00C93098">
        <w:tc>
          <w:tcPr>
            <w:tcW w:w="5000" w:type="pct"/>
            <w:tcBorders>
              <w:top w:val="single" w:sz="6" w:space="0" w:color="78A22F"/>
              <w:left w:val="nil"/>
              <w:bottom w:val="nil"/>
              <w:right w:val="nil"/>
            </w:tcBorders>
          </w:tcPr>
          <w:p w14:paraId="6E218A57" w14:textId="77777777" w:rsidR="007A2EED" w:rsidRPr="00626D32" w:rsidRDefault="007A2EED" w:rsidP="00C93098">
            <w:pPr>
              <w:pStyle w:val="BoxSpaceBelow"/>
            </w:pPr>
          </w:p>
        </w:tc>
      </w:tr>
    </w:tbl>
    <w:p w14:paraId="6E218A81" w14:textId="77777777" w:rsidR="001A110D" w:rsidRDefault="001A110D" w:rsidP="001A110D">
      <w:pPr>
        <w:pStyle w:val="BodyText"/>
      </w:pPr>
      <w:r>
        <w:t>A 2016 study suggests that for large or high</w:t>
      </w:r>
      <w:r>
        <w:noBreakHyphen/>
        <w:t xml:space="preserve">value residential projects, where the State planning department is responsible for assessing the DA, there are more speedy response times than where councils make the decision </w:t>
      </w:r>
      <w:r w:rsidRPr="001A110D">
        <w:rPr>
          <w:szCs w:val="24"/>
        </w:rPr>
        <w:t>(Shoory 2016)</w:t>
      </w:r>
      <w:r>
        <w:t>. For example, in Victoria, the Minister for Planning is responsible for assessing large</w:t>
      </w:r>
      <w:r>
        <w:noBreakHyphen/>
        <w:t>scale projects in the City of Melbourne with a floor space exceeding 25</w:t>
      </w:r>
      <w:r w:rsidR="003B4D31">
        <w:t> </w:t>
      </w:r>
      <w:r>
        <w:t>000 square meters, which has partly contributed to strong growth in inner city apartments. In Brisbane, it is a large Local Government — the Brisbane City Council — that generally has assessment responsibilities for development within the central business district, and its application of a code</w:t>
      </w:r>
      <w:r>
        <w:noBreakHyphen/>
        <w:t>assessment framework to large developments has contributed to apartment growth. In contrast, in areas where the DA process is handled by local councils, with their own specific overlays and zoning restrictions (such as in inner and middle suburbs of Sydney and Melbourne), the approval process is often slower and housing supply takes longer to adjust.</w:t>
      </w:r>
    </w:p>
    <w:p w14:paraId="6E218A82" w14:textId="77777777" w:rsidR="00CA0027" w:rsidRDefault="008802E1" w:rsidP="001A110D">
      <w:pPr>
        <w:pStyle w:val="BodyText"/>
      </w:pPr>
      <w:r>
        <w:t xml:space="preserve">Ideally, </w:t>
      </w:r>
      <w:r w:rsidR="00177BA3">
        <w:t xml:space="preserve">DA </w:t>
      </w:r>
      <w:r>
        <w:t>p</w:t>
      </w:r>
      <w:r w:rsidR="008E5F55">
        <w:t xml:space="preserve">rocesses </w:t>
      </w:r>
      <w:r>
        <w:t>would a</w:t>
      </w:r>
      <w:r w:rsidR="008E5F55">
        <w:t>llow for</w:t>
      </w:r>
      <w:r>
        <w:t xml:space="preserve"> genuine third party interests to be factored into decisions while minimising the scope for inefficiency. </w:t>
      </w:r>
      <w:r w:rsidR="00CA0027">
        <w:t xml:space="preserve">The </w:t>
      </w:r>
      <w:r w:rsidR="00462C3C">
        <w:t>Development Assessment Forum</w:t>
      </w:r>
      <w:r w:rsidR="00CA0027">
        <w:t xml:space="preserve"> model recommends that third</w:t>
      </w:r>
      <w:r w:rsidR="00CA0027">
        <w:noBreakHyphen/>
        <w:t>part</w:t>
      </w:r>
      <w:r w:rsidR="00462C3C">
        <w:t>y</w:t>
      </w:r>
      <w:r w:rsidR="00CA0027">
        <w:t xml:space="preserve"> appeals should only be provided in limited cases</w:t>
      </w:r>
      <w:r w:rsidR="00462C3C">
        <w:t>,</w:t>
      </w:r>
      <w:r w:rsidR="00CA0027">
        <w:t xml:space="preserve"> and not provided where applicants are assessed against objective rules and tests </w:t>
      </w:r>
      <w:r w:rsidR="00CA0027" w:rsidRPr="00347182">
        <w:rPr>
          <w:szCs w:val="24"/>
        </w:rPr>
        <w:t>(DAF 2005)</w:t>
      </w:r>
      <w:r w:rsidR="00CA0027">
        <w:t>.</w:t>
      </w:r>
    </w:p>
    <w:p w14:paraId="6E218A83" w14:textId="7DA8EC95" w:rsidR="00177BA3" w:rsidRDefault="00177BA3" w:rsidP="00177BA3">
      <w:pPr>
        <w:pStyle w:val="BodyText"/>
      </w:pPr>
      <w:r>
        <w:t xml:space="preserve">The approaches of jurisdictions </w:t>
      </w:r>
      <w:r w:rsidR="0063137C">
        <w:t xml:space="preserve">on this matter </w:t>
      </w:r>
      <w:r>
        <w:t>differ, and are worth assessing against the model’s recommendations. For example, Victoria’s planning system is more open to third party reviews than other jurisdictions. A higher proportion of planning decisions in Victoria are thus reviewed. In 2014</w:t>
      </w:r>
      <w:r w:rsidR="00AB6E14">
        <w:noBreakHyphen/>
      </w:r>
      <w:r>
        <w:t>15, 22</w:t>
      </w:r>
      <w:r w:rsidR="003B4D31">
        <w:t> </w:t>
      </w:r>
      <w:r>
        <w:t>767 of 57</w:t>
      </w:r>
      <w:r w:rsidR="003B4D31">
        <w:t> </w:t>
      </w:r>
      <w:r>
        <w:t xml:space="preserve">297 permit applications received (39 per cent) were advertised to third parties and 2292 (4 per cent) were subject to review by Victorian Civil &amp; Administrative Tribunal (VCAT) </w:t>
      </w:r>
      <w:r w:rsidRPr="007C58AD">
        <w:rPr>
          <w:szCs w:val="24"/>
        </w:rPr>
        <w:t>(VDTPLI 2017)</w:t>
      </w:r>
      <w:r>
        <w:t>. In New South Wales, third party objectors must have a ‘relevant interest’ in the development. In 2014</w:t>
      </w:r>
      <w:r w:rsidR="00AB6E14">
        <w:noBreakHyphen/>
      </w:r>
      <w:r>
        <w:t>15, reviews and appeals</w:t>
      </w:r>
      <w:r w:rsidDel="005C4C92">
        <w:t xml:space="preserve"> </w:t>
      </w:r>
      <w:r>
        <w:t>accounted for 761, or less than 1 per cent, of the 106</w:t>
      </w:r>
      <w:r w:rsidR="003B4D31">
        <w:t> </w:t>
      </w:r>
      <w:r>
        <w:t xml:space="preserve">077 permit applications received </w:t>
      </w:r>
      <w:r w:rsidRPr="00A94ADD">
        <w:rPr>
          <w:szCs w:val="24"/>
        </w:rPr>
        <w:t>(NSWDPE 2016)</w:t>
      </w:r>
      <w:r>
        <w:t xml:space="preserve">. </w:t>
      </w:r>
    </w:p>
    <w:p w14:paraId="6E218A84" w14:textId="39FC24D3" w:rsidR="003C5E72" w:rsidRDefault="003C5E72" w:rsidP="003C5E72">
      <w:pPr>
        <w:pStyle w:val="BodyText"/>
      </w:pPr>
      <w:r>
        <w:t xml:space="preserve">In its 2013 White Paper on planning reforms, the </w:t>
      </w:r>
      <w:r w:rsidR="0063137C">
        <w:t>NSW</w:t>
      </w:r>
      <w:r>
        <w:t xml:space="preserve"> Government proposed that 80 per cent of all DAs should be subject to the fast</w:t>
      </w:r>
      <w:r>
        <w:noBreakHyphen/>
        <w:t xml:space="preserve">tracked approval pathways of either </w:t>
      </w:r>
      <w:r w:rsidRPr="00E514D2">
        <w:t>complying developments (proposals deemed low impact</w:t>
      </w:r>
      <w:r>
        <w:t xml:space="preserve"> that can be approved upon satisfaction of set criteria, such </w:t>
      </w:r>
      <w:r w:rsidRPr="00E514D2">
        <w:t>as property extensions up to two storeys) or code assessment</w:t>
      </w:r>
      <w:r>
        <w:t xml:space="preserve"> (other proposals that could also be approved through set criteria)</w:t>
      </w:r>
      <w:r w:rsidR="00FB20FF">
        <w:t xml:space="preserve"> </w:t>
      </w:r>
      <w:r w:rsidR="00FB20FF" w:rsidRPr="00FB20FF">
        <w:rPr>
          <w:szCs w:val="24"/>
        </w:rPr>
        <w:t>(NSW Government 2013)</w:t>
      </w:r>
      <w:r>
        <w:t xml:space="preserve">. </w:t>
      </w:r>
    </w:p>
    <w:p w14:paraId="6E218A85" w14:textId="2AA7165C" w:rsidR="0013247A" w:rsidRDefault="003C5E72" w:rsidP="003C5E72">
      <w:pPr>
        <w:pStyle w:val="BodyText"/>
      </w:pPr>
      <w:r>
        <w:t xml:space="preserve">Following the failure of reforms to pass the </w:t>
      </w:r>
      <w:r w:rsidR="0063137C">
        <w:t>NSW</w:t>
      </w:r>
      <w:r>
        <w:t xml:space="preserve"> Parliament, the Government has decided to not pursue code</w:t>
      </w:r>
      <w:r>
        <w:noBreakHyphen/>
        <w:t>assessment as a pathway and instead committed to ongoing improvement of the complying development track — an assessment pathway for proposals deemed low impact (such as property extensions up to two storeys). In 2011</w:t>
      </w:r>
      <w:r w:rsidR="003B4D31">
        <w:noBreakHyphen/>
      </w:r>
      <w:r>
        <w:t>12, the proportion of complying developments as a proportion of all DAs was 23 per cent. In 2014</w:t>
      </w:r>
      <w:r w:rsidR="003B4D31">
        <w:noBreakHyphen/>
      </w:r>
      <w:r>
        <w:t xml:space="preserve">15, this was 32 per cent. A report commissioned by the </w:t>
      </w:r>
      <w:r w:rsidR="007F7854">
        <w:t>NSW</w:t>
      </w:r>
      <w:r>
        <w:t xml:space="preserve"> Government estimated that the benefit of original reforms would be worth between $358 million and $550 million per year in</w:t>
      </w:r>
      <w:r w:rsidDel="0011773F">
        <w:t xml:space="preserve"> </w:t>
      </w:r>
      <w:r>
        <w:t>reduced risks associated with developments and avoided costs of delay and documentation</w:t>
      </w:r>
      <w:r w:rsidR="00FB20FF">
        <w:t xml:space="preserve"> </w:t>
      </w:r>
      <w:r w:rsidR="00720598" w:rsidRPr="00720598">
        <w:rPr>
          <w:szCs w:val="24"/>
        </w:rPr>
        <w:t>(CIE </w:t>
      </w:r>
      <w:r w:rsidR="00720598" w:rsidRPr="00E261B4">
        <w:rPr>
          <w:szCs w:val="24"/>
        </w:rPr>
        <w:t>2013)</w:t>
      </w:r>
      <w:r>
        <w:t>.</w:t>
      </w:r>
      <w:r w:rsidR="0013247A" w:rsidRPr="0061724D">
        <w:rPr>
          <w:rStyle w:val="FootnoteReference"/>
        </w:rPr>
        <w:footnoteReference w:id="6"/>
      </w:r>
      <w:r>
        <w:t xml:space="preserve"> </w:t>
      </w:r>
    </w:p>
    <w:p w14:paraId="6E218A86" w14:textId="77777777" w:rsidR="00F96A41" w:rsidRDefault="00F96A41" w:rsidP="00D31AC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F96A41" w14:paraId="6E218A89" w14:textId="77777777" w:rsidTr="00D31AC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E218A87" w14:textId="112E04E8" w:rsidR="00F96A41" w:rsidRPr="00C14F1B" w:rsidRDefault="0085299E" w:rsidP="00780CA8">
            <w:pPr>
              <w:pStyle w:val="FindingTitle"/>
              <w:spacing w:before="120" w:line="280" w:lineRule="exact"/>
              <w:rPr>
                <w:color w:val="132D4D" w:themeColor="accent2" w:themeShade="80"/>
              </w:rPr>
            </w:pPr>
            <w:r>
              <w:rPr>
                <w:color w:val="132D4D" w:themeColor="accent2" w:themeShade="80"/>
              </w:rPr>
              <w:t>conclusion </w:t>
            </w:r>
            <w:r w:rsidR="00771915">
              <w:rPr>
                <w:color w:val="132D4D" w:themeColor="accent2" w:themeShade="80"/>
              </w:rPr>
              <w:t>10.</w:t>
            </w:r>
            <w:r w:rsidR="001D1BC2" w:rsidRPr="00C14F1B">
              <w:rPr>
                <w:color w:val="132D4D" w:themeColor="accent2" w:themeShade="80"/>
              </w:rPr>
              <w:t>3</w:t>
            </w:r>
          </w:p>
          <w:p w14:paraId="6E218A88" w14:textId="77777777" w:rsidR="00F96A41" w:rsidRPr="00CE4C64" w:rsidRDefault="00A74C66" w:rsidP="00780CA8">
            <w:pPr>
              <w:pStyle w:val="BodyText"/>
              <w:spacing w:before="120" w:line="280" w:lineRule="exact"/>
            </w:pPr>
            <w:r w:rsidRPr="00C14F1B">
              <w:rPr>
                <w:rFonts w:ascii="Arial" w:hAnsi="Arial" w:cs="Arial"/>
                <w:color w:val="132D4D" w:themeColor="accent2" w:themeShade="80"/>
                <w:sz w:val="20"/>
              </w:rPr>
              <w:t>There have been</w:t>
            </w:r>
            <w:r w:rsidR="00AD1B16" w:rsidRPr="00C14F1B">
              <w:rPr>
                <w:rFonts w:ascii="Arial" w:hAnsi="Arial" w:cs="Arial"/>
                <w:color w:val="132D4D" w:themeColor="accent2" w:themeShade="80"/>
                <w:sz w:val="20"/>
              </w:rPr>
              <w:t xml:space="preserve"> </w:t>
            </w:r>
            <w:r w:rsidRPr="00C14F1B">
              <w:rPr>
                <w:rFonts w:ascii="Arial" w:hAnsi="Arial" w:cs="Arial"/>
                <w:color w:val="132D4D" w:themeColor="accent2" w:themeShade="80"/>
                <w:sz w:val="20"/>
              </w:rPr>
              <w:t>i</w:t>
            </w:r>
            <w:r w:rsidR="0020357D" w:rsidRPr="00C14F1B">
              <w:rPr>
                <w:rFonts w:ascii="Arial" w:hAnsi="Arial" w:cs="Arial"/>
                <w:color w:val="132D4D" w:themeColor="accent2" w:themeShade="80"/>
                <w:sz w:val="20"/>
              </w:rPr>
              <w:t>mprovement</w:t>
            </w:r>
            <w:r w:rsidRPr="00C14F1B">
              <w:rPr>
                <w:rFonts w:ascii="Arial" w:hAnsi="Arial" w:cs="Arial"/>
                <w:color w:val="132D4D" w:themeColor="accent2" w:themeShade="80"/>
                <w:sz w:val="20"/>
              </w:rPr>
              <w:t>s</w:t>
            </w:r>
            <w:r w:rsidR="0020357D" w:rsidRPr="00C14F1B">
              <w:rPr>
                <w:rFonts w:ascii="Arial" w:hAnsi="Arial" w:cs="Arial"/>
                <w:color w:val="132D4D" w:themeColor="accent2" w:themeShade="80"/>
                <w:sz w:val="20"/>
              </w:rPr>
              <w:t xml:space="preserve"> in development assessment</w:t>
            </w:r>
            <w:r w:rsidRPr="00C14F1B">
              <w:rPr>
                <w:rFonts w:ascii="Arial" w:hAnsi="Arial" w:cs="Arial"/>
                <w:color w:val="132D4D" w:themeColor="accent2" w:themeShade="80"/>
                <w:sz w:val="20"/>
              </w:rPr>
              <w:t xml:space="preserve"> </w:t>
            </w:r>
            <w:r w:rsidR="0020357D" w:rsidRPr="00C14F1B">
              <w:rPr>
                <w:rFonts w:ascii="Arial" w:hAnsi="Arial" w:cs="Arial"/>
                <w:color w:val="132D4D" w:themeColor="accent2" w:themeShade="80"/>
                <w:sz w:val="20"/>
              </w:rPr>
              <w:t xml:space="preserve">processes </w:t>
            </w:r>
            <w:r w:rsidR="00CA66C1" w:rsidRPr="00C14F1B">
              <w:rPr>
                <w:rFonts w:ascii="Arial" w:hAnsi="Arial" w:cs="Arial"/>
                <w:color w:val="132D4D" w:themeColor="accent2" w:themeShade="80"/>
                <w:sz w:val="20"/>
              </w:rPr>
              <w:t>in</w:t>
            </w:r>
            <w:r w:rsidR="003D4AD1" w:rsidRPr="00C14F1B">
              <w:rPr>
                <w:rFonts w:ascii="Arial" w:hAnsi="Arial" w:cs="Arial"/>
                <w:color w:val="132D4D" w:themeColor="accent2" w:themeShade="80"/>
                <w:sz w:val="20"/>
              </w:rPr>
              <w:t xml:space="preserve"> all jurisdictions</w:t>
            </w:r>
            <w:r w:rsidR="007F46FF" w:rsidRPr="00C14F1B">
              <w:rPr>
                <w:rFonts w:ascii="Arial" w:hAnsi="Arial" w:cs="Arial"/>
                <w:color w:val="132D4D" w:themeColor="accent2" w:themeShade="80"/>
                <w:sz w:val="20"/>
              </w:rPr>
              <w:t xml:space="preserve"> but there is </w:t>
            </w:r>
            <w:r w:rsidR="00D56543" w:rsidRPr="00C14F1B">
              <w:rPr>
                <w:rFonts w:ascii="Arial" w:hAnsi="Arial" w:cs="Arial"/>
                <w:color w:val="132D4D" w:themeColor="accent2" w:themeShade="80"/>
                <w:sz w:val="20"/>
              </w:rPr>
              <w:t>still room for improvement</w:t>
            </w:r>
            <w:r w:rsidR="007F46FF" w:rsidRPr="00C14F1B">
              <w:rPr>
                <w:rFonts w:ascii="Arial" w:hAnsi="Arial" w:cs="Arial"/>
                <w:color w:val="132D4D" w:themeColor="accent2" w:themeShade="80"/>
                <w:sz w:val="20"/>
              </w:rPr>
              <w:t xml:space="preserve"> in most. </w:t>
            </w:r>
          </w:p>
        </w:tc>
      </w:tr>
      <w:tr w:rsidR="00F96A41" w14:paraId="6E218A8B" w14:textId="77777777" w:rsidTr="00D31AC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E218A8A" w14:textId="77777777" w:rsidR="00F96A41" w:rsidRDefault="00F96A41" w:rsidP="00D31AC3">
            <w:pPr>
              <w:pStyle w:val="Space"/>
              <w:keepLines/>
            </w:pPr>
          </w:p>
        </w:tc>
      </w:tr>
      <w:tr w:rsidR="00F96A41" w:rsidRPr="000863A5" w14:paraId="6E218A8D" w14:textId="77777777" w:rsidTr="00D31AC3">
        <w:trPr>
          <w:cantSplit/>
          <w:tblHeader/>
        </w:trPr>
        <w:tc>
          <w:tcPr>
            <w:tcW w:w="5000" w:type="pct"/>
            <w:tcBorders>
              <w:top w:val="single" w:sz="4" w:space="0" w:color="265A9A" w:themeColor="accent2"/>
              <w:left w:val="nil"/>
              <w:bottom w:val="nil"/>
              <w:right w:val="nil"/>
            </w:tcBorders>
            <w:tcMar>
              <w:left w:w="170" w:type="dxa"/>
              <w:right w:w="170" w:type="dxa"/>
            </w:tcMar>
          </w:tcPr>
          <w:p w14:paraId="6E218A8C" w14:textId="77777777" w:rsidR="00F96A41" w:rsidRPr="00626D32" w:rsidRDefault="00F96A41" w:rsidP="00481E74">
            <w:pPr>
              <w:pStyle w:val="BoxSpaceBelow"/>
              <w:keepLines/>
            </w:pPr>
          </w:p>
        </w:tc>
      </w:tr>
    </w:tbl>
    <w:p w14:paraId="6E218A8E" w14:textId="77777777" w:rsidR="00C70D16" w:rsidRDefault="000E7D79" w:rsidP="00C8393B">
      <w:pPr>
        <w:pStyle w:val="Heading2"/>
      </w:pPr>
      <w:bookmarkStart w:id="21" w:name="_Toc488940560"/>
      <w:bookmarkStart w:id="22" w:name="_Toc489025327"/>
      <w:bookmarkStart w:id="23" w:name="_Toc489343257"/>
      <w:r>
        <w:t>5</w:t>
      </w:r>
      <w:r>
        <w:tab/>
      </w:r>
      <w:r w:rsidR="000B2F12">
        <w:t>Stamp duties</w:t>
      </w:r>
      <w:bookmarkEnd w:id="21"/>
      <w:bookmarkEnd w:id="22"/>
      <w:bookmarkEnd w:id="23"/>
    </w:p>
    <w:p w14:paraId="6E218A8F" w14:textId="77777777" w:rsidR="00517E9D" w:rsidRDefault="00552F2B" w:rsidP="00A36A97">
      <w:pPr>
        <w:pStyle w:val="BodyText"/>
      </w:pPr>
      <w:r>
        <w:t xml:space="preserve">Stamp duties are transaction taxes levied </w:t>
      </w:r>
      <w:r w:rsidR="001F1A7C">
        <w:t>by States and Territories</w:t>
      </w:r>
      <w:r w:rsidR="00A36A97">
        <w:t>, including</w:t>
      </w:r>
      <w:r w:rsidR="001F1A7C">
        <w:t xml:space="preserve"> </w:t>
      </w:r>
      <w:r>
        <w:t>on the</w:t>
      </w:r>
      <w:r w:rsidR="001F1A7C">
        <w:t xml:space="preserve"> sale or transfer of land </w:t>
      </w:r>
      <w:r w:rsidR="00A36A97">
        <w:t xml:space="preserve">and </w:t>
      </w:r>
      <w:r w:rsidR="001F1A7C">
        <w:t>the sale or transfer of business assets.</w:t>
      </w:r>
      <w:r w:rsidR="00A36A97">
        <w:t xml:space="preserve"> </w:t>
      </w:r>
      <w:r>
        <w:t xml:space="preserve">They are levied on an </w:t>
      </w:r>
      <w:r w:rsidRPr="002A60B2">
        <w:rPr>
          <w:i/>
        </w:rPr>
        <w:t>ad valorem</w:t>
      </w:r>
      <w:r>
        <w:t xml:space="preserve"> basis, such that the rate of </w:t>
      </w:r>
      <w:r w:rsidR="00EA44D9">
        <w:t>duty imposed increases with the value of the property</w:t>
      </w:r>
      <w:r w:rsidR="001F1A7C">
        <w:t xml:space="preserve">, and </w:t>
      </w:r>
      <w:r w:rsidR="00A36A97">
        <w:t xml:space="preserve">are </w:t>
      </w:r>
      <w:r w:rsidR="001F1A7C">
        <w:t>paid by property purchasers</w:t>
      </w:r>
      <w:r w:rsidR="00EA44D9">
        <w:t xml:space="preserve">. </w:t>
      </w:r>
    </w:p>
    <w:p w14:paraId="6E218A90" w14:textId="77777777" w:rsidR="00517E9D" w:rsidRDefault="00517E9D" w:rsidP="00517E9D">
      <w:pPr>
        <w:pStyle w:val="BodyText"/>
      </w:pPr>
      <w:r>
        <w:t xml:space="preserve">Stamp duties on residential property add to the price of houses, and can discourage people from moving to locations that may be </w:t>
      </w:r>
      <w:r w:rsidRPr="005C2CDB">
        <w:t>clos</w:t>
      </w:r>
      <w:r>
        <w:t xml:space="preserve">er to preferred jobs, family networks and </w:t>
      </w:r>
      <w:r w:rsidRPr="005C2CDB">
        <w:t>schools</w:t>
      </w:r>
      <w:r>
        <w:t xml:space="preserve"> </w:t>
      </w:r>
      <w:r w:rsidR="00990BF6" w:rsidRPr="00990BF6">
        <w:rPr>
          <w:szCs w:val="24"/>
        </w:rPr>
        <w:t>(PC</w:t>
      </w:r>
      <w:r w:rsidR="00990BF6" w:rsidRPr="00926BE3">
        <w:rPr>
          <w:szCs w:val="24"/>
        </w:rPr>
        <w:t> 2014b)</w:t>
      </w:r>
      <w:r>
        <w:t xml:space="preserve">. This can result in increased commuting times and costs </w:t>
      </w:r>
      <w:r w:rsidRPr="00C62AD1">
        <w:rPr>
          <w:szCs w:val="24"/>
        </w:rPr>
        <w:t>(Henry et al. 2009)</w:t>
      </w:r>
      <w:r>
        <w:t xml:space="preserve"> and the potential effects on mobility become more accentuated the greater are the frictions of moving between work and home. Stamp duties on commercial property further discourage businesses from investing in existing land and capital, and stamp duties on residential property can discourage people from downsizing and encourage overinvestment in upgrading property. All of these factors result in the retention of land for relatively unproductive purposes.</w:t>
      </w:r>
    </w:p>
    <w:p w14:paraId="6E218A91" w14:textId="77777777" w:rsidR="00DA4C17" w:rsidRDefault="00DA4C17" w:rsidP="00A36A97">
      <w:pPr>
        <w:pStyle w:val="BodyText"/>
      </w:pPr>
      <w:r>
        <w:t>In Sydney, stamp duty on residential property for the median house and unit price as of May 2017 of $1</w:t>
      </w:r>
      <w:r w:rsidR="009B739E">
        <w:t> </w:t>
      </w:r>
      <w:r>
        <w:t>198</w:t>
      </w:r>
      <w:r w:rsidR="009B739E">
        <w:t> </w:t>
      </w:r>
      <w:r>
        <w:t>650 and $762</w:t>
      </w:r>
      <w:r w:rsidR="009B739E">
        <w:t> </w:t>
      </w:r>
      <w:r>
        <w:t>590 was $51</w:t>
      </w:r>
      <w:r w:rsidR="009B739E">
        <w:t> </w:t>
      </w:r>
      <w:r>
        <w:t>419 and $29</w:t>
      </w:r>
      <w:r w:rsidR="009B739E">
        <w:t> </w:t>
      </w:r>
      <w:r>
        <w:t>807 respectively</w:t>
      </w:r>
      <w:r w:rsidR="0098642B">
        <w:t xml:space="preserve"> </w:t>
      </w:r>
      <w:r w:rsidR="0098642B" w:rsidRPr="0098642B">
        <w:rPr>
          <w:szCs w:val="24"/>
        </w:rPr>
        <w:t>(CoreLogic 2017)</w:t>
      </w:r>
      <w:r>
        <w:t>.</w:t>
      </w:r>
      <w:r w:rsidRPr="0061724D">
        <w:rPr>
          <w:rStyle w:val="FootnoteReference"/>
        </w:rPr>
        <w:footnoteReference w:id="7"/>
      </w:r>
      <w:r>
        <w:t xml:space="preserve"> This represents 4.3 per cent and 3.9 per cent of the purchase price, respectively.</w:t>
      </w:r>
    </w:p>
    <w:p w14:paraId="6E218A92" w14:textId="4EA5EDAC" w:rsidR="00F16E56" w:rsidRDefault="00CF7546" w:rsidP="00A36A97">
      <w:pPr>
        <w:pStyle w:val="BodyText"/>
      </w:pPr>
      <w:r>
        <w:t>The impacts</w:t>
      </w:r>
      <w:r w:rsidR="00DA4C17">
        <w:t xml:space="preserve"> of these costs on community welfare are significant</w:t>
      </w:r>
      <w:r w:rsidR="00031529">
        <w:t>. On</w:t>
      </w:r>
      <w:r>
        <w:t>e s</w:t>
      </w:r>
      <w:r w:rsidR="00F36D15">
        <w:t>tud</w:t>
      </w:r>
      <w:r>
        <w:t xml:space="preserve">y </w:t>
      </w:r>
      <w:r w:rsidR="00F36D15">
        <w:t>found that a 10 per cent increase in stamp duty lowered housing turnover by 3</w:t>
      </w:r>
      <w:r w:rsidR="003B4D31">
        <w:t> </w:t>
      </w:r>
      <w:r w:rsidR="00F36D15">
        <w:t>per</w:t>
      </w:r>
      <w:r w:rsidR="003B4D31">
        <w:t> </w:t>
      </w:r>
      <w:r w:rsidR="00F36D15">
        <w:t xml:space="preserve">cent in the first year, and by 6 per cent if sustained over a 3 year period </w:t>
      </w:r>
      <w:r w:rsidR="00F36D15" w:rsidRPr="005C2CDB">
        <w:t>(Davidoff and Leigh 2013)</w:t>
      </w:r>
      <w:r w:rsidR="00F36D15">
        <w:t>. Another study in the U</w:t>
      </w:r>
      <w:r w:rsidR="006B57CB">
        <w:t xml:space="preserve">nited </w:t>
      </w:r>
      <w:r w:rsidR="00F36D15">
        <w:t>K</w:t>
      </w:r>
      <w:r w:rsidR="006B57CB">
        <w:t>ingdom</w:t>
      </w:r>
      <w:r w:rsidR="00F36D15">
        <w:t xml:space="preserve"> found that, when stamp duty </w:t>
      </w:r>
      <w:r w:rsidR="005E3EBA">
        <w:t>on housing transactions</w:t>
      </w:r>
      <w:r w:rsidR="00F36D15">
        <w:t xml:space="preserve"> was suspended</w:t>
      </w:r>
      <w:r w:rsidR="005E3EBA">
        <w:t xml:space="preserve"> for 16 months on lower value transactions</w:t>
      </w:r>
      <w:r w:rsidR="00E5180A">
        <w:t xml:space="preserve"> </w:t>
      </w:r>
      <w:r w:rsidR="00156AD2">
        <w:t>(</w:t>
      </w:r>
      <w:r w:rsidR="00E5180A">
        <w:t>in response to the global financial crisis</w:t>
      </w:r>
      <w:r w:rsidR="00156AD2">
        <w:t>)</w:t>
      </w:r>
      <w:r w:rsidR="00F36D15">
        <w:t xml:space="preserve">, there was an 8 per cent increase in property transactions </w:t>
      </w:r>
      <w:r w:rsidR="00F36D15" w:rsidRPr="005C2CDB">
        <w:t>(Besley, Meads and Surico 2014)</w:t>
      </w:r>
      <w:r w:rsidR="00F36D15">
        <w:t>.</w:t>
      </w:r>
      <w:r w:rsidR="00403114">
        <w:t xml:space="preserve"> </w:t>
      </w:r>
    </w:p>
    <w:p w14:paraId="6E218A93" w14:textId="77777777" w:rsidR="00F36D15" w:rsidRDefault="00403114" w:rsidP="00A36A97">
      <w:pPr>
        <w:pStyle w:val="BodyText"/>
      </w:pPr>
      <w:r>
        <w:t>Recent Australian Treasury modelling estimated that each additional dollar collected by way of stamp duties reduces the living standards of Australian households by 7</w:t>
      </w:r>
      <w:r w:rsidR="00683B6E">
        <w:t>2</w:t>
      </w:r>
      <w:r>
        <w:t> cents in the long</w:t>
      </w:r>
      <w:r>
        <w:noBreakHyphen/>
        <w:t xml:space="preserve">run due to the lower investment and mobility effects </w:t>
      </w:r>
      <w:r w:rsidRPr="00B031D8">
        <w:rPr>
          <w:szCs w:val="24"/>
        </w:rPr>
        <w:t>(Australian Government 2015)</w:t>
      </w:r>
      <w:r>
        <w:t>.</w:t>
      </w:r>
    </w:p>
    <w:p w14:paraId="6E218A94" w14:textId="77777777" w:rsidR="00403114" w:rsidRDefault="00F36D15" w:rsidP="00F36D15">
      <w:pPr>
        <w:pStyle w:val="BodyText"/>
      </w:pPr>
      <w:r>
        <w:t>Stamp duties on the transfer of residential and commercial property</w:t>
      </w:r>
      <w:r w:rsidR="0055627B">
        <w:t xml:space="preserve"> also are a </w:t>
      </w:r>
      <w:r w:rsidR="00031529">
        <w:t xml:space="preserve">relatively </w:t>
      </w:r>
      <w:r w:rsidR="0055627B">
        <w:t>volatile revenue source</w:t>
      </w:r>
      <w:r w:rsidR="00403114">
        <w:t>.</w:t>
      </w:r>
      <w:r w:rsidR="00D6401F">
        <w:t xml:space="preserve"> </w:t>
      </w:r>
      <w:r w:rsidR="00031529">
        <w:t xml:space="preserve">Stamp duties presently represent the single largest revenue source </w:t>
      </w:r>
      <w:r w:rsidR="00F40CB6">
        <w:t>in most</w:t>
      </w:r>
      <w:r w:rsidR="00031529">
        <w:t xml:space="preserve"> jurisdictions yet receipts depend on activity in </w:t>
      </w:r>
      <w:r w:rsidR="00B569FE">
        <w:t>property markets</w:t>
      </w:r>
      <w:r w:rsidR="00031529">
        <w:t xml:space="preserve"> and are highly vulnerable to </w:t>
      </w:r>
      <w:r w:rsidR="00B569FE">
        <w:t xml:space="preserve">economic cycles. </w:t>
      </w:r>
    </w:p>
    <w:p w14:paraId="6E218A95" w14:textId="77777777" w:rsidR="00263C49" w:rsidRDefault="00403114" w:rsidP="00F36D15">
      <w:pPr>
        <w:pStyle w:val="BodyText"/>
      </w:pPr>
      <w:r>
        <w:t xml:space="preserve">Recognising the economic costs of stamp duties, </w:t>
      </w:r>
      <w:r w:rsidR="00E95AF5">
        <w:t>South Australia recently started phasing out stamp duty for all non</w:t>
      </w:r>
      <w:r w:rsidR="00E95AF5">
        <w:noBreakHyphen/>
        <w:t>residential, non</w:t>
      </w:r>
      <w:r w:rsidR="00E95AF5">
        <w:noBreakHyphen/>
        <w:t xml:space="preserve">primary production land from July 2016, with the aim of completely abolishing these duties by July 2018 </w:t>
      </w:r>
      <w:r w:rsidR="002C7A36" w:rsidRPr="002C7A36">
        <w:rPr>
          <w:szCs w:val="24"/>
        </w:rPr>
        <w:t>(Revenue SA</w:t>
      </w:r>
      <w:r w:rsidR="002C7A36" w:rsidRPr="00BB64EB">
        <w:rPr>
          <w:szCs w:val="24"/>
        </w:rPr>
        <w:t> </w:t>
      </w:r>
      <w:r w:rsidR="002C7A36" w:rsidRPr="009715C3">
        <w:rPr>
          <w:szCs w:val="24"/>
        </w:rPr>
        <w:t>2016)</w:t>
      </w:r>
      <w:r w:rsidR="00E95AF5">
        <w:t>.</w:t>
      </w:r>
      <w:r>
        <w:t xml:space="preserve"> </w:t>
      </w:r>
    </w:p>
    <w:p w14:paraId="6E218A96" w14:textId="175D3C19" w:rsidR="00263C49" w:rsidRDefault="00403114" w:rsidP="00F36D15">
      <w:pPr>
        <w:pStyle w:val="BodyText"/>
      </w:pPr>
      <w:r>
        <w:t>New South Wales abolished d</w:t>
      </w:r>
      <w:r w:rsidRPr="00403114">
        <w:t xml:space="preserve">uty on the transfer of business assets </w:t>
      </w:r>
      <w:r w:rsidR="00DB1C5B">
        <w:t xml:space="preserve">and </w:t>
      </w:r>
      <w:r w:rsidRPr="00403114">
        <w:t>declaration</w:t>
      </w:r>
      <w:r w:rsidR="00DB1C5B">
        <w:t>s</w:t>
      </w:r>
      <w:r w:rsidRPr="00403114">
        <w:t xml:space="preserve"> of trust over business assets (other than land) from 1</w:t>
      </w:r>
      <w:r w:rsidR="00AB6E14">
        <w:t> </w:t>
      </w:r>
      <w:r w:rsidRPr="00403114">
        <w:t>July 2016.</w:t>
      </w:r>
      <w:r w:rsidR="00406D3E">
        <w:t xml:space="preserve"> The Victorian Government announced the </w:t>
      </w:r>
      <w:r w:rsidR="00292EC0">
        <w:t>abolition</w:t>
      </w:r>
      <w:r w:rsidR="00406D3E">
        <w:t xml:space="preserve"> of stamp duty for first</w:t>
      </w:r>
      <w:r w:rsidR="00406D3E">
        <w:noBreakHyphen/>
        <w:t>home buyers who buy a home with a dutiable value of $600</w:t>
      </w:r>
      <w:r w:rsidR="009B739E">
        <w:t> </w:t>
      </w:r>
      <w:r w:rsidR="00406D3E">
        <w:t>000 or less and a concessional rate of duty to $750</w:t>
      </w:r>
      <w:r w:rsidR="009B739E">
        <w:t> </w:t>
      </w:r>
      <w:r w:rsidR="00406D3E">
        <w:t>000 from 1</w:t>
      </w:r>
      <w:r w:rsidR="00181B62">
        <w:t> </w:t>
      </w:r>
      <w:r w:rsidR="00406D3E">
        <w:t>July 2017</w:t>
      </w:r>
      <w:r w:rsidR="002A60B2">
        <w:t xml:space="preserve"> (although this was predominantly for housing affordability reasons)</w:t>
      </w:r>
      <w:r w:rsidR="00406D3E">
        <w:t>.</w:t>
      </w:r>
      <w:r w:rsidR="00406D3E" w:rsidRPr="0061724D">
        <w:rPr>
          <w:rStyle w:val="FootnoteReference"/>
        </w:rPr>
        <w:footnoteReference w:id="8"/>
      </w:r>
      <w:r w:rsidR="00292EC0">
        <w:t xml:space="preserve"> </w:t>
      </w:r>
    </w:p>
    <w:p w14:paraId="6E218A97" w14:textId="32C2DAAD" w:rsidR="00E95AF5" w:rsidRDefault="00292EC0" w:rsidP="00F36D15">
      <w:pPr>
        <w:pStyle w:val="BodyText"/>
      </w:pPr>
      <w:r>
        <w:t>The ACT, most notably,</w:t>
      </w:r>
      <w:r w:rsidR="00741E3E">
        <w:t xml:space="preserve"> has moved</w:t>
      </w:r>
      <w:r>
        <w:t xml:space="preserve"> from stamp duties to</w:t>
      </w:r>
      <w:r w:rsidR="00741E3E">
        <w:t xml:space="preserve"> greater utilisation of</w:t>
      </w:r>
      <w:r>
        <w:t xml:space="preserve"> </w:t>
      </w:r>
      <w:r w:rsidR="00741E3E">
        <w:t xml:space="preserve">its </w:t>
      </w:r>
      <w:r>
        <w:t>property</w:t>
      </w:r>
      <w:r w:rsidR="00181B62">
        <w:noBreakHyphen/>
      </w:r>
      <w:r>
        <w:t>based taxes</w:t>
      </w:r>
      <w:r w:rsidR="00031529">
        <w:t xml:space="preserve"> (discussed below)</w:t>
      </w:r>
      <w:r>
        <w:t xml:space="preserve">. </w:t>
      </w:r>
    </w:p>
    <w:p w14:paraId="6E218A98" w14:textId="77777777" w:rsidR="00586104" w:rsidRDefault="00586104" w:rsidP="00F06B36">
      <w:pPr>
        <w:pStyle w:val="Heading3"/>
      </w:pPr>
      <w:r>
        <w:t xml:space="preserve">A </w:t>
      </w:r>
      <w:r w:rsidR="004F5D71">
        <w:t xml:space="preserve">shift </w:t>
      </w:r>
      <w:r w:rsidR="00D46577">
        <w:t xml:space="preserve">from stamp duties to </w:t>
      </w:r>
      <w:r w:rsidR="004F5D71">
        <w:t>taxes based on land value</w:t>
      </w:r>
    </w:p>
    <w:p w14:paraId="6E218A99" w14:textId="77777777" w:rsidR="004F5D71" w:rsidRDefault="004F5D71" w:rsidP="004F5D71">
      <w:pPr>
        <w:pStyle w:val="BodyText"/>
      </w:pPr>
      <w:r>
        <w:t xml:space="preserve">Taxes based on land values avoid the imposition of penalties for moving, and the inequity of tax burdens falling disproportionately on those who choose to move, whether for work or lifestyle reasons. </w:t>
      </w:r>
    </w:p>
    <w:p w14:paraId="6E218A9A" w14:textId="77777777" w:rsidR="00D6401F" w:rsidRDefault="00EE5257" w:rsidP="00F36D15">
      <w:pPr>
        <w:pStyle w:val="BodyText"/>
      </w:pPr>
      <w:r>
        <w:t xml:space="preserve">In contrast to stamp duties, broad based taxes based on land value have a low economic cost because land is immobile and cannot be moved or varied to avoid tax </w:t>
      </w:r>
      <w:r w:rsidRPr="00552EB1">
        <w:rPr>
          <w:szCs w:val="24"/>
        </w:rPr>
        <w:t>(Australian Government 2015)</w:t>
      </w:r>
      <w:r>
        <w:t xml:space="preserve">. </w:t>
      </w:r>
      <w:r w:rsidR="00292EC0">
        <w:t>T</w:t>
      </w:r>
      <w:r w:rsidR="00E823F7">
        <w:t>a</w:t>
      </w:r>
      <w:r w:rsidR="001C1EA0">
        <w:t>x revenue</w:t>
      </w:r>
      <w:r w:rsidR="005D7054">
        <w:t xml:space="preserve"> is</w:t>
      </w:r>
      <w:r w:rsidR="004F5D71">
        <w:t xml:space="preserve"> also</w:t>
      </w:r>
      <w:r w:rsidR="005D7054">
        <w:t xml:space="preserve"> </w:t>
      </w:r>
      <w:r w:rsidR="001C1EA0">
        <w:t xml:space="preserve">more stable because </w:t>
      </w:r>
      <w:r w:rsidR="005D7054">
        <w:t xml:space="preserve">it is not as </w:t>
      </w:r>
      <w:r w:rsidR="00031529">
        <w:t xml:space="preserve">exposed </w:t>
      </w:r>
      <w:r w:rsidR="005D7054">
        <w:t xml:space="preserve">to the volatility of the housing market. </w:t>
      </w:r>
    </w:p>
    <w:p w14:paraId="6E218A9B" w14:textId="77777777" w:rsidR="006265D8" w:rsidRPr="007C3746" w:rsidRDefault="006265D8" w:rsidP="006265D8">
      <w:pPr>
        <w:pStyle w:val="BodyText"/>
      </w:pPr>
      <w:r>
        <w:t>The Grattan Institute estimate</w:t>
      </w:r>
      <w:r w:rsidR="004F5D71">
        <w:t>d</w:t>
      </w:r>
      <w:r>
        <w:t xml:space="preserve"> that shifting from replacing stamp duties in all States with a </w:t>
      </w:r>
      <w:r w:rsidR="00637562">
        <w:t>broad based</w:t>
      </w:r>
      <w:r>
        <w:t xml:space="preserve"> land tax could add $9 billion annually to GDP</w:t>
      </w:r>
      <w:r w:rsidR="0042795C">
        <w:t xml:space="preserve"> </w:t>
      </w:r>
      <w:r w:rsidR="0042795C" w:rsidRPr="0042795C">
        <w:rPr>
          <w:szCs w:val="24"/>
        </w:rPr>
        <w:t>(Daley and Coates 2015)</w:t>
      </w:r>
      <w:r>
        <w:t xml:space="preserve">. </w:t>
      </w:r>
      <w:r w:rsidR="00637562">
        <w:t xml:space="preserve">The majority of benefits would accrue directly to those jurisdictions </w:t>
      </w:r>
      <w:r w:rsidR="00FD1BA8">
        <w:t>from a more productive workforce and the</w:t>
      </w:r>
      <w:r w:rsidR="00637562" w:rsidDel="00FD1BA8">
        <w:t xml:space="preserve"> </w:t>
      </w:r>
      <w:r w:rsidR="00637562">
        <w:t>more productive use of land.</w:t>
      </w:r>
      <w:r w:rsidR="0042795C">
        <w:t xml:space="preserve"> </w:t>
      </w:r>
    </w:p>
    <w:p w14:paraId="6E218A9C" w14:textId="77777777" w:rsidR="00563523" w:rsidRPr="00F06B36" w:rsidRDefault="00563523" w:rsidP="00F06B36">
      <w:pPr>
        <w:pStyle w:val="Heading3"/>
      </w:pPr>
      <w:r w:rsidRPr="00F06B36">
        <w:t>Pract</w:t>
      </w:r>
      <w:r w:rsidRPr="003775AD">
        <w:t xml:space="preserve">ical </w:t>
      </w:r>
      <w:r>
        <w:t>considerations</w:t>
      </w:r>
    </w:p>
    <w:p w14:paraId="6E218A9D" w14:textId="77777777" w:rsidR="0024327A" w:rsidRDefault="0024327A" w:rsidP="0024327A">
      <w:pPr>
        <w:pStyle w:val="BodyText"/>
      </w:pPr>
      <w:r>
        <w:t>The ACT</w:t>
      </w:r>
      <w:r w:rsidR="00AC482E">
        <w:t xml:space="preserve"> Government’s</w:t>
      </w:r>
      <w:r>
        <w:t xml:space="preserve"> </w:t>
      </w:r>
      <w:r w:rsidR="00AC482E">
        <w:t xml:space="preserve">move </w:t>
      </w:r>
      <w:r>
        <w:t>illustrates the feasibility of the proposed</w:t>
      </w:r>
      <w:r w:rsidR="00563523">
        <w:t xml:space="preserve"> shift</w:t>
      </w:r>
      <w:r w:rsidR="00AC482E">
        <w:t xml:space="preserve"> in tax bases, although i</w:t>
      </w:r>
      <w:r>
        <w:t>ts task is</w:t>
      </w:r>
      <w:r w:rsidR="00AC482E">
        <w:t xml:space="preserve"> </w:t>
      </w:r>
      <w:r>
        <w:t xml:space="preserve">somewhat more straightforward </w:t>
      </w:r>
      <w:r w:rsidR="00AC482E">
        <w:t>as</w:t>
      </w:r>
      <w:r>
        <w:t xml:space="preserve"> both the rating and taxing authority for the territory. State Governments and the Northern Territory Government would need</w:t>
      </w:r>
      <w:r w:rsidR="00563523">
        <w:t xml:space="preserve"> to </w:t>
      </w:r>
      <w:r>
        <w:t>use an alternative to rates</w:t>
      </w:r>
      <w:r>
        <w:noBreakHyphen/>
        <w:t xml:space="preserve">based reform. Moving from stamp duties to taxes on the (unimproved – as discussed below) </w:t>
      </w:r>
      <w:r w:rsidR="00563523">
        <w:t xml:space="preserve">value </w:t>
      </w:r>
      <w:r>
        <w:t xml:space="preserve">of land for all properties (similar to a rating system) would seem to be a sound option. </w:t>
      </w:r>
    </w:p>
    <w:p w14:paraId="6E218A9E" w14:textId="4E509B7F" w:rsidR="0024327A" w:rsidRDefault="0024327A" w:rsidP="0024327A">
      <w:pPr>
        <w:pStyle w:val="BodyText"/>
      </w:pPr>
      <w:r>
        <w:t>Indicative calculations suggest that a switch from stamp duties to land taxes based on an assumption of revenue neutrality would result in</w:t>
      </w:r>
      <w:r w:rsidR="007F7854">
        <w:t xml:space="preserve"> relatively</w:t>
      </w:r>
      <w:r>
        <w:t xml:space="preserve"> low land tax rates (box </w:t>
      </w:r>
      <w:r w:rsidR="00BC4DD4">
        <w:t>8</w:t>
      </w:r>
      <w:r>
        <w:t xml:space="preserve">). </w:t>
      </w:r>
    </w:p>
    <w:p w14:paraId="6E218A9F" w14:textId="77777777" w:rsidR="0024327A" w:rsidRDefault="0024327A" w:rsidP="002432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24327A" w14:paraId="6E218AA1" w14:textId="77777777" w:rsidTr="0024327A">
        <w:tc>
          <w:tcPr>
            <w:tcW w:w="5000" w:type="pct"/>
            <w:tcBorders>
              <w:top w:val="single" w:sz="6" w:space="0" w:color="78A22F"/>
              <w:left w:val="nil"/>
              <w:bottom w:val="nil"/>
              <w:right w:val="nil"/>
            </w:tcBorders>
            <w:shd w:val="clear" w:color="auto" w:fill="F2F2F2"/>
          </w:tcPr>
          <w:p w14:paraId="6E218AA0" w14:textId="77777777" w:rsidR="0024327A" w:rsidRDefault="0024327A" w:rsidP="00293911">
            <w:pPr>
              <w:pStyle w:val="BoxTitle"/>
            </w:pPr>
            <w:r>
              <w:rPr>
                <w:b w:val="0"/>
              </w:rPr>
              <w:t xml:space="preserve">Box </w:t>
            </w:r>
            <w:r w:rsidR="00293911">
              <w:rPr>
                <w:b w:val="0"/>
              </w:rPr>
              <w:t>8</w:t>
            </w:r>
            <w:r>
              <w:tab/>
              <w:t>Broad</w:t>
            </w:r>
            <w:r>
              <w:noBreakHyphen/>
              <w:t>based land tax rate</w:t>
            </w:r>
          </w:p>
        </w:tc>
      </w:tr>
      <w:tr w:rsidR="0024327A" w14:paraId="6E218AA5" w14:textId="77777777" w:rsidTr="0024327A">
        <w:tc>
          <w:tcPr>
            <w:tcW w:w="5000" w:type="pct"/>
            <w:tcBorders>
              <w:top w:val="nil"/>
              <w:left w:val="nil"/>
              <w:bottom w:val="nil"/>
              <w:right w:val="nil"/>
            </w:tcBorders>
            <w:shd w:val="clear" w:color="auto" w:fill="F2F2F2"/>
          </w:tcPr>
          <w:p w14:paraId="6E218AA2" w14:textId="14F1417F" w:rsidR="0024327A" w:rsidRDefault="0024327A" w:rsidP="0024327A">
            <w:pPr>
              <w:pStyle w:val="Box"/>
            </w:pPr>
            <w:r>
              <w:t xml:space="preserve">The 2011 </w:t>
            </w:r>
            <w:r w:rsidR="007F7854">
              <w:t>NSW</w:t>
            </w:r>
            <w:r>
              <w:t xml:space="preserve"> Financial Audit proposed two alternative methods for transitioning from transfer duty to a land tax. The first scheme proposed a transition from transfer duty to an annual Stamp Duty Replacement Tax (SDRT) levied on the value of all land. The report proposed rates of the annual SDRT of 0.75 per cent of the unimproved land value of properties with land value less than $775 per square metre and a marginal rate of 1 per cent on land value above this threshold. These rates were estimated to ensure the present value of SDRT payments would equate to the transfer duty that would otherwise have been paid.</w:t>
            </w:r>
          </w:p>
          <w:p w14:paraId="6E218AA3" w14:textId="77777777" w:rsidR="0024327A" w:rsidRDefault="0024327A" w:rsidP="0024327A">
            <w:pPr>
              <w:pStyle w:val="Box"/>
            </w:pPr>
            <w:r>
              <w:t>The other approach proposed a transition away from transfer duty to SDRT on all properties at a low rate, with gradual increments over time. This is similar to the ACT’s scheme. The main advantage of this approach is that budget neutrality can be maintained.</w:t>
            </w:r>
          </w:p>
          <w:p w14:paraId="6E218AA4" w14:textId="3404C2FC" w:rsidR="0024327A" w:rsidRDefault="0024327A" w:rsidP="002E5DAD">
            <w:pPr>
              <w:pStyle w:val="Box"/>
            </w:pPr>
            <w:r>
              <w:t xml:space="preserve">A 2015 report by the Grattan Institute suggested that replacing stamp duties with a levy on unimproved land values would be </w:t>
            </w:r>
            <w:r w:rsidR="002E5DAD">
              <w:t>about</w:t>
            </w:r>
            <w:r>
              <w:t xml:space="preserve"> 0.4 per cent of unimproved values of all land using Valuer</w:t>
            </w:r>
            <w:r w:rsidR="00BC4DD4">
              <w:t xml:space="preserve"> </w:t>
            </w:r>
            <w:r>
              <w:t>General valuations.</w:t>
            </w:r>
          </w:p>
        </w:tc>
      </w:tr>
      <w:tr w:rsidR="0024327A" w14:paraId="6E218AA7" w14:textId="77777777" w:rsidTr="0024327A">
        <w:tc>
          <w:tcPr>
            <w:tcW w:w="5000" w:type="pct"/>
            <w:tcBorders>
              <w:top w:val="nil"/>
              <w:left w:val="nil"/>
              <w:bottom w:val="nil"/>
              <w:right w:val="nil"/>
            </w:tcBorders>
            <w:shd w:val="clear" w:color="auto" w:fill="F2F2F2"/>
          </w:tcPr>
          <w:p w14:paraId="6E218AA6" w14:textId="77777777" w:rsidR="0024327A" w:rsidRDefault="0024327A" w:rsidP="00496183">
            <w:pPr>
              <w:pStyle w:val="BoxSource"/>
            </w:pPr>
            <w:r>
              <w:rPr>
                <w:i/>
              </w:rPr>
              <w:t>Sources</w:t>
            </w:r>
            <w:r w:rsidRPr="00167F06">
              <w:t>:</w:t>
            </w:r>
            <w:r>
              <w:t xml:space="preserve"> </w:t>
            </w:r>
            <w:r w:rsidR="00496183">
              <w:t xml:space="preserve">Daley and Coates </w:t>
            </w:r>
            <w:r w:rsidR="00496183" w:rsidRPr="00F406C6">
              <w:rPr>
                <w:rFonts w:cs="Arial"/>
              </w:rPr>
              <w:t>(2015)</w:t>
            </w:r>
            <w:r w:rsidR="00496183">
              <w:t xml:space="preserve">; </w:t>
            </w:r>
            <w:r>
              <w:t xml:space="preserve">NSW Financial Audit </w:t>
            </w:r>
            <w:r w:rsidRPr="002D7AE0">
              <w:rPr>
                <w:rFonts w:cs="Arial"/>
              </w:rPr>
              <w:t>(2011)</w:t>
            </w:r>
            <w:r>
              <w:t>.</w:t>
            </w:r>
          </w:p>
        </w:tc>
      </w:tr>
      <w:tr w:rsidR="0024327A" w14:paraId="6E218AA9" w14:textId="77777777" w:rsidTr="0024327A">
        <w:tc>
          <w:tcPr>
            <w:tcW w:w="5000" w:type="pct"/>
            <w:tcBorders>
              <w:top w:val="nil"/>
              <w:left w:val="nil"/>
              <w:bottom w:val="single" w:sz="6" w:space="0" w:color="78A22F"/>
              <w:right w:val="nil"/>
            </w:tcBorders>
            <w:shd w:val="clear" w:color="auto" w:fill="F2F2F2"/>
          </w:tcPr>
          <w:p w14:paraId="6E218AA8" w14:textId="77777777" w:rsidR="0024327A" w:rsidRDefault="0024327A" w:rsidP="0024327A">
            <w:pPr>
              <w:pStyle w:val="Box"/>
              <w:spacing w:before="0" w:line="120" w:lineRule="exact"/>
            </w:pPr>
          </w:p>
        </w:tc>
      </w:tr>
      <w:tr w:rsidR="0024327A" w:rsidRPr="000863A5" w14:paraId="6E218AAB" w14:textId="77777777" w:rsidTr="0024327A">
        <w:tc>
          <w:tcPr>
            <w:tcW w:w="5000" w:type="pct"/>
            <w:tcBorders>
              <w:top w:val="single" w:sz="6" w:space="0" w:color="78A22F"/>
              <w:left w:val="nil"/>
              <w:bottom w:val="nil"/>
              <w:right w:val="nil"/>
            </w:tcBorders>
          </w:tcPr>
          <w:p w14:paraId="6E218AAA" w14:textId="77777777" w:rsidR="0024327A" w:rsidRPr="00626D32" w:rsidRDefault="0024327A" w:rsidP="0024327A">
            <w:pPr>
              <w:pStyle w:val="BoxSpaceBelow"/>
            </w:pPr>
          </w:p>
        </w:tc>
      </w:tr>
    </w:tbl>
    <w:p w14:paraId="6E218AAC" w14:textId="77777777" w:rsidR="0024327A" w:rsidRDefault="0024327A" w:rsidP="00F36D15">
      <w:pPr>
        <w:pStyle w:val="BodyText"/>
      </w:pPr>
      <w:r>
        <w:t xml:space="preserve">The ACT Government’s reforms </w:t>
      </w:r>
      <w:r w:rsidR="00E7625C">
        <w:t xml:space="preserve">contain </w:t>
      </w:r>
      <w:r>
        <w:t>the following key elements, from which lessons could be drawn by other governments</w:t>
      </w:r>
      <w:r w:rsidR="00BC7277">
        <w:t>.</w:t>
      </w:r>
    </w:p>
    <w:p w14:paraId="6E218AAD" w14:textId="77777777" w:rsidR="0024327A" w:rsidRDefault="0024327A" w:rsidP="0024327A">
      <w:pPr>
        <w:pStyle w:val="ListBullet"/>
      </w:pPr>
      <w:r>
        <w:t xml:space="preserve">The </w:t>
      </w:r>
      <w:r w:rsidRPr="0024327A">
        <w:t xml:space="preserve">phasing out </w:t>
      </w:r>
      <w:r>
        <w:t xml:space="preserve">of </w:t>
      </w:r>
      <w:r w:rsidRPr="0024327A">
        <w:t xml:space="preserve">stamp duties, replacing these </w:t>
      </w:r>
      <w:r>
        <w:t xml:space="preserve">gradually </w:t>
      </w:r>
      <w:r w:rsidR="00E7625C">
        <w:t xml:space="preserve">(over 20 years) </w:t>
      </w:r>
      <w:r w:rsidRPr="0024327A">
        <w:t>with higher general rates for residents and commercial properties (box</w:t>
      </w:r>
      <w:r w:rsidR="000F3DDB">
        <w:t> </w:t>
      </w:r>
      <w:r w:rsidR="00E7625C">
        <w:t>9</w:t>
      </w:r>
      <w:r w:rsidRPr="0024327A">
        <w:t xml:space="preserve">). </w:t>
      </w:r>
    </w:p>
    <w:p w14:paraId="6E218AAE" w14:textId="77777777" w:rsidR="00BC6500" w:rsidRDefault="00C41035" w:rsidP="002A60B2">
      <w:pPr>
        <w:pStyle w:val="ListBullet"/>
      </w:pPr>
      <w:r>
        <w:t>Inclusion of p</w:t>
      </w:r>
      <w:r w:rsidR="0024327A">
        <w:t xml:space="preserve">rovisions to </w:t>
      </w:r>
      <w:r w:rsidR="00DC69B9">
        <w:t>not unduly disadvantaging those on low incomes. A</w:t>
      </w:r>
      <w:r w:rsidR="008E5C7E">
        <w:t xml:space="preserve"> Pensioner Rates Rebate</w:t>
      </w:r>
      <w:r w:rsidR="00DC69B9">
        <w:t xml:space="preserve"> scheme </w:t>
      </w:r>
      <w:r w:rsidR="008E5C7E">
        <w:t xml:space="preserve">provides a concession to eligible age pensioners of 50 per cent on their general rates up to a maximum of $700. Rebate assistance is limited to a pensioner’s principal place of residence </w:t>
      </w:r>
      <w:r w:rsidR="00BC6500" w:rsidRPr="00BC6500">
        <w:rPr>
          <w:szCs w:val="24"/>
        </w:rPr>
        <w:t>(ACT Government 2017)</w:t>
      </w:r>
      <w:r w:rsidR="00BC6500">
        <w:t>.</w:t>
      </w:r>
    </w:p>
    <w:p w14:paraId="6E218AAF" w14:textId="77777777" w:rsidR="008E5C7E" w:rsidRDefault="00DC69B9" w:rsidP="002A60B2">
      <w:pPr>
        <w:pStyle w:val="ListBullet"/>
      </w:pPr>
      <w:r>
        <w:t>A</w:t>
      </w:r>
      <w:r w:rsidR="008E5C7E">
        <w:t xml:space="preserve"> Rates Deferral System allows pensioners and other eligible households to defer all or part of the balance of their general rates. The deferment of rates is also available to property owners receiving unemployment or other benefits, or suffering substantial financial hardship. The deferred amount attracts a low rate of simple interest and is payable on t</w:t>
      </w:r>
      <w:r w:rsidR="0048759B">
        <w:t xml:space="preserve">he sale of the property. </w:t>
      </w:r>
    </w:p>
    <w:p w14:paraId="6E218AB0" w14:textId="77777777" w:rsidR="00F36D15" w:rsidRDefault="00C41035" w:rsidP="00727982">
      <w:pPr>
        <w:pStyle w:val="ListBullet"/>
      </w:pPr>
      <w:r>
        <w:t xml:space="preserve">Pursuit of </w:t>
      </w:r>
      <w:r w:rsidR="00BC7277">
        <w:t>tax reform</w:t>
      </w:r>
      <w:r w:rsidR="008E5C7E">
        <w:t xml:space="preserve"> </w:t>
      </w:r>
      <w:r w:rsidR="001D6147">
        <w:t xml:space="preserve">primarily </w:t>
      </w:r>
      <w:r w:rsidR="00DC69B9">
        <w:t xml:space="preserve">to achieve greater efficiency, rather than </w:t>
      </w:r>
      <w:r w:rsidR="00BC7277">
        <w:t>to increase revenue</w:t>
      </w:r>
      <w:r w:rsidR="001D6147">
        <w:t xml:space="preserve"> per se</w:t>
      </w:r>
      <w:r w:rsidR="008E5C7E">
        <w:t xml:space="preserve"> </w:t>
      </w:r>
      <w:r w:rsidR="0018027E" w:rsidRPr="00741E3E">
        <w:rPr>
          <w:szCs w:val="24"/>
        </w:rPr>
        <w:t>(ACT Government 2012)</w:t>
      </w:r>
      <w:r w:rsidR="008E5C7E">
        <w:t xml:space="preserve">. </w:t>
      </w:r>
    </w:p>
    <w:p w14:paraId="6E218AB1" w14:textId="33BB6FF6" w:rsidR="00F81717" w:rsidRDefault="00BC7277" w:rsidP="00727982">
      <w:pPr>
        <w:pStyle w:val="ListBullet"/>
      </w:pPr>
      <w:r>
        <w:t>The use of unimproved land values</w:t>
      </w:r>
      <w:r w:rsidR="00F81717">
        <w:t xml:space="preserve"> as the basis for setting </w:t>
      </w:r>
      <w:r w:rsidR="00EC7EBE">
        <w:t>rates (</w:t>
      </w:r>
      <w:r w:rsidR="00F81717">
        <w:t>tax</w:t>
      </w:r>
      <w:r w:rsidR="00EC7EBE">
        <w:t>)</w:t>
      </w:r>
      <w:r w:rsidR="00563523">
        <w:t>, rather than</w:t>
      </w:r>
      <w:r w:rsidR="00F81717">
        <w:t xml:space="preserve"> </w:t>
      </w:r>
      <w:r w:rsidR="00563523">
        <w:t xml:space="preserve">the alternative of </w:t>
      </w:r>
      <w:r w:rsidR="00F81717">
        <w:t xml:space="preserve">Capital Improved Value (CIV). The CIV method </w:t>
      </w:r>
      <w:r w:rsidR="002775C1">
        <w:t>bases tax on</w:t>
      </w:r>
      <w:r w:rsidR="00B12567">
        <w:t xml:space="preserve"> </w:t>
      </w:r>
      <w:r w:rsidR="00F81717">
        <w:t xml:space="preserve">the unimproved value of land </w:t>
      </w:r>
      <w:r w:rsidR="00B12567">
        <w:t xml:space="preserve">plus </w:t>
      </w:r>
      <w:r w:rsidR="00F81717">
        <w:t>any capital improvements to the land</w:t>
      </w:r>
      <w:r w:rsidR="00B12567">
        <w:t>,</w:t>
      </w:r>
      <w:r w:rsidR="00F81717">
        <w:t xml:space="preserve"> such as buildings and extensions. </w:t>
      </w:r>
      <w:r>
        <w:t>Studies suggest t</w:t>
      </w:r>
      <w:r w:rsidR="00F81717">
        <w:t xml:space="preserve">axing capital improvements discourage </w:t>
      </w:r>
      <w:r w:rsidR="007F7854">
        <w:t xml:space="preserve">asset </w:t>
      </w:r>
      <w:r w:rsidR="00F81717">
        <w:t xml:space="preserve">owners from undertaking productive investments </w:t>
      </w:r>
      <w:r w:rsidR="0035572D" w:rsidRPr="0035572D">
        <w:rPr>
          <w:szCs w:val="24"/>
        </w:rPr>
        <w:t>(Daley and Coates 2015; Henry et al. 2009; IPART 2016)</w:t>
      </w:r>
      <w:r w:rsidR="00F81717">
        <w:t>.</w:t>
      </w:r>
    </w:p>
    <w:p w14:paraId="10B86D44" w14:textId="0A22C3C3" w:rsidR="00373DAE" w:rsidRDefault="00440AAE" w:rsidP="00373DAE">
      <w:pPr>
        <w:pStyle w:val="BodyText"/>
        <w:spacing w:after="240"/>
      </w:pPr>
      <w:r>
        <w:t xml:space="preserve">A key design consideration in reform, as found by the ACT, is </w:t>
      </w:r>
      <w:r w:rsidR="00EC7EBE">
        <w:t>providin</w:t>
      </w:r>
      <w:r w:rsidR="00682205">
        <w:t xml:space="preserve">g for </w:t>
      </w:r>
      <w:r w:rsidR="00EC7EBE">
        <w:t xml:space="preserve">property owners </w:t>
      </w:r>
      <w:r w:rsidR="00F975E0">
        <w:t>with</w:t>
      </w:r>
      <w:r>
        <w:t xml:space="preserve"> low recurrent incomes. Th</w:t>
      </w:r>
      <w:r w:rsidR="00E22CE6">
        <w:t xml:space="preserve">is matter is considered below. </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708FE" w14:paraId="6E218ABA" w14:textId="77777777" w:rsidTr="006765EF">
        <w:tc>
          <w:tcPr>
            <w:tcW w:w="8789" w:type="dxa"/>
            <w:tcBorders>
              <w:top w:val="single" w:sz="6" w:space="0" w:color="78A22F"/>
              <w:left w:val="nil"/>
              <w:bottom w:val="nil"/>
              <w:right w:val="nil"/>
            </w:tcBorders>
            <w:shd w:val="clear" w:color="auto" w:fill="F2F2F2"/>
          </w:tcPr>
          <w:p w14:paraId="6E218AB9" w14:textId="77777777" w:rsidR="007708FE" w:rsidRDefault="007708FE" w:rsidP="00293911">
            <w:pPr>
              <w:pStyle w:val="BoxTitle"/>
            </w:pPr>
            <w:r>
              <w:rPr>
                <w:b w:val="0"/>
              </w:rPr>
              <w:t xml:space="preserve">Box </w:t>
            </w:r>
            <w:r w:rsidR="00293911">
              <w:rPr>
                <w:b w:val="0"/>
              </w:rPr>
              <w:t>9</w:t>
            </w:r>
            <w:r>
              <w:tab/>
              <w:t xml:space="preserve">Phasing out stamp duty in the ACT </w:t>
            </w:r>
          </w:p>
        </w:tc>
      </w:tr>
      <w:tr w:rsidR="007708FE" w14:paraId="6E218AC3" w14:textId="77777777" w:rsidTr="006765EF">
        <w:tc>
          <w:tcPr>
            <w:tcW w:w="8789" w:type="dxa"/>
            <w:tcBorders>
              <w:top w:val="nil"/>
              <w:left w:val="nil"/>
              <w:bottom w:val="nil"/>
              <w:right w:val="nil"/>
            </w:tcBorders>
            <w:shd w:val="clear" w:color="auto" w:fill="F2F2F2"/>
          </w:tcPr>
          <w:p w14:paraId="6E218ABB" w14:textId="77777777" w:rsidR="007708FE" w:rsidRDefault="007708FE" w:rsidP="007708FE">
            <w:pPr>
              <w:pStyle w:val="BoxHeading2"/>
            </w:pPr>
            <w:r>
              <w:t xml:space="preserve">Tax mix switch </w:t>
            </w:r>
          </w:p>
          <w:p w14:paraId="6E218ABC" w14:textId="50D6EFA0" w:rsidR="007708FE" w:rsidRDefault="007708FE" w:rsidP="007708FE">
            <w:pPr>
              <w:pStyle w:val="Box"/>
            </w:pPr>
            <w:r>
              <w:t>Stamp duty rates on conveyances have been progressively reduced since June 2012, with the aim of phasing out the duty completely over a 20 year period. As part of the reform program, stamp duty on insurance policies were also phased out (an</w:t>
            </w:r>
            <w:r w:rsidR="00E22CE6">
              <w:t>d fully abolished in 2016</w:t>
            </w:r>
            <w:r w:rsidR="00E22CE6">
              <w:noBreakHyphen/>
              <w:t xml:space="preserve">17). </w:t>
            </w:r>
            <w:r>
              <w:t>Since the reform program started in June 2012, d</w:t>
            </w:r>
            <w:r w:rsidRPr="00D662EF">
              <w:t>uty on a $500</w:t>
            </w:r>
            <w:r w:rsidR="00C56E71">
              <w:t> </w:t>
            </w:r>
            <w:r w:rsidRPr="00D662EF">
              <w:t>000 property has been cut by 34</w:t>
            </w:r>
            <w:r w:rsidR="00C56E71">
              <w:t> </w:t>
            </w:r>
            <w:r w:rsidRPr="00D662EF">
              <w:t>per</w:t>
            </w:r>
            <w:r w:rsidR="00C56E71">
              <w:t> </w:t>
            </w:r>
            <w:r w:rsidRPr="00D662EF">
              <w:t xml:space="preserve">cent. </w:t>
            </w:r>
            <w:r>
              <w:t>T</w:t>
            </w:r>
            <w:r w:rsidRPr="00D662EF">
              <w:t xml:space="preserve">he </w:t>
            </w:r>
            <w:r>
              <w:t>Territory’s 2016</w:t>
            </w:r>
            <w:r>
              <w:noBreakHyphen/>
              <w:t>17 budget estimates that, by</w:t>
            </w:r>
            <w:r w:rsidRPr="00D662EF">
              <w:t xml:space="preserve"> 2020</w:t>
            </w:r>
            <w:r w:rsidR="00AB6E14">
              <w:noBreakHyphen/>
            </w:r>
            <w:r w:rsidRPr="00D662EF">
              <w:t xml:space="preserve">21 (the </w:t>
            </w:r>
            <w:r w:rsidRPr="00D662EF" w:rsidDel="00C15559">
              <w:t>half</w:t>
            </w:r>
            <w:r w:rsidR="00181B62">
              <w:noBreakHyphen/>
            </w:r>
            <w:r w:rsidRPr="00D662EF">
              <w:t>way point of the tax</w:t>
            </w:r>
            <w:r>
              <w:t xml:space="preserve"> </w:t>
            </w:r>
            <w:r w:rsidRPr="00D662EF">
              <w:t>reform program), duty on a $500</w:t>
            </w:r>
            <w:r w:rsidR="00C56E71">
              <w:t> </w:t>
            </w:r>
            <w:r w:rsidRPr="00D662EF">
              <w:t>000</w:t>
            </w:r>
            <w:r>
              <w:t xml:space="preserve"> house will have been cut by 51 per </w:t>
            </w:r>
            <w:r w:rsidRPr="00D662EF">
              <w:t>cent.</w:t>
            </w:r>
          </w:p>
          <w:p w14:paraId="6E218ABD" w14:textId="77777777" w:rsidR="007708FE" w:rsidRDefault="007708FE" w:rsidP="007708FE">
            <w:pPr>
              <w:pStyle w:val="Box"/>
            </w:pPr>
            <w:r>
              <w:t>To replace the loss of stamp duty revenue, the ACT Government increased general rates for both the residential and commercial sectors. In addition, residential land tax (on investment properties) has been made more progressive. Land tax rates were reduced for properties up to $275 000 in value (attracting, at most, 0.89 per cent), and increased from 1.4 to 1.8 per cent for all properties valued above that threshold. The ACT Government estimated that land tax rates would decrease by an average of $208 for 76 per</w:t>
            </w:r>
            <w:r w:rsidR="00C56E71">
              <w:t> </w:t>
            </w:r>
            <w:r>
              <w:t>cent of properties, while 12 per</w:t>
            </w:r>
            <w:r w:rsidR="00C56E71">
              <w:t> </w:t>
            </w:r>
            <w:r>
              <w:t>cent would incur an increase of $602.</w:t>
            </w:r>
          </w:p>
          <w:p w14:paraId="6E218ABE" w14:textId="77777777" w:rsidR="007708FE" w:rsidRDefault="007708FE" w:rsidP="007708FE">
            <w:pPr>
              <w:pStyle w:val="Box"/>
            </w:pPr>
            <w:r>
              <w:t xml:space="preserve">The ACT is somewhat unique in that, as a Territory, the ACT Government can be both the land taxing and general rate levying authority. Thus it could reform the tax mix with relatively little administrative disruption. </w:t>
            </w:r>
          </w:p>
          <w:p w14:paraId="6E218ABF" w14:textId="7A27D052" w:rsidR="007708FE" w:rsidRDefault="007708FE" w:rsidP="007708FE">
            <w:pPr>
              <w:pStyle w:val="Box"/>
            </w:pPr>
            <w:r>
              <w:t>In addition to higher general rates, the structure of rates was</w:t>
            </w:r>
            <w:r w:rsidDel="000D0688">
              <w:t xml:space="preserve"> </w:t>
            </w:r>
            <w:r>
              <w:t>changed from a flat rate to a two</w:t>
            </w:r>
            <w:r>
              <w:noBreakHyphen/>
              <w:t xml:space="preserve">part marginal rate structure, consisting of a fixed charge of $555 to all households, and a progressive marginal tax rate linked to land value. </w:t>
            </w:r>
            <w:r w:rsidRPr="00953DEC">
              <w:t xml:space="preserve">Average general rates have increased by about $452 compared </w:t>
            </w:r>
            <w:r w:rsidR="00835CB0">
              <w:t>with</w:t>
            </w:r>
            <w:r w:rsidRPr="00953DEC">
              <w:t xml:space="preserve"> what they</w:t>
            </w:r>
            <w:r>
              <w:t xml:space="preserve"> </w:t>
            </w:r>
            <w:r w:rsidRPr="00953DEC">
              <w:t xml:space="preserve">would have in the absence of reform. </w:t>
            </w:r>
            <w:r>
              <w:t>I</w:t>
            </w:r>
            <w:r w:rsidRPr="00953DEC">
              <w:t xml:space="preserve">ncreases </w:t>
            </w:r>
            <w:r>
              <w:t>in</w:t>
            </w:r>
            <w:r w:rsidRPr="00953DEC">
              <w:t xml:space="preserve"> the progressivity of</w:t>
            </w:r>
            <w:r>
              <w:t xml:space="preserve"> </w:t>
            </w:r>
            <w:r w:rsidRPr="00953DEC">
              <w:t>the rates system has meant that low</w:t>
            </w:r>
            <w:r w:rsidR="00181B62">
              <w:noBreakHyphen/>
            </w:r>
            <w:r w:rsidRPr="00953DEC">
              <w:t xml:space="preserve">value properties </w:t>
            </w:r>
            <w:r>
              <w:t>have</w:t>
            </w:r>
            <w:r w:rsidRPr="00953DEC">
              <w:t xml:space="preserve"> been less </w:t>
            </w:r>
            <w:r>
              <w:t>affected</w:t>
            </w:r>
            <w:r w:rsidRPr="00953DEC">
              <w:t xml:space="preserve"> by the transition.</w:t>
            </w:r>
            <w:r>
              <w:t xml:space="preserve"> </w:t>
            </w:r>
          </w:p>
          <w:p w14:paraId="6E218AC0" w14:textId="77777777" w:rsidR="007708FE" w:rsidRDefault="007708FE" w:rsidP="007708FE">
            <w:pPr>
              <w:pStyle w:val="BoxHeading2"/>
            </w:pPr>
            <w:r>
              <w:t>Addressing welfare impacts</w:t>
            </w:r>
          </w:p>
          <w:p w14:paraId="6E218AC1" w14:textId="41D5F8D1" w:rsidR="007708FE" w:rsidRDefault="007708FE" w:rsidP="007708FE">
            <w:pPr>
              <w:pStyle w:val="Box"/>
            </w:pPr>
            <w:r>
              <w:t>To address welfare impacts from the new system, the general rates rebate for eligible recipients was increased from $481 to $565, and the eligibility criteria for deferring general rates was expanded to include people aged over 65, and land values above $390 000. As at 2017, eligible households receive up to 50 per</w:t>
            </w:r>
            <w:r w:rsidR="00C56E71">
              <w:t> </w:t>
            </w:r>
            <w:r>
              <w:t>cent rebate on general rates up to a maximum of $700. Households who were eligible for the general rates concession rebate on 30</w:t>
            </w:r>
            <w:r w:rsidR="00181B62">
              <w:t> </w:t>
            </w:r>
            <w:r>
              <w:t>June 1997 are eligible for the uncapped general rates concession, up to the value of the concession received in 2015</w:t>
            </w:r>
            <w:r w:rsidR="00AB6E14">
              <w:noBreakHyphen/>
            </w:r>
            <w:r>
              <w:t>16. The uncapped general rates scheme was frozen at 2015</w:t>
            </w:r>
            <w:r w:rsidR="00AB6E14">
              <w:noBreakHyphen/>
            </w:r>
            <w:r>
              <w:t>16 levels from 1</w:t>
            </w:r>
            <w:r w:rsidR="00181B62">
              <w:t> </w:t>
            </w:r>
            <w:r>
              <w:t>July 2016.</w:t>
            </w:r>
            <w:r w:rsidDel="00947F3D">
              <w:t xml:space="preserve"> </w:t>
            </w:r>
          </w:p>
          <w:p w14:paraId="6E218AC2" w14:textId="383418F2" w:rsidR="007708FE" w:rsidRDefault="007708FE" w:rsidP="007708FE">
            <w:pPr>
              <w:pStyle w:val="Box"/>
            </w:pPr>
            <w:r>
              <w:t>From 1 July</w:t>
            </w:r>
            <w:r w:rsidR="00181B62">
              <w:t xml:space="preserve"> </w:t>
            </w:r>
            <w:r>
              <w:t xml:space="preserve">2016, the eligibility criteria for general rates deferral to pensioners is based on the following criteria: </w:t>
            </w:r>
            <w:r w:rsidRPr="002A60B2">
              <w:rPr>
                <w:rFonts w:asciiTheme="minorHAnsi" w:hAnsiTheme="minorHAnsi" w:cstheme="minorHAnsi"/>
              </w:rPr>
              <w:t>aged 65 and over; and</w:t>
            </w:r>
            <w:r>
              <w:rPr>
                <w:rFonts w:asciiTheme="minorHAnsi" w:hAnsiTheme="minorHAnsi" w:cstheme="minorHAnsi"/>
              </w:rPr>
              <w:t xml:space="preserve"> </w:t>
            </w:r>
            <w:r w:rsidRPr="002A60B2">
              <w:rPr>
                <w:rFonts w:asciiTheme="minorHAnsi" w:hAnsiTheme="minorHAnsi" w:cstheme="minorHAnsi"/>
              </w:rPr>
              <w:t>the combined income of all property owners must be below the annual average earnings of $89</w:t>
            </w:r>
            <w:r w:rsidR="00C56E71">
              <w:rPr>
                <w:rFonts w:asciiTheme="minorHAnsi" w:hAnsiTheme="minorHAnsi" w:cstheme="minorHAnsi"/>
              </w:rPr>
              <w:t> </w:t>
            </w:r>
            <w:r w:rsidRPr="002A60B2">
              <w:rPr>
                <w:rFonts w:asciiTheme="minorHAnsi" w:hAnsiTheme="minorHAnsi" w:cstheme="minorHAnsi"/>
              </w:rPr>
              <w:t>300; and</w:t>
            </w:r>
            <w:r>
              <w:rPr>
                <w:rFonts w:asciiTheme="minorHAnsi" w:hAnsiTheme="minorHAnsi" w:cstheme="minorHAnsi"/>
              </w:rPr>
              <w:t xml:space="preserve"> </w:t>
            </w:r>
            <w:r w:rsidRPr="002A60B2">
              <w:rPr>
                <w:rFonts w:asciiTheme="minorHAnsi" w:hAnsiTheme="minorHAnsi" w:cstheme="minorHAnsi"/>
              </w:rPr>
              <w:t>the unimproved value of the property must be higher than the 80th percentile value of $442</w:t>
            </w:r>
            <w:r w:rsidR="00C56E71">
              <w:rPr>
                <w:rFonts w:asciiTheme="minorHAnsi" w:hAnsiTheme="minorHAnsi" w:cstheme="minorHAnsi"/>
              </w:rPr>
              <w:t> </w:t>
            </w:r>
            <w:r w:rsidRPr="002A60B2">
              <w:rPr>
                <w:rFonts w:asciiTheme="minorHAnsi" w:hAnsiTheme="minorHAnsi" w:cstheme="minorHAnsi"/>
              </w:rPr>
              <w:t>000; and</w:t>
            </w:r>
            <w:r>
              <w:rPr>
                <w:rFonts w:asciiTheme="minorHAnsi" w:hAnsiTheme="minorHAnsi" w:cstheme="minorHAnsi"/>
              </w:rPr>
              <w:t xml:space="preserve"> </w:t>
            </w:r>
            <w:r w:rsidRPr="002A60B2">
              <w:rPr>
                <w:rFonts w:asciiTheme="minorHAnsi" w:hAnsiTheme="minorHAnsi" w:cstheme="minorHAnsi"/>
              </w:rPr>
              <w:t xml:space="preserve">property owners must have at least 75 per cent </w:t>
            </w:r>
            <w:r w:rsidRPr="00941237">
              <w:t>equity in their home</w:t>
            </w:r>
            <w:r>
              <w:t xml:space="preserve">. </w:t>
            </w:r>
            <w:r w:rsidRPr="00941237">
              <w:t>In addition to eligible pensioners, property owners receiving unemployment or other benefits, or suffering substantial hardship, can apply to defer payment of their rates charges.</w:t>
            </w:r>
          </w:p>
        </w:tc>
      </w:tr>
      <w:tr w:rsidR="007708FE" w14:paraId="6E218AC5" w14:textId="77777777" w:rsidTr="006765EF">
        <w:tc>
          <w:tcPr>
            <w:tcW w:w="8789" w:type="dxa"/>
            <w:tcBorders>
              <w:top w:val="nil"/>
              <w:left w:val="nil"/>
              <w:bottom w:val="nil"/>
              <w:right w:val="nil"/>
            </w:tcBorders>
            <w:shd w:val="clear" w:color="auto" w:fill="F2F2F2"/>
          </w:tcPr>
          <w:p w14:paraId="6E218AC4" w14:textId="77777777" w:rsidR="007708FE" w:rsidRDefault="007708FE" w:rsidP="00D31AC3">
            <w:pPr>
              <w:pStyle w:val="Continued"/>
            </w:pPr>
            <w:r>
              <w:t>(</w:t>
            </w:r>
            <w:r w:rsidR="00D31AC3">
              <w:t>continued</w:t>
            </w:r>
            <w:r>
              <w:t>)</w:t>
            </w:r>
          </w:p>
        </w:tc>
      </w:tr>
      <w:tr w:rsidR="007708FE" w14:paraId="6E218AC7" w14:textId="77777777" w:rsidTr="006765EF">
        <w:tc>
          <w:tcPr>
            <w:tcW w:w="8789" w:type="dxa"/>
            <w:tcBorders>
              <w:top w:val="nil"/>
              <w:left w:val="nil"/>
              <w:bottom w:val="single" w:sz="6" w:space="0" w:color="78A22F"/>
              <w:right w:val="nil"/>
            </w:tcBorders>
            <w:shd w:val="clear" w:color="auto" w:fill="F2F2F2"/>
          </w:tcPr>
          <w:p w14:paraId="6E218AC6" w14:textId="77777777" w:rsidR="007708FE" w:rsidRDefault="007708FE" w:rsidP="007708FE">
            <w:pPr>
              <w:pStyle w:val="Box"/>
              <w:spacing w:before="0" w:line="120" w:lineRule="exact"/>
            </w:pPr>
          </w:p>
        </w:tc>
      </w:tr>
      <w:tr w:rsidR="007708FE" w:rsidRPr="000863A5" w14:paraId="6E218AC9" w14:textId="77777777" w:rsidTr="006765EF">
        <w:tc>
          <w:tcPr>
            <w:tcW w:w="8789" w:type="dxa"/>
            <w:tcBorders>
              <w:top w:val="single" w:sz="6" w:space="0" w:color="78A22F"/>
              <w:left w:val="nil"/>
              <w:bottom w:val="nil"/>
              <w:right w:val="nil"/>
            </w:tcBorders>
          </w:tcPr>
          <w:p w14:paraId="6E218AC8" w14:textId="77777777" w:rsidR="007708FE" w:rsidRPr="00626D32" w:rsidRDefault="007708FE" w:rsidP="007708FE">
            <w:pPr>
              <w:pStyle w:val="BoxSpaceBelow"/>
            </w:pPr>
          </w:p>
        </w:tc>
      </w:tr>
    </w:tbl>
    <w:p w14:paraId="6E218ACA" w14:textId="77777777" w:rsidR="007708FE" w:rsidRDefault="007708FE" w:rsidP="007708F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7708FE" w14:paraId="6E218ACC" w14:textId="77777777" w:rsidTr="007708FE">
        <w:tc>
          <w:tcPr>
            <w:tcW w:w="5000" w:type="pct"/>
            <w:tcBorders>
              <w:top w:val="single" w:sz="6" w:space="0" w:color="78A22F"/>
              <w:left w:val="nil"/>
              <w:bottom w:val="nil"/>
              <w:right w:val="nil"/>
            </w:tcBorders>
            <w:shd w:val="clear" w:color="auto" w:fill="F2F2F2"/>
          </w:tcPr>
          <w:p w14:paraId="6E218ACB" w14:textId="77777777" w:rsidR="007708FE" w:rsidRDefault="007708FE" w:rsidP="00293911">
            <w:pPr>
              <w:pStyle w:val="BoxTitle"/>
            </w:pPr>
            <w:r>
              <w:rPr>
                <w:b w:val="0"/>
              </w:rPr>
              <w:t xml:space="preserve">Box </w:t>
            </w:r>
            <w:r w:rsidR="00293911">
              <w:rPr>
                <w:b w:val="0"/>
              </w:rPr>
              <w:t>9</w:t>
            </w:r>
            <w:r w:rsidR="00293911">
              <w:t xml:space="preserve"> </w:t>
            </w:r>
            <w:r>
              <w:tab/>
              <w:t>Phasing out stamp duty in the ACT (continued)</w:t>
            </w:r>
          </w:p>
        </w:tc>
      </w:tr>
      <w:tr w:rsidR="007708FE" w14:paraId="6E218AD2" w14:textId="77777777" w:rsidTr="007708FE">
        <w:tc>
          <w:tcPr>
            <w:tcW w:w="5000" w:type="pct"/>
            <w:tcBorders>
              <w:top w:val="nil"/>
              <w:left w:val="nil"/>
              <w:bottom w:val="nil"/>
              <w:right w:val="nil"/>
            </w:tcBorders>
            <w:shd w:val="clear" w:color="auto" w:fill="F2F2F2"/>
          </w:tcPr>
          <w:p w14:paraId="6E218ACD" w14:textId="77777777" w:rsidR="007708FE" w:rsidRPr="00941237" w:rsidRDefault="007708FE" w:rsidP="007708FE">
            <w:pPr>
              <w:pStyle w:val="BoxHeading2"/>
            </w:pPr>
            <w:r>
              <w:t>Impact</w:t>
            </w:r>
          </w:p>
          <w:p w14:paraId="6E218ACE" w14:textId="64B562D2" w:rsidR="007708FE" w:rsidRDefault="007708FE" w:rsidP="007708FE">
            <w:pPr>
              <w:pStyle w:val="Box"/>
            </w:pPr>
            <w:r w:rsidRPr="0024327A">
              <w:t xml:space="preserve">The ACT Government estimated that the economic benefit from the reduction in stamp duty would be </w:t>
            </w:r>
            <w:r w:rsidR="002E5DAD">
              <w:t>about</w:t>
            </w:r>
            <w:r w:rsidRPr="0024327A">
              <w:t xml:space="preserve"> $13.3</w:t>
            </w:r>
            <w:r w:rsidR="00F067DD">
              <w:t> </w:t>
            </w:r>
            <w:r w:rsidRPr="0024327A">
              <w:t>million in GSP within the first year of the reform, and provide additional benefits over the transition period.</w:t>
            </w:r>
          </w:p>
          <w:p w14:paraId="6E218ACF" w14:textId="4C6C5BD6" w:rsidR="007708FE" w:rsidRDefault="007708FE" w:rsidP="007708FE">
            <w:pPr>
              <w:pStyle w:val="Box"/>
            </w:pPr>
            <w:r>
              <w:t>Since the reform package was introduced in 2012</w:t>
            </w:r>
            <w:r w:rsidR="00F067DD">
              <w:noBreakHyphen/>
            </w:r>
            <w:r>
              <w:t xml:space="preserve">13, general rates revenue is now the largest component of the ACT’s own source tax revenue, at </w:t>
            </w:r>
            <w:r w:rsidR="002E5DAD">
              <w:t>approximately</w:t>
            </w:r>
            <w:r>
              <w:t xml:space="preserve"> 27 per cent of total revenues in 2016</w:t>
            </w:r>
            <w:r w:rsidR="00F067DD">
              <w:noBreakHyphen/>
            </w:r>
            <w:r>
              <w:t xml:space="preserve">17 compared </w:t>
            </w:r>
            <w:r w:rsidR="00835CB0">
              <w:t>with</w:t>
            </w:r>
            <w:r>
              <w:t xml:space="preserve"> 18 per cent in 2011</w:t>
            </w:r>
            <w:r>
              <w:noBreakHyphen/>
              <w:t>12. Revenue from inefficient taxes such as stamp duty on conveyance and insurance policies has declined from 24 per cent of total own source tax revenue in 2011</w:t>
            </w:r>
            <w:r w:rsidR="00F067DD">
              <w:noBreakHyphen/>
            </w:r>
            <w:r>
              <w:t>12 to an estimated 16 per cent in 2016</w:t>
            </w:r>
            <w:r>
              <w:noBreakHyphen/>
              <w:t xml:space="preserve">17. The share is anticipated to decline further as the transition of the tax bases continues. </w:t>
            </w:r>
          </w:p>
          <w:p w14:paraId="6E218AD0" w14:textId="77777777" w:rsidR="007708FE" w:rsidRDefault="007708FE" w:rsidP="007708FE">
            <w:pPr>
              <w:pStyle w:val="Box"/>
            </w:pPr>
            <w:r>
              <w:t>In general it appears the public is accepting of these changes:</w:t>
            </w:r>
          </w:p>
          <w:p w14:paraId="6E218AD1" w14:textId="0E1D931B" w:rsidR="007708FE" w:rsidRDefault="007708FE" w:rsidP="003F6D0E">
            <w:pPr>
              <w:pStyle w:val="BoxQuote"/>
            </w:pPr>
            <w:r>
              <w:t>In 2012 the ACT government began phasing out stamp duty over 20 years, and replacing it with higher municipal rates … The ACT</w:t>
            </w:r>
            <w:r w:rsidR="00AB6E14">
              <w:t xml:space="preserve"> </w:t>
            </w:r>
            <w:r>
              <w:t xml:space="preserve">… opposition campaigned to freeze general rates increases, thereby halting the government’s swap of stamp duty for rates. But the (opposition) suffered a 2.6 per cent swing against them, while the vote for the incumbents remained steady. The result shows that the community can be persuaded that general property taxes are better than stamp duties for raising revenues. </w:t>
            </w:r>
            <w:r w:rsidRPr="00E7306F">
              <w:rPr>
                <w:szCs w:val="24"/>
              </w:rPr>
              <w:t>(Daley and Coates 2016)</w:t>
            </w:r>
            <w:r w:rsidR="00AA7894">
              <w:rPr>
                <w:szCs w:val="24"/>
              </w:rPr>
              <w:t>.</w:t>
            </w:r>
          </w:p>
        </w:tc>
      </w:tr>
      <w:tr w:rsidR="007708FE" w14:paraId="6E218AD4" w14:textId="77777777" w:rsidTr="007708FE">
        <w:tc>
          <w:tcPr>
            <w:tcW w:w="5000" w:type="pct"/>
            <w:tcBorders>
              <w:top w:val="nil"/>
              <w:left w:val="nil"/>
              <w:bottom w:val="nil"/>
              <w:right w:val="nil"/>
            </w:tcBorders>
            <w:shd w:val="clear" w:color="auto" w:fill="F2F2F2"/>
          </w:tcPr>
          <w:p w14:paraId="6E218AD3" w14:textId="77777777" w:rsidR="007708FE" w:rsidRDefault="007708FE" w:rsidP="002628E4">
            <w:pPr>
              <w:pStyle w:val="BoxSource"/>
            </w:pPr>
            <w:r>
              <w:rPr>
                <w:i/>
              </w:rPr>
              <w:t>Sources</w:t>
            </w:r>
            <w:r w:rsidRPr="00167F06">
              <w:t xml:space="preserve">: </w:t>
            </w:r>
            <w:r>
              <w:t xml:space="preserve">ACT Government </w:t>
            </w:r>
            <w:r w:rsidRPr="0018027E">
              <w:rPr>
                <w:rFonts w:cs="Arial"/>
              </w:rPr>
              <w:t>(2012)</w:t>
            </w:r>
            <w:r>
              <w:t xml:space="preserve">; ACT Revenue Office </w:t>
            </w:r>
            <w:r w:rsidRPr="003C262F">
              <w:rPr>
                <w:rFonts w:cs="Arial"/>
              </w:rPr>
              <w:t>(2017)</w:t>
            </w:r>
            <w:r>
              <w:t>; ACT Government (sub. 41).</w:t>
            </w:r>
          </w:p>
        </w:tc>
      </w:tr>
      <w:tr w:rsidR="007708FE" w14:paraId="6E218AD6" w14:textId="77777777" w:rsidTr="007708FE">
        <w:trPr>
          <w:trHeight w:val="76"/>
        </w:trPr>
        <w:tc>
          <w:tcPr>
            <w:tcW w:w="5000" w:type="pct"/>
            <w:tcBorders>
              <w:top w:val="nil"/>
              <w:left w:val="nil"/>
              <w:bottom w:val="single" w:sz="6" w:space="0" w:color="78A22F"/>
              <w:right w:val="nil"/>
            </w:tcBorders>
            <w:shd w:val="clear" w:color="auto" w:fill="F2F2F2"/>
          </w:tcPr>
          <w:p w14:paraId="6E218AD5" w14:textId="77777777" w:rsidR="007708FE" w:rsidRDefault="007708FE" w:rsidP="007708FE">
            <w:pPr>
              <w:pStyle w:val="Box"/>
              <w:spacing w:before="0" w:line="120" w:lineRule="exact"/>
            </w:pPr>
          </w:p>
        </w:tc>
      </w:tr>
      <w:tr w:rsidR="007708FE" w:rsidRPr="000863A5" w14:paraId="6E218AD8" w14:textId="77777777" w:rsidTr="007708FE">
        <w:tc>
          <w:tcPr>
            <w:tcW w:w="5000" w:type="pct"/>
            <w:tcBorders>
              <w:top w:val="single" w:sz="6" w:space="0" w:color="78A22F"/>
              <w:left w:val="nil"/>
              <w:bottom w:val="nil"/>
              <w:right w:val="nil"/>
            </w:tcBorders>
          </w:tcPr>
          <w:p w14:paraId="6E218AD7" w14:textId="77777777" w:rsidR="007708FE" w:rsidRPr="00626D32" w:rsidRDefault="007708FE" w:rsidP="007708FE">
            <w:pPr>
              <w:pStyle w:val="BoxSpaceBelow"/>
            </w:pPr>
          </w:p>
        </w:tc>
      </w:tr>
    </w:tbl>
    <w:p w14:paraId="5CB5742B" w14:textId="6193CDA8" w:rsidR="007B310D" w:rsidRDefault="007B310D" w:rsidP="007B310D">
      <w:pPr>
        <w:pStyle w:val="Heading4"/>
      </w:pPr>
      <w:r>
        <w:t>A key design consideration – not disadv</w:t>
      </w:r>
      <w:r w:rsidR="00E22CE6">
        <w:t xml:space="preserve">antaging low income households </w:t>
      </w:r>
    </w:p>
    <w:p w14:paraId="3836772E" w14:textId="77777777" w:rsidR="007B310D" w:rsidRDefault="007B310D" w:rsidP="007B310D">
      <w:pPr>
        <w:pStyle w:val="BodyText"/>
      </w:pPr>
      <w:r>
        <w:t>A shift to broad based land taxes may detrimentally affect owner</w:t>
      </w:r>
      <w:r>
        <w:noBreakHyphen/>
        <w:t>occupier households with low incomes, such as many retirees, who may have less flexibility to move and limited capacity to pay taxes from current income. Options for addressing welfare impacts include concessional rates for tax, the</w:t>
      </w:r>
      <w:r w:rsidRPr="002B5152">
        <w:t xml:space="preserve"> </w:t>
      </w:r>
      <w:r>
        <w:t>deferment of tax or help via the income support system</w:t>
      </w:r>
      <w:r w:rsidRPr="002B5152">
        <w:t xml:space="preserve">. </w:t>
      </w:r>
    </w:p>
    <w:p w14:paraId="1C86E639" w14:textId="77777777" w:rsidR="007B310D" w:rsidRDefault="007B310D" w:rsidP="007B310D">
      <w:pPr>
        <w:pStyle w:val="BodyText"/>
      </w:pPr>
      <w:r>
        <w:t xml:space="preserve">Studies suggest that, on the whole, mechanisms for deferment are preferable to providing concessions as design of the latter would need to take into account the potential for inequitable outcomes arising from the existing tax and transfer systems. For example, if eligibility for concessional rates centred on age </w:t>
      </w:r>
      <w:r w:rsidRPr="003F7C75">
        <w:t xml:space="preserve">pension status, </w:t>
      </w:r>
      <w:r>
        <w:t>this would result in discrimination between taxpayers based on present incomes, rather than whole</w:t>
      </w:r>
      <w:r>
        <w:noBreakHyphen/>
        <w:t>of</w:t>
      </w:r>
      <w:r>
        <w:noBreakHyphen/>
        <w:t>life capacity to pay given that the principal</w:t>
      </w:r>
      <w:r w:rsidRPr="003F7C75">
        <w:t xml:space="preserve"> residence is not included in </w:t>
      </w:r>
      <w:r>
        <w:t xml:space="preserve">the age pension assets test </w:t>
      </w:r>
      <w:r w:rsidRPr="00E4320B">
        <w:rPr>
          <w:szCs w:val="24"/>
        </w:rPr>
        <w:t>(Daley et al. 2013)</w:t>
      </w:r>
      <w:r>
        <w:t>. Low</w:t>
      </w:r>
      <w:r>
        <w:noBreakHyphen/>
        <w:t>income households that do not qualify for or receive the age pension would have to pay relatively higher rates on a whole</w:t>
      </w:r>
      <w:r>
        <w:noBreakHyphen/>
        <w:t>of</w:t>
      </w:r>
      <w:r>
        <w:noBreakHyphen/>
        <w:t xml:space="preserve">life basis. </w:t>
      </w:r>
    </w:p>
    <w:p w14:paraId="7E3AC942" w14:textId="77777777" w:rsidR="007B310D" w:rsidRDefault="007B310D" w:rsidP="007B310D">
      <w:pPr>
        <w:pStyle w:val="BodyText"/>
      </w:pPr>
      <w:r>
        <w:t>In contrast, deferment of taxes treats taxpayers equally based on land values, and is thus relatively more straightforward. State</w:t>
      </w:r>
      <w:r>
        <w:noBreakHyphen/>
        <w:t xml:space="preserve">based deferral arrangements already exist for seniors paying property based taxes (in this case Local Government rates) in South Australia and Western Australia. Other examples are set out in box 10. </w:t>
      </w:r>
    </w:p>
    <w:p w14:paraId="70324138" w14:textId="77777777" w:rsidR="00A461C4" w:rsidRDefault="003D58B4" w:rsidP="003D58B4">
      <w:pPr>
        <w:pStyle w:val="BodyText"/>
      </w:pPr>
      <w:r>
        <w:t xml:space="preserve">By their nature, land taxes help to ensure that land is used in ways that is most valued by the community (whether this is residential or commercial, and in accordance with preferences within these groups). It is envisaged that the accumulation of deferred debt would therefore prompt property owners to consider, or consider earlier, whether their current or a different property would best suit their needs. In some cases, however, deferment resulting in the accumulation of a large amount of debt may reduce the capacity to move as it reduces the amount available for a new purchase. This suggests that there may be merit in capping the amount of tax that may be deferred. Acknowledging that </w:t>
      </w:r>
      <w:r w:rsidRPr="00EB0ACA">
        <w:t xml:space="preserve">property is often used as a vehicle for intergenerational wealth transfer </w:t>
      </w:r>
      <w:r w:rsidRPr="007C4968">
        <w:rPr>
          <w:szCs w:val="24"/>
        </w:rPr>
        <w:t>(Barrett et al. 2015)</w:t>
      </w:r>
      <w:r w:rsidRPr="00EB0ACA">
        <w:t xml:space="preserve">, </w:t>
      </w:r>
      <w:r>
        <w:t xml:space="preserve">capping </w:t>
      </w:r>
      <w:r w:rsidR="00291DFD">
        <w:t>would also</w:t>
      </w:r>
      <w:r>
        <w:t xml:space="preserve"> prevent debts accruing </w:t>
      </w:r>
      <w:r w:rsidRPr="00EB0ACA">
        <w:t>to a level that makes substantive differences to bequests.</w:t>
      </w:r>
      <w:r>
        <w:t xml:space="preserve"> </w:t>
      </w:r>
    </w:p>
    <w:p w14:paraId="6E218AD9" w14:textId="52FCF6E8" w:rsidR="003D58B4" w:rsidRDefault="003D58B4" w:rsidP="003D58B4">
      <w:pPr>
        <w:pStyle w:val="BodyText"/>
      </w:pPr>
      <w:r>
        <w:t>On the basis of long</w:t>
      </w:r>
      <w:r>
        <w:noBreakHyphen/>
        <w:t xml:space="preserve">term trends, it is probable that rates of growth in the value of residential land would far exceed growth in debt servicing rates, so </w:t>
      </w:r>
      <w:r w:rsidR="00291DFD">
        <w:t xml:space="preserve">the latter in itself is </w:t>
      </w:r>
      <w:r w:rsidR="00F4637A">
        <w:t>un</w:t>
      </w:r>
      <w:r w:rsidR="00291DFD">
        <w:t xml:space="preserve">likely to </w:t>
      </w:r>
      <w:r>
        <w:t>substantially affect property values.</w:t>
      </w:r>
      <w:r w:rsidRPr="0061724D">
        <w:rPr>
          <w:rStyle w:val="FootnoteReference"/>
        </w:rPr>
        <w:footnoteReference w:id="9"/>
      </w:r>
      <w:r>
        <w:t xml:space="preserve"> </w:t>
      </w:r>
    </w:p>
    <w:p w14:paraId="6E218ADA" w14:textId="77777777" w:rsidR="00B803C6" w:rsidRDefault="00B803C6" w:rsidP="00B803C6">
      <w:pPr>
        <w:pStyle w:val="BodyText"/>
      </w:pPr>
      <w:r>
        <w:t xml:space="preserve">Debts should </w:t>
      </w:r>
      <w:r w:rsidRPr="00E15481">
        <w:t>attract</w:t>
      </w:r>
      <w:r>
        <w:t xml:space="preserve"> </w:t>
      </w:r>
      <w:r w:rsidRPr="00E15481">
        <w:t xml:space="preserve">low rates </w:t>
      </w:r>
      <w:r>
        <w:t>of</w:t>
      </w:r>
      <w:r w:rsidRPr="00E15481">
        <w:t xml:space="preserve"> interest </w:t>
      </w:r>
      <w:r>
        <w:t xml:space="preserve">consistent with the policy objective of deferment, ideally reflecting the </w:t>
      </w:r>
      <w:r w:rsidRPr="00E15481">
        <w:t>cost of</w:t>
      </w:r>
      <w:r>
        <w:t xml:space="preserve"> revenue</w:t>
      </w:r>
      <w:r w:rsidRPr="00E15481">
        <w:t xml:space="preserve"> deferral</w:t>
      </w:r>
      <w:r>
        <w:t xml:space="preserve"> to the equity provider (State and Territory Government). Under the ACT rates deferment scheme, the interest rate applied is the 90</w:t>
      </w:r>
      <w:r>
        <w:noBreakHyphen/>
        <w:t xml:space="preserve">day bank bill rate. </w:t>
      </w:r>
    </w:p>
    <w:p w14:paraId="6E218ADB" w14:textId="77777777" w:rsidR="00B803C6" w:rsidRDefault="00B803C6" w:rsidP="00B803C6">
      <w:pPr>
        <w:pStyle w:val="BodyText"/>
      </w:pPr>
      <w:r w:rsidRPr="00E15481">
        <w:t>Unintended effects from deferment also need to be considered in the design of deferment policies and setting of eligibility criteria</w:t>
      </w:r>
      <w:r>
        <w:t>, such as restrictions on working hours, which may create labour market distortions. For example, to be eligible for the South Australian Postponement of Rates scheme, a ratepayer must be over 60 years old and work fewer than 20 hours a week in paid employment. Low</w:t>
      </w:r>
      <w:r>
        <w:noBreakHyphen/>
        <w:t>income earners working over 20 hours per week may choose to reduce their labour force participation to below the hours</w:t>
      </w:r>
      <w:r>
        <w:noBreakHyphen/>
        <w:t>worked threshold to be eligible for the deferment scheme</w:t>
      </w:r>
      <w:r w:rsidRPr="00E15481">
        <w:t xml:space="preserve"> (box</w:t>
      </w:r>
      <w:r>
        <w:t> </w:t>
      </w:r>
      <w:r w:rsidR="0062182E">
        <w:t>10</w:t>
      </w:r>
      <w:r w:rsidRPr="00E15481">
        <w:t>).</w:t>
      </w:r>
      <w:r>
        <w:t xml:space="preserve"> </w:t>
      </w:r>
    </w:p>
    <w:p w14:paraId="6E218ADC" w14:textId="77777777" w:rsidR="007708FE" w:rsidRDefault="007708FE" w:rsidP="007708FE">
      <w:pPr>
        <w:pStyle w:val="BodyText"/>
      </w:pPr>
      <w:r>
        <w:t>In summary, k</w:t>
      </w:r>
      <w:r w:rsidRPr="00402792">
        <w:t>ey</w:t>
      </w:r>
      <w:r>
        <w:t xml:space="preserve"> elements of reform would include:</w:t>
      </w:r>
    </w:p>
    <w:p w14:paraId="6E218ADD" w14:textId="77777777" w:rsidR="007708FE" w:rsidRDefault="007708FE" w:rsidP="007708FE">
      <w:pPr>
        <w:pStyle w:val="ListBullet"/>
      </w:pPr>
      <w:r>
        <w:t>Replacement of stamp duties on property transfers with a broadly</w:t>
      </w:r>
      <w:r>
        <w:noBreakHyphen/>
        <w:t xml:space="preserve">based tax based on land values. The shift to a broad basis is essential to ensure that revenue is raised efficiently and the tax burden is not disproportionately imposed on a few groups. </w:t>
      </w:r>
    </w:p>
    <w:p w14:paraId="6E218ADE" w14:textId="77777777" w:rsidR="007708FE" w:rsidRDefault="007708FE" w:rsidP="007708FE">
      <w:pPr>
        <w:pStyle w:val="ListBullet"/>
      </w:pPr>
      <w:r>
        <w:t xml:space="preserve">In the implementation phase, tax rates that seek revenue neutrality and allows transition over several years. </w:t>
      </w:r>
    </w:p>
    <w:p w14:paraId="6E218ADF" w14:textId="0DD309E9" w:rsidR="007708FE" w:rsidRDefault="007708FE" w:rsidP="007708FE">
      <w:pPr>
        <w:pStyle w:val="ListBullet"/>
      </w:pPr>
      <w:r>
        <w:t>Provision for tax deferral for certain low income groups, so that taxes do not force people with less capacity to move. These include people such as owner</w:t>
      </w:r>
      <w:r w:rsidR="00181B62">
        <w:noBreakHyphen/>
      </w:r>
      <w:r>
        <w:t xml:space="preserve">occupier retirees, who </w:t>
      </w:r>
      <w:r w:rsidRPr="005214F8">
        <w:t>may be attached to the family home and their community</w:t>
      </w:r>
      <w:r>
        <w:t xml:space="preserve"> </w:t>
      </w:r>
      <w:r w:rsidRPr="006C46B2">
        <w:rPr>
          <w:szCs w:val="24"/>
        </w:rPr>
        <w:t>(Daley and Coates 2015)</w:t>
      </w:r>
      <w:r>
        <w:t xml:space="preserve">. </w:t>
      </w:r>
    </w:p>
    <w:p w14:paraId="6E218AE0" w14:textId="77777777" w:rsidR="007708FE" w:rsidRDefault="007708FE" w:rsidP="007708FE">
      <w:pPr>
        <w:pStyle w:val="ListBullet"/>
      </w:pPr>
      <w:r>
        <w:t xml:space="preserve">Deferred taxes would be paid from estate at death or on the sale of the property (whichever comes first). </w:t>
      </w:r>
    </w:p>
    <w:p w14:paraId="6E218AE1" w14:textId="77777777" w:rsidR="007708FE" w:rsidRDefault="007708FE" w:rsidP="007708FE">
      <w:pPr>
        <w:pStyle w:val="ListBullet"/>
      </w:pPr>
      <w:r>
        <w:t>Interest rates on deferment of taxes should be low, for example bond rates, consistent with the policy objective of deferment.</w:t>
      </w:r>
    </w:p>
    <w:p w14:paraId="6E218AE2" w14:textId="77777777" w:rsidR="007708FE" w:rsidRDefault="007708FE" w:rsidP="00F06B36">
      <w:pPr>
        <w:pStyle w:val="BodyText"/>
      </w:pPr>
      <w:r w:rsidRPr="00EC6864">
        <w:t xml:space="preserve">Depending on the sequence and pace of States undertaking reforms, the Commonwealth may </w:t>
      </w:r>
      <w:r w:rsidRPr="00807533">
        <w:t>need to be involved in facilitation</w:t>
      </w:r>
      <w:r>
        <w:t xml:space="preserve">; among other things </w:t>
      </w:r>
      <w:r w:rsidRPr="00807533">
        <w:t>to ensure that the Commonwealth Grants Commission</w:t>
      </w:r>
      <w:r>
        <w:t>’s horizontal fiscal equalisation (HFE)</w:t>
      </w:r>
      <w:r w:rsidRPr="00807533">
        <w:t xml:space="preserve"> process does not provide disincentives to improve the efficiency of State taxes in this way. The Productivity Commission’s </w:t>
      </w:r>
      <w:r>
        <w:t>report</w:t>
      </w:r>
      <w:r w:rsidRPr="00807533">
        <w:t xml:space="preserve"> into </w:t>
      </w:r>
      <w:r>
        <w:t xml:space="preserve">HFE, which will be produced in draft by October 2017, </w:t>
      </w:r>
      <w:r w:rsidRPr="00807533">
        <w:t xml:space="preserve">will look at the </w:t>
      </w:r>
      <w:r w:rsidRPr="00EC6864">
        <w:t>incentive</w:t>
      </w:r>
      <w:r>
        <w:t>s</w:t>
      </w:r>
      <w:r w:rsidRPr="00EC6864">
        <w:t xml:space="preserve"> the current system creates </w:t>
      </w:r>
      <w:r>
        <w:t>for</w:t>
      </w:r>
      <w:r w:rsidRPr="00EC6864">
        <w:t xml:space="preserve"> undertaking such </w:t>
      </w:r>
      <w:r>
        <w:t xml:space="preserve">reforms. </w:t>
      </w:r>
    </w:p>
    <w:p w14:paraId="6E218AE3" w14:textId="77777777" w:rsidR="00F36D15" w:rsidRDefault="00F36D15" w:rsidP="00F36D15">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36D15" w14:paraId="6E218AE5" w14:textId="77777777" w:rsidTr="0061187E">
        <w:tc>
          <w:tcPr>
            <w:tcW w:w="8771" w:type="dxa"/>
            <w:tcBorders>
              <w:top w:val="single" w:sz="6" w:space="0" w:color="78A22F"/>
              <w:left w:val="nil"/>
              <w:bottom w:val="nil"/>
              <w:right w:val="nil"/>
            </w:tcBorders>
            <w:shd w:val="clear" w:color="auto" w:fill="F2F2F2"/>
          </w:tcPr>
          <w:p w14:paraId="6E218AE4" w14:textId="77777777" w:rsidR="00F36D15" w:rsidRDefault="00F36D15" w:rsidP="00293911">
            <w:pPr>
              <w:pStyle w:val="BoxTitle"/>
            </w:pPr>
            <w:r>
              <w:rPr>
                <w:b w:val="0"/>
              </w:rPr>
              <w:t xml:space="preserve">Box </w:t>
            </w:r>
            <w:r w:rsidR="00293911">
              <w:rPr>
                <w:b w:val="0"/>
              </w:rPr>
              <w:t>1</w:t>
            </w:r>
            <w:r w:rsidR="00621334">
              <w:rPr>
                <w:b w:val="0"/>
              </w:rPr>
              <w:t>0</w:t>
            </w:r>
            <w:r>
              <w:tab/>
            </w:r>
            <w:r w:rsidR="001A4010">
              <w:t>Examples of d</w:t>
            </w:r>
            <w:r>
              <w:t>eferment systems</w:t>
            </w:r>
            <w:r w:rsidR="001A4010">
              <w:t xml:space="preserve"> </w:t>
            </w:r>
          </w:p>
        </w:tc>
      </w:tr>
      <w:tr w:rsidR="00F36D15" w14:paraId="6E218AEB" w14:textId="77777777" w:rsidTr="0061187E">
        <w:tc>
          <w:tcPr>
            <w:tcW w:w="8771" w:type="dxa"/>
            <w:tcBorders>
              <w:top w:val="nil"/>
              <w:left w:val="nil"/>
              <w:bottom w:val="nil"/>
              <w:right w:val="nil"/>
            </w:tcBorders>
            <w:shd w:val="clear" w:color="auto" w:fill="F2F2F2"/>
          </w:tcPr>
          <w:p w14:paraId="6E218AE6" w14:textId="77777777" w:rsidR="00F36D15" w:rsidRPr="00517F14" w:rsidRDefault="00F36D15" w:rsidP="00121DFA">
            <w:pPr>
              <w:pStyle w:val="BoxListBullet"/>
            </w:pPr>
            <w:r>
              <w:t xml:space="preserve">The New Zealand </w:t>
            </w:r>
            <w:r w:rsidRPr="00A91ECC">
              <w:rPr>
                <w:i/>
              </w:rPr>
              <w:t xml:space="preserve">Local Government Act 2002 </w:t>
            </w:r>
            <w:r>
              <w:t>(NZ) gives local councils the authority to set council rates postponement policies, with the debt secured against the equity in their property. For example, Auckland allows low</w:t>
            </w:r>
            <w:r>
              <w:noBreakHyphen/>
              <w:t xml:space="preserve">income rate payers to postpone a </w:t>
            </w:r>
            <w:r w:rsidRPr="00517F14">
              <w:t>maximum of 80 per cent of available equity in the primary place of residence (different between value of the property and existing debt on the property), with postponement fee charged from when the rate was ori</w:t>
            </w:r>
            <w:r>
              <w:t>ginally due. It is payable upon sale, death, or relocation. The person must use the property as the primary residence, and, in general, earn less than $24 470</w:t>
            </w:r>
            <w:r w:rsidRPr="00517F14">
              <w:t>. Some councils restrict eligibility to people over 65 years of age.</w:t>
            </w:r>
          </w:p>
          <w:p w14:paraId="6E218AE7" w14:textId="77777777" w:rsidR="00F36D15" w:rsidRPr="00517F14" w:rsidRDefault="00F36D15" w:rsidP="0088229B">
            <w:pPr>
              <w:pStyle w:val="BoxListBullet"/>
            </w:pPr>
            <w:r>
              <w:t>Ontario, Canada, has a Provincial Land Tax Deferral Program for low income seniors and people with disability to partially defer land tax, with the debt payable upon sale or death. They must be in receipt of the Guaranteed Income Supplement (welfare payment) to be eligible</w:t>
            </w:r>
            <w:r w:rsidRPr="00517F14">
              <w:t>.</w:t>
            </w:r>
          </w:p>
          <w:p w14:paraId="6E218AE8" w14:textId="1F5726D7" w:rsidR="00F36D15" w:rsidRDefault="00F36D15" w:rsidP="009E38A2">
            <w:pPr>
              <w:pStyle w:val="BoxListBullet"/>
            </w:pPr>
            <w:r>
              <w:t>Western Australia offers eligible seniors (holding government pensioner or senior card) 50 per cent rebate on council rates</w:t>
            </w:r>
            <w:r w:rsidR="00014715">
              <w:t>,</w:t>
            </w:r>
            <w:r>
              <w:t xml:space="preserve"> which they may also defer upon satisfying certain criteria. It does not incur interest charges. Debts are payable upon sale, relocation or death where there </w:t>
            </w:r>
            <w:r w:rsidR="009B739E">
              <w:t xml:space="preserve">is </w:t>
            </w:r>
            <w:r>
              <w:t>no surviving spouse. Deferred charges can be paid at any time but a rebate cannot be claimed when debts are paid. There are no limits on hours worked, but they must be a holder of government pensioner or seniors card.</w:t>
            </w:r>
          </w:p>
          <w:p w14:paraId="6E218AE9" w14:textId="77777777" w:rsidR="00FA67E3" w:rsidRDefault="00FA67E3" w:rsidP="00FA67E3">
            <w:pPr>
              <w:pStyle w:val="BoxListBullet"/>
            </w:pPr>
            <w:r w:rsidRPr="00FA67E3">
              <w:t>In South Austra</w:t>
            </w:r>
            <w:r w:rsidR="000957B8">
              <w:t>lia, Local G</w:t>
            </w:r>
            <w:r w:rsidRPr="00FA67E3">
              <w:t>overnments can offer postponement to people who face hardship, or to seniors under the ‘Seniors Rate Postponement Scheme.’ This scheme allows rates to be deferred after the first $500 has been paid. It also requires that applicants have at least 50 per cent equity in their property, and not work more than 20 hours a week. Debts are subject to interest rates and payable on sale, relocation or death where there is no surviving spouse.</w:t>
            </w:r>
          </w:p>
          <w:p w14:paraId="6E218AEA" w14:textId="6AA24DCE" w:rsidR="00F36D15" w:rsidRPr="00483717" w:rsidRDefault="00BC0354" w:rsidP="00197DB4">
            <w:pPr>
              <w:pStyle w:val="Box"/>
            </w:pPr>
            <w:r>
              <w:t>D</w:t>
            </w:r>
            <w:r w:rsidR="00F36D15" w:rsidRPr="00E15481">
              <w:t xml:space="preserve">eferment </w:t>
            </w:r>
            <w:r>
              <w:t>schemes can create some adverse consequences</w:t>
            </w:r>
            <w:r w:rsidR="00F36D15" w:rsidRPr="00E15481">
              <w:t>.</w:t>
            </w:r>
            <w:r>
              <w:t xml:space="preserve"> For example, d</w:t>
            </w:r>
            <w:r w:rsidR="00F36D15" w:rsidRPr="00E15481">
              <w:t>eferment may crystallise household debt and create a disincentive to move (with similar effects as stamp duty that land taxes intend to avoid). Large accumulated debts may reduce the capacity to move as it reduces the amount available for a new purchase. Where eligibility is based on</w:t>
            </w:r>
            <w:r>
              <w:t xml:space="preserve"> hours worked or welfare status, </w:t>
            </w:r>
            <w:r w:rsidR="00F36D15" w:rsidRPr="00E15481">
              <w:t>this may distort labour market participation and compound the disincentive to work.</w:t>
            </w:r>
            <w:r w:rsidR="00F36D15">
              <w:t xml:space="preserve"> </w:t>
            </w:r>
            <w:r>
              <w:t xml:space="preserve">These factors suggest that </w:t>
            </w:r>
            <w:r w:rsidR="00197DB4">
              <w:t>there may be benefit in capping the</w:t>
            </w:r>
            <w:r>
              <w:t xml:space="preserve"> allo</w:t>
            </w:r>
            <w:r w:rsidR="00197DB4">
              <w:t xml:space="preserve">wable level of accumulated debt, and </w:t>
            </w:r>
            <w:r w:rsidR="00C13514">
              <w:t xml:space="preserve">income earning </w:t>
            </w:r>
            <w:r w:rsidR="00197DB4">
              <w:t>rules</w:t>
            </w:r>
            <w:r w:rsidR="00C13514">
              <w:t xml:space="preserve"> </w:t>
            </w:r>
            <w:r w:rsidR="00197DB4">
              <w:t xml:space="preserve">should </w:t>
            </w:r>
            <w:r w:rsidR="00C13514">
              <w:t xml:space="preserve">be more flexible. </w:t>
            </w:r>
          </w:p>
        </w:tc>
      </w:tr>
      <w:tr w:rsidR="00F36D15" w14:paraId="6E218AED" w14:textId="77777777" w:rsidTr="0061187E">
        <w:tc>
          <w:tcPr>
            <w:tcW w:w="8771" w:type="dxa"/>
            <w:tcBorders>
              <w:top w:val="nil"/>
              <w:left w:val="nil"/>
              <w:bottom w:val="nil"/>
              <w:right w:val="nil"/>
            </w:tcBorders>
            <w:shd w:val="clear" w:color="auto" w:fill="F2F2F2"/>
          </w:tcPr>
          <w:p w14:paraId="6E218AEC" w14:textId="77777777" w:rsidR="00F36D15" w:rsidRDefault="00F36D15" w:rsidP="00496183">
            <w:pPr>
              <w:pStyle w:val="BoxSource"/>
            </w:pPr>
            <w:r>
              <w:rPr>
                <w:i/>
              </w:rPr>
              <w:t>Sources</w:t>
            </w:r>
            <w:r w:rsidRPr="00167F06">
              <w:t xml:space="preserve">: </w:t>
            </w:r>
            <w:r w:rsidR="006D69B3">
              <w:t>Auckland Council </w:t>
            </w:r>
            <w:r w:rsidR="00F06BC9" w:rsidRPr="00F06BC9">
              <w:rPr>
                <w:rFonts w:cs="Arial"/>
              </w:rPr>
              <w:t>(2017)</w:t>
            </w:r>
            <w:r w:rsidR="00F06BC9">
              <w:t xml:space="preserve">; </w:t>
            </w:r>
            <w:r w:rsidR="00496183">
              <w:t>NZDIA </w:t>
            </w:r>
            <w:r w:rsidR="00496183" w:rsidRPr="00F06BC9">
              <w:rPr>
                <w:rFonts w:cs="Arial"/>
              </w:rPr>
              <w:t>(2016)</w:t>
            </w:r>
            <w:r w:rsidR="00496183">
              <w:t>; NZOAG </w:t>
            </w:r>
            <w:r w:rsidR="00496183" w:rsidRPr="006D69B3">
              <w:rPr>
                <w:rFonts w:cs="Arial"/>
              </w:rPr>
              <w:t>(2006)</w:t>
            </w:r>
            <w:r w:rsidR="00496183">
              <w:t>; NZWBPDC </w:t>
            </w:r>
            <w:r w:rsidR="00496183" w:rsidRPr="00F06BC9">
              <w:rPr>
                <w:rFonts w:cs="Arial"/>
              </w:rPr>
              <w:t>(2016)</w:t>
            </w:r>
            <w:r w:rsidR="00496183">
              <w:t xml:space="preserve">; </w:t>
            </w:r>
            <w:r w:rsidR="006D69B3">
              <w:t>Ontario </w:t>
            </w:r>
            <w:r w:rsidR="00F06BC9">
              <w:t>Mini</w:t>
            </w:r>
            <w:r w:rsidR="006D69B3">
              <w:t>stry of Revenue </w:t>
            </w:r>
            <w:r w:rsidR="00F06BC9" w:rsidRPr="00F06BC9">
              <w:rPr>
                <w:rFonts w:cs="Arial"/>
              </w:rPr>
              <w:t>(2017)</w:t>
            </w:r>
            <w:r w:rsidR="00F06BC9">
              <w:t xml:space="preserve">; </w:t>
            </w:r>
            <w:r w:rsidR="006D69B3">
              <w:t>Revenue SA </w:t>
            </w:r>
            <w:r w:rsidR="006D69B3" w:rsidRPr="006D69B3">
              <w:rPr>
                <w:rFonts w:cs="Arial"/>
              </w:rPr>
              <w:t>(2016)</w:t>
            </w:r>
            <w:r w:rsidR="006D69B3">
              <w:t>; WADF </w:t>
            </w:r>
            <w:r w:rsidR="00496183" w:rsidRPr="006D69B3">
              <w:rPr>
                <w:rFonts w:cs="Arial"/>
              </w:rPr>
              <w:t>(2016)</w:t>
            </w:r>
            <w:r w:rsidR="00496183">
              <w:t xml:space="preserve">. </w:t>
            </w:r>
          </w:p>
        </w:tc>
      </w:tr>
      <w:tr w:rsidR="00F36D15" w14:paraId="6E218AEF" w14:textId="77777777" w:rsidTr="0061187E">
        <w:tc>
          <w:tcPr>
            <w:tcW w:w="8771" w:type="dxa"/>
            <w:tcBorders>
              <w:top w:val="nil"/>
              <w:left w:val="nil"/>
              <w:bottom w:val="single" w:sz="6" w:space="0" w:color="78A22F"/>
              <w:right w:val="nil"/>
            </w:tcBorders>
            <w:shd w:val="clear" w:color="auto" w:fill="F2F2F2"/>
          </w:tcPr>
          <w:p w14:paraId="6E218AEE" w14:textId="77777777" w:rsidR="00F36D15" w:rsidRDefault="00F36D15" w:rsidP="001A1A6E">
            <w:pPr>
              <w:pStyle w:val="Box"/>
              <w:spacing w:before="0" w:line="120" w:lineRule="exact"/>
            </w:pPr>
          </w:p>
        </w:tc>
      </w:tr>
      <w:tr w:rsidR="00F36D15" w:rsidRPr="000863A5" w14:paraId="6E218AF1" w14:textId="77777777" w:rsidTr="0061187E">
        <w:tc>
          <w:tcPr>
            <w:tcW w:w="8771" w:type="dxa"/>
            <w:tcBorders>
              <w:top w:val="single" w:sz="6" w:space="0" w:color="78A22F"/>
              <w:left w:val="nil"/>
              <w:bottom w:val="nil"/>
              <w:right w:val="nil"/>
            </w:tcBorders>
          </w:tcPr>
          <w:p w14:paraId="6E218AF0" w14:textId="77777777" w:rsidR="00F36D15" w:rsidRPr="00626D32" w:rsidRDefault="00F36D15" w:rsidP="001A1A6E">
            <w:pPr>
              <w:pStyle w:val="BoxSpaceBelow"/>
            </w:pPr>
          </w:p>
        </w:tc>
      </w:tr>
    </w:tbl>
    <w:p w14:paraId="6E218AF2" w14:textId="77777777" w:rsidR="00003C49" w:rsidRDefault="00003C49" w:rsidP="00D31AC3">
      <w:pPr>
        <w:pStyle w:val="BoxSpaceAbove"/>
      </w:pPr>
    </w:p>
    <w:tbl>
      <w:tblPr>
        <w:tblW w:w="5000" w:type="pct"/>
        <w:tblCellMar>
          <w:left w:w="0" w:type="dxa"/>
          <w:right w:w="0" w:type="dxa"/>
        </w:tblCellMar>
        <w:tblLook w:val="04A0" w:firstRow="1" w:lastRow="0" w:firstColumn="1" w:lastColumn="0" w:noHBand="0" w:noVBand="1"/>
        <w:tblDescription w:val="Table used for design layout: finding"/>
      </w:tblPr>
      <w:tblGrid>
        <w:gridCol w:w="9129"/>
      </w:tblGrid>
      <w:tr w:rsidR="00003C49" w14:paraId="6E218AF6" w14:textId="77777777" w:rsidTr="00D31AC3">
        <w:trPr>
          <w:cantSplit/>
          <w:tblHeader/>
        </w:trPr>
        <w:tc>
          <w:tcPr>
            <w:tcW w:w="5000" w:type="pct"/>
            <w:tcBorders>
              <w:top w:val="single" w:sz="4" w:space="0" w:color="265A9A" w:themeColor="accent2"/>
              <w:left w:val="nil"/>
              <w:bottom w:val="nil"/>
              <w:right w:val="nil"/>
            </w:tcBorders>
            <w:shd w:val="clear" w:color="auto" w:fill="E1EBF5"/>
            <w:tcMar>
              <w:top w:w="0" w:type="dxa"/>
              <w:left w:w="170" w:type="dxa"/>
              <w:bottom w:w="0" w:type="dxa"/>
              <w:right w:w="170" w:type="dxa"/>
            </w:tcMar>
            <w:hideMark/>
          </w:tcPr>
          <w:p w14:paraId="6E218AF3" w14:textId="35557A98" w:rsidR="00003C49" w:rsidRPr="00D31AC3" w:rsidRDefault="0085299E" w:rsidP="00A23D3E">
            <w:pPr>
              <w:keepNext/>
              <w:spacing w:before="120" w:line="280" w:lineRule="exact"/>
              <w:jc w:val="both"/>
              <w:rPr>
                <w:rFonts w:ascii="Arial" w:hAnsi="Arial" w:cs="Arial"/>
                <w:caps/>
                <w:sz w:val="18"/>
                <w:szCs w:val="18"/>
              </w:rPr>
            </w:pPr>
            <w:r>
              <w:rPr>
                <w:rFonts w:ascii="Arial" w:hAnsi="Arial" w:cs="Arial"/>
                <w:caps/>
                <w:sz w:val="18"/>
                <w:szCs w:val="18"/>
              </w:rPr>
              <w:t>conclusion </w:t>
            </w:r>
            <w:r w:rsidR="00771915">
              <w:rPr>
                <w:rFonts w:ascii="Arial" w:hAnsi="Arial" w:cs="Arial"/>
                <w:caps/>
                <w:sz w:val="18"/>
                <w:szCs w:val="18"/>
              </w:rPr>
              <w:t>10.</w:t>
            </w:r>
            <w:r w:rsidR="00292EC0" w:rsidRPr="00D31AC3">
              <w:rPr>
                <w:rFonts w:ascii="Arial" w:hAnsi="Arial" w:cs="Arial"/>
                <w:caps/>
                <w:sz w:val="18"/>
                <w:szCs w:val="18"/>
              </w:rPr>
              <w:t>4</w:t>
            </w:r>
          </w:p>
          <w:p w14:paraId="6E218AF4" w14:textId="77777777" w:rsidR="00DD5B44" w:rsidRPr="00D31AC3" w:rsidRDefault="00DD5B44" w:rsidP="00197DB4">
            <w:pPr>
              <w:spacing w:before="60" w:line="260" w:lineRule="atLeast"/>
              <w:jc w:val="both"/>
              <w:rPr>
                <w:rFonts w:ascii="Arial" w:hAnsi="Arial" w:cs="Arial"/>
              </w:rPr>
            </w:pPr>
            <w:r w:rsidRPr="00D31AC3">
              <w:rPr>
                <w:rFonts w:ascii="Arial" w:hAnsi="Arial" w:cs="Arial"/>
              </w:rPr>
              <w:t xml:space="preserve">State Governments </w:t>
            </w:r>
            <w:r w:rsidR="00855330" w:rsidRPr="00D31AC3">
              <w:rPr>
                <w:rFonts w:ascii="Arial" w:hAnsi="Arial" w:cs="Arial"/>
              </w:rPr>
              <w:t xml:space="preserve">and the Northern Territory </w:t>
            </w:r>
            <w:r w:rsidRPr="00D31AC3">
              <w:rPr>
                <w:rFonts w:ascii="Arial" w:hAnsi="Arial" w:cs="Arial"/>
              </w:rPr>
              <w:t xml:space="preserve">should move from stamp duties on residential and commercial properties to a </w:t>
            </w:r>
            <w:r w:rsidR="004F330E" w:rsidRPr="00D31AC3">
              <w:rPr>
                <w:rFonts w:ascii="Arial" w:hAnsi="Arial" w:cs="Arial"/>
              </w:rPr>
              <w:t>broad</w:t>
            </w:r>
            <w:r w:rsidR="004F330E" w:rsidRPr="00D31AC3">
              <w:rPr>
                <w:rFonts w:ascii="Arial" w:hAnsi="Arial" w:cs="Arial"/>
              </w:rPr>
              <w:noBreakHyphen/>
              <w:t>based</w:t>
            </w:r>
            <w:r w:rsidRPr="00D31AC3">
              <w:rPr>
                <w:rFonts w:ascii="Arial" w:hAnsi="Arial" w:cs="Arial"/>
              </w:rPr>
              <w:t xml:space="preserve"> land tax on the unimproved value of land. </w:t>
            </w:r>
          </w:p>
          <w:p w14:paraId="6E218AF5" w14:textId="77777777" w:rsidR="00003C49" w:rsidRPr="002A60B2" w:rsidRDefault="00855330" w:rsidP="00D31AC3">
            <w:pPr>
              <w:spacing w:before="120" w:line="280" w:lineRule="exact"/>
              <w:jc w:val="both"/>
              <w:rPr>
                <w:rFonts w:ascii="Arial" w:hAnsi="Arial" w:cs="Arial"/>
                <w:color w:val="1C4373"/>
              </w:rPr>
            </w:pPr>
            <w:r w:rsidRPr="00D31AC3">
              <w:rPr>
                <w:rFonts w:ascii="Arial" w:hAnsi="Arial" w:cs="Arial"/>
              </w:rPr>
              <w:t>The shift</w:t>
            </w:r>
            <w:r w:rsidR="00197DB4" w:rsidRPr="00D31AC3">
              <w:rPr>
                <w:rFonts w:ascii="Arial" w:hAnsi="Arial" w:cs="Arial"/>
              </w:rPr>
              <w:t xml:space="preserve"> should include provision for </w:t>
            </w:r>
            <w:r w:rsidR="00003C49" w:rsidRPr="00D31AC3">
              <w:rPr>
                <w:rFonts w:ascii="Arial" w:hAnsi="Arial" w:cs="Arial"/>
              </w:rPr>
              <w:t>low</w:t>
            </w:r>
            <w:r w:rsidR="00003C49" w:rsidRPr="00D31AC3">
              <w:rPr>
                <w:rFonts w:ascii="Arial" w:hAnsi="Arial" w:cs="Arial"/>
              </w:rPr>
              <w:noBreakHyphen/>
              <w:t xml:space="preserve">income households to defer property taxes and fund them from their estate at death or on the sale of the asset (whichever comes first), </w:t>
            </w:r>
            <w:r w:rsidR="002A60B2" w:rsidRPr="00D31AC3">
              <w:rPr>
                <w:rFonts w:ascii="Arial" w:hAnsi="Arial" w:cs="Arial"/>
              </w:rPr>
              <w:t>similar to</w:t>
            </w:r>
            <w:r w:rsidR="00003C49" w:rsidRPr="00D31AC3">
              <w:rPr>
                <w:rFonts w:ascii="Arial" w:hAnsi="Arial" w:cs="Arial"/>
              </w:rPr>
              <w:t xml:space="preserve"> </w:t>
            </w:r>
            <w:r w:rsidR="00F22788" w:rsidRPr="00D31AC3">
              <w:rPr>
                <w:rFonts w:ascii="Arial" w:hAnsi="Arial" w:cs="Arial"/>
              </w:rPr>
              <w:t>S</w:t>
            </w:r>
            <w:r w:rsidR="00003C49" w:rsidRPr="00D31AC3">
              <w:rPr>
                <w:rFonts w:ascii="Arial" w:hAnsi="Arial" w:cs="Arial"/>
              </w:rPr>
              <w:t>tate</w:t>
            </w:r>
            <w:r w:rsidR="002A60B2" w:rsidRPr="00D31AC3">
              <w:rPr>
                <w:rFonts w:ascii="Arial" w:hAnsi="Arial" w:cs="Arial"/>
              </w:rPr>
              <w:noBreakHyphen/>
            </w:r>
            <w:r w:rsidR="00003C49" w:rsidRPr="00D31AC3">
              <w:rPr>
                <w:rFonts w:ascii="Arial" w:hAnsi="Arial" w:cs="Arial"/>
              </w:rPr>
              <w:t>based deferral arrangem</w:t>
            </w:r>
            <w:r w:rsidR="00197DB4" w:rsidRPr="00D31AC3">
              <w:rPr>
                <w:rFonts w:ascii="Arial" w:hAnsi="Arial" w:cs="Arial"/>
              </w:rPr>
              <w:t xml:space="preserve">ents for </w:t>
            </w:r>
            <w:r w:rsidR="00790FBD" w:rsidRPr="00D31AC3">
              <w:rPr>
                <w:rFonts w:ascii="Arial" w:hAnsi="Arial" w:cs="Arial"/>
              </w:rPr>
              <w:t>Local G</w:t>
            </w:r>
            <w:r w:rsidR="00197DB4" w:rsidRPr="00D31AC3">
              <w:rPr>
                <w:rFonts w:ascii="Arial" w:hAnsi="Arial" w:cs="Arial"/>
              </w:rPr>
              <w:t xml:space="preserve">overnment rates. </w:t>
            </w:r>
          </w:p>
        </w:tc>
      </w:tr>
      <w:tr w:rsidR="00003C49" w14:paraId="6E218AF8" w14:textId="77777777" w:rsidTr="00D31AC3">
        <w:trPr>
          <w:cantSplit/>
          <w:tblHeader/>
        </w:trPr>
        <w:tc>
          <w:tcPr>
            <w:tcW w:w="5000" w:type="pct"/>
            <w:tcBorders>
              <w:top w:val="nil"/>
              <w:left w:val="nil"/>
              <w:bottom w:val="single" w:sz="4" w:space="0" w:color="265A9A" w:themeColor="accent2"/>
              <w:right w:val="nil"/>
            </w:tcBorders>
            <w:shd w:val="clear" w:color="auto" w:fill="E1EBF5"/>
            <w:tcMar>
              <w:top w:w="0" w:type="dxa"/>
              <w:left w:w="170" w:type="dxa"/>
              <w:bottom w:w="0" w:type="dxa"/>
              <w:right w:w="170" w:type="dxa"/>
            </w:tcMar>
          </w:tcPr>
          <w:p w14:paraId="6E218AF7" w14:textId="77777777" w:rsidR="00003C49" w:rsidRDefault="00003C49" w:rsidP="00D31AC3">
            <w:pPr>
              <w:keepNext/>
              <w:spacing w:after="100" w:afterAutospacing="1" w:line="120" w:lineRule="exact"/>
              <w:jc w:val="both"/>
              <w:rPr>
                <w:rFonts w:ascii="Arial" w:hAnsi="Arial" w:cs="Arial"/>
              </w:rPr>
            </w:pPr>
          </w:p>
        </w:tc>
      </w:tr>
      <w:tr w:rsidR="00003C49" w14:paraId="6E218AFA" w14:textId="77777777" w:rsidTr="00D31AC3">
        <w:trPr>
          <w:cantSplit/>
          <w:tblHeader/>
        </w:trPr>
        <w:tc>
          <w:tcPr>
            <w:tcW w:w="5000" w:type="pct"/>
            <w:tcBorders>
              <w:top w:val="single" w:sz="4" w:space="0" w:color="265A9A" w:themeColor="accent2"/>
            </w:tcBorders>
            <w:tcMar>
              <w:top w:w="0" w:type="dxa"/>
              <w:left w:w="170" w:type="dxa"/>
              <w:bottom w:w="0" w:type="dxa"/>
              <w:right w:w="170" w:type="dxa"/>
            </w:tcMar>
            <w:hideMark/>
          </w:tcPr>
          <w:p w14:paraId="6E218AF9" w14:textId="77777777" w:rsidR="00003C49" w:rsidRDefault="00003C49" w:rsidP="00D31AC3">
            <w:pPr>
              <w:pStyle w:val="BoxSpaceBelow"/>
            </w:pPr>
          </w:p>
        </w:tc>
      </w:tr>
    </w:tbl>
    <w:p w14:paraId="6E218AFB" w14:textId="77777777" w:rsidR="00C3447A" w:rsidRDefault="000E7D79" w:rsidP="00C3447A">
      <w:pPr>
        <w:pStyle w:val="Heading2"/>
        <w:rPr>
          <w:shd w:val="clear" w:color="auto" w:fill="FFFFFF"/>
        </w:rPr>
      </w:pPr>
      <w:bookmarkStart w:id="24" w:name="_Toc488940561"/>
      <w:bookmarkStart w:id="25" w:name="_Toc489025328"/>
      <w:bookmarkStart w:id="26" w:name="_Toc489343258"/>
      <w:r>
        <w:rPr>
          <w:shd w:val="clear" w:color="auto" w:fill="FFFFFF"/>
        </w:rPr>
        <w:t>6</w:t>
      </w:r>
      <w:r>
        <w:rPr>
          <w:shd w:val="clear" w:color="auto" w:fill="FFFFFF"/>
        </w:rPr>
        <w:tab/>
      </w:r>
      <w:r w:rsidR="00C3447A" w:rsidRPr="0024732F">
        <w:rPr>
          <w:shd w:val="clear" w:color="auto" w:fill="FFFFFF"/>
        </w:rPr>
        <w:t>The impacts of land reforms</w:t>
      </w:r>
      <w:bookmarkEnd w:id="24"/>
      <w:bookmarkEnd w:id="25"/>
      <w:bookmarkEnd w:id="26"/>
    </w:p>
    <w:p w14:paraId="6E218AFC" w14:textId="478E1F87" w:rsidR="00B36511" w:rsidRDefault="002560DB" w:rsidP="00C22D37">
      <w:pPr>
        <w:pStyle w:val="BodyText"/>
      </w:pPr>
      <w:r>
        <w:t xml:space="preserve">Overall, the potential </w:t>
      </w:r>
      <w:r w:rsidR="00B36511">
        <w:t xml:space="preserve">net </w:t>
      </w:r>
      <w:r>
        <w:t xml:space="preserve">benefits from reform in these areas </w:t>
      </w:r>
      <w:r w:rsidR="00F50D8E">
        <w:t xml:space="preserve">are </w:t>
      </w:r>
      <w:r>
        <w:t xml:space="preserve">estimated at </w:t>
      </w:r>
      <w:r w:rsidR="002E5DAD">
        <w:t>about</w:t>
      </w:r>
      <w:r>
        <w:t xml:space="preserve"> $10 billion per annum in the long term (30 years).</w:t>
      </w:r>
    </w:p>
    <w:p w14:paraId="6E218AFD" w14:textId="74A18210" w:rsidR="00B36511" w:rsidRDefault="00B36511" w:rsidP="00B36511">
      <w:pPr>
        <w:pStyle w:val="BodyText"/>
      </w:pPr>
      <w:r>
        <w:t>Replacing stamp duties with a broad</w:t>
      </w:r>
      <w:r>
        <w:noBreakHyphen/>
        <w:t xml:space="preserve">based land tax is estimated to provide a benefit of </w:t>
      </w:r>
      <w:r w:rsidR="002E5DAD">
        <w:t>approximately</w:t>
      </w:r>
      <w:r>
        <w:t xml:space="preserve"> $8.5 billion per annum in the long run. This estimate assumes that the broad</w:t>
      </w:r>
      <w:r w:rsidR="004F330E">
        <w:noBreakHyphen/>
      </w:r>
      <w:r>
        <w:t xml:space="preserve">based land tax fully funds the removal of stamp duties. The benefits arise from people moving to residential properties that better suit their preferences, increasing labour mobility and reducing commuting costs. Benefits also arise from more productive land use and increased investment. </w:t>
      </w:r>
    </w:p>
    <w:p w14:paraId="6E218AFE" w14:textId="77777777" w:rsidR="00B36511" w:rsidRPr="00D9265D" w:rsidRDefault="00F66C18" w:rsidP="00B36511">
      <w:pPr>
        <w:pStyle w:val="BodyText"/>
      </w:pPr>
      <w:r>
        <w:t>The</w:t>
      </w:r>
      <w:r w:rsidR="00B36511">
        <w:t xml:space="preserve"> </w:t>
      </w:r>
      <w:r>
        <w:t xml:space="preserve">estimate </w:t>
      </w:r>
      <w:r w:rsidR="00B36511">
        <w:t xml:space="preserve">is based on recent analysis by Independent Economics </w:t>
      </w:r>
      <w:r w:rsidR="00B36511" w:rsidRPr="00971CB7">
        <w:t>(2014)</w:t>
      </w:r>
      <w:r w:rsidR="00B36511">
        <w:t xml:space="preserve"> and the Grattan Institute </w:t>
      </w:r>
      <w:r w:rsidR="00B36511" w:rsidRPr="00971CB7">
        <w:t>(2015)</w:t>
      </w:r>
      <w:r w:rsidR="00B36511">
        <w:t>. The estimate takes into consideration the transition to a broad</w:t>
      </w:r>
      <w:r w:rsidR="00B36511">
        <w:noBreakHyphen/>
        <w:t xml:space="preserve">based land tax, assuming for the sake of simplicity a transition period of 20 years, as has occurred in the ACT. </w:t>
      </w:r>
    </w:p>
    <w:p w14:paraId="6E218AFF" w14:textId="48A3FF1B" w:rsidR="00510819" w:rsidRDefault="00B36511" w:rsidP="00C22D37">
      <w:pPr>
        <w:pStyle w:val="BodyText"/>
      </w:pPr>
      <w:r>
        <w:t xml:space="preserve">The remainder of </w:t>
      </w:r>
      <w:r w:rsidR="002E5DAD">
        <w:t>about</w:t>
      </w:r>
      <w:r w:rsidR="002560DB">
        <w:t xml:space="preserve"> </w:t>
      </w:r>
      <w:r w:rsidR="002D37D5">
        <w:t xml:space="preserve">$1.5 billion </w:t>
      </w:r>
      <w:r>
        <w:t xml:space="preserve">per annum </w:t>
      </w:r>
      <w:r w:rsidR="002D37D5">
        <w:t>arises from r</w:t>
      </w:r>
      <w:r w:rsidR="00C22D37" w:rsidRPr="00534493">
        <w:t xml:space="preserve">eforms to </w:t>
      </w:r>
      <w:r w:rsidR="002D37D5">
        <w:t>planning and zoning systems</w:t>
      </w:r>
      <w:r>
        <w:t xml:space="preserve"> — specifically, </w:t>
      </w:r>
      <w:r w:rsidR="002D37D5">
        <w:t xml:space="preserve">lower costs associated </w:t>
      </w:r>
      <w:r w:rsidR="00D14AB7">
        <w:t xml:space="preserve">with </w:t>
      </w:r>
      <w:r w:rsidR="00C22D37">
        <w:t xml:space="preserve">development delays, </w:t>
      </w:r>
      <w:r w:rsidR="00B61EBF">
        <w:t xml:space="preserve">including the </w:t>
      </w:r>
      <w:r w:rsidR="00C22D37">
        <w:t>holding</w:t>
      </w:r>
      <w:r w:rsidR="00B61EBF">
        <w:t xml:space="preserve"> costs of land</w:t>
      </w:r>
      <w:r w:rsidR="00D14AB7">
        <w:t>,</w:t>
      </w:r>
      <w:r w:rsidR="00C22D37">
        <w:t xml:space="preserve"> documentation</w:t>
      </w:r>
      <w:r w:rsidR="00510819">
        <w:t>,</w:t>
      </w:r>
      <w:r w:rsidR="00C22D37">
        <w:t xml:space="preserve"> </w:t>
      </w:r>
      <w:r>
        <w:t>and development risks</w:t>
      </w:r>
      <w:r w:rsidR="00C22D37">
        <w:t xml:space="preserve">. In addition, </w:t>
      </w:r>
      <w:r w:rsidR="00D14AB7">
        <w:t xml:space="preserve">reducing the prescriptiveness of </w:t>
      </w:r>
      <w:r w:rsidR="00403B07">
        <w:t xml:space="preserve">allowed </w:t>
      </w:r>
      <w:r w:rsidR="00C22D37">
        <w:t xml:space="preserve">land </w:t>
      </w:r>
      <w:r w:rsidR="00403B07">
        <w:t xml:space="preserve">use </w:t>
      </w:r>
      <w:r w:rsidR="00C22D37">
        <w:t xml:space="preserve">will </w:t>
      </w:r>
      <w:r w:rsidR="002D37D5">
        <w:t>increase</w:t>
      </w:r>
      <w:r w:rsidR="00403B07">
        <w:t xml:space="preserve"> allocative efficiency</w:t>
      </w:r>
      <w:r w:rsidR="006A681F">
        <w:t xml:space="preserve"> by allowing </w:t>
      </w:r>
      <w:r w:rsidR="00447067">
        <w:t xml:space="preserve">land to </w:t>
      </w:r>
      <w:r w:rsidR="006A681F">
        <w:t>be applied to more valued uses as preferences change over time</w:t>
      </w:r>
      <w:r w:rsidR="00C22D37">
        <w:t xml:space="preserve">. </w:t>
      </w:r>
    </w:p>
    <w:p w14:paraId="6E218B00" w14:textId="77777777" w:rsidR="00C22D37" w:rsidRDefault="00447067" w:rsidP="00C22D37">
      <w:pPr>
        <w:pStyle w:val="BodyText"/>
      </w:pPr>
      <w:r>
        <w:t>Th</w:t>
      </w:r>
      <w:r w:rsidR="00403B07">
        <w:t>e</w:t>
      </w:r>
      <w:r>
        <w:t xml:space="preserve"> estimate </w:t>
      </w:r>
      <w:r w:rsidR="00727518">
        <w:t xml:space="preserve">is based on </w:t>
      </w:r>
      <w:r w:rsidR="00C22D37">
        <w:t>jurisdictional planning reform reports</w:t>
      </w:r>
      <w:r w:rsidR="00727518">
        <w:t>,</w:t>
      </w:r>
      <w:r w:rsidR="009C6401">
        <w:t xml:space="preserve"> particularly </w:t>
      </w:r>
      <w:r w:rsidR="00F0309E">
        <w:t>the estimated potential benefits of the N</w:t>
      </w:r>
      <w:r w:rsidR="0086494C">
        <w:t xml:space="preserve">ew </w:t>
      </w:r>
      <w:r w:rsidR="00F0309E">
        <w:t>S</w:t>
      </w:r>
      <w:r w:rsidR="0086494C">
        <w:t xml:space="preserve">outh </w:t>
      </w:r>
      <w:r w:rsidR="00F0309E">
        <w:t>W</w:t>
      </w:r>
      <w:r w:rsidR="0086494C">
        <w:t>ales</w:t>
      </w:r>
      <w:r w:rsidR="00F0309E">
        <w:t xml:space="preserve"> White Paper Reforms</w:t>
      </w:r>
      <w:r w:rsidR="00C22D37">
        <w:t xml:space="preserve"> </w:t>
      </w:r>
      <w:r w:rsidR="00720598" w:rsidRPr="00720598">
        <w:rPr>
          <w:szCs w:val="24"/>
        </w:rPr>
        <w:t>(CIE</w:t>
      </w:r>
      <w:r w:rsidR="00720598" w:rsidRPr="00E261B4">
        <w:rPr>
          <w:szCs w:val="24"/>
        </w:rPr>
        <w:t> 2013; Deloitte </w:t>
      </w:r>
      <w:r w:rsidR="00720598" w:rsidRPr="00CB7A9B">
        <w:rPr>
          <w:szCs w:val="24"/>
        </w:rPr>
        <w:t>2012)</w:t>
      </w:r>
      <w:r w:rsidR="00727518">
        <w:t xml:space="preserve">, and takes into account </w:t>
      </w:r>
      <w:r w:rsidR="00510819">
        <w:t xml:space="preserve">reforms that have been implemented since 2011, and </w:t>
      </w:r>
      <w:r w:rsidR="00727518">
        <w:t>possible implementation and transition costs.</w:t>
      </w:r>
      <w:r w:rsidR="00510819">
        <w:t xml:space="preserve"> </w:t>
      </w:r>
    </w:p>
    <w:p w14:paraId="6E218B01" w14:textId="77777777" w:rsidR="00C22D37" w:rsidRPr="00492F07" w:rsidRDefault="00C22D37" w:rsidP="00C22D37">
      <w:pPr>
        <w:pStyle w:val="BodyText"/>
      </w:pPr>
      <w:r>
        <w:t xml:space="preserve">There is considerable </w:t>
      </w:r>
      <w:r w:rsidRPr="00492F07">
        <w:t xml:space="preserve">uncertainty in this estimate </w:t>
      </w:r>
      <w:r w:rsidR="00F85643">
        <w:t>of planning reforms</w:t>
      </w:r>
      <w:r w:rsidRPr="00492F07">
        <w:t xml:space="preserve">. </w:t>
      </w:r>
      <w:r w:rsidR="00510819" w:rsidRPr="00492F07">
        <w:t>On one hand, they are conservative because</w:t>
      </w:r>
      <w:r w:rsidR="006C5DBD" w:rsidRPr="00492F07">
        <w:t xml:space="preserve"> </w:t>
      </w:r>
      <w:r w:rsidR="00D461AD" w:rsidRPr="00492F07">
        <w:t>they do not consider land use restrictions imposed outside of broad zoning requirements</w:t>
      </w:r>
      <w:r w:rsidR="00492F07" w:rsidRPr="00492F07">
        <w:t>,</w:t>
      </w:r>
      <w:r w:rsidR="00D461AD" w:rsidRPr="00492F07">
        <w:t xml:space="preserve"> such as building heights</w:t>
      </w:r>
      <w:r w:rsidR="00492F07" w:rsidRPr="00492F07">
        <w:t xml:space="preserve">. </w:t>
      </w:r>
      <w:r w:rsidR="00510819" w:rsidRPr="00492F07">
        <w:t xml:space="preserve">But </w:t>
      </w:r>
      <w:r w:rsidR="00F50D8E" w:rsidRPr="00492F07">
        <w:t>an observation made by the</w:t>
      </w:r>
      <w:r w:rsidRPr="00492F07">
        <w:t xml:space="preserve"> Commission</w:t>
      </w:r>
      <w:r w:rsidR="00F50D8E" w:rsidRPr="00492F07">
        <w:t xml:space="preserve"> i</w:t>
      </w:r>
      <w:r w:rsidR="00510819" w:rsidRPr="00492F07">
        <w:t xml:space="preserve">n its </w:t>
      </w:r>
      <w:r w:rsidRPr="00492F07">
        <w:t xml:space="preserve">2011 research report on </w:t>
      </w:r>
      <w:r w:rsidR="00510819" w:rsidRPr="00492F07">
        <w:t>p</w:t>
      </w:r>
      <w:r w:rsidRPr="00492F07">
        <w:t>lanning, zoning and development assessment</w:t>
      </w:r>
      <w:r w:rsidR="00510819" w:rsidRPr="00492F07">
        <w:t xml:space="preserve"> regulations </w:t>
      </w:r>
      <w:r w:rsidR="00F50D8E" w:rsidRPr="00492F07">
        <w:t>remains</w:t>
      </w:r>
      <w:r w:rsidR="00510819" w:rsidRPr="00492F07">
        <w:t xml:space="preserve"> relevant</w:t>
      </w:r>
      <w:r w:rsidRPr="00492F07">
        <w:t>:</w:t>
      </w:r>
    </w:p>
    <w:p w14:paraId="6E218B02" w14:textId="1995A7E9" w:rsidR="00AF283B" w:rsidRDefault="00C22D37" w:rsidP="00D31AC3">
      <w:pPr>
        <w:pStyle w:val="Quote"/>
      </w:pPr>
      <w:r w:rsidRPr="00492F07">
        <w:t>The state and territory planning systems have</w:t>
      </w:r>
      <w:r w:rsidR="00AB6E14">
        <w:t xml:space="preserve"> </w:t>
      </w:r>
      <w:r w:rsidR="00935CF1">
        <w:t>…</w:t>
      </w:r>
      <w:r>
        <w:t xml:space="preserve"> been subject to rolling reforms</w:t>
      </w:r>
      <w:r w:rsidR="00935CF1">
        <w:t>,</w:t>
      </w:r>
      <w:r>
        <w:t xml:space="preserve"> which are often not fully implemented or evaluated before being replaced with further reforms</w:t>
      </w:r>
      <w:r w:rsidR="00181B62">
        <w:t xml:space="preserve"> </w:t>
      </w:r>
      <w:r w:rsidR="00AB6E14">
        <w:t>…</w:t>
      </w:r>
      <w:r>
        <w:t xml:space="preserve"> </w:t>
      </w:r>
      <w:r w:rsidR="001B5DAC" w:rsidRPr="001B5DAC">
        <w:rPr>
          <w:szCs w:val="24"/>
        </w:rPr>
        <w:t>(PC 2011b, p. XXII)</w:t>
      </w:r>
      <w:r>
        <w:t>.</w:t>
      </w:r>
      <w:r w:rsidR="00AF283B">
        <w:br w:type="page"/>
      </w:r>
    </w:p>
    <w:p w14:paraId="6E218B03" w14:textId="77777777" w:rsidR="00C73455" w:rsidRDefault="00AF283B" w:rsidP="00AF283B">
      <w:pPr>
        <w:pStyle w:val="Heading1"/>
      </w:pPr>
      <w:r>
        <w:t>References</w:t>
      </w:r>
    </w:p>
    <w:p w14:paraId="6E218B04" w14:textId="77777777" w:rsidR="007B0AF6" w:rsidRDefault="007B0AF6" w:rsidP="0061187E">
      <w:pPr>
        <w:pStyle w:val="Reference"/>
      </w:pPr>
      <w:r>
        <w:t xml:space="preserve">ABS (Australian Bureau of Statistics) 2013, </w:t>
      </w:r>
      <w:r>
        <w:rPr>
          <w:i/>
          <w:iCs/>
        </w:rPr>
        <w:t>Population Projections, Australia, 2012 (base) to 2101</w:t>
      </w:r>
      <w:r>
        <w:t>, Cat. no 3222.0.</w:t>
      </w:r>
    </w:p>
    <w:p w14:paraId="6E218B05" w14:textId="60E96B32" w:rsidR="007B0AF6" w:rsidRDefault="007B0AF6" w:rsidP="0061187E">
      <w:pPr>
        <w:pStyle w:val="Reference"/>
      </w:pPr>
      <w:r>
        <w:t xml:space="preserve">—— (2017, </w:t>
      </w:r>
      <w:r>
        <w:rPr>
          <w:i/>
          <w:iCs/>
        </w:rPr>
        <w:t>Housing Finance, Australia, May 2017</w:t>
      </w:r>
      <w:r>
        <w:t>, Cat. no. 5609.0, July.</w:t>
      </w:r>
    </w:p>
    <w:p w14:paraId="6E218B06" w14:textId="77777777" w:rsidR="007B0AF6" w:rsidRDefault="007B0AF6" w:rsidP="0061187E">
      <w:pPr>
        <w:pStyle w:val="Reference"/>
      </w:pPr>
      <w:r>
        <w:t xml:space="preserve">ACCC (Australian Competition and Consumer Commission) 2014, </w:t>
      </w:r>
      <w:r>
        <w:rPr>
          <w:i/>
          <w:iCs/>
        </w:rPr>
        <w:t>Reinvigorating Australia’s Competition Policy - Australian Competition &amp; Consumer Commission Submission to the Competition Policy Review</w:t>
      </w:r>
      <w:r>
        <w:t>, 25 June.</w:t>
      </w:r>
    </w:p>
    <w:p w14:paraId="6E218B07" w14:textId="434721CF" w:rsidR="007B0AF6" w:rsidRDefault="007B0AF6" w:rsidP="0061187E">
      <w:pPr>
        <w:pStyle w:val="Reference"/>
      </w:pPr>
      <w:r>
        <w:t xml:space="preserve">ACT EPSDD (ACT Environment, Planning and Sustainable Development Directorate) 2017, </w:t>
      </w:r>
      <w:r>
        <w:rPr>
          <w:i/>
          <w:iCs/>
        </w:rPr>
        <w:t>Development application (DA) statistics 2014</w:t>
      </w:r>
      <w:r w:rsidR="00AB6E14">
        <w:rPr>
          <w:i/>
          <w:iCs/>
        </w:rPr>
        <w:noBreakHyphen/>
      </w:r>
      <w:r>
        <w:rPr>
          <w:i/>
          <w:iCs/>
        </w:rPr>
        <w:t>15</w:t>
      </w:r>
      <w:r>
        <w:t>, www.planning.act.gov.au/development_applications/our_da_performance/development_application_da_statistics_2014</w:t>
      </w:r>
      <w:r w:rsidR="00AB6E14">
        <w:t>–</w:t>
      </w:r>
      <w:r>
        <w:t>2015 (accessed 25</w:t>
      </w:r>
      <w:r w:rsidR="00181B62">
        <w:t> </w:t>
      </w:r>
      <w:r>
        <w:t>July 2017).</w:t>
      </w:r>
    </w:p>
    <w:p w14:paraId="6E218B08" w14:textId="77777777" w:rsidR="007B0AF6" w:rsidRDefault="007B0AF6" w:rsidP="0061187E">
      <w:pPr>
        <w:pStyle w:val="Reference"/>
      </w:pPr>
      <w:r>
        <w:t xml:space="preserve">ACT Government 2012, </w:t>
      </w:r>
      <w:r>
        <w:rPr>
          <w:i/>
          <w:iCs/>
        </w:rPr>
        <w:t>A Fairer, Simpler and More Efficient Taxation System - 5 Year Reform Plan</w:t>
      </w:r>
      <w:r>
        <w:t>.</w:t>
      </w:r>
    </w:p>
    <w:p w14:paraId="6E218B09" w14:textId="62ED5CB3" w:rsidR="007B0AF6" w:rsidRDefault="007B0AF6" w:rsidP="0061187E">
      <w:pPr>
        <w:pStyle w:val="Reference"/>
      </w:pPr>
      <w:r>
        <w:t>——</w:t>
      </w:r>
      <w:r w:rsidR="00124A1F">
        <w:t> </w:t>
      </w:r>
      <w:r>
        <w:t xml:space="preserve">2017, </w:t>
      </w:r>
      <w:r>
        <w:rPr>
          <w:i/>
          <w:iCs/>
        </w:rPr>
        <w:t>General Rates - Rebates and Deferments</w:t>
      </w:r>
      <w:r>
        <w:t>, www.assistance.act.gov.au/adult/fees_and_fines/fees/general_rates_rebates_and_deferments (accessed 29</w:t>
      </w:r>
      <w:r w:rsidR="00181B62">
        <w:t> </w:t>
      </w:r>
      <w:r>
        <w:t>May 2017).</w:t>
      </w:r>
    </w:p>
    <w:p w14:paraId="6E218B0A" w14:textId="465DA3E6" w:rsidR="007B0AF6" w:rsidRDefault="007B0AF6" w:rsidP="0061187E">
      <w:pPr>
        <w:pStyle w:val="Reference"/>
      </w:pPr>
      <w:r>
        <w:t xml:space="preserve">ACT Revenue Office 2017, </w:t>
      </w:r>
      <w:r>
        <w:rPr>
          <w:i/>
          <w:iCs/>
        </w:rPr>
        <w:t>Rates assistance</w:t>
      </w:r>
      <w:r>
        <w:t>, www.revenue.act.gov.au/duties-and-taxes/rates/rates-assistance (accessed 19</w:t>
      </w:r>
      <w:r w:rsidR="00181B62">
        <w:t> </w:t>
      </w:r>
      <w:r>
        <w:t>April 2017).</w:t>
      </w:r>
    </w:p>
    <w:p w14:paraId="6E218B0B" w14:textId="77777777" w:rsidR="007B0AF6" w:rsidRDefault="007B0AF6" w:rsidP="0061187E">
      <w:pPr>
        <w:pStyle w:val="Reference"/>
      </w:pPr>
      <w:r>
        <w:t xml:space="preserve">ALDI Stores 2014, </w:t>
      </w:r>
      <w:r>
        <w:rPr>
          <w:i/>
          <w:iCs/>
        </w:rPr>
        <w:t>Submission to the Competition Policy Review</w:t>
      </w:r>
      <w:r>
        <w:t>, 6 October.</w:t>
      </w:r>
    </w:p>
    <w:p w14:paraId="6E218B0C" w14:textId="150D9416" w:rsidR="007B0AF6" w:rsidRDefault="007B0AF6" w:rsidP="0061187E">
      <w:pPr>
        <w:pStyle w:val="Reference"/>
      </w:pPr>
      <w:r>
        <w:t xml:space="preserve">Allens 2017, </w:t>
      </w:r>
      <w:r>
        <w:rPr>
          <w:i/>
          <w:iCs/>
        </w:rPr>
        <w:t>Focus: Key planning reforms for developers, miners and major projects in NSW</w:t>
      </w:r>
      <w:r>
        <w:t>, www.allens.com.au/pubs/env/foenv19jan17.htm (accessed 30</w:t>
      </w:r>
      <w:r w:rsidR="00181B62">
        <w:t> </w:t>
      </w:r>
      <w:r>
        <w:t>July 2017).</w:t>
      </w:r>
    </w:p>
    <w:p w14:paraId="6E218B0D" w14:textId="77777777" w:rsidR="007B0AF6" w:rsidRDefault="007B0AF6" w:rsidP="0061187E">
      <w:pPr>
        <w:pStyle w:val="Reference"/>
      </w:pPr>
      <w:r>
        <w:t xml:space="preserve">Auckland Council 2017, </w:t>
      </w:r>
      <w:r>
        <w:rPr>
          <w:i/>
          <w:iCs/>
        </w:rPr>
        <w:t>Rates remission and postponement policy</w:t>
      </w:r>
      <w:r>
        <w:t>, Auckland, NZ.</w:t>
      </w:r>
    </w:p>
    <w:p w14:paraId="6E218B0E" w14:textId="77777777" w:rsidR="007B0AF6" w:rsidRDefault="007B0AF6" w:rsidP="0061187E">
      <w:pPr>
        <w:pStyle w:val="Reference"/>
      </w:pPr>
      <w:r>
        <w:t xml:space="preserve">Australian Government 2015, </w:t>
      </w:r>
      <w:r>
        <w:rPr>
          <w:i/>
          <w:iCs/>
        </w:rPr>
        <w:t>Re:think : Better Tax System, Better Australia Tax</w:t>
      </w:r>
      <w:r>
        <w:t>, Discussion Paper.</w:t>
      </w:r>
    </w:p>
    <w:p w14:paraId="6E218B0F" w14:textId="03772DEA" w:rsidR="007B0AF6" w:rsidRDefault="007B0AF6" w:rsidP="0061187E">
      <w:pPr>
        <w:pStyle w:val="Reference"/>
      </w:pPr>
      <w:r>
        <w:t>——</w:t>
      </w:r>
      <w:r w:rsidR="00124A1F">
        <w:t> </w:t>
      </w:r>
      <w:r>
        <w:t xml:space="preserve">2016, </w:t>
      </w:r>
      <w:r>
        <w:rPr>
          <w:i/>
          <w:iCs/>
        </w:rPr>
        <w:t>Planning for the future</w:t>
      </w:r>
      <w:r>
        <w:t>, State of the Environment Report, www.soe.environment.gov.au/theme/built-environment/topic/2016/planning-future (accessed 24</w:t>
      </w:r>
      <w:r w:rsidR="00181B62">
        <w:t> </w:t>
      </w:r>
      <w:r>
        <w:t>May 2017).</w:t>
      </w:r>
    </w:p>
    <w:p w14:paraId="6E218B10" w14:textId="77777777" w:rsidR="007B0AF6" w:rsidRDefault="007B0AF6" w:rsidP="0061187E">
      <w:pPr>
        <w:pStyle w:val="Reference"/>
      </w:pPr>
      <w:r>
        <w:t xml:space="preserve">Baldwin, R. 2016, </w:t>
      </w:r>
      <w:r>
        <w:rPr>
          <w:i/>
          <w:iCs/>
        </w:rPr>
        <w:t>The Great Convergence: Information Technology and the New Globalization</w:t>
      </w:r>
      <w:r>
        <w:t>.</w:t>
      </w:r>
    </w:p>
    <w:p w14:paraId="6E218B11" w14:textId="77777777" w:rsidR="007B0AF6" w:rsidRDefault="007B0AF6" w:rsidP="0061187E">
      <w:pPr>
        <w:pStyle w:val="Reference"/>
      </w:pPr>
      <w:r>
        <w:t xml:space="preserve">Barrett, G., Cigdem, M., Whelan, S. and Wood, G. 2015, </w:t>
      </w:r>
      <w:r>
        <w:rPr>
          <w:i/>
          <w:iCs/>
        </w:rPr>
        <w:t>The relationship between intergenerational transfers, housing and economic outcomes</w:t>
      </w:r>
      <w:r>
        <w:t>, Australian Housing and Urban Research Institute.</w:t>
      </w:r>
    </w:p>
    <w:p w14:paraId="6E218B12" w14:textId="77777777" w:rsidR="007B0AF6" w:rsidRDefault="007B0AF6" w:rsidP="0061187E">
      <w:pPr>
        <w:pStyle w:val="Reference"/>
      </w:pPr>
      <w:r>
        <w:t xml:space="preserve">Besley, T., Meads, N. and Surico, P. 2014, ‘The incidence of transaction taxes: Evidence from a stamp duty holiday’, </w:t>
      </w:r>
      <w:r>
        <w:rPr>
          <w:i/>
          <w:iCs/>
        </w:rPr>
        <w:t>Journal of Public Economics</w:t>
      </w:r>
      <w:r>
        <w:t>, vol. 119, November, pp. 61–70.</w:t>
      </w:r>
    </w:p>
    <w:p w14:paraId="6E218B13" w14:textId="77777777" w:rsidR="007B0AF6" w:rsidRDefault="007B0AF6" w:rsidP="0061187E">
      <w:pPr>
        <w:pStyle w:val="Reference"/>
      </w:pPr>
      <w:r>
        <w:t xml:space="preserve">CIE (Centre for International Economics) 2013, </w:t>
      </w:r>
      <w:r>
        <w:rPr>
          <w:i/>
          <w:iCs/>
        </w:rPr>
        <w:t>Reform of the NSW Planning System - Better Regulation Statement</w:t>
      </w:r>
      <w:r>
        <w:t>, October.</w:t>
      </w:r>
    </w:p>
    <w:p w14:paraId="6E218B14" w14:textId="0FDD59FE" w:rsidR="007B0AF6" w:rsidRDefault="007B0AF6" w:rsidP="0061187E">
      <w:pPr>
        <w:pStyle w:val="Reference"/>
      </w:pPr>
      <w:r>
        <w:t xml:space="preserve">CoreLogic 2017, </w:t>
      </w:r>
      <w:r>
        <w:rPr>
          <w:i/>
          <w:iCs/>
        </w:rPr>
        <w:t>Corelogic Home Value Index</w:t>
      </w:r>
      <w:r>
        <w:t>, www.corelogic.com.au/research/monthly-indices.html (accessed 26</w:t>
      </w:r>
      <w:r w:rsidR="00181B62">
        <w:t> </w:t>
      </w:r>
      <w:r>
        <w:t>June 2017).</w:t>
      </w:r>
    </w:p>
    <w:p w14:paraId="6E218B15" w14:textId="77777777" w:rsidR="007B0AF6" w:rsidRDefault="007B0AF6" w:rsidP="0061187E">
      <w:pPr>
        <w:pStyle w:val="Reference"/>
      </w:pPr>
      <w:r>
        <w:t xml:space="preserve">DAE (Deloitte Access Economics) 2016, </w:t>
      </w:r>
      <w:r>
        <w:rPr>
          <w:i/>
          <w:iCs/>
        </w:rPr>
        <w:t>A Federal Incentives Model for Housing Supply</w:t>
      </w:r>
      <w:r>
        <w:t>, Property Council of Australia.</w:t>
      </w:r>
    </w:p>
    <w:p w14:paraId="6E218B16" w14:textId="77777777" w:rsidR="007B0AF6" w:rsidRDefault="007B0AF6" w:rsidP="0061187E">
      <w:pPr>
        <w:pStyle w:val="Reference"/>
      </w:pPr>
      <w:r>
        <w:t xml:space="preserve">DAF (Development Assessment Forum) 2005, </w:t>
      </w:r>
      <w:r>
        <w:rPr>
          <w:i/>
          <w:iCs/>
        </w:rPr>
        <w:t>A leading practice model for development assessment in Australia</w:t>
      </w:r>
      <w:r>
        <w:t>, March.</w:t>
      </w:r>
    </w:p>
    <w:p w14:paraId="6E218B17" w14:textId="4C8DB35A" w:rsidR="007B0AF6" w:rsidRDefault="007B0AF6" w:rsidP="0061187E">
      <w:pPr>
        <w:pStyle w:val="Reference"/>
      </w:pPr>
      <w:r>
        <w:t xml:space="preserve">—— (2014, </w:t>
      </w:r>
      <w:r>
        <w:rPr>
          <w:i/>
          <w:iCs/>
        </w:rPr>
        <w:t>What is the forum?</w:t>
      </w:r>
      <w:r>
        <w:t>, daf.asn.au/about-the-development-assessment-forum (accessed 3</w:t>
      </w:r>
      <w:r w:rsidR="00181B62">
        <w:t> </w:t>
      </w:r>
      <w:r>
        <w:t>January 2017).</w:t>
      </w:r>
    </w:p>
    <w:p w14:paraId="6E218B18" w14:textId="2E1BE957" w:rsidR="007B0AF6" w:rsidRDefault="007B0AF6" w:rsidP="0061187E">
      <w:pPr>
        <w:pStyle w:val="Reference"/>
      </w:pPr>
      <w:r>
        <w:t>Daley, J. 2016, ‘Economic, social and political geography’, www.sgsep.com.au/publications/sgs-seminar-melbourne-how-pay-compact-city (accessed 17</w:t>
      </w:r>
      <w:r w:rsidR="00181B62">
        <w:t> </w:t>
      </w:r>
      <w:r>
        <w:t>January 2017).</w:t>
      </w:r>
    </w:p>
    <w:p w14:paraId="6E218B19" w14:textId="77777777" w:rsidR="007B0AF6" w:rsidRDefault="007B0AF6" w:rsidP="0061187E">
      <w:pPr>
        <w:pStyle w:val="Reference"/>
      </w:pPr>
      <w:r>
        <w:t xml:space="preserve">—— and Coates, B. 2015, </w:t>
      </w:r>
      <w:r>
        <w:rPr>
          <w:i/>
          <w:iCs/>
        </w:rPr>
        <w:t>Property Taxes</w:t>
      </w:r>
      <w:r>
        <w:t>, Grattan Institute.</w:t>
      </w:r>
    </w:p>
    <w:p w14:paraId="6E218B1A" w14:textId="06D917EF" w:rsidR="007B0AF6" w:rsidRDefault="007B0AF6" w:rsidP="0061187E">
      <w:pPr>
        <w:pStyle w:val="Reference"/>
      </w:pPr>
      <w:r>
        <w:t>—— and ——</w:t>
      </w:r>
      <w:r w:rsidR="00124A1F">
        <w:t> </w:t>
      </w:r>
      <w:r>
        <w:t xml:space="preserve">2016, </w:t>
      </w:r>
      <w:r>
        <w:rPr>
          <w:i/>
          <w:iCs/>
        </w:rPr>
        <w:t>Following the ACT land tax approach boosts growth and state budgets</w:t>
      </w:r>
      <w:r>
        <w:t>, www.grattan.edu.au/news/following-the-act-land-tax-approach-boosts-growth-and-state-budgets/ (accessed 5</w:t>
      </w:r>
      <w:r w:rsidR="00181B62">
        <w:t> </w:t>
      </w:r>
      <w:r>
        <w:t>February 2017).</w:t>
      </w:r>
    </w:p>
    <w:p w14:paraId="6E218B1B" w14:textId="77777777" w:rsidR="007B0AF6" w:rsidRDefault="007B0AF6" w:rsidP="0061187E">
      <w:pPr>
        <w:pStyle w:val="Reference"/>
      </w:pPr>
      <w:r>
        <w:t xml:space="preserve">——, McGannon, C., Savage, C. and Hunter, A. 2013, </w:t>
      </w:r>
      <w:r>
        <w:rPr>
          <w:i/>
          <w:iCs/>
        </w:rPr>
        <w:t>Balancing budgets: tough choices we need - supporting analysis</w:t>
      </w:r>
      <w:r>
        <w:t>, Grattan Institute.</w:t>
      </w:r>
    </w:p>
    <w:p w14:paraId="6E218B1C" w14:textId="77777777" w:rsidR="007B0AF6" w:rsidRDefault="007B0AF6" w:rsidP="0061187E">
      <w:pPr>
        <w:pStyle w:val="Reference"/>
      </w:pPr>
      <w:r>
        <w:t xml:space="preserve">Davidoff, I. and Leigh, A. 2013, ‘How do stamp duties affect the housing market?’, </w:t>
      </w:r>
      <w:r>
        <w:rPr>
          <w:i/>
          <w:iCs/>
        </w:rPr>
        <w:t>Economic Record</w:t>
      </w:r>
      <w:r>
        <w:t>, vol. 89, no. 286, pp. 396–410.</w:t>
      </w:r>
    </w:p>
    <w:p w14:paraId="6E218B1D" w14:textId="77777777" w:rsidR="007B0AF6" w:rsidRDefault="007B0AF6" w:rsidP="0061187E">
      <w:pPr>
        <w:pStyle w:val="Reference"/>
      </w:pPr>
      <w:r>
        <w:t xml:space="preserve">Deloitte 2012, </w:t>
      </w:r>
      <w:r>
        <w:rPr>
          <w:i/>
          <w:iCs/>
        </w:rPr>
        <w:t>Time and cost benchmarking project: a new planning system for NSW</w:t>
      </w:r>
      <w:r>
        <w:t>, Prepared for NSW Planning and Infrastructure.</w:t>
      </w:r>
    </w:p>
    <w:p w14:paraId="6E218B1E" w14:textId="77777777" w:rsidR="007B0AF6" w:rsidRDefault="007B0AF6" w:rsidP="0061187E">
      <w:pPr>
        <w:pStyle w:val="Reference"/>
      </w:pPr>
      <w:r>
        <w:t xml:space="preserve">Duranton, G. and Puga, D. 2013, ‘The growth of cities’, </w:t>
      </w:r>
      <w:r>
        <w:rPr>
          <w:i/>
          <w:iCs/>
        </w:rPr>
        <w:t>Centre for Economic Policy Research</w:t>
      </w:r>
      <w:r>
        <w:t>.</w:t>
      </w:r>
    </w:p>
    <w:p w14:paraId="6E218B1F" w14:textId="77777777" w:rsidR="007B0AF6" w:rsidRDefault="007B0AF6" w:rsidP="0061187E">
      <w:pPr>
        <w:pStyle w:val="Reference"/>
      </w:pPr>
      <w:r>
        <w:t xml:space="preserve">EIU (The Economist Intelligence Unit) 2016, </w:t>
      </w:r>
      <w:r>
        <w:rPr>
          <w:i/>
          <w:iCs/>
        </w:rPr>
        <w:t>A Summary of the Liveability Ranking and Overview</w:t>
      </w:r>
      <w:r>
        <w:t>, August.</w:t>
      </w:r>
    </w:p>
    <w:p w14:paraId="6E218B20" w14:textId="0DA3255C" w:rsidR="007B0AF6" w:rsidRDefault="007B0AF6" w:rsidP="0061187E">
      <w:pPr>
        <w:pStyle w:val="Reference"/>
      </w:pPr>
      <w:r>
        <w:t xml:space="preserve">Gadiel, A. 2016, </w:t>
      </w:r>
      <w:r>
        <w:rPr>
          <w:i/>
          <w:iCs/>
        </w:rPr>
        <w:t>Two-months of the Greater Sydney Commission – Your questions answered</w:t>
      </w:r>
      <w:r>
        <w:t>, Mills Oakley, www.millsoakley.com.au/two-months-of-the-greater-sydney-commission-your-questions-answered/ (accessed 17</w:t>
      </w:r>
      <w:r w:rsidR="00181B62">
        <w:t> </w:t>
      </w:r>
      <w:r>
        <w:t>March 2017).</w:t>
      </w:r>
    </w:p>
    <w:p w14:paraId="6E218B21" w14:textId="77777777" w:rsidR="007B0AF6" w:rsidRDefault="007B0AF6" w:rsidP="0061187E">
      <w:pPr>
        <w:pStyle w:val="Reference"/>
      </w:pPr>
      <w:r>
        <w:t xml:space="preserve">Glaeser, E. 2010, </w:t>
      </w:r>
      <w:r>
        <w:rPr>
          <w:i/>
          <w:iCs/>
        </w:rPr>
        <w:t>Agglomeration Economics</w:t>
      </w:r>
      <w:r>
        <w:t>, The University of Chicago Press.</w:t>
      </w:r>
    </w:p>
    <w:p w14:paraId="6E218B22" w14:textId="77777777" w:rsidR="007B0AF6" w:rsidRDefault="007B0AF6" w:rsidP="0061187E">
      <w:pPr>
        <w:pStyle w:val="Reference"/>
      </w:pPr>
      <w:r>
        <w:t xml:space="preserve">Harper, I., Anderson, P., McCluskey, S. and O’Bryan, M. 2015, </w:t>
      </w:r>
      <w:r>
        <w:rPr>
          <w:i/>
          <w:iCs/>
        </w:rPr>
        <w:t>Competition Policy Review</w:t>
      </w:r>
      <w:r>
        <w:t>, Final Report, March, Australian Government.</w:t>
      </w:r>
    </w:p>
    <w:p w14:paraId="6E218B23" w14:textId="77777777" w:rsidR="007B0AF6" w:rsidRDefault="007B0AF6" w:rsidP="0061187E">
      <w:pPr>
        <w:pStyle w:val="Reference"/>
      </w:pPr>
      <w:r>
        <w:t xml:space="preserve">Henry, K., Harmer, J, Ridout, H and Smith, G 2009, </w:t>
      </w:r>
      <w:r>
        <w:rPr>
          <w:i/>
          <w:iCs/>
        </w:rPr>
        <w:t>Australia’s Future Tax System: Report to the Treasurer</w:t>
      </w:r>
      <w:r>
        <w:t>, December, Commonwealth of Australia.</w:t>
      </w:r>
    </w:p>
    <w:p w14:paraId="6E218B24" w14:textId="77777777" w:rsidR="007B0AF6" w:rsidRDefault="007B0AF6" w:rsidP="0061187E">
      <w:pPr>
        <w:pStyle w:val="Reference"/>
      </w:pPr>
      <w:r>
        <w:t>Hilber, C. and Vermeulen, W. 2016, ‘The impact of supply constraints on house prices in England’, vol. 126, no. 591, pp. 358–405.</w:t>
      </w:r>
    </w:p>
    <w:p w14:paraId="6E218B25" w14:textId="77777777" w:rsidR="007B0AF6" w:rsidRDefault="007B0AF6" w:rsidP="0061187E">
      <w:pPr>
        <w:pStyle w:val="Reference"/>
      </w:pPr>
      <w:r>
        <w:t xml:space="preserve">IA (Infrastructure Australia) 2017, </w:t>
      </w:r>
      <w:r>
        <w:rPr>
          <w:i/>
          <w:iCs/>
        </w:rPr>
        <w:t>Corridor Protection: Planning and investing for the long term</w:t>
      </w:r>
      <w:r>
        <w:t>, Reform Series, July.</w:t>
      </w:r>
    </w:p>
    <w:p w14:paraId="6E218B26" w14:textId="77777777" w:rsidR="007B0AF6" w:rsidRDefault="007B0AF6" w:rsidP="0061187E">
      <w:pPr>
        <w:pStyle w:val="Reference"/>
      </w:pPr>
      <w:r>
        <w:t xml:space="preserve">IE (Independent Economics) 2014, </w:t>
      </w:r>
      <w:r>
        <w:rPr>
          <w:i/>
          <w:iCs/>
        </w:rPr>
        <w:t>Economics Impacts of Negative Gearing of Residential Property</w:t>
      </w:r>
      <w:r>
        <w:t>, June.</w:t>
      </w:r>
    </w:p>
    <w:p w14:paraId="6E218B27" w14:textId="77777777" w:rsidR="007B0AF6" w:rsidRDefault="007B0AF6" w:rsidP="0061187E">
      <w:pPr>
        <w:pStyle w:val="Reference"/>
      </w:pPr>
      <w:r>
        <w:t xml:space="preserve">IPART (Independent Pricing and Regulatory Tribunal) 2016, </w:t>
      </w:r>
      <w:r>
        <w:rPr>
          <w:i/>
          <w:iCs/>
        </w:rPr>
        <w:t>Review of the Local Government Rating System</w:t>
      </w:r>
      <w:r>
        <w:t>, Draft Report, August.</w:t>
      </w:r>
    </w:p>
    <w:p w14:paraId="6E218B28" w14:textId="55B01EE8" w:rsidR="007B0AF6" w:rsidRDefault="00E631BE" w:rsidP="0061187E">
      <w:pPr>
        <w:pStyle w:val="Reference"/>
      </w:pPr>
      <w:r>
        <w:t>——  </w:t>
      </w:r>
      <w:r w:rsidR="007B0AF6">
        <w:t xml:space="preserve">2017, </w:t>
      </w:r>
      <w:r w:rsidR="007B0AF6">
        <w:rPr>
          <w:i/>
          <w:iCs/>
        </w:rPr>
        <w:t>Submission – draft Environmental Planning and Assessment Amendment Bill 2017</w:t>
      </w:r>
      <w:r w:rsidR="007B0AF6">
        <w:t>.</w:t>
      </w:r>
    </w:p>
    <w:p w14:paraId="6E218B29" w14:textId="77777777" w:rsidR="007B0AF6" w:rsidRDefault="007B0AF6" w:rsidP="0061187E">
      <w:pPr>
        <w:pStyle w:val="Reference"/>
      </w:pPr>
      <w:r>
        <w:t xml:space="preserve">Kelly, J. and Donegan, P. 2014, </w:t>
      </w:r>
      <w:r>
        <w:rPr>
          <w:i/>
          <w:iCs/>
        </w:rPr>
        <w:t>Mapping Australia’s Economy</w:t>
      </w:r>
      <w:r>
        <w:t>, July, Grattan Institute.</w:t>
      </w:r>
    </w:p>
    <w:p w14:paraId="6E218B2A" w14:textId="3624E95F" w:rsidR="007B0AF6" w:rsidRDefault="007B0AF6" w:rsidP="0061187E">
      <w:pPr>
        <w:pStyle w:val="Reference"/>
      </w:pPr>
      <w:r>
        <w:t>—— and ——</w:t>
      </w:r>
      <w:r w:rsidR="00124A1F">
        <w:t> </w:t>
      </w:r>
      <w:r>
        <w:t xml:space="preserve">2015, </w:t>
      </w:r>
      <w:r>
        <w:rPr>
          <w:i/>
          <w:iCs/>
        </w:rPr>
        <w:t>City limits</w:t>
      </w:r>
      <w:r>
        <w:t>, Melbourne University Press.</w:t>
      </w:r>
    </w:p>
    <w:p w14:paraId="6E218B2B" w14:textId="77777777" w:rsidR="007B0AF6" w:rsidRDefault="007B0AF6" w:rsidP="0061187E">
      <w:pPr>
        <w:pStyle w:val="Reference"/>
      </w:pPr>
      <w:r>
        <w:t xml:space="preserve">——, Weidmann, B. and Walsh, M. 2011, </w:t>
      </w:r>
      <w:r>
        <w:rPr>
          <w:i/>
          <w:iCs/>
        </w:rPr>
        <w:t>The Housing We’d Choose</w:t>
      </w:r>
      <w:r>
        <w:t>, June, Grattan Institute.</w:t>
      </w:r>
    </w:p>
    <w:p w14:paraId="6E218B2C" w14:textId="77777777" w:rsidR="007B0AF6" w:rsidRDefault="007B0AF6" w:rsidP="0061187E">
      <w:pPr>
        <w:pStyle w:val="Reference"/>
      </w:pPr>
      <w:r>
        <w:t xml:space="preserve">Kohler, M. and van der Merwe, M. 2015, </w:t>
      </w:r>
      <w:r>
        <w:rPr>
          <w:i/>
          <w:iCs/>
        </w:rPr>
        <w:t>Long-run trends in housing price growth</w:t>
      </w:r>
      <w:r>
        <w:t>, RBA Bulletin, September, September Quarter.</w:t>
      </w:r>
    </w:p>
    <w:p w14:paraId="6E218B2D" w14:textId="77777777" w:rsidR="007B0AF6" w:rsidRDefault="007B0AF6" w:rsidP="0061187E">
      <w:pPr>
        <w:pStyle w:val="Reference"/>
      </w:pPr>
      <w:r>
        <w:t xml:space="preserve">KPMG (KPMG Economics) 2016, </w:t>
      </w:r>
      <w:r>
        <w:rPr>
          <w:i/>
          <w:iCs/>
        </w:rPr>
        <w:t>Housing affordability: what can be done about the Great Australian Dream?</w:t>
      </w:r>
      <w:r>
        <w:t>, October.</w:t>
      </w:r>
    </w:p>
    <w:p w14:paraId="6E218B2E" w14:textId="77777777" w:rsidR="007B0AF6" w:rsidRDefault="007B0AF6" w:rsidP="0061187E">
      <w:pPr>
        <w:pStyle w:val="Reference"/>
      </w:pPr>
      <w:r>
        <w:t xml:space="preserve">Leigh, A. and Triggs, A. 2016, ‘Markets, Monopolies and Moguls: The relationship between inequality and competition’, </w:t>
      </w:r>
      <w:r>
        <w:rPr>
          <w:i/>
          <w:iCs/>
        </w:rPr>
        <w:t>The Australian Economic Review</w:t>
      </w:r>
      <w:r>
        <w:t>, vol. 49, no. 4, pp. 389–412.</w:t>
      </w:r>
    </w:p>
    <w:p w14:paraId="6E218B2F" w14:textId="77777777" w:rsidR="007B0AF6" w:rsidRDefault="007B0AF6" w:rsidP="0061187E">
      <w:pPr>
        <w:pStyle w:val="Reference"/>
      </w:pPr>
      <w:r>
        <w:t xml:space="preserve">LFRA (Large Format Retail Australia) 2015, </w:t>
      </w:r>
      <w:r>
        <w:rPr>
          <w:i/>
          <w:iCs/>
        </w:rPr>
        <w:t>Investment+competition=jobs: Large format retail in NSW</w:t>
      </w:r>
      <w:r>
        <w:t>, February.</w:t>
      </w:r>
    </w:p>
    <w:p w14:paraId="6E218B30" w14:textId="77777777" w:rsidR="007B0AF6" w:rsidRDefault="007B0AF6" w:rsidP="0061187E">
      <w:pPr>
        <w:pStyle w:val="Reference"/>
      </w:pPr>
      <w:r>
        <w:t xml:space="preserve">LGAQ (Local Government Association of Queensland) 2014, </w:t>
      </w:r>
      <w:r>
        <w:rPr>
          <w:i/>
          <w:iCs/>
        </w:rPr>
        <w:t>Submission to the Public Infrastructure Inquiry with reference to the Draft Reports March 2014</w:t>
      </w:r>
      <w:r>
        <w:t>.</w:t>
      </w:r>
    </w:p>
    <w:p w14:paraId="6E218B31" w14:textId="4119AC97" w:rsidR="007B0AF6" w:rsidRDefault="007B0AF6" w:rsidP="0061187E">
      <w:pPr>
        <w:pStyle w:val="Reference"/>
      </w:pPr>
      <w:r>
        <w:t xml:space="preserve">Lowe, P. 2017a, </w:t>
      </w:r>
      <w:r>
        <w:rPr>
          <w:i/>
          <w:iCs/>
        </w:rPr>
        <w:t xml:space="preserve">Committees </w:t>
      </w:r>
      <w:r w:rsidR="00B94A29">
        <w:rPr>
          <w:i/>
          <w:iCs/>
        </w:rPr>
        <w:t>H</w:t>
      </w:r>
      <w:r>
        <w:rPr>
          <w:i/>
          <w:iCs/>
        </w:rPr>
        <w:t>ansard</w:t>
      </w:r>
      <w:r>
        <w:t>, 24 February, House of Representatives Standing Committee on Economics, Reserve Bank of Australia.</w:t>
      </w:r>
    </w:p>
    <w:p w14:paraId="6E218B32" w14:textId="10FEF6D9" w:rsidR="007B0AF6" w:rsidRDefault="007B0AF6" w:rsidP="0061187E">
      <w:pPr>
        <w:pStyle w:val="Reference"/>
      </w:pPr>
      <w:r>
        <w:t>——</w:t>
      </w:r>
      <w:r w:rsidR="00124A1F">
        <w:t> </w:t>
      </w:r>
      <w:r>
        <w:t>2017b, ‘Household debt, housing prices and resilience’.</w:t>
      </w:r>
    </w:p>
    <w:p w14:paraId="6E218B33" w14:textId="20509C14" w:rsidR="007B0AF6" w:rsidRDefault="007B0AF6" w:rsidP="0061187E">
      <w:pPr>
        <w:pStyle w:val="Reference"/>
      </w:pPr>
      <w:r>
        <w:t>——</w:t>
      </w:r>
      <w:r w:rsidR="00124A1F">
        <w:t> </w:t>
      </w:r>
      <w:r>
        <w:t>2017c, ‘Remarks at Reserve Bank Board Dinner’.</w:t>
      </w:r>
    </w:p>
    <w:p w14:paraId="6E218B34" w14:textId="77777777" w:rsidR="007B0AF6" w:rsidRDefault="007B0AF6" w:rsidP="0061187E">
      <w:pPr>
        <w:pStyle w:val="Reference"/>
      </w:pPr>
      <w:r>
        <w:t xml:space="preserve">Nathan, M. and Overman, H. 2011, </w:t>
      </w:r>
      <w:r>
        <w:rPr>
          <w:i/>
          <w:iCs/>
        </w:rPr>
        <w:t>What We Know (and Don’t Know) About the Links between Planning and Economic Performance</w:t>
      </w:r>
      <w:r>
        <w:t>, SERC policy paper 10, London School of Economics.</w:t>
      </w:r>
    </w:p>
    <w:p w14:paraId="6E218B35" w14:textId="77EF74CB" w:rsidR="007B0AF6" w:rsidRDefault="007B0AF6" w:rsidP="0061187E">
      <w:pPr>
        <w:pStyle w:val="Reference"/>
      </w:pPr>
      <w:r>
        <w:t xml:space="preserve">Northern Territory Government 2016, </w:t>
      </w:r>
      <w:r>
        <w:rPr>
          <w:i/>
          <w:iCs/>
        </w:rPr>
        <w:t>Northern Territory Planning Scheme</w:t>
      </w:r>
      <w:r>
        <w:t xml:space="preserve">, </w:t>
      </w:r>
      <w:r w:rsidR="00083447">
        <w:t>www.</w:t>
      </w:r>
      <w:r>
        <w:t>nt.gov.au/property/building-and-development/northern-territory-planning-scheme/amendments-to-the-planning-scheme (accessed 14</w:t>
      </w:r>
      <w:r w:rsidR="00181B62">
        <w:t> </w:t>
      </w:r>
      <w:r>
        <w:t>March 2017).</w:t>
      </w:r>
    </w:p>
    <w:p w14:paraId="6E218B36" w14:textId="77777777" w:rsidR="007B0AF6" w:rsidRDefault="007B0AF6" w:rsidP="0061187E">
      <w:pPr>
        <w:pStyle w:val="Reference"/>
      </w:pPr>
      <w:r>
        <w:t xml:space="preserve">NSW Government 2013, </w:t>
      </w:r>
      <w:r>
        <w:rPr>
          <w:i/>
          <w:iCs/>
        </w:rPr>
        <w:t>A New Planning System for NSW - White Paper</w:t>
      </w:r>
      <w:r>
        <w:t>.</w:t>
      </w:r>
    </w:p>
    <w:p w14:paraId="6E218B37" w14:textId="4F807C6A" w:rsidR="007B0AF6" w:rsidRDefault="007B0AF6" w:rsidP="0061187E">
      <w:pPr>
        <w:pStyle w:val="Reference"/>
      </w:pPr>
      <w:r>
        <w:t>——</w:t>
      </w:r>
      <w:r w:rsidR="00124A1F">
        <w:t> </w:t>
      </w:r>
      <w:r>
        <w:t xml:space="preserve">2016, </w:t>
      </w:r>
      <w:r>
        <w:rPr>
          <w:i/>
          <w:iCs/>
        </w:rPr>
        <w:t>NSW Intergenerational Report 2016</w:t>
      </w:r>
      <w:r>
        <w:t>.</w:t>
      </w:r>
    </w:p>
    <w:p w14:paraId="6E218B38" w14:textId="77777777" w:rsidR="007B0AF6" w:rsidRDefault="007B0AF6" w:rsidP="0061187E">
      <w:pPr>
        <w:pStyle w:val="Reference"/>
      </w:pPr>
      <w:r>
        <w:t xml:space="preserve">NSW Treasury 2011, </w:t>
      </w:r>
      <w:r>
        <w:rPr>
          <w:i/>
          <w:iCs/>
        </w:rPr>
        <w:t>NSW Financial Audit Report</w:t>
      </w:r>
      <w:r>
        <w:t>.</w:t>
      </w:r>
    </w:p>
    <w:p w14:paraId="6E218B39" w14:textId="0F31BD7C" w:rsidR="007B0AF6" w:rsidRDefault="007B0AF6" w:rsidP="0061187E">
      <w:pPr>
        <w:pStyle w:val="Reference"/>
      </w:pPr>
      <w:r>
        <w:t xml:space="preserve">NSWDPE (NSW Department of Planning and Environment) 2016, </w:t>
      </w:r>
      <w:r>
        <w:rPr>
          <w:i/>
          <w:iCs/>
        </w:rPr>
        <w:t>Local Development Performance Monitoring Data Report 2014</w:t>
      </w:r>
      <w:r w:rsidR="00AB6E14">
        <w:rPr>
          <w:i/>
          <w:iCs/>
        </w:rPr>
        <w:noBreakHyphen/>
      </w:r>
      <w:r>
        <w:rPr>
          <w:i/>
          <w:iCs/>
        </w:rPr>
        <w:t>15</w:t>
      </w:r>
      <w:r>
        <w:t>.</w:t>
      </w:r>
    </w:p>
    <w:p w14:paraId="6E218B3A" w14:textId="0DDFD423" w:rsidR="007B0AF6" w:rsidRDefault="00E631BE" w:rsidP="0061187E">
      <w:pPr>
        <w:pStyle w:val="Reference"/>
      </w:pPr>
      <w:r>
        <w:t xml:space="preserve">—— </w:t>
      </w:r>
      <w:r w:rsidR="007B0AF6">
        <w:t xml:space="preserve">2017a, </w:t>
      </w:r>
      <w:r w:rsidR="007B0AF6">
        <w:rPr>
          <w:i/>
          <w:iCs/>
        </w:rPr>
        <w:t>Planning legislation updates, summary of proposals</w:t>
      </w:r>
      <w:r w:rsidR="007B0AF6">
        <w:t>, January.</w:t>
      </w:r>
    </w:p>
    <w:p w14:paraId="6E218B3B" w14:textId="0C056DD8" w:rsidR="007B0AF6" w:rsidRDefault="007B0AF6" w:rsidP="0061187E">
      <w:pPr>
        <w:pStyle w:val="Reference"/>
      </w:pPr>
      <w:r>
        <w:t>——</w:t>
      </w:r>
      <w:r w:rsidR="00E631BE">
        <w:t> </w:t>
      </w:r>
      <w:r>
        <w:t xml:space="preserve">2017b, </w:t>
      </w:r>
      <w:r>
        <w:rPr>
          <w:i/>
          <w:iCs/>
        </w:rPr>
        <w:t>Refining the planning system</w:t>
      </w:r>
      <w:r>
        <w:t xml:space="preserve">, </w:t>
      </w:r>
      <w:r w:rsidR="00E631BE" w:rsidRPr="00E631BE">
        <w:t>www.planning.nsw.gov.au</w:t>
      </w:r>
      <w:r w:rsidR="00E631BE">
        <w:br/>
      </w:r>
      <w:r>
        <w:t>/SimplifiedHousingCode (accessed 29</w:t>
      </w:r>
      <w:r w:rsidR="00181B62">
        <w:t> </w:t>
      </w:r>
      <w:r>
        <w:t>June 2017).</w:t>
      </w:r>
    </w:p>
    <w:p w14:paraId="6E218B3C" w14:textId="663DD68B" w:rsidR="007B0AF6" w:rsidRDefault="007B0AF6" w:rsidP="0061187E">
      <w:pPr>
        <w:pStyle w:val="Reference"/>
      </w:pPr>
      <w:r>
        <w:t xml:space="preserve">NSWPE (NSW Planning and Environment) 2016, </w:t>
      </w:r>
      <w:r>
        <w:rPr>
          <w:i/>
          <w:iCs/>
        </w:rPr>
        <w:t>State Environmental Planning Policies review program: Simplifying and improving the Planning Policy Framework</w:t>
      </w:r>
      <w:r>
        <w:t>, www.planning.nsw.gov.au/Policy-and-Legislation/State-Environmental-Planning-Policies-Review (accessed 6</w:t>
      </w:r>
      <w:r w:rsidR="00181B62">
        <w:t> </w:t>
      </w:r>
      <w:r>
        <w:t>January 2017).</w:t>
      </w:r>
    </w:p>
    <w:p w14:paraId="6E218B3D" w14:textId="77777777" w:rsidR="007B0AF6" w:rsidRDefault="007B0AF6" w:rsidP="0061187E">
      <w:pPr>
        <w:pStyle w:val="Reference"/>
      </w:pPr>
      <w:r>
        <w:t xml:space="preserve">NTDC (Northern Tasmania Development Corporation) 2017, </w:t>
      </w:r>
      <w:r>
        <w:rPr>
          <w:i/>
          <w:iCs/>
        </w:rPr>
        <w:t>NTDC submission to the Productivity Commission’s transitioning regional economies study</w:t>
      </w:r>
      <w:r>
        <w:t>.</w:t>
      </w:r>
    </w:p>
    <w:p w14:paraId="6E218B3E" w14:textId="6A104F82" w:rsidR="007B0AF6" w:rsidRDefault="007B0AF6" w:rsidP="0061187E">
      <w:pPr>
        <w:pStyle w:val="Reference"/>
      </w:pPr>
      <w:r>
        <w:t xml:space="preserve">NZDIA (New Zealand Department of Internal Affairs) 2016, </w:t>
      </w:r>
      <w:r>
        <w:rPr>
          <w:i/>
          <w:iCs/>
        </w:rPr>
        <w:t>Rates rebate scheme</w:t>
      </w:r>
      <w:r>
        <w:t>, www.dia.govt.nz/Services-Rates-Rebate-Scheme-Index (accessed 19</w:t>
      </w:r>
      <w:r w:rsidR="00181B62">
        <w:t> </w:t>
      </w:r>
      <w:r>
        <w:t>April 2017).</w:t>
      </w:r>
    </w:p>
    <w:p w14:paraId="6E218B3F" w14:textId="77777777" w:rsidR="007B0AF6" w:rsidRDefault="007B0AF6" w:rsidP="0061187E">
      <w:pPr>
        <w:pStyle w:val="Reference"/>
      </w:pPr>
      <w:r>
        <w:t xml:space="preserve">NZOAG (New Zealand Office of the Auditor-General) 2006, </w:t>
      </w:r>
      <w:r>
        <w:rPr>
          <w:i/>
          <w:iCs/>
        </w:rPr>
        <w:t>Residential rates postponement</w:t>
      </w:r>
      <w:r>
        <w:t>, Wellington, NZ.</w:t>
      </w:r>
    </w:p>
    <w:p w14:paraId="6E218B40" w14:textId="77777777" w:rsidR="007B0AF6" w:rsidRDefault="007B0AF6" w:rsidP="0061187E">
      <w:pPr>
        <w:pStyle w:val="Reference"/>
      </w:pPr>
      <w:r>
        <w:t xml:space="preserve">NZWBPDC (New Zealand Western Bay of Plenty District Council) 2016, </w:t>
      </w:r>
      <w:r>
        <w:rPr>
          <w:i/>
          <w:iCs/>
        </w:rPr>
        <w:t>Review of rates remission and postponement policies</w:t>
      </w:r>
      <w:r>
        <w:t>, New Zealand.</w:t>
      </w:r>
    </w:p>
    <w:p w14:paraId="6E218B41" w14:textId="3BB5BDD0" w:rsidR="007B0AF6" w:rsidRDefault="007B0AF6" w:rsidP="0061187E">
      <w:pPr>
        <w:pStyle w:val="Reference"/>
      </w:pPr>
      <w:r>
        <w:t xml:space="preserve">Ontario Ministry of Revenue 2017, </w:t>
      </w:r>
      <w:r>
        <w:rPr>
          <w:i/>
          <w:iCs/>
        </w:rPr>
        <w:t>Provincial Land Tax Deferral Program for low-income seniors and low-income persons with disabilities</w:t>
      </w:r>
      <w:r>
        <w:t>, www.fin.gov.on.ca/en/refund/plt/seniors.html (accessed 9</w:t>
      </w:r>
      <w:r w:rsidR="00181B62">
        <w:t> </w:t>
      </w:r>
      <w:r>
        <w:t>March 2017).</w:t>
      </w:r>
    </w:p>
    <w:p w14:paraId="6E218B43" w14:textId="77777777" w:rsidR="007B0AF6" w:rsidRDefault="007B0AF6" w:rsidP="0061187E">
      <w:pPr>
        <w:pStyle w:val="Reference"/>
      </w:pPr>
      <w:r>
        <w:t xml:space="preserve">PC (Productivity Commission) 2004, </w:t>
      </w:r>
      <w:r>
        <w:rPr>
          <w:i/>
          <w:iCs/>
        </w:rPr>
        <w:t>First Home Ownership</w:t>
      </w:r>
      <w:r>
        <w:t>, June.</w:t>
      </w:r>
    </w:p>
    <w:p w14:paraId="6E218B44" w14:textId="4AC5697A" w:rsidR="007B0AF6" w:rsidRDefault="007B0AF6" w:rsidP="0061187E">
      <w:pPr>
        <w:pStyle w:val="Reference"/>
      </w:pPr>
      <w:r>
        <w:t xml:space="preserve">—— 2011a, </w:t>
      </w:r>
      <w:r>
        <w:rPr>
          <w:i/>
          <w:iCs/>
        </w:rPr>
        <w:t>Economic Structure and Performance of the Australian Retail Industry</w:t>
      </w:r>
      <w:r>
        <w:t>, Inquiry Report, December.</w:t>
      </w:r>
    </w:p>
    <w:p w14:paraId="6E218B45" w14:textId="243CEC74" w:rsidR="007B0AF6" w:rsidRDefault="007B0AF6" w:rsidP="0061187E">
      <w:pPr>
        <w:pStyle w:val="Reference"/>
      </w:pPr>
      <w:r>
        <w:t xml:space="preserve">—— 2011b, </w:t>
      </w:r>
      <w:r>
        <w:rPr>
          <w:i/>
          <w:iCs/>
        </w:rPr>
        <w:t>Performance Benchmarking of Australian Business Regulation: Planning, Zoning and Development Assessments</w:t>
      </w:r>
      <w:r>
        <w:t>, Research Report, April, Volume 1.</w:t>
      </w:r>
    </w:p>
    <w:p w14:paraId="6E218B46" w14:textId="3F3663D7" w:rsidR="007B0AF6" w:rsidRDefault="007B0AF6" w:rsidP="0061187E">
      <w:pPr>
        <w:pStyle w:val="Reference"/>
      </w:pPr>
      <w:r>
        <w:t xml:space="preserve">—— 2012, </w:t>
      </w:r>
      <w:r>
        <w:rPr>
          <w:i/>
          <w:iCs/>
        </w:rPr>
        <w:t>Performance Benchmarking: The role of local government as a regulator</w:t>
      </w:r>
      <w:r>
        <w:t>, Research Report.</w:t>
      </w:r>
    </w:p>
    <w:p w14:paraId="6E218B47" w14:textId="4388BC4F" w:rsidR="007B0AF6" w:rsidRDefault="00E631BE" w:rsidP="0061187E">
      <w:pPr>
        <w:pStyle w:val="Reference"/>
      </w:pPr>
      <w:r>
        <w:t xml:space="preserve">—— </w:t>
      </w:r>
      <w:r w:rsidR="007B0AF6">
        <w:t xml:space="preserve">2013, </w:t>
      </w:r>
      <w:r w:rsidR="007B0AF6">
        <w:rPr>
          <w:i/>
          <w:iCs/>
        </w:rPr>
        <w:t>Major Project Development Assessment Processes</w:t>
      </w:r>
      <w:r w:rsidR="007B0AF6">
        <w:t>, Research report.</w:t>
      </w:r>
    </w:p>
    <w:p w14:paraId="6E218B48" w14:textId="796FB651" w:rsidR="007B0AF6" w:rsidRPr="00E631BE" w:rsidRDefault="00E631BE" w:rsidP="00E631BE">
      <w:pPr>
        <w:pStyle w:val="Reference"/>
      </w:pPr>
      <w:r>
        <w:t>—— </w:t>
      </w:r>
      <w:r w:rsidR="007B0AF6" w:rsidRPr="00E631BE">
        <w:t>2014a, Childcare and Early Childhood Learning, Inquiry Report.</w:t>
      </w:r>
    </w:p>
    <w:p w14:paraId="6E218B49" w14:textId="4BA64290" w:rsidR="007B0AF6" w:rsidRDefault="00E631BE" w:rsidP="0061187E">
      <w:pPr>
        <w:pStyle w:val="Reference"/>
      </w:pPr>
      <w:r>
        <w:t xml:space="preserve">—— </w:t>
      </w:r>
      <w:r w:rsidR="007B0AF6">
        <w:t xml:space="preserve">2014b, </w:t>
      </w:r>
      <w:r w:rsidR="007B0AF6">
        <w:rPr>
          <w:i/>
          <w:iCs/>
        </w:rPr>
        <w:t>Geographic Labour Mobility</w:t>
      </w:r>
      <w:r w:rsidR="007B0AF6">
        <w:t>, Research Report.</w:t>
      </w:r>
    </w:p>
    <w:p w14:paraId="6E218B4A" w14:textId="6DC96767" w:rsidR="007B0AF6" w:rsidRDefault="00E631BE" w:rsidP="0061187E">
      <w:pPr>
        <w:pStyle w:val="Reference"/>
      </w:pPr>
      <w:r>
        <w:t xml:space="preserve">—— </w:t>
      </w:r>
      <w:r w:rsidR="007B0AF6">
        <w:t xml:space="preserve">2014c, </w:t>
      </w:r>
      <w:r w:rsidR="007B0AF6">
        <w:rPr>
          <w:i/>
          <w:iCs/>
        </w:rPr>
        <w:t>Public Infrastructure</w:t>
      </w:r>
      <w:r w:rsidR="007B0AF6">
        <w:t>, Inquiry Report.</w:t>
      </w:r>
    </w:p>
    <w:p w14:paraId="6E218B4B" w14:textId="2A208D83" w:rsidR="007B0AF6" w:rsidRDefault="00E631BE" w:rsidP="0061187E">
      <w:pPr>
        <w:pStyle w:val="Reference"/>
      </w:pPr>
      <w:r>
        <w:t xml:space="preserve">—— </w:t>
      </w:r>
      <w:r w:rsidR="007B0AF6">
        <w:t xml:space="preserve">2014d, </w:t>
      </w:r>
      <w:r w:rsidR="007B0AF6">
        <w:rPr>
          <w:i/>
          <w:iCs/>
        </w:rPr>
        <w:t>Relative Costs of Doing Business in Australia: Retail Trade</w:t>
      </w:r>
      <w:r w:rsidR="007B0AF6">
        <w:t>, Research Report.</w:t>
      </w:r>
    </w:p>
    <w:p w14:paraId="6E218B4C" w14:textId="667FAD99" w:rsidR="007B0AF6" w:rsidRDefault="00E631BE" w:rsidP="0061187E">
      <w:pPr>
        <w:pStyle w:val="Reference"/>
      </w:pPr>
      <w:r>
        <w:t xml:space="preserve">—— </w:t>
      </w:r>
      <w:r w:rsidR="007B0AF6">
        <w:t xml:space="preserve">2016, </w:t>
      </w:r>
      <w:r w:rsidR="007B0AF6">
        <w:rPr>
          <w:i/>
          <w:iCs/>
        </w:rPr>
        <w:t>Regulation of Australian Agriculture</w:t>
      </w:r>
      <w:r w:rsidR="007B0AF6">
        <w:t>, Inquiry Report.</w:t>
      </w:r>
    </w:p>
    <w:p w14:paraId="6E218B4D" w14:textId="3AB89958" w:rsidR="007B0AF6" w:rsidRDefault="00E631BE" w:rsidP="0061187E">
      <w:pPr>
        <w:pStyle w:val="Reference"/>
      </w:pPr>
      <w:r>
        <w:t xml:space="preserve">—— </w:t>
      </w:r>
      <w:r w:rsidR="007B0AF6">
        <w:t xml:space="preserve">2017, </w:t>
      </w:r>
      <w:r w:rsidR="007B0AF6">
        <w:rPr>
          <w:i/>
          <w:iCs/>
        </w:rPr>
        <w:t>Transitioning Regional Economies</w:t>
      </w:r>
      <w:r w:rsidR="007B0AF6">
        <w:t>, Initial Research Report.</w:t>
      </w:r>
    </w:p>
    <w:p w14:paraId="456DF2A7" w14:textId="77777777" w:rsidR="00124A1F" w:rsidRDefault="00124A1F" w:rsidP="00124A1F">
      <w:pPr>
        <w:pStyle w:val="Reference"/>
      </w:pPr>
      <w:r>
        <w:t xml:space="preserve">PCA (Property Council of Australia) 2015, </w:t>
      </w:r>
      <w:r>
        <w:rPr>
          <w:i/>
          <w:iCs/>
        </w:rPr>
        <w:t>Development Assessment Report Card 2015</w:t>
      </w:r>
      <w:r>
        <w:t>.</w:t>
      </w:r>
    </w:p>
    <w:p w14:paraId="6E218B4E" w14:textId="77777777" w:rsidR="007B0AF6" w:rsidRDefault="007B0AF6" w:rsidP="0061187E">
      <w:pPr>
        <w:pStyle w:val="Reference"/>
      </w:pPr>
      <w:r>
        <w:t>Pugalis, L. and Tan, S.F. 2016, ‘Metropolitan and Regional Economic Development: Competing and Contested Local Government Roles in Australia in the 21st Century’, presented at ANZRSAI Conference 2016 refereed proceedings, 5 December.</w:t>
      </w:r>
    </w:p>
    <w:p w14:paraId="6E218B4F" w14:textId="77777777" w:rsidR="007B0AF6" w:rsidRDefault="007B0AF6" w:rsidP="0061187E">
      <w:pPr>
        <w:pStyle w:val="Reference"/>
      </w:pPr>
      <w:r>
        <w:t xml:space="preserve">QDILGP (Queensland Department of Infrastructure, Local Government and Planning) 2014, </w:t>
      </w:r>
      <w:r>
        <w:rPr>
          <w:i/>
          <w:iCs/>
        </w:rPr>
        <w:t>Local Government Infrastructure Framework Offsets and Refunds – Determining the cost of infrastructure</w:t>
      </w:r>
      <w:r>
        <w:t>, December.</w:t>
      </w:r>
    </w:p>
    <w:p w14:paraId="6E218B50" w14:textId="56D0EEC9" w:rsidR="007B0AF6" w:rsidRDefault="00E631BE" w:rsidP="0061187E">
      <w:pPr>
        <w:pStyle w:val="Reference"/>
      </w:pPr>
      <w:r>
        <w:t xml:space="preserve">—— </w:t>
      </w:r>
      <w:r w:rsidR="007B0AF6">
        <w:t xml:space="preserve">2016a, </w:t>
      </w:r>
      <w:r w:rsidR="007B0AF6">
        <w:rPr>
          <w:i/>
          <w:iCs/>
        </w:rPr>
        <w:t>An overview of key changes to the development assessment system</w:t>
      </w:r>
      <w:r w:rsidR="007B0AF6">
        <w:t>, July.</w:t>
      </w:r>
    </w:p>
    <w:p w14:paraId="6E218B51" w14:textId="25CEAF3A" w:rsidR="007B0AF6" w:rsidRDefault="00E631BE" w:rsidP="0061187E">
      <w:pPr>
        <w:pStyle w:val="Reference"/>
      </w:pPr>
      <w:r>
        <w:t xml:space="preserve">—— </w:t>
      </w:r>
      <w:r w:rsidR="007B0AF6">
        <w:t xml:space="preserve">2016b, </w:t>
      </w:r>
      <w:r w:rsidR="007B0AF6">
        <w:rPr>
          <w:i/>
          <w:iCs/>
        </w:rPr>
        <w:t>Making and amending local planning instruments</w:t>
      </w:r>
      <w:r w:rsidR="007B0AF6">
        <w:t>, April.</w:t>
      </w:r>
    </w:p>
    <w:p w14:paraId="6E218B52" w14:textId="1E493BFE" w:rsidR="007B0AF6" w:rsidRDefault="00E631BE" w:rsidP="0061187E">
      <w:pPr>
        <w:pStyle w:val="Reference"/>
      </w:pPr>
      <w:r>
        <w:t xml:space="preserve">—— </w:t>
      </w:r>
      <w:r w:rsidR="007B0AF6">
        <w:t xml:space="preserve">2017a, </w:t>
      </w:r>
      <w:r w:rsidR="007B0AF6">
        <w:rPr>
          <w:i/>
          <w:iCs/>
        </w:rPr>
        <w:t>Better Planning for Queensland: Fact sheet - Key changes to plan making</w:t>
      </w:r>
      <w:r w:rsidR="007B0AF6">
        <w:t>, June.</w:t>
      </w:r>
    </w:p>
    <w:p w14:paraId="6E218B53" w14:textId="79DC40FA" w:rsidR="007B0AF6" w:rsidRDefault="00E631BE" w:rsidP="0061187E">
      <w:pPr>
        <w:pStyle w:val="Reference"/>
      </w:pPr>
      <w:r>
        <w:t xml:space="preserve">—— </w:t>
      </w:r>
      <w:r w:rsidR="007B0AF6">
        <w:t xml:space="preserve">2017b, </w:t>
      </w:r>
      <w:r w:rsidR="007B0AF6">
        <w:rPr>
          <w:i/>
          <w:iCs/>
        </w:rPr>
        <w:t>Local government infrastructure framework Infrastructure agreement principles</w:t>
      </w:r>
      <w:r w:rsidR="007B0AF6">
        <w:t>, Fact sheet, March.</w:t>
      </w:r>
    </w:p>
    <w:p w14:paraId="6E218B54" w14:textId="10DC05CF" w:rsidR="007B0AF6" w:rsidRDefault="00E631BE" w:rsidP="0061187E">
      <w:pPr>
        <w:pStyle w:val="Reference"/>
      </w:pPr>
      <w:r>
        <w:t xml:space="preserve">—— </w:t>
      </w:r>
      <w:r w:rsidR="007B0AF6">
        <w:t xml:space="preserve">2017c, </w:t>
      </w:r>
      <w:r w:rsidR="007B0AF6">
        <w:rPr>
          <w:i/>
          <w:iCs/>
        </w:rPr>
        <w:t>Local government planning schemes</w:t>
      </w:r>
      <w:r w:rsidR="007B0AF6">
        <w:t>, www.dilgp.qld.gov.au/planning/local-government-planning-schemes.html (accessed 3</w:t>
      </w:r>
      <w:r w:rsidR="00181B62">
        <w:t> </w:t>
      </w:r>
      <w:r w:rsidR="007B0AF6">
        <w:t>August 2017).</w:t>
      </w:r>
    </w:p>
    <w:p w14:paraId="6E218B55" w14:textId="77777777" w:rsidR="007B0AF6" w:rsidRDefault="007B0AF6" w:rsidP="0061187E">
      <w:pPr>
        <w:pStyle w:val="Reference"/>
      </w:pPr>
      <w:r>
        <w:t xml:space="preserve">QDSDIP (Queensland Department of State Development, Infrastructure and Planning) 2012, </w:t>
      </w:r>
      <w:r>
        <w:rPr>
          <w:i/>
          <w:iCs/>
        </w:rPr>
        <w:t>State Planning Regulatory Provision (adopted charges)</w:t>
      </w:r>
      <w:r>
        <w:t>, July.</w:t>
      </w:r>
    </w:p>
    <w:p w14:paraId="6E218B56" w14:textId="0E390FFC" w:rsidR="007B0AF6" w:rsidRDefault="00E631BE" w:rsidP="0061187E">
      <w:pPr>
        <w:pStyle w:val="Reference"/>
      </w:pPr>
      <w:r>
        <w:t xml:space="preserve">—— </w:t>
      </w:r>
      <w:r w:rsidR="007B0AF6">
        <w:t xml:space="preserve">2013, </w:t>
      </w:r>
      <w:r w:rsidR="007B0AF6">
        <w:rPr>
          <w:i/>
          <w:iCs/>
        </w:rPr>
        <w:t>Development Assessment Performance</w:t>
      </w:r>
      <w:r w:rsidR="007B0AF6">
        <w:t>, Report 2011</w:t>
      </w:r>
      <w:r w:rsidR="00AB6E14">
        <w:t>–</w:t>
      </w:r>
      <w:r w:rsidR="007B0AF6">
        <w:t>2012.</w:t>
      </w:r>
    </w:p>
    <w:p w14:paraId="6E218B57" w14:textId="1612D4DC" w:rsidR="007B0AF6" w:rsidRDefault="007B0AF6" w:rsidP="0061187E">
      <w:pPr>
        <w:pStyle w:val="Reference"/>
      </w:pPr>
      <w:r>
        <w:t xml:space="preserve">QEDO (Environmental Defenders Office Queensland) 2017, </w:t>
      </w:r>
      <w:r>
        <w:rPr>
          <w:i/>
          <w:iCs/>
        </w:rPr>
        <w:t>Law reform</w:t>
      </w:r>
      <w:r>
        <w:t>, www.edoqld.org.au/law-reform/ (accessed 29</w:t>
      </w:r>
      <w:r w:rsidR="00181B62">
        <w:t> </w:t>
      </w:r>
      <w:r>
        <w:t>May 2017).</w:t>
      </w:r>
    </w:p>
    <w:p w14:paraId="6E218B58" w14:textId="77777777" w:rsidR="007B0AF6" w:rsidRDefault="007B0AF6" w:rsidP="0061187E">
      <w:pPr>
        <w:pStyle w:val="Reference"/>
      </w:pPr>
      <w:r>
        <w:t xml:space="preserve">RBA (Reserve Bank of Australia) 2016, </w:t>
      </w:r>
      <w:r>
        <w:rPr>
          <w:i/>
          <w:iCs/>
        </w:rPr>
        <w:t>Statement on Monetary Policy</w:t>
      </w:r>
      <w:r>
        <w:t>, August.</w:t>
      </w:r>
    </w:p>
    <w:p w14:paraId="6E218B59" w14:textId="3D30C030" w:rsidR="007B0AF6" w:rsidRDefault="00E631BE" w:rsidP="0061187E">
      <w:pPr>
        <w:pStyle w:val="Reference"/>
      </w:pPr>
      <w:r>
        <w:t xml:space="preserve">—— </w:t>
      </w:r>
      <w:r w:rsidR="007B0AF6">
        <w:t xml:space="preserve">2017, </w:t>
      </w:r>
      <w:r w:rsidR="007B0AF6">
        <w:rPr>
          <w:i/>
          <w:iCs/>
        </w:rPr>
        <w:t>Statement on Monetary Policy</w:t>
      </w:r>
      <w:r w:rsidR="007B0AF6">
        <w:t>, May.</w:t>
      </w:r>
    </w:p>
    <w:p w14:paraId="6E218B5A" w14:textId="28775FA3" w:rsidR="007B0AF6" w:rsidRDefault="007B0AF6" w:rsidP="0061187E">
      <w:pPr>
        <w:pStyle w:val="Reference"/>
      </w:pPr>
      <w:r>
        <w:t xml:space="preserve">Revenue SA 2016, </w:t>
      </w:r>
      <w:r>
        <w:rPr>
          <w:i/>
          <w:iCs/>
        </w:rPr>
        <w:t>Stamp duty on transfer of real property (land)</w:t>
      </w:r>
      <w:r>
        <w:t>, www.revenuesa.sa.gov.au/taxes-and-duties/stamp-duties/real-property-land (accessed 19</w:t>
      </w:r>
      <w:r w:rsidR="00181B62">
        <w:t> </w:t>
      </w:r>
      <w:r>
        <w:t>April 2017).</w:t>
      </w:r>
    </w:p>
    <w:p w14:paraId="6E218B5B" w14:textId="5F4CF752" w:rsidR="007B0AF6" w:rsidRDefault="007B0AF6" w:rsidP="0061187E">
      <w:pPr>
        <w:pStyle w:val="Reference"/>
      </w:pPr>
      <w:r>
        <w:t xml:space="preserve">SADPTI (South Australian Department of Planning, Transport and Infrastructure) 2015, </w:t>
      </w:r>
      <w:r>
        <w:rPr>
          <w:i/>
          <w:iCs/>
        </w:rPr>
        <w:t>Annual report on the administration of the Development Act 1993, 2014</w:t>
      </w:r>
      <w:r w:rsidR="00AB6E14">
        <w:rPr>
          <w:i/>
          <w:iCs/>
        </w:rPr>
        <w:noBreakHyphen/>
      </w:r>
      <w:r>
        <w:rPr>
          <w:i/>
          <w:iCs/>
        </w:rPr>
        <w:t>15</w:t>
      </w:r>
      <w:r>
        <w:t>, Annual Report.</w:t>
      </w:r>
    </w:p>
    <w:p w14:paraId="6E218B5C" w14:textId="2609727F" w:rsidR="007B0AF6" w:rsidRDefault="00E631BE" w:rsidP="0061187E">
      <w:pPr>
        <w:pStyle w:val="Reference"/>
      </w:pPr>
      <w:r>
        <w:t xml:space="preserve">—— </w:t>
      </w:r>
      <w:r w:rsidR="007B0AF6">
        <w:t xml:space="preserve">2016a, </w:t>
      </w:r>
      <w:r w:rsidR="007B0AF6">
        <w:rPr>
          <w:i/>
          <w:iCs/>
        </w:rPr>
        <w:t>Development plan - Mitcham (city)</w:t>
      </w:r>
      <w:r w:rsidR="007B0AF6">
        <w:t>.</w:t>
      </w:r>
    </w:p>
    <w:p w14:paraId="6E218B5D" w14:textId="7813E352" w:rsidR="007B0AF6" w:rsidRDefault="007B0AF6" w:rsidP="0061187E">
      <w:pPr>
        <w:pStyle w:val="Reference"/>
      </w:pPr>
      <w:r>
        <w:t xml:space="preserve">—— 2016b, </w:t>
      </w:r>
      <w:r>
        <w:rPr>
          <w:i/>
          <w:iCs/>
        </w:rPr>
        <w:t>Development Plan - Mount Barker District Council</w:t>
      </w:r>
      <w:r>
        <w:t>.</w:t>
      </w:r>
    </w:p>
    <w:p w14:paraId="6E218B5E" w14:textId="797646FB" w:rsidR="007B0AF6" w:rsidRDefault="007B0AF6" w:rsidP="0061187E">
      <w:pPr>
        <w:pStyle w:val="Reference"/>
      </w:pPr>
      <w:r>
        <w:t xml:space="preserve">—— 2016c, </w:t>
      </w:r>
      <w:r>
        <w:rPr>
          <w:i/>
          <w:iCs/>
        </w:rPr>
        <w:t>Proposing and Amending Designated Instruments (part 5)</w:t>
      </w:r>
      <w:r>
        <w:t>.</w:t>
      </w:r>
    </w:p>
    <w:p w14:paraId="6E218B5F" w14:textId="4229E70D" w:rsidR="007B0AF6" w:rsidRDefault="00E631BE" w:rsidP="0061187E">
      <w:pPr>
        <w:pStyle w:val="Reference"/>
      </w:pPr>
      <w:r>
        <w:t xml:space="preserve">—— </w:t>
      </w:r>
      <w:r w:rsidR="007B0AF6">
        <w:t xml:space="preserve">2017a, </w:t>
      </w:r>
      <w:r w:rsidR="007B0AF6">
        <w:rPr>
          <w:i/>
          <w:iCs/>
        </w:rPr>
        <w:t>Factsheet: Assessment Panels - What do Councils need to do?</w:t>
      </w:r>
      <w:r w:rsidR="007B0AF6">
        <w:t>, www.saplanningportal.sa.gov.au/our_new_system/development_assessment (accessed 29</w:t>
      </w:r>
      <w:r w:rsidR="00181B62">
        <w:t> </w:t>
      </w:r>
      <w:r w:rsidR="007B0AF6">
        <w:t>June 2017).</w:t>
      </w:r>
    </w:p>
    <w:p w14:paraId="6E218B60" w14:textId="467F58A4" w:rsidR="007B0AF6" w:rsidRDefault="00E631BE" w:rsidP="0061187E">
      <w:pPr>
        <w:pStyle w:val="Reference"/>
      </w:pPr>
      <w:r>
        <w:t xml:space="preserve">—— </w:t>
      </w:r>
      <w:r w:rsidR="007B0AF6">
        <w:t xml:space="preserve">2017b, </w:t>
      </w:r>
      <w:r w:rsidR="007B0AF6">
        <w:rPr>
          <w:i/>
          <w:iCs/>
        </w:rPr>
        <w:t>Planning and design code</w:t>
      </w:r>
      <w:r w:rsidR="007B0AF6">
        <w:t xml:space="preserve">, </w:t>
      </w:r>
      <w:r w:rsidRPr="00E631BE">
        <w:t>www.saplanningportal.sa.gov.au</w:t>
      </w:r>
      <w:r>
        <w:br/>
      </w:r>
      <w:r w:rsidR="007B0AF6">
        <w:t>/our_new_system/planning_and_design_code (accessed 30</w:t>
      </w:r>
      <w:r w:rsidR="00181B62">
        <w:t> </w:t>
      </w:r>
      <w:r w:rsidR="007B0AF6">
        <w:t>March 2017).</w:t>
      </w:r>
    </w:p>
    <w:p w14:paraId="6E218B61" w14:textId="60741AD6" w:rsidR="007B0AF6" w:rsidRDefault="00E22CE6" w:rsidP="0061187E">
      <w:pPr>
        <w:pStyle w:val="Reference"/>
      </w:pPr>
      <w:r>
        <w:t>SGS Economics &amp; Planning 2013,</w:t>
      </w:r>
      <w:r w:rsidR="007B0AF6">
        <w:rPr>
          <w:i/>
          <w:iCs/>
        </w:rPr>
        <w:t xml:space="preserve"> ’Expanding land supply’ through transport improvements</w:t>
      </w:r>
      <w:r w:rsidR="007B0AF6">
        <w:t>, Volume 2, Urbecon.</w:t>
      </w:r>
    </w:p>
    <w:p w14:paraId="6E218B62" w14:textId="61634976" w:rsidR="007B0AF6" w:rsidRDefault="007B0AF6" w:rsidP="0061187E">
      <w:pPr>
        <w:pStyle w:val="Reference"/>
      </w:pPr>
      <w:r>
        <w:t>——</w:t>
      </w:r>
      <w:r w:rsidR="00124A1F">
        <w:t> </w:t>
      </w:r>
      <w:r>
        <w:t xml:space="preserve">2014, </w:t>
      </w:r>
      <w:r>
        <w:rPr>
          <w:i/>
          <w:iCs/>
        </w:rPr>
        <w:t>Best practice urban renewal: input into Bays Precinct forum</w:t>
      </w:r>
      <w:r>
        <w:t>, November.</w:t>
      </w:r>
    </w:p>
    <w:p w14:paraId="6E218B63" w14:textId="3906287E" w:rsidR="007B0AF6" w:rsidRDefault="007B0AF6" w:rsidP="0061187E">
      <w:pPr>
        <w:pStyle w:val="Reference"/>
      </w:pPr>
      <w:r>
        <w:t>——</w:t>
      </w:r>
      <w:r w:rsidR="00124A1F">
        <w:t> </w:t>
      </w:r>
      <w:r>
        <w:t xml:space="preserve">2015, </w:t>
      </w:r>
      <w:r>
        <w:rPr>
          <w:i/>
          <w:iCs/>
        </w:rPr>
        <w:t>The Rental Affordability Index: tracking Australia’s rental affordability nation-wide</w:t>
      </w:r>
      <w:r>
        <w:t>, Volume 4, Urbecon.</w:t>
      </w:r>
    </w:p>
    <w:p w14:paraId="6E218B64" w14:textId="77777777" w:rsidR="007B0AF6" w:rsidRDefault="007B0AF6" w:rsidP="0061187E">
      <w:pPr>
        <w:pStyle w:val="Reference"/>
      </w:pPr>
      <w:r>
        <w:t xml:space="preserve">Shoory, M. 2016, </w:t>
      </w:r>
      <w:r>
        <w:rPr>
          <w:i/>
          <w:iCs/>
        </w:rPr>
        <w:t>The Growth of Apartment Construction in Australia</w:t>
      </w:r>
      <w:r>
        <w:t>, Bulletin, June Quarter, Reserve Bank of Australia.</w:t>
      </w:r>
    </w:p>
    <w:p w14:paraId="6E218B65" w14:textId="77777777" w:rsidR="007B0AF6" w:rsidRDefault="007B0AF6" w:rsidP="0061187E">
      <w:pPr>
        <w:pStyle w:val="Reference"/>
      </w:pPr>
      <w:r>
        <w:t xml:space="preserve">South Australian Government 2015, </w:t>
      </w:r>
      <w:r>
        <w:rPr>
          <w:i/>
          <w:iCs/>
        </w:rPr>
        <w:t>Transforming our Planning System: Response of the South Australian Government to the final report and recommendations of the Expert Panel on Planning Reform</w:t>
      </w:r>
      <w:r>
        <w:t>, March.</w:t>
      </w:r>
    </w:p>
    <w:p w14:paraId="6E218B66" w14:textId="77777777" w:rsidR="007B0AF6" w:rsidRDefault="007B0AF6" w:rsidP="0061187E">
      <w:pPr>
        <w:pStyle w:val="Reference"/>
      </w:pPr>
      <w:r>
        <w:t xml:space="preserve">Stokes, R. 2016, </w:t>
      </w:r>
      <w:r>
        <w:rPr>
          <w:i/>
          <w:iCs/>
        </w:rPr>
        <w:t>Linking green spaces across Sydney</w:t>
      </w:r>
      <w:r>
        <w:t>, Media Release, 25 July.</w:t>
      </w:r>
    </w:p>
    <w:p w14:paraId="6E218B67" w14:textId="77777777" w:rsidR="007B0AF6" w:rsidRDefault="007B0AF6" w:rsidP="0061187E">
      <w:pPr>
        <w:pStyle w:val="Reference"/>
      </w:pPr>
      <w:r>
        <w:t xml:space="preserve">Terrill, M. and Emslie, O. 2017, </w:t>
      </w:r>
      <w:r>
        <w:rPr>
          <w:i/>
          <w:iCs/>
        </w:rPr>
        <w:t>What price value capture?</w:t>
      </w:r>
      <w:r>
        <w:t>, Grattan Institute.</w:t>
      </w:r>
    </w:p>
    <w:p w14:paraId="6E218B68" w14:textId="77777777" w:rsidR="007B0AF6" w:rsidRDefault="007B0AF6" w:rsidP="0061187E">
      <w:pPr>
        <w:pStyle w:val="Reference"/>
      </w:pPr>
      <w:r>
        <w:t xml:space="preserve">Toowoomba Regional Council 2016, </w:t>
      </w:r>
      <w:r>
        <w:rPr>
          <w:i/>
          <w:iCs/>
        </w:rPr>
        <w:t>Toowoomba Regional Planning Scheme Amendment No. 14 (minor amendment)</w:t>
      </w:r>
      <w:r>
        <w:t>, 13 December.</w:t>
      </w:r>
    </w:p>
    <w:p w14:paraId="6E218B69" w14:textId="1994E53A" w:rsidR="007B0AF6" w:rsidRDefault="007B0AF6" w:rsidP="0061187E">
      <w:pPr>
        <w:pStyle w:val="Reference"/>
      </w:pPr>
      <w:r>
        <w:t xml:space="preserve">TPC (Tasmanian Planning Commission) 2017, </w:t>
      </w:r>
      <w:r>
        <w:rPr>
          <w:i/>
          <w:iCs/>
        </w:rPr>
        <w:t>iPlan</w:t>
      </w:r>
      <w:r>
        <w:t>, www.iplan.tas.gov.au/Pages/XC.Home/Home.aspx (accessed 30</w:t>
      </w:r>
      <w:r w:rsidR="00181B62">
        <w:t> </w:t>
      </w:r>
      <w:r>
        <w:t>March 2017).</w:t>
      </w:r>
    </w:p>
    <w:p w14:paraId="6E218B6A" w14:textId="77777777" w:rsidR="007B0AF6" w:rsidRDefault="007B0AF6" w:rsidP="0061187E">
      <w:pPr>
        <w:pStyle w:val="Reference"/>
      </w:pPr>
      <w:r>
        <w:t xml:space="preserve">USGCPG (Upper Spencer Gulf Common Purpose Group) 2017, </w:t>
      </w:r>
      <w:r>
        <w:rPr>
          <w:i/>
          <w:iCs/>
        </w:rPr>
        <w:t>Submission to the Productivity Commission’s Transitioning Regional Economies study</w:t>
      </w:r>
      <w:r>
        <w:t>.</w:t>
      </w:r>
    </w:p>
    <w:p w14:paraId="6E218B6B" w14:textId="3C4C4C3B" w:rsidR="007B0AF6" w:rsidRDefault="007B0AF6" w:rsidP="0061187E">
      <w:pPr>
        <w:pStyle w:val="Reference"/>
      </w:pPr>
      <w:r>
        <w:t xml:space="preserve">VAG (Victorian Auditor-General) 2017, </w:t>
      </w:r>
      <w:r>
        <w:rPr>
          <w:i/>
          <w:iCs/>
        </w:rPr>
        <w:t>Managing Victoria’s Planning System for Land Use and Development</w:t>
      </w:r>
      <w:r>
        <w:t>, 2016</w:t>
      </w:r>
      <w:r w:rsidR="00AB6E14">
        <w:noBreakHyphen/>
      </w:r>
      <w:r>
        <w:t>17:19.</w:t>
      </w:r>
    </w:p>
    <w:p w14:paraId="6E218B6C" w14:textId="77777777" w:rsidR="007B0AF6" w:rsidRDefault="007B0AF6" w:rsidP="0061187E">
      <w:pPr>
        <w:pStyle w:val="Reference"/>
      </w:pPr>
      <w:r>
        <w:t xml:space="preserve">VDELWP (Victorian Department of Environment, Land, Water and Planning) 2015, </w:t>
      </w:r>
      <w:r>
        <w:rPr>
          <w:i/>
          <w:iCs/>
        </w:rPr>
        <w:t>Open space strategies</w:t>
      </w:r>
      <w:r>
        <w:t>, June.</w:t>
      </w:r>
    </w:p>
    <w:p w14:paraId="6E218B6D" w14:textId="7E68AC98" w:rsidR="007B0AF6" w:rsidRDefault="00E631BE" w:rsidP="0061187E">
      <w:pPr>
        <w:pStyle w:val="Reference"/>
      </w:pPr>
      <w:r>
        <w:t>—— </w:t>
      </w:r>
      <w:r w:rsidR="007B0AF6">
        <w:t xml:space="preserve">2016, </w:t>
      </w:r>
      <w:r w:rsidR="007B0AF6">
        <w:rPr>
          <w:i/>
          <w:iCs/>
        </w:rPr>
        <w:t>Smart Planning Program</w:t>
      </w:r>
      <w:r w:rsidR="007B0AF6">
        <w:t>, www.planning.vic.gov.au/policy-and-strategy/planning-reform/smart-planning-program (accessed 2</w:t>
      </w:r>
      <w:r w:rsidR="00181B62">
        <w:t> </w:t>
      </w:r>
      <w:r w:rsidR="007B0AF6">
        <w:t>September 2017).</w:t>
      </w:r>
    </w:p>
    <w:p w14:paraId="6E218B6E" w14:textId="0E8EED8E" w:rsidR="007B0AF6" w:rsidRDefault="00E631BE" w:rsidP="0061187E">
      <w:pPr>
        <w:pStyle w:val="Reference"/>
      </w:pPr>
      <w:r>
        <w:t>—— </w:t>
      </w:r>
      <w:r w:rsidR="007B0AF6">
        <w:t xml:space="preserve">2017a, </w:t>
      </w:r>
      <w:r w:rsidR="007B0AF6">
        <w:rPr>
          <w:i/>
          <w:iCs/>
        </w:rPr>
        <w:t>General information on the reformed residential zones</w:t>
      </w:r>
      <w:r w:rsidR="007B0AF6">
        <w:t>.</w:t>
      </w:r>
    </w:p>
    <w:p w14:paraId="6E218B6F" w14:textId="5C000E13" w:rsidR="007B0AF6" w:rsidRDefault="00E631BE" w:rsidP="0061187E">
      <w:pPr>
        <w:pStyle w:val="Reference"/>
      </w:pPr>
      <w:r>
        <w:t>—— </w:t>
      </w:r>
      <w:r w:rsidR="007B0AF6">
        <w:t xml:space="preserve">2017b, </w:t>
      </w:r>
      <w:r w:rsidR="007B0AF6">
        <w:rPr>
          <w:i/>
          <w:iCs/>
        </w:rPr>
        <w:t>Reformed Residential Zones</w:t>
      </w:r>
      <w:r w:rsidR="007B0AF6">
        <w:t>, March, Melbourne.</w:t>
      </w:r>
    </w:p>
    <w:p w14:paraId="6E218B70" w14:textId="0928DD46" w:rsidR="007B0AF6" w:rsidRDefault="007B0AF6" w:rsidP="0061187E">
      <w:pPr>
        <w:pStyle w:val="Reference"/>
      </w:pPr>
      <w:r>
        <w:t xml:space="preserve">—— 2017c, </w:t>
      </w:r>
      <w:r>
        <w:rPr>
          <w:i/>
          <w:iCs/>
        </w:rPr>
        <w:t>VicSmart - a simpler planning permit process</w:t>
      </w:r>
      <w:r>
        <w:t xml:space="preserve">, </w:t>
      </w:r>
      <w:r w:rsidR="00E631BE" w:rsidRPr="00E631BE">
        <w:t>www.dtpli.vic.gov.au/planning</w:t>
      </w:r>
      <w:r w:rsidR="00E631BE">
        <w:br/>
      </w:r>
      <w:r>
        <w:t>/planning-applications/learn-how-to-apply/vicsmart (accessed 31</w:t>
      </w:r>
      <w:r w:rsidR="00181B62">
        <w:t> </w:t>
      </w:r>
      <w:r>
        <w:t>July 2017).</w:t>
      </w:r>
    </w:p>
    <w:p w14:paraId="6E218B71" w14:textId="77777777" w:rsidR="007B0AF6" w:rsidRDefault="007B0AF6" w:rsidP="0061187E">
      <w:pPr>
        <w:pStyle w:val="Reference"/>
      </w:pPr>
      <w:r>
        <w:t xml:space="preserve">VDTPLI (Victorian Department of Transport, Planning and Local Infrastructure) 2013a, </w:t>
      </w:r>
      <w:r>
        <w:rPr>
          <w:i/>
          <w:iCs/>
        </w:rPr>
        <w:t>Reformed zones for Victoria - improved industrial zones</w:t>
      </w:r>
      <w:r>
        <w:t>, July.</w:t>
      </w:r>
    </w:p>
    <w:p w14:paraId="6E218B72" w14:textId="17BEEB60" w:rsidR="007B0AF6" w:rsidRDefault="00E631BE" w:rsidP="0061187E">
      <w:pPr>
        <w:pStyle w:val="Reference"/>
      </w:pPr>
      <w:r>
        <w:t xml:space="preserve">—— </w:t>
      </w:r>
      <w:r w:rsidR="007B0AF6">
        <w:t xml:space="preserve">2013b, </w:t>
      </w:r>
      <w:r w:rsidR="007B0AF6">
        <w:rPr>
          <w:i/>
          <w:iCs/>
        </w:rPr>
        <w:t>Reformed zones for Victoria - new commercial zones</w:t>
      </w:r>
      <w:r w:rsidR="007B0AF6">
        <w:t>, July.</w:t>
      </w:r>
    </w:p>
    <w:p w14:paraId="6E218B73" w14:textId="464B7D91" w:rsidR="007B0AF6" w:rsidRDefault="00E631BE" w:rsidP="0061187E">
      <w:pPr>
        <w:pStyle w:val="Reference"/>
      </w:pPr>
      <w:r>
        <w:t>—— </w:t>
      </w:r>
      <w:r w:rsidR="007B0AF6">
        <w:t xml:space="preserve">2017, </w:t>
      </w:r>
      <w:r w:rsidR="007B0AF6">
        <w:rPr>
          <w:i/>
          <w:iCs/>
        </w:rPr>
        <w:t>Planning permit activity in Victoria 2014</w:t>
      </w:r>
      <w:r w:rsidR="00AB6E14">
        <w:rPr>
          <w:i/>
          <w:iCs/>
        </w:rPr>
        <w:t>–</w:t>
      </w:r>
      <w:r w:rsidR="007B0AF6">
        <w:rPr>
          <w:i/>
          <w:iCs/>
        </w:rPr>
        <w:t>2015</w:t>
      </w:r>
      <w:r w:rsidR="007B0AF6">
        <w:t xml:space="preserve">, </w:t>
      </w:r>
      <w:r w:rsidR="00215E19">
        <w:t>www.</w:t>
      </w:r>
      <w:r w:rsidR="007B0AF6">
        <w:t>pparsreporting.dpcd.vic.gov.au/PPARSReporting/annual14-15.jsp?state=vic&amp;regionId=&amp;metroOrRural=&amp;reportYear=2014 (accessed 18</w:t>
      </w:r>
      <w:r w:rsidR="00181B62">
        <w:t> </w:t>
      </w:r>
      <w:r w:rsidR="007B0AF6">
        <w:t>April 2017).</w:t>
      </w:r>
    </w:p>
    <w:p w14:paraId="6E218B74" w14:textId="7F18914D" w:rsidR="007B0AF6" w:rsidRDefault="007B0AF6" w:rsidP="0061187E">
      <w:pPr>
        <w:pStyle w:val="Reference"/>
      </w:pPr>
      <w:r>
        <w:t xml:space="preserve">Victorian Government 2017, </w:t>
      </w:r>
      <w:r>
        <w:rPr>
          <w:i/>
          <w:iCs/>
        </w:rPr>
        <w:t>Know your council</w:t>
      </w:r>
      <w:r>
        <w:t xml:space="preserve">, </w:t>
      </w:r>
      <w:r w:rsidR="00E631BE" w:rsidRPr="00E631BE">
        <w:t>www.knowyourcouncil.vic.gov.au</w:t>
      </w:r>
      <w:r w:rsidR="00E631BE">
        <w:br/>
        <w:t>/comparec</w:t>
      </w:r>
      <w:r>
        <w:t>ouncils?service_area_key=statutory_planning&amp;primary=16793&amp;councils=14901&amp;councils=7061&amp;councils=15913 (accessed 24</w:t>
      </w:r>
      <w:r w:rsidR="00181B62">
        <w:t> </w:t>
      </w:r>
      <w:r>
        <w:t>April 2017).</w:t>
      </w:r>
    </w:p>
    <w:p w14:paraId="6E218B75" w14:textId="77777777" w:rsidR="007B0AF6" w:rsidRDefault="007B0AF6" w:rsidP="0061187E">
      <w:pPr>
        <w:pStyle w:val="Reference"/>
      </w:pPr>
      <w:r>
        <w:t xml:space="preserve">WADF (Western Australian Department of Finance) 2016, </w:t>
      </w:r>
      <w:r>
        <w:rPr>
          <w:i/>
          <w:iCs/>
        </w:rPr>
        <w:t>Pensioners and Seniors Concessions Scheme</w:t>
      </w:r>
      <w:r>
        <w:t>.</w:t>
      </w:r>
    </w:p>
    <w:p w14:paraId="6E218B76" w14:textId="77777777" w:rsidR="007B0AF6" w:rsidRDefault="007B0AF6" w:rsidP="0061187E">
      <w:pPr>
        <w:pStyle w:val="Reference"/>
      </w:pPr>
      <w:r>
        <w:t xml:space="preserve">WADP (Western Australian Department of Planning) 2016, </w:t>
      </w:r>
      <w:r>
        <w:rPr>
          <w:i/>
          <w:iCs/>
        </w:rPr>
        <w:t>City of Rockingham Local Planning Scheme No 2</w:t>
      </w:r>
      <w:r>
        <w:t>.</w:t>
      </w:r>
    </w:p>
    <w:p w14:paraId="6E218B77" w14:textId="262DC619" w:rsidR="007B0AF6" w:rsidRDefault="00E631BE" w:rsidP="0061187E">
      <w:pPr>
        <w:pStyle w:val="Reference"/>
      </w:pPr>
      <w:r>
        <w:t xml:space="preserve">—— </w:t>
      </w:r>
      <w:r w:rsidR="007B0AF6">
        <w:t xml:space="preserve">2017a, </w:t>
      </w:r>
      <w:r w:rsidR="007B0AF6">
        <w:rPr>
          <w:i/>
          <w:iCs/>
        </w:rPr>
        <w:t>City of Fremantle local planning scheme 4</w:t>
      </w:r>
      <w:r w:rsidR="007B0AF6">
        <w:t>.</w:t>
      </w:r>
    </w:p>
    <w:p w14:paraId="6E218B78" w14:textId="2620FD53" w:rsidR="007B0AF6" w:rsidRDefault="00E631BE" w:rsidP="0061187E">
      <w:pPr>
        <w:pStyle w:val="Reference"/>
      </w:pPr>
      <w:r>
        <w:t xml:space="preserve">—— </w:t>
      </w:r>
      <w:r w:rsidR="007B0AF6">
        <w:t xml:space="preserve">2017b, </w:t>
      </w:r>
      <w:r w:rsidR="007B0AF6">
        <w:rPr>
          <w:i/>
          <w:iCs/>
        </w:rPr>
        <w:t>Development Assessment Panel Practice notes: Making Good Planning Decisions</w:t>
      </w:r>
      <w:r w:rsidR="007B0AF6">
        <w:t>, February, Perth.</w:t>
      </w:r>
    </w:p>
    <w:p w14:paraId="6E218B79" w14:textId="2793557E" w:rsidR="007B0AF6" w:rsidRPr="0061187E" w:rsidRDefault="007B0AF6" w:rsidP="0061187E">
      <w:pPr>
        <w:pStyle w:val="Reference"/>
        <w:rPr>
          <w:spacing w:val="-4"/>
        </w:rPr>
      </w:pPr>
      <w:r w:rsidRPr="0061187E">
        <w:rPr>
          <w:spacing w:val="-4"/>
        </w:rPr>
        <w:t xml:space="preserve">WAMRA (Western Australian Metropolitan Redevelopment Authority) 2016, </w:t>
      </w:r>
      <w:r w:rsidRPr="0061187E">
        <w:rPr>
          <w:i/>
          <w:iCs/>
          <w:spacing w:val="-4"/>
        </w:rPr>
        <w:t>Community group chosen for Scarborough plan</w:t>
      </w:r>
      <w:r w:rsidRPr="0061187E">
        <w:rPr>
          <w:spacing w:val="-4"/>
        </w:rPr>
        <w:t>, www.mra.wa.gov.au/news-and-updates/article/community-group-chosen-for-scarborough-plan (accessed 29</w:t>
      </w:r>
      <w:r w:rsidR="00181B62">
        <w:rPr>
          <w:spacing w:val="-4"/>
        </w:rPr>
        <w:t> </w:t>
      </w:r>
      <w:r w:rsidRPr="0061187E">
        <w:rPr>
          <w:spacing w:val="-4"/>
        </w:rPr>
        <w:t>March 2017).</w:t>
      </w:r>
    </w:p>
    <w:p w14:paraId="6E218B7A" w14:textId="77777777" w:rsidR="007B0AF6" w:rsidRDefault="007B0AF6" w:rsidP="0061187E">
      <w:pPr>
        <w:pStyle w:val="Reference"/>
      </w:pPr>
      <w:r>
        <w:t xml:space="preserve">WAPC (Western Australian Planning Commission) 2014, </w:t>
      </w:r>
      <w:r>
        <w:rPr>
          <w:i/>
          <w:iCs/>
        </w:rPr>
        <w:t>Planning makes it happen: phase two</w:t>
      </w:r>
      <w:r>
        <w:t>, August.</w:t>
      </w:r>
    </w:p>
    <w:p w14:paraId="6E218B7B" w14:textId="77777777" w:rsidR="007B0AF6" w:rsidRDefault="007B0AF6" w:rsidP="0061187E">
      <w:pPr>
        <w:pStyle w:val="Reference"/>
      </w:pPr>
      <w:r>
        <w:t xml:space="preserve">World Bank 2011, </w:t>
      </w:r>
      <w:r>
        <w:rPr>
          <w:i/>
          <w:iCs/>
        </w:rPr>
        <w:t>Doing Business 2011: Making a Difference for Entrepreneurs</w:t>
      </w:r>
      <w:r>
        <w:t>, Washington DC.</w:t>
      </w:r>
    </w:p>
    <w:p w14:paraId="6E218B7C" w14:textId="2E1D3696" w:rsidR="00AF283B" w:rsidRPr="00AF283B" w:rsidRDefault="007B0AF6" w:rsidP="0061187E">
      <w:pPr>
        <w:pStyle w:val="Reference"/>
      </w:pPr>
      <w:r>
        <w:t>——</w:t>
      </w:r>
      <w:r w:rsidR="00124A1F">
        <w:t> </w:t>
      </w:r>
      <w:r>
        <w:t xml:space="preserve">2017, </w:t>
      </w:r>
      <w:r>
        <w:rPr>
          <w:i/>
          <w:iCs/>
        </w:rPr>
        <w:t>Doing Business 2017: Equal Opportunity for All.</w:t>
      </w:r>
      <w:r>
        <w:t>, Washington, DC.</w:t>
      </w:r>
    </w:p>
    <w:sectPr w:rsidR="00AF283B" w:rsidRPr="00AF283B" w:rsidSect="00394685">
      <w:headerReference w:type="even" r:id="rId23"/>
      <w:headerReference w:type="default" r:id="rId24"/>
      <w:footerReference w:type="even" r:id="rId25"/>
      <w:footerReference w:type="default" r:id="rId26"/>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8B86" w14:textId="77777777" w:rsidR="001D6854" w:rsidRDefault="001D6854">
      <w:r>
        <w:separator/>
      </w:r>
    </w:p>
  </w:endnote>
  <w:endnote w:type="continuationSeparator" w:id="0">
    <w:p w14:paraId="6E218B87" w14:textId="77777777" w:rsidR="001D6854" w:rsidRDefault="001D6854">
      <w:r>
        <w:continuationSeparator/>
      </w:r>
    </w:p>
  </w:endnote>
  <w:endnote w:type="continuationNotice" w:id="1">
    <w:p w14:paraId="6E218B88" w14:textId="77777777" w:rsidR="001D6854" w:rsidRDefault="001D6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854" w14:paraId="6E218B90" w14:textId="77777777" w:rsidTr="005F48ED">
      <w:trPr>
        <w:trHeight w:hRule="exact" w:val="567"/>
      </w:trPr>
      <w:tc>
        <w:tcPr>
          <w:tcW w:w="510" w:type="dxa"/>
        </w:tcPr>
        <w:p w14:paraId="6E218B8D" w14:textId="77777777" w:rsidR="001D6854" w:rsidRDefault="001D6854">
          <w:pPr>
            <w:pStyle w:val="Footer"/>
            <w:ind w:right="360" w:firstLine="360"/>
          </w:pPr>
        </w:p>
      </w:tc>
      <w:tc>
        <w:tcPr>
          <w:tcW w:w="7767" w:type="dxa"/>
        </w:tcPr>
        <w:p w14:paraId="6E218B8E" w14:textId="31C3D436" w:rsidR="001D6854" w:rsidRPr="00BA5B14" w:rsidRDefault="001D6854" w:rsidP="00484725">
          <w:pPr>
            <w:pStyle w:val="Footer"/>
            <w:jc w:val="right"/>
            <w:rPr>
              <w:rFonts w:cs="Arial"/>
            </w:rPr>
          </w:pPr>
          <w:r>
            <w:rPr>
              <w:rFonts w:cs="Arial"/>
            </w:rPr>
            <w:t>sp 10 – Realising the productive potential of land</w:t>
          </w:r>
        </w:p>
      </w:tc>
      <w:tc>
        <w:tcPr>
          <w:tcW w:w="510" w:type="dxa"/>
        </w:tcPr>
        <w:p w14:paraId="6E218B8F" w14:textId="77777777" w:rsidR="001D6854" w:rsidRPr="00A24443" w:rsidRDefault="001D68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E01">
            <w:rPr>
              <w:rStyle w:val="PageNumber"/>
              <w:caps w:val="0"/>
              <w:noProof/>
            </w:rPr>
            <w:t>1</w:t>
          </w:r>
          <w:r w:rsidRPr="00A24443">
            <w:rPr>
              <w:rStyle w:val="PageNumber"/>
              <w:caps w:val="0"/>
            </w:rPr>
            <w:fldChar w:fldCharType="end"/>
          </w:r>
        </w:p>
      </w:tc>
    </w:tr>
  </w:tbl>
  <w:p w14:paraId="6E218B91" w14:textId="77777777" w:rsidR="001D6854" w:rsidRDefault="001D6854" w:rsidP="0080563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854" w14:paraId="6E218B9E" w14:textId="77777777" w:rsidTr="005F48ED">
      <w:trPr>
        <w:trHeight w:hRule="exact" w:val="567"/>
      </w:trPr>
      <w:tc>
        <w:tcPr>
          <w:tcW w:w="510" w:type="dxa"/>
        </w:tcPr>
        <w:p w14:paraId="6E218B9B" w14:textId="77777777" w:rsidR="001D6854" w:rsidRPr="00A24443" w:rsidRDefault="001D68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E01">
            <w:rPr>
              <w:rStyle w:val="PageNumber"/>
              <w:caps w:val="0"/>
              <w:noProof/>
            </w:rPr>
            <w:t>2</w:t>
          </w:r>
          <w:r w:rsidRPr="00A24443">
            <w:rPr>
              <w:rStyle w:val="PageNumber"/>
              <w:caps w:val="0"/>
            </w:rPr>
            <w:fldChar w:fldCharType="end"/>
          </w:r>
        </w:p>
      </w:tc>
      <w:tc>
        <w:tcPr>
          <w:tcW w:w="7767" w:type="dxa"/>
        </w:tcPr>
        <w:p w14:paraId="6E218B9C" w14:textId="77777777" w:rsidR="001D6854" w:rsidRPr="0013739A" w:rsidRDefault="001D6854"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2" w:name="DraftReportEven"/>
          <w:bookmarkEnd w:id="2"/>
        </w:p>
      </w:tc>
      <w:tc>
        <w:tcPr>
          <w:tcW w:w="510" w:type="dxa"/>
        </w:tcPr>
        <w:p w14:paraId="6E218B9D" w14:textId="77777777" w:rsidR="001D6854" w:rsidRDefault="001D6854" w:rsidP="0019293B">
          <w:pPr>
            <w:pStyle w:val="Footer"/>
          </w:pPr>
        </w:p>
      </w:tc>
    </w:tr>
  </w:tbl>
  <w:p w14:paraId="6E218B9F" w14:textId="77777777" w:rsidR="001D6854" w:rsidRDefault="001D6854" w:rsidP="0019293B">
    <w:pPr>
      <w:pStyle w:val="FooterEnd"/>
    </w:pPr>
  </w:p>
  <w:p w14:paraId="6E218BA0" w14:textId="77777777" w:rsidR="001D6854" w:rsidRDefault="001D6854" w:rsidP="0080563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854" w14:paraId="6E218BA4" w14:textId="77777777" w:rsidTr="005F48ED">
      <w:trPr>
        <w:trHeight w:hRule="exact" w:val="567"/>
      </w:trPr>
      <w:tc>
        <w:tcPr>
          <w:tcW w:w="510" w:type="dxa"/>
        </w:tcPr>
        <w:p w14:paraId="6E218BA1" w14:textId="77777777" w:rsidR="001D6854" w:rsidRDefault="001D6854">
          <w:pPr>
            <w:pStyle w:val="Footer"/>
            <w:ind w:right="360" w:firstLine="360"/>
          </w:pPr>
        </w:p>
      </w:tc>
      <w:tc>
        <w:tcPr>
          <w:tcW w:w="7767" w:type="dxa"/>
        </w:tcPr>
        <w:p w14:paraId="6E218BA2" w14:textId="77777777" w:rsidR="001D6854" w:rsidRPr="00BA5B14" w:rsidRDefault="001D6854" w:rsidP="0013739A">
          <w:pPr>
            <w:pStyle w:val="Footer"/>
            <w:jc w:val="right"/>
            <w:rPr>
              <w:rFonts w:cs="Arial"/>
            </w:rPr>
          </w:pPr>
        </w:p>
      </w:tc>
      <w:tc>
        <w:tcPr>
          <w:tcW w:w="510" w:type="dxa"/>
        </w:tcPr>
        <w:p w14:paraId="6E218BA3" w14:textId="77777777" w:rsidR="001D6854" w:rsidRPr="00A24443" w:rsidRDefault="001D68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E218BA5" w14:textId="77777777" w:rsidR="001D6854" w:rsidRDefault="001D6854" w:rsidP="00805639">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854" w14:paraId="6E218BB1" w14:textId="77777777" w:rsidTr="005F48ED">
      <w:trPr>
        <w:trHeight w:hRule="exact" w:val="567"/>
      </w:trPr>
      <w:tc>
        <w:tcPr>
          <w:tcW w:w="510" w:type="dxa"/>
        </w:tcPr>
        <w:p w14:paraId="6E218BAE" w14:textId="77777777" w:rsidR="001D6854" w:rsidRPr="00A24443" w:rsidRDefault="001D68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E01">
            <w:rPr>
              <w:rStyle w:val="PageNumber"/>
              <w:caps w:val="0"/>
              <w:noProof/>
            </w:rPr>
            <w:t>18</w:t>
          </w:r>
          <w:r w:rsidRPr="00A24443">
            <w:rPr>
              <w:rStyle w:val="PageNumber"/>
              <w:caps w:val="0"/>
            </w:rPr>
            <w:fldChar w:fldCharType="end"/>
          </w:r>
        </w:p>
      </w:tc>
      <w:tc>
        <w:tcPr>
          <w:tcW w:w="7767" w:type="dxa"/>
        </w:tcPr>
        <w:p w14:paraId="6E218BAF" w14:textId="77777777" w:rsidR="001D6854" w:rsidRPr="0013739A" w:rsidRDefault="001D6854"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6E218BB0" w14:textId="77777777" w:rsidR="001D6854" w:rsidRDefault="001D6854" w:rsidP="0019293B">
          <w:pPr>
            <w:pStyle w:val="Footer"/>
          </w:pPr>
        </w:p>
      </w:tc>
    </w:tr>
  </w:tbl>
  <w:p w14:paraId="6E218BB2" w14:textId="77777777" w:rsidR="001D6854" w:rsidRDefault="001D6854" w:rsidP="0080563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854" w14:paraId="6E218BB6" w14:textId="77777777" w:rsidTr="005F48ED">
      <w:trPr>
        <w:trHeight w:hRule="exact" w:val="567"/>
      </w:trPr>
      <w:tc>
        <w:tcPr>
          <w:tcW w:w="510" w:type="dxa"/>
        </w:tcPr>
        <w:p w14:paraId="6E218BB3" w14:textId="77777777" w:rsidR="001D6854" w:rsidRDefault="001D6854">
          <w:pPr>
            <w:pStyle w:val="Footer"/>
            <w:ind w:right="360" w:firstLine="360"/>
          </w:pPr>
        </w:p>
      </w:tc>
      <w:tc>
        <w:tcPr>
          <w:tcW w:w="7767" w:type="dxa"/>
        </w:tcPr>
        <w:p w14:paraId="6E218BB4" w14:textId="40B0EC8A" w:rsidR="001D6854" w:rsidRPr="00BA5B14" w:rsidRDefault="001D6854" w:rsidP="00484725">
          <w:pPr>
            <w:pStyle w:val="Footer"/>
            <w:jc w:val="right"/>
            <w:rPr>
              <w:rFonts w:cs="Arial"/>
            </w:rPr>
          </w:pPr>
          <w:r>
            <w:rPr>
              <w:rFonts w:cs="Arial"/>
            </w:rPr>
            <w:t xml:space="preserve">sp 10 – Realising the productive potential of land </w:t>
          </w:r>
        </w:p>
      </w:tc>
      <w:tc>
        <w:tcPr>
          <w:tcW w:w="510" w:type="dxa"/>
        </w:tcPr>
        <w:p w14:paraId="6E218BB5" w14:textId="77777777" w:rsidR="001D6854" w:rsidRPr="00A24443" w:rsidRDefault="001D68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E01">
            <w:rPr>
              <w:rStyle w:val="PageNumber"/>
              <w:caps w:val="0"/>
              <w:noProof/>
            </w:rPr>
            <w:t>19</w:t>
          </w:r>
          <w:r w:rsidRPr="00A24443">
            <w:rPr>
              <w:rStyle w:val="PageNumber"/>
              <w:caps w:val="0"/>
            </w:rPr>
            <w:fldChar w:fldCharType="end"/>
          </w:r>
        </w:p>
      </w:tc>
    </w:tr>
  </w:tbl>
  <w:p w14:paraId="6E218BB7" w14:textId="77777777" w:rsidR="001D6854" w:rsidRDefault="001D6854" w:rsidP="0080563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18B83" w14:textId="77777777" w:rsidR="001D6854" w:rsidRDefault="001D6854">
      <w:r>
        <w:separator/>
      </w:r>
    </w:p>
  </w:footnote>
  <w:footnote w:type="continuationSeparator" w:id="0">
    <w:p w14:paraId="6E218B84" w14:textId="77777777" w:rsidR="001D6854" w:rsidRDefault="001D6854">
      <w:r>
        <w:continuationSeparator/>
      </w:r>
    </w:p>
  </w:footnote>
  <w:footnote w:type="continuationNotice" w:id="1">
    <w:p w14:paraId="6E218B85" w14:textId="77777777" w:rsidR="001D6854" w:rsidRDefault="001D6854"/>
  </w:footnote>
  <w:footnote w:id="2">
    <w:p w14:paraId="6E218BB8" w14:textId="0249AF18" w:rsidR="001D6854" w:rsidRDefault="001D6854">
      <w:pPr>
        <w:pStyle w:val="FootnoteText"/>
      </w:pPr>
      <w:r w:rsidRPr="0061724D">
        <w:rPr>
          <w:rStyle w:val="FootnoteReference"/>
        </w:rPr>
        <w:footnoteRef/>
      </w:r>
      <w:r>
        <w:t xml:space="preserve"> </w:t>
      </w:r>
      <w:r>
        <w:tab/>
        <w:t>The nature of</w:t>
      </w:r>
      <w:r w:rsidRPr="00470918">
        <w:t xml:space="preserve"> zoning regulations </w:t>
      </w:r>
      <w:r>
        <w:t>affects the value of</w:t>
      </w:r>
      <w:r w:rsidRPr="00470918">
        <w:t xml:space="preserve"> land. In Sydney land zoned for higher density residential development can generally be valued between 10 and 25 per cent higher than land zoned for lower densi</w:t>
      </w:r>
      <w:r>
        <w:t>ty residential development</w:t>
      </w:r>
      <w:r w:rsidRPr="00470918">
        <w:t xml:space="preserve">. Land zoned for industrial uses in Sydney has </w:t>
      </w:r>
      <w:r>
        <w:t>approximately</w:t>
      </w:r>
      <w:r w:rsidRPr="00470918">
        <w:t xml:space="preserve"> half the value of similar land that is zoned </w:t>
      </w:r>
      <w:r>
        <w:t xml:space="preserve">for </w:t>
      </w:r>
      <w:r w:rsidRPr="00470918">
        <w:t>residential</w:t>
      </w:r>
      <w:r>
        <w:t xml:space="preserve"> uses</w:t>
      </w:r>
      <w:r w:rsidRPr="00470918">
        <w:t xml:space="preserve"> </w:t>
      </w:r>
      <w:r w:rsidRPr="007E3C40">
        <w:rPr>
          <w:szCs w:val="24"/>
        </w:rPr>
        <w:t>(CIE 2013)</w:t>
      </w:r>
      <w:r w:rsidRPr="00470918">
        <w:t xml:space="preserve">. </w:t>
      </w:r>
    </w:p>
  </w:footnote>
  <w:footnote w:id="3">
    <w:p w14:paraId="6E218BB9" w14:textId="77777777" w:rsidR="001D6854" w:rsidRDefault="001D6854" w:rsidP="008A4198">
      <w:pPr>
        <w:pStyle w:val="FootnoteText"/>
      </w:pPr>
      <w:r w:rsidRPr="0061724D">
        <w:rPr>
          <w:rStyle w:val="FootnoteReference"/>
        </w:rPr>
        <w:footnoteRef/>
      </w:r>
      <w:r>
        <w:t xml:space="preserve"> </w:t>
      </w:r>
      <w:r>
        <w:tab/>
        <w:t xml:space="preserve">Annualised for a period of 30 years at a real discount rate of 7 per cent. </w:t>
      </w:r>
      <w:r w:rsidRPr="00AA7A98">
        <w:t>This reflects estimates of land value premiums and how quickly these premiums are reduced as land is rezoned.</w:t>
      </w:r>
    </w:p>
  </w:footnote>
  <w:footnote w:id="4">
    <w:p w14:paraId="550820B8" w14:textId="77777777" w:rsidR="001D6854" w:rsidRDefault="001D6854" w:rsidP="003D0A92">
      <w:pPr>
        <w:pStyle w:val="FootnoteText"/>
      </w:pPr>
      <w:r w:rsidRPr="0061724D">
        <w:rPr>
          <w:rStyle w:val="FootnoteReference"/>
        </w:rPr>
        <w:footnoteRef/>
      </w:r>
      <w:r>
        <w:tab/>
        <w:t xml:space="preserve">The Development Assessment Forum (DAF) was formed in 1998 to reduce the length and complexity of DA processes. It developed a ‘Leading Practice Model’, which was endorsed by State and Territory planning ministers in 2005 </w:t>
      </w:r>
      <w:r w:rsidRPr="00FA4E23">
        <w:rPr>
          <w:szCs w:val="24"/>
        </w:rPr>
        <w:t>(PC 2011b)</w:t>
      </w:r>
      <w:r>
        <w:t xml:space="preserve">. The DAF was established following the Report of the Small Business Deregulation Taskforce recommendations in 1996 for governments to change its DA processes </w:t>
      </w:r>
      <w:r w:rsidRPr="00BE232B">
        <w:rPr>
          <w:szCs w:val="24"/>
        </w:rPr>
        <w:t>(DAF 2014)</w:t>
      </w:r>
      <w:r>
        <w:t>.</w:t>
      </w:r>
    </w:p>
  </w:footnote>
  <w:footnote w:id="5">
    <w:p w14:paraId="4321E2AF" w14:textId="77777777" w:rsidR="001D6854" w:rsidRDefault="001D6854" w:rsidP="002E6C90">
      <w:pPr>
        <w:pStyle w:val="FootnoteText"/>
      </w:pPr>
      <w:r w:rsidRPr="0061724D">
        <w:rPr>
          <w:rStyle w:val="FootnoteReference"/>
        </w:rPr>
        <w:footnoteRef/>
      </w:r>
      <w:r>
        <w:tab/>
        <w:t xml:space="preserve">Measured by the procedures, time and cost to complete all formalities to build a warehouse. The reported improvements included streamlined procedures and improved coordination among agencies involved in the process </w:t>
      </w:r>
      <w:r w:rsidRPr="007D77F1">
        <w:rPr>
          <w:szCs w:val="24"/>
        </w:rPr>
        <w:t>(World Bank 2017)</w:t>
      </w:r>
      <w:r>
        <w:t>.</w:t>
      </w:r>
    </w:p>
  </w:footnote>
  <w:footnote w:id="6">
    <w:p w14:paraId="6E218BBC" w14:textId="06C2F5B2" w:rsidR="001D6854" w:rsidRDefault="001D6854">
      <w:pPr>
        <w:pStyle w:val="FootnoteText"/>
      </w:pPr>
      <w:r w:rsidRPr="0061724D">
        <w:rPr>
          <w:rStyle w:val="FootnoteReference"/>
        </w:rPr>
        <w:footnoteRef/>
      </w:r>
      <w:r>
        <w:tab/>
      </w:r>
      <w:r w:rsidRPr="0013247A">
        <w:t xml:space="preserve">An earlier report commissioned by the NSW Government estimated that changes to </w:t>
      </w:r>
      <w:r>
        <w:t>New South Wales’</w:t>
      </w:r>
      <w:r w:rsidRPr="0013247A">
        <w:t xml:space="preserve"> </w:t>
      </w:r>
      <w:r>
        <w:t>DA</w:t>
      </w:r>
      <w:r w:rsidRPr="0013247A">
        <w:t xml:space="preserve"> processes from the reforms in the NSW White Paper on planning reforms would be $174</w:t>
      </w:r>
      <w:r>
        <w:t> </w:t>
      </w:r>
      <w:r w:rsidRPr="0013247A">
        <w:t xml:space="preserve">million per year in avoided costs of delay and documentation </w:t>
      </w:r>
      <w:r w:rsidRPr="00BA0F66">
        <w:rPr>
          <w:szCs w:val="24"/>
        </w:rPr>
        <w:t>(Deloitte 2012)</w:t>
      </w:r>
      <w:r w:rsidRPr="0013247A">
        <w:t>. The difference between this and the CIE report was that the earlier report did not incorporate an estimate of the costs of excessive risk arising from the NSW planning system , which CIE estimated at between $221</w:t>
      </w:r>
      <w:r>
        <w:t> </w:t>
      </w:r>
      <w:r w:rsidRPr="0013247A">
        <w:t>million and $305</w:t>
      </w:r>
      <w:r>
        <w:t> </w:t>
      </w:r>
      <w:r w:rsidRPr="0013247A">
        <w:t>million per year.</w:t>
      </w:r>
    </w:p>
  </w:footnote>
  <w:footnote w:id="7">
    <w:p w14:paraId="6E218BBD" w14:textId="77777777" w:rsidR="001D6854" w:rsidRDefault="001D6854" w:rsidP="00DA4C17">
      <w:pPr>
        <w:pStyle w:val="FootnoteText"/>
      </w:pPr>
      <w:r w:rsidRPr="0061724D">
        <w:rPr>
          <w:rStyle w:val="FootnoteReference"/>
        </w:rPr>
        <w:footnoteRef/>
      </w:r>
      <w:r>
        <w:t xml:space="preserve"> </w:t>
      </w:r>
      <w:r>
        <w:tab/>
        <w:t>Stamp duty on residential property assumes the purchaser is not a first home buyer, who may be exempt, or a ‘foreign purchaser’, who faces a different rate.</w:t>
      </w:r>
    </w:p>
  </w:footnote>
  <w:footnote w:id="8">
    <w:p w14:paraId="6E218BBE" w14:textId="5E6F4A90" w:rsidR="001D6854" w:rsidRDefault="001D6854" w:rsidP="00406D3E">
      <w:pPr>
        <w:pStyle w:val="FootnoteText"/>
      </w:pPr>
      <w:r w:rsidRPr="0061724D">
        <w:rPr>
          <w:rStyle w:val="FootnoteReference"/>
        </w:rPr>
        <w:footnoteRef/>
      </w:r>
      <w:r>
        <w:tab/>
        <w:t>The dutiable value of a property is the market value or purchase price less any deductions such as the off</w:t>
      </w:r>
      <w:r>
        <w:noBreakHyphen/>
        <w:t>the</w:t>
      </w:r>
      <w:r>
        <w:noBreakHyphen/>
        <w:t>plan concession.</w:t>
      </w:r>
    </w:p>
  </w:footnote>
  <w:footnote w:id="9">
    <w:p w14:paraId="6E218BBF" w14:textId="6E8C6DBF" w:rsidR="001D6854" w:rsidRDefault="001D6854" w:rsidP="003D58B4">
      <w:pPr>
        <w:pStyle w:val="FootnoteText"/>
      </w:pPr>
      <w:r w:rsidRPr="0061724D">
        <w:rPr>
          <w:rStyle w:val="FootnoteReference"/>
        </w:rPr>
        <w:footnoteRef/>
      </w:r>
      <w:r>
        <w:tab/>
        <w:t>Residential land and dwelling values have increased on average by 8.4 per cent p.a over the past 20 years while over the same period the debt servicing ratio has increased by 1.2 percentage points. However, buyers will factor in the discounted tax liability into the purchase price of the property, which will put downward pressure on prices.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6854" w14:paraId="6E218B8B" w14:textId="77777777">
      <w:tc>
        <w:tcPr>
          <w:tcW w:w="6634" w:type="dxa"/>
          <w:tcBorders>
            <w:top w:val="single" w:sz="6" w:space="0" w:color="auto"/>
          </w:tcBorders>
        </w:tcPr>
        <w:p w14:paraId="6E218B89" w14:textId="77777777" w:rsidR="001D6854" w:rsidRDefault="001D6854" w:rsidP="00E669E2">
          <w:pPr>
            <w:pStyle w:val="HeaderOdd"/>
          </w:pPr>
        </w:p>
      </w:tc>
      <w:tc>
        <w:tcPr>
          <w:tcW w:w="2155" w:type="dxa"/>
          <w:tcBorders>
            <w:top w:val="single" w:sz="24" w:space="0" w:color="auto"/>
          </w:tcBorders>
        </w:tcPr>
        <w:p w14:paraId="6E218B8A" w14:textId="77777777" w:rsidR="001D6854" w:rsidRDefault="001D6854" w:rsidP="00E669E2">
          <w:pPr>
            <w:pStyle w:val="HeaderOdd"/>
          </w:pPr>
        </w:p>
      </w:tc>
    </w:tr>
  </w:tbl>
  <w:p w14:paraId="6E218B8C" w14:textId="77777777" w:rsidR="001D6854" w:rsidRDefault="001D6854" w:rsidP="0080563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D6854" w14:paraId="6E218B94" w14:textId="77777777">
      <w:tc>
        <w:tcPr>
          <w:tcW w:w="2155" w:type="dxa"/>
          <w:tcBorders>
            <w:top w:val="single" w:sz="24" w:space="0" w:color="auto"/>
          </w:tcBorders>
        </w:tcPr>
        <w:p w14:paraId="6E218B92" w14:textId="77777777" w:rsidR="001D6854" w:rsidRDefault="001D6854" w:rsidP="0019293B">
          <w:pPr>
            <w:pStyle w:val="HeaderEven"/>
          </w:pPr>
        </w:p>
      </w:tc>
      <w:tc>
        <w:tcPr>
          <w:tcW w:w="6634" w:type="dxa"/>
          <w:tcBorders>
            <w:top w:val="single" w:sz="6" w:space="0" w:color="auto"/>
          </w:tcBorders>
        </w:tcPr>
        <w:p w14:paraId="6E218B93" w14:textId="77777777" w:rsidR="001D6854" w:rsidRDefault="001D6854" w:rsidP="0019293B">
          <w:pPr>
            <w:pStyle w:val="HeaderEven"/>
          </w:pPr>
        </w:p>
      </w:tc>
    </w:tr>
  </w:tbl>
  <w:p w14:paraId="6E218B95" w14:textId="77777777" w:rsidR="001D6854" w:rsidRDefault="001D6854" w:rsidP="0019293B">
    <w:pPr>
      <w:pStyle w:val="HeaderEnd"/>
    </w:pPr>
  </w:p>
  <w:p w14:paraId="6E218B96" w14:textId="77777777" w:rsidR="001D6854" w:rsidRDefault="001D6854" w:rsidP="0080563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6854" w14:paraId="6E218B99" w14:textId="77777777">
      <w:tc>
        <w:tcPr>
          <w:tcW w:w="6634" w:type="dxa"/>
          <w:tcBorders>
            <w:top w:val="single" w:sz="6" w:space="0" w:color="auto"/>
          </w:tcBorders>
        </w:tcPr>
        <w:p w14:paraId="6E218B97" w14:textId="77777777" w:rsidR="001D6854" w:rsidRDefault="001D6854" w:rsidP="00E669E2">
          <w:pPr>
            <w:pStyle w:val="HeaderOdd"/>
          </w:pPr>
        </w:p>
      </w:tc>
      <w:tc>
        <w:tcPr>
          <w:tcW w:w="2155" w:type="dxa"/>
          <w:tcBorders>
            <w:top w:val="single" w:sz="24" w:space="0" w:color="auto"/>
          </w:tcBorders>
        </w:tcPr>
        <w:p w14:paraId="6E218B98" w14:textId="77777777" w:rsidR="001D6854" w:rsidRDefault="001D6854" w:rsidP="00E669E2">
          <w:pPr>
            <w:pStyle w:val="HeaderOdd"/>
          </w:pPr>
        </w:p>
      </w:tc>
    </w:tr>
  </w:tbl>
  <w:p w14:paraId="6E218B9A" w14:textId="77777777" w:rsidR="001D6854" w:rsidRDefault="001D6854" w:rsidP="00805639">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D6854" w14:paraId="6E218BA8" w14:textId="77777777">
      <w:tc>
        <w:tcPr>
          <w:tcW w:w="2155" w:type="dxa"/>
          <w:tcBorders>
            <w:top w:val="single" w:sz="24" w:space="0" w:color="auto"/>
          </w:tcBorders>
        </w:tcPr>
        <w:p w14:paraId="6E218BA6" w14:textId="77777777" w:rsidR="001D6854" w:rsidRDefault="001D6854" w:rsidP="0019293B">
          <w:pPr>
            <w:pStyle w:val="HeaderEven"/>
          </w:pPr>
        </w:p>
      </w:tc>
      <w:tc>
        <w:tcPr>
          <w:tcW w:w="6634" w:type="dxa"/>
          <w:tcBorders>
            <w:top w:val="single" w:sz="6" w:space="0" w:color="auto"/>
          </w:tcBorders>
        </w:tcPr>
        <w:p w14:paraId="6E218BA7" w14:textId="77777777" w:rsidR="001D6854" w:rsidRDefault="001D6854" w:rsidP="0019293B">
          <w:pPr>
            <w:pStyle w:val="HeaderEven"/>
          </w:pPr>
        </w:p>
      </w:tc>
    </w:tr>
  </w:tbl>
  <w:p w14:paraId="6E218BA9" w14:textId="77777777" w:rsidR="001D6854" w:rsidRDefault="001D6854" w:rsidP="00805639">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6854" w14:paraId="6E218BAC" w14:textId="77777777">
      <w:tc>
        <w:tcPr>
          <w:tcW w:w="6634" w:type="dxa"/>
          <w:tcBorders>
            <w:top w:val="single" w:sz="6" w:space="0" w:color="auto"/>
          </w:tcBorders>
        </w:tcPr>
        <w:p w14:paraId="6E218BAA" w14:textId="77777777" w:rsidR="001D6854" w:rsidRDefault="001D6854" w:rsidP="00E669E2">
          <w:pPr>
            <w:pStyle w:val="HeaderOdd"/>
          </w:pPr>
        </w:p>
      </w:tc>
      <w:tc>
        <w:tcPr>
          <w:tcW w:w="2155" w:type="dxa"/>
          <w:tcBorders>
            <w:top w:val="single" w:sz="24" w:space="0" w:color="auto"/>
          </w:tcBorders>
        </w:tcPr>
        <w:p w14:paraId="6E218BAB" w14:textId="77777777" w:rsidR="001D6854" w:rsidRDefault="001D6854" w:rsidP="00E669E2">
          <w:pPr>
            <w:pStyle w:val="HeaderOdd"/>
          </w:pPr>
        </w:p>
      </w:tc>
    </w:tr>
  </w:tbl>
  <w:p w14:paraId="6E218BAD" w14:textId="77777777" w:rsidR="001D6854" w:rsidRDefault="001D6854" w:rsidP="0080563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90E9C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C10650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00E2D8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15672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FC9C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4692EEB"/>
    <w:multiLevelType w:val="hybridMultilevel"/>
    <w:tmpl w:val="64A0E28E"/>
    <w:lvl w:ilvl="0" w:tplc="ECDEB5FE">
      <w:start w:val="2"/>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2236AAF"/>
    <w:multiLevelType w:val="hybridMultilevel"/>
    <w:tmpl w:val="F94A2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8101827"/>
    <w:multiLevelType w:val="multilevel"/>
    <w:tmpl w:val="3CACDCCC"/>
    <w:name w:val="BoxBulletedList"/>
    <w:lvl w:ilvl="0">
      <w:start w:val="1"/>
      <w:numFmt w:val="bullet"/>
      <w:lvlRestart w:val="0"/>
      <w:pStyle w:val="BoxBullet"/>
      <w:lvlText w:val="•"/>
      <w:lvlJc w:val="left"/>
      <w:pPr>
        <w:tabs>
          <w:tab w:val="num" w:pos="566"/>
        </w:tabs>
        <w:ind w:left="566" w:hanging="566"/>
      </w:pPr>
      <w:rPr>
        <w:rFonts w:ascii="Times New Roman" w:hAnsi="Times New Roman" w:cs="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7"/>
  </w:num>
  <w:num w:numId="3">
    <w:abstractNumId w:val="20"/>
  </w:num>
  <w:num w:numId="4">
    <w:abstractNumId w:val="8"/>
  </w:num>
  <w:num w:numId="5">
    <w:abstractNumId w:val="26"/>
  </w:num>
  <w:num w:numId="6">
    <w:abstractNumId w:val="22"/>
  </w:num>
  <w:num w:numId="7">
    <w:abstractNumId w:val="12"/>
  </w:num>
  <w:num w:numId="8">
    <w:abstractNumId w:val="21"/>
  </w:num>
  <w:num w:numId="9">
    <w:abstractNumId w:val="11"/>
  </w:num>
  <w:num w:numId="10">
    <w:abstractNumId w:val="10"/>
  </w:num>
  <w:num w:numId="11">
    <w:abstractNumId w:val="15"/>
  </w:num>
  <w:num w:numId="12">
    <w:abstractNumId w:val="16"/>
  </w:num>
  <w:num w:numId="13">
    <w:abstractNumId w:val="9"/>
  </w:num>
  <w:num w:numId="14">
    <w:abstractNumId w:val="24"/>
  </w:num>
  <w:num w:numId="15">
    <w:abstractNumId w:val="27"/>
  </w:num>
  <w:num w:numId="16">
    <w:abstractNumId w:val="19"/>
  </w:num>
  <w:num w:numId="17">
    <w:abstractNumId w:val="28"/>
  </w:num>
  <w:num w:numId="18">
    <w:abstractNumId w:val="25"/>
  </w:num>
  <w:num w:numId="19">
    <w:abstractNumId w:val="13"/>
  </w:num>
  <w:num w:numId="20">
    <w:abstractNumId w:val="23"/>
  </w:num>
  <w:num w:numId="21">
    <w:abstractNumId w:val="18"/>
  </w:num>
  <w:num w:numId="22">
    <w:abstractNumId w:val="5"/>
  </w:num>
  <w:num w:numId="23">
    <w:abstractNumId w:val="2"/>
  </w:num>
  <w:num w:numId="24">
    <w:abstractNumId w:val="3"/>
  </w:num>
  <w:num w:numId="25">
    <w:abstractNumId w:val="4"/>
  </w:num>
  <w:num w:numId="26">
    <w:abstractNumId w:val="1"/>
  </w:num>
  <w:num w:numId="27">
    <w:abstractNumId w:val="0"/>
  </w:num>
  <w:num w:numId="28">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13 - Productive potential of urban land"/>
    <w:docVar w:name="ShortReportTitle" w:val="Productivity Review"/>
  </w:docVars>
  <w:rsids>
    <w:rsidRoot w:val="00D9649C"/>
    <w:rsid w:val="0000065C"/>
    <w:rsid w:val="0000087A"/>
    <w:rsid w:val="00000BAB"/>
    <w:rsid w:val="0000178E"/>
    <w:rsid w:val="00001935"/>
    <w:rsid w:val="00002092"/>
    <w:rsid w:val="00002366"/>
    <w:rsid w:val="00002707"/>
    <w:rsid w:val="00002A33"/>
    <w:rsid w:val="00002AF0"/>
    <w:rsid w:val="00002ED5"/>
    <w:rsid w:val="00002F50"/>
    <w:rsid w:val="000034F8"/>
    <w:rsid w:val="00003861"/>
    <w:rsid w:val="00003C49"/>
    <w:rsid w:val="00003C72"/>
    <w:rsid w:val="0000413F"/>
    <w:rsid w:val="00004957"/>
    <w:rsid w:val="00004B74"/>
    <w:rsid w:val="00004BD4"/>
    <w:rsid w:val="000059B7"/>
    <w:rsid w:val="000060CB"/>
    <w:rsid w:val="00006261"/>
    <w:rsid w:val="00006308"/>
    <w:rsid w:val="00006695"/>
    <w:rsid w:val="00006AC5"/>
    <w:rsid w:val="00006CB2"/>
    <w:rsid w:val="00006D48"/>
    <w:rsid w:val="000101F7"/>
    <w:rsid w:val="000102BC"/>
    <w:rsid w:val="00010318"/>
    <w:rsid w:val="000105F7"/>
    <w:rsid w:val="0001170C"/>
    <w:rsid w:val="0001193F"/>
    <w:rsid w:val="00011DE6"/>
    <w:rsid w:val="000123A3"/>
    <w:rsid w:val="0001255D"/>
    <w:rsid w:val="000126C1"/>
    <w:rsid w:val="00012D76"/>
    <w:rsid w:val="00012E2F"/>
    <w:rsid w:val="00013457"/>
    <w:rsid w:val="00013536"/>
    <w:rsid w:val="00013758"/>
    <w:rsid w:val="00013D7C"/>
    <w:rsid w:val="000141C2"/>
    <w:rsid w:val="00014206"/>
    <w:rsid w:val="00014348"/>
    <w:rsid w:val="00014674"/>
    <w:rsid w:val="00014715"/>
    <w:rsid w:val="0001547D"/>
    <w:rsid w:val="000156DD"/>
    <w:rsid w:val="00015772"/>
    <w:rsid w:val="000168B7"/>
    <w:rsid w:val="000168BB"/>
    <w:rsid w:val="00016948"/>
    <w:rsid w:val="00016E45"/>
    <w:rsid w:val="00017716"/>
    <w:rsid w:val="00017A1F"/>
    <w:rsid w:val="00017B75"/>
    <w:rsid w:val="00020284"/>
    <w:rsid w:val="000204C5"/>
    <w:rsid w:val="00020688"/>
    <w:rsid w:val="0002085D"/>
    <w:rsid w:val="0002113F"/>
    <w:rsid w:val="00021655"/>
    <w:rsid w:val="00021688"/>
    <w:rsid w:val="000219C1"/>
    <w:rsid w:val="000219E1"/>
    <w:rsid w:val="00021F02"/>
    <w:rsid w:val="0002259A"/>
    <w:rsid w:val="000225F4"/>
    <w:rsid w:val="00022764"/>
    <w:rsid w:val="000227D5"/>
    <w:rsid w:val="000238CC"/>
    <w:rsid w:val="000241DC"/>
    <w:rsid w:val="000242A7"/>
    <w:rsid w:val="00024515"/>
    <w:rsid w:val="00024543"/>
    <w:rsid w:val="00024575"/>
    <w:rsid w:val="000245AA"/>
    <w:rsid w:val="00024766"/>
    <w:rsid w:val="00024875"/>
    <w:rsid w:val="000254EA"/>
    <w:rsid w:val="00025504"/>
    <w:rsid w:val="00025711"/>
    <w:rsid w:val="00025D17"/>
    <w:rsid w:val="00026027"/>
    <w:rsid w:val="00026302"/>
    <w:rsid w:val="00026A79"/>
    <w:rsid w:val="00026ADF"/>
    <w:rsid w:val="00026B03"/>
    <w:rsid w:val="00026B4E"/>
    <w:rsid w:val="00027235"/>
    <w:rsid w:val="000272E0"/>
    <w:rsid w:val="00027F15"/>
    <w:rsid w:val="000300AE"/>
    <w:rsid w:val="00030992"/>
    <w:rsid w:val="00030F2C"/>
    <w:rsid w:val="0003150D"/>
    <w:rsid w:val="00031529"/>
    <w:rsid w:val="0003187B"/>
    <w:rsid w:val="0003189E"/>
    <w:rsid w:val="00031A30"/>
    <w:rsid w:val="00031CEF"/>
    <w:rsid w:val="00031D11"/>
    <w:rsid w:val="00031E7A"/>
    <w:rsid w:val="00032100"/>
    <w:rsid w:val="0003230D"/>
    <w:rsid w:val="00032501"/>
    <w:rsid w:val="00032718"/>
    <w:rsid w:val="00032B13"/>
    <w:rsid w:val="00032B3F"/>
    <w:rsid w:val="00032EBB"/>
    <w:rsid w:val="0003310A"/>
    <w:rsid w:val="000335C9"/>
    <w:rsid w:val="0003379B"/>
    <w:rsid w:val="0003387F"/>
    <w:rsid w:val="00033B43"/>
    <w:rsid w:val="00033E32"/>
    <w:rsid w:val="0003403E"/>
    <w:rsid w:val="00034402"/>
    <w:rsid w:val="00034822"/>
    <w:rsid w:val="00034963"/>
    <w:rsid w:val="00034CAD"/>
    <w:rsid w:val="00034F04"/>
    <w:rsid w:val="00034F49"/>
    <w:rsid w:val="0003547D"/>
    <w:rsid w:val="000356CD"/>
    <w:rsid w:val="0003587B"/>
    <w:rsid w:val="000358B6"/>
    <w:rsid w:val="00035F3D"/>
    <w:rsid w:val="0003664B"/>
    <w:rsid w:val="000367A8"/>
    <w:rsid w:val="000368C8"/>
    <w:rsid w:val="00036B9B"/>
    <w:rsid w:val="00036D74"/>
    <w:rsid w:val="00036E71"/>
    <w:rsid w:val="00036E87"/>
    <w:rsid w:val="00037037"/>
    <w:rsid w:val="00037252"/>
    <w:rsid w:val="000373C4"/>
    <w:rsid w:val="00037526"/>
    <w:rsid w:val="00037660"/>
    <w:rsid w:val="000377E1"/>
    <w:rsid w:val="00040043"/>
    <w:rsid w:val="0004111F"/>
    <w:rsid w:val="00041DB7"/>
    <w:rsid w:val="000420DD"/>
    <w:rsid w:val="000421E8"/>
    <w:rsid w:val="00042215"/>
    <w:rsid w:val="0004257B"/>
    <w:rsid w:val="00042D7B"/>
    <w:rsid w:val="00043683"/>
    <w:rsid w:val="0004374A"/>
    <w:rsid w:val="000437D4"/>
    <w:rsid w:val="00043A4F"/>
    <w:rsid w:val="00044558"/>
    <w:rsid w:val="00044F20"/>
    <w:rsid w:val="00045267"/>
    <w:rsid w:val="000454A2"/>
    <w:rsid w:val="0004553D"/>
    <w:rsid w:val="00045F80"/>
    <w:rsid w:val="0004613A"/>
    <w:rsid w:val="000461EC"/>
    <w:rsid w:val="0004676B"/>
    <w:rsid w:val="00047246"/>
    <w:rsid w:val="00047350"/>
    <w:rsid w:val="000478C8"/>
    <w:rsid w:val="000479BE"/>
    <w:rsid w:val="00050619"/>
    <w:rsid w:val="00050807"/>
    <w:rsid w:val="00050B28"/>
    <w:rsid w:val="00050F79"/>
    <w:rsid w:val="0005111F"/>
    <w:rsid w:val="0005129C"/>
    <w:rsid w:val="000518FE"/>
    <w:rsid w:val="00051C81"/>
    <w:rsid w:val="0005279E"/>
    <w:rsid w:val="00052897"/>
    <w:rsid w:val="00052B41"/>
    <w:rsid w:val="000530C8"/>
    <w:rsid w:val="00053304"/>
    <w:rsid w:val="0005366C"/>
    <w:rsid w:val="000537ED"/>
    <w:rsid w:val="00053BB9"/>
    <w:rsid w:val="00053E68"/>
    <w:rsid w:val="00054470"/>
    <w:rsid w:val="00054A14"/>
    <w:rsid w:val="00054EEF"/>
    <w:rsid w:val="00055077"/>
    <w:rsid w:val="000551CF"/>
    <w:rsid w:val="00055850"/>
    <w:rsid w:val="000559F4"/>
    <w:rsid w:val="00055F1A"/>
    <w:rsid w:val="00056193"/>
    <w:rsid w:val="00056268"/>
    <w:rsid w:val="000563C2"/>
    <w:rsid w:val="000565B3"/>
    <w:rsid w:val="00056E1B"/>
    <w:rsid w:val="00057106"/>
    <w:rsid w:val="0005739F"/>
    <w:rsid w:val="000573EE"/>
    <w:rsid w:val="000573EF"/>
    <w:rsid w:val="00057842"/>
    <w:rsid w:val="00057935"/>
    <w:rsid w:val="000601F2"/>
    <w:rsid w:val="0006032A"/>
    <w:rsid w:val="000604E6"/>
    <w:rsid w:val="00060B8A"/>
    <w:rsid w:val="00060CDA"/>
    <w:rsid w:val="00060D89"/>
    <w:rsid w:val="00061726"/>
    <w:rsid w:val="00061B0C"/>
    <w:rsid w:val="000624B0"/>
    <w:rsid w:val="000625F9"/>
    <w:rsid w:val="00063E44"/>
    <w:rsid w:val="00064134"/>
    <w:rsid w:val="000642B0"/>
    <w:rsid w:val="000644B5"/>
    <w:rsid w:val="00064A81"/>
    <w:rsid w:val="00064D2E"/>
    <w:rsid w:val="00064D86"/>
    <w:rsid w:val="00064D9C"/>
    <w:rsid w:val="0006517D"/>
    <w:rsid w:val="0006594B"/>
    <w:rsid w:val="00065B28"/>
    <w:rsid w:val="00065DB0"/>
    <w:rsid w:val="00065E69"/>
    <w:rsid w:val="00065FFA"/>
    <w:rsid w:val="000660C8"/>
    <w:rsid w:val="0006673F"/>
    <w:rsid w:val="0006711F"/>
    <w:rsid w:val="0006718D"/>
    <w:rsid w:val="000677B8"/>
    <w:rsid w:val="00067899"/>
    <w:rsid w:val="00067937"/>
    <w:rsid w:val="00070368"/>
    <w:rsid w:val="000705A6"/>
    <w:rsid w:val="00070739"/>
    <w:rsid w:val="0007085A"/>
    <w:rsid w:val="00070860"/>
    <w:rsid w:val="000709A5"/>
    <w:rsid w:val="000709FC"/>
    <w:rsid w:val="00070A90"/>
    <w:rsid w:val="00070C2A"/>
    <w:rsid w:val="00070F0E"/>
    <w:rsid w:val="00071298"/>
    <w:rsid w:val="000712CA"/>
    <w:rsid w:val="0007150B"/>
    <w:rsid w:val="0007151C"/>
    <w:rsid w:val="00071A3C"/>
    <w:rsid w:val="00071D01"/>
    <w:rsid w:val="00071DA4"/>
    <w:rsid w:val="000723B0"/>
    <w:rsid w:val="000727AB"/>
    <w:rsid w:val="00072B41"/>
    <w:rsid w:val="00072DF8"/>
    <w:rsid w:val="00072E92"/>
    <w:rsid w:val="00072F62"/>
    <w:rsid w:val="0007351F"/>
    <w:rsid w:val="00073B22"/>
    <w:rsid w:val="00073B42"/>
    <w:rsid w:val="00073C46"/>
    <w:rsid w:val="00073DF5"/>
    <w:rsid w:val="000746B8"/>
    <w:rsid w:val="0007527D"/>
    <w:rsid w:val="000752ED"/>
    <w:rsid w:val="000758C0"/>
    <w:rsid w:val="000758C9"/>
    <w:rsid w:val="00075A94"/>
    <w:rsid w:val="00075AD2"/>
    <w:rsid w:val="00075B20"/>
    <w:rsid w:val="00075B3A"/>
    <w:rsid w:val="0007605D"/>
    <w:rsid w:val="000766EE"/>
    <w:rsid w:val="000768C6"/>
    <w:rsid w:val="00076B1C"/>
    <w:rsid w:val="0007757C"/>
    <w:rsid w:val="00077AE9"/>
    <w:rsid w:val="00080C92"/>
    <w:rsid w:val="000810A8"/>
    <w:rsid w:val="00081255"/>
    <w:rsid w:val="000820E3"/>
    <w:rsid w:val="000828C4"/>
    <w:rsid w:val="000828F2"/>
    <w:rsid w:val="00082917"/>
    <w:rsid w:val="0008293F"/>
    <w:rsid w:val="0008295D"/>
    <w:rsid w:val="0008296C"/>
    <w:rsid w:val="00082EA4"/>
    <w:rsid w:val="00083447"/>
    <w:rsid w:val="00083566"/>
    <w:rsid w:val="00083608"/>
    <w:rsid w:val="0008416B"/>
    <w:rsid w:val="00084186"/>
    <w:rsid w:val="000843A0"/>
    <w:rsid w:val="00084F6E"/>
    <w:rsid w:val="000857A4"/>
    <w:rsid w:val="00085C35"/>
    <w:rsid w:val="00085CCA"/>
    <w:rsid w:val="0008674E"/>
    <w:rsid w:val="00086869"/>
    <w:rsid w:val="00087288"/>
    <w:rsid w:val="00087302"/>
    <w:rsid w:val="00090435"/>
    <w:rsid w:val="0009080F"/>
    <w:rsid w:val="00090845"/>
    <w:rsid w:val="00090872"/>
    <w:rsid w:val="00090B10"/>
    <w:rsid w:val="00090D2B"/>
    <w:rsid w:val="000913FD"/>
    <w:rsid w:val="00091748"/>
    <w:rsid w:val="00091804"/>
    <w:rsid w:val="000918CC"/>
    <w:rsid w:val="00092583"/>
    <w:rsid w:val="000928FA"/>
    <w:rsid w:val="00092C17"/>
    <w:rsid w:val="00092D23"/>
    <w:rsid w:val="00092F1A"/>
    <w:rsid w:val="000934C1"/>
    <w:rsid w:val="000934EE"/>
    <w:rsid w:val="00093522"/>
    <w:rsid w:val="000936BA"/>
    <w:rsid w:val="000938F5"/>
    <w:rsid w:val="00093F74"/>
    <w:rsid w:val="00093FA9"/>
    <w:rsid w:val="000948F8"/>
    <w:rsid w:val="00094C49"/>
    <w:rsid w:val="00094DE3"/>
    <w:rsid w:val="0009509B"/>
    <w:rsid w:val="000952E6"/>
    <w:rsid w:val="00095663"/>
    <w:rsid w:val="0009569B"/>
    <w:rsid w:val="00095794"/>
    <w:rsid w:val="000957B8"/>
    <w:rsid w:val="00096654"/>
    <w:rsid w:val="00096E55"/>
    <w:rsid w:val="00096EB8"/>
    <w:rsid w:val="00097322"/>
    <w:rsid w:val="0009735C"/>
    <w:rsid w:val="0009737E"/>
    <w:rsid w:val="00097626"/>
    <w:rsid w:val="0009783E"/>
    <w:rsid w:val="00097AFD"/>
    <w:rsid w:val="00097BAD"/>
    <w:rsid w:val="00097F91"/>
    <w:rsid w:val="000A06D1"/>
    <w:rsid w:val="000A07F8"/>
    <w:rsid w:val="000A0B1E"/>
    <w:rsid w:val="000A10EC"/>
    <w:rsid w:val="000A184D"/>
    <w:rsid w:val="000A188F"/>
    <w:rsid w:val="000A236C"/>
    <w:rsid w:val="000A27BA"/>
    <w:rsid w:val="000A2FFD"/>
    <w:rsid w:val="000A306D"/>
    <w:rsid w:val="000A31D9"/>
    <w:rsid w:val="000A3BB2"/>
    <w:rsid w:val="000A4131"/>
    <w:rsid w:val="000A461F"/>
    <w:rsid w:val="000A47A6"/>
    <w:rsid w:val="000A4904"/>
    <w:rsid w:val="000A4C3B"/>
    <w:rsid w:val="000A4F40"/>
    <w:rsid w:val="000A5140"/>
    <w:rsid w:val="000A5795"/>
    <w:rsid w:val="000A5AA0"/>
    <w:rsid w:val="000A5C25"/>
    <w:rsid w:val="000A5DAB"/>
    <w:rsid w:val="000A6158"/>
    <w:rsid w:val="000A6171"/>
    <w:rsid w:val="000A6A5E"/>
    <w:rsid w:val="000A71F8"/>
    <w:rsid w:val="000A7711"/>
    <w:rsid w:val="000B0B3E"/>
    <w:rsid w:val="000B0C54"/>
    <w:rsid w:val="000B0C5F"/>
    <w:rsid w:val="000B1017"/>
    <w:rsid w:val="000B1022"/>
    <w:rsid w:val="000B10BB"/>
    <w:rsid w:val="000B1909"/>
    <w:rsid w:val="000B1970"/>
    <w:rsid w:val="000B1997"/>
    <w:rsid w:val="000B19C9"/>
    <w:rsid w:val="000B20E0"/>
    <w:rsid w:val="000B21A3"/>
    <w:rsid w:val="000B2741"/>
    <w:rsid w:val="000B28FE"/>
    <w:rsid w:val="000B2F12"/>
    <w:rsid w:val="000B3070"/>
    <w:rsid w:val="000B3266"/>
    <w:rsid w:val="000B369F"/>
    <w:rsid w:val="000B3C44"/>
    <w:rsid w:val="000B4D12"/>
    <w:rsid w:val="000B50B3"/>
    <w:rsid w:val="000B5478"/>
    <w:rsid w:val="000B575B"/>
    <w:rsid w:val="000B5922"/>
    <w:rsid w:val="000B59A7"/>
    <w:rsid w:val="000B601B"/>
    <w:rsid w:val="000B62BE"/>
    <w:rsid w:val="000B63F0"/>
    <w:rsid w:val="000B66AE"/>
    <w:rsid w:val="000B67E8"/>
    <w:rsid w:val="000B69AA"/>
    <w:rsid w:val="000B6C9B"/>
    <w:rsid w:val="000B6D5F"/>
    <w:rsid w:val="000B7129"/>
    <w:rsid w:val="000B78FB"/>
    <w:rsid w:val="000C0232"/>
    <w:rsid w:val="000C0646"/>
    <w:rsid w:val="000C066C"/>
    <w:rsid w:val="000C14C0"/>
    <w:rsid w:val="000C19B0"/>
    <w:rsid w:val="000C1F54"/>
    <w:rsid w:val="000C207E"/>
    <w:rsid w:val="000C2ADF"/>
    <w:rsid w:val="000C2E00"/>
    <w:rsid w:val="000C2E84"/>
    <w:rsid w:val="000C2ED4"/>
    <w:rsid w:val="000C3477"/>
    <w:rsid w:val="000C3E68"/>
    <w:rsid w:val="000C44B0"/>
    <w:rsid w:val="000C4637"/>
    <w:rsid w:val="000C4796"/>
    <w:rsid w:val="000C5199"/>
    <w:rsid w:val="000C53E7"/>
    <w:rsid w:val="000C53FC"/>
    <w:rsid w:val="000C5C04"/>
    <w:rsid w:val="000C5F4D"/>
    <w:rsid w:val="000C62F4"/>
    <w:rsid w:val="000C6499"/>
    <w:rsid w:val="000C65C5"/>
    <w:rsid w:val="000C719E"/>
    <w:rsid w:val="000C71EC"/>
    <w:rsid w:val="000C71ED"/>
    <w:rsid w:val="000C7625"/>
    <w:rsid w:val="000D039C"/>
    <w:rsid w:val="000D0688"/>
    <w:rsid w:val="000D0B02"/>
    <w:rsid w:val="000D0E89"/>
    <w:rsid w:val="000D0EB5"/>
    <w:rsid w:val="000D0FCE"/>
    <w:rsid w:val="000D1233"/>
    <w:rsid w:val="000D1235"/>
    <w:rsid w:val="000D17C6"/>
    <w:rsid w:val="000D1B4D"/>
    <w:rsid w:val="000D303D"/>
    <w:rsid w:val="000D307B"/>
    <w:rsid w:val="000D33BF"/>
    <w:rsid w:val="000D340B"/>
    <w:rsid w:val="000D3523"/>
    <w:rsid w:val="000D36A7"/>
    <w:rsid w:val="000D3F5D"/>
    <w:rsid w:val="000D41E9"/>
    <w:rsid w:val="000D49E0"/>
    <w:rsid w:val="000D50C9"/>
    <w:rsid w:val="000D5499"/>
    <w:rsid w:val="000D56B1"/>
    <w:rsid w:val="000D57D7"/>
    <w:rsid w:val="000D59ED"/>
    <w:rsid w:val="000D5A62"/>
    <w:rsid w:val="000D5C1C"/>
    <w:rsid w:val="000D5D01"/>
    <w:rsid w:val="000D6072"/>
    <w:rsid w:val="000D6133"/>
    <w:rsid w:val="000D6812"/>
    <w:rsid w:val="000D686B"/>
    <w:rsid w:val="000D6B09"/>
    <w:rsid w:val="000D6BDE"/>
    <w:rsid w:val="000D6C29"/>
    <w:rsid w:val="000D7015"/>
    <w:rsid w:val="000D7512"/>
    <w:rsid w:val="000D7657"/>
    <w:rsid w:val="000D78D8"/>
    <w:rsid w:val="000D7984"/>
    <w:rsid w:val="000E048F"/>
    <w:rsid w:val="000E0615"/>
    <w:rsid w:val="000E0637"/>
    <w:rsid w:val="000E0B79"/>
    <w:rsid w:val="000E0ED7"/>
    <w:rsid w:val="000E0F59"/>
    <w:rsid w:val="000E1101"/>
    <w:rsid w:val="000E1E25"/>
    <w:rsid w:val="000E201D"/>
    <w:rsid w:val="000E2192"/>
    <w:rsid w:val="000E26D8"/>
    <w:rsid w:val="000E294B"/>
    <w:rsid w:val="000E2ADE"/>
    <w:rsid w:val="000E33EF"/>
    <w:rsid w:val="000E343F"/>
    <w:rsid w:val="000E3809"/>
    <w:rsid w:val="000E3FD9"/>
    <w:rsid w:val="000E4017"/>
    <w:rsid w:val="000E4860"/>
    <w:rsid w:val="000E4FF4"/>
    <w:rsid w:val="000E5597"/>
    <w:rsid w:val="000E5CCA"/>
    <w:rsid w:val="000E5CE0"/>
    <w:rsid w:val="000E698F"/>
    <w:rsid w:val="000E6C4C"/>
    <w:rsid w:val="000E6D8C"/>
    <w:rsid w:val="000E6F12"/>
    <w:rsid w:val="000E788D"/>
    <w:rsid w:val="000E7B0B"/>
    <w:rsid w:val="000E7D49"/>
    <w:rsid w:val="000E7D79"/>
    <w:rsid w:val="000E7FB3"/>
    <w:rsid w:val="000F0012"/>
    <w:rsid w:val="000F0035"/>
    <w:rsid w:val="000F04E7"/>
    <w:rsid w:val="000F060A"/>
    <w:rsid w:val="000F0890"/>
    <w:rsid w:val="000F09A7"/>
    <w:rsid w:val="000F0DAC"/>
    <w:rsid w:val="000F0F74"/>
    <w:rsid w:val="000F1045"/>
    <w:rsid w:val="000F1165"/>
    <w:rsid w:val="000F12E7"/>
    <w:rsid w:val="000F1444"/>
    <w:rsid w:val="000F1A12"/>
    <w:rsid w:val="000F1B04"/>
    <w:rsid w:val="000F2107"/>
    <w:rsid w:val="000F28DA"/>
    <w:rsid w:val="000F2BEF"/>
    <w:rsid w:val="000F3690"/>
    <w:rsid w:val="000F373D"/>
    <w:rsid w:val="000F381C"/>
    <w:rsid w:val="000F39D8"/>
    <w:rsid w:val="000F3A5E"/>
    <w:rsid w:val="000F3B35"/>
    <w:rsid w:val="000F3DDB"/>
    <w:rsid w:val="000F420B"/>
    <w:rsid w:val="000F43F4"/>
    <w:rsid w:val="000F43FF"/>
    <w:rsid w:val="000F47BA"/>
    <w:rsid w:val="000F480D"/>
    <w:rsid w:val="000F4819"/>
    <w:rsid w:val="000F5044"/>
    <w:rsid w:val="000F539C"/>
    <w:rsid w:val="000F56E7"/>
    <w:rsid w:val="000F60B5"/>
    <w:rsid w:val="000F6123"/>
    <w:rsid w:val="000F65C0"/>
    <w:rsid w:val="000F65E5"/>
    <w:rsid w:val="000F6B8B"/>
    <w:rsid w:val="000F75BE"/>
    <w:rsid w:val="000F784A"/>
    <w:rsid w:val="000F7BA7"/>
    <w:rsid w:val="001002C7"/>
    <w:rsid w:val="001002CB"/>
    <w:rsid w:val="0010036C"/>
    <w:rsid w:val="0010052C"/>
    <w:rsid w:val="00100693"/>
    <w:rsid w:val="001007D3"/>
    <w:rsid w:val="00100874"/>
    <w:rsid w:val="00100AAA"/>
    <w:rsid w:val="00100E34"/>
    <w:rsid w:val="00100E35"/>
    <w:rsid w:val="0010103A"/>
    <w:rsid w:val="001011BF"/>
    <w:rsid w:val="00101251"/>
    <w:rsid w:val="00101692"/>
    <w:rsid w:val="001019F6"/>
    <w:rsid w:val="00101F04"/>
    <w:rsid w:val="00102758"/>
    <w:rsid w:val="001029DF"/>
    <w:rsid w:val="00102EC8"/>
    <w:rsid w:val="00102FED"/>
    <w:rsid w:val="001033FB"/>
    <w:rsid w:val="001035D3"/>
    <w:rsid w:val="001037D9"/>
    <w:rsid w:val="00103837"/>
    <w:rsid w:val="001039E4"/>
    <w:rsid w:val="00103A27"/>
    <w:rsid w:val="00103CA0"/>
    <w:rsid w:val="00104125"/>
    <w:rsid w:val="00104482"/>
    <w:rsid w:val="0010466E"/>
    <w:rsid w:val="00104957"/>
    <w:rsid w:val="00104C21"/>
    <w:rsid w:val="00104D6E"/>
    <w:rsid w:val="001050BC"/>
    <w:rsid w:val="0010577F"/>
    <w:rsid w:val="001068F1"/>
    <w:rsid w:val="00106901"/>
    <w:rsid w:val="00106D2B"/>
    <w:rsid w:val="001072E8"/>
    <w:rsid w:val="001075C6"/>
    <w:rsid w:val="00107612"/>
    <w:rsid w:val="001078EC"/>
    <w:rsid w:val="00107DEF"/>
    <w:rsid w:val="00110116"/>
    <w:rsid w:val="00110363"/>
    <w:rsid w:val="00110508"/>
    <w:rsid w:val="0011053B"/>
    <w:rsid w:val="00110CD1"/>
    <w:rsid w:val="00111056"/>
    <w:rsid w:val="0011118D"/>
    <w:rsid w:val="00111B75"/>
    <w:rsid w:val="00112076"/>
    <w:rsid w:val="0011215E"/>
    <w:rsid w:val="00112850"/>
    <w:rsid w:val="00112B10"/>
    <w:rsid w:val="00112E49"/>
    <w:rsid w:val="00113170"/>
    <w:rsid w:val="0011331A"/>
    <w:rsid w:val="001136B6"/>
    <w:rsid w:val="0011372F"/>
    <w:rsid w:val="0011385F"/>
    <w:rsid w:val="00113C79"/>
    <w:rsid w:val="00113ED8"/>
    <w:rsid w:val="001145AD"/>
    <w:rsid w:val="00114B27"/>
    <w:rsid w:val="00114BE7"/>
    <w:rsid w:val="001152AF"/>
    <w:rsid w:val="00115B1C"/>
    <w:rsid w:val="00115E56"/>
    <w:rsid w:val="00116A09"/>
    <w:rsid w:val="00116CDD"/>
    <w:rsid w:val="00117833"/>
    <w:rsid w:val="00117846"/>
    <w:rsid w:val="001178FE"/>
    <w:rsid w:val="00117A8B"/>
    <w:rsid w:val="00120072"/>
    <w:rsid w:val="001202D1"/>
    <w:rsid w:val="00120719"/>
    <w:rsid w:val="00120870"/>
    <w:rsid w:val="00120BAE"/>
    <w:rsid w:val="00120EBB"/>
    <w:rsid w:val="00120FA8"/>
    <w:rsid w:val="0012123C"/>
    <w:rsid w:val="0012172B"/>
    <w:rsid w:val="001219B0"/>
    <w:rsid w:val="00121CB0"/>
    <w:rsid w:val="00121DFA"/>
    <w:rsid w:val="00121EA0"/>
    <w:rsid w:val="00121F84"/>
    <w:rsid w:val="00121FFA"/>
    <w:rsid w:val="001222D1"/>
    <w:rsid w:val="001227D7"/>
    <w:rsid w:val="00122BE7"/>
    <w:rsid w:val="00122FA3"/>
    <w:rsid w:val="00123887"/>
    <w:rsid w:val="00123B2D"/>
    <w:rsid w:val="00124127"/>
    <w:rsid w:val="00124405"/>
    <w:rsid w:val="00124513"/>
    <w:rsid w:val="0012474C"/>
    <w:rsid w:val="00124854"/>
    <w:rsid w:val="00124A1F"/>
    <w:rsid w:val="00124A5B"/>
    <w:rsid w:val="00124BAF"/>
    <w:rsid w:val="00124DCD"/>
    <w:rsid w:val="001250AC"/>
    <w:rsid w:val="001250E4"/>
    <w:rsid w:val="0012529E"/>
    <w:rsid w:val="00125389"/>
    <w:rsid w:val="00125C0D"/>
    <w:rsid w:val="00125C69"/>
    <w:rsid w:val="00126883"/>
    <w:rsid w:val="00126EB8"/>
    <w:rsid w:val="001273FD"/>
    <w:rsid w:val="001274D4"/>
    <w:rsid w:val="00127C05"/>
    <w:rsid w:val="00127C67"/>
    <w:rsid w:val="00127F46"/>
    <w:rsid w:val="0013062D"/>
    <w:rsid w:val="00130842"/>
    <w:rsid w:val="00131087"/>
    <w:rsid w:val="001310EB"/>
    <w:rsid w:val="00131310"/>
    <w:rsid w:val="0013164C"/>
    <w:rsid w:val="00131779"/>
    <w:rsid w:val="0013216B"/>
    <w:rsid w:val="001323F0"/>
    <w:rsid w:val="001323FF"/>
    <w:rsid w:val="0013247A"/>
    <w:rsid w:val="001329E8"/>
    <w:rsid w:val="00132C17"/>
    <w:rsid w:val="0013308F"/>
    <w:rsid w:val="001332D1"/>
    <w:rsid w:val="00133447"/>
    <w:rsid w:val="001339FF"/>
    <w:rsid w:val="00133AB1"/>
    <w:rsid w:val="00133C57"/>
    <w:rsid w:val="00133FF7"/>
    <w:rsid w:val="001343F8"/>
    <w:rsid w:val="001344CB"/>
    <w:rsid w:val="00134630"/>
    <w:rsid w:val="0013483A"/>
    <w:rsid w:val="00134B02"/>
    <w:rsid w:val="00135493"/>
    <w:rsid w:val="0013599C"/>
    <w:rsid w:val="001359DC"/>
    <w:rsid w:val="00135A07"/>
    <w:rsid w:val="00135B45"/>
    <w:rsid w:val="00135F90"/>
    <w:rsid w:val="001361A1"/>
    <w:rsid w:val="001361B5"/>
    <w:rsid w:val="0013632E"/>
    <w:rsid w:val="001363AA"/>
    <w:rsid w:val="0013739A"/>
    <w:rsid w:val="0013772B"/>
    <w:rsid w:val="00137A17"/>
    <w:rsid w:val="00137A3B"/>
    <w:rsid w:val="00137EB2"/>
    <w:rsid w:val="001404B9"/>
    <w:rsid w:val="00140547"/>
    <w:rsid w:val="00140763"/>
    <w:rsid w:val="00140B55"/>
    <w:rsid w:val="00140B89"/>
    <w:rsid w:val="0014100D"/>
    <w:rsid w:val="00141597"/>
    <w:rsid w:val="0014180E"/>
    <w:rsid w:val="0014188E"/>
    <w:rsid w:val="00141E35"/>
    <w:rsid w:val="0014200B"/>
    <w:rsid w:val="00142165"/>
    <w:rsid w:val="00142176"/>
    <w:rsid w:val="0014231F"/>
    <w:rsid w:val="001423CC"/>
    <w:rsid w:val="00142D8A"/>
    <w:rsid w:val="00142E43"/>
    <w:rsid w:val="00142F07"/>
    <w:rsid w:val="00143153"/>
    <w:rsid w:val="001439F0"/>
    <w:rsid w:val="00143B0C"/>
    <w:rsid w:val="00143DCC"/>
    <w:rsid w:val="00144134"/>
    <w:rsid w:val="00144226"/>
    <w:rsid w:val="0014440D"/>
    <w:rsid w:val="00144428"/>
    <w:rsid w:val="001451F9"/>
    <w:rsid w:val="00145935"/>
    <w:rsid w:val="001459D5"/>
    <w:rsid w:val="00145CF3"/>
    <w:rsid w:val="0014764B"/>
    <w:rsid w:val="001477C5"/>
    <w:rsid w:val="00147919"/>
    <w:rsid w:val="00150392"/>
    <w:rsid w:val="001507A5"/>
    <w:rsid w:val="00150D13"/>
    <w:rsid w:val="001510E1"/>
    <w:rsid w:val="00151770"/>
    <w:rsid w:val="00151902"/>
    <w:rsid w:val="00151D25"/>
    <w:rsid w:val="0015264A"/>
    <w:rsid w:val="0015280D"/>
    <w:rsid w:val="001528DB"/>
    <w:rsid w:val="0015318B"/>
    <w:rsid w:val="00153682"/>
    <w:rsid w:val="001539F6"/>
    <w:rsid w:val="00154121"/>
    <w:rsid w:val="0015443A"/>
    <w:rsid w:val="0015495F"/>
    <w:rsid w:val="00154C1D"/>
    <w:rsid w:val="00154CF5"/>
    <w:rsid w:val="001553C6"/>
    <w:rsid w:val="00155495"/>
    <w:rsid w:val="0015550C"/>
    <w:rsid w:val="00155555"/>
    <w:rsid w:val="00155C30"/>
    <w:rsid w:val="001564EF"/>
    <w:rsid w:val="001567A9"/>
    <w:rsid w:val="001569C3"/>
    <w:rsid w:val="00156A82"/>
    <w:rsid w:val="00156AD2"/>
    <w:rsid w:val="00156BBB"/>
    <w:rsid w:val="00156F90"/>
    <w:rsid w:val="00156FE9"/>
    <w:rsid w:val="00157024"/>
    <w:rsid w:val="00157322"/>
    <w:rsid w:val="001574AC"/>
    <w:rsid w:val="001575E1"/>
    <w:rsid w:val="001575F6"/>
    <w:rsid w:val="001577D0"/>
    <w:rsid w:val="001578FE"/>
    <w:rsid w:val="00157937"/>
    <w:rsid w:val="00157B85"/>
    <w:rsid w:val="00160417"/>
    <w:rsid w:val="00160C12"/>
    <w:rsid w:val="00160EFA"/>
    <w:rsid w:val="00160FB2"/>
    <w:rsid w:val="001612A2"/>
    <w:rsid w:val="00161716"/>
    <w:rsid w:val="00161A57"/>
    <w:rsid w:val="00161C1A"/>
    <w:rsid w:val="00161EB5"/>
    <w:rsid w:val="00161F3F"/>
    <w:rsid w:val="00162434"/>
    <w:rsid w:val="00162AAB"/>
    <w:rsid w:val="00162DB8"/>
    <w:rsid w:val="0016339B"/>
    <w:rsid w:val="001637F2"/>
    <w:rsid w:val="001638F4"/>
    <w:rsid w:val="00163EC9"/>
    <w:rsid w:val="00164694"/>
    <w:rsid w:val="001649BF"/>
    <w:rsid w:val="001649D9"/>
    <w:rsid w:val="00164B09"/>
    <w:rsid w:val="00164D7A"/>
    <w:rsid w:val="001651D4"/>
    <w:rsid w:val="00165DE9"/>
    <w:rsid w:val="00166289"/>
    <w:rsid w:val="00166B1E"/>
    <w:rsid w:val="00166E01"/>
    <w:rsid w:val="001672DF"/>
    <w:rsid w:val="001675D4"/>
    <w:rsid w:val="00167EDF"/>
    <w:rsid w:val="00167F8B"/>
    <w:rsid w:val="00170156"/>
    <w:rsid w:val="00170357"/>
    <w:rsid w:val="0017041C"/>
    <w:rsid w:val="0017081C"/>
    <w:rsid w:val="00170DE4"/>
    <w:rsid w:val="00171079"/>
    <w:rsid w:val="001710F4"/>
    <w:rsid w:val="001712AB"/>
    <w:rsid w:val="0017152B"/>
    <w:rsid w:val="00171BC2"/>
    <w:rsid w:val="00171EE9"/>
    <w:rsid w:val="00172347"/>
    <w:rsid w:val="0017267F"/>
    <w:rsid w:val="00172769"/>
    <w:rsid w:val="00172A00"/>
    <w:rsid w:val="00172ADC"/>
    <w:rsid w:val="00172FE5"/>
    <w:rsid w:val="0017364E"/>
    <w:rsid w:val="001739CA"/>
    <w:rsid w:val="00173AD1"/>
    <w:rsid w:val="00173BB4"/>
    <w:rsid w:val="00173D70"/>
    <w:rsid w:val="0017439B"/>
    <w:rsid w:val="00174533"/>
    <w:rsid w:val="00174558"/>
    <w:rsid w:val="00174BCD"/>
    <w:rsid w:val="00174C48"/>
    <w:rsid w:val="001754BF"/>
    <w:rsid w:val="00175AB3"/>
    <w:rsid w:val="001760AA"/>
    <w:rsid w:val="001762CA"/>
    <w:rsid w:val="001765A1"/>
    <w:rsid w:val="00176BF4"/>
    <w:rsid w:val="00176E9D"/>
    <w:rsid w:val="00177002"/>
    <w:rsid w:val="001772EC"/>
    <w:rsid w:val="0017732B"/>
    <w:rsid w:val="00177864"/>
    <w:rsid w:val="001778C4"/>
    <w:rsid w:val="00177BA3"/>
    <w:rsid w:val="00177C63"/>
    <w:rsid w:val="00177F0C"/>
    <w:rsid w:val="001800DB"/>
    <w:rsid w:val="00180102"/>
    <w:rsid w:val="0018027E"/>
    <w:rsid w:val="00180C0A"/>
    <w:rsid w:val="00180D0C"/>
    <w:rsid w:val="00180DE6"/>
    <w:rsid w:val="00180E8C"/>
    <w:rsid w:val="001812AA"/>
    <w:rsid w:val="00181ADE"/>
    <w:rsid w:val="00181B5D"/>
    <w:rsid w:val="00181B62"/>
    <w:rsid w:val="0018237C"/>
    <w:rsid w:val="001824B4"/>
    <w:rsid w:val="001826AD"/>
    <w:rsid w:val="00183782"/>
    <w:rsid w:val="001837BB"/>
    <w:rsid w:val="00183B7A"/>
    <w:rsid w:val="00183E41"/>
    <w:rsid w:val="00183E82"/>
    <w:rsid w:val="00184B6D"/>
    <w:rsid w:val="00184ED1"/>
    <w:rsid w:val="001857D1"/>
    <w:rsid w:val="00185882"/>
    <w:rsid w:val="00185885"/>
    <w:rsid w:val="00185DC8"/>
    <w:rsid w:val="00185DDD"/>
    <w:rsid w:val="00185EB6"/>
    <w:rsid w:val="00186302"/>
    <w:rsid w:val="00186CB2"/>
    <w:rsid w:val="00186E4B"/>
    <w:rsid w:val="0018718A"/>
    <w:rsid w:val="0018719F"/>
    <w:rsid w:val="00187613"/>
    <w:rsid w:val="001878BB"/>
    <w:rsid w:val="001879F0"/>
    <w:rsid w:val="00190338"/>
    <w:rsid w:val="0019059E"/>
    <w:rsid w:val="001906EE"/>
    <w:rsid w:val="00190C46"/>
    <w:rsid w:val="00190D80"/>
    <w:rsid w:val="00191AE0"/>
    <w:rsid w:val="00191BA1"/>
    <w:rsid w:val="00191C9A"/>
    <w:rsid w:val="001923D1"/>
    <w:rsid w:val="0019263D"/>
    <w:rsid w:val="0019293B"/>
    <w:rsid w:val="00192CB7"/>
    <w:rsid w:val="00192DEC"/>
    <w:rsid w:val="0019340C"/>
    <w:rsid w:val="00193EF2"/>
    <w:rsid w:val="00194057"/>
    <w:rsid w:val="00194175"/>
    <w:rsid w:val="0019426B"/>
    <w:rsid w:val="001942FE"/>
    <w:rsid w:val="001944A8"/>
    <w:rsid w:val="0019454C"/>
    <w:rsid w:val="00194CD0"/>
    <w:rsid w:val="00194CF1"/>
    <w:rsid w:val="0019522A"/>
    <w:rsid w:val="00195687"/>
    <w:rsid w:val="001956AA"/>
    <w:rsid w:val="00195A39"/>
    <w:rsid w:val="00195A58"/>
    <w:rsid w:val="00195AB9"/>
    <w:rsid w:val="00195F68"/>
    <w:rsid w:val="001961C2"/>
    <w:rsid w:val="00196213"/>
    <w:rsid w:val="00196587"/>
    <w:rsid w:val="0019684F"/>
    <w:rsid w:val="001968A4"/>
    <w:rsid w:val="00196C41"/>
    <w:rsid w:val="00197154"/>
    <w:rsid w:val="001979CA"/>
    <w:rsid w:val="001979DC"/>
    <w:rsid w:val="00197C8C"/>
    <w:rsid w:val="00197D8E"/>
    <w:rsid w:val="00197DB4"/>
    <w:rsid w:val="001A0132"/>
    <w:rsid w:val="001A04D7"/>
    <w:rsid w:val="001A070F"/>
    <w:rsid w:val="001A0E61"/>
    <w:rsid w:val="001A10A1"/>
    <w:rsid w:val="001A110D"/>
    <w:rsid w:val="001A12C4"/>
    <w:rsid w:val="001A12D1"/>
    <w:rsid w:val="001A12E5"/>
    <w:rsid w:val="001A1477"/>
    <w:rsid w:val="001A1A6E"/>
    <w:rsid w:val="001A1E1E"/>
    <w:rsid w:val="001A2146"/>
    <w:rsid w:val="001A2B0D"/>
    <w:rsid w:val="001A2E1B"/>
    <w:rsid w:val="001A3ACE"/>
    <w:rsid w:val="001A4010"/>
    <w:rsid w:val="001A4BC8"/>
    <w:rsid w:val="001A50C0"/>
    <w:rsid w:val="001A5147"/>
    <w:rsid w:val="001A5D36"/>
    <w:rsid w:val="001A5DB5"/>
    <w:rsid w:val="001A5E00"/>
    <w:rsid w:val="001A5FA8"/>
    <w:rsid w:val="001A63DD"/>
    <w:rsid w:val="001A64AB"/>
    <w:rsid w:val="001A668E"/>
    <w:rsid w:val="001A6A4B"/>
    <w:rsid w:val="001A70A7"/>
    <w:rsid w:val="001A74BA"/>
    <w:rsid w:val="001A77C2"/>
    <w:rsid w:val="001A78DF"/>
    <w:rsid w:val="001A7ACB"/>
    <w:rsid w:val="001B09E5"/>
    <w:rsid w:val="001B0B87"/>
    <w:rsid w:val="001B0BA3"/>
    <w:rsid w:val="001B1110"/>
    <w:rsid w:val="001B1AA3"/>
    <w:rsid w:val="001B1CDF"/>
    <w:rsid w:val="001B1E1B"/>
    <w:rsid w:val="001B1E7A"/>
    <w:rsid w:val="001B2044"/>
    <w:rsid w:val="001B23BC"/>
    <w:rsid w:val="001B259F"/>
    <w:rsid w:val="001B2659"/>
    <w:rsid w:val="001B2674"/>
    <w:rsid w:val="001B2844"/>
    <w:rsid w:val="001B2878"/>
    <w:rsid w:val="001B2898"/>
    <w:rsid w:val="001B2A2E"/>
    <w:rsid w:val="001B2D33"/>
    <w:rsid w:val="001B2D49"/>
    <w:rsid w:val="001B2E73"/>
    <w:rsid w:val="001B316D"/>
    <w:rsid w:val="001B36F9"/>
    <w:rsid w:val="001B375C"/>
    <w:rsid w:val="001B37C9"/>
    <w:rsid w:val="001B396A"/>
    <w:rsid w:val="001B43B1"/>
    <w:rsid w:val="001B4B0D"/>
    <w:rsid w:val="001B4B5E"/>
    <w:rsid w:val="001B4F2B"/>
    <w:rsid w:val="001B5319"/>
    <w:rsid w:val="001B58FB"/>
    <w:rsid w:val="001B5B82"/>
    <w:rsid w:val="001B5B89"/>
    <w:rsid w:val="001B5DAA"/>
    <w:rsid w:val="001B5DAC"/>
    <w:rsid w:val="001B5E5E"/>
    <w:rsid w:val="001B6046"/>
    <w:rsid w:val="001B6125"/>
    <w:rsid w:val="001B6303"/>
    <w:rsid w:val="001B661E"/>
    <w:rsid w:val="001B6A83"/>
    <w:rsid w:val="001B6F38"/>
    <w:rsid w:val="001B6F59"/>
    <w:rsid w:val="001B71ED"/>
    <w:rsid w:val="001B74CF"/>
    <w:rsid w:val="001B78DA"/>
    <w:rsid w:val="001B7AC3"/>
    <w:rsid w:val="001B7F53"/>
    <w:rsid w:val="001B7FA0"/>
    <w:rsid w:val="001C00A6"/>
    <w:rsid w:val="001C00D3"/>
    <w:rsid w:val="001C00DF"/>
    <w:rsid w:val="001C0535"/>
    <w:rsid w:val="001C06D7"/>
    <w:rsid w:val="001C0865"/>
    <w:rsid w:val="001C0AED"/>
    <w:rsid w:val="001C104D"/>
    <w:rsid w:val="001C16D8"/>
    <w:rsid w:val="001C1CD1"/>
    <w:rsid w:val="001C1EA0"/>
    <w:rsid w:val="001C283E"/>
    <w:rsid w:val="001C2A7E"/>
    <w:rsid w:val="001C2D48"/>
    <w:rsid w:val="001C2FFB"/>
    <w:rsid w:val="001C3019"/>
    <w:rsid w:val="001C32FA"/>
    <w:rsid w:val="001C33C9"/>
    <w:rsid w:val="001C3410"/>
    <w:rsid w:val="001C36C7"/>
    <w:rsid w:val="001C3ABA"/>
    <w:rsid w:val="001C3EF9"/>
    <w:rsid w:val="001C42DF"/>
    <w:rsid w:val="001C4AB1"/>
    <w:rsid w:val="001C4C5C"/>
    <w:rsid w:val="001C4EC9"/>
    <w:rsid w:val="001C5111"/>
    <w:rsid w:val="001C5D5F"/>
    <w:rsid w:val="001C5F4F"/>
    <w:rsid w:val="001C5F6C"/>
    <w:rsid w:val="001C5FA4"/>
    <w:rsid w:val="001C6690"/>
    <w:rsid w:val="001C68B5"/>
    <w:rsid w:val="001C6C1E"/>
    <w:rsid w:val="001C7481"/>
    <w:rsid w:val="001C79EC"/>
    <w:rsid w:val="001C7C55"/>
    <w:rsid w:val="001D0639"/>
    <w:rsid w:val="001D0ABE"/>
    <w:rsid w:val="001D0B16"/>
    <w:rsid w:val="001D0E3F"/>
    <w:rsid w:val="001D0FF8"/>
    <w:rsid w:val="001D1032"/>
    <w:rsid w:val="001D1342"/>
    <w:rsid w:val="001D14EE"/>
    <w:rsid w:val="001D1BC2"/>
    <w:rsid w:val="001D2A36"/>
    <w:rsid w:val="001D31C9"/>
    <w:rsid w:val="001D4CB4"/>
    <w:rsid w:val="001D4D54"/>
    <w:rsid w:val="001D4FA3"/>
    <w:rsid w:val="001D52C4"/>
    <w:rsid w:val="001D56A9"/>
    <w:rsid w:val="001D6147"/>
    <w:rsid w:val="001D65EF"/>
    <w:rsid w:val="001D6854"/>
    <w:rsid w:val="001D68CF"/>
    <w:rsid w:val="001D6BFB"/>
    <w:rsid w:val="001D7034"/>
    <w:rsid w:val="001D710F"/>
    <w:rsid w:val="001D7171"/>
    <w:rsid w:val="001E0431"/>
    <w:rsid w:val="001E05B0"/>
    <w:rsid w:val="001E06A9"/>
    <w:rsid w:val="001E1614"/>
    <w:rsid w:val="001E1C8D"/>
    <w:rsid w:val="001E1D3D"/>
    <w:rsid w:val="001E23E1"/>
    <w:rsid w:val="001E2578"/>
    <w:rsid w:val="001E26EF"/>
    <w:rsid w:val="001E2B34"/>
    <w:rsid w:val="001E2D73"/>
    <w:rsid w:val="001E39F6"/>
    <w:rsid w:val="001E3C46"/>
    <w:rsid w:val="001E4476"/>
    <w:rsid w:val="001E45C8"/>
    <w:rsid w:val="001E4747"/>
    <w:rsid w:val="001E492E"/>
    <w:rsid w:val="001E49A6"/>
    <w:rsid w:val="001E49B9"/>
    <w:rsid w:val="001E5584"/>
    <w:rsid w:val="001E5EF1"/>
    <w:rsid w:val="001E6142"/>
    <w:rsid w:val="001E6269"/>
    <w:rsid w:val="001E681F"/>
    <w:rsid w:val="001E684B"/>
    <w:rsid w:val="001E689E"/>
    <w:rsid w:val="001E6FA8"/>
    <w:rsid w:val="001E6FF3"/>
    <w:rsid w:val="001E725E"/>
    <w:rsid w:val="001E754A"/>
    <w:rsid w:val="001E7BE8"/>
    <w:rsid w:val="001E7C73"/>
    <w:rsid w:val="001F0140"/>
    <w:rsid w:val="001F0248"/>
    <w:rsid w:val="001F05D1"/>
    <w:rsid w:val="001F0D9E"/>
    <w:rsid w:val="001F10FD"/>
    <w:rsid w:val="001F135F"/>
    <w:rsid w:val="001F1544"/>
    <w:rsid w:val="001F172A"/>
    <w:rsid w:val="001F17A0"/>
    <w:rsid w:val="001F1A7C"/>
    <w:rsid w:val="001F1DC8"/>
    <w:rsid w:val="001F20C8"/>
    <w:rsid w:val="001F26ED"/>
    <w:rsid w:val="001F2AF9"/>
    <w:rsid w:val="001F3081"/>
    <w:rsid w:val="001F3151"/>
    <w:rsid w:val="001F328A"/>
    <w:rsid w:val="001F337A"/>
    <w:rsid w:val="001F3934"/>
    <w:rsid w:val="001F39A1"/>
    <w:rsid w:val="001F3EA9"/>
    <w:rsid w:val="001F3EB3"/>
    <w:rsid w:val="001F4081"/>
    <w:rsid w:val="001F4940"/>
    <w:rsid w:val="001F4F86"/>
    <w:rsid w:val="001F4F9F"/>
    <w:rsid w:val="001F52A5"/>
    <w:rsid w:val="001F52DA"/>
    <w:rsid w:val="001F5387"/>
    <w:rsid w:val="001F598E"/>
    <w:rsid w:val="001F59FF"/>
    <w:rsid w:val="001F61DC"/>
    <w:rsid w:val="001F6328"/>
    <w:rsid w:val="001F64D0"/>
    <w:rsid w:val="001F6BEF"/>
    <w:rsid w:val="001F74C2"/>
    <w:rsid w:val="001F7B5A"/>
    <w:rsid w:val="001F7CDD"/>
    <w:rsid w:val="001F7E30"/>
    <w:rsid w:val="001F7FE2"/>
    <w:rsid w:val="002001F4"/>
    <w:rsid w:val="0020034C"/>
    <w:rsid w:val="0020062B"/>
    <w:rsid w:val="00200F95"/>
    <w:rsid w:val="00201747"/>
    <w:rsid w:val="00201785"/>
    <w:rsid w:val="00201A33"/>
    <w:rsid w:val="002023C6"/>
    <w:rsid w:val="00202B1C"/>
    <w:rsid w:val="00202C2C"/>
    <w:rsid w:val="00202F44"/>
    <w:rsid w:val="00202F55"/>
    <w:rsid w:val="00203050"/>
    <w:rsid w:val="0020321F"/>
    <w:rsid w:val="002032D8"/>
    <w:rsid w:val="0020357D"/>
    <w:rsid w:val="0020409D"/>
    <w:rsid w:val="00204871"/>
    <w:rsid w:val="00204B6F"/>
    <w:rsid w:val="00204DA1"/>
    <w:rsid w:val="002056E8"/>
    <w:rsid w:val="00206356"/>
    <w:rsid w:val="0020635C"/>
    <w:rsid w:val="002065D1"/>
    <w:rsid w:val="002066BB"/>
    <w:rsid w:val="002069B8"/>
    <w:rsid w:val="00206A1E"/>
    <w:rsid w:val="00206C4D"/>
    <w:rsid w:val="002074D2"/>
    <w:rsid w:val="002078C5"/>
    <w:rsid w:val="00207B64"/>
    <w:rsid w:val="00207C73"/>
    <w:rsid w:val="00210CCD"/>
    <w:rsid w:val="00210F40"/>
    <w:rsid w:val="00211173"/>
    <w:rsid w:val="002112AC"/>
    <w:rsid w:val="00211541"/>
    <w:rsid w:val="002119F0"/>
    <w:rsid w:val="00211CF4"/>
    <w:rsid w:val="00211DCE"/>
    <w:rsid w:val="00212620"/>
    <w:rsid w:val="00212903"/>
    <w:rsid w:val="00212B66"/>
    <w:rsid w:val="00212F0F"/>
    <w:rsid w:val="002131D2"/>
    <w:rsid w:val="00213239"/>
    <w:rsid w:val="002135AB"/>
    <w:rsid w:val="002136D1"/>
    <w:rsid w:val="002138F6"/>
    <w:rsid w:val="00213E26"/>
    <w:rsid w:val="0021418D"/>
    <w:rsid w:val="002144BE"/>
    <w:rsid w:val="002145C2"/>
    <w:rsid w:val="00214EB2"/>
    <w:rsid w:val="00215E19"/>
    <w:rsid w:val="00215E61"/>
    <w:rsid w:val="002164FA"/>
    <w:rsid w:val="0021659C"/>
    <w:rsid w:val="00216657"/>
    <w:rsid w:val="00216F2E"/>
    <w:rsid w:val="002170B7"/>
    <w:rsid w:val="00217219"/>
    <w:rsid w:val="00220065"/>
    <w:rsid w:val="00220601"/>
    <w:rsid w:val="002207FE"/>
    <w:rsid w:val="00220E7E"/>
    <w:rsid w:val="00220F3E"/>
    <w:rsid w:val="002216BC"/>
    <w:rsid w:val="00221990"/>
    <w:rsid w:val="00221D69"/>
    <w:rsid w:val="002224B5"/>
    <w:rsid w:val="00222549"/>
    <w:rsid w:val="00222730"/>
    <w:rsid w:val="00222B79"/>
    <w:rsid w:val="0022328A"/>
    <w:rsid w:val="002232B2"/>
    <w:rsid w:val="0022356F"/>
    <w:rsid w:val="00223927"/>
    <w:rsid w:val="00223E98"/>
    <w:rsid w:val="00224489"/>
    <w:rsid w:val="00224F08"/>
    <w:rsid w:val="002254F2"/>
    <w:rsid w:val="00225A01"/>
    <w:rsid w:val="00225EC1"/>
    <w:rsid w:val="00226065"/>
    <w:rsid w:val="00226259"/>
    <w:rsid w:val="002266E4"/>
    <w:rsid w:val="00226A4A"/>
    <w:rsid w:val="002270DD"/>
    <w:rsid w:val="00227AE9"/>
    <w:rsid w:val="00227BED"/>
    <w:rsid w:val="00227C02"/>
    <w:rsid w:val="00230525"/>
    <w:rsid w:val="0023084E"/>
    <w:rsid w:val="00230A8D"/>
    <w:rsid w:val="00230B82"/>
    <w:rsid w:val="00230C73"/>
    <w:rsid w:val="002313FB"/>
    <w:rsid w:val="00231738"/>
    <w:rsid w:val="0023173C"/>
    <w:rsid w:val="00231776"/>
    <w:rsid w:val="00231901"/>
    <w:rsid w:val="00231AA2"/>
    <w:rsid w:val="002321FC"/>
    <w:rsid w:val="002326A7"/>
    <w:rsid w:val="00232941"/>
    <w:rsid w:val="00232A89"/>
    <w:rsid w:val="00232B91"/>
    <w:rsid w:val="00233271"/>
    <w:rsid w:val="0023385A"/>
    <w:rsid w:val="002338BC"/>
    <w:rsid w:val="00233E44"/>
    <w:rsid w:val="0023412E"/>
    <w:rsid w:val="00234472"/>
    <w:rsid w:val="002346A7"/>
    <w:rsid w:val="002346E7"/>
    <w:rsid w:val="00234762"/>
    <w:rsid w:val="00234E90"/>
    <w:rsid w:val="00234F70"/>
    <w:rsid w:val="002350D6"/>
    <w:rsid w:val="002351BB"/>
    <w:rsid w:val="0023530C"/>
    <w:rsid w:val="00235960"/>
    <w:rsid w:val="00235A62"/>
    <w:rsid w:val="00235A74"/>
    <w:rsid w:val="00235EDF"/>
    <w:rsid w:val="002362A1"/>
    <w:rsid w:val="00236668"/>
    <w:rsid w:val="0023683A"/>
    <w:rsid w:val="0023696F"/>
    <w:rsid w:val="00236E32"/>
    <w:rsid w:val="00237160"/>
    <w:rsid w:val="002371CC"/>
    <w:rsid w:val="002377CB"/>
    <w:rsid w:val="002379FA"/>
    <w:rsid w:val="00237BD6"/>
    <w:rsid w:val="0024077A"/>
    <w:rsid w:val="00240790"/>
    <w:rsid w:val="00240842"/>
    <w:rsid w:val="00240D60"/>
    <w:rsid w:val="00240DA9"/>
    <w:rsid w:val="002416A7"/>
    <w:rsid w:val="002416D4"/>
    <w:rsid w:val="00241EAD"/>
    <w:rsid w:val="0024208B"/>
    <w:rsid w:val="002421A6"/>
    <w:rsid w:val="00242279"/>
    <w:rsid w:val="0024237F"/>
    <w:rsid w:val="00242482"/>
    <w:rsid w:val="00242510"/>
    <w:rsid w:val="00242A5A"/>
    <w:rsid w:val="0024327A"/>
    <w:rsid w:val="00243396"/>
    <w:rsid w:val="00243500"/>
    <w:rsid w:val="00243997"/>
    <w:rsid w:val="002439A1"/>
    <w:rsid w:val="00243A60"/>
    <w:rsid w:val="0024474D"/>
    <w:rsid w:val="002448B3"/>
    <w:rsid w:val="002449F9"/>
    <w:rsid w:val="00244A12"/>
    <w:rsid w:val="00244A22"/>
    <w:rsid w:val="00244F86"/>
    <w:rsid w:val="0024516C"/>
    <w:rsid w:val="0024517C"/>
    <w:rsid w:val="002452C1"/>
    <w:rsid w:val="0024557D"/>
    <w:rsid w:val="002455B9"/>
    <w:rsid w:val="00245715"/>
    <w:rsid w:val="00245C82"/>
    <w:rsid w:val="00246B95"/>
    <w:rsid w:val="00247546"/>
    <w:rsid w:val="00247836"/>
    <w:rsid w:val="00247892"/>
    <w:rsid w:val="00247A9E"/>
    <w:rsid w:val="002505F5"/>
    <w:rsid w:val="00250637"/>
    <w:rsid w:val="00250BAE"/>
    <w:rsid w:val="00250D84"/>
    <w:rsid w:val="00250DA0"/>
    <w:rsid w:val="00250EA6"/>
    <w:rsid w:val="0025118A"/>
    <w:rsid w:val="00251282"/>
    <w:rsid w:val="00251372"/>
    <w:rsid w:val="00251390"/>
    <w:rsid w:val="00251760"/>
    <w:rsid w:val="00251885"/>
    <w:rsid w:val="00251FCE"/>
    <w:rsid w:val="00251FF4"/>
    <w:rsid w:val="00252EE4"/>
    <w:rsid w:val="00253142"/>
    <w:rsid w:val="00253C0C"/>
    <w:rsid w:val="00253E3E"/>
    <w:rsid w:val="00254085"/>
    <w:rsid w:val="0025438A"/>
    <w:rsid w:val="002545A9"/>
    <w:rsid w:val="002548A7"/>
    <w:rsid w:val="00254E54"/>
    <w:rsid w:val="00255149"/>
    <w:rsid w:val="002551EA"/>
    <w:rsid w:val="0025550E"/>
    <w:rsid w:val="00255979"/>
    <w:rsid w:val="002560DB"/>
    <w:rsid w:val="00256141"/>
    <w:rsid w:val="0025624E"/>
    <w:rsid w:val="002563C5"/>
    <w:rsid w:val="0025676E"/>
    <w:rsid w:val="0025682D"/>
    <w:rsid w:val="002568D3"/>
    <w:rsid w:val="00256B07"/>
    <w:rsid w:val="00257025"/>
    <w:rsid w:val="002574FE"/>
    <w:rsid w:val="00257DA4"/>
    <w:rsid w:val="00257EE6"/>
    <w:rsid w:val="00257F13"/>
    <w:rsid w:val="00260136"/>
    <w:rsid w:val="00260AE6"/>
    <w:rsid w:val="00261127"/>
    <w:rsid w:val="002612DD"/>
    <w:rsid w:val="00261372"/>
    <w:rsid w:val="002616E8"/>
    <w:rsid w:val="002622A4"/>
    <w:rsid w:val="002622E2"/>
    <w:rsid w:val="002622F7"/>
    <w:rsid w:val="0026244F"/>
    <w:rsid w:val="002624F3"/>
    <w:rsid w:val="0026257E"/>
    <w:rsid w:val="002628E4"/>
    <w:rsid w:val="002632A3"/>
    <w:rsid w:val="002638E4"/>
    <w:rsid w:val="00263C49"/>
    <w:rsid w:val="00263D55"/>
    <w:rsid w:val="00264258"/>
    <w:rsid w:val="00264566"/>
    <w:rsid w:val="00264C42"/>
    <w:rsid w:val="00264DBC"/>
    <w:rsid w:val="00265018"/>
    <w:rsid w:val="00265235"/>
    <w:rsid w:val="002652CF"/>
    <w:rsid w:val="00265C56"/>
    <w:rsid w:val="002660B2"/>
    <w:rsid w:val="00266947"/>
    <w:rsid w:val="00266D64"/>
    <w:rsid w:val="002679B6"/>
    <w:rsid w:val="002700BB"/>
    <w:rsid w:val="00270561"/>
    <w:rsid w:val="002709DE"/>
    <w:rsid w:val="00270E9D"/>
    <w:rsid w:val="00270F92"/>
    <w:rsid w:val="0027122E"/>
    <w:rsid w:val="00271A6E"/>
    <w:rsid w:val="00271A78"/>
    <w:rsid w:val="0027213A"/>
    <w:rsid w:val="0027229A"/>
    <w:rsid w:val="002724BA"/>
    <w:rsid w:val="0027251A"/>
    <w:rsid w:val="00272590"/>
    <w:rsid w:val="00272BB1"/>
    <w:rsid w:val="00272C4B"/>
    <w:rsid w:val="00272D30"/>
    <w:rsid w:val="00273499"/>
    <w:rsid w:val="00273CA2"/>
    <w:rsid w:val="00273DF5"/>
    <w:rsid w:val="00274209"/>
    <w:rsid w:val="00274581"/>
    <w:rsid w:val="00274722"/>
    <w:rsid w:val="00275973"/>
    <w:rsid w:val="00275EB9"/>
    <w:rsid w:val="00276421"/>
    <w:rsid w:val="00276538"/>
    <w:rsid w:val="002765F9"/>
    <w:rsid w:val="00276C6B"/>
    <w:rsid w:val="002771B1"/>
    <w:rsid w:val="002772CA"/>
    <w:rsid w:val="002775C1"/>
    <w:rsid w:val="002776E0"/>
    <w:rsid w:val="00277C0B"/>
    <w:rsid w:val="00277C12"/>
    <w:rsid w:val="00277C73"/>
    <w:rsid w:val="002800AA"/>
    <w:rsid w:val="00280114"/>
    <w:rsid w:val="00280A5E"/>
    <w:rsid w:val="00280B58"/>
    <w:rsid w:val="00280CF2"/>
    <w:rsid w:val="002810DE"/>
    <w:rsid w:val="00281CA4"/>
    <w:rsid w:val="00282153"/>
    <w:rsid w:val="00282942"/>
    <w:rsid w:val="00282D51"/>
    <w:rsid w:val="002837D7"/>
    <w:rsid w:val="002837E3"/>
    <w:rsid w:val="002840A8"/>
    <w:rsid w:val="002842DE"/>
    <w:rsid w:val="002848CA"/>
    <w:rsid w:val="00284A56"/>
    <w:rsid w:val="00285653"/>
    <w:rsid w:val="00285658"/>
    <w:rsid w:val="002859C4"/>
    <w:rsid w:val="00285EBD"/>
    <w:rsid w:val="002861F5"/>
    <w:rsid w:val="00286466"/>
    <w:rsid w:val="00286618"/>
    <w:rsid w:val="00286966"/>
    <w:rsid w:val="00286A14"/>
    <w:rsid w:val="002870EE"/>
    <w:rsid w:val="00287296"/>
    <w:rsid w:val="00287AE0"/>
    <w:rsid w:val="00287FD4"/>
    <w:rsid w:val="002909F1"/>
    <w:rsid w:val="00290B2A"/>
    <w:rsid w:val="00291B40"/>
    <w:rsid w:val="00291D44"/>
    <w:rsid w:val="00291DFD"/>
    <w:rsid w:val="00291E30"/>
    <w:rsid w:val="00291E9F"/>
    <w:rsid w:val="0029202E"/>
    <w:rsid w:val="0029211A"/>
    <w:rsid w:val="00292B9D"/>
    <w:rsid w:val="00292C65"/>
    <w:rsid w:val="00292EC0"/>
    <w:rsid w:val="002933B9"/>
    <w:rsid w:val="00293575"/>
    <w:rsid w:val="0029371C"/>
    <w:rsid w:val="00293911"/>
    <w:rsid w:val="00293E99"/>
    <w:rsid w:val="00294320"/>
    <w:rsid w:val="002943D6"/>
    <w:rsid w:val="00294695"/>
    <w:rsid w:val="002946BA"/>
    <w:rsid w:val="00294AAF"/>
    <w:rsid w:val="00294CDD"/>
    <w:rsid w:val="00294F04"/>
    <w:rsid w:val="00296087"/>
    <w:rsid w:val="00296511"/>
    <w:rsid w:val="0029676A"/>
    <w:rsid w:val="00296925"/>
    <w:rsid w:val="00296A2F"/>
    <w:rsid w:val="00296D40"/>
    <w:rsid w:val="00296FB1"/>
    <w:rsid w:val="002973B4"/>
    <w:rsid w:val="0029776F"/>
    <w:rsid w:val="00297BEC"/>
    <w:rsid w:val="002A029C"/>
    <w:rsid w:val="002A0735"/>
    <w:rsid w:val="002A0A4E"/>
    <w:rsid w:val="002A0C06"/>
    <w:rsid w:val="002A0DE3"/>
    <w:rsid w:val="002A0EEA"/>
    <w:rsid w:val="002A113E"/>
    <w:rsid w:val="002A16F7"/>
    <w:rsid w:val="002A1D88"/>
    <w:rsid w:val="002A22E6"/>
    <w:rsid w:val="002A23E9"/>
    <w:rsid w:val="002A24A3"/>
    <w:rsid w:val="002A2723"/>
    <w:rsid w:val="002A2856"/>
    <w:rsid w:val="002A2D3A"/>
    <w:rsid w:val="002A3035"/>
    <w:rsid w:val="002A32CE"/>
    <w:rsid w:val="002A3756"/>
    <w:rsid w:val="002A3E48"/>
    <w:rsid w:val="002A478D"/>
    <w:rsid w:val="002A5440"/>
    <w:rsid w:val="002A574C"/>
    <w:rsid w:val="002A58E4"/>
    <w:rsid w:val="002A5A2F"/>
    <w:rsid w:val="002A5B73"/>
    <w:rsid w:val="002A5FE1"/>
    <w:rsid w:val="002A60B2"/>
    <w:rsid w:val="002A6DA9"/>
    <w:rsid w:val="002A786B"/>
    <w:rsid w:val="002A7A55"/>
    <w:rsid w:val="002A7C42"/>
    <w:rsid w:val="002A7CFF"/>
    <w:rsid w:val="002B0199"/>
    <w:rsid w:val="002B0DC0"/>
    <w:rsid w:val="002B0EAE"/>
    <w:rsid w:val="002B101A"/>
    <w:rsid w:val="002B1581"/>
    <w:rsid w:val="002B18EB"/>
    <w:rsid w:val="002B194D"/>
    <w:rsid w:val="002B2390"/>
    <w:rsid w:val="002B265E"/>
    <w:rsid w:val="002B2715"/>
    <w:rsid w:val="002B2EB7"/>
    <w:rsid w:val="002B2F98"/>
    <w:rsid w:val="002B348F"/>
    <w:rsid w:val="002B3707"/>
    <w:rsid w:val="002B3714"/>
    <w:rsid w:val="002B3AD3"/>
    <w:rsid w:val="002B3F46"/>
    <w:rsid w:val="002B4008"/>
    <w:rsid w:val="002B4719"/>
    <w:rsid w:val="002B4990"/>
    <w:rsid w:val="002B4A3C"/>
    <w:rsid w:val="002B4A62"/>
    <w:rsid w:val="002B50AF"/>
    <w:rsid w:val="002B5152"/>
    <w:rsid w:val="002B5869"/>
    <w:rsid w:val="002B58FD"/>
    <w:rsid w:val="002B5E87"/>
    <w:rsid w:val="002B6087"/>
    <w:rsid w:val="002B6596"/>
    <w:rsid w:val="002B65FD"/>
    <w:rsid w:val="002B66C1"/>
    <w:rsid w:val="002B6913"/>
    <w:rsid w:val="002B6989"/>
    <w:rsid w:val="002B755C"/>
    <w:rsid w:val="002B7960"/>
    <w:rsid w:val="002B7D78"/>
    <w:rsid w:val="002B7E9E"/>
    <w:rsid w:val="002C03F2"/>
    <w:rsid w:val="002C0A2E"/>
    <w:rsid w:val="002C0C71"/>
    <w:rsid w:val="002C0F5F"/>
    <w:rsid w:val="002C12B9"/>
    <w:rsid w:val="002C1892"/>
    <w:rsid w:val="002C199B"/>
    <w:rsid w:val="002C1E70"/>
    <w:rsid w:val="002C2A7B"/>
    <w:rsid w:val="002C2E2B"/>
    <w:rsid w:val="002C34A7"/>
    <w:rsid w:val="002C3608"/>
    <w:rsid w:val="002C36BE"/>
    <w:rsid w:val="002C373A"/>
    <w:rsid w:val="002C42E3"/>
    <w:rsid w:val="002C439F"/>
    <w:rsid w:val="002C4AAC"/>
    <w:rsid w:val="002C4ABC"/>
    <w:rsid w:val="002C4FA1"/>
    <w:rsid w:val="002C505C"/>
    <w:rsid w:val="002C5335"/>
    <w:rsid w:val="002C54AA"/>
    <w:rsid w:val="002C5824"/>
    <w:rsid w:val="002C6885"/>
    <w:rsid w:val="002C6F9C"/>
    <w:rsid w:val="002C71AA"/>
    <w:rsid w:val="002C7214"/>
    <w:rsid w:val="002C736E"/>
    <w:rsid w:val="002C7A36"/>
    <w:rsid w:val="002C7B66"/>
    <w:rsid w:val="002D007F"/>
    <w:rsid w:val="002D00AF"/>
    <w:rsid w:val="002D01C2"/>
    <w:rsid w:val="002D0374"/>
    <w:rsid w:val="002D0709"/>
    <w:rsid w:val="002D092D"/>
    <w:rsid w:val="002D0A0D"/>
    <w:rsid w:val="002D0C42"/>
    <w:rsid w:val="002D0E7D"/>
    <w:rsid w:val="002D0E8E"/>
    <w:rsid w:val="002D0FED"/>
    <w:rsid w:val="002D1051"/>
    <w:rsid w:val="002D15A0"/>
    <w:rsid w:val="002D1C8E"/>
    <w:rsid w:val="002D1D9C"/>
    <w:rsid w:val="002D214C"/>
    <w:rsid w:val="002D2334"/>
    <w:rsid w:val="002D272A"/>
    <w:rsid w:val="002D27F4"/>
    <w:rsid w:val="002D28D9"/>
    <w:rsid w:val="002D2A90"/>
    <w:rsid w:val="002D2CAB"/>
    <w:rsid w:val="002D37D5"/>
    <w:rsid w:val="002D3981"/>
    <w:rsid w:val="002D3A16"/>
    <w:rsid w:val="002D404B"/>
    <w:rsid w:val="002D4361"/>
    <w:rsid w:val="002D4480"/>
    <w:rsid w:val="002D474C"/>
    <w:rsid w:val="002D4CBE"/>
    <w:rsid w:val="002D4DBF"/>
    <w:rsid w:val="002D4FE6"/>
    <w:rsid w:val="002D54F0"/>
    <w:rsid w:val="002D5B9A"/>
    <w:rsid w:val="002D62CB"/>
    <w:rsid w:val="002D68B9"/>
    <w:rsid w:val="002D69CF"/>
    <w:rsid w:val="002D6B03"/>
    <w:rsid w:val="002D700C"/>
    <w:rsid w:val="002D70ED"/>
    <w:rsid w:val="002D76F3"/>
    <w:rsid w:val="002D7946"/>
    <w:rsid w:val="002D7CFF"/>
    <w:rsid w:val="002E0098"/>
    <w:rsid w:val="002E05FB"/>
    <w:rsid w:val="002E067A"/>
    <w:rsid w:val="002E06F8"/>
    <w:rsid w:val="002E0932"/>
    <w:rsid w:val="002E0ACD"/>
    <w:rsid w:val="002E0AD6"/>
    <w:rsid w:val="002E117D"/>
    <w:rsid w:val="002E1502"/>
    <w:rsid w:val="002E169A"/>
    <w:rsid w:val="002E19F7"/>
    <w:rsid w:val="002E1AB5"/>
    <w:rsid w:val="002E1B4A"/>
    <w:rsid w:val="002E1C5D"/>
    <w:rsid w:val="002E2024"/>
    <w:rsid w:val="002E2104"/>
    <w:rsid w:val="002E23BE"/>
    <w:rsid w:val="002E2581"/>
    <w:rsid w:val="002E2CFB"/>
    <w:rsid w:val="002E323D"/>
    <w:rsid w:val="002E343D"/>
    <w:rsid w:val="002E353C"/>
    <w:rsid w:val="002E3C6C"/>
    <w:rsid w:val="002E3CE7"/>
    <w:rsid w:val="002E3E67"/>
    <w:rsid w:val="002E463E"/>
    <w:rsid w:val="002E468E"/>
    <w:rsid w:val="002E4C96"/>
    <w:rsid w:val="002E4EF7"/>
    <w:rsid w:val="002E5522"/>
    <w:rsid w:val="002E5DAD"/>
    <w:rsid w:val="002E5E5F"/>
    <w:rsid w:val="002E5EB1"/>
    <w:rsid w:val="002E60C7"/>
    <w:rsid w:val="002E6706"/>
    <w:rsid w:val="002E6A18"/>
    <w:rsid w:val="002E6B5E"/>
    <w:rsid w:val="002E6C60"/>
    <w:rsid w:val="002E6C90"/>
    <w:rsid w:val="002E73F3"/>
    <w:rsid w:val="002E785A"/>
    <w:rsid w:val="002E79CD"/>
    <w:rsid w:val="002F0017"/>
    <w:rsid w:val="002F0400"/>
    <w:rsid w:val="002F08E0"/>
    <w:rsid w:val="002F0F5E"/>
    <w:rsid w:val="002F1756"/>
    <w:rsid w:val="002F1E7B"/>
    <w:rsid w:val="002F28B5"/>
    <w:rsid w:val="002F2A45"/>
    <w:rsid w:val="002F34CE"/>
    <w:rsid w:val="002F3549"/>
    <w:rsid w:val="002F36CD"/>
    <w:rsid w:val="002F36DA"/>
    <w:rsid w:val="002F3DE9"/>
    <w:rsid w:val="002F3EA1"/>
    <w:rsid w:val="002F4134"/>
    <w:rsid w:val="002F4399"/>
    <w:rsid w:val="002F43C2"/>
    <w:rsid w:val="002F4619"/>
    <w:rsid w:val="002F48F6"/>
    <w:rsid w:val="002F4917"/>
    <w:rsid w:val="002F4F82"/>
    <w:rsid w:val="002F50BD"/>
    <w:rsid w:val="002F54F7"/>
    <w:rsid w:val="002F557E"/>
    <w:rsid w:val="002F57F0"/>
    <w:rsid w:val="002F631E"/>
    <w:rsid w:val="002F6E50"/>
    <w:rsid w:val="002F6F68"/>
    <w:rsid w:val="002F7237"/>
    <w:rsid w:val="002F738D"/>
    <w:rsid w:val="002F7A1F"/>
    <w:rsid w:val="00300044"/>
    <w:rsid w:val="00300C60"/>
    <w:rsid w:val="00301046"/>
    <w:rsid w:val="00301189"/>
    <w:rsid w:val="00301247"/>
    <w:rsid w:val="003015B8"/>
    <w:rsid w:val="003019F4"/>
    <w:rsid w:val="00301D86"/>
    <w:rsid w:val="00301E4A"/>
    <w:rsid w:val="00301FF6"/>
    <w:rsid w:val="00302060"/>
    <w:rsid w:val="003020B2"/>
    <w:rsid w:val="00302190"/>
    <w:rsid w:val="003021DD"/>
    <w:rsid w:val="00302804"/>
    <w:rsid w:val="00302BB2"/>
    <w:rsid w:val="00302E09"/>
    <w:rsid w:val="00303B58"/>
    <w:rsid w:val="00303E92"/>
    <w:rsid w:val="00303F59"/>
    <w:rsid w:val="00304255"/>
    <w:rsid w:val="003048E5"/>
    <w:rsid w:val="00304A23"/>
    <w:rsid w:val="00304B56"/>
    <w:rsid w:val="00304FBA"/>
    <w:rsid w:val="00305259"/>
    <w:rsid w:val="003054FD"/>
    <w:rsid w:val="003055D1"/>
    <w:rsid w:val="00305B2C"/>
    <w:rsid w:val="00305DAA"/>
    <w:rsid w:val="00305EAE"/>
    <w:rsid w:val="00306DE9"/>
    <w:rsid w:val="00307053"/>
    <w:rsid w:val="003072F4"/>
    <w:rsid w:val="00307696"/>
    <w:rsid w:val="00307735"/>
    <w:rsid w:val="003077A6"/>
    <w:rsid w:val="00307958"/>
    <w:rsid w:val="00307C4B"/>
    <w:rsid w:val="00307CA9"/>
    <w:rsid w:val="003101DE"/>
    <w:rsid w:val="003104A3"/>
    <w:rsid w:val="0031057F"/>
    <w:rsid w:val="003109AC"/>
    <w:rsid w:val="00310BE0"/>
    <w:rsid w:val="00310C14"/>
    <w:rsid w:val="0031108A"/>
    <w:rsid w:val="00311213"/>
    <w:rsid w:val="00311457"/>
    <w:rsid w:val="00311AE5"/>
    <w:rsid w:val="00311C27"/>
    <w:rsid w:val="00311EA2"/>
    <w:rsid w:val="00311F91"/>
    <w:rsid w:val="003124A5"/>
    <w:rsid w:val="00312B5D"/>
    <w:rsid w:val="0031301D"/>
    <w:rsid w:val="00313054"/>
    <w:rsid w:val="003130C8"/>
    <w:rsid w:val="0031350B"/>
    <w:rsid w:val="00314312"/>
    <w:rsid w:val="0031503B"/>
    <w:rsid w:val="00315188"/>
    <w:rsid w:val="0031595F"/>
    <w:rsid w:val="00316162"/>
    <w:rsid w:val="003164C6"/>
    <w:rsid w:val="00316860"/>
    <w:rsid w:val="00316889"/>
    <w:rsid w:val="003168B8"/>
    <w:rsid w:val="00316B29"/>
    <w:rsid w:val="00317005"/>
    <w:rsid w:val="00317137"/>
    <w:rsid w:val="00317959"/>
    <w:rsid w:val="00317E85"/>
    <w:rsid w:val="00317EAF"/>
    <w:rsid w:val="00320377"/>
    <w:rsid w:val="00320903"/>
    <w:rsid w:val="00320E1D"/>
    <w:rsid w:val="00321185"/>
    <w:rsid w:val="003212D2"/>
    <w:rsid w:val="003215E4"/>
    <w:rsid w:val="0032175E"/>
    <w:rsid w:val="003219F5"/>
    <w:rsid w:val="00321AB1"/>
    <w:rsid w:val="00321C89"/>
    <w:rsid w:val="00321E95"/>
    <w:rsid w:val="003221DF"/>
    <w:rsid w:val="003227C0"/>
    <w:rsid w:val="003228DC"/>
    <w:rsid w:val="00322942"/>
    <w:rsid w:val="00322D64"/>
    <w:rsid w:val="003233C0"/>
    <w:rsid w:val="003234DC"/>
    <w:rsid w:val="00323E09"/>
    <w:rsid w:val="00323F65"/>
    <w:rsid w:val="00323F80"/>
    <w:rsid w:val="00324135"/>
    <w:rsid w:val="003243F9"/>
    <w:rsid w:val="00324589"/>
    <w:rsid w:val="00324656"/>
    <w:rsid w:val="00324915"/>
    <w:rsid w:val="00324FFA"/>
    <w:rsid w:val="003250D4"/>
    <w:rsid w:val="0032562C"/>
    <w:rsid w:val="00325A28"/>
    <w:rsid w:val="00325C58"/>
    <w:rsid w:val="00325D3B"/>
    <w:rsid w:val="00325D4E"/>
    <w:rsid w:val="00325FDC"/>
    <w:rsid w:val="0032623A"/>
    <w:rsid w:val="00326475"/>
    <w:rsid w:val="003264D2"/>
    <w:rsid w:val="00326807"/>
    <w:rsid w:val="003269C7"/>
    <w:rsid w:val="00327589"/>
    <w:rsid w:val="00327858"/>
    <w:rsid w:val="00327955"/>
    <w:rsid w:val="00327B0A"/>
    <w:rsid w:val="00327DBE"/>
    <w:rsid w:val="00327E80"/>
    <w:rsid w:val="00327F71"/>
    <w:rsid w:val="00330443"/>
    <w:rsid w:val="00330785"/>
    <w:rsid w:val="00330B25"/>
    <w:rsid w:val="00331105"/>
    <w:rsid w:val="00331612"/>
    <w:rsid w:val="00331D6C"/>
    <w:rsid w:val="00331DC3"/>
    <w:rsid w:val="0033208B"/>
    <w:rsid w:val="003320C9"/>
    <w:rsid w:val="00332780"/>
    <w:rsid w:val="00332B4F"/>
    <w:rsid w:val="00332F5C"/>
    <w:rsid w:val="00332FF4"/>
    <w:rsid w:val="0033334A"/>
    <w:rsid w:val="00333728"/>
    <w:rsid w:val="00333932"/>
    <w:rsid w:val="00333963"/>
    <w:rsid w:val="00333CE5"/>
    <w:rsid w:val="0033404A"/>
    <w:rsid w:val="003341FE"/>
    <w:rsid w:val="00334240"/>
    <w:rsid w:val="0033427F"/>
    <w:rsid w:val="0033494A"/>
    <w:rsid w:val="00334F10"/>
    <w:rsid w:val="00334F5A"/>
    <w:rsid w:val="00335196"/>
    <w:rsid w:val="00335972"/>
    <w:rsid w:val="00335B45"/>
    <w:rsid w:val="00335F1A"/>
    <w:rsid w:val="003361C7"/>
    <w:rsid w:val="00336326"/>
    <w:rsid w:val="00336945"/>
    <w:rsid w:val="00336D9E"/>
    <w:rsid w:val="00336F88"/>
    <w:rsid w:val="00337247"/>
    <w:rsid w:val="003402BE"/>
    <w:rsid w:val="0034052E"/>
    <w:rsid w:val="0034066D"/>
    <w:rsid w:val="00340807"/>
    <w:rsid w:val="00340AE7"/>
    <w:rsid w:val="003410BE"/>
    <w:rsid w:val="003417FE"/>
    <w:rsid w:val="00341C59"/>
    <w:rsid w:val="003424B7"/>
    <w:rsid w:val="00342724"/>
    <w:rsid w:val="00342A95"/>
    <w:rsid w:val="003430AC"/>
    <w:rsid w:val="0034397A"/>
    <w:rsid w:val="00343C7F"/>
    <w:rsid w:val="00343DDE"/>
    <w:rsid w:val="0034447D"/>
    <w:rsid w:val="0034475D"/>
    <w:rsid w:val="00345646"/>
    <w:rsid w:val="00345789"/>
    <w:rsid w:val="00345D63"/>
    <w:rsid w:val="003462F5"/>
    <w:rsid w:val="00346979"/>
    <w:rsid w:val="00346B5D"/>
    <w:rsid w:val="003478FF"/>
    <w:rsid w:val="00347A31"/>
    <w:rsid w:val="00347CD3"/>
    <w:rsid w:val="003508CE"/>
    <w:rsid w:val="00350A09"/>
    <w:rsid w:val="003518AA"/>
    <w:rsid w:val="00351B36"/>
    <w:rsid w:val="00352165"/>
    <w:rsid w:val="00352A1F"/>
    <w:rsid w:val="00352FAE"/>
    <w:rsid w:val="00353182"/>
    <w:rsid w:val="003531FF"/>
    <w:rsid w:val="003539E5"/>
    <w:rsid w:val="00353BC8"/>
    <w:rsid w:val="00353CD9"/>
    <w:rsid w:val="0035426A"/>
    <w:rsid w:val="003544D3"/>
    <w:rsid w:val="003545FB"/>
    <w:rsid w:val="00354B5F"/>
    <w:rsid w:val="00354CB6"/>
    <w:rsid w:val="00354DE5"/>
    <w:rsid w:val="00354E09"/>
    <w:rsid w:val="003552D9"/>
    <w:rsid w:val="00355434"/>
    <w:rsid w:val="0035572D"/>
    <w:rsid w:val="00355813"/>
    <w:rsid w:val="00355C48"/>
    <w:rsid w:val="00355FCD"/>
    <w:rsid w:val="003563CF"/>
    <w:rsid w:val="003565D9"/>
    <w:rsid w:val="00356936"/>
    <w:rsid w:val="0035697A"/>
    <w:rsid w:val="00356D01"/>
    <w:rsid w:val="003573A4"/>
    <w:rsid w:val="00357B01"/>
    <w:rsid w:val="00357F63"/>
    <w:rsid w:val="0036010D"/>
    <w:rsid w:val="0036011B"/>
    <w:rsid w:val="003601AA"/>
    <w:rsid w:val="0036029A"/>
    <w:rsid w:val="003602E1"/>
    <w:rsid w:val="003603E9"/>
    <w:rsid w:val="0036073B"/>
    <w:rsid w:val="00360848"/>
    <w:rsid w:val="003608AB"/>
    <w:rsid w:val="00360A57"/>
    <w:rsid w:val="00360A5F"/>
    <w:rsid w:val="003612B4"/>
    <w:rsid w:val="00361648"/>
    <w:rsid w:val="00361DC1"/>
    <w:rsid w:val="003623C1"/>
    <w:rsid w:val="00362815"/>
    <w:rsid w:val="00362A00"/>
    <w:rsid w:val="00362A7D"/>
    <w:rsid w:val="00362D6C"/>
    <w:rsid w:val="00363294"/>
    <w:rsid w:val="003633CC"/>
    <w:rsid w:val="00363A63"/>
    <w:rsid w:val="00363CFC"/>
    <w:rsid w:val="00363E26"/>
    <w:rsid w:val="00364181"/>
    <w:rsid w:val="00365131"/>
    <w:rsid w:val="00366495"/>
    <w:rsid w:val="003665E2"/>
    <w:rsid w:val="003669E1"/>
    <w:rsid w:val="00366A26"/>
    <w:rsid w:val="00366CD1"/>
    <w:rsid w:val="00367794"/>
    <w:rsid w:val="003679C3"/>
    <w:rsid w:val="00367F52"/>
    <w:rsid w:val="00370059"/>
    <w:rsid w:val="0037026F"/>
    <w:rsid w:val="003702BD"/>
    <w:rsid w:val="0037046C"/>
    <w:rsid w:val="003708F1"/>
    <w:rsid w:val="00370D27"/>
    <w:rsid w:val="00370DDE"/>
    <w:rsid w:val="00371232"/>
    <w:rsid w:val="00371240"/>
    <w:rsid w:val="0037141C"/>
    <w:rsid w:val="00371D73"/>
    <w:rsid w:val="00371D98"/>
    <w:rsid w:val="00372293"/>
    <w:rsid w:val="00372DCE"/>
    <w:rsid w:val="00372E43"/>
    <w:rsid w:val="00373647"/>
    <w:rsid w:val="0037376A"/>
    <w:rsid w:val="00373C80"/>
    <w:rsid w:val="00373C99"/>
    <w:rsid w:val="00373DAE"/>
    <w:rsid w:val="0037432A"/>
    <w:rsid w:val="00374472"/>
    <w:rsid w:val="0037456E"/>
    <w:rsid w:val="00374731"/>
    <w:rsid w:val="003747E4"/>
    <w:rsid w:val="003747E7"/>
    <w:rsid w:val="0037495D"/>
    <w:rsid w:val="00374A45"/>
    <w:rsid w:val="00374FAD"/>
    <w:rsid w:val="003754A8"/>
    <w:rsid w:val="00375843"/>
    <w:rsid w:val="00375958"/>
    <w:rsid w:val="00375DA5"/>
    <w:rsid w:val="00376A4C"/>
    <w:rsid w:val="00376AE6"/>
    <w:rsid w:val="00376E59"/>
    <w:rsid w:val="003775AD"/>
    <w:rsid w:val="00377658"/>
    <w:rsid w:val="00377A5B"/>
    <w:rsid w:val="00377A84"/>
    <w:rsid w:val="00377EC1"/>
    <w:rsid w:val="00380247"/>
    <w:rsid w:val="00380340"/>
    <w:rsid w:val="00380760"/>
    <w:rsid w:val="00380E9A"/>
    <w:rsid w:val="0038130E"/>
    <w:rsid w:val="0038170F"/>
    <w:rsid w:val="003819B8"/>
    <w:rsid w:val="00381EE9"/>
    <w:rsid w:val="00382094"/>
    <w:rsid w:val="00382448"/>
    <w:rsid w:val="00382915"/>
    <w:rsid w:val="00382C2E"/>
    <w:rsid w:val="00382DF2"/>
    <w:rsid w:val="00383039"/>
    <w:rsid w:val="003830F3"/>
    <w:rsid w:val="00383607"/>
    <w:rsid w:val="00383681"/>
    <w:rsid w:val="00383909"/>
    <w:rsid w:val="00383A2B"/>
    <w:rsid w:val="00383C8B"/>
    <w:rsid w:val="0038427D"/>
    <w:rsid w:val="00384654"/>
    <w:rsid w:val="00384CC4"/>
    <w:rsid w:val="00384E4A"/>
    <w:rsid w:val="00384F08"/>
    <w:rsid w:val="00385342"/>
    <w:rsid w:val="00385E79"/>
    <w:rsid w:val="003864C1"/>
    <w:rsid w:val="003864D3"/>
    <w:rsid w:val="00386652"/>
    <w:rsid w:val="00386A85"/>
    <w:rsid w:val="00386AC0"/>
    <w:rsid w:val="00386FCC"/>
    <w:rsid w:val="0038761B"/>
    <w:rsid w:val="00387C1C"/>
    <w:rsid w:val="00387C51"/>
    <w:rsid w:val="00387D18"/>
    <w:rsid w:val="0039009F"/>
    <w:rsid w:val="0039021A"/>
    <w:rsid w:val="00390312"/>
    <w:rsid w:val="00390AD8"/>
    <w:rsid w:val="00390E5E"/>
    <w:rsid w:val="00391026"/>
    <w:rsid w:val="00391180"/>
    <w:rsid w:val="003913E5"/>
    <w:rsid w:val="003919F9"/>
    <w:rsid w:val="00391A9F"/>
    <w:rsid w:val="00391C69"/>
    <w:rsid w:val="00391DCE"/>
    <w:rsid w:val="00392080"/>
    <w:rsid w:val="003920CF"/>
    <w:rsid w:val="00392384"/>
    <w:rsid w:val="00392491"/>
    <w:rsid w:val="00392905"/>
    <w:rsid w:val="00392A23"/>
    <w:rsid w:val="00392AA2"/>
    <w:rsid w:val="0039329C"/>
    <w:rsid w:val="0039334F"/>
    <w:rsid w:val="003933FD"/>
    <w:rsid w:val="003935DD"/>
    <w:rsid w:val="003937BA"/>
    <w:rsid w:val="00393CFA"/>
    <w:rsid w:val="003943D0"/>
    <w:rsid w:val="003945EC"/>
    <w:rsid w:val="00394685"/>
    <w:rsid w:val="00394852"/>
    <w:rsid w:val="00394AFD"/>
    <w:rsid w:val="00394EEF"/>
    <w:rsid w:val="0039535C"/>
    <w:rsid w:val="00395743"/>
    <w:rsid w:val="00395986"/>
    <w:rsid w:val="00395AFF"/>
    <w:rsid w:val="00396214"/>
    <w:rsid w:val="00396A2F"/>
    <w:rsid w:val="00396EA2"/>
    <w:rsid w:val="00397015"/>
    <w:rsid w:val="00397282"/>
    <w:rsid w:val="00397469"/>
    <w:rsid w:val="00397B1D"/>
    <w:rsid w:val="00397CD2"/>
    <w:rsid w:val="003A01D9"/>
    <w:rsid w:val="003A0247"/>
    <w:rsid w:val="003A02EE"/>
    <w:rsid w:val="003A0371"/>
    <w:rsid w:val="003A0494"/>
    <w:rsid w:val="003A04CF"/>
    <w:rsid w:val="003A09F7"/>
    <w:rsid w:val="003A0CFA"/>
    <w:rsid w:val="003A0EC4"/>
    <w:rsid w:val="003A1140"/>
    <w:rsid w:val="003A1729"/>
    <w:rsid w:val="003A18D4"/>
    <w:rsid w:val="003A1C03"/>
    <w:rsid w:val="003A1CA1"/>
    <w:rsid w:val="003A1FBA"/>
    <w:rsid w:val="003A225E"/>
    <w:rsid w:val="003A2264"/>
    <w:rsid w:val="003A2C17"/>
    <w:rsid w:val="003A2FCB"/>
    <w:rsid w:val="003A31EE"/>
    <w:rsid w:val="003A36BA"/>
    <w:rsid w:val="003A37AE"/>
    <w:rsid w:val="003A37BA"/>
    <w:rsid w:val="003A3978"/>
    <w:rsid w:val="003A3E41"/>
    <w:rsid w:val="003A49FF"/>
    <w:rsid w:val="003A4BA3"/>
    <w:rsid w:val="003A4BE0"/>
    <w:rsid w:val="003A4E9C"/>
    <w:rsid w:val="003A527F"/>
    <w:rsid w:val="003A587F"/>
    <w:rsid w:val="003A5905"/>
    <w:rsid w:val="003A6245"/>
    <w:rsid w:val="003A6329"/>
    <w:rsid w:val="003A667B"/>
    <w:rsid w:val="003A716D"/>
    <w:rsid w:val="003A72A8"/>
    <w:rsid w:val="003A7787"/>
    <w:rsid w:val="003A7943"/>
    <w:rsid w:val="003A797E"/>
    <w:rsid w:val="003A7D2D"/>
    <w:rsid w:val="003A7D96"/>
    <w:rsid w:val="003B0B6F"/>
    <w:rsid w:val="003B0CD8"/>
    <w:rsid w:val="003B0CE4"/>
    <w:rsid w:val="003B1225"/>
    <w:rsid w:val="003B132B"/>
    <w:rsid w:val="003B13A1"/>
    <w:rsid w:val="003B202F"/>
    <w:rsid w:val="003B23C2"/>
    <w:rsid w:val="003B2415"/>
    <w:rsid w:val="003B271D"/>
    <w:rsid w:val="003B2849"/>
    <w:rsid w:val="003B288A"/>
    <w:rsid w:val="003B2B68"/>
    <w:rsid w:val="003B30DD"/>
    <w:rsid w:val="003B372E"/>
    <w:rsid w:val="003B4483"/>
    <w:rsid w:val="003B4547"/>
    <w:rsid w:val="003B4A10"/>
    <w:rsid w:val="003B4C7A"/>
    <w:rsid w:val="003B4CD3"/>
    <w:rsid w:val="003B4D31"/>
    <w:rsid w:val="003B4EF1"/>
    <w:rsid w:val="003B5110"/>
    <w:rsid w:val="003B51C2"/>
    <w:rsid w:val="003B56B0"/>
    <w:rsid w:val="003B5CA0"/>
    <w:rsid w:val="003B5EDF"/>
    <w:rsid w:val="003B60C5"/>
    <w:rsid w:val="003B6166"/>
    <w:rsid w:val="003B62D5"/>
    <w:rsid w:val="003B650B"/>
    <w:rsid w:val="003B657F"/>
    <w:rsid w:val="003B6594"/>
    <w:rsid w:val="003B6D03"/>
    <w:rsid w:val="003B6DD4"/>
    <w:rsid w:val="003B6E88"/>
    <w:rsid w:val="003B7250"/>
    <w:rsid w:val="003B797C"/>
    <w:rsid w:val="003B7E62"/>
    <w:rsid w:val="003C062D"/>
    <w:rsid w:val="003C0DA3"/>
    <w:rsid w:val="003C0E1B"/>
    <w:rsid w:val="003C0E25"/>
    <w:rsid w:val="003C0F3A"/>
    <w:rsid w:val="003C1255"/>
    <w:rsid w:val="003C17DB"/>
    <w:rsid w:val="003C1923"/>
    <w:rsid w:val="003C1959"/>
    <w:rsid w:val="003C1AFF"/>
    <w:rsid w:val="003C1CF6"/>
    <w:rsid w:val="003C223E"/>
    <w:rsid w:val="003C23A7"/>
    <w:rsid w:val="003C25C1"/>
    <w:rsid w:val="003C262F"/>
    <w:rsid w:val="003C2698"/>
    <w:rsid w:val="003C2D36"/>
    <w:rsid w:val="003C2D3D"/>
    <w:rsid w:val="003C2D66"/>
    <w:rsid w:val="003C2FAA"/>
    <w:rsid w:val="003C3111"/>
    <w:rsid w:val="003C3160"/>
    <w:rsid w:val="003C3371"/>
    <w:rsid w:val="003C3604"/>
    <w:rsid w:val="003C38B5"/>
    <w:rsid w:val="003C39E1"/>
    <w:rsid w:val="003C3F86"/>
    <w:rsid w:val="003C4524"/>
    <w:rsid w:val="003C45A5"/>
    <w:rsid w:val="003C47C6"/>
    <w:rsid w:val="003C4AB4"/>
    <w:rsid w:val="003C5047"/>
    <w:rsid w:val="003C59F7"/>
    <w:rsid w:val="003C5A0B"/>
    <w:rsid w:val="003C5CBA"/>
    <w:rsid w:val="003C5D99"/>
    <w:rsid w:val="003C5E72"/>
    <w:rsid w:val="003C64B8"/>
    <w:rsid w:val="003C64D6"/>
    <w:rsid w:val="003C652F"/>
    <w:rsid w:val="003C66C3"/>
    <w:rsid w:val="003C6C51"/>
    <w:rsid w:val="003C71D3"/>
    <w:rsid w:val="003C7373"/>
    <w:rsid w:val="003C7695"/>
    <w:rsid w:val="003C77DF"/>
    <w:rsid w:val="003C7922"/>
    <w:rsid w:val="003C7A8F"/>
    <w:rsid w:val="003D0888"/>
    <w:rsid w:val="003D0A92"/>
    <w:rsid w:val="003D1087"/>
    <w:rsid w:val="003D1A0C"/>
    <w:rsid w:val="003D2E8E"/>
    <w:rsid w:val="003D3130"/>
    <w:rsid w:val="003D3B9A"/>
    <w:rsid w:val="003D3DFE"/>
    <w:rsid w:val="003D42B3"/>
    <w:rsid w:val="003D42BE"/>
    <w:rsid w:val="003D438B"/>
    <w:rsid w:val="003D467A"/>
    <w:rsid w:val="003D4A16"/>
    <w:rsid w:val="003D4AD1"/>
    <w:rsid w:val="003D4BEA"/>
    <w:rsid w:val="003D4E5E"/>
    <w:rsid w:val="003D508E"/>
    <w:rsid w:val="003D55BC"/>
    <w:rsid w:val="003D58B4"/>
    <w:rsid w:val="003D599E"/>
    <w:rsid w:val="003D5B0A"/>
    <w:rsid w:val="003D5F19"/>
    <w:rsid w:val="003D65D6"/>
    <w:rsid w:val="003D65F5"/>
    <w:rsid w:val="003D70A5"/>
    <w:rsid w:val="003D7A0B"/>
    <w:rsid w:val="003E01F3"/>
    <w:rsid w:val="003E02D6"/>
    <w:rsid w:val="003E03BC"/>
    <w:rsid w:val="003E0BD2"/>
    <w:rsid w:val="003E1098"/>
    <w:rsid w:val="003E1187"/>
    <w:rsid w:val="003E1253"/>
    <w:rsid w:val="003E144B"/>
    <w:rsid w:val="003E1EB5"/>
    <w:rsid w:val="003E2179"/>
    <w:rsid w:val="003E2E5D"/>
    <w:rsid w:val="003E2F59"/>
    <w:rsid w:val="003E3498"/>
    <w:rsid w:val="003E374E"/>
    <w:rsid w:val="003E3C2E"/>
    <w:rsid w:val="003E3FC9"/>
    <w:rsid w:val="003E42CF"/>
    <w:rsid w:val="003E441D"/>
    <w:rsid w:val="003E466B"/>
    <w:rsid w:val="003E4849"/>
    <w:rsid w:val="003E4D06"/>
    <w:rsid w:val="003E4E9B"/>
    <w:rsid w:val="003E534F"/>
    <w:rsid w:val="003E5393"/>
    <w:rsid w:val="003E5571"/>
    <w:rsid w:val="003E56D6"/>
    <w:rsid w:val="003E5AA7"/>
    <w:rsid w:val="003E62F2"/>
    <w:rsid w:val="003E690F"/>
    <w:rsid w:val="003E71C6"/>
    <w:rsid w:val="003E7360"/>
    <w:rsid w:val="003E746B"/>
    <w:rsid w:val="003E79B8"/>
    <w:rsid w:val="003F0789"/>
    <w:rsid w:val="003F0832"/>
    <w:rsid w:val="003F11EE"/>
    <w:rsid w:val="003F1945"/>
    <w:rsid w:val="003F1BBD"/>
    <w:rsid w:val="003F240F"/>
    <w:rsid w:val="003F2753"/>
    <w:rsid w:val="003F2BD1"/>
    <w:rsid w:val="003F2DB6"/>
    <w:rsid w:val="003F3125"/>
    <w:rsid w:val="003F36A1"/>
    <w:rsid w:val="003F3B9D"/>
    <w:rsid w:val="003F3D65"/>
    <w:rsid w:val="003F4203"/>
    <w:rsid w:val="003F4333"/>
    <w:rsid w:val="003F4EE6"/>
    <w:rsid w:val="003F55FC"/>
    <w:rsid w:val="003F562A"/>
    <w:rsid w:val="003F5752"/>
    <w:rsid w:val="003F57A0"/>
    <w:rsid w:val="003F5E15"/>
    <w:rsid w:val="003F657C"/>
    <w:rsid w:val="003F6BF7"/>
    <w:rsid w:val="003F6D0E"/>
    <w:rsid w:val="003F6DFC"/>
    <w:rsid w:val="003F6FE5"/>
    <w:rsid w:val="003F726F"/>
    <w:rsid w:val="003F745F"/>
    <w:rsid w:val="003F7C75"/>
    <w:rsid w:val="003F7F80"/>
    <w:rsid w:val="00400543"/>
    <w:rsid w:val="00400596"/>
    <w:rsid w:val="00400685"/>
    <w:rsid w:val="004009ED"/>
    <w:rsid w:val="00400E7D"/>
    <w:rsid w:val="00400F82"/>
    <w:rsid w:val="0040174C"/>
    <w:rsid w:val="00401750"/>
    <w:rsid w:val="004017B8"/>
    <w:rsid w:val="00401804"/>
    <w:rsid w:val="00401882"/>
    <w:rsid w:val="00401C4A"/>
    <w:rsid w:val="00401F2C"/>
    <w:rsid w:val="004022DC"/>
    <w:rsid w:val="004025BD"/>
    <w:rsid w:val="00402792"/>
    <w:rsid w:val="00402E50"/>
    <w:rsid w:val="00402EB3"/>
    <w:rsid w:val="00402F4D"/>
    <w:rsid w:val="00402FBC"/>
    <w:rsid w:val="004030A1"/>
    <w:rsid w:val="00403114"/>
    <w:rsid w:val="00403124"/>
    <w:rsid w:val="004032BE"/>
    <w:rsid w:val="004033A1"/>
    <w:rsid w:val="00403993"/>
    <w:rsid w:val="00403AD8"/>
    <w:rsid w:val="00403B07"/>
    <w:rsid w:val="00403CF5"/>
    <w:rsid w:val="00403FA6"/>
    <w:rsid w:val="00404018"/>
    <w:rsid w:val="00404279"/>
    <w:rsid w:val="004046B9"/>
    <w:rsid w:val="004047AF"/>
    <w:rsid w:val="00404882"/>
    <w:rsid w:val="00404A47"/>
    <w:rsid w:val="00404B8B"/>
    <w:rsid w:val="00404F1B"/>
    <w:rsid w:val="0040538F"/>
    <w:rsid w:val="00405EA1"/>
    <w:rsid w:val="00405FE4"/>
    <w:rsid w:val="00406169"/>
    <w:rsid w:val="00406287"/>
    <w:rsid w:val="004062E2"/>
    <w:rsid w:val="00406612"/>
    <w:rsid w:val="00406D3E"/>
    <w:rsid w:val="00406F5E"/>
    <w:rsid w:val="004100C8"/>
    <w:rsid w:val="004104FD"/>
    <w:rsid w:val="004105BB"/>
    <w:rsid w:val="00410941"/>
    <w:rsid w:val="0041126B"/>
    <w:rsid w:val="004114A1"/>
    <w:rsid w:val="00411514"/>
    <w:rsid w:val="004119F0"/>
    <w:rsid w:val="00411C1D"/>
    <w:rsid w:val="00411D50"/>
    <w:rsid w:val="00411D9D"/>
    <w:rsid w:val="00411DBD"/>
    <w:rsid w:val="00412842"/>
    <w:rsid w:val="004129A6"/>
    <w:rsid w:val="00412ACE"/>
    <w:rsid w:val="00412D9F"/>
    <w:rsid w:val="004134FD"/>
    <w:rsid w:val="0041350E"/>
    <w:rsid w:val="00413568"/>
    <w:rsid w:val="0041372E"/>
    <w:rsid w:val="00413DAF"/>
    <w:rsid w:val="00414572"/>
    <w:rsid w:val="004145D2"/>
    <w:rsid w:val="0041471B"/>
    <w:rsid w:val="004149E0"/>
    <w:rsid w:val="00414E61"/>
    <w:rsid w:val="00415157"/>
    <w:rsid w:val="0041582C"/>
    <w:rsid w:val="00415881"/>
    <w:rsid w:val="00415885"/>
    <w:rsid w:val="00415D4F"/>
    <w:rsid w:val="00416ACA"/>
    <w:rsid w:val="00416DFF"/>
    <w:rsid w:val="00416E5E"/>
    <w:rsid w:val="00416EF3"/>
    <w:rsid w:val="004171F0"/>
    <w:rsid w:val="0041751A"/>
    <w:rsid w:val="00417A55"/>
    <w:rsid w:val="00417E4D"/>
    <w:rsid w:val="00417F51"/>
    <w:rsid w:val="00420444"/>
    <w:rsid w:val="00420E02"/>
    <w:rsid w:val="00420F33"/>
    <w:rsid w:val="00421115"/>
    <w:rsid w:val="00421617"/>
    <w:rsid w:val="00421BDC"/>
    <w:rsid w:val="004220BA"/>
    <w:rsid w:val="00422B82"/>
    <w:rsid w:val="00423D89"/>
    <w:rsid w:val="00423FBE"/>
    <w:rsid w:val="0042438E"/>
    <w:rsid w:val="0042451A"/>
    <w:rsid w:val="00424A1A"/>
    <w:rsid w:val="00424FBA"/>
    <w:rsid w:val="0042520A"/>
    <w:rsid w:val="00425242"/>
    <w:rsid w:val="0042597F"/>
    <w:rsid w:val="00425FB8"/>
    <w:rsid w:val="0042611F"/>
    <w:rsid w:val="004267EF"/>
    <w:rsid w:val="004268B4"/>
    <w:rsid w:val="00426A3E"/>
    <w:rsid w:val="00426CB4"/>
    <w:rsid w:val="0042795C"/>
    <w:rsid w:val="00427AFC"/>
    <w:rsid w:val="00427CC7"/>
    <w:rsid w:val="00427D8B"/>
    <w:rsid w:val="0043094B"/>
    <w:rsid w:val="00430E18"/>
    <w:rsid w:val="0043107F"/>
    <w:rsid w:val="00431249"/>
    <w:rsid w:val="00431378"/>
    <w:rsid w:val="0043144A"/>
    <w:rsid w:val="00431922"/>
    <w:rsid w:val="00431A2E"/>
    <w:rsid w:val="00431C17"/>
    <w:rsid w:val="00431D44"/>
    <w:rsid w:val="00431EB6"/>
    <w:rsid w:val="004323CD"/>
    <w:rsid w:val="004326F8"/>
    <w:rsid w:val="004329FC"/>
    <w:rsid w:val="004331BA"/>
    <w:rsid w:val="0043320A"/>
    <w:rsid w:val="00433499"/>
    <w:rsid w:val="004334DE"/>
    <w:rsid w:val="00433712"/>
    <w:rsid w:val="0043382B"/>
    <w:rsid w:val="00433AC5"/>
    <w:rsid w:val="00434096"/>
    <w:rsid w:val="00434367"/>
    <w:rsid w:val="004344E0"/>
    <w:rsid w:val="00434C19"/>
    <w:rsid w:val="00434C77"/>
    <w:rsid w:val="00434CAB"/>
    <w:rsid w:val="0043504F"/>
    <w:rsid w:val="0043507F"/>
    <w:rsid w:val="004350F2"/>
    <w:rsid w:val="004359F1"/>
    <w:rsid w:val="00435EA9"/>
    <w:rsid w:val="00437308"/>
    <w:rsid w:val="004374B7"/>
    <w:rsid w:val="004377AF"/>
    <w:rsid w:val="00437A1E"/>
    <w:rsid w:val="00437C93"/>
    <w:rsid w:val="00437FD1"/>
    <w:rsid w:val="004403D7"/>
    <w:rsid w:val="0044067F"/>
    <w:rsid w:val="00440A93"/>
    <w:rsid w:val="00440AAE"/>
    <w:rsid w:val="00440B98"/>
    <w:rsid w:val="00440F53"/>
    <w:rsid w:val="00441040"/>
    <w:rsid w:val="0044117D"/>
    <w:rsid w:val="004412D3"/>
    <w:rsid w:val="004413A7"/>
    <w:rsid w:val="00441829"/>
    <w:rsid w:val="0044191C"/>
    <w:rsid w:val="004419F4"/>
    <w:rsid w:val="00441B4C"/>
    <w:rsid w:val="00442484"/>
    <w:rsid w:val="004425BE"/>
    <w:rsid w:val="00442721"/>
    <w:rsid w:val="0044274F"/>
    <w:rsid w:val="00442B70"/>
    <w:rsid w:val="00443CB9"/>
    <w:rsid w:val="00444397"/>
    <w:rsid w:val="00444BC1"/>
    <w:rsid w:val="00444D87"/>
    <w:rsid w:val="00444D8F"/>
    <w:rsid w:val="00445217"/>
    <w:rsid w:val="00445836"/>
    <w:rsid w:val="00445B68"/>
    <w:rsid w:val="00446A09"/>
    <w:rsid w:val="00446BA9"/>
    <w:rsid w:val="00447067"/>
    <w:rsid w:val="00447092"/>
    <w:rsid w:val="004471E7"/>
    <w:rsid w:val="00447757"/>
    <w:rsid w:val="00447D04"/>
    <w:rsid w:val="00447DCE"/>
    <w:rsid w:val="004506A9"/>
    <w:rsid w:val="004506E5"/>
    <w:rsid w:val="00450810"/>
    <w:rsid w:val="0045087F"/>
    <w:rsid w:val="004509DD"/>
    <w:rsid w:val="00450ABE"/>
    <w:rsid w:val="004514DA"/>
    <w:rsid w:val="004515D6"/>
    <w:rsid w:val="00451A27"/>
    <w:rsid w:val="004520DF"/>
    <w:rsid w:val="00452594"/>
    <w:rsid w:val="00452787"/>
    <w:rsid w:val="0045286D"/>
    <w:rsid w:val="00452871"/>
    <w:rsid w:val="00452C3B"/>
    <w:rsid w:val="00452D0A"/>
    <w:rsid w:val="0045301B"/>
    <w:rsid w:val="004539D6"/>
    <w:rsid w:val="00454612"/>
    <w:rsid w:val="004546D5"/>
    <w:rsid w:val="004550C2"/>
    <w:rsid w:val="00455982"/>
    <w:rsid w:val="00455BB9"/>
    <w:rsid w:val="00455C17"/>
    <w:rsid w:val="00455FCE"/>
    <w:rsid w:val="0045621E"/>
    <w:rsid w:val="00456537"/>
    <w:rsid w:val="0045669F"/>
    <w:rsid w:val="00456A57"/>
    <w:rsid w:val="0046004C"/>
    <w:rsid w:val="0046037E"/>
    <w:rsid w:val="00460C43"/>
    <w:rsid w:val="00460F20"/>
    <w:rsid w:val="004610DF"/>
    <w:rsid w:val="004611FF"/>
    <w:rsid w:val="0046125E"/>
    <w:rsid w:val="004617DE"/>
    <w:rsid w:val="00462822"/>
    <w:rsid w:val="00462B77"/>
    <w:rsid w:val="00462C3C"/>
    <w:rsid w:val="00462C59"/>
    <w:rsid w:val="00463271"/>
    <w:rsid w:val="004632D3"/>
    <w:rsid w:val="004633C8"/>
    <w:rsid w:val="00463534"/>
    <w:rsid w:val="00463CCC"/>
    <w:rsid w:val="00463EBF"/>
    <w:rsid w:val="00463F1B"/>
    <w:rsid w:val="00463FC8"/>
    <w:rsid w:val="00464209"/>
    <w:rsid w:val="00464250"/>
    <w:rsid w:val="004645FB"/>
    <w:rsid w:val="004649D7"/>
    <w:rsid w:val="004649FE"/>
    <w:rsid w:val="00464C82"/>
    <w:rsid w:val="00464F4E"/>
    <w:rsid w:val="004658DA"/>
    <w:rsid w:val="00465F46"/>
    <w:rsid w:val="00466755"/>
    <w:rsid w:val="00466F53"/>
    <w:rsid w:val="004677EF"/>
    <w:rsid w:val="0046789E"/>
    <w:rsid w:val="00467A96"/>
    <w:rsid w:val="00467D02"/>
    <w:rsid w:val="00470382"/>
    <w:rsid w:val="00470737"/>
    <w:rsid w:val="00470918"/>
    <w:rsid w:val="004709FC"/>
    <w:rsid w:val="00471029"/>
    <w:rsid w:val="00471D1A"/>
    <w:rsid w:val="00471E0D"/>
    <w:rsid w:val="004721B8"/>
    <w:rsid w:val="00472586"/>
    <w:rsid w:val="00472898"/>
    <w:rsid w:val="00472A8D"/>
    <w:rsid w:val="00472E90"/>
    <w:rsid w:val="00473274"/>
    <w:rsid w:val="00473554"/>
    <w:rsid w:val="00473740"/>
    <w:rsid w:val="00473FCC"/>
    <w:rsid w:val="00473FD5"/>
    <w:rsid w:val="004740FC"/>
    <w:rsid w:val="004742BA"/>
    <w:rsid w:val="00474645"/>
    <w:rsid w:val="004746F9"/>
    <w:rsid w:val="0047470E"/>
    <w:rsid w:val="004747BF"/>
    <w:rsid w:val="00475583"/>
    <w:rsid w:val="0047626D"/>
    <w:rsid w:val="004762F1"/>
    <w:rsid w:val="00476364"/>
    <w:rsid w:val="00476497"/>
    <w:rsid w:val="00476918"/>
    <w:rsid w:val="00477144"/>
    <w:rsid w:val="00477358"/>
    <w:rsid w:val="004776B3"/>
    <w:rsid w:val="00477CE0"/>
    <w:rsid w:val="00477F7D"/>
    <w:rsid w:val="004802B3"/>
    <w:rsid w:val="004808BB"/>
    <w:rsid w:val="004809EC"/>
    <w:rsid w:val="00480CDC"/>
    <w:rsid w:val="00480E6A"/>
    <w:rsid w:val="00480F8B"/>
    <w:rsid w:val="00481695"/>
    <w:rsid w:val="00481B48"/>
    <w:rsid w:val="00481E74"/>
    <w:rsid w:val="00482128"/>
    <w:rsid w:val="004826C3"/>
    <w:rsid w:val="004827DE"/>
    <w:rsid w:val="004828B5"/>
    <w:rsid w:val="004828BA"/>
    <w:rsid w:val="0048365E"/>
    <w:rsid w:val="00483717"/>
    <w:rsid w:val="00483795"/>
    <w:rsid w:val="00483A8E"/>
    <w:rsid w:val="00483E88"/>
    <w:rsid w:val="0048431B"/>
    <w:rsid w:val="00484725"/>
    <w:rsid w:val="00484D1B"/>
    <w:rsid w:val="0048522E"/>
    <w:rsid w:val="004853D8"/>
    <w:rsid w:val="00485405"/>
    <w:rsid w:val="004854E6"/>
    <w:rsid w:val="004855FE"/>
    <w:rsid w:val="004858F3"/>
    <w:rsid w:val="00485FC4"/>
    <w:rsid w:val="004860BB"/>
    <w:rsid w:val="004869C3"/>
    <w:rsid w:val="0048707F"/>
    <w:rsid w:val="004871C2"/>
    <w:rsid w:val="0048759B"/>
    <w:rsid w:val="004879E7"/>
    <w:rsid w:val="00487E5E"/>
    <w:rsid w:val="00490D1E"/>
    <w:rsid w:val="00490DE4"/>
    <w:rsid w:val="00490FDA"/>
    <w:rsid w:val="00491380"/>
    <w:rsid w:val="004914DD"/>
    <w:rsid w:val="0049181A"/>
    <w:rsid w:val="0049191C"/>
    <w:rsid w:val="00491CF2"/>
    <w:rsid w:val="004925AD"/>
    <w:rsid w:val="004929E2"/>
    <w:rsid w:val="00492E64"/>
    <w:rsid w:val="00492E9A"/>
    <w:rsid w:val="00492F07"/>
    <w:rsid w:val="0049307B"/>
    <w:rsid w:val="004932E5"/>
    <w:rsid w:val="004939F2"/>
    <w:rsid w:val="00493B70"/>
    <w:rsid w:val="00493FAA"/>
    <w:rsid w:val="00494047"/>
    <w:rsid w:val="004944B9"/>
    <w:rsid w:val="004944CA"/>
    <w:rsid w:val="0049450D"/>
    <w:rsid w:val="0049459F"/>
    <w:rsid w:val="00494BA0"/>
    <w:rsid w:val="00494F77"/>
    <w:rsid w:val="00495673"/>
    <w:rsid w:val="00495BE2"/>
    <w:rsid w:val="00496183"/>
    <w:rsid w:val="004961CA"/>
    <w:rsid w:val="004962C0"/>
    <w:rsid w:val="00496A9C"/>
    <w:rsid w:val="00496DCA"/>
    <w:rsid w:val="00496FC4"/>
    <w:rsid w:val="00497482"/>
    <w:rsid w:val="00497B67"/>
    <w:rsid w:val="004A017B"/>
    <w:rsid w:val="004A025D"/>
    <w:rsid w:val="004A087F"/>
    <w:rsid w:val="004A0AE8"/>
    <w:rsid w:val="004A0D29"/>
    <w:rsid w:val="004A0E1F"/>
    <w:rsid w:val="004A0E69"/>
    <w:rsid w:val="004A16C1"/>
    <w:rsid w:val="004A16ED"/>
    <w:rsid w:val="004A1DD2"/>
    <w:rsid w:val="004A1E0A"/>
    <w:rsid w:val="004A1EC4"/>
    <w:rsid w:val="004A1FB4"/>
    <w:rsid w:val="004A2413"/>
    <w:rsid w:val="004A2496"/>
    <w:rsid w:val="004A2700"/>
    <w:rsid w:val="004A27B7"/>
    <w:rsid w:val="004A289D"/>
    <w:rsid w:val="004A2A76"/>
    <w:rsid w:val="004A2B5A"/>
    <w:rsid w:val="004A2DD0"/>
    <w:rsid w:val="004A38DD"/>
    <w:rsid w:val="004A3AC2"/>
    <w:rsid w:val="004A3FAA"/>
    <w:rsid w:val="004A4461"/>
    <w:rsid w:val="004A508D"/>
    <w:rsid w:val="004A513E"/>
    <w:rsid w:val="004A5CFF"/>
    <w:rsid w:val="004A60F3"/>
    <w:rsid w:val="004A61BA"/>
    <w:rsid w:val="004A6324"/>
    <w:rsid w:val="004A6B4E"/>
    <w:rsid w:val="004A6BD4"/>
    <w:rsid w:val="004A7001"/>
    <w:rsid w:val="004A734A"/>
    <w:rsid w:val="004A765D"/>
    <w:rsid w:val="004A7A27"/>
    <w:rsid w:val="004A7A58"/>
    <w:rsid w:val="004A7CB9"/>
    <w:rsid w:val="004B026A"/>
    <w:rsid w:val="004B03C1"/>
    <w:rsid w:val="004B0541"/>
    <w:rsid w:val="004B0593"/>
    <w:rsid w:val="004B091D"/>
    <w:rsid w:val="004B0A97"/>
    <w:rsid w:val="004B0C39"/>
    <w:rsid w:val="004B0D22"/>
    <w:rsid w:val="004B13A2"/>
    <w:rsid w:val="004B15FC"/>
    <w:rsid w:val="004B1645"/>
    <w:rsid w:val="004B1859"/>
    <w:rsid w:val="004B1866"/>
    <w:rsid w:val="004B28E4"/>
    <w:rsid w:val="004B2FF0"/>
    <w:rsid w:val="004B3920"/>
    <w:rsid w:val="004B42D2"/>
    <w:rsid w:val="004B43AE"/>
    <w:rsid w:val="004B45C8"/>
    <w:rsid w:val="004B4894"/>
    <w:rsid w:val="004B4A94"/>
    <w:rsid w:val="004B51D0"/>
    <w:rsid w:val="004B51DD"/>
    <w:rsid w:val="004B5C21"/>
    <w:rsid w:val="004B5F62"/>
    <w:rsid w:val="004B6059"/>
    <w:rsid w:val="004B60AD"/>
    <w:rsid w:val="004B6194"/>
    <w:rsid w:val="004B650B"/>
    <w:rsid w:val="004B6601"/>
    <w:rsid w:val="004B67A2"/>
    <w:rsid w:val="004B7314"/>
    <w:rsid w:val="004C062B"/>
    <w:rsid w:val="004C095E"/>
    <w:rsid w:val="004C0B30"/>
    <w:rsid w:val="004C0B88"/>
    <w:rsid w:val="004C0C2B"/>
    <w:rsid w:val="004C0D3E"/>
    <w:rsid w:val="004C12A6"/>
    <w:rsid w:val="004C1532"/>
    <w:rsid w:val="004C160C"/>
    <w:rsid w:val="004C199E"/>
    <w:rsid w:val="004C19C5"/>
    <w:rsid w:val="004C1A7F"/>
    <w:rsid w:val="004C2161"/>
    <w:rsid w:val="004C2D2A"/>
    <w:rsid w:val="004C2E1A"/>
    <w:rsid w:val="004C2FCF"/>
    <w:rsid w:val="004C30ED"/>
    <w:rsid w:val="004C341F"/>
    <w:rsid w:val="004C379D"/>
    <w:rsid w:val="004C3F4F"/>
    <w:rsid w:val="004C3F83"/>
    <w:rsid w:val="004C44B3"/>
    <w:rsid w:val="004C45DC"/>
    <w:rsid w:val="004C46B4"/>
    <w:rsid w:val="004C4A81"/>
    <w:rsid w:val="004C4BA3"/>
    <w:rsid w:val="004C4BB4"/>
    <w:rsid w:val="004C5093"/>
    <w:rsid w:val="004C5C17"/>
    <w:rsid w:val="004C5E80"/>
    <w:rsid w:val="004C6003"/>
    <w:rsid w:val="004C609A"/>
    <w:rsid w:val="004C6176"/>
    <w:rsid w:val="004C652D"/>
    <w:rsid w:val="004C69B2"/>
    <w:rsid w:val="004C6C37"/>
    <w:rsid w:val="004C7A84"/>
    <w:rsid w:val="004C7E4F"/>
    <w:rsid w:val="004D0814"/>
    <w:rsid w:val="004D093F"/>
    <w:rsid w:val="004D0D27"/>
    <w:rsid w:val="004D0D3D"/>
    <w:rsid w:val="004D1082"/>
    <w:rsid w:val="004D1510"/>
    <w:rsid w:val="004D18E2"/>
    <w:rsid w:val="004D1C02"/>
    <w:rsid w:val="004D1C9B"/>
    <w:rsid w:val="004D1EA7"/>
    <w:rsid w:val="004D1F3C"/>
    <w:rsid w:val="004D20E5"/>
    <w:rsid w:val="004D22E2"/>
    <w:rsid w:val="004D297E"/>
    <w:rsid w:val="004D2B61"/>
    <w:rsid w:val="004D2FEB"/>
    <w:rsid w:val="004D3253"/>
    <w:rsid w:val="004D3486"/>
    <w:rsid w:val="004D3A32"/>
    <w:rsid w:val="004D3EEE"/>
    <w:rsid w:val="004D428E"/>
    <w:rsid w:val="004D47EA"/>
    <w:rsid w:val="004D4964"/>
    <w:rsid w:val="004D49C5"/>
    <w:rsid w:val="004D4F29"/>
    <w:rsid w:val="004D5675"/>
    <w:rsid w:val="004D59F6"/>
    <w:rsid w:val="004D5DB8"/>
    <w:rsid w:val="004D6215"/>
    <w:rsid w:val="004D6533"/>
    <w:rsid w:val="004D67F0"/>
    <w:rsid w:val="004D685D"/>
    <w:rsid w:val="004D6C3E"/>
    <w:rsid w:val="004D6C4B"/>
    <w:rsid w:val="004D70BC"/>
    <w:rsid w:val="004D73EC"/>
    <w:rsid w:val="004D7522"/>
    <w:rsid w:val="004D7C69"/>
    <w:rsid w:val="004D7F9D"/>
    <w:rsid w:val="004E0671"/>
    <w:rsid w:val="004E0699"/>
    <w:rsid w:val="004E0970"/>
    <w:rsid w:val="004E0EAC"/>
    <w:rsid w:val="004E104A"/>
    <w:rsid w:val="004E11D0"/>
    <w:rsid w:val="004E137A"/>
    <w:rsid w:val="004E13A6"/>
    <w:rsid w:val="004E14BC"/>
    <w:rsid w:val="004E2673"/>
    <w:rsid w:val="004E2C5C"/>
    <w:rsid w:val="004E31B0"/>
    <w:rsid w:val="004E3241"/>
    <w:rsid w:val="004E33BF"/>
    <w:rsid w:val="004E367D"/>
    <w:rsid w:val="004E39BA"/>
    <w:rsid w:val="004E3A42"/>
    <w:rsid w:val="004E3FBF"/>
    <w:rsid w:val="004E56E2"/>
    <w:rsid w:val="004E57A7"/>
    <w:rsid w:val="004E5C66"/>
    <w:rsid w:val="004E5D9D"/>
    <w:rsid w:val="004E628F"/>
    <w:rsid w:val="004E6593"/>
    <w:rsid w:val="004E6802"/>
    <w:rsid w:val="004E68B3"/>
    <w:rsid w:val="004E6AD3"/>
    <w:rsid w:val="004E6BFD"/>
    <w:rsid w:val="004E6C40"/>
    <w:rsid w:val="004E6C56"/>
    <w:rsid w:val="004E6C8C"/>
    <w:rsid w:val="004E7030"/>
    <w:rsid w:val="004E74DC"/>
    <w:rsid w:val="004E74FC"/>
    <w:rsid w:val="004E7CF3"/>
    <w:rsid w:val="004F017A"/>
    <w:rsid w:val="004F0E0F"/>
    <w:rsid w:val="004F11F4"/>
    <w:rsid w:val="004F13FA"/>
    <w:rsid w:val="004F17C7"/>
    <w:rsid w:val="004F22B8"/>
    <w:rsid w:val="004F238F"/>
    <w:rsid w:val="004F24AA"/>
    <w:rsid w:val="004F2FBE"/>
    <w:rsid w:val="004F330E"/>
    <w:rsid w:val="004F3324"/>
    <w:rsid w:val="004F3A83"/>
    <w:rsid w:val="004F3B52"/>
    <w:rsid w:val="004F3BCD"/>
    <w:rsid w:val="004F3F23"/>
    <w:rsid w:val="004F40BA"/>
    <w:rsid w:val="004F46BE"/>
    <w:rsid w:val="004F46E3"/>
    <w:rsid w:val="004F4751"/>
    <w:rsid w:val="004F4823"/>
    <w:rsid w:val="004F4B45"/>
    <w:rsid w:val="004F4F3A"/>
    <w:rsid w:val="004F527D"/>
    <w:rsid w:val="004F56B0"/>
    <w:rsid w:val="004F5C2F"/>
    <w:rsid w:val="004F5D71"/>
    <w:rsid w:val="004F5E5D"/>
    <w:rsid w:val="004F6DB0"/>
    <w:rsid w:val="004F6E84"/>
    <w:rsid w:val="004F74C1"/>
    <w:rsid w:val="004F767C"/>
    <w:rsid w:val="004F77E0"/>
    <w:rsid w:val="004F795A"/>
    <w:rsid w:val="004F7BD4"/>
    <w:rsid w:val="0050079A"/>
    <w:rsid w:val="00500997"/>
    <w:rsid w:val="00500F24"/>
    <w:rsid w:val="0050120F"/>
    <w:rsid w:val="00501AC0"/>
    <w:rsid w:val="00501E95"/>
    <w:rsid w:val="00502658"/>
    <w:rsid w:val="00502E7F"/>
    <w:rsid w:val="005033D6"/>
    <w:rsid w:val="00503908"/>
    <w:rsid w:val="005039A2"/>
    <w:rsid w:val="00503D8B"/>
    <w:rsid w:val="00503E2C"/>
    <w:rsid w:val="005040FC"/>
    <w:rsid w:val="0050444A"/>
    <w:rsid w:val="005049CD"/>
    <w:rsid w:val="0050538B"/>
    <w:rsid w:val="005058DD"/>
    <w:rsid w:val="00505934"/>
    <w:rsid w:val="00505F29"/>
    <w:rsid w:val="00507189"/>
    <w:rsid w:val="005071F5"/>
    <w:rsid w:val="005074F9"/>
    <w:rsid w:val="00507629"/>
    <w:rsid w:val="005077C1"/>
    <w:rsid w:val="00507EED"/>
    <w:rsid w:val="00510539"/>
    <w:rsid w:val="00510819"/>
    <w:rsid w:val="00510866"/>
    <w:rsid w:val="0051087D"/>
    <w:rsid w:val="00511613"/>
    <w:rsid w:val="00511785"/>
    <w:rsid w:val="005118EB"/>
    <w:rsid w:val="005119CB"/>
    <w:rsid w:val="00511A04"/>
    <w:rsid w:val="00512ADB"/>
    <w:rsid w:val="00512C7F"/>
    <w:rsid w:val="00513431"/>
    <w:rsid w:val="00513C80"/>
    <w:rsid w:val="00513E74"/>
    <w:rsid w:val="005150CA"/>
    <w:rsid w:val="00515C6E"/>
    <w:rsid w:val="005167BA"/>
    <w:rsid w:val="00516A1E"/>
    <w:rsid w:val="00516AE6"/>
    <w:rsid w:val="00516CAE"/>
    <w:rsid w:val="0051733B"/>
    <w:rsid w:val="005176EE"/>
    <w:rsid w:val="00517795"/>
    <w:rsid w:val="00517927"/>
    <w:rsid w:val="00517CE5"/>
    <w:rsid w:val="00517E9D"/>
    <w:rsid w:val="00517F14"/>
    <w:rsid w:val="00517F44"/>
    <w:rsid w:val="00517F6B"/>
    <w:rsid w:val="005204FF"/>
    <w:rsid w:val="00520751"/>
    <w:rsid w:val="00520770"/>
    <w:rsid w:val="00520A43"/>
    <w:rsid w:val="00520A91"/>
    <w:rsid w:val="00521166"/>
    <w:rsid w:val="005214F8"/>
    <w:rsid w:val="005216EB"/>
    <w:rsid w:val="00521EC3"/>
    <w:rsid w:val="0052240C"/>
    <w:rsid w:val="00522530"/>
    <w:rsid w:val="00522A0A"/>
    <w:rsid w:val="00522BCB"/>
    <w:rsid w:val="00522D63"/>
    <w:rsid w:val="0052342A"/>
    <w:rsid w:val="00523625"/>
    <w:rsid w:val="00523639"/>
    <w:rsid w:val="00523798"/>
    <w:rsid w:val="00524103"/>
    <w:rsid w:val="005247C8"/>
    <w:rsid w:val="00524C7B"/>
    <w:rsid w:val="00524E73"/>
    <w:rsid w:val="005255A7"/>
    <w:rsid w:val="0052591D"/>
    <w:rsid w:val="005259E6"/>
    <w:rsid w:val="00525C2D"/>
    <w:rsid w:val="0052631D"/>
    <w:rsid w:val="005264D6"/>
    <w:rsid w:val="00526573"/>
    <w:rsid w:val="005267C2"/>
    <w:rsid w:val="00526840"/>
    <w:rsid w:val="005268E8"/>
    <w:rsid w:val="0052710E"/>
    <w:rsid w:val="00527712"/>
    <w:rsid w:val="005277A6"/>
    <w:rsid w:val="00527D4D"/>
    <w:rsid w:val="00530282"/>
    <w:rsid w:val="00530380"/>
    <w:rsid w:val="00530457"/>
    <w:rsid w:val="00530EA5"/>
    <w:rsid w:val="00531100"/>
    <w:rsid w:val="005311A0"/>
    <w:rsid w:val="005312E9"/>
    <w:rsid w:val="00531940"/>
    <w:rsid w:val="0053197F"/>
    <w:rsid w:val="00531A7F"/>
    <w:rsid w:val="00531BD7"/>
    <w:rsid w:val="00531F3F"/>
    <w:rsid w:val="00531FE5"/>
    <w:rsid w:val="005320E8"/>
    <w:rsid w:val="00532930"/>
    <w:rsid w:val="00533228"/>
    <w:rsid w:val="00533B98"/>
    <w:rsid w:val="00533ED1"/>
    <w:rsid w:val="00533ED6"/>
    <w:rsid w:val="00533F71"/>
    <w:rsid w:val="0053453E"/>
    <w:rsid w:val="00534BD5"/>
    <w:rsid w:val="00534DBA"/>
    <w:rsid w:val="00534E1B"/>
    <w:rsid w:val="00534F6C"/>
    <w:rsid w:val="00534FCC"/>
    <w:rsid w:val="005353AE"/>
    <w:rsid w:val="00535674"/>
    <w:rsid w:val="0053585B"/>
    <w:rsid w:val="0053592D"/>
    <w:rsid w:val="00535FFE"/>
    <w:rsid w:val="0053639C"/>
    <w:rsid w:val="00536680"/>
    <w:rsid w:val="0053701F"/>
    <w:rsid w:val="00537360"/>
    <w:rsid w:val="005402FA"/>
    <w:rsid w:val="0054074A"/>
    <w:rsid w:val="00540A55"/>
    <w:rsid w:val="00540BDD"/>
    <w:rsid w:val="00541259"/>
    <w:rsid w:val="00541600"/>
    <w:rsid w:val="005418B9"/>
    <w:rsid w:val="00542245"/>
    <w:rsid w:val="005422A4"/>
    <w:rsid w:val="005422A8"/>
    <w:rsid w:val="00542431"/>
    <w:rsid w:val="005424DD"/>
    <w:rsid w:val="00542643"/>
    <w:rsid w:val="005426F3"/>
    <w:rsid w:val="0054310E"/>
    <w:rsid w:val="0054350A"/>
    <w:rsid w:val="005435C8"/>
    <w:rsid w:val="0054396A"/>
    <w:rsid w:val="005439CE"/>
    <w:rsid w:val="0054407E"/>
    <w:rsid w:val="0054438B"/>
    <w:rsid w:val="005447B0"/>
    <w:rsid w:val="00544FF4"/>
    <w:rsid w:val="00545AB3"/>
    <w:rsid w:val="0054603C"/>
    <w:rsid w:val="00546054"/>
    <w:rsid w:val="005465B4"/>
    <w:rsid w:val="00546AB0"/>
    <w:rsid w:val="00546BDF"/>
    <w:rsid w:val="00546DB8"/>
    <w:rsid w:val="00547274"/>
    <w:rsid w:val="00547630"/>
    <w:rsid w:val="00547839"/>
    <w:rsid w:val="00550381"/>
    <w:rsid w:val="00550583"/>
    <w:rsid w:val="00550715"/>
    <w:rsid w:val="0055085A"/>
    <w:rsid w:val="00550A33"/>
    <w:rsid w:val="00550B07"/>
    <w:rsid w:val="00550B99"/>
    <w:rsid w:val="00550BD8"/>
    <w:rsid w:val="00550F53"/>
    <w:rsid w:val="00550FAD"/>
    <w:rsid w:val="00551434"/>
    <w:rsid w:val="00551460"/>
    <w:rsid w:val="00551719"/>
    <w:rsid w:val="00551C5D"/>
    <w:rsid w:val="005520FC"/>
    <w:rsid w:val="005520FE"/>
    <w:rsid w:val="0055228E"/>
    <w:rsid w:val="005524A9"/>
    <w:rsid w:val="00552EB1"/>
    <w:rsid w:val="00552F2B"/>
    <w:rsid w:val="005530A3"/>
    <w:rsid w:val="0055357D"/>
    <w:rsid w:val="00553A7B"/>
    <w:rsid w:val="00553FB8"/>
    <w:rsid w:val="00554034"/>
    <w:rsid w:val="00554B72"/>
    <w:rsid w:val="00554FF2"/>
    <w:rsid w:val="005556EE"/>
    <w:rsid w:val="005556F6"/>
    <w:rsid w:val="0055627B"/>
    <w:rsid w:val="00556825"/>
    <w:rsid w:val="00556AA2"/>
    <w:rsid w:val="00556E63"/>
    <w:rsid w:val="00556EC0"/>
    <w:rsid w:val="00556F59"/>
    <w:rsid w:val="00557414"/>
    <w:rsid w:val="005578DD"/>
    <w:rsid w:val="00557E25"/>
    <w:rsid w:val="00560228"/>
    <w:rsid w:val="005607F7"/>
    <w:rsid w:val="005608A5"/>
    <w:rsid w:val="00561092"/>
    <w:rsid w:val="00561280"/>
    <w:rsid w:val="00561BEB"/>
    <w:rsid w:val="00561DB3"/>
    <w:rsid w:val="00561F31"/>
    <w:rsid w:val="00561F6C"/>
    <w:rsid w:val="00561FEB"/>
    <w:rsid w:val="00561FF3"/>
    <w:rsid w:val="005626C8"/>
    <w:rsid w:val="00562880"/>
    <w:rsid w:val="005628F8"/>
    <w:rsid w:val="00562919"/>
    <w:rsid w:val="00562CF7"/>
    <w:rsid w:val="00563276"/>
    <w:rsid w:val="005633A4"/>
    <w:rsid w:val="00563523"/>
    <w:rsid w:val="00563537"/>
    <w:rsid w:val="0056366F"/>
    <w:rsid w:val="00563D2C"/>
    <w:rsid w:val="0056444D"/>
    <w:rsid w:val="00564790"/>
    <w:rsid w:val="00564A90"/>
    <w:rsid w:val="0056533C"/>
    <w:rsid w:val="0056547C"/>
    <w:rsid w:val="005654F5"/>
    <w:rsid w:val="00565945"/>
    <w:rsid w:val="00566063"/>
    <w:rsid w:val="00566161"/>
    <w:rsid w:val="0056618E"/>
    <w:rsid w:val="00566942"/>
    <w:rsid w:val="00566A6F"/>
    <w:rsid w:val="005677C5"/>
    <w:rsid w:val="00567CE8"/>
    <w:rsid w:val="00570540"/>
    <w:rsid w:val="0057150B"/>
    <w:rsid w:val="00571B90"/>
    <w:rsid w:val="00571F23"/>
    <w:rsid w:val="00571FE7"/>
    <w:rsid w:val="005720A8"/>
    <w:rsid w:val="005729BD"/>
    <w:rsid w:val="00572ADB"/>
    <w:rsid w:val="00573437"/>
    <w:rsid w:val="0057368E"/>
    <w:rsid w:val="0057386D"/>
    <w:rsid w:val="00573A87"/>
    <w:rsid w:val="00573B47"/>
    <w:rsid w:val="00573BE3"/>
    <w:rsid w:val="005741E0"/>
    <w:rsid w:val="00574591"/>
    <w:rsid w:val="0057482A"/>
    <w:rsid w:val="00574CBE"/>
    <w:rsid w:val="00574E59"/>
    <w:rsid w:val="0057524A"/>
    <w:rsid w:val="00575395"/>
    <w:rsid w:val="005754E2"/>
    <w:rsid w:val="00575851"/>
    <w:rsid w:val="00575DF0"/>
    <w:rsid w:val="00576857"/>
    <w:rsid w:val="0057693A"/>
    <w:rsid w:val="005771A8"/>
    <w:rsid w:val="005773B5"/>
    <w:rsid w:val="00577402"/>
    <w:rsid w:val="00580154"/>
    <w:rsid w:val="005802CC"/>
    <w:rsid w:val="0058050F"/>
    <w:rsid w:val="0058057C"/>
    <w:rsid w:val="0058080D"/>
    <w:rsid w:val="005813B1"/>
    <w:rsid w:val="00581825"/>
    <w:rsid w:val="0058182A"/>
    <w:rsid w:val="00581862"/>
    <w:rsid w:val="00581DC1"/>
    <w:rsid w:val="005820A5"/>
    <w:rsid w:val="00582355"/>
    <w:rsid w:val="00582374"/>
    <w:rsid w:val="0058245E"/>
    <w:rsid w:val="005828DE"/>
    <w:rsid w:val="00582A46"/>
    <w:rsid w:val="00582EB4"/>
    <w:rsid w:val="00583297"/>
    <w:rsid w:val="005835F9"/>
    <w:rsid w:val="00583816"/>
    <w:rsid w:val="00583989"/>
    <w:rsid w:val="00583C39"/>
    <w:rsid w:val="00583E7E"/>
    <w:rsid w:val="00583F0B"/>
    <w:rsid w:val="00584767"/>
    <w:rsid w:val="00584883"/>
    <w:rsid w:val="00585092"/>
    <w:rsid w:val="00585347"/>
    <w:rsid w:val="00585704"/>
    <w:rsid w:val="0058599B"/>
    <w:rsid w:val="00585A13"/>
    <w:rsid w:val="00585E6D"/>
    <w:rsid w:val="0058603C"/>
    <w:rsid w:val="00586104"/>
    <w:rsid w:val="00586A90"/>
    <w:rsid w:val="00586D7D"/>
    <w:rsid w:val="00587BCB"/>
    <w:rsid w:val="00587EB2"/>
    <w:rsid w:val="00587F28"/>
    <w:rsid w:val="00587F78"/>
    <w:rsid w:val="005903DB"/>
    <w:rsid w:val="005904FA"/>
    <w:rsid w:val="005909CF"/>
    <w:rsid w:val="00590D6C"/>
    <w:rsid w:val="00590E74"/>
    <w:rsid w:val="00590F22"/>
    <w:rsid w:val="00591511"/>
    <w:rsid w:val="0059162A"/>
    <w:rsid w:val="005918AE"/>
    <w:rsid w:val="00591B0E"/>
    <w:rsid w:val="00591E71"/>
    <w:rsid w:val="005921F3"/>
    <w:rsid w:val="00592258"/>
    <w:rsid w:val="00592648"/>
    <w:rsid w:val="00592805"/>
    <w:rsid w:val="00592CC9"/>
    <w:rsid w:val="00592CEC"/>
    <w:rsid w:val="005931DD"/>
    <w:rsid w:val="005935D5"/>
    <w:rsid w:val="00593E0A"/>
    <w:rsid w:val="00593F3B"/>
    <w:rsid w:val="005940BF"/>
    <w:rsid w:val="0059462F"/>
    <w:rsid w:val="00594D89"/>
    <w:rsid w:val="005950F2"/>
    <w:rsid w:val="00595174"/>
    <w:rsid w:val="0059549F"/>
    <w:rsid w:val="005955FA"/>
    <w:rsid w:val="00595807"/>
    <w:rsid w:val="0059580D"/>
    <w:rsid w:val="0059591C"/>
    <w:rsid w:val="00595975"/>
    <w:rsid w:val="00595EC2"/>
    <w:rsid w:val="0059648E"/>
    <w:rsid w:val="005965D8"/>
    <w:rsid w:val="005966F8"/>
    <w:rsid w:val="00596BBF"/>
    <w:rsid w:val="00596E33"/>
    <w:rsid w:val="00597383"/>
    <w:rsid w:val="005A0204"/>
    <w:rsid w:val="005A02CF"/>
    <w:rsid w:val="005A056E"/>
    <w:rsid w:val="005A066F"/>
    <w:rsid w:val="005A0C73"/>
    <w:rsid w:val="005A0D41"/>
    <w:rsid w:val="005A0E6A"/>
    <w:rsid w:val="005A0E6E"/>
    <w:rsid w:val="005A174F"/>
    <w:rsid w:val="005A1DEE"/>
    <w:rsid w:val="005A1E59"/>
    <w:rsid w:val="005A2112"/>
    <w:rsid w:val="005A22DF"/>
    <w:rsid w:val="005A24EC"/>
    <w:rsid w:val="005A25F9"/>
    <w:rsid w:val="005A283E"/>
    <w:rsid w:val="005A28BD"/>
    <w:rsid w:val="005A2B3D"/>
    <w:rsid w:val="005A2B79"/>
    <w:rsid w:val="005A2C92"/>
    <w:rsid w:val="005A35ED"/>
    <w:rsid w:val="005A36CF"/>
    <w:rsid w:val="005A3A52"/>
    <w:rsid w:val="005A40C5"/>
    <w:rsid w:val="005A444E"/>
    <w:rsid w:val="005A44C3"/>
    <w:rsid w:val="005A4836"/>
    <w:rsid w:val="005A4B84"/>
    <w:rsid w:val="005A5065"/>
    <w:rsid w:val="005A5516"/>
    <w:rsid w:val="005A575E"/>
    <w:rsid w:val="005A68C3"/>
    <w:rsid w:val="005A6C8D"/>
    <w:rsid w:val="005A6E4E"/>
    <w:rsid w:val="005A6EDD"/>
    <w:rsid w:val="005A6FE9"/>
    <w:rsid w:val="005A7228"/>
    <w:rsid w:val="005A75BD"/>
    <w:rsid w:val="005A7DF7"/>
    <w:rsid w:val="005B0085"/>
    <w:rsid w:val="005B02E7"/>
    <w:rsid w:val="005B08C9"/>
    <w:rsid w:val="005B0FCB"/>
    <w:rsid w:val="005B112D"/>
    <w:rsid w:val="005B12F1"/>
    <w:rsid w:val="005B18D2"/>
    <w:rsid w:val="005B35BA"/>
    <w:rsid w:val="005B36F8"/>
    <w:rsid w:val="005B41A9"/>
    <w:rsid w:val="005B46AD"/>
    <w:rsid w:val="005B4830"/>
    <w:rsid w:val="005B489B"/>
    <w:rsid w:val="005B4E5A"/>
    <w:rsid w:val="005B5393"/>
    <w:rsid w:val="005B5533"/>
    <w:rsid w:val="005B5918"/>
    <w:rsid w:val="005B5BE5"/>
    <w:rsid w:val="005B5F3A"/>
    <w:rsid w:val="005B6297"/>
    <w:rsid w:val="005B63D1"/>
    <w:rsid w:val="005B647E"/>
    <w:rsid w:val="005B73B6"/>
    <w:rsid w:val="005C03EA"/>
    <w:rsid w:val="005C07B2"/>
    <w:rsid w:val="005C0C08"/>
    <w:rsid w:val="005C0EEC"/>
    <w:rsid w:val="005C0F0D"/>
    <w:rsid w:val="005C157F"/>
    <w:rsid w:val="005C1645"/>
    <w:rsid w:val="005C22A1"/>
    <w:rsid w:val="005C23B1"/>
    <w:rsid w:val="005C26A9"/>
    <w:rsid w:val="005C293B"/>
    <w:rsid w:val="005C2A0E"/>
    <w:rsid w:val="005C2BE2"/>
    <w:rsid w:val="005C2EE3"/>
    <w:rsid w:val="005C38C2"/>
    <w:rsid w:val="005C3993"/>
    <w:rsid w:val="005C3D31"/>
    <w:rsid w:val="005C3F4C"/>
    <w:rsid w:val="005C4219"/>
    <w:rsid w:val="005C4593"/>
    <w:rsid w:val="005C4669"/>
    <w:rsid w:val="005C4990"/>
    <w:rsid w:val="005C4B43"/>
    <w:rsid w:val="005C4C92"/>
    <w:rsid w:val="005C51DD"/>
    <w:rsid w:val="005C5320"/>
    <w:rsid w:val="005C5E10"/>
    <w:rsid w:val="005C5F62"/>
    <w:rsid w:val="005C636A"/>
    <w:rsid w:val="005C6520"/>
    <w:rsid w:val="005C6800"/>
    <w:rsid w:val="005C7445"/>
    <w:rsid w:val="005C7480"/>
    <w:rsid w:val="005C782C"/>
    <w:rsid w:val="005C79DE"/>
    <w:rsid w:val="005C7DCE"/>
    <w:rsid w:val="005D0E05"/>
    <w:rsid w:val="005D108A"/>
    <w:rsid w:val="005D1921"/>
    <w:rsid w:val="005D19CE"/>
    <w:rsid w:val="005D1F29"/>
    <w:rsid w:val="005D2949"/>
    <w:rsid w:val="005D302A"/>
    <w:rsid w:val="005D329F"/>
    <w:rsid w:val="005D34BE"/>
    <w:rsid w:val="005D360E"/>
    <w:rsid w:val="005D37B1"/>
    <w:rsid w:val="005D38A4"/>
    <w:rsid w:val="005D39F3"/>
    <w:rsid w:val="005D3E4E"/>
    <w:rsid w:val="005D404E"/>
    <w:rsid w:val="005D41B1"/>
    <w:rsid w:val="005D433F"/>
    <w:rsid w:val="005D5586"/>
    <w:rsid w:val="005D5C5A"/>
    <w:rsid w:val="005D6084"/>
    <w:rsid w:val="005D63A4"/>
    <w:rsid w:val="005D6434"/>
    <w:rsid w:val="005D649B"/>
    <w:rsid w:val="005D683C"/>
    <w:rsid w:val="005D6B04"/>
    <w:rsid w:val="005D6D07"/>
    <w:rsid w:val="005D7054"/>
    <w:rsid w:val="005D7144"/>
    <w:rsid w:val="005D73AA"/>
    <w:rsid w:val="005D757D"/>
    <w:rsid w:val="005D770A"/>
    <w:rsid w:val="005D7FE6"/>
    <w:rsid w:val="005E015D"/>
    <w:rsid w:val="005E028C"/>
    <w:rsid w:val="005E0601"/>
    <w:rsid w:val="005E0BE7"/>
    <w:rsid w:val="005E0DB4"/>
    <w:rsid w:val="005E0DD3"/>
    <w:rsid w:val="005E147A"/>
    <w:rsid w:val="005E14A5"/>
    <w:rsid w:val="005E17FA"/>
    <w:rsid w:val="005E1A78"/>
    <w:rsid w:val="005E1BCB"/>
    <w:rsid w:val="005E1DFF"/>
    <w:rsid w:val="005E1E70"/>
    <w:rsid w:val="005E2D21"/>
    <w:rsid w:val="005E2DFC"/>
    <w:rsid w:val="005E31EB"/>
    <w:rsid w:val="005E3479"/>
    <w:rsid w:val="005E39D4"/>
    <w:rsid w:val="005E3B81"/>
    <w:rsid w:val="005E3C4E"/>
    <w:rsid w:val="005E3D0A"/>
    <w:rsid w:val="005E3EBA"/>
    <w:rsid w:val="005E4204"/>
    <w:rsid w:val="005E4224"/>
    <w:rsid w:val="005E4371"/>
    <w:rsid w:val="005E4668"/>
    <w:rsid w:val="005E47A5"/>
    <w:rsid w:val="005E5279"/>
    <w:rsid w:val="005E5376"/>
    <w:rsid w:val="005E608A"/>
    <w:rsid w:val="005E69C9"/>
    <w:rsid w:val="005E720F"/>
    <w:rsid w:val="005E766E"/>
    <w:rsid w:val="005E793B"/>
    <w:rsid w:val="005E79FA"/>
    <w:rsid w:val="005E7C8E"/>
    <w:rsid w:val="005F0238"/>
    <w:rsid w:val="005F0B01"/>
    <w:rsid w:val="005F0C96"/>
    <w:rsid w:val="005F1273"/>
    <w:rsid w:val="005F128B"/>
    <w:rsid w:val="005F1555"/>
    <w:rsid w:val="005F175D"/>
    <w:rsid w:val="005F186A"/>
    <w:rsid w:val="005F2BBA"/>
    <w:rsid w:val="005F32A9"/>
    <w:rsid w:val="005F4050"/>
    <w:rsid w:val="005F42DB"/>
    <w:rsid w:val="005F48ED"/>
    <w:rsid w:val="005F494E"/>
    <w:rsid w:val="005F49EE"/>
    <w:rsid w:val="005F51A5"/>
    <w:rsid w:val="005F51E1"/>
    <w:rsid w:val="005F53CB"/>
    <w:rsid w:val="005F5412"/>
    <w:rsid w:val="005F596E"/>
    <w:rsid w:val="005F5DAB"/>
    <w:rsid w:val="005F5FB6"/>
    <w:rsid w:val="005F6180"/>
    <w:rsid w:val="005F69AA"/>
    <w:rsid w:val="005F6E78"/>
    <w:rsid w:val="005F75D9"/>
    <w:rsid w:val="005F7664"/>
    <w:rsid w:val="005F7857"/>
    <w:rsid w:val="00600020"/>
    <w:rsid w:val="00600232"/>
    <w:rsid w:val="0060060F"/>
    <w:rsid w:val="00600D7D"/>
    <w:rsid w:val="00600DB3"/>
    <w:rsid w:val="006013AC"/>
    <w:rsid w:val="00601BCE"/>
    <w:rsid w:val="00601C1C"/>
    <w:rsid w:val="00602006"/>
    <w:rsid w:val="00602079"/>
    <w:rsid w:val="006023CF"/>
    <w:rsid w:val="00602B4E"/>
    <w:rsid w:val="00602D32"/>
    <w:rsid w:val="0060314B"/>
    <w:rsid w:val="00603616"/>
    <w:rsid w:val="006036B2"/>
    <w:rsid w:val="00603B0F"/>
    <w:rsid w:val="006051B8"/>
    <w:rsid w:val="00605750"/>
    <w:rsid w:val="00605C9F"/>
    <w:rsid w:val="0060654B"/>
    <w:rsid w:val="0060656A"/>
    <w:rsid w:val="00606CCB"/>
    <w:rsid w:val="00606E78"/>
    <w:rsid w:val="006077E7"/>
    <w:rsid w:val="00607BF1"/>
    <w:rsid w:val="006107B2"/>
    <w:rsid w:val="006108F5"/>
    <w:rsid w:val="00610CE1"/>
    <w:rsid w:val="006111DE"/>
    <w:rsid w:val="0061139C"/>
    <w:rsid w:val="0061187E"/>
    <w:rsid w:val="00611B2B"/>
    <w:rsid w:val="00611E0D"/>
    <w:rsid w:val="00611E56"/>
    <w:rsid w:val="00612B4A"/>
    <w:rsid w:val="00613309"/>
    <w:rsid w:val="00613348"/>
    <w:rsid w:val="00613986"/>
    <w:rsid w:val="00613CFA"/>
    <w:rsid w:val="00613E14"/>
    <w:rsid w:val="00613E65"/>
    <w:rsid w:val="00613FDE"/>
    <w:rsid w:val="00614435"/>
    <w:rsid w:val="00614773"/>
    <w:rsid w:val="00614D25"/>
    <w:rsid w:val="00615341"/>
    <w:rsid w:val="00615369"/>
    <w:rsid w:val="00615512"/>
    <w:rsid w:val="0061593E"/>
    <w:rsid w:val="00615D77"/>
    <w:rsid w:val="0061615F"/>
    <w:rsid w:val="00616714"/>
    <w:rsid w:val="006169D0"/>
    <w:rsid w:val="00616C02"/>
    <w:rsid w:val="0061724D"/>
    <w:rsid w:val="006178ED"/>
    <w:rsid w:val="006203DD"/>
    <w:rsid w:val="006208F4"/>
    <w:rsid w:val="00620931"/>
    <w:rsid w:val="00620E94"/>
    <w:rsid w:val="00621334"/>
    <w:rsid w:val="0062182E"/>
    <w:rsid w:val="00621CCB"/>
    <w:rsid w:val="00622D69"/>
    <w:rsid w:val="00623CA8"/>
    <w:rsid w:val="0062450B"/>
    <w:rsid w:val="00624CE0"/>
    <w:rsid w:val="00625747"/>
    <w:rsid w:val="00625D89"/>
    <w:rsid w:val="00626298"/>
    <w:rsid w:val="0062629E"/>
    <w:rsid w:val="006263CD"/>
    <w:rsid w:val="006264FE"/>
    <w:rsid w:val="006265D8"/>
    <w:rsid w:val="00627079"/>
    <w:rsid w:val="006279A3"/>
    <w:rsid w:val="00627AC3"/>
    <w:rsid w:val="00627D04"/>
    <w:rsid w:val="006302A0"/>
    <w:rsid w:val="006302A5"/>
    <w:rsid w:val="0063036A"/>
    <w:rsid w:val="00630420"/>
    <w:rsid w:val="00630C22"/>
    <w:rsid w:val="00630D4D"/>
    <w:rsid w:val="00631091"/>
    <w:rsid w:val="0063109E"/>
    <w:rsid w:val="00631312"/>
    <w:rsid w:val="0063137C"/>
    <w:rsid w:val="006318E2"/>
    <w:rsid w:val="00631A78"/>
    <w:rsid w:val="00631B8D"/>
    <w:rsid w:val="00631CF1"/>
    <w:rsid w:val="00631D68"/>
    <w:rsid w:val="00631DBA"/>
    <w:rsid w:val="006323F7"/>
    <w:rsid w:val="00632A74"/>
    <w:rsid w:val="006334A7"/>
    <w:rsid w:val="006334BF"/>
    <w:rsid w:val="00633615"/>
    <w:rsid w:val="00633A30"/>
    <w:rsid w:val="00633CC5"/>
    <w:rsid w:val="006343A1"/>
    <w:rsid w:val="006345AC"/>
    <w:rsid w:val="00634623"/>
    <w:rsid w:val="0063485C"/>
    <w:rsid w:val="00634B05"/>
    <w:rsid w:val="00634C22"/>
    <w:rsid w:val="00634F93"/>
    <w:rsid w:val="006350D0"/>
    <w:rsid w:val="00635117"/>
    <w:rsid w:val="00635804"/>
    <w:rsid w:val="00635C36"/>
    <w:rsid w:val="00636575"/>
    <w:rsid w:val="0063668A"/>
    <w:rsid w:val="0063668C"/>
    <w:rsid w:val="006369C9"/>
    <w:rsid w:val="006369EC"/>
    <w:rsid w:val="00636DAC"/>
    <w:rsid w:val="00637562"/>
    <w:rsid w:val="00637713"/>
    <w:rsid w:val="006379D5"/>
    <w:rsid w:val="00637C1D"/>
    <w:rsid w:val="00637D5D"/>
    <w:rsid w:val="00637FA8"/>
    <w:rsid w:val="006400E5"/>
    <w:rsid w:val="0064014A"/>
    <w:rsid w:val="00640262"/>
    <w:rsid w:val="00640BCB"/>
    <w:rsid w:val="006410E5"/>
    <w:rsid w:val="006413C0"/>
    <w:rsid w:val="0064175A"/>
    <w:rsid w:val="0064175E"/>
    <w:rsid w:val="006417A0"/>
    <w:rsid w:val="00641E53"/>
    <w:rsid w:val="006421B5"/>
    <w:rsid w:val="00642832"/>
    <w:rsid w:val="0064296B"/>
    <w:rsid w:val="006432D4"/>
    <w:rsid w:val="00643582"/>
    <w:rsid w:val="006438D2"/>
    <w:rsid w:val="00643DB8"/>
    <w:rsid w:val="00644134"/>
    <w:rsid w:val="006442E3"/>
    <w:rsid w:val="006444F9"/>
    <w:rsid w:val="00644D47"/>
    <w:rsid w:val="00645B30"/>
    <w:rsid w:val="006462A4"/>
    <w:rsid w:val="00646A50"/>
    <w:rsid w:val="00646FD5"/>
    <w:rsid w:val="006476B6"/>
    <w:rsid w:val="00647A55"/>
    <w:rsid w:val="00647D92"/>
    <w:rsid w:val="00650590"/>
    <w:rsid w:val="006505F3"/>
    <w:rsid w:val="00650604"/>
    <w:rsid w:val="00650D5F"/>
    <w:rsid w:val="00651059"/>
    <w:rsid w:val="00651595"/>
    <w:rsid w:val="006516C8"/>
    <w:rsid w:val="006516F0"/>
    <w:rsid w:val="00651878"/>
    <w:rsid w:val="006521C9"/>
    <w:rsid w:val="006523C7"/>
    <w:rsid w:val="006523E0"/>
    <w:rsid w:val="00652CD8"/>
    <w:rsid w:val="00652E92"/>
    <w:rsid w:val="00652FDB"/>
    <w:rsid w:val="006531A4"/>
    <w:rsid w:val="006534B1"/>
    <w:rsid w:val="00653E75"/>
    <w:rsid w:val="00653EEA"/>
    <w:rsid w:val="00654409"/>
    <w:rsid w:val="00654D42"/>
    <w:rsid w:val="00654DF4"/>
    <w:rsid w:val="006550C6"/>
    <w:rsid w:val="006550C7"/>
    <w:rsid w:val="00655272"/>
    <w:rsid w:val="0065551F"/>
    <w:rsid w:val="006557DA"/>
    <w:rsid w:val="00655EDB"/>
    <w:rsid w:val="00655EF6"/>
    <w:rsid w:val="006565C4"/>
    <w:rsid w:val="00656660"/>
    <w:rsid w:val="00656B39"/>
    <w:rsid w:val="00656D07"/>
    <w:rsid w:val="006576D9"/>
    <w:rsid w:val="00660362"/>
    <w:rsid w:val="0066068B"/>
    <w:rsid w:val="006609A2"/>
    <w:rsid w:val="00660C9B"/>
    <w:rsid w:val="00660E99"/>
    <w:rsid w:val="006619BB"/>
    <w:rsid w:val="00661D0C"/>
    <w:rsid w:val="00661DC3"/>
    <w:rsid w:val="0066203E"/>
    <w:rsid w:val="00662058"/>
    <w:rsid w:val="00662652"/>
    <w:rsid w:val="00662CA0"/>
    <w:rsid w:val="006630F1"/>
    <w:rsid w:val="0066367E"/>
    <w:rsid w:val="00663A19"/>
    <w:rsid w:val="00663D1B"/>
    <w:rsid w:val="00663EB9"/>
    <w:rsid w:val="00664534"/>
    <w:rsid w:val="00664798"/>
    <w:rsid w:val="0066536F"/>
    <w:rsid w:val="00665451"/>
    <w:rsid w:val="006655A3"/>
    <w:rsid w:val="00665967"/>
    <w:rsid w:val="0066625F"/>
    <w:rsid w:val="00666775"/>
    <w:rsid w:val="00666E02"/>
    <w:rsid w:val="00666E73"/>
    <w:rsid w:val="00666EB5"/>
    <w:rsid w:val="00666F99"/>
    <w:rsid w:val="0066739C"/>
    <w:rsid w:val="0066772E"/>
    <w:rsid w:val="00667761"/>
    <w:rsid w:val="006679F7"/>
    <w:rsid w:val="00667A02"/>
    <w:rsid w:val="00667E92"/>
    <w:rsid w:val="00670653"/>
    <w:rsid w:val="0067096F"/>
    <w:rsid w:val="00670C1A"/>
    <w:rsid w:val="00670E24"/>
    <w:rsid w:val="006711EA"/>
    <w:rsid w:val="0067160C"/>
    <w:rsid w:val="00671720"/>
    <w:rsid w:val="00671AED"/>
    <w:rsid w:val="00672465"/>
    <w:rsid w:val="006724AA"/>
    <w:rsid w:val="006733C5"/>
    <w:rsid w:val="00673703"/>
    <w:rsid w:val="00673927"/>
    <w:rsid w:val="00673DF7"/>
    <w:rsid w:val="00674032"/>
    <w:rsid w:val="0067436B"/>
    <w:rsid w:val="00674587"/>
    <w:rsid w:val="00674621"/>
    <w:rsid w:val="00674623"/>
    <w:rsid w:val="00674803"/>
    <w:rsid w:val="00674DEB"/>
    <w:rsid w:val="00675138"/>
    <w:rsid w:val="006755DC"/>
    <w:rsid w:val="00675AB4"/>
    <w:rsid w:val="00675C25"/>
    <w:rsid w:val="00675E64"/>
    <w:rsid w:val="006761E0"/>
    <w:rsid w:val="006761EA"/>
    <w:rsid w:val="006764DA"/>
    <w:rsid w:val="006765EF"/>
    <w:rsid w:val="00676CAA"/>
    <w:rsid w:val="00676F10"/>
    <w:rsid w:val="0067729E"/>
    <w:rsid w:val="00677942"/>
    <w:rsid w:val="00677A9F"/>
    <w:rsid w:val="00677BAE"/>
    <w:rsid w:val="00677E25"/>
    <w:rsid w:val="006801AC"/>
    <w:rsid w:val="0068036A"/>
    <w:rsid w:val="00680379"/>
    <w:rsid w:val="00680392"/>
    <w:rsid w:val="00680635"/>
    <w:rsid w:val="006807C7"/>
    <w:rsid w:val="006810DB"/>
    <w:rsid w:val="00681382"/>
    <w:rsid w:val="00681A41"/>
    <w:rsid w:val="00682205"/>
    <w:rsid w:val="00682AC2"/>
    <w:rsid w:val="00682B6C"/>
    <w:rsid w:val="006830DC"/>
    <w:rsid w:val="006835FB"/>
    <w:rsid w:val="00683B56"/>
    <w:rsid w:val="00683B6E"/>
    <w:rsid w:val="006844DF"/>
    <w:rsid w:val="00684643"/>
    <w:rsid w:val="00684A32"/>
    <w:rsid w:val="00684A90"/>
    <w:rsid w:val="00684AA6"/>
    <w:rsid w:val="00684BD8"/>
    <w:rsid w:val="00684C10"/>
    <w:rsid w:val="00684E8C"/>
    <w:rsid w:val="00685066"/>
    <w:rsid w:val="00685631"/>
    <w:rsid w:val="00685773"/>
    <w:rsid w:val="00685867"/>
    <w:rsid w:val="006859BE"/>
    <w:rsid w:val="00685B71"/>
    <w:rsid w:val="00685B9C"/>
    <w:rsid w:val="00685DEB"/>
    <w:rsid w:val="00685FB6"/>
    <w:rsid w:val="00686283"/>
    <w:rsid w:val="0068671F"/>
    <w:rsid w:val="0068683B"/>
    <w:rsid w:val="0068683F"/>
    <w:rsid w:val="006868FD"/>
    <w:rsid w:val="00686B8E"/>
    <w:rsid w:val="00686BBF"/>
    <w:rsid w:val="00686DC1"/>
    <w:rsid w:val="00686F7C"/>
    <w:rsid w:val="006870F2"/>
    <w:rsid w:val="006871AB"/>
    <w:rsid w:val="006871B2"/>
    <w:rsid w:val="006878FF"/>
    <w:rsid w:val="00687EF5"/>
    <w:rsid w:val="00687FB5"/>
    <w:rsid w:val="00687FDB"/>
    <w:rsid w:val="00690351"/>
    <w:rsid w:val="006906A3"/>
    <w:rsid w:val="006907BC"/>
    <w:rsid w:val="00690917"/>
    <w:rsid w:val="00690EB8"/>
    <w:rsid w:val="0069178C"/>
    <w:rsid w:val="00691EB9"/>
    <w:rsid w:val="006924C1"/>
    <w:rsid w:val="006924F2"/>
    <w:rsid w:val="00692640"/>
    <w:rsid w:val="00692899"/>
    <w:rsid w:val="006929C9"/>
    <w:rsid w:val="00692B10"/>
    <w:rsid w:val="0069353E"/>
    <w:rsid w:val="006936DF"/>
    <w:rsid w:val="00693CC0"/>
    <w:rsid w:val="00693F4B"/>
    <w:rsid w:val="00694932"/>
    <w:rsid w:val="00694B40"/>
    <w:rsid w:val="00694BD4"/>
    <w:rsid w:val="00694ED0"/>
    <w:rsid w:val="006955AC"/>
    <w:rsid w:val="00695923"/>
    <w:rsid w:val="00695FD0"/>
    <w:rsid w:val="0069651B"/>
    <w:rsid w:val="00696E35"/>
    <w:rsid w:val="0069742E"/>
    <w:rsid w:val="0069763E"/>
    <w:rsid w:val="006979CC"/>
    <w:rsid w:val="00697DA9"/>
    <w:rsid w:val="006A0BDF"/>
    <w:rsid w:val="006A0D01"/>
    <w:rsid w:val="006A0EC6"/>
    <w:rsid w:val="006A148F"/>
    <w:rsid w:val="006A1494"/>
    <w:rsid w:val="006A1A3C"/>
    <w:rsid w:val="006A1CE2"/>
    <w:rsid w:val="006A1DE9"/>
    <w:rsid w:val="006A227F"/>
    <w:rsid w:val="006A2B41"/>
    <w:rsid w:val="006A3479"/>
    <w:rsid w:val="006A35F3"/>
    <w:rsid w:val="006A3CCF"/>
    <w:rsid w:val="006A3D71"/>
    <w:rsid w:val="006A3E13"/>
    <w:rsid w:val="006A4278"/>
    <w:rsid w:val="006A42FD"/>
    <w:rsid w:val="006A4655"/>
    <w:rsid w:val="006A48A1"/>
    <w:rsid w:val="006A497E"/>
    <w:rsid w:val="006A4A94"/>
    <w:rsid w:val="006A4E4D"/>
    <w:rsid w:val="006A5003"/>
    <w:rsid w:val="006A5690"/>
    <w:rsid w:val="006A60EE"/>
    <w:rsid w:val="006A627D"/>
    <w:rsid w:val="006A681F"/>
    <w:rsid w:val="006A68D2"/>
    <w:rsid w:val="006A6AA5"/>
    <w:rsid w:val="006A6B75"/>
    <w:rsid w:val="006A793C"/>
    <w:rsid w:val="006A7A4F"/>
    <w:rsid w:val="006A7D4E"/>
    <w:rsid w:val="006B0A50"/>
    <w:rsid w:val="006B0BB6"/>
    <w:rsid w:val="006B0C67"/>
    <w:rsid w:val="006B11D0"/>
    <w:rsid w:val="006B18FF"/>
    <w:rsid w:val="006B1B08"/>
    <w:rsid w:val="006B1FEC"/>
    <w:rsid w:val="006B23F9"/>
    <w:rsid w:val="006B250F"/>
    <w:rsid w:val="006B2581"/>
    <w:rsid w:val="006B2665"/>
    <w:rsid w:val="006B268E"/>
    <w:rsid w:val="006B2AA3"/>
    <w:rsid w:val="006B2B3C"/>
    <w:rsid w:val="006B3A05"/>
    <w:rsid w:val="006B3BB8"/>
    <w:rsid w:val="006B3F9D"/>
    <w:rsid w:val="006B40CD"/>
    <w:rsid w:val="006B4294"/>
    <w:rsid w:val="006B45B6"/>
    <w:rsid w:val="006B47F9"/>
    <w:rsid w:val="006B4F22"/>
    <w:rsid w:val="006B50EF"/>
    <w:rsid w:val="006B55E5"/>
    <w:rsid w:val="006B57C3"/>
    <w:rsid w:val="006B57CB"/>
    <w:rsid w:val="006B64D3"/>
    <w:rsid w:val="006B6945"/>
    <w:rsid w:val="006B6B7C"/>
    <w:rsid w:val="006B6BE0"/>
    <w:rsid w:val="006B6D6A"/>
    <w:rsid w:val="006B7695"/>
    <w:rsid w:val="006B7743"/>
    <w:rsid w:val="006B7A36"/>
    <w:rsid w:val="006B7B69"/>
    <w:rsid w:val="006B7CC2"/>
    <w:rsid w:val="006B7EA7"/>
    <w:rsid w:val="006C0276"/>
    <w:rsid w:val="006C071D"/>
    <w:rsid w:val="006C0C80"/>
    <w:rsid w:val="006C0EF1"/>
    <w:rsid w:val="006C0EFE"/>
    <w:rsid w:val="006C12B3"/>
    <w:rsid w:val="006C13D6"/>
    <w:rsid w:val="006C151C"/>
    <w:rsid w:val="006C1D81"/>
    <w:rsid w:val="006C1EEA"/>
    <w:rsid w:val="006C213A"/>
    <w:rsid w:val="006C2AB5"/>
    <w:rsid w:val="006C2AD6"/>
    <w:rsid w:val="006C2AF3"/>
    <w:rsid w:val="006C2EBE"/>
    <w:rsid w:val="006C3A00"/>
    <w:rsid w:val="006C46B2"/>
    <w:rsid w:val="006C4818"/>
    <w:rsid w:val="006C4ABE"/>
    <w:rsid w:val="006C4D0C"/>
    <w:rsid w:val="006C5DBD"/>
    <w:rsid w:val="006C62C9"/>
    <w:rsid w:val="006C67CB"/>
    <w:rsid w:val="006C6801"/>
    <w:rsid w:val="006C7038"/>
    <w:rsid w:val="006C716B"/>
    <w:rsid w:val="006C7ADE"/>
    <w:rsid w:val="006C7BB6"/>
    <w:rsid w:val="006C7CF4"/>
    <w:rsid w:val="006C7D5D"/>
    <w:rsid w:val="006D0451"/>
    <w:rsid w:val="006D0A79"/>
    <w:rsid w:val="006D0B04"/>
    <w:rsid w:val="006D0F31"/>
    <w:rsid w:val="006D15FC"/>
    <w:rsid w:val="006D1795"/>
    <w:rsid w:val="006D197C"/>
    <w:rsid w:val="006D1CE3"/>
    <w:rsid w:val="006D1F7F"/>
    <w:rsid w:val="006D2245"/>
    <w:rsid w:val="006D2810"/>
    <w:rsid w:val="006D2B66"/>
    <w:rsid w:val="006D32FF"/>
    <w:rsid w:val="006D36DC"/>
    <w:rsid w:val="006D38A0"/>
    <w:rsid w:val="006D45BB"/>
    <w:rsid w:val="006D513A"/>
    <w:rsid w:val="006D55B3"/>
    <w:rsid w:val="006D5BCA"/>
    <w:rsid w:val="006D5CDC"/>
    <w:rsid w:val="006D68C2"/>
    <w:rsid w:val="006D69B3"/>
    <w:rsid w:val="006D6A5E"/>
    <w:rsid w:val="006D6DD0"/>
    <w:rsid w:val="006D7084"/>
    <w:rsid w:val="006D7328"/>
    <w:rsid w:val="006D750A"/>
    <w:rsid w:val="006D75FE"/>
    <w:rsid w:val="006D78CE"/>
    <w:rsid w:val="006D7E2B"/>
    <w:rsid w:val="006D7F7A"/>
    <w:rsid w:val="006E04EB"/>
    <w:rsid w:val="006E0989"/>
    <w:rsid w:val="006E0E7E"/>
    <w:rsid w:val="006E10DC"/>
    <w:rsid w:val="006E12B2"/>
    <w:rsid w:val="006E1AF0"/>
    <w:rsid w:val="006E1B64"/>
    <w:rsid w:val="006E23E7"/>
    <w:rsid w:val="006E2416"/>
    <w:rsid w:val="006E2839"/>
    <w:rsid w:val="006E29FE"/>
    <w:rsid w:val="006E2A1D"/>
    <w:rsid w:val="006E2D43"/>
    <w:rsid w:val="006E2DC6"/>
    <w:rsid w:val="006E2DD7"/>
    <w:rsid w:val="006E303A"/>
    <w:rsid w:val="006E343F"/>
    <w:rsid w:val="006E3A9B"/>
    <w:rsid w:val="006E3C96"/>
    <w:rsid w:val="006E3DAF"/>
    <w:rsid w:val="006E40CB"/>
    <w:rsid w:val="006E4707"/>
    <w:rsid w:val="006E4B36"/>
    <w:rsid w:val="006E50BB"/>
    <w:rsid w:val="006E55DD"/>
    <w:rsid w:val="006E5984"/>
    <w:rsid w:val="006E5CFE"/>
    <w:rsid w:val="006E5DB3"/>
    <w:rsid w:val="006E5EC8"/>
    <w:rsid w:val="006E6772"/>
    <w:rsid w:val="006E6C1C"/>
    <w:rsid w:val="006E6F3D"/>
    <w:rsid w:val="006E6F4C"/>
    <w:rsid w:val="006E6FA6"/>
    <w:rsid w:val="006E6FA8"/>
    <w:rsid w:val="006E7284"/>
    <w:rsid w:val="006E73EF"/>
    <w:rsid w:val="006E75EB"/>
    <w:rsid w:val="006E7C70"/>
    <w:rsid w:val="006E7D32"/>
    <w:rsid w:val="006E7E52"/>
    <w:rsid w:val="006F03CE"/>
    <w:rsid w:val="006F0537"/>
    <w:rsid w:val="006F0802"/>
    <w:rsid w:val="006F0FF8"/>
    <w:rsid w:val="006F126C"/>
    <w:rsid w:val="006F1574"/>
    <w:rsid w:val="006F1644"/>
    <w:rsid w:val="006F1A4A"/>
    <w:rsid w:val="006F1B06"/>
    <w:rsid w:val="006F1CC3"/>
    <w:rsid w:val="006F2100"/>
    <w:rsid w:val="006F2C27"/>
    <w:rsid w:val="006F2C91"/>
    <w:rsid w:val="006F2E18"/>
    <w:rsid w:val="006F2E2B"/>
    <w:rsid w:val="006F3389"/>
    <w:rsid w:val="006F3D74"/>
    <w:rsid w:val="006F40BA"/>
    <w:rsid w:val="006F40CC"/>
    <w:rsid w:val="006F4212"/>
    <w:rsid w:val="006F43D6"/>
    <w:rsid w:val="006F4426"/>
    <w:rsid w:val="006F4462"/>
    <w:rsid w:val="006F44B2"/>
    <w:rsid w:val="006F468D"/>
    <w:rsid w:val="006F48E5"/>
    <w:rsid w:val="006F4F41"/>
    <w:rsid w:val="006F510F"/>
    <w:rsid w:val="006F52BD"/>
    <w:rsid w:val="006F55CF"/>
    <w:rsid w:val="006F5758"/>
    <w:rsid w:val="006F5BFC"/>
    <w:rsid w:val="006F5E4C"/>
    <w:rsid w:val="006F5EA2"/>
    <w:rsid w:val="006F6DD6"/>
    <w:rsid w:val="006F6EDE"/>
    <w:rsid w:val="006F7150"/>
    <w:rsid w:val="006F73AC"/>
    <w:rsid w:val="006F7C0D"/>
    <w:rsid w:val="006F7C42"/>
    <w:rsid w:val="006F7E67"/>
    <w:rsid w:val="006F7F20"/>
    <w:rsid w:val="006F7F3B"/>
    <w:rsid w:val="00700537"/>
    <w:rsid w:val="007005BA"/>
    <w:rsid w:val="0070105F"/>
    <w:rsid w:val="0070129A"/>
    <w:rsid w:val="00701616"/>
    <w:rsid w:val="0070170B"/>
    <w:rsid w:val="00701F29"/>
    <w:rsid w:val="007020D0"/>
    <w:rsid w:val="007021E1"/>
    <w:rsid w:val="007021ED"/>
    <w:rsid w:val="00702616"/>
    <w:rsid w:val="0070271B"/>
    <w:rsid w:val="007027E3"/>
    <w:rsid w:val="00702A98"/>
    <w:rsid w:val="00702B22"/>
    <w:rsid w:val="00702DC6"/>
    <w:rsid w:val="007030A5"/>
    <w:rsid w:val="007033DB"/>
    <w:rsid w:val="0070341C"/>
    <w:rsid w:val="00703A26"/>
    <w:rsid w:val="00703BC1"/>
    <w:rsid w:val="00703C6E"/>
    <w:rsid w:val="00704296"/>
    <w:rsid w:val="00704AF3"/>
    <w:rsid w:val="00705090"/>
    <w:rsid w:val="007054A3"/>
    <w:rsid w:val="00706A82"/>
    <w:rsid w:val="00706B0B"/>
    <w:rsid w:val="00706D77"/>
    <w:rsid w:val="007079C9"/>
    <w:rsid w:val="00707AE9"/>
    <w:rsid w:val="00707F48"/>
    <w:rsid w:val="007101E7"/>
    <w:rsid w:val="0071075A"/>
    <w:rsid w:val="0071085E"/>
    <w:rsid w:val="00710A52"/>
    <w:rsid w:val="00710E70"/>
    <w:rsid w:val="0071109F"/>
    <w:rsid w:val="0071113F"/>
    <w:rsid w:val="007114BA"/>
    <w:rsid w:val="00711749"/>
    <w:rsid w:val="007117B2"/>
    <w:rsid w:val="007117EE"/>
    <w:rsid w:val="007118C9"/>
    <w:rsid w:val="00711F6B"/>
    <w:rsid w:val="00712779"/>
    <w:rsid w:val="0071336B"/>
    <w:rsid w:val="00713608"/>
    <w:rsid w:val="007140A6"/>
    <w:rsid w:val="0071415A"/>
    <w:rsid w:val="00714312"/>
    <w:rsid w:val="0071444D"/>
    <w:rsid w:val="0071461F"/>
    <w:rsid w:val="0071469C"/>
    <w:rsid w:val="0071494F"/>
    <w:rsid w:val="00714C9A"/>
    <w:rsid w:val="00714D4D"/>
    <w:rsid w:val="00715C88"/>
    <w:rsid w:val="007160FB"/>
    <w:rsid w:val="007163CC"/>
    <w:rsid w:val="00716421"/>
    <w:rsid w:val="00716AC9"/>
    <w:rsid w:val="00716F13"/>
    <w:rsid w:val="007171FF"/>
    <w:rsid w:val="00717632"/>
    <w:rsid w:val="00717668"/>
    <w:rsid w:val="00717B1A"/>
    <w:rsid w:val="00717CB8"/>
    <w:rsid w:val="007203CB"/>
    <w:rsid w:val="007204CE"/>
    <w:rsid w:val="00720598"/>
    <w:rsid w:val="007210A1"/>
    <w:rsid w:val="00721FB9"/>
    <w:rsid w:val="00722308"/>
    <w:rsid w:val="007223FD"/>
    <w:rsid w:val="00722545"/>
    <w:rsid w:val="0072287C"/>
    <w:rsid w:val="00722EEF"/>
    <w:rsid w:val="00722F24"/>
    <w:rsid w:val="00723273"/>
    <w:rsid w:val="007236F7"/>
    <w:rsid w:val="007238FE"/>
    <w:rsid w:val="007239A4"/>
    <w:rsid w:val="007240CD"/>
    <w:rsid w:val="0072412E"/>
    <w:rsid w:val="0072436E"/>
    <w:rsid w:val="0072473C"/>
    <w:rsid w:val="0072493C"/>
    <w:rsid w:val="00724D8B"/>
    <w:rsid w:val="00725145"/>
    <w:rsid w:val="00725670"/>
    <w:rsid w:val="00726009"/>
    <w:rsid w:val="0072610B"/>
    <w:rsid w:val="007266D3"/>
    <w:rsid w:val="007266FF"/>
    <w:rsid w:val="00727361"/>
    <w:rsid w:val="00727518"/>
    <w:rsid w:val="0072776F"/>
    <w:rsid w:val="00727982"/>
    <w:rsid w:val="007300DA"/>
    <w:rsid w:val="00730CB3"/>
    <w:rsid w:val="00730DAB"/>
    <w:rsid w:val="0073125E"/>
    <w:rsid w:val="00731F16"/>
    <w:rsid w:val="00731F93"/>
    <w:rsid w:val="00732029"/>
    <w:rsid w:val="0073223F"/>
    <w:rsid w:val="0073278C"/>
    <w:rsid w:val="0073294C"/>
    <w:rsid w:val="00732F2B"/>
    <w:rsid w:val="0073376B"/>
    <w:rsid w:val="00733A39"/>
    <w:rsid w:val="00734523"/>
    <w:rsid w:val="0073458D"/>
    <w:rsid w:val="00734827"/>
    <w:rsid w:val="00734D53"/>
    <w:rsid w:val="00734F64"/>
    <w:rsid w:val="00735DDD"/>
    <w:rsid w:val="00736478"/>
    <w:rsid w:val="0073672F"/>
    <w:rsid w:val="00736D42"/>
    <w:rsid w:val="00736E7C"/>
    <w:rsid w:val="00737062"/>
    <w:rsid w:val="00737271"/>
    <w:rsid w:val="00737B06"/>
    <w:rsid w:val="00737B5E"/>
    <w:rsid w:val="00737CDB"/>
    <w:rsid w:val="0074017D"/>
    <w:rsid w:val="007408ED"/>
    <w:rsid w:val="007409E0"/>
    <w:rsid w:val="00740C34"/>
    <w:rsid w:val="0074161C"/>
    <w:rsid w:val="00741773"/>
    <w:rsid w:val="00741E3E"/>
    <w:rsid w:val="0074212B"/>
    <w:rsid w:val="0074257B"/>
    <w:rsid w:val="007429BB"/>
    <w:rsid w:val="00742A11"/>
    <w:rsid w:val="00742C63"/>
    <w:rsid w:val="00743225"/>
    <w:rsid w:val="007433C7"/>
    <w:rsid w:val="00743509"/>
    <w:rsid w:val="0074363F"/>
    <w:rsid w:val="0074382D"/>
    <w:rsid w:val="00743A1B"/>
    <w:rsid w:val="00743AAA"/>
    <w:rsid w:val="00743ADE"/>
    <w:rsid w:val="00743E95"/>
    <w:rsid w:val="00743F4C"/>
    <w:rsid w:val="00743FE4"/>
    <w:rsid w:val="0074444D"/>
    <w:rsid w:val="007446F1"/>
    <w:rsid w:val="0074499C"/>
    <w:rsid w:val="00744C0D"/>
    <w:rsid w:val="00744EB7"/>
    <w:rsid w:val="00744F33"/>
    <w:rsid w:val="00744FB9"/>
    <w:rsid w:val="00745259"/>
    <w:rsid w:val="00745494"/>
    <w:rsid w:val="00745524"/>
    <w:rsid w:val="00746B00"/>
    <w:rsid w:val="00747094"/>
    <w:rsid w:val="007470AA"/>
    <w:rsid w:val="00747278"/>
    <w:rsid w:val="00747B6B"/>
    <w:rsid w:val="00747DF8"/>
    <w:rsid w:val="007504B8"/>
    <w:rsid w:val="007504EB"/>
    <w:rsid w:val="007504F8"/>
    <w:rsid w:val="00750684"/>
    <w:rsid w:val="00750CBA"/>
    <w:rsid w:val="007510CC"/>
    <w:rsid w:val="007510D9"/>
    <w:rsid w:val="0075119A"/>
    <w:rsid w:val="0075144C"/>
    <w:rsid w:val="00751979"/>
    <w:rsid w:val="00752164"/>
    <w:rsid w:val="007521B6"/>
    <w:rsid w:val="00752364"/>
    <w:rsid w:val="007523F5"/>
    <w:rsid w:val="007524C9"/>
    <w:rsid w:val="00752D4C"/>
    <w:rsid w:val="00752E6A"/>
    <w:rsid w:val="00752FF0"/>
    <w:rsid w:val="00753214"/>
    <w:rsid w:val="00753285"/>
    <w:rsid w:val="007533A1"/>
    <w:rsid w:val="007534DB"/>
    <w:rsid w:val="0075395B"/>
    <w:rsid w:val="00753F00"/>
    <w:rsid w:val="00753FC8"/>
    <w:rsid w:val="00754966"/>
    <w:rsid w:val="007549BB"/>
    <w:rsid w:val="00754A6C"/>
    <w:rsid w:val="00754B56"/>
    <w:rsid w:val="00754C77"/>
    <w:rsid w:val="00754DEE"/>
    <w:rsid w:val="00754FE4"/>
    <w:rsid w:val="007552FA"/>
    <w:rsid w:val="007554A4"/>
    <w:rsid w:val="00755517"/>
    <w:rsid w:val="0075557E"/>
    <w:rsid w:val="007561A2"/>
    <w:rsid w:val="0075637A"/>
    <w:rsid w:val="007568BB"/>
    <w:rsid w:val="00756C31"/>
    <w:rsid w:val="00757166"/>
    <w:rsid w:val="00757698"/>
    <w:rsid w:val="00760250"/>
    <w:rsid w:val="007604BB"/>
    <w:rsid w:val="00760742"/>
    <w:rsid w:val="0076083A"/>
    <w:rsid w:val="007608BC"/>
    <w:rsid w:val="0076091E"/>
    <w:rsid w:val="007610E8"/>
    <w:rsid w:val="007616CC"/>
    <w:rsid w:val="00761A61"/>
    <w:rsid w:val="00762095"/>
    <w:rsid w:val="007620E5"/>
    <w:rsid w:val="0076217F"/>
    <w:rsid w:val="00762F8B"/>
    <w:rsid w:val="007630AB"/>
    <w:rsid w:val="007630C3"/>
    <w:rsid w:val="0076333F"/>
    <w:rsid w:val="007637C3"/>
    <w:rsid w:val="00764510"/>
    <w:rsid w:val="0076476C"/>
    <w:rsid w:val="00764F53"/>
    <w:rsid w:val="00765034"/>
    <w:rsid w:val="0076530E"/>
    <w:rsid w:val="00765E76"/>
    <w:rsid w:val="00765FF4"/>
    <w:rsid w:val="00766011"/>
    <w:rsid w:val="00766028"/>
    <w:rsid w:val="007660F6"/>
    <w:rsid w:val="00766348"/>
    <w:rsid w:val="007668B5"/>
    <w:rsid w:val="00766C73"/>
    <w:rsid w:val="007670DE"/>
    <w:rsid w:val="00767D7A"/>
    <w:rsid w:val="0077028B"/>
    <w:rsid w:val="00770385"/>
    <w:rsid w:val="0077058E"/>
    <w:rsid w:val="00770891"/>
    <w:rsid w:val="007708FE"/>
    <w:rsid w:val="00770E43"/>
    <w:rsid w:val="007710CE"/>
    <w:rsid w:val="00771605"/>
    <w:rsid w:val="00771915"/>
    <w:rsid w:val="0077201B"/>
    <w:rsid w:val="0077257C"/>
    <w:rsid w:val="007726BF"/>
    <w:rsid w:val="007727A7"/>
    <w:rsid w:val="00772909"/>
    <w:rsid w:val="00772AD1"/>
    <w:rsid w:val="00772AEA"/>
    <w:rsid w:val="00772BAF"/>
    <w:rsid w:val="00772CE6"/>
    <w:rsid w:val="00772CFC"/>
    <w:rsid w:val="007731F4"/>
    <w:rsid w:val="00773414"/>
    <w:rsid w:val="0077371E"/>
    <w:rsid w:val="007737A1"/>
    <w:rsid w:val="00774010"/>
    <w:rsid w:val="00774377"/>
    <w:rsid w:val="0077449D"/>
    <w:rsid w:val="007746AC"/>
    <w:rsid w:val="00774AD0"/>
    <w:rsid w:val="00774FDA"/>
    <w:rsid w:val="00775034"/>
    <w:rsid w:val="00775194"/>
    <w:rsid w:val="007755ED"/>
    <w:rsid w:val="00776528"/>
    <w:rsid w:val="007778EB"/>
    <w:rsid w:val="00777D17"/>
    <w:rsid w:val="00777E1B"/>
    <w:rsid w:val="00777E21"/>
    <w:rsid w:val="007800FB"/>
    <w:rsid w:val="007806A5"/>
    <w:rsid w:val="00780CA8"/>
    <w:rsid w:val="00781200"/>
    <w:rsid w:val="0078124E"/>
    <w:rsid w:val="00781488"/>
    <w:rsid w:val="00781508"/>
    <w:rsid w:val="00781A43"/>
    <w:rsid w:val="00781EC4"/>
    <w:rsid w:val="00782588"/>
    <w:rsid w:val="00782A84"/>
    <w:rsid w:val="00782CC3"/>
    <w:rsid w:val="00783950"/>
    <w:rsid w:val="00783F07"/>
    <w:rsid w:val="00784120"/>
    <w:rsid w:val="007844BA"/>
    <w:rsid w:val="0078479D"/>
    <w:rsid w:val="007847FF"/>
    <w:rsid w:val="00784D74"/>
    <w:rsid w:val="00784E05"/>
    <w:rsid w:val="007850B5"/>
    <w:rsid w:val="00785232"/>
    <w:rsid w:val="00785A87"/>
    <w:rsid w:val="00785E73"/>
    <w:rsid w:val="00785E91"/>
    <w:rsid w:val="00786088"/>
    <w:rsid w:val="0078711C"/>
    <w:rsid w:val="00790370"/>
    <w:rsid w:val="00790432"/>
    <w:rsid w:val="00790E0B"/>
    <w:rsid w:val="00790FBD"/>
    <w:rsid w:val="007917DF"/>
    <w:rsid w:val="00791917"/>
    <w:rsid w:val="0079229C"/>
    <w:rsid w:val="0079233A"/>
    <w:rsid w:val="007926EB"/>
    <w:rsid w:val="00792923"/>
    <w:rsid w:val="00792CB2"/>
    <w:rsid w:val="00792CC1"/>
    <w:rsid w:val="00792E85"/>
    <w:rsid w:val="00792EE9"/>
    <w:rsid w:val="00792F1C"/>
    <w:rsid w:val="00792F81"/>
    <w:rsid w:val="00793370"/>
    <w:rsid w:val="00793AD9"/>
    <w:rsid w:val="00793C60"/>
    <w:rsid w:val="007948BB"/>
    <w:rsid w:val="00794D09"/>
    <w:rsid w:val="00794D15"/>
    <w:rsid w:val="00794D1E"/>
    <w:rsid w:val="00795142"/>
    <w:rsid w:val="007951DC"/>
    <w:rsid w:val="007958BB"/>
    <w:rsid w:val="00795B41"/>
    <w:rsid w:val="00795BD7"/>
    <w:rsid w:val="00796568"/>
    <w:rsid w:val="0079689E"/>
    <w:rsid w:val="00796984"/>
    <w:rsid w:val="00796CBE"/>
    <w:rsid w:val="0079701E"/>
    <w:rsid w:val="0079705E"/>
    <w:rsid w:val="00797424"/>
    <w:rsid w:val="0079787D"/>
    <w:rsid w:val="0079788C"/>
    <w:rsid w:val="00797C35"/>
    <w:rsid w:val="007A0206"/>
    <w:rsid w:val="007A0434"/>
    <w:rsid w:val="007A087D"/>
    <w:rsid w:val="007A0FCD"/>
    <w:rsid w:val="007A14F4"/>
    <w:rsid w:val="007A1F69"/>
    <w:rsid w:val="007A21EB"/>
    <w:rsid w:val="007A222D"/>
    <w:rsid w:val="007A242A"/>
    <w:rsid w:val="007A2D33"/>
    <w:rsid w:val="007A2EED"/>
    <w:rsid w:val="007A30C5"/>
    <w:rsid w:val="007A32C8"/>
    <w:rsid w:val="007A354E"/>
    <w:rsid w:val="007A3702"/>
    <w:rsid w:val="007A3D33"/>
    <w:rsid w:val="007A4583"/>
    <w:rsid w:val="007A4628"/>
    <w:rsid w:val="007A46AC"/>
    <w:rsid w:val="007A472B"/>
    <w:rsid w:val="007A502B"/>
    <w:rsid w:val="007A51E7"/>
    <w:rsid w:val="007A5221"/>
    <w:rsid w:val="007A52B5"/>
    <w:rsid w:val="007A560B"/>
    <w:rsid w:val="007A5C03"/>
    <w:rsid w:val="007A5D4A"/>
    <w:rsid w:val="007A5DE9"/>
    <w:rsid w:val="007A6473"/>
    <w:rsid w:val="007A65E9"/>
    <w:rsid w:val="007A6619"/>
    <w:rsid w:val="007A7BE3"/>
    <w:rsid w:val="007B0161"/>
    <w:rsid w:val="007B0461"/>
    <w:rsid w:val="007B04CE"/>
    <w:rsid w:val="007B096F"/>
    <w:rsid w:val="007B0AF6"/>
    <w:rsid w:val="007B1084"/>
    <w:rsid w:val="007B14A3"/>
    <w:rsid w:val="007B1560"/>
    <w:rsid w:val="007B162F"/>
    <w:rsid w:val="007B1A93"/>
    <w:rsid w:val="007B1DCD"/>
    <w:rsid w:val="007B2620"/>
    <w:rsid w:val="007B310D"/>
    <w:rsid w:val="007B3417"/>
    <w:rsid w:val="007B371B"/>
    <w:rsid w:val="007B3D9C"/>
    <w:rsid w:val="007B3FED"/>
    <w:rsid w:val="007B4485"/>
    <w:rsid w:val="007B4E63"/>
    <w:rsid w:val="007B518A"/>
    <w:rsid w:val="007B55E7"/>
    <w:rsid w:val="007B60CB"/>
    <w:rsid w:val="007B6254"/>
    <w:rsid w:val="007B631E"/>
    <w:rsid w:val="007B6511"/>
    <w:rsid w:val="007B6A27"/>
    <w:rsid w:val="007B6C92"/>
    <w:rsid w:val="007B6F59"/>
    <w:rsid w:val="007B71F8"/>
    <w:rsid w:val="007B795B"/>
    <w:rsid w:val="007B7B76"/>
    <w:rsid w:val="007C02FC"/>
    <w:rsid w:val="007C031B"/>
    <w:rsid w:val="007C063D"/>
    <w:rsid w:val="007C0AF2"/>
    <w:rsid w:val="007C0B54"/>
    <w:rsid w:val="007C0CA2"/>
    <w:rsid w:val="007C11C7"/>
    <w:rsid w:val="007C18D0"/>
    <w:rsid w:val="007C1A68"/>
    <w:rsid w:val="007C1DD0"/>
    <w:rsid w:val="007C21AC"/>
    <w:rsid w:val="007C233D"/>
    <w:rsid w:val="007C2398"/>
    <w:rsid w:val="007C2474"/>
    <w:rsid w:val="007C2AB1"/>
    <w:rsid w:val="007C2B92"/>
    <w:rsid w:val="007C2EC0"/>
    <w:rsid w:val="007C2FBC"/>
    <w:rsid w:val="007C343A"/>
    <w:rsid w:val="007C36C9"/>
    <w:rsid w:val="007C3746"/>
    <w:rsid w:val="007C3AEA"/>
    <w:rsid w:val="007C4111"/>
    <w:rsid w:val="007C419F"/>
    <w:rsid w:val="007C42C4"/>
    <w:rsid w:val="007C4643"/>
    <w:rsid w:val="007C4968"/>
    <w:rsid w:val="007C52AE"/>
    <w:rsid w:val="007C54B3"/>
    <w:rsid w:val="007C5604"/>
    <w:rsid w:val="007C57ED"/>
    <w:rsid w:val="007C5902"/>
    <w:rsid w:val="007C62D0"/>
    <w:rsid w:val="007C6AFD"/>
    <w:rsid w:val="007C6BA6"/>
    <w:rsid w:val="007C6E9D"/>
    <w:rsid w:val="007C72B9"/>
    <w:rsid w:val="007C75AC"/>
    <w:rsid w:val="007C7613"/>
    <w:rsid w:val="007C7923"/>
    <w:rsid w:val="007C7AFD"/>
    <w:rsid w:val="007D09D1"/>
    <w:rsid w:val="007D0A7D"/>
    <w:rsid w:val="007D0D1F"/>
    <w:rsid w:val="007D1991"/>
    <w:rsid w:val="007D21B5"/>
    <w:rsid w:val="007D2495"/>
    <w:rsid w:val="007D254A"/>
    <w:rsid w:val="007D27F5"/>
    <w:rsid w:val="007D285F"/>
    <w:rsid w:val="007D2ED9"/>
    <w:rsid w:val="007D300D"/>
    <w:rsid w:val="007D3349"/>
    <w:rsid w:val="007D3626"/>
    <w:rsid w:val="007D4364"/>
    <w:rsid w:val="007D4659"/>
    <w:rsid w:val="007D47E8"/>
    <w:rsid w:val="007D4B03"/>
    <w:rsid w:val="007D4E4E"/>
    <w:rsid w:val="007D50D2"/>
    <w:rsid w:val="007D572C"/>
    <w:rsid w:val="007D57E2"/>
    <w:rsid w:val="007D5DEA"/>
    <w:rsid w:val="007D6153"/>
    <w:rsid w:val="007D6401"/>
    <w:rsid w:val="007D6491"/>
    <w:rsid w:val="007D6819"/>
    <w:rsid w:val="007D6BA7"/>
    <w:rsid w:val="007D6DD6"/>
    <w:rsid w:val="007D6E96"/>
    <w:rsid w:val="007D6EDE"/>
    <w:rsid w:val="007D6F85"/>
    <w:rsid w:val="007D7296"/>
    <w:rsid w:val="007D76CB"/>
    <w:rsid w:val="007D796F"/>
    <w:rsid w:val="007D7A5C"/>
    <w:rsid w:val="007D7A82"/>
    <w:rsid w:val="007D7AF0"/>
    <w:rsid w:val="007E00C6"/>
    <w:rsid w:val="007E01E4"/>
    <w:rsid w:val="007E036A"/>
    <w:rsid w:val="007E080F"/>
    <w:rsid w:val="007E085F"/>
    <w:rsid w:val="007E0990"/>
    <w:rsid w:val="007E0C7D"/>
    <w:rsid w:val="007E0E82"/>
    <w:rsid w:val="007E13C6"/>
    <w:rsid w:val="007E151A"/>
    <w:rsid w:val="007E1528"/>
    <w:rsid w:val="007E16BE"/>
    <w:rsid w:val="007E16E3"/>
    <w:rsid w:val="007E1A58"/>
    <w:rsid w:val="007E1A64"/>
    <w:rsid w:val="007E1AE5"/>
    <w:rsid w:val="007E1AE8"/>
    <w:rsid w:val="007E224E"/>
    <w:rsid w:val="007E3184"/>
    <w:rsid w:val="007E37CF"/>
    <w:rsid w:val="007E3924"/>
    <w:rsid w:val="007E3A3A"/>
    <w:rsid w:val="007E3A54"/>
    <w:rsid w:val="007E3C40"/>
    <w:rsid w:val="007E3CF3"/>
    <w:rsid w:val="007E3DDB"/>
    <w:rsid w:val="007E3F36"/>
    <w:rsid w:val="007E3FD0"/>
    <w:rsid w:val="007E4052"/>
    <w:rsid w:val="007E435B"/>
    <w:rsid w:val="007E4534"/>
    <w:rsid w:val="007E4A22"/>
    <w:rsid w:val="007E5507"/>
    <w:rsid w:val="007E5730"/>
    <w:rsid w:val="007E588D"/>
    <w:rsid w:val="007E58F5"/>
    <w:rsid w:val="007E5957"/>
    <w:rsid w:val="007E63CB"/>
    <w:rsid w:val="007E6D30"/>
    <w:rsid w:val="007E70D7"/>
    <w:rsid w:val="007E70DD"/>
    <w:rsid w:val="007E71E3"/>
    <w:rsid w:val="007E727B"/>
    <w:rsid w:val="007E7600"/>
    <w:rsid w:val="007E760B"/>
    <w:rsid w:val="007E7A12"/>
    <w:rsid w:val="007E7BA2"/>
    <w:rsid w:val="007E7C71"/>
    <w:rsid w:val="007F0179"/>
    <w:rsid w:val="007F07A1"/>
    <w:rsid w:val="007F0F67"/>
    <w:rsid w:val="007F1368"/>
    <w:rsid w:val="007F1936"/>
    <w:rsid w:val="007F1C85"/>
    <w:rsid w:val="007F1D1D"/>
    <w:rsid w:val="007F22B5"/>
    <w:rsid w:val="007F28BA"/>
    <w:rsid w:val="007F2918"/>
    <w:rsid w:val="007F2EA5"/>
    <w:rsid w:val="007F3287"/>
    <w:rsid w:val="007F3583"/>
    <w:rsid w:val="007F3775"/>
    <w:rsid w:val="007F3D2B"/>
    <w:rsid w:val="007F3D96"/>
    <w:rsid w:val="007F3ECA"/>
    <w:rsid w:val="007F3FB6"/>
    <w:rsid w:val="007F42DC"/>
    <w:rsid w:val="007F430B"/>
    <w:rsid w:val="007F46FF"/>
    <w:rsid w:val="007F518C"/>
    <w:rsid w:val="007F519F"/>
    <w:rsid w:val="007F5F76"/>
    <w:rsid w:val="007F67E7"/>
    <w:rsid w:val="007F6DDB"/>
    <w:rsid w:val="007F7055"/>
    <w:rsid w:val="007F7107"/>
    <w:rsid w:val="007F7854"/>
    <w:rsid w:val="007F78B9"/>
    <w:rsid w:val="007F7B2A"/>
    <w:rsid w:val="007F7D80"/>
    <w:rsid w:val="0080013F"/>
    <w:rsid w:val="00800246"/>
    <w:rsid w:val="008007C0"/>
    <w:rsid w:val="00800D4C"/>
    <w:rsid w:val="0080140B"/>
    <w:rsid w:val="0080140C"/>
    <w:rsid w:val="00801434"/>
    <w:rsid w:val="00801588"/>
    <w:rsid w:val="00801875"/>
    <w:rsid w:val="00801905"/>
    <w:rsid w:val="008024FC"/>
    <w:rsid w:val="00802950"/>
    <w:rsid w:val="008029A9"/>
    <w:rsid w:val="00802D32"/>
    <w:rsid w:val="00802E00"/>
    <w:rsid w:val="00802E43"/>
    <w:rsid w:val="00802F2D"/>
    <w:rsid w:val="00802FEA"/>
    <w:rsid w:val="0080300F"/>
    <w:rsid w:val="0080396B"/>
    <w:rsid w:val="008039BF"/>
    <w:rsid w:val="00803D1E"/>
    <w:rsid w:val="00804019"/>
    <w:rsid w:val="00804345"/>
    <w:rsid w:val="008046CE"/>
    <w:rsid w:val="00804779"/>
    <w:rsid w:val="00804AFD"/>
    <w:rsid w:val="008050B4"/>
    <w:rsid w:val="008052B1"/>
    <w:rsid w:val="00805639"/>
    <w:rsid w:val="0080591C"/>
    <w:rsid w:val="00805BD5"/>
    <w:rsid w:val="00805D59"/>
    <w:rsid w:val="00806014"/>
    <w:rsid w:val="008063B1"/>
    <w:rsid w:val="00806416"/>
    <w:rsid w:val="0080694D"/>
    <w:rsid w:val="00807065"/>
    <w:rsid w:val="0080739F"/>
    <w:rsid w:val="008075C7"/>
    <w:rsid w:val="00807980"/>
    <w:rsid w:val="00807ACF"/>
    <w:rsid w:val="0081030F"/>
    <w:rsid w:val="00810C46"/>
    <w:rsid w:val="00810D85"/>
    <w:rsid w:val="00810F0F"/>
    <w:rsid w:val="00811104"/>
    <w:rsid w:val="0081196C"/>
    <w:rsid w:val="00811EF3"/>
    <w:rsid w:val="0081200F"/>
    <w:rsid w:val="00812950"/>
    <w:rsid w:val="008129EB"/>
    <w:rsid w:val="00812C4D"/>
    <w:rsid w:val="00812CB1"/>
    <w:rsid w:val="00812E43"/>
    <w:rsid w:val="00812F4A"/>
    <w:rsid w:val="00813034"/>
    <w:rsid w:val="00813061"/>
    <w:rsid w:val="00813624"/>
    <w:rsid w:val="00813AA7"/>
    <w:rsid w:val="00813B57"/>
    <w:rsid w:val="00813C42"/>
    <w:rsid w:val="00813DE0"/>
    <w:rsid w:val="00814030"/>
    <w:rsid w:val="00814184"/>
    <w:rsid w:val="00815070"/>
    <w:rsid w:val="008156DE"/>
    <w:rsid w:val="00815E88"/>
    <w:rsid w:val="0081667A"/>
    <w:rsid w:val="008166C2"/>
    <w:rsid w:val="008169B4"/>
    <w:rsid w:val="00816A69"/>
    <w:rsid w:val="00816EBA"/>
    <w:rsid w:val="00816F2C"/>
    <w:rsid w:val="008172D3"/>
    <w:rsid w:val="008206BF"/>
    <w:rsid w:val="0082087D"/>
    <w:rsid w:val="00820A81"/>
    <w:rsid w:val="00820AA5"/>
    <w:rsid w:val="00820B96"/>
    <w:rsid w:val="00820C9A"/>
    <w:rsid w:val="008212AA"/>
    <w:rsid w:val="008212B2"/>
    <w:rsid w:val="00821408"/>
    <w:rsid w:val="00821570"/>
    <w:rsid w:val="008217D6"/>
    <w:rsid w:val="0082183D"/>
    <w:rsid w:val="00821EAE"/>
    <w:rsid w:val="00822266"/>
    <w:rsid w:val="00822766"/>
    <w:rsid w:val="00822843"/>
    <w:rsid w:val="00822DCC"/>
    <w:rsid w:val="00822E5B"/>
    <w:rsid w:val="00822E66"/>
    <w:rsid w:val="00822FEE"/>
    <w:rsid w:val="00823301"/>
    <w:rsid w:val="008240EB"/>
    <w:rsid w:val="0082412C"/>
    <w:rsid w:val="0082433D"/>
    <w:rsid w:val="0082472B"/>
    <w:rsid w:val="00824C80"/>
    <w:rsid w:val="00825017"/>
    <w:rsid w:val="00825102"/>
    <w:rsid w:val="00825266"/>
    <w:rsid w:val="00825436"/>
    <w:rsid w:val="00825D75"/>
    <w:rsid w:val="00826496"/>
    <w:rsid w:val="0082664D"/>
    <w:rsid w:val="008267B2"/>
    <w:rsid w:val="00826AF3"/>
    <w:rsid w:val="00827213"/>
    <w:rsid w:val="008272DD"/>
    <w:rsid w:val="008273D6"/>
    <w:rsid w:val="008275E8"/>
    <w:rsid w:val="008277DA"/>
    <w:rsid w:val="00827BF5"/>
    <w:rsid w:val="00830541"/>
    <w:rsid w:val="008306FB"/>
    <w:rsid w:val="008307A0"/>
    <w:rsid w:val="00831366"/>
    <w:rsid w:val="00831858"/>
    <w:rsid w:val="00831B40"/>
    <w:rsid w:val="008322E3"/>
    <w:rsid w:val="00832491"/>
    <w:rsid w:val="00833974"/>
    <w:rsid w:val="00833DE0"/>
    <w:rsid w:val="00833F64"/>
    <w:rsid w:val="00834778"/>
    <w:rsid w:val="008350DE"/>
    <w:rsid w:val="00835771"/>
    <w:rsid w:val="008359CF"/>
    <w:rsid w:val="00835A0D"/>
    <w:rsid w:val="00835AD4"/>
    <w:rsid w:val="00835CB0"/>
    <w:rsid w:val="00835DBA"/>
    <w:rsid w:val="00835F67"/>
    <w:rsid w:val="0083611D"/>
    <w:rsid w:val="008362CE"/>
    <w:rsid w:val="00836D3D"/>
    <w:rsid w:val="00836FBE"/>
    <w:rsid w:val="008377A9"/>
    <w:rsid w:val="00837B4C"/>
    <w:rsid w:val="00837C93"/>
    <w:rsid w:val="0084014F"/>
    <w:rsid w:val="008405AA"/>
    <w:rsid w:val="008406B0"/>
    <w:rsid w:val="00840768"/>
    <w:rsid w:val="008407C3"/>
    <w:rsid w:val="00841288"/>
    <w:rsid w:val="0084174E"/>
    <w:rsid w:val="00841F74"/>
    <w:rsid w:val="008420B7"/>
    <w:rsid w:val="00842562"/>
    <w:rsid w:val="008428FE"/>
    <w:rsid w:val="00842933"/>
    <w:rsid w:val="00842993"/>
    <w:rsid w:val="00842A4B"/>
    <w:rsid w:val="00842FA2"/>
    <w:rsid w:val="008431C3"/>
    <w:rsid w:val="00843542"/>
    <w:rsid w:val="008437D1"/>
    <w:rsid w:val="008438D5"/>
    <w:rsid w:val="00843B9C"/>
    <w:rsid w:val="00843C55"/>
    <w:rsid w:val="00843F08"/>
    <w:rsid w:val="0084407A"/>
    <w:rsid w:val="0084427D"/>
    <w:rsid w:val="008449C9"/>
    <w:rsid w:val="00844CE0"/>
    <w:rsid w:val="0084637B"/>
    <w:rsid w:val="008466E1"/>
    <w:rsid w:val="00846712"/>
    <w:rsid w:val="00846AC2"/>
    <w:rsid w:val="00846D99"/>
    <w:rsid w:val="008475D8"/>
    <w:rsid w:val="00847AE2"/>
    <w:rsid w:val="00847EA3"/>
    <w:rsid w:val="0085045B"/>
    <w:rsid w:val="00850930"/>
    <w:rsid w:val="00851159"/>
    <w:rsid w:val="00851322"/>
    <w:rsid w:val="00851576"/>
    <w:rsid w:val="00851752"/>
    <w:rsid w:val="00851F3B"/>
    <w:rsid w:val="00852052"/>
    <w:rsid w:val="00852236"/>
    <w:rsid w:val="0085282D"/>
    <w:rsid w:val="0085299E"/>
    <w:rsid w:val="008529F1"/>
    <w:rsid w:val="008530EC"/>
    <w:rsid w:val="0085331D"/>
    <w:rsid w:val="00853550"/>
    <w:rsid w:val="00853E60"/>
    <w:rsid w:val="008545B8"/>
    <w:rsid w:val="00855330"/>
    <w:rsid w:val="008553E6"/>
    <w:rsid w:val="00855744"/>
    <w:rsid w:val="0085583A"/>
    <w:rsid w:val="008559A1"/>
    <w:rsid w:val="00855F89"/>
    <w:rsid w:val="00856A3D"/>
    <w:rsid w:val="00856AD4"/>
    <w:rsid w:val="00857195"/>
    <w:rsid w:val="00857363"/>
    <w:rsid w:val="0085790D"/>
    <w:rsid w:val="00857AF1"/>
    <w:rsid w:val="00860452"/>
    <w:rsid w:val="00860733"/>
    <w:rsid w:val="0086081E"/>
    <w:rsid w:val="0086082C"/>
    <w:rsid w:val="00860978"/>
    <w:rsid w:val="00860A08"/>
    <w:rsid w:val="00860FF0"/>
    <w:rsid w:val="00861014"/>
    <w:rsid w:val="00861538"/>
    <w:rsid w:val="00861568"/>
    <w:rsid w:val="00861607"/>
    <w:rsid w:val="00861773"/>
    <w:rsid w:val="00861952"/>
    <w:rsid w:val="00861AE3"/>
    <w:rsid w:val="00862498"/>
    <w:rsid w:val="00862F77"/>
    <w:rsid w:val="008634B7"/>
    <w:rsid w:val="00863911"/>
    <w:rsid w:val="00863F5C"/>
    <w:rsid w:val="0086437D"/>
    <w:rsid w:val="0086494C"/>
    <w:rsid w:val="00864953"/>
    <w:rsid w:val="00864ADC"/>
    <w:rsid w:val="00864D32"/>
    <w:rsid w:val="00865062"/>
    <w:rsid w:val="0086553C"/>
    <w:rsid w:val="00865937"/>
    <w:rsid w:val="00866A30"/>
    <w:rsid w:val="00867267"/>
    <w:rsid w:val="008674FB"/>
    <w:rsid w:val="00867F91"/>
    <w:rsid w:val="008704C0"/>
    <w:rsid w:val="00870670"/>
    <w:rsid w:val="00870704"/>
    <w:rsid w:val="00870E8A"/>
    <w:rsid w:val="0087183E"/>
    <w:rsid w:val="008718F6"/>
    <w:rsid w:val="00871C14"/>
    <w:rsid w:val="00871E5D"/>
    <w:rsid w:val="0087255A"/>
    <w:rsid w:val="00872DCC"/>
    <w:rsid w:val="00872F9C"/>
    <w:rsid w:val="008730E6"/>
    <w:rsid w:val="008731BE"/>
    <w:rsid w:val="008735F8"/>
    <w:rsid w:val="00873F31"/>
    <w:rsid w:val="00874520"/>
    <w:rsid w:val="008749AE"/>
    <w:rsid w:val="00874BF9"/>
    <w:rsid w:val="00874E7C"/>
    <w:rsid w:val="008751D1"/>
    <w:rsid w:val="00875A05"/>
    <w:rsid w:val="00875A61"/>
    <w:rsid w:val="00876030"/>
    <w:rsid w:val="0087605F"/>
    <w:rsid w:val="008761FE"/>
    <w:rsid w:val="00876A88"/>
    <w:rsid w:val="00876A97"/>
    <w:rsid w:val="00876AE1"/>
    <w:rsid w:val="00876C59"/>
    <w:rsid w:val="008770A4"/>
    <w:rsid w:val="00877F8B"/>
    <w:rsid w:val="00880153"/>
    <w:rsid w:val="008802D0"/>
    <w:rsid w:val="008802E1"/>
    <w:rsid w:val="00880CCE"/>
    <w:rsid w:val="00880F97"/>
    <w:rsid w:val="0088133A"/>
    <w:rsid w:val="00881AB5"/>
    <w:rsid w:val="00881EC5"/>
    <w:rsid w:val="0088229B"/>
    <w:rsid w:val="00882385"/>
    <w:rsid w:val="0088250F"/>
    <w:rsid w:val="00882F0C"/>
    <w:rsid w:val="00883574"/>
    <w:rsid w:val="00883884"/>
    <w:rsid w:val="00883A52"/>
    <w:rsid w:val="00883B04"/>
    <w:rsid w:val="00883C9D"/>
    <w:rsid w:val="00884635"/>
    <w:rsid w:val="00884818"/>
    <w:rsid w:val="0088497A"/>
    <w:rsid w:val="00884BDE"/>
    <w:rsid w:val="008854C3"/>
    <w:rsid w:val="00885A23"/>
    <w:rsid w:val="00886465"/>
    <w:rsid w:val="0088649B"/>
    <w:rsid w:val="008864A6"/>
    <w:rsid w:val="008864C2"/>
    <w:rsid w:val="008865C5"/>
    <w:rsid w:val="00886B25"/>
    <w:rsid w:val="008871A7"/>
    <w:rsid w:val="00887537"/>
    <w:rsid w:val="00887720"/>
    <w:rsid w:val="00887BB5"/>
    <w:rsid w:val="008904F0"/>
    <w:rsid w:val="008907C2"/>
    <w:rsid w:val="00890910"/>
    <w:rsid w:val="00890A3F"/>
    <w:rsid w:val="00890A68"/>
    <w:rsid w:val="00890ECD"/>
    <w:rsid w:val="00890F6B"/>
    <w:rsid w:val="00890FC6"/>
    <w:rsid w:val="00891096"/>
    <w:rsid w:val="0089155F"/>
    <w:rsid w:val="00891614"/>
    <w:rsid w:val="008916A2"/>
    <w:rsid w:val="00891943"/>
    <w:rsid w:val="00891A97"/>
    <w:rsid w:val="00891C20"/>
    <w:rsid w:val="00891DEA"/>
    <w:rsid w:val="00892053"/>
    <w:rsid w:val="0089208B"/>
    <w:rsid w:val="0089248C"/>
    <w:rsid w:val="00892736"/>
    <w:rsid w:val="00892766"/>
    <w:rsid w:val="0089285E"/>
    <w:rsid w:val="00892A23"/>
    <w:rsid w:val="00892C0A"/>
    <w:rsid w:val="00892CDF"/>
    <w:rsid w:val="00892FAD"/>
    <w:rsid w:val="008939C8"/>
    <w:rsid w:val="00893E09"/>
    <w:rsid w:val="00893FCD"/>
    <w:rsid w:val="0089436C"/>
    <w:rsid w:val="0089443F"/>
    <w:rsid w:val="00894507"/>
    <w:rsid w:val="00894867"/>
    <w:rsid w:val="00894BE0"/>
    <w:rsid w:val="00894D4C"/>
    <w:rsid w:val="00894F9E"/>
    <w:rsid w:val="00895887"/>
    <w:rsid w:val="00895DA7"/>
    <w:rsid w:val="00896139"/>
    <w:rsid w:val="0089658C"/>
    <w:rsid w:val="00896A19"/>
    <w:rsid w:val="00897036"/>
    <w:rsid w:val="008976B5"/>
    <w:rsid w:val="008978D7"/>
    <w:rsid w:val="008A00E4"/>
    <w:rsid w:val="008A1446"/>
    <w:rsid w:val="008A1679"/>
    <w:rsid w:val="008A2130"/>
    <w:rsid w:val="008A2288"/>
    <w:rsid w:val="008A2410"/>
    <w:rsid w:val="008A277F"/>
    <w:rsid w:val="008A2C72"/>
    <w:rsid w:val="008A32AD"/>
    <w:rsid w:val="008A33BE"/>
    <w:rsid w:val="008A34D3"/>
    <w:rsid w:val="008A3D45"/>
    <w:rsid w:val="008A4198"/>
    <w:rsid w:val="008A41FE"/>
    <w:rsid w:val="008A421B"/>
    <w:rsid w:val="008A4EE7"/>
    <w:rsid w:val="008A575A"/>
    <w:rsid w:val="008A5A8C"/>
    <w:rsid w:val="008A5E43"/>
    <w:rsid w:val="008A64ED"/>
    <w:rsid w:val="008A658A"/>
    <w:rsid w:val="008A669E"/>
    <w:rsid w:val="008A6F38"/>
    <w:rsid w:val="008A6FB7"/>
    <w:rsid w:val="008A740E"/>
    <w:rsid w:val="008B00E7"/>
    <w:rsid w:val="008B0C63"/>
    <w:rsid w:val="008B1060"/>
    <w:rsid w:val="008B16A7"/>
    <w:rsid w:val="008B188A"/>
    <w:rsid w:val="008B1F1F"/>
    <w:rsid w:val="008B2C4B"/>
    <w:rsid w:val="008B2CDF"/>
    <w:rsid w:val="008B2D17"/>
    <w:rsid w:val="008B2E3F"/>
    <w:rsid w:val="008B2EF4"/>
    <w:rsid w:val="008B2F96"/>
    <w:rsid w:val="008B3220"/>
    <w:rsid w:val="008B3636"/>
    <w:rsid w:val="008B38A0"/>
    <w:rsid w:val="008B3D81"/>
    <w:rsid w:val="008B3E31"/>
    <w:rsid w:val="008B42FD"/>
    <w:rsid w:val="008B47D1"/>
    <w:rsid w:val="008B4A88"/>
    <w:rsid w:val="008B4EAA"/>
    <w:rsid w:val="008B55FA"/>
    <w:rsid w:val="008B5BE2"/>
    <w:rsid w:val="008B5DED"/>
    <w:rsid w:val="008B6823"/>
    <w:rsid w:val="008B6A2B"/>
    <w:rsid w:val="008B6D6C"/>
    <w:rsid w:val="008B7325"/>
    <w:rsid w:val="008B75AA"/>
    <w:rsid w:val="008B76EB"/>
    <w:rsid w:val="008B783F"/>
    <w:rsid w:val="008B7F4F"/>
    <w:rsid w:val="008C0EA2"/>
    <w:rsid w:val="008C1126"/>
    <w:rsid w:val="008C17A0"/>
    <w:rsid w:val="008C1B4D"/>
    <w:rsid w:val="008C1FCC"/>
    <w:rsid w:val="008C20DB"/>
    <w:rsid w:val="008C2450"/>
    <w:rsid w:val="008C3D5F"/>
    <w:rsid w:val="008C4439"/>
    <w:rsid w:val="008C4A09"/>
    <w:rsid w:val="008C4BBC"/>
    <w:rsid w:val="008C4CE8"/>
    <w:rsid w:val="008C5D35"/>
    <w:rsid w:val="008C6260"/>
    <w:rsid w:val="008C6284"/>
    <w:rsid w:val="008C632B"/>
    <w:rsid w:val="008C64AC"/>
    <w:rsid w:val="008C6CA1"/>
    <w:rsid w:val="008C7225"/>
    <w:rsid w:val="008C77A6"/>
    <w:rsid w:val="008C7963"/>
    <w:rsid w:val="008C7E34"/>
    <w:rsid w:val="008C7E71"/>
    <w:rsid w:val="008D02D0"/>
    <w:rsid w:val="008D0463"/>
    <w:rsid w:val="008D046B"/>
    <w:rsid w:val="008D0737"/>
    <w:rsid w:val="008D0A2E"/>
    <w:rsid w:val="008D0E6C"/>
    <w:rsid w:val="008D18D4"/>
    <w:rsid w:val="008D18FC"/>
    <w:rsid w:val="008D19A6"/>
    <w:rsid w:val="008D238D"/>
    <w:rsid w:val="008D293F"/>
    <w:rsid w:val="008D29E1"/>
    <w:rsid w:val="008D2B9F"/>
    <w:rsid w:val="008D2E2F"/>
    <w:rsid w:val="008D2EF8"/>
    <w:rsid w:val="008D32BA"/>
    <w:rsid w:val="008D33A0"/>
    <w:rsid w:val="008D365C"/>
    <w:rsid w:val="008D3D5F"/>
    <w:rsid w:val="008D4686"/>
    <w:rsid w:val="008D4D57"/>
    <w:rsid w:val="008D508D"/>
    <w:rsid w:val="008D58B5"/>
    <w:rsid w:val="008D61A7"/>
    <w:rsid w:val="008D625D"/>
    <w:rsid w:val="008D64FE"/>
    <w:rsid w:val="008D6E3C"/>
    <w:rsid w:val="008D6E7A"/>
    <w:rsid w:val="008D70EF"/>
    <w:rsid w:val="008D7622"/>
    <w:rsid w:val="008D7F4A"/>
    <w:rsid w:val="008E01A3"/>
    <w:rsid w:val="008E044A"/>
    <w:rsid w:val="008E0C1C"/>
    <w:rsid w:val="008E0F44"/>
    <w:rsid w:val="008E11C1"/>
    <w:rsid w:val="008E152E"/>
    <w:rsid w:val="008E1977"/>
    <w:rsid w:val="008E1D96"/>
    <w:rsid w:val="008E1DD5"/>
    <w:rsid w:val="008E2459"/>
    <w:rsid w:val="008E26FB"/>
    <w:rsid w:val="008E28E2"/>
    <w:rsid w:val="008E30F2"/>
    <w:rsid w:val="008E313A"/>
    <w:rsid w:val="008E348F"/>
    <w:rsid w:val="008E38A7"/>
    <w:rsid w:val="008E3A73"/>
    <w:rsid w:val="008E3C31"/>
    <w:rsid w:val="008E3EC2"/>
    <w:rsid w:val="008E4917"/>
    <w:rsid w:val="008E499A"/>
    <w:rsid w:val="008E4E07"/>
    <w:rsid w:val="008E4E2F"/>
    <w:rsid w:val="008E543A"/>
    <w:rsid w:val="008E5C7E"/>
    <w:rsid w:val="008E5D41"/>
    <w:rsid w:val="008E5F55"/>
    <w:rsid w:val="008E60AB"/>
    <w:rsid w:val="008E61B8"/>
    <w:rsid w:val="008E6402"/>
    <w:rsid w:val="008E681D"/>
    <w:rsid w:val="008E694D"/>
    <w:rsid w:val="008E6BB0"/>
    <w:rsid w:val="008E6CF7"/>
    <w:rsid w:val="008E6F12"/>
    <w:rsid w:val="008E721A"/>
    <w:rsid w:val="008E7DE4"/>
    <w:rsid w:val="008F07FE"/>
    <w:rsid w:val="008F0911"/>
    <w:rsid w:val="008F091F"/>
    <w:rsid w:val="008F0B28"/>
    <w:rsid w:val="008F0ED8"/>
    <w:rsid w:val="008F116F"/>
    <w:rsid w:val="008F1206"/>
    <w:rsid w:val="008F1C04"/>
    <w:rsid w:val="008F227A"/>
    <w:rsid w:val="008F249B"/>
    <w:rsid w:val="008F2ACB"/>
    <w:rsid w:val="008F2C3D"/>
    <w:rsid w:val="008F32C7"/>
    <w:rsid w:val="008F33A7"/>
    <w:rsid w:val="008F37AE"/>
    <w:rsid w:val="008F398A"/>
    <w:rsid w:val="008F3CB5"/>
    <w:rsid w:val="008F3D2D"/>
    <w:rsid w:val="008F3ECC"/>
    <w:rsid w:val="008F43A8"/>
    <w:rsid w:val="008F4434"/>
    <w:rsid w:val="008F4CE6"/>
    <w:rsid w:val="008F4F23"/>
    <w:rsid w:val="008F5023"/>
    <w:rsid w:val="008F53E6"/>
    <w:rsid w:val="008F550A"/>
    <w:rsid w:val="008F56DC"/>
    <w:rsid w:val="008F58F3"/>
    <w:rsid w:val="008F5998"/>
    <w:rsid w:val="008F5C79"/>
    <w:rsid w:val="008F6637"/>
    <w:rsid w:val="008F675B"/>
    <w:rsid w:val="008F6AC3"/>
    <w:rsid w:val="008F6E26"/>
    <w:rsid w:val="008F76DE"/>
    <w:rsid w:val="008F79B2"/>
    <w:rsid w:val="008F7B8E"/>
    <w:rsid w:val="008F7E64"/>
    <w:rsid w:val="008F7FA2"/>
    <w:rsid w:val="00900039"/>
    <w:rsid w:val="00900727"/>
    <w:rsid w:val="00900EEF"/>
    <w:rsid w:val="00900F9E"/>
    <w:rsid w:val="00901656"/>
    <w:rsid w:val="0090190E"/>
    <w:rsid w:val="00901EF2"/>
    <w:rsid w:val="00901FC1"/>
    <w:rsid w:val="009021A6"/>
    <w:rsid w:val="00902408"/>
    <w:rsid w:val="00902B53"/>
    <w:rsid w:val="009030BF"/>
    <w:rsid w:val="00903323"/>
    <w:rsid w:val="00903B52"/>
    <w:rsid w:val="00903F2D"/>
    <w:rsid w:val="00904169"/>
    <w:rsid w:val="0090496A"/>
    <w:rsid w:val="00905192"/>
    <w:rsid w:val="0090587F"/>
    <w:rsid w:val="00905A86"/>
    <w:rsid w:val="0090623B"/>
    <w:rsid w:val="0090660A"/>
    <w:rsid w:val="00906646"/>
    <w:rsid w:val="009067C4"/>
    <w:rsid w:val="0090697E"/>
    <w:rsid w:val="00906D1A"/>
    <w:rsid w:val="00906D8F"/>
    <w:rsid w:val="00906FE5"/>
    <w:rsid w:val="0090705A"/>
    <w:rsid w:val="00907607"/>
    <w:rsid w:val="00907787"/>
    <w:rsid w:val="00907851"/>
    <w:rsid w:val="00907DF5"/>
    <w:rsid w:val="0091032F"/>
    <w:rsid w:val="0091050E"/>
    <w:rsid w:val="0091098F"/>
    <w:rsid w:val="00910F64"/>
    <w:rsid w:val="00910FF6"/>
    <w:rsid w:val="00911071"/>
    <w:rsid w:val="00911B0D"/>
    <w:rsid w:val="00911B6C"/>
    <w:rsid w:val="009122D0"/>
    <w:rsid w:val="00912414"/>
    <w:rsid w:val="009127B4"/>
    <w:rsid w:val="0091294D"/>
    <w:rsid w:val="00912AC4"/>
    <w:rsid w:val="00912C57"/>
    <w:rsid w:val="00912E1B"/>
    <w:rsid w:val="00913340"/>
    <w:rsid w:val="0091339A"/>
    <w:rsid w:val="00913B55"/>
    <w:rsid w:val="00913BF2"/>
    <w:rsid w:val="00913D3F"/>
    <w:rsid w:val="00913F06"/>
    <w:rsid w:val="0091414B"/>
    <w:rsid w:val="00914368"/>
    <w:rsid w:val="009145BF"/>
    <w:rsid w:val="009147C2"/>
    <w:rsid w:val="00914B10"/>
    <w:rsid w:val="00914BB4"/>
    <w:rsid w:val="00914D94"/>
    <w:rsid w:val="0091502D"/>
    <w:rsid w:val="009153ED"/>
    <w:rsid w:val="009154A6"/>
    <w:rsid w:val="00915747"/>
    <w:rsid w:val="00915ED4"/>
    <w:rsid w:val="00915F2D"/>
    <w:rsid w:val="009161DC"/>
    <w:rsid w:val="00916326"/>
    <w:rsid w:val="00916D16"/>
    <w:rsid w:val="00917284"/>
    <w:rsid w:val="00917556"/>
    <w:rsid w:val="00917684"/>
    <w:rsid w:val="00917724"/>
    <w:rsid w:val="009178DD"/>
    <w:rsid w:val="00917A16"/>
    <w:rsid w:val="009200DA"/>
    <w:rsid w:val="00920213"/>
    <w:rsid w:val="009202E7"/>
    <w:rsid w:val="009208B7"/>
    <w:rsid w:val="00920C74"/>
    <w:rsid w:val="00920D8A"/>
    <w:rsid w:val="00920EAD"/>
    <w:rsid w:val="0092165B"/>
    <w:rsid w:val="009216A7"/>
    <w:rsid w:val="009219BC"/>
    <w:rsid w:val="00921CDA"/>
    <w:rsid w:val="00922128"/>
    <w:rsid w:val="00923551"/>
    <w:rsid w:val="00923723"/>
    <w:rsid w:val="009237D3"/>
    <w:rsid w:val="00923CC3"/>
    <w:rsid w:val="00923DB1"/>
    <w:rsid w:val="00923F77"/>
    <w:rsid w:val="0092456A"/>
    <w:rsid w:val="009248DF"/>
    <w:rsid w:val="00924A5A"/>
    <w:rsid w:val="00924B00"/>
    <w:rsid w:val="00925233"/>
    <w:rsid w:val="0092564F"/>
    <w:rsid w:val="009256FF"/>
    <w:rsid w:val="00925E22"/>
    <w:rsid w:val="009264E0"/>
    <w:rsid w:val="009268A5"/>
    <w:rsid w:val="00926BE3"/>
    <w:rsid w:val="00926DB0"/>
    <w:rsid w:val="00927447"/>
    <w:rsid w:val="00927681"/>
    <w:rsid w:val="00927B22"/>
    <w:rsid w:val="00927E3B"/>
    <w:rsid w:val="00927F5E"/>
    <w:rsid w:val="0093014C"/>
    <w:rsid w:val="00930219"/>
    <w:rsid w:val="009309ED"/>
    <w:rsid w:val="00930F3F"/>
    <w:rsid w:val="00930FA2"/>
    <w:rsid w:val="00931076"/>
    <w:rsid w:val="0093124D"/>
    <w:rsid w:val="009312C5"/>
    <w:rsid w:val="00931565"/>
    <w:rsid w:val="00931BD7"/>
    <w:rsid w:val="00931BF0"/>
    <w:rsid w:val="00931E4F"/>
    <w:rsid w:val="00931FA8"/>
    <w:rsid w:val="00932487"/>
    <w:rsid w:val="009325F7"/>
    <w:rsid w:val="009325FA"/>
    <w:rsid w:val="00932D1E"/>
    <w:rsid w:val="00932EB4"/>
    <w:rsid w:val="00933351"/>
    <w:rsid w:val="00933356"/>
    <w:rsid w:val="00933BF5"/>
    <w:rsid w:val="00933FCA"/>
    <w:rsid w:val="009341F7"/>
    <w:rsid w:val="009345D9"/>
    <w:rsid w:val="009345E2"/>
    <w:rsid w:val="00934899"/>
    <w:rsid w:val="009348B8"/>
    <w:rsid w:val="00934B15"/>
    <w:rsid w:val="00934B4A"/>
    <w:rsid w:val="009351C7"/>
    <w:rsid w:val="00935230"/>
    <w:rsid w:val="00935CF1"/>
    <w:rsid w:val="00935F06"/>
    <w:rsid w:val="009363B1"/>
    <w:rsid w:val="009369DF"/>
    <w:rsid w:val="0093735F"/>
    <w:rsid w:val="0093739F"/>
    <w:rsid w:val="0093756C"/>
    <w:rsid w:val="00940A31"/>
    <w:rsid w:val="00940B52"/>
    <w:rsid w:val="00940C5C"/>
    <w:rsid w:val="00940C87"/>
    <w:rsid w:val="00940D83"/>
    <w:rsid w:val="00941237"/>
    <w:rsid w:val="00941253"/>
    <w:rsid w:val="009417B6"/>
    <w:rsid w:val="00941ABA"/>
    <w:rsid w:val="00941E10"/>
    <w:rsid w:val="00941F18"/>
    <w:rsid w:val="00941F25"/>
    <w:rsid w:val="0094207A"/>
    <w:rsid w:val="009420C5"/>
    <w:rsid w:val="0094278F"/>
    <w:rsid w:val="009427C1"/>
    <w:rsid w:val="00942B62"/>
    <w:rsid w:val="00942C5A"/>
    <w:rsid w:val="00943D5C"/>
    <w:rsid w:val="009441A5"/>
    <w:rsid w:val="009445DF"/>
    <w:rsid w:val="00944634"/>
    <w:rsid w:val="00944B75"/>
    <w:rsid w:val="00944CA9"/>
    <w:rsid w:val="00945470"/>
    <w:rsid w:val="009458B3"/>
    <w:rsid w:val="00945DF7"/>
    <w:rsid w:val="009461DF"/>
    <w:rsid w:val="009463AF"/>
    <w:rsid w:val="009465A3"/>
    <w:rsid w:val="00946896"/>
    <w:rsid w:val="00946B79"/>
    <w:rsid w:val="009473BC"/>
    <w:rsid w:val="00947934"/>
    <w:rsid w:val="00947997"/>
    <w:rsid w:val="00947AAC"/>
    <w:rsid w:val="00947F3D"/>
    <w:rsid w:val="00950394"/>
    <w:rsid w:val="0095054B"/>
    <w:rsid w:val="0095068F"/>
    <w:rsid w:val="0095078E"/>
    <w:rsid w:val="0095099D"/>
    <w:rsid w:val="00950AC1"/>
    <w:rsid w:val="00951265"/>
    <w:rsid w:val="00951549"/>
    <w:rsid w:val="00951ADE"/>
    <w:rsid w:val="00951D4C"/>
    <w:rsid w:val="00951D67"/>
    <w:rsid w:val="00951F8A"/>
    <w:rsid w:val="00952631"/>
    <w:rsid w:val="00952967"/>
    <w:rsid w:val="00953070"/>
    <w:rsid w:val="00953172"/>
    <w:rsid w:val="0095323B"/>
    <w:rsid w:val="00953A21"/>
    <w:rsid w:val="00953A2D"/>
    <w:rsid w:val="00953C64"/>
    <w:rsid w:val="00953DEC"/>
    <w:rsid w:val="009543B7"/>
    <w:rsid w:val="00954BDA"/>
    <w:rsid w:val="00954C25"/>
    <w:rsid w:val="00955195"/>
    <w:rsid w:val="00955375"/>
    <w:rsid w:val="00955AC7"/>
    <w:rsid w:val="009565D4"/>
    <w:rsid w:val="009566CF"/>
    <w:rsid w:val="0095682C"/>
    <w:rsid w:val="00956A0C"/>
    <w:rsid w:val="00956BD9"/>
    <w:rsid w:val="00956E43"/>
    <w:rsid w:val="00956FE0"/>
    <w:rsid w:val="00957128"/>
    <w:rsid w:val="00957345"/>
    <w:rsid w:val="0095744C"/>
    <w:rsid w:val="00957654"/>
    <w:rsid w:val="00957E66"/>
    <w:rsid w:val="00957E98"/>
    <w:rsid w:val="00960166"/>
    <w:rsid w:val="00960193"/>
    <w:rsid w:val="009606BA"/>
    <w:rsid w:val="00960BC9"/>
    <w:rsid w:val="0096120E"/>
    <w:rsid w:val="0096181C"/>
    <w:rsid w:val="00961CA6"/>
    <w:rsid w:val="00961E37"/>
    <w:rsid w:val="00961E54"/>
    <w:rsid w:val="00961EC9"/>
    <w:rsid w:val="00962270"/>
    <w:rsid w:val="00962489"/>
    <w:rsid w:val="0096280D"/>
    <w:rsid w:val="00962816"/>
    <w:rsid w:val="009628AB"/>
    <w:rsid w:val="00962F76"/>
    <w:rsid w:val="00963430"/>
    <w:rsid w:val="00963459"/>
    <w:rsid w:val="0096360D"/>
    <w:rsid w:val="0096397D"/>
    <w:rsid w:val="00963E2F"/>
    <w:rsid w:val="00963E9D"/>
    <w:rsid w:val="00963F1A"/>
    <w:rsid w:val="009644A1"/>
    <w:rsid w:val="009645BC"/>
    <w:rsid w:val="009647F5"/>
    <w:rsid w:val="00964E07"/>
    <w:rsid w:val="0096501D"/>
    <w:rsid w:val="0096522B"/>
    <w:rsid w:val="0096549F"/>
    <w:rsid w:val="00965B87"/>
    <w:rsid w:val="00965BFC"/>
    <w:rsid w:val="00965C54"/>
    <w:rsid w:val="00966412"/>
    <w:rsid w:val="009665FE"/>
    <w:rsid w:val="0096685F"/>
    <w:rsid w:val="00967153"/>
    <w:rsid w:val="0096719F"/>
    <w:rsid w:val="009673C9"/>
    <w:rsid w:val="009673D4"/>
    <w:rsid w:val="009674A2"/>
    <w:rsid w:val="009674CF"/>
    <w:rsid w:val="00967CD3"/>
    <w:rsid w:val="00970F7A"/>
    <w:rsid w:val="009711B0"/>
    <w:rsid w:val="00971436"/>
    <w:rsid w:val="0097146E"/>
    <w:rsid w:val="009715A5"/>
    <w:rsid w:val="009715C3"/>
    <w:rsid w:val="00972274"/>
    <w:rsid w:val="00972514"/>
    <w:rsid w:val="009728F6"/>
    <w:rsid w:val="00972AD2"/>
    <w:rsid w:val="00972D59"/>
    <w:rsid w:val="00972F57"/>
    <w:rsid w:val="0097364C"/>
    <w:rsid w:val="00973E48"/>
    <w:rsid w:val="0097454E"/>
    <w:rsid w:val="009747EA"/>
    <w:rsid w:val="0097500C"/>
    <w:rsid w:val="00975364"/>
    <w:rsid w:val="00975AC9"/>
    <w:rsid w:val="00976A77"/>
    <w:rsid w:val="00976B18"/>
    <w:rsid w:val="00976B37"/>
    <w:rsid w:val="00976EC7"/>
    <w:rsid w:val="009772E1"/>
    <w:rsid w:val="00977359"/>
    <w:rsid w:val="00977404"/>
    <w:rsid w:val="00977739"/>
    <w:rsid w:val="0097783F"/>
    <w:rsid w:val="009779AF"/>
    <w:rsid w:val="00977BB7"/>
    <w:rsid w:val="00977DA0"/>
    <w:rsid w:val="00977DC1"/>
    <w:rsid w:val="009800C6"/>
    <w:rsid w:val="0098073C"/>
    <w:rsid w:val="0098099D"/>
    <w:rsid w:val="00980D3A"/>
    <w:rsid w:val="00980EA2"/>
    <w:rsid w:val="009814D4"/>
    <w:rsid w:val="009814F1"/>
    <w:rsid w:val="00982145"/>
    <w:rsid w:val="0098217B"/>
    <w:rsid w:val="009822FE"/>
    <w:rsid w:val="009824DF"/>
    <w:rsid w:val="009828A2"/>
    <w:rsid w:val="009833B5"/>
    <w:rsid w:val="0098478E"/>
    <w:rsid w:val="00984CFC"/>
    <w:rsid w:val="00985229"/>
    <w:rsid w:val="009857E4"/>
    <w:rsid w:val="009859D5"/>
    <w:rsid w:val="00985B94"/>
    <w:rsid w:val="0098642B"/>
    <w:rsid w:val="009869E7"/>
    <w:rsid w:val="00986CA2"/>
    <w:rsid w:val="00986F00"/>
    <w:rsid w:val="00986F13"/>
    <w:rsid w:val="009876DA"/>
    <w:rsid w:val="00987779"/>
    <w:rsid w:val="00987898"/>
    <w:rsid w:val="0098796B"/>
    <w:rsid w:val="00987DDA"/>
    <w:rsid w:val="00987FDB"/>
    <w:rsid w:val="0099007A"/>
    <w:rsid w:val="00990773"/>
    <w:rsid w:val="00990BF6"/>
    <w:rsid w:val="00990C2C"/>
    <w:rsid w:val="00990D2F"/>
    <w:rsid w:val="00991533"/>
    <w:rsid w:val="0099168A"/>
    <w:rsid w:val="009924B2"/>
    <w:rsid w:val="00992708"/>
    <w:rsid w:val="009927BB"/>
    <w:rsid w:val="00993064"/>
    <w:rsid w:val="009936CE"/>
    <w:rsid w:val="009937C9"/>
    <w:rsid w:val="00993B09"/>
    <w:rsid w:val="00993D8F"/>
    <w:rsid w:val="009942B9"/>
    <w:rsid w:val="00994AF0"/>
    <w:rsid w:val="009952D5"/>
    <w:rsid w:val="0099536B"/>
    <w:rsid w:val="0099590D"/>
    <w:rsid w:val="00995C58"/>
    <w:rsid w:val="00995FFD"/>
    <w:rsid w:val="009961E2"/>
    <w:rsid w:val="00996214"/>
    <w:rsid w:val="0099623D"/>
    <w:rsid w:val="00996293"/>
    <w:rsid w:val="00996352"/>
    <w:rsid w:val="00996849"/>
    <w:rsid w:val="009968A5"/>
    <w:rsid w:val="009969F6"/>
    <w:rsid w:val="00996DEE"/>
    <w:rsid w:val="00996DFE"/>
    <w:rsid w:val="00997175"/>
    <w:rsid w:val="00997659"/>
    <w:rsid w:val="009976F9"/>
    <w:rsid w:val="00997705"/>
    <w:rsid w:val="00997961"/>
    <w:rsid w:val="00997A6B"/>
    <w:rsid w:val="00997BE7"/>
    <w:rsid w:val="00997E92"/>
    <w:rsid w:val="009A00EF"/>
    <w:rsid w:val="009A04C5"/>
    <w:rsid w:val="009A0A70"/>
    <w:rsid w:val="009A0C93"/>
    <w:rsid w:val="009A12B0"/>
    <w:rsid w:val="009A13E8"/>
    <w:rsid w:val="009A1516"/>
    <w:rsid w:val="009A16EB"/>
    <w:rsid w:val="009A1924"/>
    <w:rsid w:val="009A1BA5"/>
    <w:rsid w:val="009A1C8B"/>
    <w:rsid w:val="009A1FE0"/>
    <w:rsid w:val="009A2103"/>
    <w:rsid w:val="009A2839"/>
    <w:rsid w:val="009A2A9D"/>
    <w:rsid w:val="009A2D68"/>
    <w:rsid w:val="009A2D81"/>
    <w:rsid w:val="009A2DAA"/>
    <w:rsid w:val="009A2E3F"/>
    <w:rsid w:val="009A3164"/>
    <w:rsid w:val="009A3637"/>
    <w:rsid w:val="009A3747"/>
    <w:rsid w:val="009A37A2"/>
    <w:rsid w:val="009A3AF3"/>
    <w:rsid w:val="009A4256"/>
    <w:rsid w:val="009A4561"/>
    <w:rsid w:val="009A4626"/>
    <w:rsid w:val="009A4CDB"/>
    <w:rsid w:val="009A5171"/>
    <w:rsid w:val="009A5BEF"/>
    <w:rsid w:val="009A5D2F"/>
    <w:rsid w:val="009A6848"/>
    <w:rsid w:val="009A6AFD"/>
    <w:rsid w:val="009A6E4B"/>
    <w:rsid w:val="009A766C"/>
    <w:rsid w:val="009A77B4"/>
    <w:rsid w:val="009A77BD"/>
    <w:rsid w:val="009A78C7"/>
    <w:rsid w:val="009B0393"/>
    <w:rsid w:val="009B044B"/>
    <w:rsid w:val="009B0703"/>
    <w:rsid w:val="009B0A51"/>
    <w:rsid w:val="009B0DF0"/>
    <w:rsid w:val="009B1389"/>
    <w:rsid w:val="009B13EB"/>
    <w:rsid w:val="009B1835"/>
    <w:rsid w:val="009B1C0B"/>
    <w:rsid w:val="009B1D15"/>
    <w:rsid w:val="009B201C"/>
    <w:rsid w:val="009B20F2"/>
    <w:rsid w:val="009B2192"/>
    <w:rsid w:val="009B21F2"/>
    <w:rsid w:val="009B2298"/>
    <w:rsid w:val="009B2697"/>
    <w:rsid w:val="009B27EA"/>
    <w:rsid w:val="009B28B7"/>
    <w:rsid w:val="009B290D"/>
    <w:rsid w:val="009B29CD"/>
    <w:rsid w:val="009B345E"/>
    <w:rsid w:val="009B3CC3"/>
    <w:rsid w:val="009B405F"/>
    <w:rsid w:val="009B4174"/>
    <w:rsid w:val="009B428B"/>
    <w:rsid w:val="009B4900"/>
    <w:rsid w:val="009B4907"/>
    <w:rsid w:val="009B4AD5"/>
    <w:rsid w:val="009B4B13"/>
    <w:rsid w:val="009B4BD7"/>
    <w:rsid w:val="009B5679"/>
    <w:rsid w:val="009B593A"/>
    <w:rsid w:val="009B5D9C"/>
    <w:rsid w:val="009B5F01"/>
    <w:rsid w:val="009B6550"/>
    <w:rsid w:val="009B65C1"/>
    <w:rsid w:val="009B6966"/>
    <w:rsid w:val="009B6D25"/>
    <w:rsid w:val="009B7014"/>
    <w:rsid w:val="009B739E"/>
    <w:rsid w:val="009C0112"/>
    <w:rsid w:val="009C031B"/>
    <w:rsid w:val="009C03DF"/>
    <w:rsid w:val="009C0550"/>
    <w:rsid w:val="009C156E"/>
    <w:rsid w:val="009C163B"/>
    <w:rsid w:val="009C1879"/>
    <w:rsid w:val="009C1C8F"/>
    <w:rsid w:val="009C1DF8"/>
    <w:rsid w:val="009C21B4"/>
    <w:rsid w:val="009C3037"/>
    <w:rsid w:val="009C365B"/>
    <w:rsid w:val="009C3AD8"/>
    <w:rsid w:val="009C412A"/>
    <w:rsid w:val="009C4509"/>
    <w:rsid w:val="009C5344"/>
    <w:rsid w:val="009C544E"/>
    <w:rsid w:val="009C57C6"/>
    <w:rsid w:val="009C5B44"/>
    <w:rsid w:val="009C5BA0"/>
    <w:rsid w:val="009C5D58"/>
    <w:rsid w:val="009C61CE"/>
    <w:rsid w:val="009C63F4"/>
    <w:rsid w:val="009C6401"/>
    <w:rsid w:val="009C64BD"/>
    <w:rsid w:val="009C6626"/>
    <w:rsid w:val="009C6A07"/>
    <w:rsid w:val="009C6B8B"/>
    <w:rsid w:val="009C7114"/>
    <w:rsid w:val="009C74EA"/>
    <w:rsid w:val="009C76C9"/>
    <w:rsid w:val="009C7712"/>
    <w:rsid w:val="009C7DF2"/>
    <w:rsid w:val="009C7F2E"/>
    <w:rsid w:val="009C7F8B"/>
    <w:rsid w:val="009C7FE6"/>
    <w:rsid w:val="009D0024"/>
    <w:rsid w:val="009D006D"/>
    <w:rsid w:val="009D01B6"/>
    <w:rsid w:val="009D026E"/>
    <w:rsid w:val="009D0433"/>
    <w:rsid w:val="009D06E2"/>
    <w:rsid w:val="009D0EC5"/>
    <w:rsid w:val="009D1B1A"/>
    <w:rsid w:val="009D1C44"/>
    <w:rsid w:val="009D1D85"/>
    <w:rsid w:val="009D1F35"/>
    <w:rsid w:val="009D1F74"/>
    <w:rsid w:val="009D2166"/>
    <w:rsid w:val="009D2E6B"/>
    <w:rsid w:val="009D49EB"/>
    <w:rsid w:val="009D4A2E"/>
    <w:rsid w:val="009D4AA9"/>
    <w:rsid w:val="009D4BD4"/>
    <w:rsid w:val="009D4C6A"/>
    <w:rsid w:val="009D4F54"/>
    <w:rsid w:val="009D588B"/>
    <w:rsid w:val="009D5A9C"/>
    <w:rsid w:val="009D5F35"/>
    <w:rsid w:val="009D6428"/>
    <w:rsid w:val="009D6B47"/>
    <w:rsid w:val="009D6FA7"/>
    <w:rsid w:val="009D6FB2"/>
    <w:rsid w:val="009D719C"/>
    <w:rsid w:val="009E0170"/>
    <w:rsid w:val="009E126E"/>
    <w:rsid w:val="009E1844"/>
    <w:rsid w:val="009E1A97"/>
    <w:rsid w:val="009E1BE3"/>
    <w:rsid w:val="009E2A56"/>
    <w:rsid w:val="009E2E8E"/>
    <w:rsid w:val="009E38A2"/>
    <w:rsid w:val="009E3CEF"/>
    <w:rsid w:val="009E3E3A"/>
    <w:rsid w:val="009E43CA"/>
    <w:rsid w:val="009E44E1"/>
    <w:rsid w:val="009E499F"/>
    <w:rsid w:val="009E4C51"/>
    <w:rsid w:val="009E5A71"/>
    <w:rsid w:val="009E5DE7"/>
    <w:rsid w:val="009E5F1F"/>
    <w:rsid w:val="009E5F88"/>
    <w:rsid w:val="009E6821"/>
    <w:rsid w:val="009E6B84"/>
    <w:rsid w:val="009E6C3B"/>
    <w:rsid w:val="009E6E71"/>
    <w:rsid w:val="009E703B"/>
    <w:rsid w:val="009E7471"/>
    <w:rsid w:val="009E755F"/>
    <w:rsid w:val="009E772B"/>
    <w:rsid w:val="009E786B"/>
    <w:rsid w:val="009E786E"/>
    <w:rsid w:val="009E7B41"/>
    <w:rsid w:val="009E7B47"/>
    <w:rsid w:val="009F00C4"/>
    <w:rsid w:val="009F00F5"/>
    <w:rsid w:val="009F03A5"/>
    <w:rsid w:val="009F04A5"/>
    <w:rsid w:val="009F0C5C"/>
    <w:rsid w:val="009F0D1B"/>
    <w:rsid w:val="009F0E81"/>
    <w:rsid w:val="009F0EAB"/>
    <w:rsid w:val="009F19ED"/>
    <w:rsid w:val="009F1A6B"/>
    <w:rsid w:val="009F1E3D"/>
    <w:rsid w:val="009F200F"/>
    <w:rsid w:val="009F28CF"/>
    <w:rsid w:val="009F33E6"/>
    <w:rsid w:val="009F37BF"/>
    <w:rsid w:val="009F3944"/>
    <w:rsid w:val="009F3A82"/>
    <w:rsid w:val="009F3C3F"/>
    <w:rsid w:val="009F445F"/>
    <w:rsid w:val="009F45D8"/>
    <w:rsid w:val="009F482A"/>
    <w:rsid w:val="009F4859"/>
    <w:rsid w:val="009F5363"/>
    <w:rsid w:val="009F587A"/>
    <w:rsid w:val="009F5BBD"/>
    <w:rsid w:val="009F6084"/>
    <w:rsid w:val="009F612F"/>
    <w:rsid w:val="009F63A2"/>
    <w:rsid w:val="009F64A9"/>
    <w:rsid w:val="009F67CF"/>
    <w:rsid w:val="009F6891"/>
    <w:rsid w:val="009F696D"/>
    <w:rsid w:val="009F6992"/>
    <w:rsid w:val="009F6BC6"/>
    <w:rsid w:val="009F6CFA"/>
    <w:rsid w:val="009F70F9"/>
    <w:rsid w:val="009F72CD"/>
    <w:rsid w:val="009F748E"/>
    <w:rsid w:val="009F74C7"/>
    <w:rsid w:val="009F74EF"/>
    <w:rsid w:val="00A00262"/>
    <w:rsid w:val="00A0054A"/>
    <w:rsid w:val="00A0054F"/>
    <w:rsid w:val="00A00752"/>
    <w:rsid w:val="00A00C5D"/>
    <w:rsid w:val="00A01066"/>
    <w:rsid w:val="00A01383"/>
    <w:rsid w:val="00A0153B"/>
    <w:rsid w:val="00A01812"/>
    <w:rsid w:val="00A01A81"/>
    <w:rsid w:val="00A01DD4"/>
    <w:rsid w:val="00A01DE0"/>
    <w:rsid w:val="00A01F3B"/>
    <w:rsid w:val="00A01FE9"/>
    <w:rsid w:val="00A0205F"/>
    <w:rsid w:val="00A021DD"/>
    <w:rsid w:val="00A02345"/>
    <w:rsid w:val="00A025AA"/>
    <w:rsid w:val="00A0269A"/>
    <w:rsid w:val="00A02826"/>
    <w:rsid w:val="00A02845"/>
    <w:rsid w:val="00A02FDA"/>
    <w:rsid w:val="00A030F3"/>
    <w:rsid w:val="00A036BA"/>
    <w:rsid w:val="00A04A4B"/>
    <w:rsid w:val="00A04AAB"/>
    <w:rsid w:val="00A04E89"/>
    <w:rsid w:val="00A051CF"/>
    <w:rsid w:val="00A05728"/>
    <w:rsid w:val="00A05A26"/>
    <w:rsid w:val="00A060B7"/>
    <w:rsid w:val="00A060DE"/>
    <w:rsid w:val="00A061A8"/>
    <w:rsid w:val="00A06860"/>
    <w:rsid w:val="00A06905"/>
    <w:rsid w:val="00A06F6C"/>
    <w:rsid w:val="00A06F7E"/>
    <w:rsid w:val="00A1014A"/>
    <w:rsid w:val="00A10FED"/>
    <w:rsid w:val="00A11989"/>
    <w:rsid w:val="00A11A8D"/>
    <w:rsid w:val="00A12088"/>
    <w:rsid w:val="00A128C3"/>
    <w:rsid w:val="00A12EB9"/>
    <w:rsid w:val="00A13D0C"/>
    <w:rsid w:val="00A142B5"/>
    <w:rsid w:val="00A14744"/>
    <w:rsid w:val="00A149BC"/>
    <w:rsid w:val="00A14FA0"/>
    <w:rsid w:val="00A14FDF"/>
    <w:rsid w:val="00A15046"/>
    <w:rsid w:val="00A15649"/>
    <w:rsid w:val="00A1573B"/>
    <w:rsid w:val="00A15C8D"/>
    <w:rsid w:val="00A15CDC"/>
    <w:rsid w:val="00A15D5A"/>
    <w:rsid w:val="00A162EE"/>
    <w:rsid w:val="00A164BA"/>
    <w:rsid w:val="00A16652"/>
    <w:rsid w:val="00A169C4"/>
    <w:rsid w:val="00A16B35"/>
    <w:rsid w:val="00A17328"/>
    <w:rsid w:val="00A17486"/>
    <w:rsid w:val="00A17A95"/>
    <w:rsid w:val="00A17CB9"/>
    <w:rsid w:val="00A17CE3"/>
    <w:rsid w:val="00A20075"/>
    <w:rsid w:val="00A20497"/>
    <w:rsid w:val="00A20D3B"/>
    <w:rsid w:val="00A20E25"/>
    <w:rsid w:val="00A20F07"/>
    <w:rsid w:val="00A21501"/>
    <w:rsid w:val="00A21CF4"/>
    <w:rsid w:val="00A21DAD"/>
    <w:rsid w:val="00A21DF7"/>
    <w:rsid w:val="00A21E91"/>
    <w:rsid w:val="00A2218F"/>
    <w:rsid w:val="00A22540"/>
    <w:rsid w:val="00A22E6A"/>
    <w:rsid w:val="00A23A20"/>
    <w:rsid w:val="00A23AE0"/>
    <w:rsid w:val="00A23BDE"/>
    <w:rsid w:val="00A23D3E"/>
    <w:rsid w:val="00A23F0B"/>
    <w:rsid w:val="00A23F50"/>
    <w:rsid w:val="00A23FCD"/>
    <w:rsid w:val="00A24443"/>
    <w:rsid w:val="00A248EA"/>
    <w:rsid w:val="00A24FEA"/>
    <w:rsid w:val="00A2542A"/>
    <w:rsid w:val="00A25686"/>
    <w:rsid w:val="00A256F6"/>
    <w:rsid w:val="00A25844"/>
    <w:rsid w:val="00A258B9"/>
    <w:rsid w:val="00A25A9D"/>
    <w:rsid w:val="00A25DFD"/>
    <w:rsid w:val="00A25F4B"/>
    <w:rsid w:val="00A261F8"/>
    <w:rsid w:val="00A2631F"/>
    <w:rsid w:val="00A266F9"/>
    <w:rsid w:val="00A268B9"/>
    <w:rsid w:val="00A2697E"/>
    <w:rsid w:val="00A26998"/>
    <w:rsid w:val="00A2703A"/>
    <w:rsid w:val="00A270FC"/>
    <w:rsid w:val="00A2716B"/>
    <w:rsid w:val="00A27359"/>
    <w:rsid w:val="00A27922"/>
    <w:rsid w:val="00A27C8C"/>
    <w:rsid w:val="00A27D0D"/>
    <w:rsid w:val="00A3012B"/>
    <w:rsid w:val="00A301A6"/>
    <w:rsid w:val="00A301AF"/>
    <w:rsid w:val="00A30735"/>
    <w:rsid w:val="00A311BF"/>
    <w:rsid w:val="00A31A94"/>
    <w:rsid w:val="00A31B7C"/>
    <w:rsid w:val="00A31CC5"/>
    <w:rsid w:val="00A31CDB"/>
    <w:rsid w:val="00A32AAD"/>
    <w:rsid w:val="00A32AB0"/>
    <w:rsid w:val="00A32E10"/>
    <w:rsid w:val="00A330B7"/>
    <w:rsid w:val="00A33964"/>
    <w:rsid w:val="00A33ABA"/>
    <w:rsid w:val="00A33D18"/>
    <w:rsid w:val="00A33DC8"/>
    <w:rsid w:val="00A33DFF"/>
    <w:rsid w:val="00A344DC"/>
    <w:rsid w:val="00A34869"/>
    <w:rsid w:val="00A34924"/>
    <w:rsid w:val="00A34C1F"/>
    <w:rsid w:val="00A34C7B"/>
    <w:rsid w:val="00A34D22"/>
    <w:rsid w:val="00A34DF9"/>
    <w:rsid w:val="00A35115"/>
    <w:rsid w:val="00A355A8"/>
    <w:rsid w:val="00A35D57"/>
    <w:rsid w:val="00A35EE9"/>
    <w:rsid w:val="00A360A0"/>
    <w:rsid w:val="00A3623C"/>
    <w:rsid w:val="00A363A1"/>
    <w:rsid w:val="00A363A4"/>
    <w:rsid w:val="00A368C7"/>
    <w:rsid w:val="00A368D8"/>
    <w:rsid w:val="00A36A97"/>
    <w:rsid w:val="00A36AC1"/>
    <w:rsid w:val="00A36D9A"/>
    <w:rsid w:val="00A37110"/>
    <w:rsid w:val="00A37483"/>
    <w:rsid w:val="00A374E6"/>
    <w:rsid w:val="00A3756D"/>
    <w:rsid w:val="00A37D3D"/>
    <w:rsid w:val="00A37F25"/>
    <w:rsid w:val="00A40491"/>
    <w:rsid w:val="00A404E7"/>
    <w:rsid w:val="00A405F9"/>
    <w:rsid w:val="00A407A7"/>
    <w:rsid w:val="00A41564"/>
    <w:rsid w:val="00A416DC"/>
    <w:rsid w:val="00A417ED"/>
    <w:rsid w:val="00A41A78"/>
    <w:rsid w:val="00A41CC6"/>
    <w:rsid w:val="00A42012"/>
    <w:rsid w:val="00A4292A"/>
    <w:rsid w:val="00A43445"/>
    <w:rsid w:val="00A4350D"/>
    <w:rsid w:val="00A43FF1"/>
    <w:rsid w:val="00A440C3"/>
    <w:rsid w:val="00A442D6"/>
    <w:rsid w:val="00A4443B"/>
    <w:rsid w:val="00A44452"/>
    <w:rsid w:val="00A4459E"/>
    <w:rsid w:val="00A44624"/>
    <w:rsid w:val="00A451DC"/>
    <w:rsid w:val="00A45275"/>
    <w:rsid w:val="00A45386"/>
    <w:rsid w:val="00A454CB"/>
    <w:rsid w:val="00A454DB"/>
    <w:rsid w:val="00A457C2"/>
    <w:rsid w:val="00A45920"/>
    <w:rsid w:val="00A45BBC"/>
    <w:rsid w:val="00A46174"/>
    <w:rsid w:val="00A461C4"/>
    <w:rsid w:val="00A46E57"/>
    <w:rsid w:val="00A4761C"/>
    <w:rsid w:val="00A47B53"/>
    <w:rsid w:val="00A47BE9"/>
    <w:rsid w:val="00A5005E"/>
    <w:rsid w:val="00A5034F"/>
    <w:rsid w:val="00A50A49"/>
    <w:rsid w:val="00A50B34"/>
    <w:rsid w:val="00A50E57"/>
    <w:rsid w:val="00A51D97"/>
    <w:rsid w:val="00A52C43"/>
    <w:rsid w:val="00A52D56"/>
    <w:rsid w:val="00A52EBA"/>
    <w:rsid w:val="00A52FED"/>
    <w:rsid w:val="00A53669"/>
    <w:rsid w:val="00A537F6"/>
    <w:rsid w:val="00A53CC7"/>
    <w:rsid w:val="00A53CDE"/>
    <w:rsid w:val="00A54294"/>
    <w:rsid w:val="00A543D9"/>
    <w:rsid w:val="00A5492F"/>
    <w:rsid w:val="00A54E47"/>
    <w:rsid w:val="00A554AB"/>
    <w:rsid w:val="00A554E3"/>
    <w:rsid w:val="00A555B8"/>
    <w:rsid w:val="00A5560A"/>
    <w:rsid w:val="00A55D14"/>
    <w:rsid w:val="00A563F8"/>
    <w:rsid w:val="00A564B1"/>
    <w:rsid w:val="00A57062"/>
    <w:rsid w:val="00A57204"/>
    <w:rsid w:val="00A572CB"/>
    <w:rsid w:val="00A57718"/>
    <w:rsid w:val="00A57B2A"/>
    <w:rsid w:val="00A60237"/>
    <w:rsid w:val="00A60521"/>
    <w:rsid w:val="00A60602"/>
    <w:rsid w:val="00A60B9C"/>
    <w:rsid w:val="00A61035"/>
    <w:rsid w:val="00A6110B"/>
    <w:rsid w:val="00A61190"/>
    <w:rsid w:val="00A615C9"/>
    <w:rsid w:val="00A61BB2"/>
    <w:rsid w:val="00A622ED"/>
    <w:rsid w:val="00A626A1"/>
    <w:rsid w:val="00A628CC"/>
    <w:rsid w:val="00A62AFB"/>
    <w:rsid w:val="00A630E0"/>
    <w:rsid w:val="00A633E2"/>
    <w:rsid w:val="00A635E1"/>
    <w:rsid w:val="00A63ABE"/>
    <w:rsid w:val="00A643F9"/>
    <w:rsid w:val="00A6447F"/>
    <w:rsid w:val="00A6497B"/>
    <w:rsid w:val="00A64CAF"/>
    <w:rsid w:val="00A65883"/>
    <w:rsid w:val="00A6593C"/>
    <w:rsid w:val="00A65A80"/>
    <w:rsid w:val="00A65E97"/>
    <w:rsid w:val="00A66207"/>
    <w:rsid w:val="00A66BB8"/>
    <w:rsid w:val="00A66F4F"/>
    <w:rsid w:val="00A66F80"/>
    <w:rsid w:val="00A66FEA"/>
    <w:rsid w:val="00A67516"/>
    <w:rsid w:val="00A67762"/>
    <w:rsid w:val="00A67781"/>
    <w:rsid w:val="00A678EB"/>
    <w:rsid w:val="00A67947"/>
    <w:rsid w:val="00A7132C"/>
    <w:rsid w:val="00A71EB2"/>
    <w:rsid w:val="00A71EE7"/>
    <w:rsid w:val="00A723E9"/>
    <w:rsid w:val="00A73364"/>
    <w:rsid w:val="00A7382F"/>
    <w:rsid w:val="00A7383D"/>
    <w:rsid w:val="00A739B4"/>
    <w:rsid w:val="00A73F5F"/>
    <w:rsid w:val="00A740CF"/>
    <w:rsid w:val="00A740E6"/>
    <w:rsid w:val="00A746B3"/>
    <w:rsid w:val="00A74C58"/>
    <w:rsid w:val="00A74C66"/>
    <w:rsid w:val="00A74D49"/>
    <w:rsid w:val="00A752EF"/>
    <w:rsid w:val="00A75467"/>
    <w:rsid w:val="00A76153"/>
    <w:rsid w:val="00A761F9"/>
    <w:rsid w:val="00A762DE"/>
    <w:rsid w:val="00A765E9"/>
    <w:rsid w:val="00A76C4B"/>
    <w:rsid w:val="00A77518"/>
    <w:rsid w:val="00A77712"/>
    <w:rsid w:val="00A77917"/>
    <w:rsid w:val="00A77B23"/>
    <w:rsid w:val="00A77E2F"/>
    <w:rsid w:val="00A80204"/>
    <w:rsid w:val="00A804F9"/>
    <w:rsid w:val="00A80EEA"/>
    <w:rsid w:val="00A8114C"/>
    <w:rsid w:val="00A811BF"/>
    <w:rsid w:val="00A81302"/>
    <w:rsid w:val="00A81DEB"/>
    <w:rsid w:val="00A8237C"/>
    <w:rsid w:val="00A82BAB"/>
    <w:rsid w:val="00A82C9A"/>
    <w:rsid w:val="00A83999"/>
    <w:rsid w:val="00A83CBE"/>
    <w:rsid w:val="00A83DA7"/>
    <w:rsid w:val="00A83F8E"/>
    <w:rsid w:val="00A8428E"/>
    <w:rsid w:val="00A844AB"/>
    <w:rsid w:val="00A84D7F"/>
    <w:rsid w:val="00A84DB2"/>
    <w:rsid w:val="00A85591"/>
    <w:rsid w:val="00A857C2"/>
    <w:rsid w:val="00A858B3"/>
    <w:rsid w:val="00A85928"/>
    <w:rsid w:val="00A86416"/>
    <w:rsid w:val="00A86B7F"/>
    <w:rsid w:val="00A86C38"/>
    <w:rsid w:val="00A86F26"/>
    <w:rsid w:val="00A87932"/>
    <w:rsid w:val="00A87C21"/>
    <w:rsid w:val="00A901D7"/>
    <w:rsid w:val="00A91881"/>
    <w:rsid w:val="00A91B29"/>
    <w:rsid w:val="00A91ECC"/>
    <w:rsid w:val="00A9206F"/>
    <w:rsid w:val="00A92492"/>
    <w:rsid w:val="00A92B53"/>
    <w:rsid w:val="00A92DE0"/>
    <w:rsid w:val="00A92EEA"/>
    <w:rsid w:val="00A93416"/>
    <w:rsid w:val="00A93559"/>
    <w:rsid w:val="00A93949"/>
    <w:rsid w:val="00A93B96"/>
    <w:rsid w:val="00A93C9D"/>
    <w:rsid w:val="00A94A23"/>
    <w:rsid w:val="00A94B91"/>
    <w:rsid w:val="00A94E97"/>
    <w:rsid w:val="00A94FA6"/>
    <w:rsid w:val="00A9505C"/>
    <w:rsid w:val="00A9557A"/>
    <w:rsid w:val="00A95679"/>
    <w:rsid w:val="00A96056"/>
    <w:rsid w:val="00A963CD"/>
    <w:rsid w:val="00A9652B"/>
    <w:rsid w:val="00A965DA"/>
    <w:rsid w:val="00A96822"/>
    <w:rsid w:val="00A96858"/>
    <w:rsid w:val="00A96F73"/>
    <w:rsid w:val="00A974F6"/>
    <w:rsid w:val="00A97681"/>
    <w:rsid w:val="00A97B8C"/>
    <w:rsid w:val="00A97C6B"/>
    <w:rsid w:val="00AA0689"/>
    <w:rsid w:val="00AA09FC"/>
    <w:rsid w:val="00AA0B1A"/>
    <w:rsid w:val="00AA0D23"/>
    <w:rsid w:val="00AA101D"/>
    <w:rsid w:val="00AA10AB"/>
    <w:rsid w:val="00AA12E9"/>
    <w:rsid w:val="00AA1426"/>
    <w:rsid w:val="00AA198C"/>
    <w:rsid w:val="00AA1B6F"/>
    <w:rsid w:val="00AA1E7C"/>
    <w:rsid w:val="00AA2233"/>
    <w:rsid w:val="00AA22C3"/>
    <w:rsid w:val="00AA253D"/>
    <w:rsid w:val="00AA2BFD"/>
    <w:rsid w:val="00AA2D4C"/>
    <w:rsid w:val="00AA2F8D"/>
    <w:rsid w:val="00AA2FBC"/>
    <w:rsid w:val="00AA30B4"/>
    <w:rsid w:val="00AA369B"/>
    <w:rsid w:val="00AA36B2"/>
    <w:rsid w:val="00AA39B9"/>
    <w:rsid w:val="00AA42DC"/>
    <w:rsid w:val="00AA45E9"/>
    <w:rsid w:val="00AA49A0"/>
    <w:rsid w:val="00AA4A25"/>
    <w:rsid w:val="00AA4B01"/>
    <w:rsid w:val="00AA4BB8"/>
    <w:rsid w:val="00AA5147"/>
    <w:rsid w:val="00AA5154"/>
    <w:rsid w:val="00AA5563"/>
    <w:rsid w:val="00AA558C"/>
    <w:rsid w:val="00AA5698"/>
    <w:rsid w:val="00AA5F27"/>
    <w:rsid w:val="00AA61D7"/>
    <w:rsid w:val="00AA6710"/>
    <w:rsid w:val="00AA6A76"/>
    <w:rsid w:val="00AA6B77"/>
    <w:rsid w:val="00AA6CAD"/>
    <w:rsid w:val="00AA7661"/>
    <w:rsid w:val="00AA7894"/>
    <w:rsid w:val="00AA7BEE"/>
    <w:rsid w:val="00AA7F42"/>
    <w:rsid w:val="00AB028C"/>
    <w:rsid w:val="00AB0586"/>
    <w:rsid w:val="00AB0681"/>
    <w:rsid w:val="00AB086A"/>
    <w:rsid w:val="00AB0DEC"/>
    <w:rsid w:val="00AB0ECC"/>
    <w:rsid w:val="00AB10ED"/>
    <w:rsid w:val="00AB12F6"/>
    <w:rsid w:val="00AB15E1"/>
    <w:rsid w:val="00AB17CE"/>
    <w:rsid w:val="00AB1838"/>
    <w:rsid w:val="00AB1B6B"/>
    <w:rsid w:val="00AB1DAB"/>
    <w:rsid w:val="00AB248F"/>
    <w:rsid w:val="00AB24E8"/>
    <w:rsid w:val="00AB2688"/>
    <w:rsid w:val="00AB28EA"/>
    <w:rsid w:val="00AB2B7C"/>
    <w:rsid w:val="00AB2CDD"/>
    <w:rsid w:val="00AB2D53"/>
    <w:rsid w:val="00AB3106"/>
    <w:rsid w:val="00AB3140"/>
    <w:rsid w:val="00AB3A3A"/>
    <w:rsid w:val="00AB4571"/>
    <w:rsid w:val="00AB4607"/>
    <w:rsid w:val="00AB4753"/>
    <w:rsid w:val="00AB478C"/>
    <w:rsid w:val="00AB47C6"/>
    <w:rsid w:val="00AB4895"/>
    <w:rsid w:val="00AB5A3C"/>
    <w:rsid w:val="00AB5F7A"/>
    <w:rsid w:val="00AB62CF"/>
    <w:rsid w:val="00AB667A"/>
    <w:rsid w:val="00AB6C77"/>
    <w:rsid w:val="00AB6D90"/>
    <w:rsid w:val="00AB6DC9"/>
    <w:rsid w:val="00AB6E14"/>
    <w:rsid w:val="00AB6F91"/>
    <w:rsid w:val="00AB752C"/>
    <w:rsid w:val="00AB777D"/>
    <w:rsid w:val="00AB7DD9"/>
    <w:rsid w:val="00AC0001"/>
    <w:rsid w:val="00AC01E4"/>
    <w:rsid w:val="00AC0260"/>
    <w:rsid w:val="00AC0DDA"/>
    <w:rsid w:val="00AC111D"/>
    <w:rsid w:val="00AC143A"/>
    <w:rsid w:val="00AC164F"/>
    <w:rsid w:val="00AC1787"/>
    <w:rsid w:val="00AC17B7"/>
    <w:rsid w:val="00AC193C"/>
    <w:rsid w:val="00AC199F"/>
    <w:rsid w:val="00AC2007"/>
    <w:rsid w:val="00AC21E1"/>
    <w:rsid w:val="00AC28D8"/>
    <w:rsid w:val="00AC2B42"/>
    <w:rsid w:val="00AC304C"/>
    <w:rsid w:val="00AC3078"/>
    <w:rsid w:val="00AC3103"/>
    <w:rsid w:val="00AC31BA"/>
    <w:rsid w:val="00AC3209"/>
    <w:rsid w:val="00AC349C"/>
    <w:rsid w:val="00AC3A15"/>
    <w:rsid w:val="00AC422A"/>
    <w:rsid w:val="00AC482E"/>
    <w:rsid w:val="00AC4B41"/>
    <w:rsid w:val="00AC4DF7"/>
    <w:rsid w:val="00AC4E77"/>
    <w:rsid w:val="00AC4EDB"/>
    <w:rsid w:val="00AC4F47"/>
    <w:rsid w:val="00AC4FC8"/>
    <w:rsid w:val="00AC50EF"/>
    <w:rsid w:val="00AC520C"/>
    <w:rsid w:val="00AC5285"/>
    <w:rsid w:val="00AC55C7"/>
    <w:rsid w:val="00AC5D1E"/>
    <w:rsid w:val="00AC5D4D"/>
    <w:rsid w:val="00AC6351"/>
    <w:rsid w:val="00AC68FE"/>
    <w:rsid w:val="00AC6A36"/>
    <w:rsid w:val="00AC6BA2"/>
    <w:rsid w:val="00AC6BA6"/>
    <w:rsid w:val="00AD02B9"/>
    <w:rsid w:val="00AD05EA"/>
    <w:rsid w:val="00AD07E9"/>
    <w:rsid w:val="00AD0ED6"/>
    <w:rsid w:val="00AD106A"/>
    <w:rsid w:val="00AD1B16"/>
    <w:rsid w:val="00AD2497"/>
    <w:rsid w:val="00AD2DFC"/>
    <w:rsid w:val="00AD3812"/>
    <w:rsid w:val="00AD3C52"/>
    <w:rsid w:val="00AD3D40"/>
    <w:rsid w:val="00AD3F29"/>
    <w:rsid w:val="00AD4122"/>
    <w:rsid w:val="00AD4308"/>
    <w:rsid w:val="00AD45BF"/>
    <w:rsid w:val="00AD45F7"/>
    <w:rsid w:val="00AD4907"/>
    <w:rsid w:val="00AD4933"/>
    <w:rsid w:val="00AD4CEF"/>
    <w:rsid w:val="00AD50DB"/>
    <w:rsid w:val="00AD520B"/>
    <w:rsid w:val="00AD54A0"/>
    <w:rsid w:val="00AD55BB"/>
    <w:rsid w:val="00AD5F0B"/>
    <w:rsid w:val="00AD60B7"/>
    <w:rsid w:val="00AD6309"/>
    <w:rsid w:val="00AD6782"/>
    <w:rsid w:val="00AD6972"/>
    <w:rsid w:val="00AD6BA9"/>
    <w:rsid w:val="00AD6E6B"/>
    <w:rsid w:val="00AD7288"/>
    <w:rsid w:val="00AD761A"/>
    <w:rsid w:val="00AD7A08"/>
    <w:rsid w:val="00AD7CB6"/>
    <w:rsid w:val="00AE0063"/>
    <w:rsid w:val="00AE0772"/>
    <w:rsid w:val="00AE07C1"/>
    <w:rsid w:val="00AE08FE"/>
    <w:rsid w:val="00AE0C02"/>
    <w:rsid w:val="00AE13E1"/>
    <w:rsid w:val="00AE1403"/>
    <w:rsid w:val="00AE1778"/>
    <w:rsid w:val="00AE183B"/>
    <w:rsid w:val="00AE1840"/>
    <w:rsid w:val="00AE1870"/>
    <w:rsid w:val="00AE25D3"/>
    <w:rsid w:val="00AE2665"/>
    <w:rsid w:val="00AE317D"/>
    <w:rsid w:val="00AE31BE"/>
    <w:rsid w:val="00AE3BC8"/>
    <w:rsid w:val="00AE3BCC"/>
    <w:rsid w:val="00AE4099"/>
    <w:rsid w:val="00AE4135"/>
    <w:rsid w:val="00AE41D7"/>
    <w:rsid w:val="00AE4440"/>
    <w:rsid w:val="00AE4A1A"/>
    <w:rsid w:val="00AE4A3A"/>
    <w:rsid w:val="00AE4DD1"/>
    <w:rsid w:val="00AE551F"/>
    <w:rsid w:val="00AE59FA"/>
    <w:rsid w:val="00AE5BFC"/>
    <w:rsid w:val="00AE5DF4"/>
    <w:rsid w:val="00AE6005"/>
    <w:rsid w:val="00AE6091"/>
    <w:rsid w:val="00AE676D"/>
    <w:rsid w:val="00AE75E6"/>
    <w:rsid w:val="00AE76DC"/>
    <w:rsid w:val="00AE7925"/>
    <w:rsid w:val="00AE7A28"/>
    <w:rsid w:val="00AE7E16"/>
    <w:rsid w:val="00AE7F24"/>
    <w:rsid w:val="00AF03F4"/>
    <w:rsid w:val="00AF070F"/>
    <w:rsid w:val="00AF0C69"/>
    <w:rsid w:val="00AF0C80"/>
    <w:rsid w:val="00AF0CAA"/>
    <w:rsid w:val="00AF1219"/>
    <w:rsid w:val="00AF132A"/>
    <w:rsid w:val="00AF15D7"/>
    <w:rsid w:val="00AF1DB3"/>
    <w:rsid w:val="00AF1F67"/>
    <w:rsid w:val="00AF20F0"/>
    <w:rsid w:val="00AF283B"/>
    <w:rsid w:val="00AF28D8"/>
    <w:rsid w:val="00AF2AFF"/>
    <w:rsid w:val="00AF2B3B"/>
    <w:rsid w:val="00AF31D7"/>
    <w:rsid w:val="00AF32A5"/>
    <w:rsid w:val="00AF361F"/>
    <w:rsid w:val="00AF3AD1"/>
    <w:rsid w:val="00AF447C"/>
    <w:rsid w:val="00AF4F1D"/>
    <w:rsid w:val="00AF52DE"/>
    <w:rsid w:val="00AF5844"/>
    <w:rsid w:val="00AF5D51"/>
    <w:rsid w:val="00AF5FA5"/>
    <w:rsid w:val="00AF66D6"/>
    <w:rsid w:val="00AF67C6"/>
    <w:rsid w:val="00AF6E54"/>
    <w:rsid w:val="00AF6EAB"/>
    <w:rsid w:val="00AF6FAE"/>
    <w:rsid w:val="00AF71BA"/>
    <w:rsid w:val="00AF7648"/>
    <w:rsid w:val="00AF7A1E"/>
    <w:rsid w:val="00AF7B51"/>
    <w:rsid w:val="00AF7F2C"/>
    <w:rsid w:val="00B00001"/>
    <w:rsid w:val="00B0028F"/>
    <w:rsid w:val="00B00B44"/>
    <w:rsid w:val="00B00E05"/>
    <w:rsid w:val="00B00FD6"/>
    <w:rsid w:val="00B010DD"/>
    <w:rsid w:val="00B01F63"/>
    <w:rsid w:val="00B0247B"/>
    <w:rsid w:val="00B02613"/>
    <w:rsid w:val="00B026A2"/>
    <w:rsid w:val="00B029D4"/>
    <w:rsid w:val="00B029FD"/>
    <w:rsid w:val="00B02ACF"/>
    <w:rsid w:val="00B02DCE"/>
    <w:rsid w:val="00B031D8"/>
    <w:rsid w:val="00B0321A"/>
    <w:rsid w:val="00B03667"/>
    <w:rsid w:val="00B04071"/>
    <w:rsid w:val="00B04186"/>
    <w:rsid w:val="00B04491"/>
    <w:rsid w:val="00B046AB"/>
    <w:rsid w:val="00B04812"/>
    <w:rsid w:val="00B055AB"/>
    <w:rsid w:val="00B05B63"/>
    <w:rsid w:val="00B05FA8"/>
    <w:rsid w:val="00B067EC"/>
    <w:rsid w:val="00B0690D"/>
    <w:rsid w:val="00B06932"/>
    <w:rsid w:val="00B06F53"/>
    <w:rsid w:val="00B070DB"/>
    <w:rsid w:val="00B0749E"/>
    <w:rsid w:val="00B0786E"/>
    <w:rsid w:val="00B07E7E"/>
    <w:rsid w:val="00B105EB"/>
    <w:rsid w:val="00B10923"/>
    <w:rsid w:val="00B10BDE"/>
    <w:rsid w:val="00B10D6C"/>
    <w:rsid w:val="00B10DD8"/>
    <w:rsid w:val="00B1123A"/>
    <w:rsid w:val="00B11511"/>
    <w:rsid w:val="00B1183D"/>
    <w:rsid w:val="00B11A35"/>
    <w:rsid w:val="00B12303"/>
    <w:rsid w:val="00B12567"/>
    <w:rsid w:val="00B12603"/>
    <w:rsid w:val="00B129D4"/>
    <w:rsid w:val="00B12BB5"/>
    <w:rsid w:val="00B13501"/>
    <w:rsid w:val="00B13769"/>
    <w:rsid w:val="00B13AD3"/>
    <w:rsid w:val="00B13B3B"/>
    <w:rsid w:val="00B13DF8"/>
    <w:rsid w:val="00B14588"/>
    <w:rsid w:val="00B1481C"/>
    <w:rsid w:val="00B14B2D"/>
    <w:rsid w:val="00B14C41"/>
    <w:rsid w:val="00B1571A"/>
    <w:rsid w:val="00B15A10"/>
    <w:rsid w:val="00B15DBB"/>
    <w:rsid w:val="00B164DB"/>
    <w:rsid w:val="00B1675F"/>
    <w:rsid w:val="00B16F80"/>
    <w:rsid w:val="00B1740E"/>
    <w:rsid w:val="00B17492"/>
    <w:rsid w:val="00B174BF"/>
    <w:rsid w:val="00B17512"/>
    <w:rsid w:val="00B177D4"/>
    <w:rsid w:val="00B17DE2"/>
    <w:rsid w:val="00B17ED6"/>
    <w:rsid w:val="00B206E6"/>
    <w:rsid w:val="00B20AD9"/>
    <w:rsid w:val="00B21099"/>
    <w:rsid w:val="00B21138"/>
    <w:rsid w:val="00B21348"/>
    <w:rsid w:val="00B21BD9"/>
    <w:rsid w:val="00B21C59"/>
    <w:rsid w:val="00B21E9F"/>
    <w:rsid w:val="00B2210A"/>
    <w:rsid w:val="00B2212E"/>
    <w:rsid w:val="00B221A2"/>
    <w:rsid w:val="00B22733"/>
    <w:rsid w:val="00B228D2"/>
    <w:rsid w:val="00B22EC4"/>
    <w:rsid w:val="00B23BC0"/>
    <w:rsid w:val="00B23C35"/>
    <w:rsid w:val="00B24100"/>
    <w:rsid w:val="00B2440C"/>
    <w:rsid w:val="00B25070"/>
    <w:rsid w:val="00B250A5"/>
    <w:rsid w:val="00B259D2"/>
    <w:rsid w:val="00B25A9D"/>
    <w:rsid w:val="00B26230"/>
    <w:rsid w:val="00B262D6"/>
    <w:rsid w:val="00B26414"/>
    <w:rsid w:val="00B266E3"/>
    <w:rsid w:val="00B268A0"/>
    <w:rsid w:val="00B269D4"/>
    <w:rsid w:val="00B26CC7"/>
    <w:rsid w:val="00B26F49"/>
    <w:rsid w:val="00B27104"/>
    <w:rsid w:val="00B2752C"/>
    <w:rsid w:val="00B276BC"/>
    <w:rsid w:val="00B30026"/>
    <w:rsid w:val="00B302DB"/>
    <w:rsid w:val="00B30650"/>
    <w:rsid w:val="00B30D39"/>
    <w:rsid w:val="00B30EEC"/>
    <w:rsid w:val="00B310EE"/>
    <w:rsid w:val="00B3147B"/>
    <w:rsid w:val="00B319F4"/>
    <w:rsid w:val="00B31B03"/>
    <w:rsid w:val="00B31DFB"/>
    <w:rsid w:val="00B3232D"/>
    <w:rsid w:val="00B32524"/>
    <w:rsid w:val="00B32AFA"/>
    <w:rsid w:val="00B32BDC"/>
    <w:rsid w:val="00B330CB"/>
    <w:rsid w:val="00B33605"/>
    <w:rsid w:val="00B33918"/>
    <w:rsid w:val="00B33946"/>
    <w:rsid w:val="00B3449C"/>
    <w:rsid w:val="00B3450B"/>
    <w:rsid w:val="00B35206"/>
    <w:rsid w:val="00B353D3"/>
    <w:rsid w:val="00B35404"/>
    <w:rsid w:val="00B35574"/>
    <w:rsid w:val="00B35A0F"/>
    <w:rsid w:val="00B35C07"/>
    <w:rsid w:val="00B35C77"/>
    <w:rsid w:val="00B363DA"/>
    <w:rsid w:val="00B36511"/>
    <w:rsid w:val="00B3678F"/>
    <w:rsid w:val="00B370AE"/>
    <w:rsid w:val="00B3724E"/>
    <w:rsid w:val="00B37350"/>
    <w:rsid w:val="00B373CE"/>
    <w:rsid w:val="00B375D5"/>
    <w:rsid w:val="00B37A5A"/>
    <w:rsid w:val="00B401B4"/>
    <w:rsid w:val="00B4028A"/>
    <w:rsid w:val="00B40DBD"/>
    <w:rsid w:val="00B40DF8"/>
    <w:rsid w:val="00B40EC8"/>
    <w:rsid w:val="00B410B5"/>
    <w:rsid w:val="00B4119C"/>
    <w:rsid w:val="00B4138D"/>
    <w:rsid w:val="00B414E4"/>
    <w:rsid w:val="00B41816"/>
    <w:rsid w:val="00B418F6"/>
    <w:rsid w:val="00B41955"/>
    <w:rsid w:val="00B423B9"/>
    <w:rsid w:val="00B425C3"/>
    <w:rsid w:val="00B42EEC"/>
    <w:rsid w:val="00B4307B"/>
    <w:rsid w:val="00B43127"/>
    <w:rsid w:val="00B4326F"/>
    <w:rsid w:val="00B433F6"/>
    <w:rsid w:val="00B4343A"/>
    <w:rsid w:val="00B43502"/>
    <w:rsid w:val="00B4373D"/>
    <w:rsid w:val="00B43A46"/>
    <w:rsid w:val="00B440A5"/>
    <w:rsid w:val="00B440AD"/>
    <w:rsid w:val="00B44804"/>
    <w:rsid w:val="00B456DC"/>
    <w:rsid w:val="00B46464"/>
    <w:rsid w:val="00B466DA"/>
    <w:rsid w:val="00B46C7D"/>
    <w:rsid w:val="00B47201"/>
    <w:rsid w:val="00B47283"/>
    <w:rsid w:val="00B472FD"/>
    <w:rsid w:val="00B476AE"/>
    <w:rsid w:val="00B47882"/>
    <w:rsid w:val="00B4793C"/>
    <w:rsid w:val="00B479BB"/>
    <w:rsid w:val="00B47E99"/>
    <w:rsid w:val="00B5010D"/>
    <w:rsid w:val="00B5011E"/>
    <w:rsid w:val="00B50142"/>
    <w:rsid w:val="00B5082C"/>
    <w:rsid w:val="00B509F0"/>
    <w:rsid w:val="00B50C65"/>
    <w:rsid w:val="00B510F9"/>
    <w:rsid w:val="00B511C0"/>
    <w:rsid w:val="00B514A5"/>
    <w:rsid w:val="00B51B76"/>
    <w:rsid w:val="00B51FEC"/>
    <w:rsid w:val="00B525B2"/>
    <w:rsid w:val="00B5267E"/>
    <w:rsid w:val="00B526D1"/>
    <w:rsid w:val="00B5287E"/>
    <w:rsid w:val="00B52965"/>
    <w:rsid w:val="00B52A66"/>
    <w:rsid w:val="00B52E43"/>
    <w:rsid w:val="00B531C3"/>
    <w:rsid w:val="00B537AC"/>
    <w:rsid w:val="00B53E7E"/>
    <w:rsid w:val="00B54111"/>
    <w:rsid w:val="00B543F6"/>
    <w:rsid w:val="00B547AA"/>
    <w:rsid w:val="00B554A7"/>
    <w:rsid w:val="00B55538"/>
    <w:rsid w:val="00B55F50"/>
    <w:rsid w:val="00B5601D"/>
    <w:rsid w:val="00B5622B"/>
    <w:rsid w:val="00B569FE"/>
    <w:rsid w:val="00B56BA8"/>
    <w:rsid w:val="00B56E56"/>
    <w:rsid w:val="00B571D2"/>
    <w:rsid w:val="00B57FB8"/>
    <w:rsid w:val="00B6014D"/>
    <w:rsid w:val="00B6030E"/>
    <w:rsid w:val="00B6062F"/>
    <w:rsid w:val="00B60F23"/>
    <w:rsid w:val="00B610DB"/>
    <w:rsid w:val="00B610F5"/>
    <w:rsid w:val="00B61177"/>
    <w:rsid w:val="00B61352"/>
    <w:rsid w:val="00B61A69"/>
    <w:rsid w:val="00B61BEB"/>
    <w:rsid w:val="00B61C61"/>
    <w:rsid w:val="00B61EBF"/>
    <w:rsid w:val="00B61FC1"/>
    <w:rsid w:val="00B6214A"/>
    <w:rsid w:val="00B62184"/>
    <w:rsid w:val="00B62695"/>
    <w:rsid w:val="00B6274F"/>
    <w:rsid w:val="00B62835"/>
    <w:rsid w:val="00B62F5B"/>
    <w:rsid w:val="00B63403"/>
    <w:rsid w:val="00B6342E"/>
    <w:rsid w:val="00B634D7"/>
    <w:rsid w:val="00B634DD"/>
    <w:rsid w:val="00B63832"/>
    <w:rsid w:val="00B63AD9"/>
    <w:rsid w:val="00B63E8D"/>
    <w:rsid w:val="00B63F41"/>
    <w:rsid w:val="00B642B5"/>
    <w:rsid w:val="00B6453F"/>
    <w:rsid w:val="00B646C7"/>
    <w:rsid w:val="00B64F33"/>
    <w:rsid w:val="00B65232"/>
    <w:rsid w:val="00B65A25"/>
    <w:rsid w:val="00B65A91"/>
    <w:rsid w:val="00B65B4A"/>
    <w:rsid w:val="00B66273"/>
    <w:rsid w:val="00B663C4"/>
    <w:rsid w:val="00B66854"/>
    <w:rsid w:val="00B6704A"/>
    <w:rsid w:val="00B670A2"/>
    <w:rsid w:val="00B6728C"/>
    <w:rsid w:val="00B678D9"/>
    <w:rsid w:val="00B679C3"/>
    <w:rsid w:val="00B67B0A"/>
    <w:rsid w:val="00B67C9A"/>
    <w:rsid w:val="00B67E00"/>
    <w:rsid w:val="00B70543"/>
    <w:rsid w:val="00B70652"/>
    <w:rsid w:val="00B70EA5"/>
    <w:rsid w:val="00B7113F"/>
    <w:rsid w:val="00B71DD7"/>
    <w:rsid w:val="00B71E1D"/>
    <w:rsid w:val="00B71F16"/>
    <w:rsid w:val="00B7205B"/>
    <w:rsid w:val="00B7241B"/>
    <w:rsid w:val="00B72DC8"/>
    <w:rsid w:val="00B7306E"/>
    <w:rsid w:val="00B73328"/>
    <w:rsid w:val="00B73360"/>
    <w:rsid w:val="00B7389E"/>
    <w:rsid w:val="00B7393E"/>
    <w:rsid w:val="00B73C07"/>
    <w:rsid w:val="00B73C0E"/>
    <w:rsid w:val="00B73F39"/>
    <w:rsid w:val="00B7435F"/>
    <w:rsid w:val="00B74709"/>
    <w:rsid w:val="00B747EE"/>
    <w:rsid w:val="00B74BAD"/>
    <w:rsid w:val="00B74E77"/>
    <w:rsid w:val="00B75003"/>
    <w:rsid w:val="00B7560A"/>
    <w:rsid w:val="00B75AEF"/>
    <w:rsid w:val="00B75C42"/>
    <w:rsid w:val="00B75D1F"/>
    <w:rsid w:val="00B7618B"/>
    <w:rsid w:val="00B7639D"/>
    <w:rsid w:val="00B76512"/>
    <w:rsid w:val="00B7666A"/>
    <w:rsid w:val="00B76A6A"/>
    <w:rsid w:val="00B76FB5"/>
    <w:rsid w:val="00B76FB7"/>
    <w:rsid w:val="00B77709"/>
    <w:rsid w:val="00B77A6A"/>
    <w:rsid w:val="00B80191"/>
    <w:rsid w:val="00B801C6"/>
    <w:rsid w:val="00B802FC"/>
    <w:rsid w:val="00B803C6"/>
    <w:rsid w:val="00B80C28"/>
    <w:rsid w:val="00B80EAF"/>
    <w:rsid w:val="00B81299"/>
    <w:rsid w:val="00B81645"/>
    <w:rsid w:val="00B817B0"/>
    <w:rsid w:val="00B81863"/>
    <w:rsid w:val="00B81E83"/>
    <w:rsid w:val="00B820E6"/>
    <w:rsid w:val="00B82151"/>
    <w:rsid w:val="00B821A1"/>
    <w:rsid w:val="00B82836"/>
    <w:rsid w:val="00B82F1C"/>
    <w:rsid w:val="00B83216"/>
    <w:rsid w:val="00B832B3"/>
    <w:rsid w:val="00B83722"/>
    <w:rsid w:val="00B8373F"/>
    <w:rsid w:val="00B83786"/>
    <w:rsid w:val="00B83B2C"/>
    <w:rsid w:val="00B840AA"/>
    <w:rsid w:val="00B84347"/>
    <w:rsid w:val="00B84997"/>
    <w:rsid w:val="00B84CB9"/>
    <w:rsid w:val="00B84F2F"/>
    <w:rsid w:val="00B8502B"/>
    <w:rsid w:val="00B8512A"/>
    <w:rsid w:val="00B853BD"/>
    <w:rsid w:val="00B856F5"/>
    <w:rsid w:val="00B85E3B"/>
    <w:rsid w:val="00B860C4"/>
    <w:rsid w:val="00B8653A"/>
    <w:rsid w:val="00B8736F"/>
    <w:rsid w:val="00B8791B"/>
    <w:rsid w:val="00B8797D"/>
    <w:rsid w:val="00B879EE"/>
    <w:rsid w:val="00B87BBE"/>
    <w:rsid w:val="00B87CB5"/>
    <w:rsid w:val="00B87CD0"/>
    <w:rsid w:val="00B87ED6"/>
    <w:rsid w:val="00B90056"/>
    <w:rsid w:val="00B90539"/>
    <w:rsid w:val="00B909A1"/>
    <w:rsid w:val="00B90DC3"/>
    <w:rsid w:val="00B90E05"/>
    <w:rsid w:val="00B9149B"/>
    <w:rsid w:val="00B9155F"/>
    <w:rsid w:val="00B916DE"/>
    <w:rsid w:val="00B92BD1"/>
    <w:rsid w:val="00B931AA"/>
    <w:rsid w:val="00B934E5"/>
    <w:rsid w:val="00B935E4"/>
    <w:rsid w:val="00B938DD"/>
    <w:rsid w:val="00B94354"/>
    <w:rsid w:val="00B9470C"/>
    <w:rsid w:val="00B9476C"/>
    <w:rsid w:val="00B949F4"/>
    <w:rsid w:val="00B94A29"/>
    <w:rsid w:val="00B94F3B"/>
    <w:rsid w:val="00B95278"/>
    <w:rsid w:val="00B9551C"/>
    <w:rsid w:val="00B95F88"/>
    <w:rsid w:val="00B969F0"/>
    <w:rsid w:val="00B96C54"/>
    <w:rsid w:val="00B96D27"/>
    <w:rsid w:val="00B96F36"/>
    <w:rsid w:val="00B9713B"/>
    <w:rsid w:val="00B97182"/>
    <w:rsid w:val="00B973E9"/>
    <w:rsid w:val="00B97A54"/>
    <w:rsid w:val="00B97D90"/>
    <w:rsid w:val="00BA0307"/>
    <w:rsid w:val="00BA0466"/>
    <w:rsid w:val="00BA047C"/>
    <w:rsid w:val="00BA0955"/>
    <w:rsid w:val="00BA0DDF"/>
    <w:rsid w:val="00BA0F66"/>
    <w:rsid w:val="00BA0F74"/>
    <w:rsid w:val="00BA10F9"/>
    <w:rsid w:val="00BA1577"/>
    <w:rsid w:val="00BA161D"/>
    <w:rsid w:val="00BA1892"/>
    <w:rsid w:val="00BA1E52"/>
    <w:rsid w:val="00BA2596"/>
    <w:rsid w:val="00BA25C2"/>
    <w:rsid w:val="00BA2BCF"/>
    <w:rsid w:val="00BA313C"/>
    <w:rsid w:val="00BA3900"/>
    <w:rsid w:val="00BA41FC"/>
    <w:rsid w:val="00BA42B3"/>
    <w:rsid w:val="00BA440C"/>
    <w:rsid w:val="00BA4800"/>
    <w:rsid w:val="00BA49AD"/>
    <w:rsid w:val="00BA4A1A"/>
    <w:rsid w:val="00BA4AE8"/>
    <w:rsid w:val="00BA576A"/>
    <w:rsid w:val="00BA577E"/>
    <w:rsid w:val="00BA5B14"/>
    <w:rsid w:val="00BA613B"/>
    <w:rsid w:val="00BA73B6"/>
    <w:rsid w:val="00BA78DD"/>
    <w:rsid w:val="00BA7B9E"/>
    <w:rsid w:val="00BA7D8E"/>
    <w:rsid w:val="00BA7E27"/>
    <w:rsid w:val="00BB03AD"/>
    <w:rsid w:val="00BB0F09"/>
    <w:rsid w:val="00BB1497"/>
    <w:rsid w:val="00BB20E3"/>
    <w:rsid w:val="00BB229D"/>
    <w:rsid w:val="00BB2603"/>
    <w:rsid w:val="00BB2CC9"/>
    <w:rsid w:val="00BB342A"/>
    <w:rsid w:val="00BB35C9"/>
    <w:rsid w:val="00BB3B70"/>
    <w:rsid w:val="00BB3C74"/>
    <w:rsid w:val="00BB4349"/>
    <w:rsid w:val="00BB4367"/>
    <w:rsid w:val="00BB4466"/>
    <w:rsid w:val="00BB4FCD"/>
    <w:rsid w:val="00BB50D1"/>
    <w:rsid w:val="00BB5FC3"/>
    <w:rsid w:val="00BB64A9"/>
    <w:rsid w:val="00BB64EB"/>
    <w:rsid w:val="00BB64F1"/>
    <w:rsid w:val="00BB6952"/>
    <w:rsid w:val="00BB696A"/>
    <w:rsid w:val="00BB69D1"/>
    <w:rsid w:val="00BB7194"/>
    <w:rsid w:val="00BB74AE"/>
    <w:rsid w:val="00BB74DB"/>
    <w:rsid w:val="00BB7874"/>
    <w:rsid w:val="00BB79A0"/>
    <w:rsid w:val="00BB7B03"/>
    <w:rsid w:val="00BC0354"/>
    <w:rsid w:val="00BC04E9"/>
    <w:rsid w:val="00BC0526"/>
    <w:rsid w:val="00BC0647"/>
    <w:rsid w:val="00BC089E"/>
    <w:rsid w:val="00BC104A"/>
    <w:rsid w:val="00BC11F7"/>
    <w:rsid w:val="00BC124B"/>
    <w:rsid w:val="00BC12C0"/>
    <w:rsid w:val="00BC1612"/>
    <w:rsid w:val="00BC1DC6"/>
    <w:rsid w:val="00BC2D50"/>
    <w:rsid w:val="00BC2E2E"/>
    <w:rsid w:val="00BC3070"/>
    <w:rsid w:val="00BC4276"/>
    <w:rsid w:val="00BC44D5"/>
    <w:rsid w:val="00BC4533"/>
    <w:rsid w:val="00BC4866"/>
    <w:rsid w:val="00BC4A0E"/>
    <w:rsid w:val="00BC4DD4"/>
    <w:rsid w:val="00BC5148"/>
    <w:rsid w:val="00BC5177"/>
    <w:rsid w:val="00BC5273"/>
    <w:rsid w:val="00BC5B39"/>
    <w:rsid w:val="00BC61C1"/>
    <w:rsid w:val="00BC6500"/>
    <w:rsid w:val="00BC726D"/>
    <w:rsid w:val="00BC7277"/>
    <w:rsid w:val="00BC7710"/>
    <w:rsid w:val="00BC7963"/>
    <w:rsid w:val="00BD0213"/>
    <w:rsid w:val="00BD0582"/>
    <w:rsid w:val="00BD05A4"/>
    <w:rsid w:val="00BD083E"/>
    <w:rsid w:val="00BD094C"/>
    <w:rsid w:val="00BD0F16"/>
    <w:rsid w:val="00BD1042"/>
    <w:rsid w:val="00BD1324"/>
    <w:rsid w:val="00BD13EA"/>
    <w:rsid w:val="00BD16DB"/>
    <w:rsid w:val="00BD2034"/>
    <w:rsid w:val="00BD2084"/>
    <w:rsid w:val="00BD20CD"/>
    <w:rsid w:val="00BD2176"/>
    <w:rsid w:val="00BD2202"/>
    <w:rsid w:val="00BD2205"/>
    <w:rsid w:val="00BD228F"/>
    <w:rsid w:val="00BD23AC"/>
    <w:rsid w:val="00BD29C1"/>
    <w:rsid w:val="00BD2A97"/>
    <w:rsid w:val="00BD2BA2"/>
    <w:rsid w:val="00BD2F0B"/>
    <w:rsid w:val="00BD2FC3"/>
    <w:rsid w:val="00BD3A68"/>
    <w:rsid w:val="00BD3CEB"/>
    <w:rsid w:val="00BD513B"/>
    <w:rsid w:val="00BD5169"/>
    <w:rsid w:val="00BD5B7F"/>
    <w:rsid w:val="00BD5C26"/>
    <w:rsid w:val="00BD5DF9"/>
    <w:rsid w:val="00BD624A"/>
    <w:rsid w:val="00BD7C01"/>
    <w:rsid w:val="00BD7C3E"/>
    <w:rsid w:val="00BE007A"/>
    <w:rsid w:val="00BE0289"/>
    <w:rsid w:val="00BE044C"/>
    <w:rsid w:val="00BE0B04"/>
    <w:rsid w:val="00BE0D40"/>
    <w:rsid w:val="00BE0E80"/>
    <w:rsid w:val="00BE0EEB"/>
    <w:rsid w:val="00BE10F6"/>
    <w:rsid w:val="00BE1861"/>
    <w:rsid w:val="00BE1ABB"/>
    <w:rsid w:val="00BE202C"/>
    <w:rsid w:val="00BE22F7"/>
    <w:rsid w:val="00BE2592"/>
    <w:rsid w:val="00BE25C3"/>
    <w:rsid w:val="00BE294B"/>
    <w:rsid w:val="00BE3013"/>
    <w:rsid w:val="00BE3155"/>
    <w:rsid w:val="00BE369D"/>
    <w:rsid w:val="00BE3808"/>
    <w:rsid w:val="00BE3CC1"/>
    <w:rsid w:val="00BE4037"/>
    <w:rsid w:val="00BE4264"/>
    <w:rsid w:val="00BE4441"/>
    <w:rsid w:val="00BE4985"/>
    <w:rsid w:val="00BE4E34"/>
    <w:rsid w:val="00BE4F62"/>
    <w:rsid w:val="00BE5527"/>
    <w:rsid w:val="00BE5935"/>
    <w:rsid w:val="00BE5B73"/>
    <w:rsid w:val="00BE601E"/>
    <w:rsid w:val="00BE6145"/>
    <w:rsid w:val="00BE6633"/>
    <w:rsid w:val="00BE7158"/>
    <w:rsid w:val="00BE7275"/>
    <w:rsid w:val="00BE72B0"/>
    <w:rsid w:val="00BE7302"/>
    <w:rsid w:val="00BE7673"/>
    <w:rsid w:val="00BE7B3B"/>
    <w:rsid w:val="00BE7D14"/>
    <w:rsid w:val="00BE7E7B"/>
    <w:rsid w:val="00BE7F56"/>
    <w:rsid w:val="00BF14AC"/>
    <w:rsid w:val="00BF152B"/>
    <w:rsid w:val="00BF17F5"/>
    <w:rsid w:val="00BF183B"/>
    <w:rsid w:val="00BF19C5"/>
    <w:rsid w:val="00BF1A55"/>
    <w:rsid w:val="00BF1BFE"/>
    <w:rsid w:val="00BF1ED3"/>
    <w:rsid w:val="00BF1FDD"/>
    <w:rsid w:val="00BF2066"/>
    <w:rsid w:val="00BF20A4"/>
    <w:rsid w:val="00BF234A"/>
    <w:rsid w:val="00BF27C7"/>
    <w:rsid w:val="00BF29D6"/>
    <w:rsid w:val="00BF31A8"/>
    <w:rsid w:val="00BF32D9"/>
    <w:rsid w:val="00BF3AE9"/>
    <w:rsid w:val="00BF422A"/>
    <w:rsid w:val="00BF44B0"/>
    <w:rsid w:val="00BF466D"/>
    <w:rsid w:val="00BF4B93"/>
    <w:rsid w:val="00BF54FA"/>
    <w:rsid w:val="00BF5570"/>
    <w:rsid w:val="00BF58D6"/>
    <w:rsid w:val="00BF5905"/>
    <w:rsid w:val="00BF5BB7"/>
    <w:rsid w:val="00BF5E73"/>
    <w:rsid w:val="00BF604A"/>
    <w:rsid w:val="00BF69C9"/>
    <w:rsid w:val="00BF6A16"/>
    <w:rsid w:val="00BF6CFE"/>
    <w:rsid w:val="00BF705A"/>
    <w:rsid w:val="00BF72BE"/>
    <w:rsid w:val="00BF7678"/>
    <w:rsid w:val="00BF7BA6"/>
    <w:rsid w:val="00BF7DCD"/>
    <w:rsid w:val="00C00179"/>
    <w:rsid w:val="00C004D7"/>
    <w:rsid w:val="00C008B6"/>
    <w:rsid w:val="00C0094B"/>
    <w:rsid w:val="00C0108A"/>
    <w:rsid w:val="00C01CB6"/>
    <w:rsid w:val="00C0255B"/>
    <w:rsid w:val="00C026B4"/>
    <w:rsid w:val="00C029A4"/>
    <w:rsid w:val="00C02C9D"/>
    <w:rsid w:val="00C02FCF"/>
    <w:rsid w:val="00C03285"/>
    <w:rsid w:val="00C0337B"/>
    <w:rsid w:val="00C03425"/>
    <w:rsid w:val="00C03B88"/>
    <w:rsid w:val="00C04189"/>
    <w:rsid w:val="00C0434F"/>
    <w:rsid w:val="00C046A1"/>
    <w:rsid w:val="00C04771"/>
    <w:rsid w:val="00C0480A"/>
    <w:rsid w:val="00C04C53"/>
    <w:rsid w:val="00C04D82"/>
    <w:rsid w:val="00C04F69"/>
    <w:rsid w:val="00C05E75"/>
    <w:rsid w:val="00C062E9"/>
    <w:rsid w:val="00C06837"/>
    <w:rsid w:val="00C068E9"/>
    <w:rsid w:val="00C06E67"/>
    <w:rsid w:val="00C071E2"/>
    <w:rsid w:val="00C07618"/>
    <w:rsid w:val="00C0785B"/>
    <w:rsid w:val="00C07B64"/>
    <w:rsid w:val="00C07C3B"/>
    <w:rsid w:val="00C07D01"/>
    <w:rsid w:val="00C07DA4"/>
    <w:rsid w:val="00C102E8"/>
    <w:rsid w:val="00C10338"/>
    <w:rsid w:val="00C103E8"/>
    <w:rsid w:val="00C10CB2"/>
    <w:rsid w:val="00C1101C"/>
    <w:rsid w:val="00C117D8"/>
    <w:rsid w:val="00C11833"/>
    <w:rsid w:val="00C11ACD"/>
    <w:rsid w:val="00C11B68"/>
    <w:rsid w:val="00C11E2D"/>
    <w:rsid w:val="00C1264C"/>
    <w:rsid w:val="00C12C2C"/>
    <w:rsid w:val="00C130F3"/>
    <w:rsid w:val="00C13514"/>
    <w:rsid w:val="00C136F8"/>
    <w:rsid w:val="00C13721"/>
    <w:rsid w:val="00C13A86"/>
    <w:rsid w:val="00C13D4D"/>
    <w:rsid w:val="00C13F7E"/>
    <w:rsid w:val="00C140A8"/>
    <w:rsid w:val="00C14C50"/>
    <w:rsid w:val="00C14ECD"/>
    <w:rsid w:val="00C14F1B"/>
    <w:rsid w:val="00C14FE4"/>
    <w:rsid w:val="00C150BE"/>
    <w:rsid w:val="00C154A7"/>
    <w:rsid w:val="00C15551"/>
    <w:rsid w:val="00C15559"/>
    <w:rsid w:val="00C15907"/>
    <w:rsid w:val="00C15A99"/>
    <w:rsid w:val="00C15E46"/>
    <w:rsid w:val="00C160FD"/>
    <w:rsid w:val="00C1630A"/>
    <w:rsid w:val="00C16585"/>
    <w:rsid w:val="00C166DD"/>
    <w:rsid w:val="00C16948"/>
    <w:rsid w:val="00C1695D"/>
    <w:rsid w:val="00C16A94"/>
    <w:rsid w:val="00C16E64"/>
    <w:rsid w:val="00C1749B"/>
    <w:rsid w:val="00C17CCA"/>
    <w:rsid w:val="00C17DB5"/>
    <w:rsid w:val="00C17F89"/>
    <w:rsid w:val="00C20338"/>
    <w:rsid w:val="00C20BA2"/>
    <w:rsid w:val="00C20C33"/>
    <w:rsid w:val="00C216FD"/>
    <w:rsid w:val="00C21DEA"/>
    <w:rsid w:val="00C2219A"/>
    <w:rsid w:val="00C222A0"/>
    <w:rsid w:val="00C225DE"/>
    <w:rsid w:val="00C22D37"/>
    <w:rsid w:val="00C22F8C"/>
    <w:rsid w:val="00C23ACB"/>
    <w:rsid w:val="00C24453"/>
    <w:rsid w:val="00C24761"/>
    <w:rsid w:val="00C248D2"/>
    <w:rsid w:val="00C249EB"/>
    <w:rsid w:val="00C24ABB"/>
    <w:rsid w:val="00C24AE8"/>
    <w:rsid w:val="00C24E68"/>
    <w:rsid w:val="00C252FF"/>
    <w:rsid w:val="00C256C2"/>
    <w:rsid w:val="00C259B4"/>
    <w:rsid w:val="00C25C11"/>
    <w:rsid w:val="00C2636F"/>
    <w:rsid w:val="00C26373"/>
    <w:rsid w:val="00C26D7A"/>
    <w:rsid w:val="00C270F3"/>
    <w:rsid w:val="00C27575"/>
    <w:rsid w:val="00C27670"/>
    <w:rsid w:val="00C277DD"/>
    <w:rsid w:val="00C27E45"/>
    <w:rsid w:val="00C27E4E"/>
    <w:rsid w:val="00C30371"/>
    <w:rsid w:val="00C3066D"/>
    <w:rsid w:val="00C30DB8"/>
    <w:rsid w:val="00C31065"/>
    <w:rsid w:val="00C31490"/>
    <w:rsid w:val="00C317EB"/>
    <w:rsid w:val="00C31863"/>
    <w:rsid w:val="00C318F9"/>
    <w:rsid w:val="00C31A79"/>
    <w:rsid w:val="00C31AF6"/>
    <w:rsid w:val="00C31B17"/>
    <w:rsid w:val="00C31C2E"/>
    <w:rsid w:val="00C31F66"/>
    <w:rsid w:val="00C3246F"/>
    <w:rsid w:val="00C3247E"/>
    <w:rsid w:val="00C32725"/>
    <w:rsid w:val="00C32EAB"/>
    <w:rsid w:val="00C332ED"/>
    <w:rsid w:val="00C3332D"/>
    <w:rsid w:val="00C33843"/>
    <w:rsid w:val="00C34007"/>
    <w:rsid w:val="00C340CF"/>
    <w:rsid w:val="00C342FA"/>
    <w:rsid w:val="00C34326"/>
    <w:rsid w:val="00C343F6"/>
    <w:rsid w:val="00C34457"/>
    <w:rsid w:val="00C3447A"/>
    <w:rsid w:val="00C3454B"/>
    <w:rsid w:val="00C35516"/>
    <w:rsid w:val="00C35E86"/>
    <w:rsid w:val="00C35F60"/>
    <w:rsid w:val="00C36034"/>
    <w:rsid w:val="00C36053"/>
    <w:rsid w:val="00C365CB"/>
    <w:rsid w:val="00C3704A"/>
    <w:rsid w:val="00C37978"/>
    <w:rsid w:val="00C37F7C"/>
    <w:rsid w:val="00C400A7"/>
    <w:rsid w:val="00C402DE"/>
    <w:rsid w:val="00C40336"/>
    <w:rsid w:val="00C406C3"/>
    <w:rsid w:val="00C40D5C"/>
    <w:rsid w:val="00C40E4E"/>
    <w:rsid w:val="00C41035"/>
    <w:rsid w:val="00C422A2"/>
    <w:rsid w:val="00C42490"/>
    <w:rsid w:val="00C428A4"/>
    <w:rsid w:val="00C429C7"/>
    <w:rsid w:val="00C42D5C"/>
    <w:rsid w:val="00C42DC9"/>
    <w:rsid w:val="00C43471"/>
    <w:rsid w:val="00C4375C"/>
    <w:rsid w:val="00C4396E"/>
    <w:rsid w:val="00C44AE7"/>
    <w:rsid w:val="00C4516C"/>
    <w:rsid w:val="00C45E85"/>
    <w:rsid w:val="00C46023"/>
    <w:rsid w:val="00C46247"/>
    <w:rsid w:val="00C4637C"/>
    <w:rsid w:val="00C470B1"/>
    <w:rsid w:val="00C475E9"/>
    <w:rsid w:val="00C50424"/>
    <w:rsid w:val="00C5050C"/>
    <w:rsid w:val="00C50A30"/>
    <w:rsid w:val="00C5136C"/>
    <w:rsid w:val="00C514E0"/>
    <w:rsid w:val="00C51D96"/>
    <w:rsid w:val="00C51E72"/>
    <w:rsid w:val="00C52219"/>
    <w:rsid w:val="00C52416"/>
    <w:rsid w:val="00C528D2"/>
    <w:rsid w:val="00C52921"/>
    <w:rsid w:val="00C53070"/>
    <w:rsid w:val="00C53E57"/>
    <w:rsid w:val="00C5405F"/>
    <w:rsid w:val="00C54161"/>
    <w:rsid w:val="00C543F4"/>
    <w:rsid w:val="00C54A0B"/>
    <w:rsid w:val="00C54F24"/>
    <w:rsid w:val="00C5522F"/>
    <w:rsid w:val="00C55341"/>
    <w:rsid w:val="00C555D3"/>
    <w:rsid w:val="00C55C49"/>
    <w:rsid w:val="00C55D7B"/>
    <w:rsid w:val="00C55EB1"/>
    <w:rsid w:val="00C55FFA"/>
    <w:rsid w:val="00C562E0"/>
    <w:rsid w:val="00C563F8"/>
    <w:rsid w:val="00C56AF8"/>
    <w:rsid w:val="00C56E71"/>
    <w:rsid w:val="00C571D9"/>
    <w:rsid w:val="00C5737E"/>
    <w:rsid w:val="00C573B8"/>
    <w:rsid w:val="00C57557"/>
    <w:rsid w:val="00C57A47"/>
    <w:rsid w:val="00C57D88"/>
    <w:rsid w:val="00C6021C"/>
    <w:rsid w:val="00C602D7"/>
    <w:rsid w:val="00C6107B"/>
    <w:rsid w:val="00C6176E"/>
    <w:rsid w:val="00C618C1"/>
    <w:rsid w:val="00C61AAA"/>
    <w:rsid w:val="00C61AFD"/>
    <w:rsid w:val="00C61BD6"/>
    <w:rsid w:val="00C62042"/>
    <w:rsid w:val="00C6228A"/>
    <w:rsid w:val="00C622EB"/>
    <w:rsid w:val="00C627D6"/>
    <w:rsid w:val="00C6291C"/>
    <w:rsid w:val="00C62A6D"/>
    <w:rsid w:val="00C633CB"/>
    <w:rsid w:val="00C63667"/>
    <w:rsid w:val="00C637C6"/>
    <w:rsid w:val="00C63C20"/>
    <w:rsid w:val="00C63F3F"/>
    <w:rsid w:val="00C64A84"/>
    <w:rsid w:val="00C6540C"/>
    <w:rsid w:val="00C6584F"/>
    <w:rsid w:val="00C65CFA"/>
    <w:rsid w:val="00C65FD1"/>
    <w:rsid w:val="00C664CD"/>
    <w:rsid w:val="00C66761"/>
    <w:rsid w:val="00C67329"/>
    <w:rsid w:val="00C67897"/>
    <w:rsid w:val="00C701E0"/>
    <w:rsid w:val="00C70536"/>
    <w:rsid w:val="00C708BF"/>
    <w:rsid w:val="00C708E6"/>
    <w:rsid w:val="00C70D16"/>
    <w:rsid w:val="00C70E86"/>
    <w:rsid w:val="00C711F1"/>
    <w:rsid w:val="00C716CB"/>
    <w:rsid w:val="00C71AB5"/>
    <w:rsid w:val="00C71D3F"/>
    <w:rsid w:val="00C72597"/>
    <w:rsid w:val="00C725E8"/>
    <w:rsid w:val="00C72D3B"/>
    <w:rsid w:val="00C72F19"/>
    <w:rsid w:val="00C73455"/>
    <w:rsid w:val="00C736B7"/>
    <w:rsid w:val="00C738A4"/>
    <w:rsid w:val="00C73AFF"/>
    <w:rsid w:val="00C73EB1"/>
    <w:rsid w:val="00C74ADA"/>
    <w:rsid w:val="00C74BFA"/>
    <w:rsid w:val="00C74D2A"/>
    <w:rsid w:val="00C74F4F"/>
    <w:rsid w:val="00C75306"/>
    <w:rsid w:val="00C75544"/>
    <w:rsid w:val="00C7572E"/>
    <w:rsid w:val="00C75750"/>
    <w:rsid w:val="00C75AF1"/>
    <w:rsid w:val="00C75C64"/>
    <w:rsid w:val="00C7665B"/>
    <w:rsid w:val="00C76995"/>
    <w:rsid w:val="00C769D2"/>
    <w:rsid w:val="00C76A2E"/>
    <w:rsid w:val="00C77308"/>
    <w:rsid w:val="00C779D2"/>
    <w:rsid w:val="00C779E6"/>
    <w:rsid w:val="00C779F8"/>
    <w:rsid w:val="00C77A30"/>
    <w:rsid w:val="00C77F14"/>
    <w:rsid w:val="00C808EE"/>
    <w:rsid w:val="00C80B10"/>
    <w:rsid w:val="00C80F7B"/>
    <w:rsid w:val="00C81B56"/>
    <w:rsid w:val="00C81D3F"/>
    <w:rsid w:val="00C81D4A"/>
    <w:rsid w:val="00C82B47"/>
    <w:rsid w:val="00C82ED8"/>
    <w:rsid w:val="00C8393B"/>
    <w:rsid w:val="00C83BE7"/>
    <w:rsid w:val="00C83CB7"/>
    <w:rsid w:val="00C83CFF"/>
    <w:rsid w:val="00C840A7"/>
    <w:rsid w:val="00C842BE"/>
    <w:rsid w:val="00C84DF8"/>
    <w:rsid w:val="00C851F4"/>
    <w:rsid w:val="00C852FF"/>
    <w:rsid w:val="00C85DF5"/>
    <w:rsid w:val="00C85EA1"/>
    <w:rsid w:val="00C85EDE"/>
    <w:rsid w:val="00C85FB5"/>
    <w:rsid w:val="00C8607C"/>
    <w:rsid w:val="00C869AC"/>
    <w:rsid w:val="00C86A32"/>
    <w:rsid w:val="00C86DB0"/>
    <w:rsid w:val="00C87158"/>
    <w:rsid w:val="00C874A5"/>
    <w:rsid w:val="00C8762C"/>
    <w:rsid w:val="00C87759"/>
    <w:rsid w:val="00C87AFB"/>
    <w:rsid w:val="00C87B7F"/>
    <w:rsid w:val="00C90798"/>
    <w:rsid w:val="00C90C6F"/>
    <w:rsid w:val="00C90D5D"/>
    <w:rsid w:val="00C91421"/>
    <w:rsid w:val="00C914CE"/>
    <w:rsid w:val="00C9171B"/>
    <w:rsid w:val="00C917E1"/>
    <w:rsid w:val="00C91A06"/>
    <w:rsid w:val="00C91F3D"/>
    <w:rsid w:val="00C9204E"/>
    <w:rsid w:val="00C921D2"/>
    <w:rsid w:val="00C92624"/>
    <w:rsid w:val="00C92AC9"/>
    <w:rsid w:val="00C92CBA"/>
    <w:rsid w:val="00C93098"/>
    <w:rsid w:val="00C930EB"/>
    <w:rsid w:val="00C930F2"/>
    <w:rsid w:val="00C93644"/>
    <w:rsid w:val="00C936D5"/>
    <w:rsid w:val="00C937EE"/>
    <w:rsid w:val="00C9391B"/>
    <w:rsid w:val="00C93BB4"/>
    <w:rsid w:val="00C93FF7"/>
    <w:rsid w:val="00C9408C"/>
    <w:rsid w:val="00C94106"/>
    <w:rsid w:val="00C94278"/>
    <w:rsid w:val="00C945D7"/>
    <w:rsid w:val="00C945FC"/>
    <w:rsid w:val="00C94C86"/>
    <w:rsid w:val="00C94E04"/>
    <w:rsid w:val="00C953D8"/>
    <w:rsid w:val="00C95B34"/>
    <w:rsid w:val="00C96515"/>
    <w:rsid w:val="00C97142"/>
    <w:rsid w:val="00C97160"/>
    <w:rsid w:val="00C97726"/>
    <w:rsid w:val="00C97751"/>
    <w:rsid w:val="00C97766"/>
    <w:rsid w:val="00C97C00"/>
    <w:rsid w:val="00C97D55"/>
    <w:rsid w:val="00C97D93"/>
    <w:rsid w:val="00CA0027"/>
    <w:rsid w:val="00CA0085"/>
    <w:rsid w:val="00CA00F9"/>
    <w:rsid w:val="00CA015B"/>
    <w:rsid w:val="00CA054F"/>
    <w:rsid w:val="00CA141A"/>
    <w:rsid w:val="00CA1461"/>
    <w:rsid w:val="00CA265C"/>
    <w:rsid w:val="00CA279F"/>
    <w:rsid w:val="00CA282B"/>
    <w:rsid w:val="00CA2961"/>
    <w:rsid w:val="00CA2CC0"/>
    <w:rsid w:val="00CA2D52"/>
    <w:rsid w:val="00CA30E0"/>
    <w:rsid w:val="00CA370C"/>
    <w:rsid w:val="00CA37C9"/>
    <w:rsid w:val="00CA3BB7"/>
    <w:rsid w:val="00CA4236"/>
    <w:rsid w:val="00CA4588"/>
    <w:rsid w:val="00CA46BB"/>
    <w:rsid w:val="00CA4AF7"/>
    <w:rsid w:val="00CA4B0C"/>
    <w:rsid w:val="00CA4D55"/>
    <w:rsid w:val="00CA5281"/>
    <w:rsid w:val="00CA56DF"/>
    <w:rsid w:val="00CA57A5"/>
    <w:rsid w:val="00CA5891"/>
    <w:rsid w:val="00CA596B"/>
    <w:rsid w:val="00CA5B5D"/>
    <w:rsid w:val="00CA64D7"/>
    <w:rsid w:val="00CA66C1"/>
    <w:rsid w:val="00CA6DF8"/>
    <w:rsid w:val="00CA70EA"/>
    <w:rsid w:val="00CA74D5"/>
    <w:rsid w:val="00CA7753"/>
    <w:rsid w:val="00CA781D"/>
    <w:rsid w:val="00CB04BA"/>
    <w:rsid w:val="00CB04E7"/>
    <w:rsid w:val="00CB0542"/>
    <w:rsid w:val="00CB0640"/>
    <w:rsid w:val="00CB07AF"/>
    <w:rsid w:val="00CB0A12"/>
    <w:rsid w:val="00CB0BDA"/>
    <w:rsid w:val="00CB116D"/>
    <w:rsid w:val="00CB11E3"/>
    <w:rsid w:val="00CB172E"/>
    <w:rsid w:val="00CB1D91"/>
    <w:rsid w:val="00CB1E08"/>
    <w:rsid w:val="00CB1FFC"/>
    <w:rsid w:val="00CB2250"/>
    <w:rsid w:val="00CB292A"/>
    <w:rsid w:val="00CB2C90"/>
    <w:rsid w:val="00CB2C9F"/>
    <w:rsid w:val="00CB2DC5"/>
    <w:rsid w:val="00CB2ED8"/>
    <w:rsid w:val="00CB3229"/>
    <w:rsid w:val="00CB34AB"/>
    <w:rsid w:val="00CB3830"/>
    <w:rsid w:val="00CB38CE"/>
    <w:rsid w:val="00CB3F3E"/>
    <w:rsid w:val="00CB4D31"/>
    <w:rsid w:val="00CB50D7"/>
    <w:rsid w:val="00CB54E0"/>
    <w:rsid w:val="00CB58C0"/>
    <w:rsid w:val="00CB5C44"/>
    <w:rsid w:val="00CB5C4B"/>
    <w:rsid w:val="00CB5E18"/>
    <w:rsid w:val="00CB5F26"/>
    <w:rsid w:val="00CB6188"/>
    <w:rsid w:val="00CB62F3"/>
    <w:rsid w:val="00CB64F6"/>
    <w:rsid w:val="00CB6C91"/>
    <w:rsid w:val="00CB70A7"/>
    <w:rsid w:val="00CB7108"/>
    <w:rsid w:val="00CB7177"/>
    <w:rsid w:val="00CB7A9B"/>
    <w:rsid w:val="00CB7CED"/>
    <w:rsid w:val="00CB7D82"/>
    <w:rsid w:val="00CC02E6"/>
    <w:rsid w:val="00CC0510"/>
    <w:rsid w:val="00CC070F"/>
    <w:rsid w:val="00CC071F"/>
    <w:rsid w:val="00CC0A7F"/>
    <w:rsid w:val="00CC106C"/>
    <w:rsid w:val="00CC12BF"/>
    <w:rsid w:val="00CC12C8"/>
    <w:rsid w:val="00CC1998"/>
    <w:rsid w:val="00CC1C6F"/>
    <w:rsid w:val="00CC202B"/>
    <w:rsid w:val="00CC335C"/>
    <w:rsid w:val="00CC392F"/>
    <w:rsid w:val="00CC3AB6"/>
    <w:rsid w:val="00CC409F"/>
    <w:rsid w:val="00CC443C"/>
    <w:rsid w:val="00CC4946"/>
    <w:rsid w:val="00CC5CAF"/>
    <w:rsid w:val="00CC5D10"/>
    <w:rsid w:val="00CC5FD1"/>
    <w:rsid w:val="00CC601F"/>
    <w:rsid w:val="00CC62DC"/>
    <w:rsid w:val="00CC64A1"/>
    <w:rsid w:val="00CC66B2"/>
    <w:rsid w:val="00CC6948"/>
    <w:rsid w:val="00CC6A8D"/>
    <w:rsid w:val="00CD05D8"/>
    <w:rsid w:val="00CD05DF"/>
    <w:rsid w:val="00CD09A1"/>
    <w:rsid w:val="00CD0B18"/>
    <w:rsid w:val="00CD0D5F"/>
    <w:rsid w:val="00CD100A"/>
    <w:rsid w:val="00CD116F"/>
    <w:rsid w:val="00CD1559"/>
    <w:rsid w:val="00CD1A7D"/>
    <w:rsid w:val="00CD26A3"/>
    <w:rsid w:val="00CD2C57"/>
    <w:rsid w:val="00CD2EFB"/>
    <w:rsid w:val="00CD315E"/>
    <w:rsid w:val="00CD34E9"/>
    <w:rsid w:val="00CD376B"/>
    <w:rsid w:val="00CD3B1F"/>
    <w:rsid w:val="00CD42E0"/>
    <w:rsid w:val="00CD5392"/>
    <w:rsid w:val="00CD5CFE"/>
    <w:rsid w:val="00CD61CD"/>
    <w:rsid w:val="00CD7343"/>
    <w:rsid w:val="00CD7ACF"/>
    <w:rsid w:val="00CD7BE5"/>
    <w:rsid w:val="00CE0374"/>
    <w:rsid w:val="00CE07DB"/>
    <w:rsid w:val="00CE0F23"/>
    <w:rsid w:val="00CE1521"/>
    <w:rsid w:val="00CE1570"/>
    <w:rsid w:val="00CE16E8"/>
    <w:rsid w:val="00CE17AB"/>
    <w:rsid w:val="00CE1914"/>
    <w:rsid w:val="00CE22C1"/>
    <w:rsid w:val="00CE282D"/>
    <w:rsid w:val="00CE380B"/>
    <w:rsid w:val="00CE386B"/>
    <w:rsid w:val="00CE4232"/>
    <w:rsid w:val="00CE4BD4"/>
    <w:rsid w:val="00CE4C38"/>
    <w:rsid w:val="00CE4DE5"/>
    <w:rsid w:val="00CE50BB"/>
    <w:rsid w:val="00CE5367"/>
    <w:rsid w:val="00CE5702"/>
    <w:rsid w:val="00CE5815"/>
    <w:rsid w:val="00CE5C22"/>
    <w:rsid w:val="00CE5D39"/>
    <w:rsid w:val="00CE636B"/>
    <w:rsid w:val="00CE652A"/>
    <w:rsid w:val="00CE6754"/>
    <w:rsid w:val="00CE68F2"/>
    <w:rsid w:val="00CE6A5E"/>
    <w:rsid w:val="00CE6F3F"/>
    <w:rsid w:val="00CE708A"/>
    <w:rsid w:val="00CE7502"/>
    <w:rsid w:val="00CE7695"/>
    <w:rsid w:val="00CE7702"/>
    <w:rsid w:val="00CE77CE"/>
    <w:rsid w:val="00CF0950"/>
    <w:rsid w:val="00CF0D79"/>
    <w:rsid w:val="00CF0DFA"/>
    <w:rsid w:val="00CF12A1"/>
    <w:rsid w:val="00CF1380"/>
    <w:rsid w:val="00CF1510"/>
    <w:rsid w:val="00CF1590"/>
    <w:rsid w:val="00CF18E0"/>
    <w:rsid w:val="00CF19EF"/>
    <w:rsid w:val="00CF1E2A"/>
    <w:rsid w:val="00CF1FEE"/>
    <w:rsid w:val="00CF33AE"/>
    <w:rsid w:val="00CF3A47"/>
    <w:rsid w:val="00CF3B11"/>
    <w:rsid w:val="00CF3F14"/>
    <w:rsid w:val="00CF47F6"/>
    <w:rsid w:val="00CF4846"/>
    <w:rsid w:val="00CF4DDE"/>
    <w:rsid w:val="00CF55E5"/>
    <w:rsid w:val="00CF5C91"/>
    <w:rsid w:val="00CF642D"/>
    <w:rsid w:val="00CF6765"/>
    <w:rsid w:val="00CF6840"/>
    <w:rsid w:val="00CF7198"/>
    <w:rsid w:val="00CF73C9"/>
    <w:rsid w:val="00CF7546"/>
    <w:rsid w:val="00CF7EBC"/>
    <w:rsid w:val="00D000FE"/>
    <w:rsid w:val="00D002FD"/>
    <w:rsid w:val="00D003AC"/>
    <w:rsid w:val="00D00629"/>
    <w:rsid w:val="00D00C08"/>
    <w:rsid w:val="00D00DFD"/>
    <w:rsid w:val="00D01ED2"/>
    <w:rsid w:val="00D02244"/>
    <w:rsid w:val="00D02528"/>
    <w:rsid w:val="00D02D32"/>
    <w:rsid w:val="00D0322E"/>
    <w:rsid w:val="00D0389A"/>
    <w:rsid w:val="00D03A39"/>
    <w:rsid w:val="00D03DE5"/>
    <w:rsid w:val="00D048B6"/>
    <w:rsid w:val="00D04A0A"/>
    <w:rsid w:val="00D05178"/>
    <w:rsid w:val="00D0521F"/>
    <w:rsid w:val="00D0531C"/>
    <w:rsid w:val="00D05926"/>
    <w:rsid w:val="00D06189"/>
    <w:rsid w:val="00D067B2"/>
    <w:rsid w:val="00D06A5B"/>
    <w:rsid w:val="00D0782A"/>
    <w:rsid w:val="00D07F74"/>
    <w:rsid w:val="00D07F80"/>
    <w:rsid w:val="00D07FD3"/>
    <w:rsid w:val="00D100BE"/>
    <w:rsid w:val="00D10D61"/>
    <w:rsid w:val="00D10E54"/>
    <w:rsid w:val="00D11474"/>
    <w:rsid w:val="00D11481"/>
    <w:rsid w:val="00D11C44"/>
    <w:rsid w:val="00D12956"/>
    <w:rsid w:val="00D136FB"/>
    <w:rsid w:val="00D1399A"/>
    <w:rsid w:val="00D139E2"/>
    <w:rsid w:val="00D13E50"/>
    <w:rsid w:val="00D14298"/>
    <w:rsid w:val="00D1437C"/>
    <w:rsid w:val="00D143E2"/>
    <w:rsid w:val="00D1462C"/>
    <w:rsid w:val="00D14813"/>
    <w:rsid w:val="00D14AB7"/>
    <w:rsid w:val="00D14AF1"/>
    <w:rsid w:val="00D14FBE"/>
    <w:rsid w:val="00D15772"/>
    <w:rsid w:val="00D15B59"/>
    <w:rsid w:val="00D16319"/>
    <w:rsid w:val="00D16882"/>
    <w:rsid w:val="00D16D8D"/>
    <w:rsid w:val="00D17087"/>
    <w:rsid w:val="00D179CD"/>
    <w:rsid w:val="00D202B4"/>
    <w:rsid w:val="00D203C3"/>
    <w:rsid w:val="00D20714"/>
    <w:rsid w:val="00D20862"/>
    <w:rsid w:val="00D2099A"/>
    <w:rsid w:val="00D20C5E"/>
    <w:rsid w:val="00D21240"/>
    <w:rsid w:val="00D21AC4"/>
    <w:rsid w:val="00D2208D"/>
    <w:rsid w:val="00D22362"/>
    <w:rsid w:val="00D2239D"/>
    <w:rsid w:val="00D2253F"/>
    <w:rsid w:val="00D2280E"/>
    <w:rsid w:val="00D229D9"/>
    <w:rsid w:val="00D22DC2"/>
    <w:rsid w:val="00D23215"/>
    <w:rsid w:val="00D2371B"/>
    <w:rsid w:val="00D23876"/>
    <w:rsid w:val="00D23C47"/>
    <w:rsid w:val="00D242B6"/>
    <w:rsid w:val="00D24333"/>
    <w:rsid w:val="00D24490"/>
    <w:rsid w:val="00D24C4F"/>
    <w:rsid w:val="00D255DF"/>
    <w:rsid w:val="00D26668"/>
    <w:rsid w:val="00D2679F"/>
    <w:rsid w:val="00D270A4"/>
    <w:rsid w:val="00D27110"/>
    <w:rsid w:val="00D27681"/>
    <w:rsid w:val="00D277F5"/>
    <w:rsid w:val="00D279D2"/>
    <w:rsid w:val="00D30283"/>
    <w:rsid w:val="00D302FD"/>
    <w:rsid w:val="00D3084E"/>
    <w:rsid w:val="00D30B0D"/>
    <w:rsid w:val="00D30CA6"/>
    <w:rsid w:val="00D30FD4"/>
    <w:rsid w:val="00D3102B"/>
    <w:rsid w:val="00D31603"/>
    <w:rsid w:val="00D31668"/>
    <w:rsid w:val="00D31AC3"/>
    <w:rsid w:val="00D31DA8"/>
    <w:rsid w:val="00D31F67"/>
    <w:rsid w:val="00D31FE9"/>
    <w:rsid w:val="00D32A03"/>
    <w:rsid w:val="00D32BC0"/>
    <w:rsid w:val="00D32C1A"/>
    <w:rsid w:val="00D32DA1"/>
    <w:rsid w:val="00D3306E"/>
    <w:rsid w:val="00D33178"/>
    <w:rsid w:val="00D332CA"/>
    <w:rsid w:val="00D33ADC"/>
    <w:rsid w:val="00D33C91"/>
    <w:rsid w:val="00D33D3F"/>
    <w:rsid w:val="00D33DA1"/>
    <w:rsid w:val="00D345B5"/>
    <w:rsid w:val="00D34756"/>
    <w:rsid w:val="00D347EA"/>
    <w:rsid w:val="00D34815"/>
    <w:rsid w:val="00D349A3"/>
    <w:rsid w:val="00D34D97"/>
    <w:rsid w:val="00D34E1B"/>
    <w:rsid w:val="00D35335"/>
    <w:rsid w:val="00D356B3"/>
    <w:rsid w:val="00D3574E"/>
    <w:rsid w:val="00D35E87"/>
    <w:rsid w:val="00D368C8"/>
    <w:rsid w:val="00D36CC9"/>
    <w:rsid w:val="00D36FC9"/>
    <w:rsid w:val="00D370BC"/>
    <w:rsid w:val="00D374D4"/>
    <w:rsid w:val="00D376BA"/>
    <w:rsid w:val="00D37BAC"/>
    <w:rsid w:val="00D40414"/>
    <w:rsid w:val="00D405B9"/>
    <w:rsid w:val="00D408C8"/>
    <w:rsid w:val="00D40C19"/>
    <w:rsid w:val="00D40EC4"/>
    <w:rsid w:val="00D41205"/>
    <w:rsid w:val="00D4158C"/>
    <w:rsid w:val="00D416C8"/>
    <w:rsid w:val="00D41912"/>
    <w:rsid w:val="00D41F24"/>
    <w:rsid w:val="00D4286D"/>
    <w:rsid w:val="00D429FD"/>
    <w:rsid w:val="00D42A75"/>
    <w:rsid w:val="00D42BAB"/>
    <w:rsid w:val="00D4348F"/>
    <w:rsid w:val="00D434A0"/>
    <w:rsid w:val="00D43634"/>
    <w:rsid w:val="00D4394D"/>
    <w:rsid w:val="00D439D6"/>
    <w:rsid w:val="00D43D3D"/>
    <w:rsid w:val="00D43F7D"/>
    <w:rsid w:val="00D4423B"/>
    <w:rsid w:val="00D44700"/>
    <w:rsid w:val="00D45308"/>
    <w:rsid w:val="00D4536C"/>
    <w:rsid w:val="00D45634"/>
    <w:rsid w:val="00D45716"/>
    <w:rsid w:val="00D457CF"/>
    <w:rsid w:val="00D458A7"/>
    <w:rsid w:val="00D45C93"/>
    <w:rsid w:val="00D46095"/>
    <w:rsid w:val="00D461AD"/>
    <w:rsid w:val="00D464DC"/>
    <w:rsid w:val="00D46540"/>
    <w:rsid w:val="00D46577"/>
    <w:rsid w:val="00D46688"/>
    <w:rsid w:val="00D4693A"/>
    <w:rsid w:val="00D46D2E"/>
    <w:rsid w:val="00D47027"/>
    <w:rsid w:val="00D4710E"/>
    <w:rsid w:val="00D473E7"/>
    <w:rsid w:val="00D473F0"/>
    <w:rsid w:val="00D4758F"/>
    <w:rsid w:val="00D475F6"/>
    <w:rsid w:val="00D4766C"/>
    <w:rsid w:val="00D47CFF"/>
    <w:rsid w:val="00D47D19"/>
    <w:rsid w:val="00D47D85"/>
    <w:rsid w:val="00D5000A"/>
    <w:rsid w:val="00D5050A"/>
    <w:rsid w:val="00D505FC"/>
    <w:rsid w:val="00D509B5"/>
    <w:rsid w:val="00D50B66"/>
    <w:rsid w:val="00D51125"/>
    <w:rsid w:val="00D51604"/>
    <w:rsid w:val="00D51682"/>
    <w:rsid w:val="00D519F6"/>
    <w:rsid w:val="00D51C0D"/>
    <w:rsid w:val="00D51C8D"/>
    <w:rsid w:val="00D51F42"/>
    <w:rsid w:val="00D522FF"/>
    <w:rsid w:val="00D52D73"/>
    <w:rsid w:val="00D52F9E"/>
    <w:rsid w:val="00D53ECA"/>
    <w:rsid w:val="00D548AB"/>
    <w:rsid w:val="00D54925"/>
    <w:rsid w:val="00D5508E"/>
    <w:rsid w:val="00D5520E"/>
    <w:rsid w:val="00D5527D"/>
    <w:rsid w:val="00D5568A"/>
    <w:rsid w:val="00D55BF0"/>
    <w:rsid w:val="00D55DE9"/>
    <w:rsid w:val="00D56526"/>
    <w:rsid w:val="00D56543"/>
    <w:rsid w:val="00D56784"/>
    <w:rsid w:val="00D56AD1"/>
    <w:rsid w:val="00D56EEE"/>
    <w:rsid w:val="00D57195"/>
    <w:rsid w:val="00D57EB5"/>
    <w:rsid w:val="00D60A7D"/>
    <w:rsid w:val="00D60E1F"/>
    <w:rsid w:val="00D60FC6"/>
    <w:rsid w:val="00D612BB"/>
    <w:rsid w:val="00D62440"/>
    <w:rsid w:val="00D62774"/>
    <w:rsid w:val="00D6288D"/>
    <w:rsid w:val="00D62ADF"/>
    <w:rsid w:val="00D62F2B"/>
    <w:rsid w:val="00D63A2D"/>
    <w:rsid w:val="00D63CB9"/>
    <w:rsid w:val="00D63D2A"/>
    <w:rsid w:val="00D63D73"/>
    <w:rsid w:val="00D6401F"/>
    <w:rsid w:val="00D64452"/>
    <w:rsid w:val="00D645EB"/>
    <w:rsid w:val="00D6473B"/>
    <w:rsid w:val="00D64A3E"/>
    <w:rsid w:val="00D64CAE"/>
    <w:rsid w:val="00D64D07"/>
    <w:rsid w:val="00D64E06"/>
    <w:rsid w:val="00D6520F"/>
    <w:rsid w:val="00D6543B"/>
    <w:rsid w:val="00D65786"/>
    <w:rsid w:val="00D659F4"/>
    <w:rsid w:val="00D65A16"/>
    <w:rsid w:val="00D662EF"/>
    <w:rsid w:val="00D66614"/>
    <w:rsid w:val="00D66A5F"/>
    <w:rsid w:val="00D66AF1"/>
    <w:rsid w:val="00D66DE3"/>
    <w:rsid w:val="00D66E1E"/>
    <w:rsid w:val="00D66F10"/>
    <w:rsid w:val="00D6781E"/>
    <w:rsid w:val="00D6785E"/>
    <w:rsid w:val="00D6790F"/>
    <w:rsid w:val="00D6794A"/>
    <w:rsid w:val="00D67BA4"/>
    <w:rsid w:val="00D67FCE"/>
    <w:rsid w:val="00D704AA"/>
    <w:rsid w:val="00D70534"/>
    <w:rsid w:val="00D70696"/>
    <w:rsid w:val="00D706F2"/>
    <w:rsid w:val="00D70768"/>
    <w:rsid w:val="00D70830"/>
    <w:rsid w:val="00D713F3"/>
    <w:rsid w:val="00D7196B"/>
    <w:rsid w:val="00D72240"/>
    <w:rsid w:val="00D72322"/>
    <w:rsid w:val="00D7278D"/>
    <w:rsid w:val="00D729F3"/>
    <w:rsid w:val="00D72DB2"/>
    <w:rsid w:val="00D734D2"/>
    <w:rsid w:val="00D73842"/>
    <w:rsid w:val="00D73A32"/>
    <w:rsid w:val="00D73D74"/>
    <w:rsid w:val="00D73FC7"/>
    <w:rsid w:val="00D74053"/>
    <w:rsid w:val="00D741F9"/>
    <w:rsid w:val="00D742AD"/>
    <w:rsid w:val="00D7479C"/>
    <w:rsid w:val="00D74829"/>
    <w:rsid w:val="00D749FE"/>
    <w:rsid w:val="00D74A49"/>
    <w:rsid w:val="00D74C0F"/>
    <w:rsid w:val="00D75073"/>
    <w:rsid w:val="00D75722"/>
    <w:rsid w:val="00D758CC"/>
    <w:rsid w:val="00D75996"/>
    <w:rsid w:val="00D75BDF"/>
    <w:rsid w:val="00D76736"/>
    <w:rsid w:val="00D768F9"/>
    <w:rsid w:val="00D76B1C"/>
    <w:rsid w:val="00D76CC7"/>
    <w:rsid w:val="00D771B7"/>
    <w:rsid w:val="00D771BC"/>
    <w:rsid w:val="00D77403"/>
    <w:rsid w:val="00D779E5"/>
    <w:rsid w:val="00D8014C"/>
    <w:rsid w:val="00D80579"/>
    <w:rsid w:val="00D808BF"/>
    <w:rsid w:val="00D80CF5"/>
    <w:rsid w:val="00D81302"/>
    <w:rsid w:val="00D818CD"/>
    <w:rsid w:val="00D8193D"/>
    <w:rsid w:val="00D8193E"/>
    <w:rsid w:val="00D819BE"/>
    <w:rsid w:val="00D81B6C"/>
    <w:rsid w:val="00D81D2B"/>
    <w:rsid w:val="00D81FD3"/>
    <w:rsid w:val="00D82162"/>
    <w:rsid w:val="00D821E0"/>
    <w:rsid w:val="00D82400"/>
    <w:rsid w:val="00D825AB"/>
    <w:rsid w:val="00D82ABD"/>
    <w:rsid w:val="00D82FF5"/>
    <w:rsid w:val="00D8301F"/>
    <w:rsid w:val="00D83821"/>
    <w:rsid w:val="00D83AA5"/>
    <w:rsid w:val="00D83F11"/>
    <w:rsid w:val="00D846DB"/>
    <w:rsid w:val="00D84880"/>
    <w:rsid w:val="00D84940"/>
    <w:rsid w:val="00D84ADF"/>
    <w:rsid w:val="00D84F49"/>
    <w:rsid w:val="00D85022"/>
    <w:rsid w:val="00D852EF"/>
    <w:rsid w:val="00D85767"/>
    <w:rsid w:val="00D85AC9"/>
    <w:rsid w:val="00D85E6F"/>
    <w:rsid w:val="00D86046"/>
    <w:rsid w:val="00D8607A"/>
    <w:rsid w:val="00D8690A"/>
    <w:rsid w:val="00D86BA5"/>
    <w:rsid w:val="00D8703E"/>
    <w:rsid w:val="00D87432"/>
    <w:rsid w:val="00D87F29"/>
    <w:rsid w:val="00D90767"/>
    <w:rsid w:val="00D90841"/>
    <w:rsid w:val="00D90EE1"/>
    <w:rsid w:val="00D91016"/>
    <w:rsid w:val="00D91106"/>
    <w:rsid w:val="00D912C4"/>
    <w:rsid w:val="00D913A9"/>
    <w:rsid w:val="00D913B5"/>
    <w:rsid w:val="00D9174D"/>
    <w:rsid w:val="00D9175A"/>
    <w:rsid w:val="00D91CEA"/>
    <w:rsid w:val="00D91ED9"/>
    <w:rsid w:val="00D91EF5"/>
    <w:rsid w:val="00D923BB"/>
    <w:rsid w:val="00D9265D"/>
    <w:rsid w:val="00D92788"/>
    <w:rsid w:val="00D92F51"/>
    <w:rsid w:val="00D93536"/>
    <w:rsid w:val="00D937DE"/>
    <w:rsid w:val="00D93933"/>
    <w:rsid w:val="00D93F51"/>
    <w:rsid w:val="00D94339"/>
    <w:rsid w:val="00D94605"/>
    <w:rsid w:val="00D947F5"/>
    <w:rsid w:val="00D94A6A"/>
    <w:rsid w:val="00D94D16"/>
    <w:rsid w:val="00D94D28"/>
    <w:rsid w:val="00D94DA3"/>
    <w:rsid w:val="00D95001"/>
    <w:rsid w:val="00D95002"/>
    <w:rsid w:val="00D9500A"/>
    <w:rsid w:val="00D95927"/>
    <w:rsid w:val="00D96011"/>
    <w:rsid w:val="00D9649C"/>
    <w:rsid w:val="00D964F8"/>
    <w:rsid w:val="00D967BF"/>
    <w:rsid w:val="00D9737C"/>
    <w:rsid w:val="00D973B3"/>
    <w:rsid w:val="00D97582"/>
    <w:rsid w:val="00D97E41"/>
    <w:rsid w:val="00D97FAA"/>
    <w:rsid w:val="00DA00C5"/>
    <w:rsid w:val="00DA019F"/>
    <w:rsid w:val="00DA02C5"/>
    <w:rsid w:val="00DA041F"/>
    <w:rsid w:val="00DA0913"/>
    <w:rsid w:val="00DA099C"/>
    <w:rsid w:val="00DA0A66"/>
    <w:rsid w:val="00DA1527"/>
    <w:rsid w:val="00DA1B22"/>
    <w:rsid w:val="00DA1C45"/>
    <w:rsid w:val="00DA2223"/>
    <w:rsid w:val="00DA23E4"/>
    <w:rsid w:val="00DA2482"/>
    <w:rsid w:val="00DA25AA"/>
    <w:rsid w:val="00DA2B71"/>
    <w:rsid w:val="00DA2F60"/>
    <w:rsid w:val="00DA3330"/>
    <w:rsid w:val="00DA341B"/>
    <w:rsid w:val="00DA345B"/>
    <w:rsid w:val="00DA3931"/>
    <w:rsid w:val="00DA3BE6"/>
    <w:rsid w:val="00DA4066"/>
    <w:rsid w:val="00DA41C8"/>
    <w:rsid w:val="00DA426A"/>
    <w:rsid w:val="00DA42D4"/>
    <w:rsid w:val="00DA49CC"/>
    <w:rsid w:val="00DA4A12"/>
    <w:rsid w:val="00DA4A5E"/>
    <w:rsid w:val="00DA4C17"/>
    <w:rsid w:val="00DA4CEC"/>
    <w:rsid w:val="00DA4DC6"/>
    <w:rsid w:val="00DA50E5"/>
    <w:rsid w:val="00DA58CA"/>
    <w:rsid w:val="00DA5BBA"/>
    <w:rsid w:val="00DA5E0D"/>
    <w:rsid w:val="00DA629A"/>
    <w:rsid w:val="00DA6783"/>
    <w:rsid w:val="00DA6F6D"/>
    <w:rsid w:val="00DA7404"/>
    <w:rsid w:val="00DA746F"/>
    <w:rsid w:val="00DA7795"/>
    <w:rsid w:val="00DA792D"/>
    <w:rsid w:val="00DB00E3"/>
    <w:rsid w:val="00DB0420"/>
    <w:rsid w:val="00DB06AF"/>
    <w:rsid w:val="00DB0A79"/>
    <w:rsid w:val="00DB0FC2"/>
    <w:rsid w:val="00DB13EC"/>
    <w:rsid w:val="00DB166E"/>
    <w:rsid w:val="00DB16B0"/>
    <w:rsid w:val="00DB1C5B"/>
    <w:rsid w:val="00DB2065"/>
    <w:rsid w:val="00DB26D2"/>
    <w:rsid w:val="00DB3421"/>
    <w:rsid w:val="00DB34B1"/>
    <w:rsid w:val="00DB3552"/>
    <w:rsid w:val="00DB3FC0"/>
    <w:rsid w:val="00DB422E"/>
    <w:rsid w:val="00DB49ED"/>
    <w:rsid w:val="00DB4E48"/>
    <w:rsid w:val="00DB4E6C"/>
    <w:rsid w:val="00DB4E75"/>
    <w:rsid w:val="00DB4F0B"/>
    <w:rsid w:val="00DB5071"/>
    <w:rsid w:val="00DB51A2"/>
    <w:rsid w:val="00DB5431"/>
    <w:rsid w:val="00DB565A"/>
    <w:rsid w:val="00DB56E6"/>
    <w:rsid w:val="00DB58A9"/>
    <w:rsid w:val="00DB58EC"/>
    <w:rsid w:val="00DB5F74"/>
    <w:rsid w:val="00DB62B5"/>
    <w:rsid w:val="00DB6353"/>
    <w:rsid w:val="00DB6556"/>
    <w:rsid w:val="00DB6629"/>
    <w:rsid w:val="00DB67C9"/>
    <w:rsid w:val="00DB6C64"/>
    <w:rsid w:val="00DB6D4C"/>
    <w:rsid w:val="00DB75DD"/>
    <w:rsid w:val="00DB7D98"/>
    <w:rsid w:val="00DC08CE"/>
    <w:rsid w:val="00DC0961"/>
    <w:rsid w:val="00DC09B3"/>
    <w:rsid w:val="00DC0C95"/>
    <w:rsid w:val="00DC0E99"/>
    <w:rsid w:val="00DC17C2"/>
    <w:rsid w:val="00DC190D"/>
    <w:rsid w:val="00DC19CB"/>
    <w:rsid w:val="00DC1B66"/>
    <w:rsid w:val="00DC201B"/>
    <w:rsid w:val="00DC2244"/>
    <w:rsid w:val="00DC22FA"/>
    <w:rsid w:val="00DC262E"/>
    <w:rsid w:val="00DC2681"/>
    <w:rsid w:val="00DC28E5"/>
    <w:rsid w:val="00DC311B"/>
    <w:rsid w:val="00DC362C"/>
    <w:rsid w:val="00DC3794"/>
    <w:rsid w:val="00DC37D1"/>
    <w:rsid w:val="00DC3B1F"/>
    <w:rsid w:val="00DC3F3D"/>
    <w:rsid w:val="00DC40D8"/>
    <w:rsid w:val="00DC4207"/>
    <w:rsid w:val="00DC420A"/>
    <w:rsid w:val="00DC487E"/>
    <w:rsid w:val="00DC4F0B"/>
    <w:rsid w:val="00DC514D"/>
    <w:rsid w:val="00DC597B"/>
    <w:rsid w:val="00DC6485"/>
    <w:rsid w:val="00DC69B9"/>
    <w:rsid w:val="00DC6BD1"/>
    <w:rsid w:val="00DC70AB"/>
    <w:rsid w:val="00DC730E"/>
    <w:rsid w:val="00DC7347"/>
    <w:rsid w:val="00DC74F2"/>
    <w:rsid w:val="00DC768E"/>
    <w:rsid w:val="00DC7740"/>
    <w:rsid w:val="00DC7D53"/>
    <w:rsid w:val="00DC7D5C"/>
    <w:rsid w:val="00DD053F"/>
    <w:rsid w:val="00DD067F"/>
    <w:rsid w:val="00DD0EF9"/>
    <w:rsid w:val="00DD1121"/>
    <w:rsid w:val="00DD12B9"/>
    <w:rsid w:val="00DD1369"/>
    <w:rsid w:val="00DD1549"/>
    <w:rsid w:val="00DD1646"/>
    <w:rsid w:val="00DD1764"/>
    <w:rsid w:val="00DD18A0"/>
    <w:rsid w:val="00DD18E8"/>
    <w:rsid w:val="00DD19CA"/>
    <w:rsid w:val="00DD3147"/>
    <w:rsid w:val="00DD3353"/>
    <w:rsid w:val="00DD3576"/>
    <w:rsid w:val="00DD3930"/>
    <w:rsid w:val="00DD3BE5"/>
    <w:rsid w:val="00DD4173"/>
    <w:rsid w:val="00DD4380"/>
    <w:rsid w:val="00DD4666"/>
    <w:rsid w:val="00DD4CCA"/>
    <w:rsid w:val="00DD4EEF"/>
    <w:rsid w:val="00DD52CE"/>
    <w:rsid w:val="00DD57CE"/>
    <w:rsid w:val="00DD5A27"/>
    <w:rsid w:val="00DD5B44"/>
    <w:rsid w:val="00DD5C0C"/>
    <w:rsid w:val="00DD5E2C"/>
    <w:rsid w:val="00DD64D1"/>
    <w:rsid w:val="00DD6580"/>
    <w:rsid w:val="00DD6B71"/>
    <w:rsid w:val="00DD712F"/>
    <w:rsid w:val="00DD71E7"/>
    <w:rsid w:val="00DD722E"/>
    <w:rsid w:val="00DD7383"/>
    <w:rsid w:val="00DD7848"/>
    <w:rsid w:val="00DE0D03"/>
    <w:rsid w:val="00DE10AB"/>
    <w:rsid w:val="00DE204D"/>
    <w:rsid w:val="00DE2112"/>
    <w:rsid w:val="00DE2182"/>
    <w:rsid w:val="00DE28E1"/>
    <w:rsid w:val="00DE373E"/>
    <w:rsid w:val="00DE3B40"/>
    <w:rsid w:val="00DE40F9"/>
    <w:rsid w:val="00DE45EB"/>
    <w:rsid w:val="00DE497C"/>
    <w:rsid w:val="00DE4B72"/>
    <w:rsid w:val="00DE5348"/>
    <w:rsid w:val="00DE58B0"/>
    <w:rsid w:val="00DE5A3C"/>
    <w:rsid w:val="00DE5B51"/>
    <w:rsid w:val="00DE5CB2"/>
    <w:rsid w:val="00DE608E"/>
    <w:rsid w:val="00DE6424"/>
    <w:rsid w:val="00DE68DB"/>
    <w:rsid w:val="00DE6CE5"/>
    <w:rsid w:val="00DE71CA"/>
    <w:rsid w:val="00DE7D81"/>
    <w:rsid w:val="00DF01CD"/>
    <w:rsid w:val="00DF024C"/>
    <w:rsid w:val="00DF09A1"/>
    <w:rsid w:val="00DF09A4"/>
    <w:rsid w:val="00DF1341"/>
    <w:rsid w:val="00DF139A"/>
    <w:rsid w:val="00DF14BD"/>
    <w:rsid w:val="00DF1505"/>
    <w:rsid w:val="00DF1992"/>
    <w:rsid w:val="00DF1D87"/>
    <w:rsid w:val="00DF1DC2"/>
    <w:rsid w:val="00DF2CEB"/>
    <w:rsid w:val="00DF2D05"/>
    <w:rsid w:val="00DF3148"/>
    <w:rsid w:val="00DF3231"/>
    <w:rsid w:val="00DF34C7"/>
    <w:rsid w:val="00DF34ED"/>
    <w:rsid w:val="00DF37B9"/>
    <w:rsid w:val="00DF38AB"/>
    <w:rsid w:val="00DF3BD0"/>
    <w:rsid w:val="00DF3DB2"/>
    <w:rsid w:val="00DF3EAB"/>
    <w:rsid w:val="00DF406A"/>
    <w:rsid w:val="00DF439D"/>
    <w:rsid w:val="00DF454C"/>
    <w:rsid w:val="00DF4A41"/>
    <w:rsid w:val="00DF4CED"/>
    <w:rsid w:val="00DF5720"/>
    <w:rsid w:val="00DF57F8"/>
    <w:rsid w:val="00DF657F"/>
    <w:rsid w:val="00DF6A17"/>
    <w:rsid w:val="00DF6AB8"/>
    <w:rsid w:val="00DF6BAD"/>
    <w:rsid w:val="00DF6C2C"/>
    <w:rsid w:val="00DF6D65"/>
    <w:rsid w:val="00DF7170"/>
    <w:rsid w:val="00DF7445"/>
    <w:rsid w:val="00DF766D"/>
    <w:rsid w:val="00DF7AB8"/>
    <w:rsid w:val="00DF7C90"/>
    <w:rsid w:val="00E00154"/>
    <w:rsid w:val="00E0029C"/>
    <w:rsid w:val="00E0081D"/>
    <w:rsid w:val="00E0090C"/>
    <w:rsid w:val="00E00DA3"/>
    <w:rsid w:val="00E00EC1"/>
    <w:rsid w:val="00E0107F"/>
    <w:rsid w:val="00E0116E"/>
    <w:rsid w:val="00E0136F"/>
    <w:rsid w:val="00E015AC"/>
    <w:rsid w:val="00E01D7F"/>
    <w:rsid w:val="00E01E6E"/>
    <w:rsid w:val="00E02605"/>
    <w:rsid w:val="00E0276E"/>
    <w:rsid w:val="00E03570"/>
    <w:rsid w:val="00E039CB"/>
    <w:rsid w:val="00E03E0E"/>
    <w:rsid w:val="00E03EB0"/>
    <w:rsid w:val="00E05187"/>
    <w:rsid w:val="00E055A8"/>
    <w:rsid w:val="00E058BC"/>
    <w:rsid w:val="00E05B5B"/>
    <w:rsid w:val="00E05C03"/>
    <w:rsid w:val="00E0619B"/>
    <w:rsid w:val="00E0623D"/>
    <w:rsid w:val="00E069F3"/>
    <w:rsid w:val="00E06F27"/>
    <w:rsid w:val="00E06FCE"/>
    <w:rsid w:val="00E075E8"/>
    <w:rsid w:val="00E107E2"/>
    <w:rsid w:val="00E107F9"/>
    <w:rsid w:val="00E107FD"/>
    <w:rsid w:val="00E10BA2"/>
    <w:rsid w:val="00E10BBF"/>
    <w:rsid w:val="00E10BE7"/>
    <w:rsid w:val="00E10C66"/>
    <w:rsid w:val="00E11787"/>
    <w:rsid w:val="00E1182C"/>
    <w:rsid w:val="00E11AEB"/>
    <w:rsid w:val="00E121BE"/>
    <w:rsid w:val="00E12331"/>
    <w:rsid w:val="00E12390"/>
    <w:rsid w:val="00E123CB"/>
    <w:rsid w:val="00E12C3A"/>
    <w:rsid w:val="00E12C55"/>
    <w:rsid w:val="00E12DC0"/>
    <w:rsid w:val="00E13279"/>
    <w:rsid w:val="00E133F5"/>
    <w:rsid w:val="00E1340E"/>
    <w:rsid w:val="00E1352C"/>
    <w:rsid w:val="00E1360B"/>
    <w:rsid w:val="00E138C0"/>
    <w:rsid w:val="00E1481C"/>
    <w:rsid w:val="00E15352"/>
    <w:rsid w:val="00E15376"/>
    <w:rsid w:val="00E15481"/>
    <w:rsid w:val="00E154FD"/>
    <w:rsid w:val="00E155C4"/>
    <w:rsid w:val="00E15A70"/>
    <w:rsid w:val="00E15E19"/>
    <w:rsid w:val="00E160C6"/>
    <w:rsid w:val="00E16194"/>
    <w:rsid w:val="00E161C0"/>
    <w:rsid w:val="00E162D3"/>
    <w:rsid w:val="00E16535"/>
    <w:rsid w:val="00E16D86"/>
    <w:rsid w:val="00E16DEA"/>
    <w:rsid w:val="00E1718E"/>
    <w:rsid w:val="00E1754C"/>
    <w:rsid w:val="00E17890"/>
    <w:rsid w:val="00E17C72"/>
    <w:rsid w:val="00E208AB"/>
    <w:rsid w:val="00E20B11"/>
    <w:rsid w:val="00E20B8D"/>
    <w:rsid w:val="00E21A43"/>
    <w:rsid w:val="00E21FBA"/>
    <w:rsid w:val="00E21FC6"/>
    <w:rsid w:val="00E227CE"/>
    <w:rsid w:val="00E228F7"/>
    <w:rsid w:val="00E22CE6"/>
    <w:rsid w:val="00E2315F"/>
    <w:rsid w:val="00E23B95"/>
    <w:rsid w:val="00E24097"/>
    <w:rsid w:val="00E2436F"/>
    <w:rsid w:val="00E2449C"/>
    <w:rsid w:val="00E245EA"/>
    <w:rsid w:val="00E24A93"/>
    <w:rsid w:val="00E25762"/>
    <w:rsid w:val="00E2589F"/>
    <w:rsid w:val="00E25B50"/>
    <w:rsid w:val="00E261B4"/>
    <w:rsid w:val="00E26D63"/>
    <w:rsid w:val="00E27089"/>
    <w:rsid w:val="00E27563"/>
    <w:rsid w:val="00E27FD8"/>
    <w:rsid w:val="00E31596"/>
    <w:rsid w:val="00E31972"/>
    <w:rsid w:val="00E31B26"/>
    <w:rsid w:val="00E3220C"/>
    <w:rsid w:val="00E325D3"/>
    <w:rsid w:val="00E329F5"/>
    <w:rsid w:val="00E32B67"/>
    <w:rsid w:val="00E32D61"/>
    <w:rsid w:val="00E32E8E"/>
    <w:rsid w:val="00E332CF"/>
    <w:rsid w:val="00E33689"/>
    <w:rsid w:val="00E33C97"/>
    <w:rsid w:val="00E34F48"/>
    <w:rsid w:val="00E3509F"/>
    <w:rsid w:val="00E350CA"/>
    <w:rsid w:val="00E35419"/>
    <w:rsid w:val="00E355AB"/>
    <w:rsid w:val="00E35621"/>
    <w:rsid w:val="00E35807"/>
    <w:rsid w:val="00E35A74"/>
    <w:rsid w:val="00E36036"/>
    <w:rsid w:val="00E36052"/>
    <w:rsid w:val="00E36197"/>
    <w:rsid w:val="00E361B0"/>
    <w:rsid w:val="00E3650D"/>
    <w:rsid w:val="00E3690D"/>
    <w:rsid w:val="00E3693F"/>
    <w:rsid w:val="00E36A1D"/>
    <w:rsid w:val="00E36A28"/>
    <w:rsid w:val="00E36A91"/>
    <w:rsid w:val="00E36FA9"/>
    <w:rsid w:val="00E37659"/>
    <w:rsid w:val="00E379CF"/>
    <w:rsid w:val="00E37FA0"/>
    <w:rsid w:val="00E401CB"/>
    <w:rsid w:val="00E401D7"/>
    <w:rsid w:val="00E40228"/>
    <w:rsid w:val="00E4056F"/>
    <w:rsid w:val="00E407C4"/>
    <w:rsid w:val="00E40BE7"/>
    <w:rsid w:val="00E416AE"/>
    <w:rsid w:val="00E41820"/>
    <w:rsid w:val="00E41839"/>
    <w:rsid w:val="00E41D8B"/>
    <w:rsid w:val="00E41E53"/>
    <w:rsid w:val="00E428EC"/>
    <w:rsid w:val="00E42B0E"/>
    <w:rsid w:val="00E42D90"/>
    <w:rsid w:val="00E431A9"/>
    <w:rsid w:val="00E4320B"/>
    <w:rsid w:val="00E43211"/>
    <w:rsid w:val="00E4327A"/>
    <w:rsid w:val="00E435E6"/>
    <w:rsid w:val="00E43603"/>
    <w:rsid w:val="00E4378D"/>
    <w:rsid w:val="00E437B6"/>
    <w:rsid w:val="00E43813"/>
    <w:rsid w:val="00E438BB"/>
    <w:rsid w:val="00E44B65"/>
    <w:rsid w:val="00E44DF8"/>
    <w:rsid w:val="00E4559B"/>
    <w:rsid w:val="00E45624"/>
    <w:rsid w:val="00E45B3E"/>
    <w:rsid w:val="00E45EF1"/>
    <w:rsid w:val="00E45F74"/>
    <w:rsid w:val="00E46544"/>
    <w:rsid w:val="00E46A25"/>
    <w:rsid w:val="00E47206"/>
    <w:rsid w:val="00E47B0B"/>
    <w:rsid w:val="00E50229"/>
    <w:rsid w:val="00E505C1"/>
    <w:rsid w:val="00E50666"/>
    <w:rsid w:val="00E512DD"/>
    <w:rsid w:val="00E51760"/>
    <w:rsid w:val="00E5180A"/>
    <w:rsid w:val="00E51FAC"/>
    <w:rsid w:val="00E521F8"/>
    <w:rsid w:val="00E5243E"/>
    <w:rsid w:val="00E5333D"/>
    <w:rsid w:val="00E534AA"/>
    <w:rsid w:val="00E53F8E"/>
    <w:rsid w:val="00E54FDE"/>
    <w:rsid w:val="00E553F7"/>
    <w:rsid w:val="00E5693C"/>
    <w:rsid w:val="00E56D47"/>
    <w:rsid w:val="00E56F4B"/>
    <w:rsid w:val="00E57624"/>
    <w:rsid w:val="00E57A5D"/>
    <w:rsid w:val="00E57AB3"/>
    <w:rsid w:val="00E57F43"/>
    <w:rsid w:val="00E614D3"/>
    <w:rsid w:val="00E6155D"/>
    <w:rsid w:val="00E61B0C"/>
    <w:rsid w:val="00E62603"/>
    <w:rsid w:val="00E62DE2"/>
    <w:rsid w:val="00E62F0D"/>
    <w:rsid w:val="00E63034"/>
    <w:rsid w:val="00E630BD"/>
    <w:rsid w:val="00E631BE"/>
    <w:rsid w:val="00E633F6"/>
    <w:rsid w:val="00E636BA"/>
    <w:rsid w:val="00E644FC"/>
    <w:rsid w:val="00E656AD"/>
    <w:rsid w:val="00E65A88"/>
    <w:rsid w:val="00E65ADC"/>
    <w:rsid w:val="00E662BE"/>
    <w:rsid w:val="00E66951"/>
    <w:rsid w:val="00E669E2"/>
    <w:rsid w:val="00E66D61"/>
    <w:rsid w:val="00E6719E"/>
    <w:rsid w:val="00E672D0"/>
    <w:rsid w:val="00E67999"/>
    <w:rsid w:val="00E70A64"/>
    <w:rsid w:val="00E70DBE"/>
    <w:rsid w:val="00E71123"/>
    <w:rsid w:val="00E716B0"/>
    <w:rsid w:val="00E71ABE"/>
    <w:rsid w:val="00E71C88"/>
    <w:rsid w:val="00E71CA9"/>
    <w:rsid w:val="00E71F01"/>
    <w:rsid w:val="00E722A7"/>
    <w:rsid w:val="00E72373"/>
    <w:rsid w:val="00E723F9"/>
    <w:rsid w:val="00E72D9C"/>
    <w:rsid w:val="00E73143"/>
    <w:rsid w:val="00E73AD7"/>
    <w:rsid w:val="00E73CA6"/>
    <w:rsid w:val="00E73DD4"/>
    <w:rsid w:val="00E748C1"/>
    <w:rsid w:val="00E74B8B"/>
    <w:rsid w:val="00E74D5F"/>
    <w:rsid w:val="00E74ED3"/>
    <w:rsid w:val="00E751D6"/>
    <w:rsid w:val="00E75ACC"/>
    <w:rsid w:val="00E76135"/>
    <w:rsid w:val="00E7622D"/>
    <w:rsid w:val="00E7625C"/>
    <w:rsid w:val="00E7636F"/>
    <w:rsid w:val="00E765CA"/>
    <w:rsid w:val="00E7692F"/>
    <w:rsid w:val="00E769A8"/>
    <w:rsid w:val="00E76A49"/>
    <w:rsid w:val="00E76BE9"/>
    <w:rsid w:val="00E76D23"/>
    <w:rsid w:val="00E77268"/>
    <w:rsid w:val="00E7735F"/>
    <w:rsid w:val="00E777DD"/>
    <w:rsid w:val="00E77CEE"/>
    <w:rsid w:val="00E77EFD"/>
    <w:rsid w:val="00E8088D"/>
    <w:rsid w:val="00E80AD4"/>
    <w:rsid w:val="00E8151F"/>
    <w:rsid w:val="00E8157C"/>
    <w:rsid w:val="00E81AB5"/>
    <w:rsid w:val="00E81B19"/>
    <w:rsid w:val="00E81CE6"/>
    <w:rsid w:val="00E81F1B"/>
    <w:rsid w:val="00E82006"/>
    <w:rsid w:val="00E823F7"/>
    <w:rsid w:val="00E82447"/>
    <w:rsid w:val="00E827D7"/>
    <w:rsid w:val="00E8292D"/>
    <w:rsid w:val="00E82996"/>
    <w:rsid w:val="00E82BBF"/>
    <w:rsid w:val="00E82F4F"/>
    <w:rsid w:val="00E832D8"/>
    <w:rsid w:val="00E8348E"/>
    <w:rsid w:val="00E83708"/>
    <w:rsid w:val="00E83D55"/>
    <w:rsid w:val="00E84471"/>
    <w:rsid w:val="00E84C43"/>
    <w:rsid w:val="00E85427"/>
    <w:rsid w:val="00E8572F"/>
    <w:rsid w:val="00E86333"/>
    <w:rsid w:val="00E864DF"/>
    <w:rsid w:val="00E86514"/>
    <w:rsid w:val="00E86519"/>
    <w:rsid w:val="00E86727"/>
    <w:rsid w:val="00E868D4"/>
    <w:rsid w:val="00E86BC1"/>
    <w:rsid w:val="00E86FC8"/>
    <w:rsid w:val="00E8706B"/>
    <w:rsid w:val="00E87075"/>
    <w:rsid w:val="00E87850"/>
    <w:rsid w:val="00E87A3B"/>
    <w:rsid w:val="00E87DE3"/>
    <w:rsid w:val="00E87F4E"/>
    <w:rsid w:val="00E9012C"/>
    <w:rsid w:val="00E901FA"/>
    <w:rsid w:val="00E912D6"/>
    <w:rsid w:val="00E91529"/>
    <w:rsid w:val="00E91686"/>
    <w:rsid w:val="00E91746"/>
    <w:rsid w:val="00E91C33"/>
    <w:rsid w:val="00E91C82"/>
    <w:rsid w:val="00E91CE6"/>
    <w:rsid w:val="00E91D4B"/>
    <w:rsid w:val="00E91E67"/>
    <w:rsid w:val="00E92309"/>
    <w:rsid w:val="00E92C8D"/>
    <w:rsid w:val="00E934F5"/>
    <w:rsid w:val="00E9385A"/>
    <w:rsid w:val="00E943EB"/>
    <w:rsid w:val="00E946D8"/>
    <w:rsid w:val="00E947E3"/>
    <w:rsid w:val="00E9499A"/>
    <w:rsid w:val="00E956FA"/>
    <w:rsid w:val="00E95861"/>
    <w:rsid w:val="00E95AF5"/>
    <w:rsid w:val="00E96186"/>
    <w:rsid w:val="00E96B22"/>
    <w:rsid w:val="00E96CF4"/>
    <w:rsid w:val="00E96DE2"/>
    <w:rsid w:val="00E96E9B"/>
    <w:rsid w:val="00E96F72"/>
    <w:rsid w:val="00E97214"/>
    <w:rsid w:val="00E973EB"/>
    <w:rsid w:val="00E97621"/>
    <w:rsid w:val="00E97C30"/>
    <w:rsid w:val="00EA06D4"/>
    <w:rsid w:val="00EA0C8D"/>
    <w:rsid w:val="00EA1028"/>
    <w:rsid w:val="00EA121D"/>
    <w:rsid w:val="00EA23A5"/>
    <w:rsid w:val="00EA2574"/>
    <w:rsid w:val="00EA27DE"/>
    <w:rsid w:val="00EA290E"/>
    <w:rsid w:val="00EA2D45"/>
    <w:rsid w:val="00EA2E6B"/>
    <w:rsid w:val="00EA3041"/>
    <w:rsid w:val="00EA3103"/>
    <w:rsid w:val="00EA325A"/>
    <w:rsid w:val="00EA35CA"/>
    <w:rsid w:val="00EA3608"/>
    <w:rsid w:val="00EA3B5D"/>
    <w:rsid w:val="00EA3C25"/>
    <w:rsid w:val="00EA3F9A"/>
    <w:rsid w:val="00EA4431"/>
    <w:rsid w:val="00EA44D5"/>
    <w:rsid w:val="00EA44D9"/>
    <w:rsid w:val="00EA4769"/>
    <w:rsid w:val="00EA49C4"/>
    <w:rsid w:val="00EA5590"/>
    <w:rsid w:val="00EA5862"/>
    <w:rsid w:val="00EA5F02"/>
    <w:rsid w:val="00EA5F16"/>
    <w:rsid w:val="00EA5F81"/>
    <w:rsid w:val="00EA5FA8"/>
    <w:rsid w:val="00EA6771"/>
    <w:rsid w:val="00EA6980"/>
    <w:rsid w:val="00EA77DD"/>
    <w:rsid w:val="00EA79EB"/>
    <w:rsid w:val="00EA7B10"/>
    <w:rsid w:val="00EA7B89"/>
    <w:rsid w:val="00EB046B"/>
    <w:rsid w:val="00EB0572"/>
    <w:rsid w:val="00EB0ACA"/>
    <w:rsid w:val="00EB0E22"/>
    <w:rsid w:val="00EB0E25"/>
    <w:rsid w:val="00EB0ED3"/>
    <w:rsid w:val="00EB1038"/>
    <w:rsid w:val="00EB1040"/>
    <w:rsid w:val="00EB1656"/>
    <w:rsid w:val="00EB19D9"/>
    <w:rsid w:val="00EB1B7B"/>
    <w:rsid w:val="00EB1CA6"/>
    <w:rsid w:val="00EB1F9F"/>
    <w:rsid w:val="00EB239A"/>
    <w:rsid w:val="00EB26BD"/>
    <w:rsid w:val="00EB2A59"/>
    <w:rsid w:val="00EB2CC3"/>
    <w:rsid w:val="00EB2DA1"/>
    <w:rsid w:val="00EB3C1F"/>
    <w:rsid w:val="00EB3DC7"/>
    <w:rsid w:val="00EB42F5"/>
    <w:rsid w:val="00EB45E0"/>
    <w:rsid w:val="00EB4CD7"/>
    <w:rsid w:val="00EB508F"/>
    <w:rsid w:val="00EB559D"/>
    <w:rsid w:val="00EB56F3"/>
    <w:rsid w:val="00EB5936"/>
    <w:rsid w:val="00EB5B62"/>
    <w:rsid w:val="00EB5FFA"/>
    <w:rsid w:val="00EB601C"/>
    <w:rsid w:val="00EB6496"/>
    <w:rsid w:val="00EB6739"/>
    <w:rsid w:val="00EB6ACE"/>
    <w:rsid w:val="00EB6C20"/>
    <w:rsid w:val="00EB6C85"/>
    <w:rsid w:val="00EB6F6B"/>
    <w:rsid w:val="00EB7791"/>
    <w:rsid w:val="00EB797B"/>
    <w:rsid w:val="00EB7D0C"/>
    <w:rsid w:val="00EC00B5"/>
    <w:rsid w:val="00EC0215"/>
    <w:rsid w:val="00EC06D5"/>
    <w:rsid w:val="00EC089E"/>
    <w:rsid w:val="00EC0D47"/>
    <w:rsid w:val="00EC0D7B"/>
    <w:rsid w:val="00EC116B"/>
    <w:rsid w:val="00EC11A0"/>
    <w:rsid w:val="00EC1301"/>
    <w:rsid w:val="00EC1348"/>
    <w:rsid w:val="00EC149F"/>
    <w:rsid w:val="00EC156A"/>
    <w:rsid w:val="00EC1584"/>
    <w:rsid w:val="00EC15B5"/>
    <w:rsid w:val="00EC1B74"/>
    <w:rsid w:val="00EC1F39"/>
    <w:rsid w:val="00EC20BD"/>
    <w:rsid w:val="00EC20C3"/>
    <w:rsid w:val="00EC21B2"/>
    <w:rsid w:val="00EC21E7"/>
    <w:rsid w:val="00EC2457"/>
    <w:rsid w:val="00EC2844"/>
    <w:rsid w:val="00EC2B10"/>
    <w:rsid w:val="00EC2BD3"/>
    <w:rsid w:val="00EC30F0"/>
    <w:rsid w:val="00EC3415"/>
    <w:rsid w:val="00EC35BB"/>
    <w:rsid w:val="00EC3675"/>
    <w:rsid w:val="00EC3910"/>
    <w:rsid w:val="00EC3AC2"/>
    <w:rsid w:val="00EC3B51"/>
    <w:rsid w:val="00EC4079"/>
    <w:rsid w:val="00EC412D"/>
    <w:rsid w:val="00EC4243"/>
    <w:rsid w:val="00EC4462"/>
    <w:rsid w:val="00EC4FB9"/>
    <w:rsid w:val="00EC5500"/>
    <w:rsid w:val="00EC5549"/>
    <w:rsid w:val="00EC5889"/>
    <w:rsid w:val="00EC5AF7"/>
    <w:rsid w:val="00EC5B91"/>
    <w:rsid w:val="00EC63D0"/>
    <w:rsid w:val="00EC64F3"/>
    <w:rsid w:val="00EC69F8"/>
    <w:rsid w:val="00EC6AAD"/>
    <w:rsid w:val="00EC74D5"/>
    <w:rsid w:val="00EC7775"/>
    <w:rsid w:val="00EC7EBE"/>
    <w:rsid w:val="00ED062A"/>
    <w:rsid w:val="00ED0E67"/>
    <w:rsid w:val="00ED15E8"/>
    <w:rsid w:val="00ED174F"/>
    <w:rsid w:val="00ED18F8"/>
    <w:rsid w:val="00ED199F"/>
    <w:rsid w:val="00ED2610"/>
    <w:rsid w:val="00ED2AAE"/>
    <w:rsid w:val="00ED2C2C"/>
    <w:rsid w:val="00ED30C4"/>
    <w:rsid w:val="00ED345B"/>
    <w:rsid w:val="00ED4418"/>
    <w:rsid w:val="00ED46E0"/>
    <w:rsid w:val="00ED4B0C"/>
    <w:rsid w:val="00ED4C85"/>
    <w:rsid w:val="00ED4EF5"/>
    <w:rsid w:val="00ED5612"/>
    <w:rsid w:val="00ED5655"/>
    <w:rsid w:val="00ED573E"/>
    <w:rsid w:val="00ED5754"/>
    <w:rsid w:val="00ED58D9"/>
    <w:rsid w:val="00ED5B63"/>
    <w:rsid w:val="00ED5B72"/>
    <w:rsid w:val="00ED6160"/>
    <w:rsid w:val="00ED616D"/>
    <w:rsid w:val="00ED6250"/>
    <w:rsid w:val="00ED6319"/>
    <w:rsid w:val="00ED6AC7"/>
    <w:rsid w:val="00ED732B"/>
    <w:rsid w:val="00ED78C5"/>
    <w:rsid w:val="00ED7CD2"/>
    <w:rsid w:val="00ED7D01"/>
    <w:rsid w:val="00ED7D61"/>
    <w:rsid w:val="00ED7ECA"/>
    <w:rsid w:val="00EE001A"/>
    <w:rsid w:val="00EE0454"/>
    <w:rsid w:val="00EE067E"/>
    <w:rsid w:val="00EE0BF8"/>
    <w:rsid w:val="00EE1061"/>
    <w:rsid w:val="00EE10A8"/>
    <w:rsid w:val="00EE1320"/>
    <w:rsid w:val="00EE137F"/>
    <w:rsid w:val="00EE18B1"/>
    <w:rsid w:val="00EE19DF"/>
    <w:rsid w:val="00EE1C81"/>
    <w:rsid w:val="00EE2002"/>
    <w:rsid w:val="00EE237A"/>
    <w:rsid w:val="00EE285E"/>
    <w:rsid w:val="00EE2C0D"/>
    <w:rsid w:val="00EE3583"/>
    <w:rsid w:val="00EE3B57"/>
    <w:rsid w:val="00EE3CDC"/>
    <w:rsid w:val="00EE4156"/>
    <w:rsid w:val="00EE4639"/>
    <w:rsid w:val="00EE4984"/>
    <w:rsid w:val="00EE4E89"/>
    <w:rsid w:val="00EE5257"/>
    <w:rsid w:val="00EE5813"/>
    <w:rsid w:val="00EE5878"/>
    <w:rsid w:val="00EE5B53"/>
    <w:rsid w:val="00EE5B5A"/>
    <w:rsid w:val="00EE5FD9"/>
    <w:rsid w:val="00EE5FDB"/>
    <w:rsid w:val="00EE6589"/>
    <w:rsid w:val="00EE66EA"/>
    <w:rsid w:val="00EE67A1"/>
    <w:rsid w:val="00EE6B5C"/>
    <w:rsid w:val="00EE6EDA"/>
    <w:rsid w:val="00EE75A9"/>
    <w:rsid w:val="00EE770D"/>
    <w:rsid w:val="00EE778E"/>
    <w:rsid w:val="00EE7854"/>
    <w:rsid w:val="00EF0042"/>
    <w:rsid w:val="00EF0154"/>
    <w:rsid w:val="00EF051A"/>
    <w:rsid w:val="00EF064C"/>
    <w:rsid w:val="00EF0655"/>
    <w:rsid w:val="00EF06C7"/>
    <w:rsid w:val="00EF088D"/>
    <w:rsid w:val="00EF09AF"/>
    <w:rsid w:val="00EF0C42"/>
    <w:rsid w:val="00EF0D45"/>
    <w:rsid w:val="00EF0D49"/>
    <w:rsid w:val="00EF0DAE"/>
    <w:rsid w:val="00EF1238"/>
    <w:rsid w:val="00EF1A06"/>
    <w:rsid w:val="00EF1A57"/>
    <w:rsid w:val="00EF203B"/>
    <w:rsid w:val="00EF2108"/>
    <w:rsid w:val="00EF2331"/>
    <w:rsid w:val="00EF293E"/>
    <w:rsid w:val="00EF2CC8"/>
    <w:rsid w:val="00EF3156"/>
    <w:rsid w:val="00EF32FA"/>
    <w:rsid w:val="00EF3699"/>
    <w:rsid w:val="00EF3758"/>
    <w:rsid w:val="00EF3951"/>
    <w:rsid w:val="00EF425B"/>
    <w:rsid w:val="00EF4B18"/>
    <w:rsid w:val="00EF4EE9"/>
    <w:rsid w:val="00EF4F3E"/>
    <w:rsid w:val="00EF4F8A"/>
    <w:rsid w:val="00EF5438"/>
    <w:rsid w:val="00EF5550"/>
    <w:rsid w:val="00EF5965"/>
    <w:rsid w:val="00EF5D14"/>
    <w:rsid w:val="00EF5F9B"/>
    <w:rsid w:val="00EF6146"/>
    <w:rsid w:val="00EF617E"/>
    <w:rsid w:val="00EF66FF"/>
    <w:rsid w:val="00EF6719"/>
    <w:rsid w:val="00EF67A7"/>
    <w:rsid w:val="00EF6C6C"/>
    <w:rsid w:val="00EF6EB8"/>
    <w:rsid w:val="00EF6FE8"/>
    <w:rsid w:val="00EF70A8"/>
    <w:rsid w:val="00EF7490"/>
    <w:rsid w:val="00EF77D1"/>
    <w:rsid w:val="00EF7A7A"/>
    <w:rsid w:val="00EF7E16"/>
    <w:rsid w:val="00F00256"/>
    <w:rsid w:val="00F0088F"/>
    <w:rsid w:val="00F0119B"/>
    <w:rsid w:val="00F011E2"/>
    <w:rsid w:val="00F01DA4"/>
    <w:rsid w:val="00F01E8D"/>
    <w:rsid w:val="00F01EE7"/>
    <w:rsid w:val="00F0201F"/>
    <w:rsid w:val="00F021D2"/>
    <w:rsid w:val="00F02302"/>
    <w:rsid w:val="00F0247B"/>
    <w:rsid w:val="00F027EB"/>
    <w:rsid w:val="00F02AB8"/>
    <w:rsid w:val="00F0309E"/>
    <w:rsid w:val="00F03456"/>
    <w:rsid w:val="00F03916"/>
    <w:rsid w:val="00F03B0A"/>
    <w:rsid w:val="00F03ED8"/>
    <w:rsid w:val="00F03F46"/>
    <w:rsid w:val="00F04370"/>
    <w:rsid w:val="00F048CF"/>
    <w:rsid w:val="00F04C24"/>
    <w:rsid w:val="00F056FC"/>
    <w:rsid w:val="00F060D1"/>
    <w:rsid w:val="00F0615F"/>
    <w:rsid w:val="00F06252"/>
    <w:rsid w:val="00F0632F"/>
    <w:rsid w:val="00F06445"/>
    <w:rsid w:val="00F067DD"/>
    <w:rsid w:val="00F06806"/>
    <w:rsid w:val="00F069AE"/>
    <w:rsid w:val="00F06A8F"/>
    <w:rsid w:val="00F06AC5"/>
    <w:rsid w:val="00F06B36"/>
    <w:rsid w:val="00F06BC9"/>
    <w:rsid w:val="00F06DE8"/>
    <w:rsid w:val="00F0713C"/>
    <w:rsid w:val="00F07E6F"/>
    <w:rsid w:val="00F07EDA"/>
    <w:rsid w:val="00F1000C"/>
    <w:rsid w:val="00F10018"/>
    <w:rsid w:val="00F100CF"/>
    <w:rsid w:val="00F10476"/>
    <w:rsid w:val="00F10833"/>
    <w:rsid w:val="00F10BB7"/>
    <w:rsid w:val="00F10FFF"/>
    <w:rsid w:val="00F11521"/>
    <w:rsid w:val="00F11685"/>
    <w:rsid w:val="00F116F3"/>
    <w:rsid w:val="00F117FF"/>
    <w:rsid w:val="00F11E03"/>
    <w:rsid w:val="00F12153"/>
    <w:rsid w:val="00F12331"/>
    <w:rsid w:val="00F12428"/>
    <w:rsid w:val="00F127EC"/>
    <w:rsid w:val="00F12914"/>
    <w:rsid w:val="00F130A7"/>
    <w:rsid w:val="00F13259"/>
    <w:rsid w:val="00F135D8"/>
    <w:rsid w:val="00F138ED"/>
    <w:rsid w:val="00F13918"/>
    <w:rsid w:val="00F13FAB"/>
    <w:rsid w:val="00F14621"/>
    <w:rsid w:val="00F157C4"/>
    <w:rsid w:val="00F15D57"/>
    <w:rsid w:val="00F16E56"/>
    <w:rsid w:val="00F170FC"/>
    <w:rsid w:val="00F17537"/>
    <w:rsid w:val="00F177B4"/>
    <w:rsid w:val="00F17826"/>
    <w:rsid w:val="00F17960"/>
    <w:rsid w:val="00F179C9"/>
    <w:rsid w:val="00F17ABC"/>
    <w:rsid w:val="00F17B31"/>
    <w:rsid w:val="00F17F69"/>
    <w:rsid w:val="00F20006"/>
    <w:rsid w:val="00F20139"/>
    <w:rsid w:val="00F203B1"/>
    <w:rsid w:val="00F20814"/>
    <w:rsid w:val="00F2083F"/>
    <w:rsid w:val="00F20884"/>
    <w:rsid w:val="00F20C90"/>
    <w:rsid w:val="00F21083"/>
    <w:rsid w:val="00F2136D"/>
    <w:rsid w:val="00F216D3"/>
    <w:rsid w:val="00F2196F"/>
    <w:rsid w:val="00F21E9D"/>
    <w:rsid w:val="00F21FFF"/>
    <w:rsid w:val="00F2216C"/>
    <w:rsid w:val="00F22788"/>
    <w:rsid w:val="00F22F89"/>
    <w:rsid w:val="00F22FFA"/>
    <w:rsid w:val="00F23121"/>
    <w:rsid w:val="00F2454C"/>
    <w:rsid w:val="00F246BD"/>
    <w:rsid w:val="00F24E67"/>
    <w:rsid w:val="00F25302"/>
    <w:rsid w:val="00F254CD"/>
    <w:rsid w:val="00F254F7"/>
    <w:rsid w:val="00F25C1B"/>
    <w:rsid w:val="00F25DEC"/>
    <w:rsid w:val="00F25E02"/>
    <w:rsid w:val="00F25E06"/>
    <w:rsid w:val="00F25E83"/>
    <w:rsid w:val="00F26533"/>
    <w:rsid w:val="00F26A44"/>
    <w:rsid w:val="00F27049"/>
    <w:rsid w:val="00F2741C"/>
    <w:rsid w:val="00F276E2"/>
    <w:rsid w:val="00F27DD3"/>
    <w:rsid w:val="00F30283"/>
    <w:rsid w:val="00F30996"/>
    <w:rsid w:val="00F30D5F"/>
    <w:rsid w:val="00F31031"/>
    <w:rsid w:val="00F31150"/>
    <w:rsid w:val="00F31299"/>
    <w:rsid w:val="00F3140A"/>
    <w:rsid w:val="00F31A2C"/>
    <w:rsid w:val="00F31E3B"/>
    <w:rsid w:val="00F32197"/>
    <w:rsid w:val="00F32582"/>
    <w:rsid w:val="00F32C09"/>
    <w:rsid w:val="00F32F51"/>
    <w:rsid w:val="00F331C1"/>
    <w:rsid w:val="00F3323C"/>
    <w:rsid w:val="00F33E33"/>
    <w:rsid w:val="00F34773"/>
    <w:rsid w:val="00F34804"/>
    <w:rsid w:val="00F34E13"/>
    <w:rsid w:val="00F35223"/>
    <w:rsid w:val="00F35347"/>
    <w:rsid w:val="00F3534A"/>
    <w:rsid w:val="00F359C9"/>
    <w:rsid w:val="00F35A53"/>
    <w:rsid w:val="00F35B7E"/>
    <w:rsid w:val="00F35BFB"/>
    <w:rsid w:val="00F35F83"/>
    <w:rsid w:val="00F3609E"/>
    <w:rsid w:val="00F36314"/>
    <w:rsid w:val="00F3638B"/>
    <w:rsid w:val="00F36ACC"/>
    <w:rsid w:val="00F36D15"/>
    <w:rsid w:val="00F36D62"/>
    <w:rsid w:val="00F3745C"/>
    <w:rsid w:val="00F37880"/>
    <w:rsid w:val="00F379CD"/>
    <w:rsid w:val="00F379E3"/>
    <w:rsid w:val="00F37B08"/>
    <w:rsid w:val="00F40A47"/>
    <w:rsid w:val="00F40CB6"/>
    <w:rsid w:val="00F41234"/>
    <w:rsid w:val="00F413DC"/>
    <w:rsid w:val="00F41DBB"/>
    <w:rsid w:val="00F41E72"/>
    <w:rsid w:val="00F426B2"/>
    <w:rsid w:val="00F42BD0"/>
    <w:rsid w:val="00F42CD5"/>
    <w:rsid w:val="00F4341A"/>
    <w:rsid w:val="00F43477"/>
    <w:rsid w:val="00F438AB"/>
    <w:rsid w:val="00F439F3"/>
    <w:rsid w:val="00F43F73"/>
    <w:rsid w:val="00F4491F"/>
    <w:rsid w:val="00F44D8D"/>
    <w:rsid w:val="00F44F0A"/>
    <w:rsid w:val="00F454A4"/>
    <w:rsid w:val="00F4637A"/>
    <w:rsid w:val="00F46A6E"/>
    <w:rsid w:val="00F46A7D"/>
    <w:rsid w:val="00F46E34"/>
    <w:rsid w:val="00F471AE"/>
    <w:rsid w:val="00F47494"/>
    <w:rsid w:val="00F4791B"/>
    <w:rsid w:val="00F4799D"/>
    <w:rsid w:val="00F47AF4"/>
    <w:rsid w:val="00F47F80"/>
    <w:rsid w:val="00F5015F"/>
    <w:rsid w:val="00F50B74"/>
    <w:rsid w:val="00F50D8E"/>
    <w:rsid w:val="00F510D4"/>
    <w:rsid w:val="00F513AE"/>
    <w:rsid w:val="00F51609"/>
    <w:rsid w:val="00F51DCB"/>
    <w:rsid w:val="00F51E90"/>
    <w:rsid w:val="00F51FCE"/>
    <w:rsid w:val="00F52435"/>
    <w:rsid w:val="00F524D4"/>
    <w:rsid w:val="00F52B43"/>
    <w:rsid w:val="00F52C66"/>
    <w:rsid w:val="00F52E1C"/>
    <w:rsid w:val="00F533EF"/>
    <w:rsid w:val="00F536A1"/>
    <w:rsid w:val="00F537B4"/>
    <w:rsid w:val="00F53957"/>
    <w:rsid w:val="00F53CD2"/>
    <w:rsid w:val="00F53CE5"/>
    <w:rsid w:val="00F53D63"/>
    <w:rsid w:val="00F53E42"/>
    <w:rsid w:val="00F53F7E"/>
    <w:rsid w:val="00F542B8"/>
    <w:rsid w:val="00F54587"/>
    <w:rsid w:val="00F5467C"/>
    <w:rsid w:val="00F54DBB"/>
    <w:rsid w:val="00F54EE7"/>
    <w:rsid w:val="00F550C6"/>
    <w:rsid w:val="00F557A0"/>
    <w:rsid w:val="00F55C25"/>
    <w:rsid w:val="00F55F1C"/>
    <w:rsid w:val="00F5638D"/>
    <w:rsid w:val="00F56959"/>
    <w:rsid w:val="00F56E38"/>
    <w:rsid w:val="00F573E5"/>
    <w:rsid w:val="00F57A57"/>
    <w:rsid w:val="00F57BE3"/>
    <w:rsid w:val="00F57C07"/>
    <w:rsid w:val="00F57DFD"/>
    <w:rsid w:val="00F6020A"/>
    <w:rsid w:val="00F602CF"/>
    <w:rsid w:val="00F60925"/>
    <w:rsid w:val="00F61197"/>
    <w:rsid w:val="00F612E1"/>
    <w:rsid w:val="00F616A4"/>
    <w:rsid w:val="00F61851"/>
    <w:rsid w:val="00F61A09"/>
    <w:rsid w:val="00F61CDB"/>
    <w:rsid w:val="00F61D0C"/>
    <w:rsid w:val="00F61FEE"/>
    <w:rsid w:val="00F62246"/>
    <w:rsid w:val="00F6226A"/>
    <w:rsid w:val="00F627F2"/>
    <w:rsid w:val="00F6297B"/>
    <w:rsid w:val="00F62C21"/>
    <w:rsid w:val="00F636C1"/>
    <w:rsid w:val="00F63738"/>
    <w:rsid w:val="00F638BB"/>
    <w:rsid w:val="00F64153"/>
    <w:rsid w:val="00F64312"/>
    <w:rsid w:val="00F649A1"/>
    <w:rsid w:val="00F649C3"/>
    <w:rsid w:val="00F64AB1"/>
    <w:rsid w:val="00F65042"/>
    <w:rsid w:val="00F6514F"/>
    <w:rsid w:val="00F651E3"/>
    <w:rsid w:val="00F652AE"/>
    <w:rsid w:val="00F65E98"/>
    <w:rsid w:val="00F65EF1"/>
    <w:rsid w:val="00F66C18"/>
    <w:rsid w:val="00F66C1E"/>
    <w:rsid w:val="00F676C9"/>
    <w:rsid w:val="00F6791E"/>
    <w:rsid w:val="00F67C43"/>
    <w:rsid w:val="00F67EAB"/>
    <w:rsid w:val="00F70257"/>
    <w:rsid w:val="00F71C2E"/>
    <w:rsid w:val="00F71EAE"/>
    <w:rsid w:val="00F72085"/>
    <w:rsid w:val="00F721E3"/>
    <w:rsid w:val="00F7230B"/>
    <w:rsid w:val="00F728D9"/>
    <w:rsid w:val="00F72F5D"/>
    <w:rsid w:val="00F7333D"/>
    <w:rsid w:val="00F73727"/>
    <w:rsid w:val="00F737DC"/>
    <w:rsid w:val="00F738EC"/>
    <w:rsid w:val="00F73981"/>
    <w:rsid w:val="00F73DA5"/>
    <w:rsid w:val="00F73EFD"/>
    <w:rsid w:val="00F74182"/>
    <w:rsid w:val="00F744C4"/>
    <w:rsid w:val="00F749BE"/>
    <w:rsid w:val="00F74BDE"/>
    <w:rsid w:val="00F74EB0"/>
    <w:rsid w:val="00F75303"/>
    <w:rsid w:val="00F754CD"/>
    <w:rsid w:val="00F75D95"/>
    <w:rsid w:val="00F760B9"/>
    <w:rsid w:val="00F766A7"/>
    <w:rsid w:val="00F76BF1"/>
    <w:rsid w:val="00F76C5D"/>
    <w:rsid w:val="00F7708D"/>
    <w:rsid w:val="00F77188"/>
    <w:rsid w:val="00F777C9"/>
    <w:rsid w:val="00F778B1"/>
    <w:rsid w:val="00F77EA6"/>
    <w:rsid w:val="00F805B0"/>
    <w:rsid w:val="00F8077F"/>
    <w:rsid w:val="00F80DEC"/>
    <w:rsid w:val="00F81006"/>
    <w:rsid w:val="00F8103B"/>
    <w:rsid w:val="00F8118F"/>
    <w:rsid w:val="00F81508"/>
    <w:rsid w:val="00F81717"/>
    <w:rsid w:val="00F8185C"/>
    <w:rsid w:val="00F81D6D"/>
    <w:rsid w:val="00F82301"/>
    <w:rsid w:val="00F823C9"/>
    <w:rsid w:val="00F82D19"/>
    <w:rsid w:val="00F82DAB"/>
    <w:rsid w:val="00F83170"/>
    <w:rsid w:val="00F832CF"/>
    <w:rsid w:val="00F836B1"/>
    <w:rsid w:val="00F8396D"/>
    <w:rsid w:val="00F8415E"/>
    <w:rsid w:val="00F845F4"/>
    <w:rsid w:val="00F84FB3"/>
    <w:rsid w:val="00F850DC"/>
    <w:rsid w:val="00F85325"/>
    <w:rsid w:val="00F85643"/>
    <w:rsid w:val="00F85D2F"/>
    <w:rsid w:val="00F85DBF"/>
    <w:rsid w:val="00F8602A"/>
    <w:rsid w:val="00F86646"/>
    <w:rsid w:val="00F86A25"/>
    <w:rsid w:val="00F870D7"/>
    <w:rsid w:val="00F871B6"/>
    <w:rsid w:val="00F8735C"/>
    <w:rsid w:val="00F87800"/>
    <w:rsid w:val="00F8796C"/>
    <w:rsid w:val="00F87A85"/>
    <w:rsid w:val="00F87D91"/>
    <w:rsid w:val="00F87E1F"/>
    <w:rsid w:val="00F87F95"/>
    <w:rsid w:val="00F900DA"/>
    <w:rsid w:val="00F903A9"/>
    <w:rsid w:val="00F90840"/>
    <w:rsid w:val="00F9087B"/>
    <w:rsid w:val="00F90B7D"/>
    <w:rsid w:val="00F90BCE"/>
    <w:rsid w:val="00F9137B"/>
    <w:rsid w:val="00F91E6D"/>
    <w:rsid w:val="00F9370E"/>
    <w:rsid w:val="00F93907"/>
    <w:rsid w:val="00F94080"/>
    <w:rsid w:val="00F94175"/>
    <w:rsid w:val="00F94789"/>
    <w:rsid w:val="00F94CDB"/>
    <w:rsid w:val="00F9503C"/>
    <w:rsid w:val="00F95131"/>
    <w:rsid w:val="00F954F3"/>
    <w:rsid w:val="00F96047"/>
    <w:rsid w:val="00F96226"/>
    <w:rsid w:val="00F966C7"/>
    <w:rsid w:val="00F966DC"/>
    <w:rsid w:val="00F96A41"/>
    <w:rsid w:val="00F975E0"/>
    <w:rsid w:val="00F97638"/>
    <w:rsid w:val="00F97658"/>
    <w:rsid w:val="00F976D8"/>
    <w:rsid w:val="00F97ABB"/>
    <w:rsid w:val="00F97DED"/>
    <w:rsid w:val="00F97E08"/>
    <w:rsid w:val="00F97F55"/>
    <w:rsid w:val="00F97FDA"/>
    <w:rsid w:val="00FA05B1"/>
    <w:rsid w:val="00FA0602"/>
    <w:rsid w:val="00FA0E1A"/>
    <w:rsid w:val="00FA0E34"/>
    <w:rsid w:val="00FA18AF"/>
    <w:rsid w:val="00FA1D9C"/>
    <w:rsid w:val="00FA1FB0"/>
    <w:rsid w:val="00FA1FF9"/>
    <w:rsid w:val="00FA285F"/>
    <w:rsid w:val="00FA2ADC"/>
    <w:rsid w:val="00FA2E71"/>
    <w:rsid w:val="00FA2F4A"/>
    <w:rsid w:val="00FA32B0"/>
    <w:rsid w:val="00FA34AD"/>
    <w:rsid w:val="00FA3F54"/>
    <w:rsid w:val="00FA443F"/>
    <w:rsid w:val="00FA445E"/>
    <w:rsid w:val="00FA4A6E"/>
    <w:rsid w:val="00FA4C04"/>
    <w:rsid w:val="00FA4DC3"/>
    <w:rsid w:val="00FA4E23"/>
    <w:rsid w:val="00FA51C9"/>
    <w:rsid w:val="00FA59DE"/>
    <w:rsid w:val="00FA5DF8"/>
    <w:rsid w:val="00FA602C"/>
    <w:rsid w:val="00FA625A"/>
    <w:rsid w:val="00FA6414"/>
    <w:rsid w:val="00FA67E3"/>
    <w:rsid w:val="00FA6834"/>
    <w:rsid w:val="00FA6A7F"/>
    <w:rsid w:val="00FA7A36"/>
    <w:rsid w:val="00FA7C9D"/>
    <w:rsid w:val="00FA7CCE"/>
    <w:rsid w:val="00FB00C4"/>
    <w:rsid w:val="00FB013F"/>
    <w:rsid w:val="00FB021A"/>
    <w:rsid w:val="00FB05F1"/>
    <w:rsid w:val="00FB089B"/>
    <w:rsid w:val="00FB0D36"/>
    <w:rsid w:val="00FB102C"/>
    <w:rsid w:val="00FB15C0"/>
    <w:rsid w:val="00FB18BC"/>
    <w:rsid w:val="00FB197B"/>
    <w:rsid w:val="00FB1F46"/>
    <w:rsid w:val="00FB2081"/>
    <w:rsid w:val="00FB20FF"/>
    <w:rsid w:val="00FB21B9"/>
    <w:rsid w:val="00FB2DE0"/>
    <w:rsid w:val="00FB2E4A"/>
    <w:rsid w:val="00FB36BB"/>
    <w:rsid w:val="00FB3790"/>
    <w:rsid w:val="00FB3EAF"/>
    <w:rsid w:val="00FB4158"/>
    <w:rsid w:val="00FB43C6"/>
    <w:rsid w:val="00FB481F"/>
    <w:rsid w:val="00FB4B43"/>
    <w:rsid w:val="00FB509E"/>
    <w:rsid w:val="00FB51ED"/>
    <w:rsid w:val="00FB5E33"/>
    <w:rsid w:val="00FB642A"/>
    <w:rsid w:val="00FB656F"/>
    <w:rsid w:val="00FB667B"/>
    <w:rsid w:val="00FB66E7"/>
    <w:rsid w:val="00FB68DF"/>
    <w:rsid w:val="00FB6C43"/>
    <w:rsid w:val="00FB7BD3"/>
    <w:rsid w:val="00FC012F"/>
    <w:rsid w:val="00FC0289"/>
    <w:rsid w:val="00FC10A8"/>
    <w:rsid w:val="00FC11BE"/>
    <w:rsid w:val="00FC1420"/>
    <w:rsid w:val="00FC1751"/>
    <w:rsid w:val="00FC1A02"/>
    <w:rsid w:val="00FC1F29"/>
    <w:rsid w:val="00FC23AD"/>
    <w:rsid w:val="00FC2A5E"/>
    <w:rsid w:val="00FC2E00"/>
    <w:rsid w:val="00FC3077"/>
    <w:rsid w:val="00FC344D"/>
    <w:rsid w:val="00FC35C4"/>
    <w:rsid w:val="00FC3839"/>
    <w:rsid w:val="00FC3B59"/>
    <w:rsid w:val="00FC4088"/>
    <w:rsid w:val="00FC4117"/>
    <w:rsid w:val="00FC414A"/>
    <w:rsid w:val="00FC458A"/>
    <w:rsid w:val="00FC482F"/>
    <w:rsid w:val="00FC4A6A"/>
    <w:rsid w:val="00FC4C19"/>
    <w:rsid w:val="00FC50C5"/>
    <w:rsid w:val="00FC584F"/>
    <w:rsid w:val="00FC5C66"/>
    <w:rsid w:val="00FC6285"/>
    <w:rsid w:val="00FC653A"/>
    <w:rsid w:val="00FC6635"/>
    <w:rsid w:val="00FC6A7B"/>
    <w:rsid w:val="00FC6B9B"/>
    <w:rsid w:val="00FC706D"/>
    <w:rsid w:val="00FC720C"/>
    <w:rsid w:val="00FC791B"/>
    <w:rsid w:val="00FC7E0F"/>
    <w:rsid w:val="00FD00C8"/>
    <w:rsid w:val="00FD043F"/>
    <w:rsid w:val="00FD04BC"/>
    <w:rsid w:val="00FD0572"/>
    <w:rsid w:val="00FD08BD"/>
    <w:rsid w:val="00FD0A14"/>
    <w:rsid w:val="00FD0AF4"/>
    <w:rsid w:val="00FD0B6A"/>
    <w:rsid w:val="00FD0E9B"/>
    <w:rsid w:val="00FD1BA8"/>
    <w:rsid w:val="00FD1BF2"/>
    <w:rsid w:val="00FD227C"/>
    <w:rsid w:val="00FD22B1"/>
    <w:rsid w:val="00FD310E"/>
    <w:rsid w:val="00FD31AA"/>
    <w:rsid w:val="00FD3211"/>
    <w:rsid w:val="00FD33F1"/>
    <w:rsid w:val="00FD354E"/>
    <w:rsid w:val="00FD3566"/>
    <w:rsid w:val="00FD356E"/>
    <w:rsid w:val="00FD38D0"/>
    <w:rsid w:val="00FD3EC3"/>
    <w:rsid w:val="00FD49E5"/>
    <w:rsid w:val="00FD4D49"/>
    <w:rsid w:val="00FD50C4"/>
    <w:rsid w:val="00FD556B"/>
    <w:rsid w:val="00FD58F1"/>
    <w:rsid w:val="00FD5A5C"/>
    <w:rsid w:val="00FD5E5D"/>
    <w:rsid w:val="00FD60F8"/>
    <w:rsid w:val="00FD60FB"/>
    <w:rsid w:val="00FD6350"/>
    <w:rsid w:val="00FD6383"/>
    <w:rsid w:val="00FD67BE"/>
    <w:rsid w:val="00FD6944"/>
    <w:rsid w:val="00FD6C98"/>
    <w:rsid w:val="00FD7136"/>
    <w:rsid w:val="00FD7BD1"/>
    <w:rsid w:val="00FD7CCD"/>
    <w:rsid w:val="00FE0283"/>
    <w:rsid w:val="00FE032A"/>
    <w:rsid w:val="00FE079C"/>
    <w:rsid w:val="00FE07CE"/>
    <w:rsid w:val="00FE07FE"/>
    <w:rsid w:val="00FE093A"/>
    <w:rsid w:val="00FE140C"/>
    <w:rsid w:val="00FE1694"/>
    <w:rsid w:val="00FE175C"/>
    <w:rsid w:val="00FE1A83"/>
    <w:rsid w:val="00FE22D7"/>
    <w:rsid w:val="00FE25A4"/>
    <w:rsid w:val="00FE25D9"/>
    <w:rsid w:val="00FE2692"/>
    <w:rsid w:val="00FE2A9C"/>
    <w:rsid w:val="00FE2C42"/>
    <w:rsid w:val="00FE2E96"/>
    <w:rsid w:val="00FE3555"/>
    <w:rsid w:val="00FE381B"/>
    <w:rsid w:val="00FE3D05"/>
    <w:rsid w:val="00FE41B9"/>
    <w:rsid w:val="00FE4909"/>
    <w:rsid w:val="00FE4942"/>
    <w:rsid w:val="00FE51F6"/>
    <w:rsid w:val="00FE5397"/>
    <w:rsid w:val="00FE553E"/>
    <w:rsid w:val="00FE58D5"/>
    <w:rsid w:val="00FE5B31"/>
    <w:rsid w:val="00FE69A2"/>
    <w:rsid w:val="00FE6ADA"/>
    <w:rsid w:val="00FE74FD"/>
    <w:rsid w:val="00FF0809"/>
    <w:rsid w:val="00FF0D54"/>
    <w:rsid w:val="00FF1769"/>
    <w:rsid w:val="00FF1C66"/>
    <w:rsid w:val="00FF1DFA"/>
    <w:rsid w:val="00FF1F37"/>
    <w:rsid w:val="00FF22FC"/>
    <w:rsid w:val="00FF257C"/>
    <w:rsid w:val="00FF263D"/>
    <w:rsid w:val="00FF2B2C"/>
    <w:rsid w:val="00FF2C2D"/>
    <w:rsid w:val="00FF2FA0"/>
    <w:rsid w:val="00FF31A6"/>
    <w:rsid w:val="00FF3BFE"/>
    <w:rsid w:val="00FF3CDC"/>
    <w:rsid w:val="00FF3DBC"/>
    <w:rsid w:val="00FF4C99"/>
    <w:rsid w:val="00FF5096"/>
    <w:rsid w:val="00FF5468"/>
    <w:rsid w:val="00FF5490"/>
    <w:rsid w:val="00FF57C9"/>
    <w:rsid w:val="00FF5A28"/>
    <w:rsid w:val="00FF5F56"/>
    <w:rsid w:val="00FF627C"/>
    <w:rsid w:val="00FF633E"/>
    <w:rsid w:val="00FF65AB"/>
    <w:rsid w:val="00FF70DF"/>
    <w:rsid w:val="00FF7231"/>
    <w:rsid w:val="00FF729E"/>
    <w:rsid w:val="00FF74DE"/>
    <w:rsid w:val="00FF77A4"/>
    <w:rsid w:val="00FF7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218903"/>
  <w15:docId w15:val="{7C81216B-EC96-47F4-ABD7-5E94578B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6E67"/>
    <w:rPr>
      <w:sz w:val="24"/>
      <w:szCs w:val="24"/>
    </w:rPr>
  </w:style>
  <w:style w:type="paragraph" w:styleId="Heading1">
    <w:name w:val="heading 1"/>
    <w:basedOn w:val="BodyText"/>
    <w:next w:val="BodyText"/>
    <w:link w:val="Heading1Char"/>
    <w:rsid w:val="00C06E67"/>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06E67"/>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06E67"/>
    <w:pPr>
      <w:spacing w:before="560" w:line="320" w:lineRule="exact"/>
      <w:ind w:left="0" w:firstLine="0"/>
      <w:outlineLvl w:val="2"/>
    </w:pPr>
    <w:rPr>
      <w:sz w:val="26"/>
    </w:rPr>
  </w:style>
  <w:style w:type="paragraph" w:styleId="Heading4">
    <w:name w:val="heading 4"/>
    <w:basedOn w:val="Heading3"/>
    <w:next w:val="BodyText"/>
    <w:link w:val="Heading4Char"/>
    <w:qFormat/>
    <w:rsid w:val="00C06E67"/>
    <w:pPr>
      <w:spacing w:before="480"/>
      <w:outlineLvl w:val="3"/>
    </w:pPr>
    <w:rPr>
      <w:b w:val="0"/>
      <w:sz w:val="24"/>
    </w:rPr>
  </w:style>
  <w:style w:type="paragraph" w:styleId="Heading5">
    <w:name w:val="heading 5"/>
    <w:basedOn w:val="Heading4"/>
    <w:next w:val="BodyText"/>
    <w:link w:val="Heading5Char"/>
    <w:qFormat/>
    <w:rsid w:val="00C06E67"/>
    <w:pPr>
      <w:outlineLvl w:val="4"/>
    </w:pPr>
    <w:rPr>
      <w:i/>
      <w:sz w:val="22"/>
    </w:rPr>
  </w:style>
  <w:style w:type="paragraph" w:styleId="Heading6">
    <w:name w:val="heading 6"/>
    <w:basedOn w:val="BodyText"/>
    <w:next w:val="BodyText"/>
    <w:link w:val="Heading6Char"/>
    <w:semiHidden/>
    <w:rsid w:val="00C06E67"/>
    <w:pPr>
      <w:spacing w:after="60"/>
      <w:jc w:val="left"/>
      <w:outlineLvl w:val="5"/>
    </w:pPr>
    <w:rPr>
      <w:i/>
      <w:sz w:val="22"/>
    </w:rPr>
  </w:style>
  <w:style w:type="paragraph" w:styleId="Heading7">
    <w:name w:val="heading 7"/>
    <w:basedOn w:val="BodyText"/>
    <w:next w:val="BodyText"/>
    <w:link w:val="Heading7Char"/>
    <w:semiHidden/>
    <w:rsid w:val="00C06E67"/>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C06E67"/>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C06E6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06E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E67"/>
  </w:style>
  <w:style w:type="paragraph" w:styleId="BodyText">
    <w:name w:val="Body Text"/>
    <w:link w:val="BodyTextChar"/>
    <w:qFormat/>
    <w:rsid w:val="00C06E67"/>
    <w:pPr>
      <w:spacing w:before="240" w:line="300" w:lineRule="atLeast"/>
      <w:jc w:val="both"/>
    </w:pPr>
    <w:rPr>
      <w:sz w:val="24"/>
    </w:rPr>
  </w:style>
  <w:style w:type="paragraph" w:styleId="Footer">
    <w:name w:val="footer"/>
    <w:basedOn w:val="BodyText"/>
    <w:link w:val="FooterChar"/>
    <w:rsid w:val="00C06E67"/>
    <w:pPr>
      <w:spacing w:before="80" w:line="200" w:lineRule="exact"/>
      <w:ind w:right="6"/>
      <w:jc w:val="left"/>
    </w:pPr>
    <w:rPr>
      <w:rFonts w:ascii="Arial" w:hAnsi="Arial"/>
      <w:caps/>
      <w:spacing w:val="-4"/>
      <w:sz w:val="16"/>
    </w:rPr>
  </w:style>
  <w:style w:type="paragraph" w:customStyle="1" w:styleId="FooterEnd">
    <w:name w:val="Footer End"/>
    <w:basedOn w:val="Footer"/>
    <w:rsid w:val="00C06E67"/>
    <w:pPr>
      <w:spacing w:before="0" w:line="20" w:lineRule="exact"/>
    </w:pPr>
  </w:style>
  <w:style w:type="paragraph" w:styleId="Header">
    <w:name w:val="header"/>
    <w:basedOn w:val="BodyText"/>
    <w:link w:val="HeaderChar"/>
    <w:rsid w:val="00C06E6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06E67"/>
    <w:pPr>
      <w:spacing w:line="20" w:lineRule="exact"/>
    </w:pPr>
    <w:rPr>
      <w:sz w:val="16"/>
    </w:rPr>
  </w:style>
  <w:style w:type="paragraph" w:customStyle="1" w:styleId="HeaderEven">
    <w:name w:val="Header Even"/>
    <w:basedOn w:val="Header"/>
    <w:rsid w:val="00C06E67"/>
  </w:style>
  <w:style w:type="paragraph" w:customStyle="1" w:styleId="HeaderOdd">
    <w:name w:val="Header Odd"/>
    <w:basedOn w:val="Header"/>
    <w:semiHidden/>
    <w:rsid w:val="00C06E67"/>
  </w:style>
  <w:style w:type="character" w:styleId="PageNumber">
    <w:name w:val="page number"/>
    <w:basedOn w:val="DefaultParagraphFont"/>
    <w:rsid w:val="00C06E67"/>
    <w:rPr>
      <w:rFonts w:ascii="Arial" w:hAnsi="Arial"/>
      <w:b/>
      <w:sz w:val="16"/>
    </w:rPr>
  </w:style>
  <w:style w:type="paragraph" w:customStyle="1" w:styleId="Abbreviation">
    <w:name w:val="Abbreviation"/>
    <w:basedOn w:val="BodyText"/>
    <w:rsid w:val="00C06E67"/>
    <w:pPr>
      <w:spacing w:before="120"/>
      <w:ind w:left="2381" w:hanging="2381"/>
      <w:jc w:val="left"/>
    </w:pPr>
  </w:style>
  <w:style w:type="paragraph" w:customStyle="1" w:styleId="Box">
    <w:name w:val="Box"/>
    <w:basedOn w:val="BodyText"/>
    <w:link w:val="BoxChar"/>
    <w:qFormat/>
    <w:rsid w:val="00C06E67"/>
    <w:pPr>
      <w:keepNext/>
      <w:spacing w:before="120" w:line="260" w:lineRule="atLeast"/>
    </w:pPr>
    <w:rPr>
      <w:rFonts w:ascii="Arial" w:hAnsi="Arial"/>
      <w:sz w:val="20"/>
    </w:rPr>
  </w:style>
  <w:style w:type="paragraph" w:customStyle="1" w:styleId="BoxContinued">
    <w:name w:val="Box Continued"/>
    <w:basedOn w:val="BodyText"/>
    <w:next w:val="BodyText"/>
    <w:semiHidden/>
    <w:rsid w:val="00C06E67"/>
    <w:pPr>
      <w:spacing w:before="180" w:line="220" w:lineRule="exact"/>
      <w:jc w:val="right"/>
    </w:pPr>
    <w:rPr>
      <w:rFonts w:ascii="Arial" w:hAnsi="Arial"/>
      <w:sz w:val="18"/>
    </w:rPr>
  </w:style>
  <w:style w:type="paragraph" w:customStyle="1" w:styleId="BoxHeading1">
    <w:name w:val="Box Heading 1"/>
    <w:basedOn w:val="BodyText"/>
    <w:next w:val="Box"/>
    <w:rsid w:val="00C06E67"/>
    <w:pPr>
      <w:keepNext/>
      <w:spacing w:before="200" w:line="280" w:lineRule="atLeast"/>
    </w:pPr>
    <w:rPr>
      <w:rFonts w:ascii="Arial" w:hAnsi="Arial"/>
      <w:b/>
      <w:sz w:val="22"/>
    </w:rPr>
  </w:style>
  <w:style w:type="paragraph" w:customStyle="1" w:styleId="BoxHeading2">
    <w:name w:val="Box Heading 2"/>
    <w:basedOn w:val="BoxHeading1"/>
    <w:next w:val="Normal"/>
    <w:rsid w:val="00C06E67"/>
    <w:rPr>
      <w:b w:val="0"/>
      <w:i/>
    </w:rPr>
  </w:style>
  <w:style w:type="paragraph" w:customStyle="1" w:styleId="BoxListBullet">
    <w:name w:val="Box List Bullet"/>
    <w:basedOn w:val="BodyText"/>
    <w:link w:val="BoxListBulletChar"/>
    <w:rsid w:val="00C06E6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C06E67"/>
    <w:pPr>
      <w:numPr>
        <w:numId w:val="13"/>
      </w:numPr>
      <w:ind w:left="568" w:hanging="284"/>
    </w:pPr>
  </w:style>
  <w:style w:type="paragraph" w:customStyle="1" w:styleId="BoxListNumber">
    <w:name w:val="Box List Number"/>
    <w:basedOn w:val="BodyText"/>
    <w:rsid w:val="00C06E6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C06E67"/>
    <w:pPr>
      <w:numPr>
        <w:ilvl w:val="1"/>
      </w:numPr>
      <w:ind w:left="681" w:hanging="397"/>
    </w:pPr>
  </w:style>
  <w:style w:type="paragraph" w:customStyle="1" w:styleId="BoxQuote">
    <w:name w:val="Box Quote"/>
    <w:basedOn w:val="BodyText"/>
    <w:next w:val="Box"/>
    <w:qFormat/>
    <w:rsid w:val="00C06E67"/>
    <w:pPr>
      <w:keepNext/>
      <w:spacing w:before="60" w:line="240" w:lineRule="exact"/>
      <w:ind w:left="284"/>
    </w:pPr>
    <w:rPr>
      <w:rFonts w:ascii="Arial" w:hAnsi="Arial"/>
      <w:sz w:val="18"/>
    </w:rPr>
  </w:style>
  <w:style w:type="paragraph" w:customStyle="1" w:styleId="Note">
    <w:name w:val="Note"/>
    <w:basedOn w:val="BodyText"/>
    <w:next w:val="BodyText"/>
    <w:rsid w:val="00C06E67"/>
    <w:pPr>
      <w:keepLines/>
      <w:spacing w:before="80" w:line="220" w:lineRule="exact"/>
    </w:pPr>
    <w:rPr>
      <w:rFonts w:ascii="Arial" w:hAnsi="Arial"/>
      <w:sz w:val="18"/>
    </w:rPr>
  </w:style>
  <w:style w:type="paragraph" w:customStyle="1" w:styleId="Source">
    <w:name w:val="Source"/>
    <w:basedOn w:val="Normal"/>
    <w:next w:val="BodyText"/>
    <w:rsid w:val="00C06E67"/>
    <w:pPr>
      <w:keepLines/>
      <w:spacing w:before="80" w:line="220" w:lineRule="exact"/>
      <w:jc w:val="both"/>
    </w:pPr>
    <w:rPr>
      <w:rFonts w:ascii="Arial" w:hAnsi="Arial"/>
      <w:sz w:val="18"/>
      <w:szCs w:val="20"/>
    </w:rPr>
  </w:style>
  <w:style w:type="paragraph" w:customStyle="1" w:styleId="BoxSource">
    <w:name w:val="Box Source"/>
    <w:basedOn w:val="Source"/>
    <w:next w:val="BodyText"/>
    <w:rsid w:val="00C06E67"/>
    <w:pPr>
      <w:spacing w:before="120"/>
    </w:pPr>
  </w:style>
  <w:style w:type="paragraph" w:customStyle="1" w:styleId="BoxSpaceAbove">
    <w:name w:val="Box Space Above"/>
    <w:basedOn w:val="BodyText"/>
    <w:rsid w:val="00C06E67"/>
    <w:pPr>
      <w:keepNext/>
      <w:spacing w:before="360" w:line="80" w:lineRule="exact"/>
      <w:jc w:val="left"/>
    </w:pPr>
  </w:style>
  <w:style w:type="paragraph" w:styleId="Caption">
    <w:name w:val="caption"/>
    <w:basedOn w:val="Normal"/>
    <w:next w:val="BodyText"/>
    <w:rsid w:val="00C06E6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06E67"/>
    <w:pPr>
      <w:spacing w:before="120" w:after="0"/>
    </w:pPr>
  </w:style>
  <w:style w:type="paragraph" w:customStyle="1" w:styleId="BoxSubtitle">
    <w:name w:val="Box Subtitle"/>
    <w:basedOn w:val="BoxTitle"/>
    <w:next w:val="Normal"/>
    <w:rsid w:val="00C06E67"/>
    <w:pPr>
      <w:spacing w:after="80" w:line="200" w:lineRule="exact"/>
      <w:ind w:firstLine="0"/>
    </w:pPr>
    <w:rPr>
      <w:b w:val="0"/>
      <w:sz w:val="20"/>
    </w:rPr>
  </w:style>
  <w:style w:type="paragraph" w:customStyle="1" w:styleId="Chapter">
    <w:name w:val="Chapter"/>
    <w:basedOn w:val="Heading1"/>
    <w:next w:val="BodyText"/>
    <w:semiHidden/>
    <w:rsid w:val="00C06E67"/>
    <w:pPr>
      <w:ind w:left="0" w:firstLine="0"/>
      <w:outlineLvl w:val="9"/>
    </w:pPr>
  </w:style>
  <w:style w:type="paragraph" w:customStyle="1" w:styleId="ChapterSummary">
    <w:name w:val="Chapter Summary"/>
    <w:basedOn w:val="BodyText"/>
    <w:rsid w:val="00C06E67"/>
    <w:pPr>
      <w:spacing w:line="280" w:lineRule="atLeast"/>
      <w:ind w:left="907"/>
    </w:pPr>
    <w:rPr>
      <w:rFonts w:ascii="Arial" w:hAnsi="Arial"/>
      <w:b/>
      <w:sz w:val="20"/>
    </w:rPr>
  </w:style>
  <w:style w:type="character" w:styleId="CommentReference">
    <w:name w:val="annotation reference"/>
    <w:basedOn w:val="DefaultParagraphFont"/>
    <w:semiHidden/>
    <w:rsid w:val="00C06E67"/>
    <w:rPr>
      <w:b/>
      <w:vanish/>
      <w:color w:val="FF00FF"/>
      <w:sz w:val="20"/>
    </w:rPr>
  </w:style>
  <w:style w:type="paragraph" w:styleId="CommentText">
    <w:name w:val="annotation text"/>
    <w:basedOn w:val="Normal"/>
    <w:link w:val="CommentTextChar"/>
    <w:semiHidden/>
    <w:rsid w:val="00C06E67"/>
    <w:pPr>
      <w:spacing w:before="120" w:line="240" w:lineRule="atLeast"/>
      <w:ind w:left="567" w:hanging="567"/>
    </w:pPr>
    <w:rPr>
      <w:sz w:val="20"/>
    </w:rPr>
  </w:style>
  <w:style w:type="paragraph" w:customStyle="1" w:styleId="Continued">
    <w:name w:val="Continued"/>
    <w:basedOn w:val="BoxContinued"/>
    <w:next w:val="BodyText"/>
    <w:rsid w:val="00C06E67"/>
  </w:style>
  <w:style w:type="character" w:customStyle="1" w:styleId="DocumentInfo">
    <w:name w:val="Document Info"/>
    <w:basedOn w:val="DefaultParagraphFont"/>
    <w:semiHidden/>
    <w:rsid w:val="00C06E67"/>
    <w:rPr>
      <w:rFonts w:ascii="Arial" w:hAnsi="Arial"/>
      <w:sz w:val="14"/>
    </w:rPr>
  </w:style>
  <w:style w:type="character" w:customStyle="1" w:styleId="DraftingNote">
    <w:name w:val="Drafting Note"/>
    <w:basedOn w:val="DefaultParagraphFont"/>
    <w:rsid w:val="00C06E67"/>
    <w:rPr>
      <w:b/>
      <w:color w:val="FF0000"/>
      <w:sz w:val="24"/>
      <w:u w:val="dotted"/>
    </w:rPr>
  </w:style>
  <w:style w:type="paragraph" w:customStyle="1" w:styleId="Figure">
    <w:name w:val="Figure"/>
    <w:basedOn w:val="BodyText"/>
    <w:rsid w:val="00C06E67"/>
    <w:pPr>
      <w:keepNext/>
      <w:spacing w:before="120" w:after="120" w:line="240" w:lineRule="atLeast"/>
      <w:jc w:val="center"/>
    </w:pPr>
  </w:style>
  <w:style w:type="paragraph" w:customStyle="1" w:styleId="FigureTitle">
    <w:name w:val="Figure Title"/>
    <w:basedOn w:val="Caption"/>
    <w:next w:val="Subtitle"/>
    <w:rsid w:val="00C06E67"/>
    <w:pPr>
      <w:spacing w:before="120"/>
    </w:pPr>
  </w:style>
  <w:style w:type="paragraph" w:styleId="Subtitle">
    <w:name w:val="Subtitle"/>
    <w:basedOn w:val="Caption"/>
    <w:link w:val="SubtitleChar"/>
    <w:qFormat/>
    <w:rsid w:val="00C06E67"/>
    <w:pPr>
      <w:spacing w:before="0" w:line="200" w:lineRule="exact"/>
      <w:ind w:firstLine="0"/>
    </w:pPr>
    <w:rPr>
      <w:b w:val="0"/>
      <w:sz w:val="20"/>
    </w:rPr>
  </w:style>
  <w:style w:type="paragraph" w:customStyle="1" w:styleId="Finding">
    <w:name w:val="Finding"/>
    <w:basedOn w:val="BodyText"/>
    <w:rsid w:val="00C06E67"/>
    <w:pPr>
      <w:keepLines/>
      <w:spacing w:before="120" w:line="280" w:lineRule="atLeast"/>
    </w:pPr>
    <w:rPr>
      <w:rFonts w:ascii="Arial" w:hAnsi="Arial"/>
      <w:sz w:val="22"/>
    </w:rPr>
  </w:style>
  <w:style w:type="paragraph" w:customStyle="1" w:styleId="FindingBullet">
    <w:name w:val="Finding Bullet"/>
    <w:basedOn w:val="Finding"/>
    <w:rsid w:val="00C06E67"/>
    <w:pPr>
      <w:numPr>
        <w:numId w:val="15"/>
      </w:numPr>
      <w:spacing w:before="80"/>
    </w:pPr>
  </w:style>
  <w:style w:type="paragraph" w:customStyle="1" w:styleId="FindingNoTitle">
    <w:name w:val="Finding NoTitle"/>
    <w:basedOn w:val="Finding"/>
    <w:semiHidden/>
    <w:rsid w:val="00C06E67"/>
    <w:pPr>
      <w:spacing w:before="240"/>
    </w:pPr>
  </w:style>
  <w:style w:type="paragraph" w:customStyle="1" w:styleId="RecTitle">
    <w:name w:val="Rec Title"/>
    <w:basedOn w:val="BodyText"/>
    <w:next w:val="Rec"/>
    <w:qFormat/>
    <w:rsid w:val="00C06E67"/>
    <w:pPr>
      <w:keepNext/>
      <w:keepLines/>
      <w:spacing w:line="280" w:lineRule="atLeast"/>
    </w:pPr>
    <w:rPr>
      <w:rFonts w:ascii="Arial" w:hAnsi="Arial"/>
      <w:caps/>
      <w:sz w:val="18"/>
    </w:rPr>
  </w:style>
  <w:style w:type="paragraph" w:customStyle="1" w:styleId="FindingTitle">
    <w:name w:val="Finding Title"/>
    <w:basedOn w:val="RecTitle"/>
    <w:next w:val="Finding"/>
    <w:rsid w:val="00C06E67"/>
  </w:style>
  <w:style w:type="character" w:styleId="FootnoteReference">
    <w:name w:val="footnote reference"/>
    <w:basedOn w:val="DefaultParagraphFont"/>
    <w:rsid w:val="00C06E67"/>
    <w:rPr>
      <w:rFonts w:ascii="Times New Roman" w:hAnsi="Times New Roman"/>
      <w:position w:val="6"/>
      <w:sz w:val="20"/>
      <w:vertAlign w:val="baseline"/>
    </w:rPr>
  </w:style>
  <w:style w:type="paragraph" w:styleId="FootnoteText">
    <w:name w:val="footnote text"/>
    <w:basedOn w:val="BodyText"/>
    <w:link w:val="FootnoteTextChar"/>
    <w:rsid w:val="00C06E6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C06E67"/>
    <w:rPr>
      <w:i/>
    </w:rPr>
  </w:style>
  <w:style w:type="paragraph" w:customStyle="1" w:styleId="Jurisdictioncommentsbodytext">
    <w:name w:val="Jurisdiction comments body text"/>
    <w:rsid w:val="00C06E67"/>
    <w:pPr>
      <w:spacing w:after="140"/>
      <w:jc w:val="both"/>
    </w:pPr>
    <w:rPr>
      <w:rFonts w:ascii="Arial" w:hAnsi="Arial"/>
      <w:sz w:val="24"/>
      <w:lang w:eastAsia="en-US"/>
    </w:rPr>
  </w:style>
  <w:style w:type="paragraph" w:customStyle="1" w:styleId="Jurisdictioncommentsheading">
    <w:name w:val="Jurisdiction comments heading"/>
    <w:rsid w:val="00C06E6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06E67"/>
    <w:pPr>
      <w:numPr>
        <w:numId w:val="2"/>
      </w:numPr>
      <w:spacing w:after="140"/>
      <w:jc w:val="both"/>
    </w:pPr>
    <w:rPr>
      <w:rFonts w:ascii="Arial" w:hAnsi="Arial"/>
      <w:sz w:val="24"/>
      <w:lang w:eastAsia="en-US"/>
    </w:rPr>
  </w:style>
  <w:style w:type="paragraph" w:styleId="ListBullet">
    <w:name w:val="List Bullet"/>
    <w:basedOn w:val="BodyText"/>
    <w:rsid w:val="00C06E67"/>
    <w:pPr>
      <w:numPr>
        <w:numId w:val="3"/>
      </w:numPr>
      <w:spacing w:before="120"/>
    </w:pPr>
  </w:style>
  <w:style w:type="paragraph" w:styleId="ListBullet2">
    <w:name w:val="List Bullet 2"/>
    <w:basedOn w:val="BodyText"/>
    <w:rsid w:val="00C06E67"/>
    <w:pPr>
      <w:numPr>
        <w:numId w:val="4"/>
      </w:numPr>
      <w:spacing w:before="120"/>
    </w:pPr>
  </w:style>
  <w:style w:type="paragraph" w:styleId="ListBullet3">
    <w:name w:val="List Bullet 3"/>
    <w:basedOn w:val="BodyText"/>
    <w:rsid w:val="00C06E67"/>
    <w:pPr>
      <w:numPr>
        <w:numId w:val="5"/>
      </w:numPr>
      <w:spacing w:before="120"/>
      <w:ind w:left="1020" w:hanging="340"/>
    </w:pPr>
  </w:style>
  <w:style w:type="paragraph" w:styleId="ListNumber">
    <w:name w:val="List Number"/>
    <w:basedOn w:val="BodyText"/>
    <w:rsid w:val="00C06E67"/>
    <w:pPr>
      <w:numPr>
        <w:numId w:val="9"/>
      </w:numPr>
      <w:spacing w:before="120"/>
    </w:pPr>
  </w:style>
  <w:style w:type="paragraph" w:styleId="ListNumber2">
    <w:name w:val="List Number 2"/>
    <w:basedOn w:val="ListNumber"/>
    <w:rsid w:val="00C06E67"/>
    <w:pPr>
      <w:numPr>
        <w:ilvl w:val="1"/>
      </w:numPr>
    </w:pPr>
  </w:style>
  <w:style w:type="paragraph" w:styleId="ListNumber3">
    <w:name w:val="List Number 3"/>
    <w:basedOn w:val="ListNumber2"/>
    <w:rsid w:val="00C06E67"/>
    <w:pPr>
      <w:numPr>
        <w:ilvl w:val="2"/>
      </w:numPr>
    </w:pPr>
  </w:style>
  <w:style w:type="character" w:customStyle="1" w:styleId="NoteLabel">
    <w:name w:val="Note Label"/>
    <w:basedOn w:val="DefaultParagraphFont"/>
    <w:rsid w:val="00C06E67"/>
    <w:rPr>
      <w:rFonts w:ascii="Arial" w:hAnsi="Arial"/>
      <w:b/>
      <w:position w:val="6"/>
      <w:sz w:val="18"/>
    </w:rPr>
  </w:style>
  <w:style w:type="paragraph" w:customStyle="1" w:styleId="PartDivider">
    <w:name w:val="Part Divider"/>
    <w:basedOn w:val="BodyText"/>
    <w:next w:val="BodyText"/>
    <w:semiHidden/>
    <w:rsid w:val="00C06E67"/>
    <w:pPr>
      <w:spacing w:before="0" w:line="40" w:lineRule="exact"/>
      <w:jc w:val="right"/>
    </w:pPr>
    <w:rPr>
      <w:smallCaps/>
      <w:sz w:val="16"/>
    </w:rPr>
  </w:style>
  <w:style w:type="paragraph" w:customStyle="1" w:styleId="PartNumber">
    <w:name w:val="Part Number"/>
    <w:basedOn w:val="BodyText"/>
    <w:next w:val="BodyText"/>
    <w:semiHidden/>
    <w:rsid w:val="00C06E67"/>
    <w:pPr>
      <w:spacing w:before="4000" w:line="320" w:lineRule="exact"/>
      <w:ind w:left="6634"/>
      <w:jc w:val="right"/>
    </w:pPr>
    <w:rPr>
      <w:smallCaps/>
      <w:spacing w:val="60"/>
      <w:sz w:val="32"/>
    </w:rPr>
  </w:style>
  <w:style w:type="paragraph" w:customStyle="1" w:styleId="PartTitle">
    <w:name w:val="Part Title"/>
    <w:basedOn w:val="BodyText"/>
    <w:semiHidden/>
    <w:rsid w:val="00C06E67"/>
    <w:pPr>
      <w:spacing w:before="160" w:after="1360" w:line="520" w:lineRule="exact"/>
      <w:ind w:right="2381"/>
      <w:jc w:val="right"/>
    </w:pPr>
    <w:rPr>
      <w:smallCaps/>
      <w:sz w:val="52"/>
    </w:rPr>
  </w:style>
  <w:style w:type="paragraph" w:styleId="Quote">
    <w:name w:val="Quote"/>
    <w:basedOn w:val="BodyText"/>
    <w:next w:val="BodyText"/>
    <w:link w:val="QuoteChar"/>
    <w:qFormat/>
    <w:rsid w:val="00C06E67"/>
    <w:pPr>
      <w:spacing w:before="120" w:line="280" w:lineRule="exact"/>
      <w:ind w:left="340"/>
    </w:pPr>
    <w:rPr>
      <w:sz w:val="22"/>
    </w:rPr>
  </w:style>
  <w:style w:type="paragraph" w:customStyle="1" w:styleId="QuoteBullet">
    <w:name w:val="Quote Bullet"/>
    <w:basedOn w:val="Quote"/>
    <w:rsid w:val="00C06E67"/>
    <w:pPr>
      <w:numPr>
        <w:numId w:val="6"/>
      </w:numPr>
    </w:pPr>
  </w:style>
  <w:style w:type="paragraph" w:customStyle="1" w:styleId="Rec">
    <w:name w:val="Rec"/>
    <w:basedOn w:val="BodyText"/>
    <w:qFormat/>
    <w:rsid w:val="00C06E67"/>
    <w:pPr>
      <w:keepLines/>
      <w:spacing w:before="120" w:line="280" w:lineRule="atLeast"/>
    </w:pPr>
    <w:rPr>
      <w:rFonts w:ascii="Arial" w:hAnsi="Arial"/>
      <w:sz w:val="22"/>
    </w:rPr>
  </w:style>
  <w:style w:type="paragraph" w:customStyle="1" w:styleId="RecBullet">
    <w:name w:val="Rec Bullet"/>
    <w:basedOn w:val="Rec"/>
    <w:rsid w:val="00C06E67"/>
    <w:pPr>
      <w:numPr>
        <w:numId w:val="17"/>
      </w:numPr>
      <w:spacing w:before="80"/>
    </w:pPr>
  </w:style>
  <w:style w:type="paragraph" w:customStyle="1" w:styleId="RecB">
    <w:name w:val="RecB"/>
    <w:basedOn w:val="Normal"/>
    <w:rsid w:val="00C06E67"/>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06E67"/>
    <w:pPr>
      <w:numPr>
        <w:numId w:val="11"/>
      </w:numPr>
      <w:spacing w:before="80"/>
    </w:pPr>
  </w:style>
  <w:style w:type="paragraph" w:customStyle="1" w:styleId="RecBNoTitle">
    <w:name w:val="RecB NoTitle"/>
    <w:basedOn w:val="RecB"/>
    <w:semiHidden/>
    <w:rsid w:val="00C06E67"/>
    <w:pPr>
      <w:spacing w:before="240"/>
    </w:pPr>
  </w:style>
  <w:style w:type="paragraph" w:customStyle="1" w:styleId="Reference">
    <w:name w:val="Reference"/>
    <w:basedOn w:val="BodyText"/>
    <w:rsid w:val="00C06E67"/>
    <w:pPr>
      <w:spacing w:before="120"/>
      <w:ind w:left="340" w:hanging="340"/>
    </w:pPr>
  </w:style>
  <w:style w:type="paragraph" w:customStyle="1" w:styleId="SequenceInfo">
    <w:name w:val="Sequence Info"/>
    <w:basedOn w:val="BodyText"/>
    <w:semiHidden/>
    <w:rsid w:val="00C06E67"/>
    <w:rPr>
      <w:vanish/>
      <w:sz w:val="16"/>
    </w:rPr>
  </w:style>
  <w:style w:type="paragraph" w:customStyle="1" w:styleId="SideNote">
    <w:name w:val="Side Note"/>
    <w:basedOn w:val="BodyText"/>
    <w:next w:val="BodyText"/>
    <w:semiHidden/>
    <w:rsid w:val="00C06E6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06E67"/>
    <w:pPr>
      <w:framePr w:wrap="around"/>
      <w:numPr>
        <w:numId w:val="7"/>
      </w:numPr>
      <w:tabs>
        <w:tab w:val="left" w:pos="227"/>
      </w:tabs>
    </w:pPr>
  </w:style>
  <w:style w:type="paragraph" w:customStyle="1" w:styleId="SideNoteGraphic">
    <w:name w:val="Side Note Graphic"/>
    <w:basedOn w:val="SideNote"/>
    <w:next w:val="BodyText"/>
    <w:semiHidden/>
    <w:rsid w:val="00C06E67"/>
    <w:pPr>
      <w:framePr w:wrap="around"/>
    </w:pPr>
  </w:style>
  <w:style w:type="paragraph" w:customStyle="1" w:styleId="TableBodyText">
    <w:name w:val="Table Body Text"/>
    <w:basedOn w:val="BodyText"/>
    <w:rsid w:val="00C06E6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06E67"/>
    <w:pPr>
      <w:numPr>
        <w:numId w:val="8"/>
      </w:numPr>
      <w:jc w:val="left"/>
    </w:pPr>
  </w:style>
  <w:style w:type="paragraph" w:customStyle="1" w:styleId="TableColumnHeading">
    <w:name w:val="Table Column Heading"/>
    <w:basedOn w:val="TableBodyText"/>
    <w:rsid w:val="00C06E67"/>
    <w:pPr>
      <w:spacing w:before="80" w:after="80"/>
    </w:pPr>
    <w:rPr>
      <w:i/>
    </w:rPr>
  </w:style>
  <w:style w:type="paragraph" w:styleId="TOC2">
    <w:name w:val="toc 2"/>
    <w:basedOn w:val="TOC1"/>
    <w:rsid w:val="00C06E67"/>
    <w:pPr>
      <w:ind w:left="1134" w:hanging="624"/>
    </w:pPr>
    <w:rPr>
      <w:b w:val="0"/>
    </w:rPr>
  </w:style>
  <w:style w:type="paragraph" w:styleId="TOC3">
    <w:name w:val="toc 3"/>
    <w:basedOn w:val="TOC2"/>
    <w:rsid w:val="00C06E67"/>
    <w:pPr>
      <w:spacing w:before="60"/>
      <w:ind w:left="1190" w:hanging="680"/>
    </w:pPr>
  </w:style>
  <w:style w:type="paragraph" w:styleId="TableofFigures">
    <w:name w:val="table of figures"/>
    <w:basedOn w:val="TOC3"/>
    <w:next w:val="BodyText"/>
    <w:semiHidden/>
    <w:rsid w:val="00C06E67"/>
    <w:pPr>
      <w:ind w:left="737" w:hanging="737"/>
    </w:pPr>
  </w:style>
  <w:style w:type="paragraph" w:customStyle="1" w:styleId="TableTitle">
    <w:name w:val="Table Title"/>
    <w:basedOn w:val="Caption"/>
    <w:next w:val="Subtitle"/>
    <w:qFormat/>
    <w:rsid w:val="00C06E67"/>
    <w:pPr>
      <w:spacing w:before="120"/>
    </w:pPr>
  </w:style>
  <w:style w:type="paragraph" w:customStyle="1" w:styleId="TableUnitsRow">
    <w:name w:val="Table Units Row"/>
    <w:basedOn w:val="TableBodyText"/>
    <w:rsid w:val="00C06E67"/>
    <w:pPr>
      <w:spacing w:before="40"/>
    </w:pPr>
  </w:style>
  <w:style w:type="paragraph" w:styleId="TOC1">
    <w:name w:val="toc 1"/>
    <w:basedOn w:val="Normal"/>
    <w:next w:val="TOC2"/>
    <w:link w:val="TOC1Char"/>
    <w:rsid w:val="00C06E6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06E67"/>
    <w:pPr>
      <w:ind w:left="1191" w:firstLine="0"/>
    </w:pPr>
  </w:style>
  <w:style w:type="paragraph" w:customStyle="1" w:styleId="RecBBullet2">
    <w:name w:val="RecB Bullet 2"/>
    <w:basedOn w:val="ListBullet2"/>
    <w:semiHidden/>
    <w:rsid w:val="00C06E67"/>
    <w:pPr>
      <w:pBdr>
        <w:left w:val="single" w:sz="24" w:space="29" w:color="C0C0C0"/>
      </w:pBdr>
    </w:pPr>
    <w:rPr>
      <w:b/>
      <w:i/>
    </w:rPr>
  </w:style>
  <w:style w:type="paragraph" w:styleId="BalloonText">
    <w:name w:val="Balloon Text"/>
    <w:basedOn w:val="Normal"/>
    <w:link w:val="BalloonTextChar"/>
    <w:rsid w:val="00C06E67"/>
    <w:rPr>
      <w:rFonts w:ascii="Tahoma" w:hAnsi="Tahoma" w:cs="Tahoma"/>
      <w:sz w:val="16"/>
      <w:szCs w:val="16"/>
    </w:rPr>
  </w:style>
  <w:style w:type="character" w:customStyle="1" w:styleId="BalloonTextChar">
    <w:name w:val="Balloon Text Char"/>
    <w:basedOn w:val="DefaultParagraphFont"/>
    <w:link w:val="BalloonText"/>
    <w:rsid w:val="00C06E67"/>
    <w:rPr>
      <w:rFonts w:ascii="Tahoma" w:hAnsi="Tahoma" w:cs="Tahoma"/>
      <w:sz w:val="16"/>
      <w:szCs w:val="16"/>
    </w:rPr>
  </w:style>
  <w:style w:type="character" w:customStyle="1" w:styleId="SubtitleChar">
    <w:name w:val="Subtitle Char"/>
    <w:basedOn w:val="DefaultParagraphFont"/>
    <w:link w:val="Subtitle"/>
    <w:rsid w:val="00C06E67"/>
    <w:rPr>
      <w:rFonts w:ascii="Arial" w:hAnsi="Arial"/>
      <w:szCs w:val="24"/>
    </w:rPr>
  </w:style>
  <w:style w:type="paragraph" w:customStyle="1" w:styleId="BoxListBullet3">
    <w:name w:val="Box List Bullet 3"/>
    <w:basedOn w:val="ListBullet3"/>
    <w:rsid w:val="00C06E6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06E67"/>
    <w:rPr>
      <w:i/>
      <w:iCs/>
    </w:rPr>
  </w:style>
  <w:style w:type="paragraph" w:customStyle="1" w:styleId="BoxQuoteBullet">
    <w:name w:val="Box Quote Bullet"/>
    <w:basedOn w:val="BoxQuote"/>
    <w:next w:val="Box"/>
    <w:rsid w:val="00C06E67"/>
    <w:pPr>
      <w:numPr>
        <w:numId w:val="12"/>
      </w:numPr>
      <w:ind w:left="568" w:hanging="284"/>
    </w:pPr>
  </w:style>
  <w:style w:type="paragraph" w:customStyle="1" w:styleId="InformationRequestBullet">
    <w:name w:val="Information Request Bullet"/>
    <w:basedOn w:val="ListBullet"/>
    <w:next w:val="BodyText"/>
    <w:rsid w:val="00C06E6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06E67"/>
    <w:pPr>
      <w:keepNext w:val="0"/>
      <w:spacing w:before="60" w:after="60" w:line="80" w:lineRule="exact"/>
    </w:pPr>
    <w:rPr>
      <w:sz w:val="14"/>
    </w:rPr>
  </w:style>
  <w:style w:type="paragraph" w:customStyle="1" w:styleId="KeyPointsListBullet">
    <w:name w:val="Key Points List Bullet"/>
    <w:basedOn w:val="Normal"/>
    <w:qFormat/>
    <w:rsid w:val="00C06E6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06E67"/>
    <w:pPr>
      <w:numPr>
        <w:numId w:val="19"/>
      </w:numPr>
      <w:ind w:left="568" w:hanging="284"/>
    </w:pPr>
  </w:style>
  <w:style w:type="paragraph" w:customStyle="1" w:styleId="InformationRequestTitle">
    <w:name w:val="Information Request Title"/>
    <w:basedOn w:val="FindingTitle"/>
    <w:next w:val="InformationRequest"/>
    <w:rsid w:val="00C06E67"/>
    <w:rPr>
      <w:i/>
    </w:rPr>
  </w:style>
  <w:style w:type="paragraph" w:customStyle="1" w:styleId="Space">
    <w:name w:val="Space"/>
    <w:basedOn w:val="Normal"/>
    <w:rsid w:val="00C06E67"/>
    <w:pPr>
      <w:keepNext/>
      <w:spacing w:line="120" w:lineRule="exact"/>
      <w:jc w:val="both"/>
    </w:pPr>
    <w:rPr>
      <w:rFonts w:ascii="Arial" w:hAnsi="Arial"/>
      <w:sz w:val="20"/>
      <w:szCs w:val="20"/>
    </w:rPr>
  </w:style>
  <w:style w:type="paragraph" w:customStyle="1" w:styleId="Heading1nochapterno">
    <w:name w:val="Heading 1 (no chapter no.)"/>
    <w:basedOn w:val="Heading1"/>
    <w:rsid w:val="00C06E67"/>
    <w:pPr>
      <w:spacing w:before="0"/>
      <w:ind w:left="0" w:firstLine="0"/>
    </w:pPr>
  </w:style>
  <w:style w:type="paragraph" w:customStyle="1" w:styleId="Heading2nosectionno">
    <w:name w:val="Heading 2 (no section no.)"/>
    <w:basedOn w:val="Heading2"/>
    <w:rsid w:val="00C06E67"/>
    <w:pPr>
      <w:ind w:left="0" w:firstLine="0"/>
    </w:pPr>
  </w:style>
  <w:style w:type="character" w:customStyle="1" w:styleId="Heading5Char">
    <w:name w:val="Heading 5 Char"/>
    <w:basedOn w:val="DefaultParagraphFont"/>
    <w:link w:val="Heading5"/>
    <w:rsid w:val="00C06E67"/>
    <w:rPr>
      <w:rFonts w:ascii="Arial" w:hAnsi="Arial"/>
      <w:i/>
      <w:sz w:val="22"/>
    </w:rPr>
  </w:style>
  <w:style w:type="paragraph" w:customStyle="1" w:styleId="Figurespace">
    <w:name w:val="Figure space"/>
    <w:basedOn w:val="Box"/>
    <w:rsid w:val="00C06E67"/>
    <w:pPr>
      <w:spacing w:before="0" w:line="120" w:lineRule="exact"/>
    </w:pPr>
  </w:style>
  <w:style w:type="paragraph" w:customStyle="1" w:styleId="FooterDraftReport">
    <w:name w:val="FooterDraftReport"/>
    <w:basedOn w:val="Footer"/>
    <w:link w:val="FooterDraftReportChar"/>
    <w:rsid w:val="00C06E6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C06E67"/>
    <w:rPr>
      <w:sz w:val="24"/>
    </w:rPr>
  </w:style>
  <w:style w:type="character" w:customStyle="1" w:styleId="FooterChar">
    <w:name w:val="Footer Char"/>
    <w:basedOn w:val="BodyTextChar"/>
    <w:link w:val="Footer"/>
    <w:rsid w:val="00C06E67"/>
    <w:rPr>
      <w:rFonts w:ascii="Arial" w:hAnsi="Arial"/>
      <w:caps/>
      <w:spacing w:val="-4"/>
      <w:sz w:val="16"/>
    </w:rPr>
  </w:style>
  <w:style w:type="character" w:customStyle="1" w:styleId="FooterDraftReportChar">
    <w:name w:val="FooterDraftReport Char"/>
    <w:basedOn w:val="FooterChar"/>
    <w:link w:val="FooterDraftReport"/>
    <w:rsid w:val="00C06E6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0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C06E67"/>
    <w:rPr>
      <w:rFonts w:ascii="Arial" w:hAnsi="Arial"/>
      <w:b/>
      <w:sz w:val="26"/>
      <w:szCs w:val="26"/>
      <w:lang w:eastAsia="en-US"/>
    </w:rPr>
  </w:style>
  <w:style w:type="character" w:customStyle="1" w:styleId="Continuedintitle">
    <w:name w:val="Continued (in title)"/>
    <w:basedOn w:val="DefaultParagraphFont"/>
    <w:rsid w:val="00C06E67"/>
    <w:rPr>
      <w:rFonts w:ascii="Arial" w:hAnsi="Arial"/>
      <w:b/>
      <w:sz w:val="18"/>
    </w:rPr>
  </w:style>
  <w:style w:type="character" w:customStyle="1" w:styleId="CommentTextChar">
    <w:name w:val="Comment Text Char"/>
    <w:basedOn w:val="DefaultParagraphFont"/>
    <w:link w:val="CommentText"/>
    <w:semiHidden/>
    <w:rsid w:val="00484725"/>
    <w:rPr>
      <w:szCs w:val="24"/>
    </w:rPr>
  </w:style>
  <w:style w:type="paragraph" w:styleId="CommentSubject">
    <w:name w:val="annotation subject"/>
    <w:basedOn w:val="CommentText"/>
    <w:next w:val="CommentText"/>
    <w:link w:val="CommentSubjectChar"/>
    <w:rsid w:val="005E147A"/>
    <w:pPr>
      <w:spacing w:before="0" w:line="240" w:lineRule="auto"/>
      <w:ind w:left="0" w:firstLine="0"/>
    </w:pPr>
    <w:rPr>
      <w:b/>
      <w:bCs/>
      <w:szCs w:val="20"/>
    </w:rPr>
  </w:style>
  <w:style w:type="character" w:customStyle="1" w:styleId="CommentSubjectChar">
    <w:name w:val="Comment Subject Char"/>
    <w:basedOn w:val="CommentTextChar"/>
    <w:link w:val="CommentSubject"/>
    <w:rsid w:val="005E147A"/>
    <w:rPr>
      <w:b/>
      <w:bCs/>
      <w:szCs w:val="24"/>
    </w:rPr>
  </w:style>
  <w:style w:type="paragraph" w:styleId="Revision">
    <w:name w:val="Revision"/>
    <w:hidden/>
    <w:uiPriority w:val="99"/>
    <w:semiHidden/>
    <w:rsid w:val="00546DB8"/>
    <w:rPr>
      <w:sz w:val="24"/>
      <w:szCs w:val="24"/>
    </w:rPr>
  </w:style>
  <w:style w:type="character" w:styleId="Hyperlink">
    <w:name w:val="Hyperlink"/>
    <w:basedOn w:val="DefaultParagraphFont"/>
    <w:uiPriority w:val="99"/>
    <w:rsid w:val="0059549F"/>
    <w:rPr>
      <w:color w:val="78A22F" w:themeColor="hyperlink"/>
      <w:u w:val="single"/>
    </w:rPr>
  </w:style>
  <w:style w:type="paragraph" w:customStyle="1" w:styleId="Default">
    <w:name w:val="Default"/>
    <w:rsid w:val="00B72DC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84725"/>
    <w:rPr>
      <w:sz w:val="52"/>
    </w:rPr>
  </w:style>
  <w:style w:type="character" w:customStyle="1" w:styleId="Heading2Char">
    <w:name w:val="Heading 2 Char"/>
    <w:link w:val="Heading2"/>
    <w:rsid w:val="00FA0E34"/>
    <w:rPr>
      <w:rFonts w:ascii="Arial" w:hAnsi="Arial"/>
      <w:b/>
      <w:sz w:val="32"/>
    </w:rPr>
  </w:style>
  <w:style w:type="character" w:customStyle="1" w:styleId="Heading3Char">
    <w:name w:val="Heading 3 Char"/>
    <w:link w:val="Heading3"/>
    <w:rsid w:val="00FA0E34"/>
    <w:rPr>
      <w:rFonts w:ascii="Arial" w:hAnsi="Arial"/>
      <w:b/>
      <w:sz w:val="26"/>
    </w:rPr>
  </w:style>
  <w:style w:type="character" w:customStyle="1" w:styleId="Heading4Char">
    <w:name w:val="Heading 4 Char"/>
    <w:link w:val="Heading4"/>
    <w:rsid w:val="00FA0E34"/>
    <w:rPr>
      <w:rFonts w:ascii="Arial" w:hAnsi="Arial"/>
      <w:sz w:val="24"/>
    </w:rPr>
  </w:style>
  <w:style w:type="character" w:customStyle="1" w:styleId="Heading6Char">
    <w:name w:val="Heading 6 Char"/>
    <w:basedOn w:val="DefaultParagraphFont"/>
    <w:link w:val="Heading6"/>
    <w:semiHidden/>
    <w:rsid w:val="00484725"/>
    <w:rPr>
      <w:i/>
      <w:sz w:val="22"/>
    </w:rPr>
  </w:style>
  <w:style w:type="character" w:customStyle="1" w:styleId="Heading7Char">
    <w:name w:val="Heading 7 Char"/>
    <w:basedOn w:val="DefaultParagraphFont"/>
    <w:link w:val="Heading7"/>
    <w:semiHidden/>
    <w:rsid w:val="00484725"/>
    <w:rPr>
      <w:rFonts w:ascii="Arial" w:hAnsi="Arial"/>
    </w:rPr>
  </w:style>
  <w:style w:type="character" w:customStyle="1" w:styleId="Heading8Char">
    <w:name w:val="Heading 8 Char"/>
    <w:basedOn w:val="DefaultParagraphFont"/>
    <w:link w:val="Heading8"/>
    <w:semiHidden/>
    <w:rsid w:val="00484725"/>
    <w:rPr>
      <w:rFonts w:ascii="Arial" w:hAnsi="Arial"/>
      <w:i/>
    </w:rPr>
  </w:style>
  <w:style w:type="character" w:customStyle="1" w:styleId="Heading9Char">
    <w:name w:val="Heading 9 Char"/>
    <w:basedOn w:val="DefaultParagraphFont"/>
    <w:link w:val="Heading9"/>
    <w:semiHidden/>
    <w:rsid w:val="00484725"/>
    <w:rPr>
      <w:rFonts w:ascii="Arial" w:hAnsi="Arial"/>
      <w:b/>
      <w:i/>
      <w:sz w:val="18"/>
    </w:rPr>
  </w:style>
  <w:style w:type="character" w:styleId="FollowedHyperlink">
    <w:name w:val="FollowedHyperlink"/>
    <w:basedOn w:val="DefaultParagraphFont"/>
    <w:uiPriority w:val="99"/>
    <w:unhideWhenUsed/>
    <w:rsid w:val="007D572C"/>
    <w:rPr>
      <w:color w:val="387DD2" w:themeColor="followedHyperlink"/>
      <w:u w:val="single"/>
    </w:rPr>
  </w:style>
  <w:style w:type="character" w:customStyle="1" w:styleId="FootnoteTextChar">
    <w:name w:val="Footnote Text Char"/>
    <w:basedOn w:val="DefaultParagraphFont"/>
    <w:link w:val="FootnoteText"/>
    <w:rsid w:val="00484725"/>
  </w:style>
  <w:style w:type="character" w:customStyle="1" w:styleId="HeaderChar">
    <w:name w:val="Header Char"/>
    <w:basedOn w:val="DefaultParagraphFont"/>
    <w:link w:val="Header"/>
    <w:rsid w:val="00484725"/>
    <w:rPr>
      <w:rFonts w:ascii="Arial" w:hAnsi="Arial"/>
      <w:caps/>
      <w:sz w:val="24"/>
    </w:rPr>
  </w:style>
  <w:style w:type="character" w:customStyle="1" w:styleId="QuoteChar">
    <w:name w:val="Quote Char"/>
    <w:basedOn w:val="DefaultParagraphFont"/>
    <w:link w:val="Quote"/>
    <w:rsid w:val="00FA0E34"/>
    <w:rPr>
      <w:sz w:val="22"/>
    </w:rPr>
  </w:style>
  <w:style w:type="paragraph" w:styleId="Bibliography">
    <w:name w:val="Bibliography"/>
    <w:basedOn w:val="Normal"/>
    <w:next w:val="Normal"/>
    <w:uiPriority w:val="37"/>
    <w:unhideWhenUsed/>
    <w:rsid w:val="00D74829"/>
    <w:pPr>
      <w:spacing w:after="240"/>
      <w:ind w:left="720" w:hanging="720"/>
    </w:pPr>
  </w:style>
  <w:style w:type="paragraph" w:styleId="NormalWeb">
    <w:name w:val="Normal (Web)"/>
    <w:basedOn w:val="Normal"/>
    <w:uiPriority w:val="99"/>
    <w:unhideWhenUsed/>
    <w:rsid w:val="004C379D"/>
    <w:pPr>
      <w:spacing w:before="100" w:beforeAutospacing="1" w:after="100" w:afterAutospacing="1"/>
    </w:pPr>
  </w:style>
  <w:style w:type="character" w:customStyle="1" w:styleId="apple-converted-space">
    <w:name w:val="apple-converted-space"/>
    <w:basedOn w:val="DefaultParagraphFont"/>
    <w:rsid w:val="004C379D"/>
  </w:style>
  <w:style w:type="paragraph" w:customStyle="1" w:styleId="BoxSpaceAboveElement">
    <w:name w:val="Box Space Above Element"/>
    <w:basedOn w:val="Normal"/>
    <w:link w:val="BoxSpaceAboveElementChar"/>
    <w:qFormat/>
    <w:rsid w:val="002B265E"/>
    <w:pPr>
      <w:keepNext/>
      <w:spacing w:before="240" w:line="80" w:lineRule="exact"/>
    </w:pPr>
    <w:rPr>
      <w:b/>
      <w:vanish/>
      <w:color w:val="FF00FF"/>
      <w:sz w:val="14"/>
    </w:rPr>
  </w:style>
  <w:style w:type="character" w:customStyle="1" w:styleId="BoxSpaceAboveElementChar">
    <w:name w:val="Box Space Above Element Char"/>
    <w:basedOn w:val="DefaultParagraphFont"/>
    <w:link w:val="BoxSpaceAboveElement"/>
    <w:rsid w:val="002B265E"/>
    <w:rPr>
      <w:b/>
      <w:vanish/>
      <w:color w:val="FF00FF"/>
      <w:sz w:val="14"/>
    </w:rPr>
  </w:style>
  <w:style w:type="paragraph" w:styleId="PlainText">
    <w:name w:val="Plain Text"/>
    <w:basedOn w:val="Normal"/>
    <w:link w:val="PlainTextChar"/>
    <w:uiPriority w:val="99"/>
    <w:unhideWhenUsed/>
    <w:rsid w:val="0019059E"/>
    <w:rPr>
      <w:rFonts w:ascii="Calibri" w:hAnsi="Calibri"/>
      <w:szCs w:val="21"/>
    </w:rPr>
  </w:style>
  <w:style w:type="character" w:customStyle="1" w:styleId="PlainTextChar">
    <w:name w:val="Plain Text Char"/>
    <w:basedOn w:val="DefaultParagraphFont"/>
    <w:link w:val="PlainText"/>
    <w:uiPriority w:val="99"/>
    <w:rsid w:val="0019059E"/>
    <w:rPr>
      <w:rFonts w:ascii="Calibri" w:eastAsiaTheme="minorHAnsi" w:hAnsi="Calibri" w:cstheme="minorBidi"/>
      <w:sz w:val="22"/>
      <w:szCs w:val="21"/>
      <w:lang w:eastAsia="en-US"/>
    </w:rPr>
  </w:style>
  <w:style w:type="character" w:customStyle="1" w:styleId="BoxChar">
    <w:name w:val="Box Char"/>
    <w:basedOn w:val="DefaultParagraphFont"/>
    <w:link w:val="Box"/>
    <w:rsid w:val="001D0FF8"/>
    <w:rPr>
      <w:rFonts w:ascii="Arial" w:hAnsi="Arial"/>
    </w:rPr>
  </w:style>
  <w:style w:type="character" w:customStyle="1" w:styleId="BoxListBulletChar">
    <w:name w:val="Box List Bullet Char"/>
    <w:basedOn w:val="BoxChar"/>
    <w:link w:val="BoxListBullet"/>
    <w:rsid w:val="00121DFA"/>
    <w:rPr>
      <w:rFonts w:ascii="Arial" w:hAnsi="Arial"/>
    </w:rPr>
  </w:style>
  <w:style w:type="character" w:styleId="EndnoteReference">
    <w:name w:val="endnote reference"/>
    <w:basedOn w:val="DefaultParagraphFont"/>
    <w:rsid w:val="00E47B0B"/>
    <w:rPr>
      <w:vertAlign w:val="superscript"/>
    </w:rPr>
  </w:style>
  <w:style w:type="character" w:styleId="Strong">
    <w:name w:val="Strong"/>
    <w:basedOn w:val="DefaultParagraphFont"/>
    <w:uiPriority w:val="22"/>
    <w:qFormat/>
    <w:rsid w:val="008704C0"/>
    <w:rPr>
      <w:b/>
      <w:bCs/>
    </w:rPr>
  </w:style>
  <w:style w:type="paragraph" w:styleId="ListParagraph">
    <w:name w:val="List Paragraph"/>
    <w:basedOn w:val="Normal"/>
    <w:uiPriority w:val="34"/>
    <w:qFormat/>
    <w:rsid w:val="00963F1A"/>
    <w:pPr>
      <w:ind w:left="720"/>
      <w:contextualSpacing/>
    </w:pPr>
  </w:style>
  <w:style w:type="character" w:customStyle="1" w:styleId="A4">
    <w:name w:val="A4"/>
    <w:uiPriority w:val="99"/>
    <w:rsid w:val="00BC61C1"/>
    <w:rPr>
      <w:rFonts w:cs="Source Sans Pro"/>
      <w:color w:val="000000"/>
      <w:sz w:val="20"/>
      <w:szCs w:val="20"/>
    </w:rPr>
  </w:style>
  <w:style w:type="paragraph" w:customStyle="1" w:styleId="Pa10">
    <w:name w:val="Pa10"/>
    <w:basedOn w:val="Default"/>
    <w:next w:val="Default"/>
    <w:uiPriority w:val="99"/>
    <w:rsid w:val="00702616"/>
    <w:pPr>
      <w:spacing w:line="281" w:lineRule="atLeast"/>
    </w:pPr>
    <w:rPr>
      <w:rFonts w:ascii="Source Sans Pro" w:hAnsi="Source Sans Pro" w:cs="Times New Roman"/>
      <w:color w:val="auto"/>
    </w:rPr>
  </w:style>
  <w:style w:type="paragraph" w:customStyle="1" w:styleId="BoxBullet">
    <w:name w:val="Box Bullet"/>
    <w:basedOn w:val="Normal"/>
    <w:unhideWhenUsed/>
    <w:rsid w:val="009C61CE"/>
    <w:pPr>
      <w:numPr>
        <w:numId w:val="20"/>
      </w:numPr>
      <w:spacing w:before="120" w:after="120"/>
    </w:pPr>
    <w:rPr>
      <w:color w:val="000000"/>
    </w:rPr>
  </w:style>
  <w:style w:type="paragraph" w:customStyle="1" w:styleId="BoxDash">
    <w:name w:val="Box Dash"/>
    <w:basedOn w:val="Normal"/>
    <w:unhideWhenUsed/>
    <w:rsid w:val="009C61CE"/>
    <w:pPr>
      <w:numPr>
        <w:ilvl w:val="1"/>
        <w:numId w:val="20"/>
      </w:numPr>
      <w:spacing w:before="120" w:after="240"/>
    </w:pPr>
    <w:rPr>
      <w:color w:val="000000"/>
    </w:rPr>
  </w:style>
  <w:style w:type="paragraph" w:customStyle="1" w:styleId="BoxDoubleDot">
    <w:name w:val="Box Double Dot"/>
    <w:basedOn w:val="Normal"/>
    <w:unhideWhenUsed/>
    <w:rsid w:val="009C61CE"/>
    <w:pPr>
      <w:numPr>
        <w:ilvl w:val="2"/>
        <w:numId w:val="20"/>
      </w:numPr>
      <w:spacing w:before="120" w:after="240"/>
    </w:pPr>
    <w:rPr>
      <w:color w:val="000000"/>
    </w:rPr>
  </w:style>
  <w:style w:type="paragraph" w:customStyle="1" w:styleId="BoxText1">
    <w:name w:val="Box Text1"/>
    <w:basedOn w:val="Normal"/>
    <w:uiPriority w:val="99"/>
    <w:unhideWhenUsed/>
    <w:rsid w:val="009C61CE"/>
    <w:pPr>
      <w:spacing w:before="120" w:after="120"/>
    </w:pPr>
    <w:rPr>
      <w:color w:val="000000"/>
    </w:rPr>
  </w:style>
  <w:style w:type="paragraph" w:customStyle="1" w:styleId="BoxBullet2">
    <w:name w:val="Box Bullet2"/>
    <w:basedOn w:val="Normal"/>
    <w:uiPriority w:val="99"/>
    <w:unhideWhenUsed/>
    <w:rsid w:val="009C61CE"/>
    <w:pPr>
      <w:tabs>
        <w:tab w:val="num" w:pos="566"/>
      </w:tabs>
      <w:spacing w:before="120" w:after="120"/>
      <w:ind w:left="567" w:hanging="567"/>
    </w:pPr>
    <w:rPr>
      <w:color w:val="000000"/>
    </w:rPr>
  </w:style>
  <w:style w:type="paragraph" w:customStyle="1" w:styleId="Heading1NotTOC">
    <w:name w:val="Heading 1 Not TOC"/>
    <w:basedOn w:val="Heading1"/>
    <w:next w:val="BodyText"/>
    <w:rsid w:val="004413A7"/>
    <w:rPr>
      <w:kern w:val="28"/>
      <w:szCs w:val="26"/>
      <w:lang w:eastAsia="en-US"/>
    </w:rPr>
  </w:style>
  <w:style w:type="character" w:customStyle="1" w:styleId="frag-name2">
    <w:name w:val="frag-name2"/>
    <w:basedOn w:val="DefaultParagraphFont"/>
    <w:rsid w:val="00C3332D"/>
  </w:style>
  <w:style w:type="character" w:customStyle="1" w:styleId="frag-heading">
    <w:name w:val="frag-heading"/>
    <w:basedOn w:val="DefaultParagraphFont"/>
    <w:rsid w:val="00C3332D"/>
  </w:style>
  <w:style w:type="paragraph" w:customStyle="1" w:styleId="Copyrightsubtitle">
    <w:name w:val="Copyright subtitle"/>
    <w:basedOn w:val="BodyText"/>
    <w:rsid w:val="00471D1A"/>
    <w:rPr>
      <w:rFonts w:ascii="Arial" w:hAnsi="Arial"/>
      <w:b/>
      <w:sz w:val="22"/>
      <w:szCs w:val="25"/>
    </w:rPr>
  </w:style>
  <w:style w:type="paragraph" w:customStyle="1" w:styleId="Copyrightbodytext">
    <w:name w:val="Copyright bodytext"/>
    <w:basedOn w:val="BodyText"/>
    <w:link w:val="CopyrightbodytextChar"/>
    <w:qFormat/>
    <w:rsid w:val="00471D1A"/>
    <w:pPr>
      <w:spacing w:before="60"/>
    </w:pPr>
  </w:style>
  <w:style w:type="character" w:customStyle="1" w:styleId="CopyrightbodytextChar">
    <w:name w:val="Copyright bodytext Char"/>
    <w:basedOn w:val="BodyTextChar"/>
    <w:link w:val="Copyrightbodytext"/>
    <w:rsid w:val="00471D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6582">
      <w:bodyDiv w:val="1"/>
      <w:marLeft w:val="0"/>
      <w:marRight w:val="0"/>
      <w:marTop w:val="0"/>
      <w:marBottom w:val="0"/>
      <w:divBdr>
        <w:top w:val="none" w:sz="0" w:space="0" w:color="auto"/>
        <w:left w:val="none" w:sz="0" w:space="0" w:color="auto"/>
        <w:bottom w:val="none" w:sz="0" w:space="0" w:color="auto"/>
        <w:right w:val="none" w:sz="0" w:space="0" w:color="auto"/>
      </w:divBdr>
    </w:div>
    <w:div w:id="137579971">
      <w:bodyDiv w:val="1"/>
      <w:marLeft w:val="0"/>
      <w:marRight w:val="750"/>
      <w:marTop w:val="0"/>
      <w:marBottom w:val="0"/>
      <w:divBdr>
        <w:top w:val="none" w:sz="0" w:space="0" w:color="auto"/>
        <w:left w:val="none" w:sz="0" w:space="0" w:color="auto"/>
        <w:bottom w:val="none" w:sz="0" w:space="0" w:color="auto"/>
        <w:right w:val="none" w:sz="0" w:space="0" w:color="auto"/>
      </w:divBdr>
      <w:divsChild>
        <w:div w:id="1236279625">
          <w:marLeft w:val="0"/>
          <w:marRight w:val="0"/>
          <w:marTop w:val="0"/>
          <w:marBottom w:val="0"/>
          <w:divBdr>
            <w:top w:val="none" w:sz="0" w:space="0" w:color="auto"/>
            <w:left w:val="none" w:sz="0" w:space="0" w:color="auto"/>
            <w:bottom w:val="none" w:sz="0" w:space="0" w:color="auto"/>
            <w:right w:val="none" w:sz="0" w:space="0" w:color="auto"/>
          </w:divBdr>
          <w:divsChild>
            <w:div w:id="274675094">
              <w:marLeft w:val="0"/>
              <w:marRight w:val="0"/>
              <w:marTop w:val="0"/>
              <w:marBottom w:val="0"/>
              <w:divBdr>
                <w:top w:val="none" w:sz="0" w:space="0" w:color="auto"/>
                <w:left w:val="none" w:sz="0" w:space="0" w:color="auto"/>
                <w:bottom w:val="none" w:sz="0" w:space="0" w:color="auto"/>
                <w:right w:val="none" w:sz="0" w:space="0" w:color="auto"/>
              </w:divBdr>
              <w:divsChild>
                <w:div w:id="246379125">
                  <w:marLeft w:val="0"/>
                  <w:marRight w:val="0"/>
                  <w:marTop w:val="0"/>
                  <w:marBottom w:val="0"/>
                  <w:divBdr>
                    <w:top w:val="none" w:sz="0" w:space="0" w:color="auto"/>
                    <w:left w:val="none" w:sz="0" w:space="0" w:color="auto"/>
                    <w:bottom w:val="none" w:sz="0" w:space="0" w:color="auto"/>
                    <w:right w:val="none" w:sz="0" w:space="0" w:color="auto"/>
                  </w:divBdr>
                  <w:divsChild>
                    <w:div w:id="240064357">
                      <w:marLeft w:val="-225"/>
                      <w:marRight w:val="-225"/>
                      <w:marTop w:val="0"/>
                      <w:marBottom w:val="0"/>
                      <w:divBdr>
                        <w:top w:val="none" w:sz="0" w:space="0" w:color="auto"/>
                        <w:left w:val="none" w:sz="0" w:space="0" w:color="auto"/>
                        <w:bottom w:val="none" w:sz="0" w:space="0" w:color="auto"/>
                        <w:right w:val="none" w:sz="0" w:space="0" w:color="auto"/>
                      </w:divBdr>
                      <w:divsChild>
                        <w:div w:id="1946184588">
                          <w:marLeft w:val="0"/>
                          <w:marRight w:val="0"/>
                          <w:marTop w:val="0"/>
                          <w:marBottom w:val="0"/>
                          <w:divBdr>
                            <w:top w:val="none" w:sz="0" w:space="0" w:color="auto"/>
                            <w:left w:val="none" w:sz="0" w:space="0" w:color="auto"/>
                            <w:bottom w:val="none" w:sz="0" w:space="0" w:color="auto"/>
                            <w:right w:val="none" w:sz="0" w:space="0" w:color="auto"/>
                          </w:divBdr>
                          <w:divsChild>
                            <w:div w:id="1115826402">
                              <w:marLeft w:val="0"/>
                              <w:marRight w:val="0"/>
                              <w:marTop w:val="0"/>
                              <w:marBottom w:val="0"/>
                              <w:divBdr>
                                <w:top w:val="none" w:sz="0" w:space="0" w:color="auto"/>
                                <w:left w:val="none" w:sz="0" w:space="0" w:color="auto"/>
                                <w:bottom w:val="none" w:sz="0" w:space="0" w:color="auto"/>
                                <w:right w:val="none" w:sz="0" w:space="0" w:color="auto"/>
                              </w:divBdr>
                              <w:divsChild>
                                <w:div w:id="483859239">
                                  <w:marLeft w:val="0"/>
                                  <w:marRight w:val="0"/>
                                  <w:marTop w:val="0"/>
                                  <w:marBottom w:val="0"/>
                                  <w:divBdr>
                                    <w:top w:val="none" w:sz="0" w:space="0" w:color="auto"/>
                                    <w:left w:val="none" w:sz="0" w:space="0" w:color="auto"/>
                                    <w:bottom w:val="none" w:sz="0" w:space="0" w:color="auto"/>
                                    <w:right w:val="none" w:sz="0" w:space="0" w:color="auto"/>
                                  </w:divBdr>
                                  <w:divsChild>
                                    <w:div w:id="1578662371">
                                      <w:marLeft w:val="0"/>
                                      <w:marRight w:val="0"/>
                                      <w:marTop w:val="0"/>
                                      <w:marBottom w:val="0"/>
                                      <w:divBdr>
                                        <w:top w:val="none" w:sz="0" w:space="0" w:color="auto"/>
                                        <w:left w:val="none" w:sz="0" w:space="0" w:color="auto"/>
                                        <w:bottom w:val="none" w:sz="0" w:space="0" w:color="auto"/>
                                        <w:right w:val="none" w:sz="0" w:space="0" w:color="auto"/>
                                      </w:divBdr>
                                      <w:divsChild>
                                        <w:div w:id="204474427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41266341">
                                              <w:blockQuote w:val="1"/>
                                              <w:marLeft w:val="0"/>
                                              <w:marRight w:val="0"/>
                                              <w:marTop w:val="0"/>
                                              <w:marBottom w:val="300"/>
                                              <w:divBdr>
                                                <w:top w:val="none" w:sz="0" w:space="0" w:color="auto"/>
                                                <w:left w:val="single" w:sz="36" w:space="15" w:color="EEEEEE"/>
                                                <w:bottom w:val="none" w:sz="0" w:space="0" w:color="auto"/>
                                                <w:right w:val="none" w:sz="0" w:space="0" w:color="auto"/>
                                              </w:divBdr>
                                            </w:div>
                                            <w:div w:id="15114864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6053156">
                                                  <w:marLeft w:val="0"/>
                                                  <w:marRight w:val="0"/>
                                                  <w:marTop w:val="0"/>
                                                  <w:marBottom w:val="0"/>
                                                  <w:divBdr>
                                                    <w:top w:val="none" w:sz="0" w:space="0" w:color="auto"/>
                                                    <w:left w:val="none" w:sz="0" w:space="0" w:color="auto"/>
                                                    <w:bottom w:val="none" w:sz="0" w:space="0" w:color="auto"/>
                                                    <w:right w:val="none" w:sz="0" w:space="0" w:color="auto"/>
                                                  </w:divBdr>
                                                  <w:divsChild>
                                                    <w:div w:id="4608531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9177116">
                                                          <w:marLeft w:val="0"/>
                                                          <w:marRight w:val="0"/>
                                                          <w:marTop w:val="0"/>
                                                          <w:marBottom w:val="0"/>
                                                          <w:divBdr>
                                                            <w:top w:val="none" w:sz="0" w:space="0" w:color="auto"/>
                                                            <w:left w:val="none" w:sz="0" w:space="0" w:color="auto"/>
                                                            <w:bottom w:val="none" w:sz="0" w:space="0" w:color="auto"/>
                                                            <w:right w:val="none" w:sz="0" w:space="0" w:color="auto"/>
                                                          </w:divBdr>
                                                          <w:divsChild>
                                                            <w:div w:id="1107577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3562993">
                                                          <w:marLeft w:val="0"/>
                                                          <w:marRight w:val="0"/>
                                                          <w:marTop w:val="0"/>
                                                          <w:marBottom w:val="0"/>
                                                          <w:divBdr>
                                                            <w:top w:val="none" w:sz="0" w:space="0" w:color="auto"/>
                                                            <w:left w:val="none" w:sz="0" w:space="0" w:color="auto"/>
                                                            <w:bottom w:val="none" w:sz="0" w:space="0" w:color="auto"/>
                                                            <w:right w:val="none" w:sz="0" w:space="0" w:color="auto"/>
                                                          </w:divBdr>
                                                          <w:divsChild>
                                                            <w:div w:id="20033877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91531322">
                                                  <w:marLeft w:val="0"/>
                                                  <w:marRight w:val="0"/>
                                                  <w:marTop w:val="0"/>
                                                  <w:marBottom w:val="0"/>
                                                  <w:divBdr>
                                                    <w:top w:val="none" w:sz="0" w:space="0" w:color="auto"/>
                                                    <w:left w:val="none" w:sz="0" w:space="0" w:color="auto"/>
                                                    <w:bottom w:val="none" w:sz="0" w:space="0" w:color="auto"/>
                                                    <w:right w:val="none" w:sz="0" w:space="0" w:color="auto"/>
                                                  </w:divBdr>
                                                  <w:divsChild>
                                                    <w:div w:id="18729537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89780199">
                                                  <w:marLeft w:val="0"/>
                                                  <w:marRight w:val="0"/>
                                                  <w:marTop w:val="0"/>
                                                  <w:marBottom w:val="0"/>
                                                  <w:divBdr>
                                                    <w:top w:val="none" w:sz="0" w:space="0" w:color="auto"/>
                                                    <w:left w:val="none" w:sz="0" w:space="0" w:color="auto"/>
                                                    <w:bottom w:val="none" w:sz="0" w:space="0" w:color="auto"/>
                                                    <w:right w:val="none" w:sz="0" w:space="0" w:color="auto"/>
                                                  </w:divBdr>
                                                  <w:divsChild>
                                                    <w:div w:id="3205430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0089536">
                                                  <w:marLeft w:val="0"/>
                                                  <w:marRight w:val="0"/>
                                                  <w:marTop w:val="0"/>
                                                  <w:marBottom w:val="0"/>
                                                  <w:divBdr>
                                                    <w:top w:val="none" w:sz="0" w:space="0" w:color="auto"/>
                                                    <w:left w:val="none" w:sz="0" w:space="0" w:color="auto"/>
                                                    <w:bottom w:val="none" w:sz="0" w:space="0" w:color="auto"/>
                                                    <w:right w:val="none" w:sz="0" w:space="0" w:color="auto"/>
                                                  </w:divBdr>
                                                  <w:divsChild>
                                                    <w:div w:id="21287728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3241654">
                                                  <w:marLeft w:val="0"/>
                                                  <w:marRight w:val="0"/>
                                                  <w:marTop w:val="0"/>
                                                  <w:marBottom w:val="0"/>
                                                  <w:divBdr>
                                                    <w:top w:val="none" w:sz="0" w:space="0" w:color="auto"/>
                                                    <w:left w:val="none" w:sz="0" w:space="0" w:color="auto"/>
                                                    <w:bottom w:val="none" w:sz="0" w:space="0" w:color="auto"/>
                                                    <w:right w:val="none" w:sz="0" w:space="0" w:color="auto"/>
                                                  </w:divBdr>
                                                  <w:divsChild>
                                                    <w:div w:id="1622874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3943044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55178995">
                                                  <w:marLeft w:val="0"/>
                                                  <w:marRight w:val="0"/>
                                                  <w:marTop w:val="0"/>
                                                  <w:marBottom w:val="0"/>
                                                  <w:divBdr>
                                                    <w:top w:val="none" w:sz="0" w:space="0" w:color="auto"/>
                                                    <w:left w:val="none" w:sz="0" w:space="0" w:color="auto"/>
                                                    <w:bottom w:val="none" w:sz="0" w:space="0" w:color="auto"/>
                                                    <w:right w:val="none" w:sz="0" w:space="0" w:color="auto"/>
                                                  </w:divBdr>
                                                  <w:divsChild>
                                                    <w:div w:id="2014531086">
                                                      <w:marLeft w:val="0"/>
                                                      <w:marRight w:val="0"/>
                                                      <w:marTop w:val="0"/>
                                                      <w:marBottom w:val="0"/>
                                                      <w:divBdr>
                                                        <w:top w:val="none" w:sz="0" w:space="0" w:color="auto"/>
                                                        <w:left w:val="none" w:sz="0" w:space="0" w:color="auto"/>
                                                        <w:bottom w:val="none" w:sz="0" w:space="0" w:color="auto"/>
                                                        <w:right w:val="none" w:sz="0" w:space="0" w:color="auto"/>
                                                      </w:divBdr>
                                                      <w:divsChild>
                                                        <w:div w:id="1253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743716">
      <w:bodyDiv w:val="1"/>
      <w:marLeft w:val="0"/>
      <w:marRight w:val="0"/>
      <w:marTop w:val="0"/>
      <w:marBottom w:val="0"/>
      <w:divBdr>
        <w:top w:val="none" w:sz="0" w:space="0" w:color="auto"/>
        <w:left w:val="none" w:sz="0" w:space="0" w:color="auto"/>
        <w:bottom w:val="none" w:sz="0" w:space="0" w:color="auto"/>
        <w:right w:val="none" w:sz="0" w:space="0" w:color="auto"/>
      </w:divBdr>
    </w:div>
    <w:div w:id="306975137">
      <w:bodyDiv w:val="1"/>
      <w:marLeft w:val="0"/>
      <w:marRight w:val="0"/>
      <w:marTop w:val="0"/>
      <w:marBottom w:val="0"/>
      <w:divBdr>
        <w:top w:val="none" w:sz="0" w:space="0" w:color="auto"/>
        <w:left w:val="none" w:sz="0" w:space="0" w:color="auto"/>
        <w:bottom w:val="none" w:sz="0" w:space="0" w:color="auto"/>
        <w:right w:val="none" w:sz="0" w:space="0" w:color="auto"/>
      </w:divBdr>
    </w:div>
    <w:div w:id="387146016">
      <w:bodyDiv w:val="1"/>
      <w:marLeft w:val="0"/>
      <w:marRight w:val="0"/>
      <w:marTop w:val="0"/>
      <w:marBottom w:val="0"/>
      <w:divBdr>
        <w:top w:val="none" w:sz="0" w:space="0" w:color="auto"/>
        <w:left w:val="none" w:sz="0" w:space="0" w:color="auto"/>
        <w:bottom w:val="none" w:sz="0" w:space="0" w:color="auto"/>
        <w:right w:val="none" w:sz="0" w:space="0" w:color="auto"/>
      </w:divBdr>
    </w:div>
    <w:div w:id="431824424">
      <w:bodyDiv w:val="1"/>
      <w:marLeft w:val="0"/>
      <w:marRight w:val="0"/>
      <w:marTop w:val="0"/>
      <w:marBottom w:val="0"/>
      <w:divBdr>
        <w:top w:val="none" w:sz="0" w:space="0" w:color="auto"/>
        <w:left w:val="none" w:sz="0" w:space="0" w:color="auto"/>
        <w:bottom w:val="none" w:sz="0" w:space="0" w:color="auto"/>
        <w:right w:val="none" w:sz="0" w:space="0" w:color="auto"/>
      </w:divBdr>
    </w:div>
    <w:div w:id="476721784">
      <w:bodyDiv w:val="1"/>
      <w:marLeft w:val="0"/>
      <w:marRight w:val="0"/>
      <w:marTop w:val="0"/>
      <w:marBottom w:val="0"/>
      <w:divBdr>
        <w:top w:val="none" w:sz="0" w:space="0" w:color="auto"/>
        <w:left w:val="none" w:sz="0" w:space="0" w:color="auto"/>
        <w:bottom w:val="none" w:sz="0" w:space="0" w:color="auto"/>
        <w:right w:val="none" w:sz="0" w:space="0" w:color="auto"/>
      </w:divBdr>
    </w:div>
    <w:div w:id="506284534">
      <w:bodyDiv w:val="1"/>
      <w:marLeft w:val="0"/>
      <w:marRight w:val="0"/>
      <w:marTop w:val="0"/>
      <w:marBottom w:val="0"/>
      <w:divBdr>
        <w:top w:val="none" w:sz="0" w:space="0" w:color="auto"/>
        <w:left w:val="none" w:sz="0" w:space="0" w:color="auto"/>
        <w:bottom w:val="none" w:sz="0" w:space="0" w:color="auto"/>
        <w:right w:val="none" w:sz="0" w:space="0" w:color="auto"/>
      </w:divBdr>
    </w:div>
    <w:div w:id="528419359">
      <w:bodyDiv w:val="1"/>
      <w:marLeft w:val="0"/>
      <w:marRight w:val="0"/>
      <w:marTop w:val="0"/>
      <w:marBottom w:val="0"/>
      <w:divBdr>
        <w:top w:val="none" w:sz="0" w:space="0" w:color="auto"/>
        <w:left w:val="none" w:sz="0" w:space="0" w:color="auto"/>
        <w:bottom w:val="none" w:sz="0" w:space="0" w:color="auto"/>
        <w:right w:val="none" w:sz="0" w:space="0" w:color="auto"/>
      </w:divBdr>
    </w:div>
    <w:div w:id="580406805">
      <w:bodyDiv w:val="1"/>
      <w:marLeft w:val="0"/>
      <w:marRight w:val="0"/>
      <w:marTop w:val="0"/>
      <w:marBottom w:val="0"/>
      <w:divBdr>
        <w:top w:val="none" w:sz="0" w:space="0" w:color="auto"/>
        <w:left w:val="none" w:sz="0" w:space="0" w:color="auto"/>
        <w:bottom w:val="none" w:sz="0" w:space="0" w:color="auto"/>
        <w:right w:val="none" w:sz="0" w:space="0" w:color="auto"/>
      </w:divBdr>
    </w:div>
    <w:div w:id="698122015">
      <w:bodyDiv w:val="1"/>
      <w:marLeft w:val="0"/>
      <w:marRight w:val="0"/>
      <w:marTop w:val="0"/>
      <w:marBottom w:val="0"/>
      <w:divBdr>
        <w:top w:val="none" w:sz="0" w:space="0" w:color="auto"/>
        <w:left w:val="none" w:sz="0" w:space="0" w:color="auto"/>
        <w:bottom w:val="none" w:sz="0" w:space="0" w:color="auto"/>
        <w:right w:val="none" w:sz="0" w:space="0" w:color="auto"/>
      </w:divBdr>
      <w:divsChild>
        <w:div w:id="1605380123">
          <w:marLeft w:val="0"/>
          <w:marRight w:val="0"/>
          <w:marTop w:val="0"/>
          <w:marBottom w:val="0"/>
          <w:divBdr>
            <w:top w:val="none" w:sz="0" w:space="0" w:color="auto"/>
            <w:left w:val="none" w:sz="0" w:space="0" w:color="auto"/>
            <w:bottom w:val="none" w:sz="0" w:space="0" w:color="auto"/>
            <w:right w:val="none" w:sz="0" w:space="0" w:color="auto"/>
          </w:divBdr>
          <w:divsChild>
            <w:div w:id="647439382">
              <w:marLeft w:val="0"/>
              <w:marRight w:val="0"/>
              <w:marTop w:val="0"/>
              <w:marBottom w:val="0"/>
              <w:divBdr>
                <w:top w:val="none" w:sz="0" w:space="0" w:color="auto"/>
                <w:left w:val="none" w:sz="0" w:space="0" w:color="auto"/>
                <w:bottom w:val="none" w:sz="0" w:space="0" w:color="auto"/>
                <w:right w:val="none" w:sz="0" w:space="0" w:color="auto"/>
              </w:divBdr>
              <w:divsChild>
                <w:div w:id="1142233978">
                  <w:marLeft w:val="0"/>
                  <w:marRight w:val="0"/>
                  <w:marTop w:val="0"/>
                  <w:marBottom w:val="0"/>
                  <w:divBdr>
                    <w:top w:val="none" w:sz="0" w:space="0" w:color="auto"/>
                    <w:left w:val="none" w:sz="0" w:space="0" w:color="auto"/>
                    <w:bottom w:val="none" w:sz="0" w:space="0" w:color="auto"/>
                    <w:right w:val="none" w:sz="0" w:space="0" w:color="auto"/>
                  </w:divBdr>
                  <w:divsChild>
                    <w:div w:id="1972707966">
                      <w:marLeft w:val="0"/>
                      <w:marRight w:val="0"/>
                      <w:marTop w:val="0"/>
                      <w:marBottom w:val="0"/>
                      <w:divBdr>
                        <w:top w:val="none" w:sz="0" w:space="0" w:color="auto"/>
                        <w:left w:val="none" w:sz="0" w:space="0" w:color="auto"/>
                        <w:bottom w:val="none" w:sz="0" w:space="0" w:color="auto"/>
                        <w:right w:val="none" w:sz="0" w:space="0" w:color="auto"/>
                      </w:divBdr>
                      <w:divsChild>
                        <w:div w:id="677467905">
                          <w:marLeft w:val="0"/>
                          <w:marRight w:val="0"/>
                          <w:marTop w:val="0"/>
                          <w:marBottom w:val="0"/>
                          <w:divBdr>
                            <w:top w:val="none" w:sz="0" w:space="0" w:color="auto"/>
                            <w:left w:val="none" w:sz="0" w:space="0" w:color="auto"/>
                            <w:bottom w:val="none" w:sz="0" w:space="0" w:color="auto"/>
                            <w:right w:val="none" w:sz="0" w:space="0" w:color="auto"/>
                          </w:divBdr>
                          <w:divsChild>
                            <w:div w:id="8964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06505">
      <w:bodyDiv w:val="1"/>
      <w:marLeft w:val="0"/>
      <w:marRight w:val="0"/>
      <w:marTop w:val="0"/>
      <w:marBottom w:val="0"/>
      <w:divBdr>
        <w:top w:val="none" w:sz="0" w:space="0" w:color="auto"/>
        <w:left w:val="none" w:sz="0" w:space="0" w:color="auto"/>
        <w:bottom w:val="none" w:sz="0" w:space="0" w:color="auto"/>
        <w:right w:val="none" w:sz="0" w:space="0" w:color="auto"/>
      </w:divBdr>
    </w:div>
    <w:div w:id="971249137">
      <w:bodyDiv w:val="1"/>
      <w:marLeft w:val="0"/>
      <w:marRight w:val="0"/>
      <w:marTop w:val="0"/>
      <w:marBottom w:val="0"/>
      <w:divBdr>
        <w:top w:val="none" w:sz="0" w:space="0" w:color="auto"/>
        <w:left w:val="none" w:sz="0" w:space="0" w:color="auto"/>
        <w:bottom w:val="none" w:sz="0" w:space="0" w:color="auto"/>
        <w:right w:val="none" w:sz="0" w:space="0" w:color="auto"/>
      </w:divBdr>
    </w:div>
    <w:div w:id="999499784">
      <w:bodyDiv w:val="1"/>
      <w:marLeft w:val="0"/>
      <w:marRight w:val="0"/>
      <w:marTop w:val="0"/>
      <w:marBottom w:val="0"/>
      <w:divBdr>
        <w:top w:val="none" w:sz="0" w:space="0" w:color="auto"/>
        <w:left w:val="none" w:sz="0" w:space="0" w:color="auto"/>
        <w:bottom w:val="none" w:sz="0" w:space="0" w:color="auto"/>
        <w:right w:val="none" w:sz="0" w:space="0" w:color="auto"/>
      </w:divBdr>
    </w:div>
    <w:div w:id="1058623936">
      <w:bodyDiv w:val="1"/>
      <w:marLeft w:val="0"/>
      <w:marRight w:val="0"/>
      <w:marTop w:val="0"/>
      <w:marBottom w:val="0"/>
      <w:divBdr>
        <w:top w:val="none" w:sz="0" w:space="0" w:color="auto"/>
        <w:left w:val="none" w:sz="0" w:space="0" w:color="auto"/>
        <w:bottom w:val="none" w:sz="0" w:space="0" w:color="auto"/>
        <w:right w:val="none" w:sz="0" w:space="0" w:color="auto"/>
      </w:divBdr>
      <w:divsChild>
        <w:div w:id="99762836">
          <w:marLeft w:val="0"/>
          <w:marRight w:val="0"/>
          <w:marTop w:val="0"/>
          <w:marBottom w:val="0"/>
          <w:divBdr>
            <w:top w:val="none" w:sz="0" w:space="0" w:color="auto"/>
            <w:left w:val="none" w:sz="0" w:space="0" w:color="auto"/>
            <w:bottom w:val="none" w:sz="0" w:space="0" w:color="auto"/>
            <w:right w:val="none" w:sz="0" w:space="0" w:color="auto"/>
          </w:divBdr>
          <w:divsChild>
            <w:div w:id="2018196131">
              <w:marLeft w:val="-225"/>
              <w:marRight w:val="-225"/>
              <w:marTop w:val="0"/>
              <w:marBottom w:val="0"/>
              <w:divBdr>
                <w:top w:val="none" w:sz="0" w:space="0" w:color="auto"/>
                <w:left w:val="none" w:sz="0" w:space="0" w:color="auto"/>
                <w:bottom w:val="none" w:sz="0" w:space="0" w:color="auto"/>
                <w:right w:val="none" w:sz="0" w:space="0" w:color="auto"/>
              </w:divBdr>
              <w:divsChild>
                <w:div w:id="318578596">
                  <w:marLeft w:val="0"/>
                  <w:marRight w:val="0"/>
                  <w:marTop w:val="0"/>
                  <w:marBottom w:val="0"/>
                  <w:divBdr>
                    <w:top w:val="none" w:sz="0" w:space="0" w:color="auto"/>
                    <w:left w:val="none" w:sz="0" w:space="0" w:color="auto"/>
                    <w:bottom w:val="none" w:sz="0" w:space="0" w:color="auto"/>
                    <w:right w:val="none" w:sz="0" w:space="0" w:color="auto"/>
                  </w:divBdr>
                  <w:divsChild>
                    <w:div w:id="2080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3608">
      <w:bodyDiv w:val="1"/>
      <w:marLeft w:val="0"/>
      <w:marRight w:val="0"/>
      <w:marTop w:val="0"/>
      <w:marBottom w:val="0"/>
      <w:divBdr>
        <w:top w:val="none" w:sz="0" w:space="0" w:color="auto"/>
        <w:left w:val="none" w:sz="0" w:space="0" w:color="auto"/>
        <w:bottom w:val="none" w:sz="0" w:space="0" w:color="auto"/>
        <w:right w:val="none" w:sz="0" w:space="0" w:color="auto"/>
      </w:divBdr>
    </w:div>
    <w:div w:id="1272712698">
      <w:bodyDiv w:val="1"/>
      <w:marLeft w:val="0"/>
      <w:marRight w:val="0"/>
      <w:marTop w:val="0"/>
      <w:marBottom w:val="0"/>
      <w:divBdr>
        <w:top w:val="none" w:sz="0" w:space="0" w:color="auto"/>
        <w:left w:val="none" w:sz="0" w:space="0" w:color="auto"/>
        <w:bottom w:val="none" w:sz="0" w:space="0" w:color="auto"/>
        <w:right w:val="none" w:sz="0" w:space="0" w:color="auto"/>
      </w:divBdr>
    </w:div>
    <w:div w:id="1357150194">
      <w:bodyDiv w:val="1"/>
      <w:marLeft w:val="0"/>
      <w:marRight w:val="0"/>
      <w:marTop w:val="0"/>
      <w:marBottom w:val="0"/>
      <w:divBdr>
        <w:top w:val="none" w:sz="0" w:space="0" w:color="auto"/>
        <w:left w:val="none" w:sz="0" w:space="0" w:color="auto"/>
        <w:bottom w:val="none" w:sz="0" w:space="0" w:color="auto"/>
        <w:right w:val="none" w:sz="0" w:space="0" w:color="auto"/>
      </w:divBdr>
    </w:div>
    <w:div w:id="1424031855">
      <w:bodyDiv w:val="1"/>
      <w:marLeft w:val="0"/>
      <w:marRight w:val="0"/>
      <w:marTop w:val="0"/>
      <w:marBottom w:val="0"/>
      <w:divBdr>
        <w:top w:val="none" w:sz="0" w:space="0" w:color="auto"/>
        <w:left w:val="none" w:sz="0" w:space="0" w:color="auto"/>
        <w:bottom w:val="none" w:sz="0" w:space="0" w:color="auto"/>
        <w:right w:val="none" w:sz="0" w:space="0" w:color="auto"/>
      </w:divBdr>
    </w:div>
    <w:div w:id="1527479880">
      <w:bodyDiv w:val="1"/>
      <w:marLeft w:val="0"/>
      <w:marRight w:val="0"/>
      <w:marTop w:val="0"/>
      <w:marBottom w:val="0"/>
      <w:divBdr>
        <w:top w:val="none" w:sz="0" w:space="0" w:color="auto"/>
        <w:left w:val="none" w:sz="0" w:space="0" w:color="auto"/>
        <w:bottom w:val="none" w:sz="0" w:space="0" w:color="auto"/>
        <w:right w:val="none" w:sz="0" w:space="0" w:color="auto"/>
      </w:divBdr>
    </w:div>
    <w:div w:id="1623683242">
      <w:bodyDiv w:val="1"/>
      <w:marLeft w:val="0"/>
      <w:marRight w:val="0"/>
      <w:marTop w:val="0"/>
      <w:marBottom w:val="0"/>
      <w:divBdr>
        <w:top w:val="none" w:sz="0" w:space="0" w:color="auto"/>
        <w:left w:val="none" w:sz="0" w:space="0" w:color="auto"/>
        <w:bottom w:val="none" w:sz="0" w:space="0" w:color="auto"/>
        <w:right w:val="none" w:sz="0" w:space="0" w:color="auto"/>
      </w:divBdr>
    </w:div>
    <w:div w:id="1758553344">
      <w:bodyDiv w:val="1"/>
      <w:marLeft w:val="0"/>
      <w:marRight w:val="0"/>
      <w:marTop w:val="0"/>
      <w:marBottom w:val="0"/>
      <w:divBdr>
        <w:top w:val="none" w:sz="0" w:space="0" w:color="auto"/>
        <w:left w:val="none" w:sz="0" w:space="0" w:color="auto"/>
        <w:bottom w:val="none" w:sz="0" w:space="0" w:color="auto"/>
        <w:right w:val="none" w:sz="0" w:space="0" w:color="auto"/>
      </w:divBdr>
    </w:div>
    <w:div w:id="176128856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92833871">
      <w:bodyDiv w:val="1"/>
      <w:marLeft w:val="0"/>
      <w:marRight w:val="0"/>
      <w:marTop w:val="0"/>
      <w:marBottom w:val="0"/>
      <w:divBdr>
        <w:top w:val="none" w:sz="0" w:space="0" w:color="auto"/>
        <w:left w:val="none" w:sz="0" w:space="0" w:color="auto"/>
        <w:bottom w:val="none" w:sz="0" w:space="0" w:color="auto"/>
        <w:right w:val="none" w:sz="0" w:space="0" w:color="auto"/>
      </w:divBdr>
    </w:div>
    <w:div w:id="2076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4"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903F-C6DA-4F00-8FC7-6D9A0D44AF31}">
  <ds:schemaRefs>
    <ds:schemaRef ds:uri="Microsoft.SharePoint.Taxonomy.ContentTypeSync"/>
  </ds:schemaRefs>
</ds:datastoreItem>
</file>

<file path=customXml/itemProps2.xml><?xml version="1.0" encoding="utf-8"?>
<ds:datastoreItem xmlns:ds="http://schemas.openxmlformats.org/officeDocument/2006/customXml" ds:itemID="{B3895B3B-8BED-4CC3-A664-7B738D1E3D0F}">
  <ds:schemaRefs>
    <ds:schemaRef ds:uri="http://schemas.microsoft.com/office/2006/metadata/customXsn"/>
  </ds:schemaRefs>
</ds:datastoreItem>
</file>

<file path=customXml/itemProps3.xml><?xml version="1.0" encoding="utf-8"?>
<ds:datastoreItem xmlns:ds="http://schemas.openxmlformats.org/officeDocument/2006/customXml" ds:itemID="{0C723DBD-BE29-4BC7-99A6-254DFEA461B1}">
  <ds:schemaRefs>
    <ds:schemaRef ds:uri="http://schemas.microsoft.com/sharepoint/events"/>
  </ds:schemaRefs>
</ds:datastoreItem>
</file>

<file path=customXml/itemProps4.xml><?xml version="1.0" encoding="utf-8"?>
<ds:datastoreItem xmlns:ds="http://schemas.openxmlformats.org/officeDocument/2006/customXml" ds:itemID="{E3B1C2C2-6871-4C92-9444-00E41C446B6D}">
  <ds:schemaRefs>
    <ds:schemaRef ds:uri="http://schemas.microsoft.com/sharepoint/v3/contenttype/forms"/>
  </ds:schemaRefs>
</ds:datastoreItem>
</file>

<file path=customXml/itemProps5.xml><?xml version="1.0" encoding="utf-8"?>
<ds:datastoreItem xmlns:ds="http://schemas.openxmlformats.org/officeDocument/2006/customXml" ds:itemID="{234047B0-7D73-44AF-8D10-891BF9824C23}">
  <ds:schemaRefs>
    <ds:schemaRef ds:uri="http://schemas.openxmlformats.org/package/2006/metadata/core-propertie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3f4bcce7-ac1a-4c9d-aa3e-7e77695652db"/>
    <ds:schemaRef ds:uri="http://www.w3.org/XML/1998/namespace"/>
  </ds:schemaRefs>
</ds:datastoreItem>
</file>

<file path=customXml/itemProps6.xml><?xml version="1.0" encoding="utf-8"?>
<ds:datastoreItem xmlns:ds="http://schemas.openxmlformats.org/officeDocument/2006/customXml" ds:itemID="{E31C1F90-CDEB-4B90-AB8C-95855655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AF73F0-EDFD-4F9D-8CFF-862BC58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47</Pages>
  <Words>16970</Words>
  <Characters>96731</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Supporting paper 10: Realising the productive potential of land</vt:lpstr>
    </vt:vector>
  </TitlesOfParts>
  <Company>Productivity Commission</Company>
  <LinksUpToDate>false</LinksUpToDate>
  <CharactersWithSpaces>113475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10: Realising the productive potential of land</dc:title>
  <dc:subject/>
  <dc:creator>Productivity Commission</dc:creator>
  <cp:keywords/>
  <dc:description/>
  <cp:lastModifiedBy>Productivity Commission</cp:lastModifiedBy>
  <cp:revision>2</cp:revision>
  <dcterms:created xsi:type="dcterms:W3CDTF">2017-08-02T06:49:00Z</dcterms:created>
  <dcterms:modified xsi:type="dcterms:W3CDTF">2017-10-05T03:38:00Z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